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w:t>
      </w:r>
      <w:r>
        <w:rPr>
          <w:rFonts w:hint="default" w:ascii="黑体" w:hAnsi="黑体" w:eastAsia="黑体" w:cs="黑体"/>
          <w:color w:val="000000" w:themeColor="text1"/>
          <w:sz w:val="28"/>
          <w:szCs w:val="28"/>
          <w:lang w:eastAsia="zh-CN"/>
          <w14:textFill>
            <w14:solidFill>
              <w14:schemeClr w14:val="tx1"/>
            </w14:solidFill>
          </w14:textFill>
        </w:rPr>
        <w:t>2</w:t>
      </w:r>
      <w:bookmarkStart w:id="273" w:name="_GoBack"/>
      <w:bookmarkEnd w:id="273"/>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Times New Roman" w:hAnsi="Times New Roman" w:cs="Times New Roman"/>
        </w:rPr>
        <w:t xml:space="preserve">                                                                                                                                                                                                                                                                                                                                                                                                                                                                          </w:t>
      </w:r>
    </w:p>
    <w:p>
      <w:pPr>
        <w:spacing w:after="160" w:line="360" w:lineRule="auto"/>
        <w:jc w:val="center"/>
        <w:rPr>
          <w:rFonts w:ascii="黑体" w:hAnsi="Times New Roman" w:eastAsia="黑体"/>
          <w:kern w:val="0"/>
          <w:sz w:val="52"/>
          <w:szCs w:val="52"/>
        </w:rPr>
      </w:pPr>
      <w:bookmarkStart w:id="0" w:name="_Toc5359"/>
    </w:p>
    <w:p>
      <w:pPr>
        <w:spacing w:after="160" w:line="360" w:lineRule="auto"/>
        <w:jc w:val="center"/>
        <w:rPr>
          <w:rFonts w:ascii="黑体" w:hAnsi="Times New Roman" w:eastAsia="黑体"/>
          <w:kern w:val="0"/>
          <w:sz w:val="52"/>
          <w:szCs w:val="52"/>
        </w:rPr>
      </w:pPr>
    </w:p>
    <w:p>
      <w:pPr>
        <w:spacing w:after="160" w:line="360" w:lineRule="auto"/>
        <w:jc w:val="center"/>
        <w:rPr>
          <w:rFonts w:ascii="黑体" w:hAnsi="Times New Roman" w:eastAsia="黑体"/>
          <w:kern w:val="0"/>
          <w:sz w:val="52"/>
          <w:szCs w:val="52"/>
        </w:rPr>
      </w:pPr>
      <w:r>
        <w:rPr>
          <w:rFonts w:hint="eastAsia" w:ascii="黑体" w:hAnsi="Times New Roman" w:eastAsia="黑体"/>
          <w:kern w:val="0"/>
          <w:sz w:val="52"/>
          <w:szCs w:val="52"/>
        </w:rPr>
        <w:t>环境监测用</w:t>
      </w:r>
      <w:r>
        <w:rPr>
          <w:rFonts w:ascii="黑体" w:hAnsi="Times New Roman" w:eastAsia="黑体"/>
          <w:kern w:val="0"/>
          <w:sz w:val="52"/>
          <w:szCs w:val="52"/>
        </w:rPr>
        <w:t>57种</w:t>
      </w:r>
      <w:r>
        <w:rPr>
          <w:rFonts w:hint="eastAsia" w:ascii="黑体" w:hAnsi="Times New Roman" w:eastAsia="黑体"/>
          <w:kern w:val="0"/>
          <w:sz w:val="52"/>
          <w:szCs w:val="52"/>
        </w:rPr>
        <w:t>臭氧前体挥发性有机物</w:t>
      </w:r>
      <w:r>
        <w:rPr>
          <w:rFonts w:ascii="黑体" w:hAnsi="Times New Roman" w:eastAsia="黑体"/>
          <w:kern w:val="0"/>
          <w:sz w:val="52"/>
          <w:szCs w:val="52"/>
        </w:rPr>
        <w:t>标准气体</w:t>
      </w:r>
      <w:r>
        <w:rPr>
          <w:rFonts w:hint="eastAsia" w:ascii="黑体" w:hAnsi="Times New Roman" w:eastAsia="黑体"/>
          <w:kern w:val="0"/>
          <w:sz w:val="52"/>
          <w:szCs w:val="52"/>
        </w:rPr>
        <w:t>比对抽测</w:t>
      </w:r>
      <w:r>
        <w:rPr>
          <w:rFonts w:ascii="黑体" w:hAnsi="Times New Roman" w:eastAsia="黑体"/>
          <w:kern w:val="0"/>
          <w:sz w:val="52"/>
          <w:szCs w:val="52"/>
        </w:rPr>
        <w:t>技术</w:t>
      </w:r>
      <w:r>
        <w:rPr>
          <w:rFonts w:hint="eastAsia" w:ascii="黑体" w:hAnsi="Times New Roman" w:eastAsia="黑体"/>
          <w:kern w:val="0"/>
          <w:sz w:val="52"/>
          <w:szCs w:val="52"/>
        </w:rPr>
        <w:t>要求</w:t>
      </w:r>
    </w:p>
    <w:p>
      <w:pPr>
        <w:spacing w:line="360" w:lineRule="auto"/>
        <w:jc w:val="center"/>
        <w:rPr>
          <w:rFonts w:ascii="黑体" w:hAnsi="Times New Roman" w:eastAsia="黑体" w:cs="Times New Roman"/>
          <w:kern w:val="0"/>
          <w:sz w:val="28"/>
          <w:szCs w:val="28"/>
        </w:rPr>
      </w:pPr>
      <w:r>
        <w:rPr>
          <w:rFonts w:hint="eastAsia" w:ascii="黑体" w:hAnsi="Times New Roman" w:eastAsia="黑体" w:cs="Times New Roman"/>
          <w:kern w:val="0"/>
          <w:sz w:val="28"/>
          <w:szCs w:val="28"/>
        </w:rPr>
        <w:t>（试行）</w:t>
      </w:r>
    </w:p>
    <w:p>
      <w:pPr>
        <w:spacing w:after="160" w:line="360" w:lineRule="auto"/>
        <w:jc w:val="center"/>
        <w:rPr>
          <w:rFonts w:ascii="黑体" w:hAnsi="Times New Roman" w:eastAsia="黑体"/>
          <w:kern w:val="0"/>
          <w:sz w:val="52"/>
          <w:szCs w:val="52"/>
        </w:rPr>
        <w:sectPr>
          <w:footerReference r:id="rId3" w:type="default"/>
          <w:pgSz w:w="11906" w:h="16838"/>
          <w:pgMar w:top="1440" w:right="1463" w:bottom="1440" w:left="1463" w:header="851" w:footer="992" w:gutter="0"/>
          <w:pgNumType w:fmt="lowerRoman" w:start="1"/>
          <w:cols w:space="425" w:num="1"/>
          <w:docGrid w:type="lines" w:linePitch="312" w:charSpace="0"/>
        </w:sectPr>
      </w:pPr>
    </w:p>
    <w:p>
      <w:pPr>
        <w:spacing w:after="160" w:line="360" w:lineRule="auto"/>
        <w:jc w:val="center"/>
        <w:rPr>
          <w:rFonts w:ascii="黑体" w:hAnsi="Times New Roman" w:eastAsia="黑体"/>
          <w:kern w:val="0"/>
          <w:sz w:val="52"/>
          <w:szCs w:val="52"/>
        </w:rPr>
      </w:pPr>
    </w:p>
    <w:p>
      <w:pPr>
        <w:spacing w:after="160" w:line="360" w:lineRule="auto"/>
        <w:jc w:val="center"/>
        <w:rPr>
          <w:rFonts w:ascii="黑体" w:hAnsi="Times New Roman" w:eastAsia="黑体"/>
          <w:kern w:val="0"/>
          <w:sz w:val="52"/>
          <w:szCs w:val="52"/>
        </w:rPr>
        <w:sectPr>
          <w:type w:val="continuous"/>
          <w:pgSz w:w="11906" w:h="16838"/>
          <w:pgMar w:top="1440" w:right="1463" w:bottom="1440" w:left="1463" w:header="851" w:footer="992" w:gutter="0"/>
          <w:cols w:space="425" w:num="1"/>
          <w:docGrid w:type="lines" w:linePitch="312" w:charSpace="0"/>
        </w:sectPr>
      </w:pPr>
    </w:p>
    <w:sdt>
      <w:sdtPr>
        <w:rPr>
          <w:rFonts w:ascii="Times New Roman" w:hAnsi="Times New Roman" w:eastAsia="黑体" w:cs="Times New Roman"/>
          <w:b/>
          <w:bCs/>
        </w:rPr>
        <w:id w:val="1232267924"/>
      </w:sdtPr>
      <w:sdtEndPr>
        <w:rPr>
          <w:rFonts w:ascii="黑体" w:hAnsi="黑体" w:eastAsia="黑体" w:cs="Times New Roman"/>
          <w:b/>
          <w:bCs/>
          <w:lang w:val="zh-CN"/>
        </w:rPr>
      </w:sdtEndPr>
      <w:sdtContent>
        <w:p>
          <w:pPr>
            <w:widowControl/>
            <w:jc w:val="center"/>
            <w:rPr>
              <w:rFonts w:ascii="Times New Roman" w:hAnsi="Times New Roman" w:eastAsia="黑体" w:cs="Times New Roman"/>
              <w:b/>
              <w:bCs/>
              <w:color w:val="000000" w:themeColor="text1"/>
              <w:kern w:val="0"/>
              <w:sz w:val="32"/>
              <w:szCs w:val="32"/>
              <w14:textFill>
                <w14:solidFill>
                  <w14:schemeClr w14:val="tx1"/>
                </w14:solidFill>
              </w14:textFill>
            </w:rPr>
          </w:pPr>
          <w:r>
            <w:rPr>
              <w:rFonts w:hint="eastAsia" w:ascii="Times New Roman" w:hAnsi="Times New Roman" w:eastAsia="黑体" w:cs="Times New Roman"/>
              <w:b/>
              <w:bCs/>
              <w:color w:val="000000" w:themeColor="text1"/>
              <w:kern w:val="0"/>
              <w:sz w:val="32"/>
              <w:szCs w:val="32"/>
              <w14:textFill>
                <w14:solidFill>
                  <w14:schemeClr w14:val="tx1"/>
                </w14:solidFill>
              </w14:textFill>
            </w:rPr>
            <w:t>目</w:t>
          </w:r>
          <w:r>
            <w:rPr>
              <w:rFonts w:ascii="Times New Roman" w:hAnsi="Times New Roman" w:eastAsia="黑体" w:cs="Times New Roman"/>
              <w:b/>
              <w:bCs/>
              <w:color w:val="000000" w:themeColor="text1"/>
              <w:kern w:val="0"/>
              <w:sz w:val="32"/>
              <w:szCs w:val="32"/>
              <w14:textFill>
                <w14:solidFill>
                  <w14:schemeClr w14:val="tx1"/>
                </w14:solidFill>
              </w14:textFill>
            </w:rPr>
            <w:t xml:space="preserve">  </w:t>
          </w:r>
          <w:r>
            <w:rPr>
              <w:rFonts w:hint="eastAsia" w:ascii="Times New Roman" w:hAnsi="Times New Roman" w:eastAsia="黑体" w:cs="Times New Roman"/>
              <w:b/>
              <w:bCs/>
              <w:color w:val="000000" w:themeColor="text1"/>
              <w:kern w:val="0"/>
              <w:sz w:val="32"/>
              <w:szCs w:val="32"/>
              <w14:textFill>
                <w14:solidFill>
                  <w14:schemeClr w14:val="tx1"/>
                </w14:solidFill>
              </w14:textFill>
            </w:rPr>
            <w:t>录</w:t>
          </w:r>
        </w:p>
        <w:p>
          <w:pPr>
            <w:pStyle w:val="12"/>
            <w:tabs>
              <w:tab w:val="right" w:leader="dot" w:pos="8296"/>
            </w:tabs>
            <w:rPr>
              <w:rFonts w:hint="default" w:ascii="Times New Roman" w:hAnsi="Times New Roman" w:cs="Times New Roman" w:eastAsiaTheme="minorEastAsia"/>
              <w:szCs w:val="22"/>
            </w:rPr>
          </w:pPr>
          <w:r>
            <w:rPr>
              <w:rFonts w:ascii="黑体" w:hAnsi="黑体" w:eastAsia="黑体" w:cs="Times New Roman"/>
            </w:rPr>
            <w:fldChar w:fldCharType="begin"/>
          </w:r>
          <w:r>
            <w:rPr>
              <w:rFonts w:ascii="黑体" w:hAnsi="黑体" w:eastAsia="黑体" w:cs="Times New Roman"/>
            </w:rPr>
            <w:instrText xml:space="preserve"> TOC \o "1-3" \h \z \u </w:instrText>
          </w:r>
          <w:r>
            <w:rPr>
              <w:rFonts w:ascii="黑体" w:hAnsi="黑体" w:eastAsia="黑体" w:cs="Times New Roman"/>
            </w:rPr>
            <w:fldChar w:fldCharType="separate"/>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"_Toc121693330"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前    言</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ii</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"_Toc121693331"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1</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适用范围</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Style w:val="15"/>
              <w:rFonts w:hint="default" w:ascii="Times New Roman" w:hAnsi="Times New Roman" w:cs="Times New Roman" w:eastAsiaTheme="minorEastAsia"/>
            </w:rPr>
            <w:fldChar w:fldCharType="begin"/>
          </w:r>
          <w:r>
            <w:rPr>
              <w:rStyle w:val="15"/>
              <w:rFonts w:hint="default" w:ascii="Times New Roman" w:hAnsi="Times New Roman" w:cs="Times New Roman" w:eastAsiaTheme="minorEastAsia"/>
            </w:rPr>
            <w:instrText xml:space="preserve"> </w:instrText>
          </w:r>
          <w:r>
            <w:rPr>
              <w:rFonts w:hint="default" w:ascii="Times New Roman" w:hAnsi="Times New Roman" w:cs="Times New Roman" w:eastAsiaTheme="minorEastAsia"/>
            </w:rPr>
            <w:instrText xml:space="preserve">HYPERLINK \l "_Toc121693332"</w:instrText>
          </w:r>
          <w:r>
            <w:rPr>
              <w:rStyle w:val="15"/>
              <w:rFonts w:hint="default" w:ascii="Times New Roman" w:hAnsi="Times New Roman" w:cs="Times New Roman" w:eastAsiaTheme="minorEastAsia"/>
            </w:rPr>
            <w:instrText xml:space="preserve"> </w:instrText>
          </w:r>
          <w:r>
            <w:rPr>
              <w:rStyle w:val="15"/>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2</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规范性引用文件</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Style w:val="15"/>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Style w:val="15"/>
              <w:rFonts w:hint="default" w:ascii="Times New Roman" w:hAnsi="Times New Roman" w:cs="Times New Roman" w:eastAsiaTheme="minorEastAsia"/>
            </w:rPr>
            <w:fldChar w:fldCharType="begin"/>
          </w:r>
          <w:r>
            <w:rPr>
              <w:rStyle w:val="15"/>
              <w:rFonts w:hint="default" w:ascii="Times New Roman" w:hAnsi="Times New Roman" w:cs="Times New Roman" w:eastAsiaTheme="minorEastAsia"/>
            </w:rPr>
            <w:instrText xml:space="preserve"> </w:instrText>
          </w:r>
          <w:r>
            <w:rPr>
              <w:rFonts w:hint="default" w:ascii="Times New Roman" w:hAnsi="Times New Roman" w:cs="Times New Roman" w:eastAsiaTheme="minorEastAsia"/>
            </w:rPr>
            <w:instrText xml:space="preserve">HYPERLINK \l "_Toc121693333"</w:instrText>
          </w:r>
          <w:r>
            <w:rPr>
              <w:rStyle w:val="15"/>
              <w:rFonts w:hint="default" w:ascii="Times New Roman" w:hAnsi="Times New Roman" w:cs="Times New Roman" w:eastAsiaTheme="minorEastAsia"/>
            </w:rPr>
            <w:instrText xml:space="preserve"> </w:instrText>
          </w:r>
          <w:r>
            <w:rPr>
              <w:rStyle w:val="15"/>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3</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术语及定义</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Style w:val="15"/>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"_Toc121693334"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4</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比对抽测工作流程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"_Toc121693335"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5</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比对计划及调查</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"_Toc121693336"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6</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比对抽测实施方案</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_Toc121693336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"_Toc121693337"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6.1比对样品清单及样品获取</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"_Toc121693338"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6.2比对目标及内容</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"_Toc121693339"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6.3分析方法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_Toc121693339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"_Toc121693345"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6.4样品测试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_Toc121693345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4</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"_Toc121693349"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lang w:val="zh-CN"/>
            </w:rPr>
            <w:t>7</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lang w:val="zh-CN"/>
            </w:rPr>
            <w:t>结果评价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_Toc121693349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"_Toc121693350"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7.1量值准确性评价（</w:t>
          </w:r>
          <w:r>
            <w:rPr>
              <w:rStyle w:val="15"/>
              <w:rFonts w:hint="default" w:ascii="Times New Roman" w:hAnsi="Times New Roman" w:cs="Times New Roman" w:eastAsiaTheme="minorEastAsia"/>
              <w:i/>
              <w:iCs/>
            </w:rPr>
            <w:t>E</w:t>
          </w:r>
          <w:r>
            <w:rPr>
              <w:rStyle w:val="15"/>
              <w:rFonts w:hint="default" w:ascii="Times New Roman" w:hAnsi="Times New Roman" w:cs="Times New Roman" w:eastAsiaTheme="minorEastAsia"/>
              <w:i/>
              <w:iCs/>
              <w:vertAlign w:val="subscript"/>
            </w:rPr>
            <w:t>n</w:t>
          </w:r>
          <w:r>
            <w:rPr>
              <w:rStyle w:val="15"/>
              <w:rFonts w:hint="default" w:ascii="Times New Roman" w:hAnsi="Times New Roman" w:cs="Times New Roman" w:eastAsiaTheme="minorEastAsia"/>
            </w:rPr>
            <w:t>值法）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"_Toc121693351"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7.2稳定性评价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3"/>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"_Toc121693352"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7.3适用性评价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"_Toc121693353"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8</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比对总结报告</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42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"_Toc121693354"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9</w:t>
          </w:r>
          <w:r>
            <w:rPr>
              <w:rFonts w:hint="default" w:ascii="Times New Roman" w:hAnsi="Times New Roman" w:cs="Times New Roman" w:eastAsiaTheme="minorEastAsia"/>
              <w:szCs w:val="22"/>
            </w:rPr>
            <w:tab/>
          </w:r>
          <w:r>
            <w:rPr>
              <w:rStyle w:val="15"/>
              <w:rFonts w:hint="default" w:ascii="Times New Roman" w:hAnsi="Times New Roman" w:cs="Times New Roman" w:eastAsiaTheme="minorEastAsia"/>
            </w:rPr>
            <w:t>比对资料归档</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left" w:pos="840"/>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"_Toc121693355"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rPr>
            <w:t>10</w:t>
          </w:r>
          <w:r>
            <w:rPr>
              <w:rStyle w:val="15"/>
              <w:rFonts w:hint="eastAsia" w:ascii="Times New Roman" w:hAnsi="Times New Roman" w:cs="Times New Roman"/>
              <w:lang w:val="en-US" w:eastAsia="zh-CN"/>
            </w:rPr>
            <w:t xml:space="preserve">  </w:t>
          </w:r>
          <w:r>
            <w:rPr>
              <w:rStyle w:val="15"/>
              <w:rFonts w:hint="default" w:ascii="Times New Roman" w:hAnsi="Times New Roman" w:cs="Times New Roman" w:eastAsiaTheme="minorEastAsia"/>
            </w:rPr>
            <w:t>比对结果应用</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"_Toc121693356"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附录A</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"_Toc121693357"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"_Toc121693358"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lang w:bidi="ar"/>
            </w:rPr>
            <w:t>57 组分环境空气臭氧前体挥发性有机物清单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_Toc121693358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8</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"_Toc121693359"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附录B</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"_Toc121693360"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"_Toc121693361"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参考分析方法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rFonts w:hint="default" w:ascii="Times New Roman" w:hAnsi="Times New Roman" w:cs="Times New Roman" w:eastAsiaTheme="minorEastAsia"/>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"_Toc121693362"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附录C</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"_Toc121693363"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"_Toc121693364"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实验室测量结果等效性评估</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2"/>
            <w:tabs>
              <w:tab w:val="right" w:leader="dot" w:pos="8296"/>
            </w:tabs>
            <w:rPr>
              <w:szCs w:val="22"/>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"_Toc121693365"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附录D</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"_Toc121693366"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（资料性附录）</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"_Toc121693367" </w:instrText>
          </w:r>
          <w:r>
            <w:rPr>
              <w:rFonts w:hint="default" w:ascii="Times New Roman" w:hAnsi="Times New Roman" w:cs="Times New Roman" w:eastAsiaTheme="minorEastAsia"/>
            </w:rPr>
            <w:fldChar w:fldCharType="separate"/>
          </w:r>
          <w:r>
            <w:rPr>
              <w:rStyle w:val="15"/>
              <w:rFonts w:hint="default" w:ascii="Times New Roman" w:hAnsi="Times New Roman" w:cs="Times New Roman" w:eastAsiaTheme="minorEastAsia"/>
              <w:kern w:val="0"/>
            </w:rPr>
            <w:t>相关记录表格示例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_Toc121693367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rPr>
              <w:rFonts w:ascii="黑体" w:hAnsi="黑体" w:eastAsia="黑体" w:cs="Times New Roman"/>
            </w:rPr>
          </w:pPr>
          <w:r>
            <w:rPr>
              <w:rFonts w:ascii="黑体" w:hAnsi="黑体" w:eastAsia="黑体" w:cs="Times New Roman"/>
              <w:b/>
              <w:bCs/>
              <w:lang w:val="zh-CN"/>
            </w:rPr>
            <w:fldChar w:fldCharType="end"/>
          </w:r>
        </w:p>
      </w:sdtContent>
    </w:sdt>
    <w:p>
      <w:pPr>
        <w:widowControl/>
        <w:jc w:val="left"/>
        <w:rPr>
          <w:rFonts w:ascii="宋体" w:hAnsi="宋体" w:eastAsia="宋体" w:cs="宋体"/>
          <w:bCs/>
          <w:kern w:val="0"/>
          <w:szCs w:val="21"/>
        </w:rPr>
        <w:sectPr>
          <w:footerReference r:id="rId4" w:type="default"/>
          <w:pgSz w:w="11906" w:h="16838"/>
          <w:pgMar w:top="1440" w:right="1800" w:bottom="1440" w:left="1800" w:header="851" w:footer="992" w:gutter="0"/>
          <w:pgNumType w:fmt="lowerRoman" w:start="1"/>
          <w:cols w:space="425" w:num="1"/>
          <w:docGrid w:type="lines" w:linePitch="312" w:charSpace="0"/>
        </w:sectPr>
      </w:pPr>
    </w:p>
    <w:p>
      <w:pPr>
        <w:widowControl/>
        <w:jc w:val="left"/>
        <w:rPr>
          <w:rFonts w:ascii="宋体" w:hAnsi="宋体" w:eastAsia="宋体" w:cs="宋体"/>
          <w:bCs/>
          <w:kern w:val="0"/>
          <w:szCs w:val="21"/>
        </w:rPr>
      </w:pPr>
    </w:p>
    <w:p>
      <w:pPr>
        <w:pStyle w:val="2"/>
        <w:jc w:val="center"/>
        <w:rPr>
          <w:rFonts w:ascii="Times New Roman" w:hAnsi="Times New Roman" w:cs="Times New Roman" w:eastAsiaTheme="minorEastAsia"/>
          <w:color w:val="000000" w:themeColor="text1"/>
          <w:kern w:val="2"/>
          <w:sz w:val="32"/>
          <w:szCs w:val="32"/>
          <w14:textFill>
            <w14:solidFill>
              <w14:schemeClr w14:val="tx1"/>
            </w14:solidFill>
          </w14:textFill>
        </w:rPr>
      </w:pPr>
      <w:bookmarkStart w:id="1" w:name="_Toc121693330"/>
      <w:r>
        <w:rPr>
          <w:rFonts w:hint="eastAsia" w:ascii="Times New Roman" w:hAnsi="Times New Roman" w:cs="Times New Roman" w:eastAsiaTheme="minorEastAsia"/>
          <w:b w:val="0"/>
          <w:color w:val="000000" w:themeColor="text1"/>
          <w:kern w:val="2"/>
          <w:sz w:val="32"/>
          <w:szCs w:val="32"/>
          <w14:textFill>
            <w14:solidFill>
              <w14:schemeClr w14:val="tx1"/>
            </w14:solidFill>
          </w14:textFill>
        </w:rPr>
        <w:t>前    言</w:t>
      </w:r>
      <w:bookmarkEnd w:id="1"/>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环境监测用标准物质/标准样品作为关键“量具”广泛应用于仪器设备的校准和期间核查、分析方法的评价、监测人员操作技术水平考核、监测过程中质量控制等工作，是保障环境监测数据准确、可比的重要前提。</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挥发性有机物中的一部分非甲烷烃类( PAMS组分)是臭氧形成的重要前体物，</w:t>
      </w:r>
      <w:r>
        <w:rPr>
          <w:rFonts w:hint="eastAsia" w:ascii="Times New Roman" w:hAnsi="Times New Roman" w:eastAsia="宋体" w:cs="Times New Roman"/>
          <w:kern w:val="0"/>
          <w:sz w:val="21"/>
          <w:szCs w:val="21"/>
        </w:rPr>
        <w:t>是挥发性有机物监测和臭氧污染防治的重点关注组分。</w:t>
      </w:r>
      <w:r>
        <w:rPr>
          <w:rFonts w:ascii="Times New Roman" w:hAnsi="Times New Roman" w:eastAsia="宋体" w:cs="Times New Roman"/>
          <w:kern w:val="0"/>
          <w:sz w:val="21"/>
          <w:szCs w:val="21"/>
        </w:rPr>
        <w:t>实验室</w:t>
      </w:r>
      <w:r>
        <w:rPr>
          <w:rFonts w:hint="eastAsia" w:ascii="Times New Roman" w:hAnsi="Times New Roman" w:eastAsia="宋体" w:cs="Times New Roman"/>
          <w:kern w:val="0"/>
          <w:sz w:val="21"/>
          <w:szCs w:val="21"/>
        </w:rPr>
        <w:t>主要</w:t>
      </w:r>
      <w:r>
        <w:rPr>
          <w:rFonts w:ascii="Times New Roman" w:hAnsi="Times New Roman" w:eastAsia="宋体" w:cs="Times New Roman"/>
          <w:kern w:val="0"/>
          <w:sz w:val="21"/>
          <w:szCs w:val="21"/>
        </w:rPr>
        <w:t>以多组分混合标准气体为标准物质对环境空气中的57 种</w:t>
      </w:r>
      <w:r>
        <w:rPr>
          <w:rFonts w:hint="eastAsia" w:ascii="Times New Roman" w:hAnsi="Times New Roman" w:eastAsia="宋体" w:cs="Times New Roman"/>
          <w:kern w:val="0"/>
          <w:sz w:val="21"/>
          <w:szCs w:val="21"/>
        </w:rPr>
        <w:t>臭氧前体挥发性有机物</w:t>
      </w:r>
      <w:r>
        <w:rPr>
          <w:rFonts w:ascii="Times New Roman" w:hAnsi="Times New Roman" w:eastAsia="宋体" w:cs="Times New Roman"/>
          <w:kern w:val="0"/>
          <w:sz w:val="21"/>
          <w:szCs w:val="21"/>
        </w:rPr>
        <w:t>（PAMS组分）含量进行定量分析。</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w:t>
      </w:r>
      <w:r>
        <w:rPr>
          <w:rFonts w:hint="eastAsia" w:ascii="Times New Roman" w:hAnsi="Times New Roman" w:eastAsia="宋体" w:cs="Times New Roman"/>
          <w:kern w:val="0"/>
          <w:sz w:val="21"/>
          <w:szCs w:val="21"/>
        </w:rPr>
        <w:t>要求</w:t>
      </w:r>
      <w:r>
        <w:rPr>
          <w:rFonts w:ascii="Times New Roman" w:hAnsi="Times New Roman" w:eastAsia="宋体" w:cs="Times New Roman"/>
          <w:kern w:val="0"/>
          <w:sz w:val="21"/>
          <w:szCs w:val="21"/>
        </w:rPr>
        <w:t>主要用于指导实验室开展 57 种</w:t>
      </w:r>
      <w:r>
        <w:rPr>
          <w:rFonts w:hint="eastAsia" w:ascii="Times New Roman" w:hAnsi="Times New Roman" w:eastAsia="宋体" w:cs="Times New Roman"/>
          <w:kern w:val="0"/>
          <w:sz w:val="21"/>
          <w:szCs w:val="21"/>
        </w:rPr>
        <w:t>臭氧前体挥发性有机物</w:t>
      </w:r>
      <w:r>
        <w:rPr>
          <w:rFonts w:ascii="Times New Roman" w:hAnsi="Times New Roman" w:eastAsia="宋体" w:cs="Times New Roman"/>
          <w:kern w:val="0"/>
          <w:sz w:val="21"/>
          <w:szCs w:val="21"/>
        </w:rPr>
        <w:t>（PAMS组分）标准气体实物的比对，对所测得量值与标准物质证书中认定值的偏差或量值间的等效度进行判定，掌握不同品牌标准物质的质量状况。</w:t>
      </w: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19"/>
        </w:rPr>
        <w:t>本技术要求为首次发布，</w:t>
      </w:r>
      <w:r>
        <w:rPr>
          <w:rFonts w:hint="eastAsia" w:ascii="Times New Roman" w:hAnsi="Times New Roman" w:eastAsia="宋体" w:cs="Times New Roman"/>
          <w:szCs w:val="19"/>
        </w:rPr>
        <w:t>后期</w:t>
      </w:r>
      <w:r>
        <w:rPr>
          <w:rFonts w:ascii="Times New Roman" w:hAnsi="Times New Roman" w:eastAsia="宋体" w:cs="Times New Roman"/>
          <w:szCs w:val="19"/>
        </w:rPr>
        <w:t>将根据环境监测标准物质/标准样品比对抽测工作进展适时修订。</w:t>
      </w:r>
      <w:r>
        <w:rPr>
          <w:rFonts w:hint="eastAsia" w:ascii="Times New Roman" w:hAnsi="Times New Roman" w:eastAsia="宋体" w:cs="Times New Roman"/>
          <w:szCs w:val="21"/>
        </w:rPr>
        <w:t>如有相关标准或计量规程/规范发布，则以标准或计量规程/规范要求为准。</w:t>
      </w:r>
    </w:p>
    <w:p>
      <w:pPr>
        <w:pStyle w:val="7"/>
        <w:spacing w:line="360" w:lineRule="exact"/>
        <w:ind w:firstLine="420" w:firstLineChars="200"/>
        <w:rPr>
          <w:rFonts w:ascii="Times New Roman" w:hAnsi="Times New Roman" w:eastAsia="宋体" w:cs="Times New Roman"/>
          <w:kern w:val="0"/>
          <w:sz w:val="21"/>
          <w:szCs w:val="21"/>
        </w:rPr>
      </w:pPr>
    </w:p>
    <w:p>
      <w:pPr>
        <w:spacing w:after="120"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本技术要求起草单位：中国环境监测总站、中国计量科学研究院、中山市生态环境监控中心。</w:t>
      </w:r>
    </w:p>
    <w:p>
      <w:pPr>
        <w:spacing w:after="120" w:line="360" w:lineRule="exact"/>
        <w:ind w:firstLine="420" w:firstLineChars="200"/>
        <w:rPr>
          <w:rFonts w:ascii="Times New Roman" w:hAnsi="Times New Roman" w:eastAsia="宋体" w:cs="Times New Roman"/>
          <w:szCs w:val="21"/>
          <w:highlight w:val="yellow"/>
        </w:rPr>
      </w:pPr>
      <w:r>
        <w:rPr>
          <w:rFonts w:hint="eastAsia" w:ascii="Times New Roman" w:hAnsi="Times New Roman" w:eastAsia="宋体" w:cs="Times New Roman"/>
          <w:szCs w:val="21"/>
        </w:rPr>
        <w:t>本技术要求主要起草人：高裕雯、杨婧、师耀龙、吕怡兵、毕哲、王德发、马浩淼</w:t>
      </w:r>
    </w:p>
    <w:p>
      <w:pPr>
        <w:pStyle w:val="7"/>
        <w:spacing w:line="360" w:lineRule="exact"/>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本技术要求由中国环境监测总站解释。</w:t>
      </w:r>
    </w:p>
    <w:p>
      <w:pPr>
        <w:pStyle w:val="7"/>
        <w:spacing w:line="360" w:lineRule="exact"/>
        <w:ind w:firstLine="420" w:firstLineChars="200"/>
        <w:rPr>
          <w:rFonts w:ascii="Times New Roman" w:hAnsi="Times New Roman" w:eastAsia="宋体" w:cs="Times New Roman"/>
          <w:kern w:val="0"/>
          <w:sz w:val="21"/>
          <w:szCs w:val="21"/>
        </w:rPr>
        <w:sectPr>
          <w:footerReference r:id="rId5" w:type="default"/>
          <w:pgSz w:w="11906" w:h="16838"/>
          <w:pgMar w:top="1440" w:right="1800" w:bottom="1440" w:left="1800" w:header="851" w:footer="992" w:gutter="0"/>
          <w:pgNumType w:fmt="lowerRoman"/>
          <w:cols w:space="425" w:num="1"/>
          <w:docGrid w:type="lines" w:linePitch="312" w:charSpace="0"/>
        </w:sectPr>
      </w:pPr>
    </w:p>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sectPr>
          <w:type w:val="continuous"/>
          <w:pgSz w:w="11906" w:h="16838"/>
          <w:pgMar w:top="1440" w:right="1800" w:bottom="1440" w:left="1800" w:header="851" w:footer="992" w:gutter="0"/>
          <w:pgNumType w:fmt="upperRoman" w:start="1"/>
          <w:cols w:space="425" w:num="1"/>
          <w:docGrid w:type="lines" w:linePitch="312" w:charSpace="0"/>
        </w:sectPr>
      </w:pPr>
    </w:p>
    <w:p>
      <w:pPr>
        <w:pStyle w:val="18"/>
        <w:spacing w:after="0" w:afterLines="0" w:line="240" w:lineRule="auto"/>
        <w:jc w:val="center"/>
        <w:outlineLvl w:val="9"/>
        <w:rPr>
          <w:rFonts w:ascii="Times New Roman" w:hAnsi="Times New Roman" w:cs="Times New Roman"/>
          <w:b w:val="0"/>
          <w:bCs w:val="0"/>
          <w:kern w:val="0"/>
          <w:sz w:val="32"/>
          <w:szCs w:val="32"/>
        </w:rPr>
      </w:pPr>
      <w:bookmarkStart w:id="2" w:name="_Toc25911"/>
      <w:bookmarkStart w:id="3" w:name="_Toc16294"/>
      <w:bookmarkStart w:id="4" w:name="_Toc2955"/>
      <w:bookmarkStart w:id="5" w:name="_Toc6297"/>
      <w:bookmarkStart w:id="6" w:name="_Toc19101"/>
      <w:r>
        <w:rPr>
          <w:rFonts w:hint="eastAsia" w:ascii="Times New Roman" w:hAnsi="Times New Roman" w:cs="Times New Roman"/>
          <w:b w:val="0"/>
          <w:bCs w:val="0"/>
          <w:kern w:val="0"/>
          <w:sz w:val="32"/>
          <w:szCs w:val="32"/>
        </w:rPr>
        <w:t>环境监测用</w:t>
      </w:r>
      <w:r>
        <w:rPr>
          <w:rFonts w:ascii="Times New Roman" w:hAnsi="Times New Roman" w:cs="Times New Roman"/>
          <w:b w:val="0"/>
          <w:bCs w:val="0"/>
          <w:kern w:val="0"/>
          <w:sz w:val="32"/>
          <w:szCs w:val="32"/>
        </w:rPr>
        <w:t>57种</w:t>
      </w:r>
      <w:r>
        <w:rPr>
          <w:rFonts w:hint="eastAsia" w:ascii="Times New Roman" w:hAnsi="Times New Roman" w:cs="Times New Roman"/>
          <w:b w:val="0"/>
          <w:bCs w:val="0"/>
          <w:kern w:val="0"/>
          <w:sz w:val="32"/>
          <w:szCs w:val="32"/>
        </w:rPr>
        <w:t>臭氧前体挥发性有机物</w:t>
      </w:r>
      <w:r>
        <w:rPr>
          <w:rFonts w:ascii="Times New Roman" w:hAnsi="Times New Roman" w:cs="Times New Roman"/>
          <w:b w:val="0"/>
          <w:bCs w:val="0"/>
          <w:kern w:val="0"/>
          <w:sz w:val="32"/>
          <w:szCs w:val="32"/>
        </w:rPr>
        <w:t>标准气体</w:t>
      </w:r>
      <w:bookmarkEnd w:id="2"/>
      <w:bookmarkEnd w:id="3"/>
      <w:bookmarkEnd w:id="4"/>
      <w:bookmarkEnd w:id="5"/>
      <w:bookmarkEnd w:id="6"/>
      <w:bookmarkStart w:id="7" w:name="_Toc27839"/>
      <w:bookmarkStart w:id="8" w:name="_Toc31334"/>
      <w:bookmarkStart w:id="9" w:name="_Toc24812"/>
      <w:bookmarkStart w:id="10" w:name="_Toc27197"/>
      <w:bookmarkStart w:id="11" w:name="_Toc17212"/>
    </w:p>
    <w:p>
      <w:pPr>
        <w:pStyle w:val="18"/>
        <w:spacing w:before="0" w:beforeLines="0" w:line="240" w:lineRule="auto"/>
        <w:jc w:val="center"/>
        <w:outlineLvl w:val="9"/>
        <w:rPr>
          <w:rFonts w:ascii="Times New Roman" w:hAnsi="Times New Roman" w:cs="Times New Roman"/>
          <w:b w:val="0"/>
          <w:bCs w:val="0"/>
          <w:kern w:val="0"/>
          <w:sz w:val="32"/>
          <w:szCs w:val="32"/>
        </w:rPr>
      </w:pPr>
      <w:r>
        <w:rPr>
          <w:rFonts w:hint="eastAsia" w:ascii="Times New Roman" w:hAnsi="Times New Roman" w:cs="Times New Roman"/>
          <w:b w:val="0"/>
          <w:bCs w:val="0"/>
          <w:kern w:val="0"/>
          <w:sz w:val="32"/>
          <w:szCs w:val="32"/>
        </w:rPr>
        <w:t>比对抽测</w:t>
      </w:r>
      <w:r>
        <w:rPr>
          <w:rFonts w:ascii="Times New Roman" w:hAnsi="Times New Roman" w:cs="Times New Roman"/>
          <w:b w:val="0"/>
          <w:bCs w:val="0"/>
          <w:kern w:val="0"/>
          <w:sz w:val="32"/>
          <w:szCs w:val="32"/>
        </w:rPr>
        <w:t>技术</w:t>
      </w:r>
      <w:r>
        <w:rPr>
          <w:rFonts w:hint="eastAsia" w:ascii="Times New Roman" w:hAnsi="Times New Roman" w:cs="Times New Roman"/>
          <w:b w:val="0"/>
          <w:bCs w:val="0"/>
          <w:kern w:val="0"/>
          <w:sz w:val="32"/>
          <w:szCs w:val="32"/>
        </w:rPr>
        <w:t>要求（试行）</w:t>
      </w:r>
      <w:bookmarkEnd w:id="7"/>
      <w:bookmarkEnd w:id="8"/>
      <w:bookmarkEnd w:id="9"/>
      <w:bookmarkEnd w:id="10"/>
      <w:bookmarkEnd w:id="11"/>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2" w:name="_Toc14555"/>
      <w:bookmarkStart w:id="13" w:name="_Toc118815058"/>
      <w:bookmarkStart w:id="14" w:name="_Toc11983"/>
      <w:bookmarkStart w:id="15" w:name="_Toc121693331"/>
      <w:bookmarkStart w:id="16" w:name="_Toc17219"/>
      <w:bookmarkStart w:id="17" w:name="_Toc14210"/>
      <w:r>
        <w:rPr>
          <w:rFonts w:ascii="Times New Roman" w:hAnsi="Times New Roman" w:eastAsia="黑体" w:cs="Times New Roman"/>
          <w:szCs w:val="21"/>
        </w:rPr>
        <w:t>适用范围</w:t>
      </w:r>
      <w:bookmarkEnd w:id="0"/>
      <w:bookmarkEnd w:id="12"/>
      <w:bookmarkEnd w:id="13"/>
      <w:bookmarkEnd w:id="14"/>
      <w:bookmarkEnd w:id="15"/>
      <w:bookmarkEnd w:id="16"/>
      <w:bookmarkEnd w:id="17"/>
    </w:p>
    <w:p>
      <w:pPr>
        <w:ind w:firstLine="420" w:firstLineChars="200"/>
        <w:rPr>
          <w:rFonts w:ascii="Times New Roman" w:hAnsi="Times New Roman" w:cs="Times New Roman"/>
        </w:rPr>
      </w:pPr>
      <w:r>
        <w:rPr>
          <w:rFonts w:ascii="Times New Roman" w:hAnsi="Times New Roman" w:cs="Times New Roman"/>
        </w:rPr>
        <w:t>本技术</w:t>
      </w:r>
      <w:r>
        <w:rPr>
          <w:rFonts w:hint="eastAsia" w:ascii="Times New Roman" w:hAnsi="Times New Roman" w:cs="Times New Roman"/>
        </w:rPr>
        <w:t>要求</w:t>
      </w:r>
      <w:r>
        <w:rPr>
          <w:rFonts w:ascii="Times New Roman" w:hAnsi="Times New Roman" w:cs="Times New Roman"/>
        </w:rPr>
        <w:t>规定了57种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）标准气体的量值比对方法，以及开展标准物质</w:t>
      </w:r>
      <w:r>
        <w:rPr>
          <w:rFonts w:hint="eastAsia" w:ascii="Times New Roman" w:hAnsi="Times New Roman" w:cs="Times New Roman"/>
        </w:rPr>
        <w:t>比对抽测</w:t>
      </w:r>
      <w:r>
        <w:rPr>
          <w:rFonts w:ascii="Times New Roman" w:hAnsi="Times New Roman" w:cs="Times New Roman"/>
        </w:rPr>
        <w:t>应遵循的技术原则和方法，适用于</w:t>
      </w:r>
      <w:r>
        <w:rPr>
          <w:rFonts w:hint="eastAsia" w:ascii="Times New Roman" w:hAnsi="Times New Roman" w:cs="Times New Roman"/>
        </w:rPr>
        <w:t>采用气相色谱法对</w:t>
      </w:r>
      <w:r>
        <w:rPr>
          <w:rFonts w:ascii="Times New Roman" w:hAnsi="Times New Roman" w:cs="Times New Roman"/>
        </w:rPr>
        <w:t>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）标准气体</w:t>
      </w:r>
      <w:r>
        <w:rPr>
          <w:rFonts w:hint="eastAsia" w:ascii="Times New Roman" w:hAnsi="Times New Roman" w:cs="Times New Roman"/>
        </w:rPr>
        <w:t>开展比对抽测</w:t>
      </w:r>
      <w:r>
        <w:rPr>
          <w:rFonts w:ascii="Times New Roman" w:hAnsi="Times New Roman" w:cs="Times New Roman"/>
        </w:rPr>
        <w:t>的组织和实施。其他挥发性有机物标准气体</w:t>
      </w:r>
      <w:r>
        <w:rPr>
          <w:rFonts w:hint="eastAsia" w:ascii="Times New Roman" w:hAnsi="Times New Roman" w:cs="Times New Roman"/>
        </w:rPr>
        <w:t>、市售校准或质控用工作气体比对抽测</w:t>
      </w:r>
      <w:r>
        <w:rPr>
          <w:rFonts w:ascii="Times New Roman" w:hAnsi="Times New Roman" w:cs="Times New Roman"/>
        </w:rPr>
        <w:t>的组织和实施可参照本技术</w:t>
      </w:r>
      <w:r>
        <w:rPr>
          <w:rFonts w:hint="eastAsia" w:ascii="Times New Roman" w:hAnsi="Times New Roman" w:cs="Times New Roman"/>
        </w:rPr>
        <w:t>要求</w:t>
      </w:r>
      <w:r>
        <w:rPr>
          <w:rFonts w:ascii="Times New Roman" w:hAnsi="Times New Roman" w:cs="Times New Roman"/>
        </w:rPr>
        <w:t>执行。</w:t>
      </w:r>
    </w:p>
    <w:p>
      <w:pPr>
        <w:ind w:firstLine="420" w:firstLineChars="200"/>
        <w:rPr>
          <w:rFonts w:ascii="Times New Roman" w:hAnsi="Times New Roman" w:cs="Times New Roman"/>
        </w:rPr>
      </w:pPr>
      <w:r>
        <w:rPr>
          <w:rFonts w:hint="eastAsia" w:ascii="Times New Roman" w:hAnsi="Times New Roman" w:cs="Times New Roman"/>
          <w:lang w:bidi="ar"/>
        </w:rPr>
        <w:t>57 种臭氧前体挥发性有机物清单</w:t>
      </w:r>
      <w:r>
        <w:rPr>
          <w:rFonts w:hint="eastAsia" w:ascii="Times New Roman" w:hAnsi="Times New Roman" w:cs="Times New Roman"/>
        </w:rPr>
        <w:t>见附录A。</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8" w:name="_Toc10106552"/>
      <w:bookmarkStart w:id="19" w:name="_Toc7462"/>
      <w:bookmarkStart w:id="20" w:name="_Toc121693332"/>
      <w:bookmarkStart w:id="21" w:name="_Toc2669"/>
      <w:bookmarkStart w:id="22" w:name="_Toc6044"/>
      <w:bookmarkStart w:id="23" w:name="_Toc5635"/>
      <w:bookmarkStart w:id="24" w:name="_Toc118815059"/>
      <w:bookmarkStart w:id="25" w:name="_Toc22925"/>
      <w:bookmarkStart w:id="26" w:name="_Toc11161304"/>
      <w:bookmarkStart w:id="27" w:name="_Toc25307814"/>
      <w:bookmarkStart w:id="28" w:name="_Toc15082"/>
      <w:bookmarkStart w:id="29" w:name="_Toc30218"/>
      <w:r>
        <w:rPr>
          <w:rFonts w:hint="eastAsia" w:ascii="Times New Roman" w:hAnsi="Times New Roman" w:eastAsia="黑体" w:cs="Times New Roman"/>
          <w:szCs w:val="21"/>
        </w:rPr>
        <w:t>规范性引用文件</w:t>
      </w:r>
      <w:bookmarkEnd w:id="18"/>
      <w:bookmarkEnd w:id="19"/>
      <w:bookmarkEnd w:id="20"/>
      <w:bookmarkEnd w:id="21"/>
      <w:bookmarkEnd w:id="22"/>
      <w:bookmarkEnd w:id="23"/>
      <w:bookmarkEnd w:id="24"/>
      <w:bookmarkEnd w:id="25"/>
      <w:bookmarkEnd w:id="26"/>
      <w:bookmarkEnd w:id="27"/>
      <w:bookmarkEnd w:id="28"/>
      <w:bookmarkEnd w:id="29"/>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GB/T 38677 气体分析 测量过程及结果 校准技术要求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1001 通用计量术语及定义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1005 标准物质通用术语和定义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 计量比对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1117.1 化学量测量比对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1186 标准物质证书和标签</w:t>
      </w:r>
      <w:r>
        <w:rPr>
          <w:rFonts w:hint="eastAsia" w:ascii="Times New Roman" w:hAnsi="Times New Roman" w:eastAsia="宋体" w:cs="Times New Roman"/>
          <w:szCs w:val="21"/>
        </w:rPr>
        <w:t>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1854 标准物质计量溯源性的建立、评估与表达计量技术规范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JJF 1960 标准物质量值比对技术规范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rPr>
        <w:t>HJ 173 环境标准样品研复制技术规范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环境空气臭氧前体有机物手工监测技术要求（试行）</w:t>
      </w:r>
    </w:p>
    <w:p>
      <w:pPr>
        <w:spacing w:line="360" w:lineRule="exact"/>
        <w:ind w:firstLine="420" w:firstLineChars="200"/>
        <w:rPr>
          <w:rFonts w:ascii="Times New Roman" w:hAnsi="Times New Roman" w:eastAsia="宋体" w:cs="Times New Roman"/>
          <w:szCs w:val="21"/>
        </w:rPr>
      </w:pPr>
      <w:bookmarkStart w:id="30" w:name="_Toc118565415"/>
      <w:r>
        <w:rPr>
          <w:rFonts w:ascii="Times New Roman" w:hAnsi="Times New Roman" w:eastAsia="宋体" w:cs="Times New Roman"/>
          <w:szCs w:val="21"/>
        </w:rPr>
        <w:t>环境监测用标准物质/标准样品比对抽测通用技术要求</w:t>
      </w:r>
      <w:bookmarkEnd w:id="30"/>
      <w:r>
        <w:rPr>
          <w:rFonts w:ascii="Times New Roman" w:hAnsi="Times New Roman" w:eastAsia="宋体" w:cs="Times New Roman"/>
          <w:szCs w:val="21"/>
        </w:rPr>
        <w:t>（试行）</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31" w:name="_Toc7297"/>
      <w:bookmarkStart w:id="32" w:name="_Toc118815060"/>
      <w:bookmarkStart w:id="33" w:name="_Toc18428"/>
      <w:bookmarkStart w:id="34" w:name="_Toc121693333"/>
      <w:bookmarkStart w:id="35" w:name="_Toc31709"/>
      <w:bookmarkStart w:id="36" w:name="_Toc20733"/>
      <w:bookmarkStart w:id="37" w:name="_Toc30522"/>
      <w:r>
        <w:rPr>
          <w:rFonts w:hint="eastAsia" w:ascii="Times New Roman" w:hAnsi="Times New Roman" w:eastAsia="黑体" w:cs="Times New Roman"/>
          <w:szCs w:val="21"/>
        </w:rPr>
        <w:t>术语及定义</w:t>
      </w:r>
      <w:bookmarkEnd w:id="31"/>
      <w:bookmarkEnd w:id="32"/>
      <w:bookmarkEnd w:id="33"/>
      <w:bookmarkEnd w:id="34"/>
      <w:bookmarkEnd w:id="35"/>
      <w:bookmarkEnd w:id="36"/>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JJF 1001、JJF 1005中的相关术语、JJF 1117中规定的术语“主导实验室”、JJF 1117.1中规定的“比对等效度”、JJF 1960中规定的“标准物质量值比对”、HJ 173中规定的“环境标准样品”、《环境监测用标准物质/标准样品比对抽测通用技术要求》中规定的“国家有证环境标准物质/标准样品”“专家实验室”“参考标准”“比对参考值”“标准物质/标准样品的量值比对”适用于本技术要求。</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宋体" w:cs="Times New Roman"/>
          <w:szCs w:val="21"/>
        </w:rPr>
      </w:pPr>
      <w:bookmarkStart w:id="38" w:name="_Toc27739"/>
      <w:bookmarkStart w:id="39" w:name="_Toc882"/>
      <w:bookmarkStart w:id="40" w:name="_Toc14345"/>
      <w:bookmarkStart w:id="41" w:name="_Toc2398"/>
      <w:bookmarkStart w:id="42" w:name="_Toc121693334"/>
      <w:r>
        <w:rPr>
          <w:rFonts w:ascii="Times New Roman" w:hAnsi="Times New Roman" w:eastAsia="黑体" w:cs="Times New Roman"/>
        </w:rPr>
        <w:t>比对抽测工作流程</w:t>
      </w:r>
      <w:bookmarkEnd w:id="38"/>
      <w:bookmarkEnd w:id="39"/>
      <w:bookmarkEnd w:id="40"/>
      <w:bookmarkEnd w:id="41"/>
      <w:bookmarkEnd w:id="42"/>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szCs w:val="21"/>
        </w:rPr>
        <w:t>比对抽测流程参考《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》，主要比对抽测流程为：</w:t>
      </w:r>
      <w:r>
        <w:rPr>
          <w:rFonts w:hint="eastAsia" w:ascii="Times New Roman" w:hAnsi="Times New Roman" w:eastAsia="宋体" w:cs="Times New Roman"/>
          <w:bCs/>
          <w:szCs w:val="21"/>
        </w:rPr>
        <w:t>制定计划</w:t>
      </w:r>
      <w:r>
        <w:rPr>
          <w:rFonts w:ascii="Arial" w:hAnsi="Arial" w:eastAsia="宋体" w:cs="Arial"/>
          <w:bCs/>
          <w:szCs w:val="21"/>
        </w:rPr>
        <w:t>→</w:t>
      </w:r>
      <w:r>
        <w:rPr>
          <w:rFonts w:hint="eastAsia" w:ascii="Times New Roman" w:hAnsi="Times New Roman" w:eastAsia="宋体" w:cs="Times New Roman"/>
          <w:bCs/>
          <w:szCs w:val="21"/>
        </w:rPr>
        <w:t>开展调查</w:t>
      </w:r>
      <w:r>
        <w:rPr>
          <w:rFonts w:ascii="Arial" w:hAnsi="Arial" w:eastAsia="宋体" w:cs="Arial"/>
          <w:bCs/>
          <w:szCs w:val="21"/>
        </w:rPr>
        <w:t>→</w:t>
      </w:r>
      <w:r>
        <w:rPr>
          <w:rFonts w:hint="eastAsia" w:ascii="Times New Roman" w:hAnsi="Times New Roman" w:eastAsia="宋体" w:cs="Times New Roman"/>
          <w:bCs/>
          <w:szCs w:val="21"/>
        </w:rPr>
        <w:t>制定方案</w:t>
      </w:r>
      <w:r>
        <w:rPr>
          <w:rFonts w:ascii="Arial" w:hAnsi="Arial" w:eastAsia="宋体" w:cs="Arial"/>
          <w:bCs/>
          <w:szCs w:val="21"/>
        </w:rPr>
        <w:t>→</w:t>
      </w:r>
      <w:r>
        <w:rPr>
          <w:rFonts w:hint="eastAsia" w:ascii="Times New Roman" w:hAnsi="Times New Roman" w:eastAsia="宋体" w:cs="Times New Roman"/>
          <w:bCs/>
          <w:szCs w:val="21"/>
        </w:rPr>
        <w:t>样品获取</w:t>
      </w:r>
      <w:r>
        <w:rPr>
          <w:rFonts w:ascii="Arial" w:hAnsi="Arial" w:eastAsia="宋体" w:cs="Arial"/>
          <w:bCs/>
          <w:szCs w:val="21"/>
        </w:rPr>
        <w:t>→</w:t>
      </w:r>
      <w:r>
        <w:rPr>
          <w:rFonts w:hint="eastAsia" w:ascii="Times New Roman" w:hAnsi="Times New Roman" w:eastAsia="宋体" w:cs="Times New Roman"/>
          <w:bCs/>
          <w:szCs w:val="21"/>
        </w:rPr>
        <w:t>样品测试</w:t>
      </w:r>
      <w:r>
        <w:rPr>
          <w:rFonts w:ascii="Arial" w:hAnsi="Arial" w:eastAsia="宋体" w:cs="Arial"/>
          <w:bCs/>
          <w:szCs w:val="21"/>
        </w:rPr>
        <w:t>→</w:t>
      </w:r>
      <w:r>
        <w:rPr>
          <w:rFonts w:hint="eastAsia" w:ascii="Times New Roman" w:hAnsi="Times New Roman" w:eastAsia="宋体" w:cs="Times New Roman"/>
          <w:bCs/>
          <w:szCs w:val="21"/>
        </w:rPr>
        <w:t>资料审查</w:t>
      </w:r>
      <w:r>
        <w:rPr>
          <w:rFonts w:ascii="Arial" w:hAnsi="Arial" w:eastAsia="宋体" w:cs="Arial"/>
          <w:bCs/>
          <w:szCs w:val="21"/>
        </w:rPr>
        <w:t>→</w:t>
      </w:r>
      <w:r>
        <w:rPr>
          <w:rFonts w:hint="eastAsia" w:ascii="Times New Roman" w:hAnsi="Times New Roman" w:eastAsia="宋体" w:cs="Times New Roman"/>
          <w:bCs/>
          <w:szCs w:val="21"/>
        </w:rPr>
        <w:t>报告编写。</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43" w:name="_Toc121693335"/>
      <w:bookmarkStart w:id="44" w:name="_Toc2738"/>
      <w:bookmarkStart w:id="45" w:name="_Toc22872"/>
      <w:bookmarkStart w:id="46" w:name="_Toc12127"/>
      <w:bookmarkStart w:id="47" w:name="_Toc19594"/>
      <w:r>
        <w:rPr>
          <w:rFonts w:ascii="Times New Roman" w:hAnsi="Times New Roman" w:eastAsia="黑体" w:cs="Times New Roman"/>
          <w:szCs w:val="21"/>
        </w:rPr>
        <w:t>比对</w:t>
      </w:r>
      <w:r>
        <w:rPr>
          <w:rFonts w:hint="eastAsia" w:ascii="Times New Roman" w:hAnsi="Times New Roman" w:eastAsia="黑体" w:cs="Times New Roman"/>
          <w:szCs w:val="21"/>
        </w:rPr>
        <w:t>计划及调查</w:t>
      </w:r>
      <w:bookmarkEnd w:id="43"/>
      <w:bookmarkEnd w:id="44"/>
      <w:bookmarkEnd w:id="45"/>
      <w:bookmarkEnd w:id="46"/>
      <w:bookmarkEnd w:id="4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开展标准</w:t>
      </w:r>
      <w:r>
        <w:rPr>
          <w:rFonts w:hint="eastAsia" w:ascii="Times New Roman" w:hAnsi="Times New Roman" w:eastAsia="宋体" w:cs="Times New Roman"/>
          <w:szCs w:val="21"/>
        </w:rPr>
        <w:t>气体</w:t>
      </w:r>
      <w:r>
        <w:rPr>
          <w:rFonts w:ascii="Times New Roman" w:hAnsi="Times New Roman" w:eastAsia="宋体" w:cs="Times New Roman"/>
          <w:szCs w:val="21"/>
        </w:rPr>
        <w:t>的研制（生产）和使用情况调查，包括但不限于：品牌、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比对样品应涵盖全部或大部分品牌，力求全面掌握市售标准气体的质量。</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48" w:name="_Toc121693336"/>
      <w:bookmarkStart w:id="49" w:name="_Toc12358"/>
      <w:bookmarkStart w:id="50" w:name="_Toc6055"/>
      <w:bookmarkStart w:id="51" w:name="_Toc28356"/>
      <w:bookmarkStart w:id="52" w:name="_Toc7748"/>
      <w:r>
        <w:rPr>
          <w:rFonts w:hint="eastAsia" w:ascii="Times New Roman" w:hAnsi="Times New Roman" w:eastAsia="黑体" w:cs="Times New Roman"/>
        </w:rPr>
        <w:t>比对抽测实施方案</w:t>
      </w:r>
      <w:bookmarkEnd w:id="48"/>
      <w:bookmarkEnd w:id="49"/>
      <w:bookmarkEnd w:id="50"/>
      <w:bookmarkEnd w:id="51"/>
      <w:bookmarkEnd w:id="52"/>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53" w:name="_Toc121693337"/>
      <w:bookmarkStart w:id="54" w:name="_Toc15414"/>
      <w:bookmarkStart w:id="55" w:name="_Toc29611"/>
      <w:bookmarkStart w:id="56" w:name="_Toc6156"/>
      <w:bookmarkStart w:id="57" w:name="_Toc1420"/>
      <w:r>
        <w:rPr>
          <w:rFonts w:hint="eastAsia" w:ascii="Times New Roman" w:hAnsi="Times New Roman" w:eastAsia="黑体" w:cs="Times New Roman"/>
        </w:rPr>
        <w:t>6.1</w:t>
      </w:r>
      <w:r>
        <w:rPr>
          <w:rFonts w:ascii="Times New Roman" w:hAnsi="Times New Roman" w:eastAsia="黑体" w:cs="Times New Roman"/>
        </w:rPr>
        <w:t>比对样品清单及样品获取</w:t>
      </w:r>
      <w:bookmarkEnd w:id="53"/>
      <w:bookmarkEnd w:id="54"/>
      <w:bookmarkEnd w:id="55"/>
      <w:bookmarkEnd w:id="56"/>
      <w:bookmarkEnd w:id="57"/>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比对样品清单及样品获取参考《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w:t>
      </w:r>
      <w:r>
        <w:rPr>
          <w:rFonts w:ascii="Times New Roman" w:hAnsi="Times New Roman" w:eastAsia="宋体" w:cs="Times New Roman"/>
          <w:szCs w:val="21"/>
        </w:rPr>
        <w:t>4.4</w:t>
      </w:r>
      <w:r>
        <w:rPr>
          <w:rFonts w:hint="eastAsia" w:ascii="Times New Roman" w:hAnsi="Times New Roman" w:eastAsia="宋体" w:cs="Times New Roman"/>
          <w:szCs w:val="21"/>
        </w:rPr>
        <w:t>执行</w:t>
      </w:r>
      <w:r>
        <w:rPr>
          <w:rFonts w:ascii="Times New Roman" w:hAnsi="Times New Roman" w:eastAsia="宋体" w:cs="Times New Roman"/>
          <w:szCs w:val="21"/>
        </w:rPr>
        <w:t>。</w:t>
      </w:r>
      <w:r>
        <w:rPr>
          <w:rFonts w:hint="eastAsia" w:ascii="Times New Roman" w:hAnsi="Times New Roman" w:cs="Times New Roman"/>
        </w:rPr>
        <w:t>主导实验室自行或委托第三方实验室</w:t>
      </w:r>
      <w:r>
        <w:rPr>
          <w:rFonts w:ascii="Times New Roman" w:hAnsi="Times New Roman" w:cs="Times New Roman"/>
        </w:rPr>
        <w:t>通过</w:t>
      </w:r>
      <w:r>
        <w:rPr>
          <w:rFonts w:hint="eastAsia" w:ascii="Times New Roman" w:hAnsi="Times New Roman" w:cs="Times New Roman"/>
        </w:rPr>
        <w:t>采购或抽借的等方式收集制造商正式</w:t>
      </w:r>
      <w:r>
        <w:rPr>
          <w:rFonts w:ascii="Times New Roman" w:hAnsi="Times New Roman" w:cs="Times New Roman"/>
        </w:rPr>
        <w:t>对外发售的57种</w:t>
      </w:r>
      <w:r>
        <w:rPr>
          <w:rFonts w:hint="eastAsia" w:ascii="Times New Roman" w:hAnsi="Times New Roman" w:cs="Times New Roman"/>
        </w:rPr>
        <w:t>臭氧前体挥发性有机物</w:t>
      </w:r>
      <w:r>
        <w:rPr>
          <w:rFonts w:ascii="Times New Roman" w:hAnsi="Times New Roman" w:cs="Times New Roman"/>
        </w:rPr>
        <w:t>标准气体（包括</w:t>
      </w:r>
      <w:r>
        <w:rPr>
          <w:rFonts w:hint="eastAsia" w:ascii="Times New Roman" w:hAnsi="Times New Roman" w:cs="Times New Roman"/>
        </w:rPr>
        <w:t>标准气体</w:t>
      </w:r>
      <w:r>
        <w:rPr>
          <w:rFonts w:ascii="Times New Roman" w:hAnsi="Times New Roman" w:cs="Times New Roman"/>
        </w:rPr>
        <w:t>证书</w:t>
      </w:r>
      <w:r>
        <w:rPr>
          <w:rFonts w:hint="eastAsia" w:ascii="Times New Roman" w:hAnsi="Times New Roman" w:cs="Times New Roman"/>
        </w:rPr>
        <w:t>或使用说明书</w:t>
      </w:r>
      <w:r>
        <w:rPr>
          <w:rFonts w:ascii="Times New Roman" w:hAnsi="Times New Roman" w:cs="Times New Roman"/>
        </w:rPr>
        <w:t>）作为比对样品，</w:t>
      </w:r>
      <w:r>
        <w:rPr>
          <w:rFonts w:ascii="Times New Roman" w:hAnsi="Times New Roman" w:eastAsia="宋体" w:cs="Times New Roman"/>
          <w:szCs w:val="21"/>
        </w:rPr>
        <w:t>所收集的比对样品应在证书有效期内，为满足样品分析和复核的需求，气瓶压力应在 5 MPa以上。建议每个品牌收集 2 个不同批次样品。</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当专家实验室共同参与比对测试时，主导实验室宜将比对样品统一进行盲样编码后分批分发至各实验室，各实验室分析完后互换样品分析，最终使每个比对样品均被全部参与比对测试的实验室分析。</w:t>
      </w:r>
    </w:p>
    <w:p>
      <w:pPr>
        <w:pStyle w:val="23"/>
        <w:snapToGrid w:val="0"/>
        <w:spacing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气体时，主导实验室应对拟抽借的标准气体的封装状况、保存条件等进行核实，确保其保存条件满足标准气体证书要求。应抽借包装完整未经使用的标准气体（包括证书）作为比对样品。</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58" w:name="_Toc18112"/>
      <w:bookmarkStart w:id="59" w:name="_Toc7555"/>
      <w:bookmarkStart w:id="60" w:name="_Toc15343"/>
      <w:bookmarkStart w:id="61" w:name="_Toc11109"/>
      <w:bookmarkStart w:id="62" w:name="_Toc121693338"/>
      <w:r>
        <w:rPr>
          <w:rFonts w:hint="eastAsia" w:ascii="Times New Roman" w:hAnsi="Times New Roman" w:eastAsia="黑体" w:cs="Times New Roman"/>
        </w:rPr>
        <w:t>6.2</w:t>
      </w:r>
      <w:r>
        <w:rPr>
          <w:rFonts w:ascii="Times New Roman" w:hAnsi="Times New Roman" w:eastAsia="黑体" w:cs="Times New Roman"/>
        </w:rPr>
        <w:t>比对目标及内容</w:t>
      </w:r>
      <w:bookmarkEnd w:id="58"/>
      <w:bookmarkEnd w:id="59"/>
      <w:bookmarkEnd w:id="60"/>
      <w:bookmarkEnd w:id="61"/>
      <w:bookmarkEnd w:id="62"/>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主导实验室可依据本技术要求开展</w:t>
      </w:r>
      <w:r>
        <w:rPr>
          <w:rFonts w:ascii="Times New Roman" w:hAnsi="Times New Roman" w:cs="Times New Roman"/>
        </w:rPr>
        <w:t>57种</w:t>
      </w:r>
      <w:r>
        <w:rPr>
          <w:rFonts w:hint="eastAsia" w:ascii="Times New Roman" w:hAnsi="Times New Roman" w:cs="Times New Roman"/>
        </w:rPr>
        <w:t>臭氧前体挥发性有机物</w:t>
      </w:r>
      <w:r>
        <w:rPr>
          <w:rFonts w:ascii="Times New Roman" w:hAnsi="Times New Roman" w:cs="Times New Roman"/>
        </w:rPr>
        <w:t>（PAMS</w:t>
      </w:r>
      <w:r>
        <w:rPr>
          <w:rFonts w:hint="eastAsia" w:ascii="Times New Roman" w:hAnsi="Times New Roman" w:cs="Times New Roman"/>
        </w:rPr>
        <w:t>组分</w:t>
      </w:r>
      <w:r>
        <w:rPr>
          <w:rFonts w:ascii="Times New Roman" w:hAnsi="Times New Roman" w:cs="Times New Roman"/>
        </w:rPr>
        <w:t>）</w:t>
      </w:r>
      <w:r>
        <w:rPr>
          <w:rFonts w:hint="eastAsia" w:ascii="Times New Roman" w:hAnsi="Times New Roman" w:cs="Times New Roman"/>
        </w:rPr>
        <w:t>标准气体的</w:t>
      </w:r>
      <w:r>
        <w:rPr>
          <w:rFonts w:hint="eastAsia" w:ascii="Times New Roman" w:hAnsi="Times New Roman" w:eastAsia="宋体" w:cs="Times New Roman"/>
          <w:szCs w:val="21"/>
        </w:rPr>
        <w:t>量值准确性评价、量值稳定性评价或监测适用性评价。可选择一种或多种评价内容。</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szCs w:val="21"/>
        </w:rPr>
      </w:pPr>
      <w:bookmarkStart w:id="63" w:name="_Toc121693339"/>
      <w:bookmarkStart w:id="64" w:name="_Toc21952"/>
      <w:r>
        <w:rPr>
          <w:rFonts w:hint="eastAsia" w:ascii="Times New Roman" w:hAnsi="Times New Roman" w:eastAsia="黑体" w:cs="Times New Roman"/>
        </w:rPr>
        <w:t>6.3分析方法</w:t>
      </w:r>
      <w:bookmarkEnd w:id="37"/>
      <w:bookmarkEnd w:id="63"/>
      <w:bookmarkEnd w:id="64"/>
    </w:p>
    <w:p>
      <w:pPr>
        <w:adjustRightInd w:val="0"/>
        <w:snapToGrid w:val="0"/>
        <w:spacing w:before="312" w:beforeLines="100" w:after="312" w:afterLines="100"/>
        <w:outlineLvl w:val="2"/>
        <w:rPr>
          <w:rFonts w:ascii="Times New Roman" w:hAnsi="Times New Roman" w:eastAsia="黑体" w:cs="Times New Roman"/>
        </w:rPr>
      </w:pPr>
      <w:bookmarkStart w:id="65" w:name="_Toc31913"/>
      <w:bookmarkStart w:id="66" w:name="_Toc29771"/>
      <w:bookmarkStart w:id="67" w:name="_Toc25852"/>
      <w:bookmarkStart w:id="68" w:name="_Toc17112"/>
      <w:bookmarkStart w:id="69" w:name="_Toc121693340"/>
      <w:r>
        <w:rPr>
          <w:rFonts w:hint="eastAsia" w:ascii="Times New Roman" w:hAnsi="Times New Roman" w:eastAsia="黑体" w:cs="Times New Roman"/>
        </w:rPr>
        <w:t>6.3.1方法选择</w:t>
      </w:r>
      <w:bookmarkEnd w:id="65"/>
      <w:bookmarkEnd w:id="66"/>
      <w:bookmarkEnd w:id="67"/>
      <w:bookmarkEnd w:id="68"/>
      <w:bookmarkEnd w:id="6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 57 种</w:t>
      </w:r>
      <w:r>
        <w:rPr>
          <w:rFonts w:hint="eastAsia" w:ascii="Times New Roman" w:hAnsi="Times New Roman" w:eastAsia="宋体" w:cs="Times New Roman"/>
          <w:szCs w:val="21"/>
        </w:rPr>
        <w:t>臭氧前体挥发性有机物</w:t>
      </w:r>
      <w:r>
        <w:rPr>
          <w:rFonts w:ascii="Times New Roman" w:hAnsi="Times New Roman" w:eastAsia="宋体" w:cs="Times New Roman"/>
          <w:kern w:val="0"/>
          <w:szCs w:val="21"/>
        </w:rPr>
        <w:t>（PAMS组分）</w:t>
      </w:r>
      <w:r>
        <w:rPr>
          <w:rFonts w:ascii="Times New Roman" w:hAnsi="Times New Roman" w:eastAsia="宋体" w:cs="Times New Roman"/>
          <w:szCs w:val="21"/>
        </w:rPr>
        <w:t>标准气体</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，并尽可能减少样品稀释和浓缩等前处理环节，</w:t>
      </w:r>
      <w:r>
        <w:rPr>
          <w:rFonts w:ascii="Times New Roman" w:hAnsi="Times New Roman" w:eastAsia="宋体" w:cs="Times New Roman"/>
          <w:szCs w:val="21"/>
        </w:rPr>
        <w:t>以最大程度降低分析系统引入的测量不确定度。</w:t>
      </w:r>
      <w:r>
        <w:rPr>
          <w:rFonts w:hint="eastAsia" w:ascii="Times New Roman" w:hAnsi="Times New Roman" w:eastAsia="宋体" w:cs="Times New Roman"/>
          <w:szCs w:val="21"/>
        </w:rPr>
        <w:t>实验室可自行选择分析方法，也可参考附录B，在比对前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当需要选择专家实验室一同完成比对工作时，还应提前评估专家实验室的能力。测试前，应对主导实验室和专家实验室测试结果进行等效性评估验证。</w:t>
      </w:r>
    </w:p>
    <w:p>
      <w:pPr>
        <w:adjustRightInd w:val="0"/>
        <w:snapToGrid w:val="0"/>
        <w:spacing w:before="312" w:beforeLines="100" w:after="312" w:afterLines="100"/>
        <w:outlineLvl w:val="2"/>
        <w:rPr>
          <w:rFonts w:ascii="Times New Roman" w:hAnsi="Times New Roman" w:eastAsia="黑体" w:cs="Times New Roman"/>
        </w:rPr>
      </w:pPr>
      <w:bookmarkStart w:id="70" w:name="_Toc5506"/>
      <w:bookmarkStart w:id="71" w:name="_Toc22472"/>
      <w:bookmarkStart w:id="72" w:name="_Toc121693341"/>
      <w:bookmarkStart w:id="73" w:name="_Toc5339"/>
      <w:bookmarkStart w:id="74" w:name="_Toc20658"/>
      <w:r>
        <w:rPr>
          <w:rFonts w:hint="eastAsia" w:ascii="Times New Roman" w:hAnsi="Times New Roman" w:eastAsia="黑体" w:cs="Times New Roman"/>
        </w:rPr>
        <w:t>6.3.2方法性能</w:t>
      </w:r>
      <w:bookmarkEnd w:id="70"/>
      <w:bookmarkEnd w:id="71"/>
      <w:bookmarkEnd w:id="72"/>
      <w:bookmarkEnd w:id="73"/>
      <w:bookmarkEnd w:id="7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w:t>
      </w:r>
      <w:r>
        <w:rPr>
          <w:rFonts w:hint="eastAsia" w:ascii="Times New Roman" w:hAnsi="Times New Roman" w:eastAsia="宋体" w:cs="Times New Roman"/>
          <w:szCs w:val="21"/>
        </w:rPr>
        <w:t>方法性能</w:t>
      </w:r>
      <w:r>
        <w:rPr>
          <w:rFonts w:ascii="Times New Roman" w:hAnsi="Times New Roman" w:eastAsia="宋体" w:cs="Times New Roman"/>
          <w:szCs w:val="21"/>
        </w:rPr>
        <w:t>评估，包括测量系统</w:t>
      </w:r>
      <w:r>
        <w:rPr>
          <w:rFonts w:hint="eastAsia" w:ascii="Times New Roman" w:hAnsi="Times New Roman" w:eastAsia="宋体" w:cs="Times New Roman"/>
          <w:szCs w:val="21"/>
        </w:rPr>
        <w:t>空白检验、测量系统</w:t>
      </w:r>
      <w:r>
        <w:rPr>
          <w:rFonts w:ascii="Times New Roman" w:hAnsi="Times New Roman" w:eastAsia="宋体" w:cs="Times New Roman"/>
          <w:szCs w:val="21"/>
        </w:rPr>
        <w:t>精密度</w:t>
      </w:r>
      <w:r>
        <w:rPr>
          <w:rFonts w:hint="eastAsia" w:ascii="Times New Roman" w:hAnsi="Times New Roman" w:eastAsia="宋体" w:cs="Times New Roman"/>
          <w:szCs w:val="21"/>
        </w:rPr>
        <w:t>检验。</w:t>
      </w:r>
    </w:p>
    <w:p>
      <w:pPr>
        <w:adjustRightInd w:val="0"/>
        <w:snapToGrid w:val="0"/>
        <w:spacing w:before="312" w:beforeLines="100" w:after="312" w:afterLines="100"/>
        <w:outlineLvl w:val="3"/>
        <w:rPr>
          <w:rFonts w:ascii="Times New Roman" w:hAnsi="Times New Roman" w:eastAsia="黑体" w:cs="Times New Roman"/>
        </w:rPr>
      </w:pPr>
      <w:bookmarkStart w:id="75" w:name="_Toc26538"/>
      <w:bookmarkStart w:id="76" w:name="_Toc676"/>
      <w:bookmarkStart w:id="77" w:name="_Toc118815067"/>
      <w:r>
        <w:rPr>
          <w:rFonts w:hint="eastAsia" w:ascii="Times New Roman" w:hAnsi="Times New Roman" w:eastAsia="黑体" w:cs="Times New Roman"/>
        </w:rPr>
        <w:t>6.3.2.1测量系统空白检验</w:t>
      </w:r>
      <w:bookmarkEnd w:id="75"/>
      <w:bookmarkEnd w:id="76"/>
      <w:bookmarkEnd w:id="7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开展量值比对前，应进行系统空白测试，以氮气代替样品，按照与样品测定相同的步骤进行测定，各目标组分均应未检出。</w:t>
      </w:r>
    </w:p>
    <w:p>
      <w:pPr>
        <w:adjustRightInd w:val="0"/>
        <w:snapToGrid w:val="0"/>
        <w:spacing w:before="312" w:beforeLines="100" w:after="312" w:afterLines="100"/>
        <w:outlineLvl w:val="3"/>
        <w:rPr>
          <w:rFonts w:ascii="Times New Roman" w:hAnsi="Times New Roman" w:eastAsia="黑体" w:cs="Times New Roman"/>
        </w:rPr>
      </w:pPr>
      <w:bookmarkStart w:id="78" w:name="_Toc118815068"/>
      <w:bookmarkStart w:id="79" w:name="_Toc22408"/>
      <w:bookmarkStart w:id="80" w:name="_Toc22501"/>
      <w:r>
        <w:rPr>
          <w:rFonts w:hint="eastAsia" w:ascii="Times New Roman" w:hAnsi="Times New Roman" w:eastAsia="黑体" w:cs="Times New Roman"/>
        </w:rPr>
        <w:t>6.3.2.2测量系统精密度检验</w:t>
      </w:r>
      <w:bookmarkEnd w:id="78"/>
      <w:bookmarkEnd w:id="79"/>
      <w:bookmarkEnd w:id="8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开展量值比对前，应进行系统稳定性测试，连续 3 天每天通入 3 次参考标</w:t>
      </w:r>
      <w:r>
        <w:rPr>
          <w:rFonts w:hint="eastAsia" w:ascii="Times New Roman" w:hAnsi="Times New Roman" w:eastAsia="宋体" w:cs="Times New Roman"/>
          <w:szCs w:val="21"/>
        </w:rPr>
        <w:t>准气体</w:t>
      </w:r>
      <w:r>
        <w:rPr>
          <w:rFonts w:ascii="Times New Roman" w:hAnsi="Times New Roman" w:eastAsia="宋体" w:cs="Times New Roman"/>
          <w:szCs w:val="21"/>
        </w:rPr>
        <w:t>，</w:t>
      </w:r>
      <w:r>
        <w:rPr>
          <w:rFonts w:hint="eastAsia" w:ascii="Times New Roman" w:hAnsi="Times New Roman" w:eastAsia="宋体" w:cs="Times New Roman"/>
          <w:szCs w:val="21"/>
        </w:rPr>
        <w:t>每天3次参考标准气体仪器响应值的RSD为日内</w:t>
      </w:r>
      <w:r>
        <w:rPr>
          <w:rFonts w:ascii="Times New Roman" w:hAnsi="Times New Roman" w:eastAsia="宋体" w:cs="Times New Roman"/>
          <w:szCs w:val="21"/>
        </w:rPr>
        <w:t>相对标准偏差</w:t>
      </w:r>
      <w:r>
        <w:rPr>
          <w:rFonts w:hint="eastAsia" w:ascii="Times New Roman" w:hAnsi="Times New Roman" w:eastAsia="宋体" w:cs="Times New Roman"/>
          <w:szCs w:val="21"/>
        </w:rPr>
        <w:t>，3天9次参考标气仪器响应值的RSD为日间相对标准偏差，</w:t>
      </w:r>
      <w:r>
        <w:rPr>
          <w:rFonts w:ascii="Times New Roman" w:hAnsi="Times New Roman" w:eastAsia="宋体" w:cs="Times New Roman"/>
          <w:szCs w:val="21"/>
        </w:rPr>
        <w:t>C2</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C3、十一烷和十二烷仪器响应值</w:t>
      </w:r>
      <w:r>
        <w:rPr>
          <w:rFonts w:hint="eastAsia" w:ascii="Times New Roman" w:hAnsi="Times New Roman" w:eastAsia="宋体" w:cs="Times New Roman"/>
          <w:szCs w:val="21"/>
        </w:rPr>
        <w:t>的</w:t>
      </w:r>
      <w:r>
        <w:rPr>
          <w:rFonts w:ascii="Times New Roman" w:hAnsi="Times New Roman" w:eastAsia="宋体" w:cs="Times New Roman"/>
          <w:szCs w:val="21"/>
        </w:rPr>
        <w:t>日内和日间相对标准偏差均应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2%，其余</w:t>
      </w:r>
      <w:r>
        <w:rPr>
          <w:rFonts w:hint="eastAsia" w:ascii="Times New Roman" w:hAnsi="Times New Roman" w:eastAsia="宋体" w:cs="Times New Roman"/>
          <w:szCs w:val="21"/>
        </w:rPr>
        <w:t>组分</w:t>
      </w:r>
      <w:r>
        <w:rPr>
          <w:rFonts w:ascii="Times New Roman" w:hAnsi="Times New Roman" w:eastAsia="宋体" w:cs="Times New Roman"/>
          <w:szCs w:val="21"/>
        </w:rPr>
        <w:t>仪器响应值的日内和日间相对标准偏差均应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1%。</w:t>
      </w:r>
    </w:p>
    <w:p>
      <w:pPr>
        <w:adjustRightInd w:val="0"/>
        <w:snapToGrid w:val="0"/>
        <w:spacing w:before="312" w:beforeLines="100" w:after="312" w:afterLines="100"/>
        <w:outlineLvl w:val="2"/>
        <w:rPr>
          <w:rFonts w:ascii="Times New Roman" w:hAnsi="Times New Roman" w:eastAsia="黑体" w:cs="Times New Roman"/>
        </w:rPr>
      </w:pPr>
      <w:bookmarkStart w:id="81" w:name="_Toc118815069"/>
      <w:bookmarkStart w:id="82" w:name="_Toc23936"/>
      <w:bookmarkStart w:id="83" w:name="_Toc11555"/>
      <w:bookmarkStart w:id="84" w:name="_Toc13224"/>
      <w:bookmarkStart w:id="85" w:name="_Toc121693342"/>
      <w:bookmarkStart w:id="86" w:name="_Toc6163"/>
      <w:r>
        <w:rPr>
          <w:rFonts w:hint="eastAsia" w:ascii="Times New Roman" w:hAnsi="Times New Roman" w:eastAsia="黑体" w:cs="Times New Roman"/>
        </w:rPr>
        <w:t>6.3.3参考标准的选择</w:t>
      </w:r>
      <w:bookmarkEnd w:id="81"/>
      <w:bookmarkEnd w:id="82"/>
      <w:bookmarkEnd w:id="83"/>
      <w:bookmarkEnd w:id="84"/>
      <w:bookmarkEnd w:id="85"/>
      <w:bookmarkEnd w:id="8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量值比对</w:t>
      </w:r>
      <w:r>
        <w:rPr>
          <w:rFonts w:ascii="Times New Roman" w:hAnsi="Times New Roman" w:eastAsia="宋体" w:cs="Times New Roman"/>
          <w:szCs w:val="21"/>
        </w:rPr>
        <w:t>一般选用国家市场监督管理总局批准的国家一级有证标准物质（GBW）</w:t>
      </w:r>
      <w:r>
        <w:rPr>
          <w:rFonts w:hint="eastAsia" w:ascii="Times New Roman" w:hAnsi="Times New Roman" w:eastAsia="宋体" w:cs="Times New Roman"/>
          <w:szCs w:val="21"/>
        </w:rPr>
        <w:t>或国家环境标准样品（GSB）</w:t>
      </w:r>
      <w:r>
        <w:rPr>
          <w:rFonts w:ascii="Times New Roman" w:hAnsi="Times New Roman" w:eastAsia="宋体" w:cs="Times New Roman"/>
          <w:szCs w:val="21"/>
        </w:rPr>
        <w:t>作为参考标准。为减小测量误差，参考标准的</w:t>
      </w:r>
      <w:r>
        <w:rPr>
          <w:rFonts w:hint="eastAsia" w:ascii="Times New Roman" w:hAnsi="Times New Roman" w:eastAsia="宋体" w:cs="Times New Roman"/>
          <w:szCs w:val="21"/>
        </w:rPr>
        <w:t>量值水平宜</w:t>
      </w:r>
      <w:r>
        <w:rPr>
          <w:rFonts w:ascii="Times New Roman" w:hAnsi="Times New Roman" w:eastAsia="宋体" w:cs="Times New Roman"/>
          <w:szCs w:val="21"/>
        </w:rPr>
        <w:t>与比对样品的</w:t>
      </w:r>
      <w:r>
        <w:rPr>
          <w:rFonts w:hint="eastAsia" w:ascii="Times New Roman" w:hAnsi="Times New Roman" w:eastAsia="宋体" w:cs="Times New Roman"/>
          <w:szCs w:val="21"/>
        </w:rPr>
        <w:t>量值水平</w:t>
      </w:r>
      <w:r>
        <w:rPr>
          <w:rFonts w:ascii="Times New Roman" w:hAnsi="Times New Roman" w:eastAsia="宋体" w:cs="Times New Roman"/>
          <w:szCs w:val="21"/>
        </w:rPr>
        <w:t>相近，这样可以使用单点校准法定量。</w:t>
      </w:r>
      <w:r>
        <w:rPr>
          <w:rFonts w:hint="eastAsia" w:ascii="Times New Roman" w:hAnsi="Times New Roman" w:eastAsia="宋体" w:cs="Times New Roman"/>
          <w:szCs w:val="21"/>
        </w:rPr>
        <w:t>对于 57 种臭氧前体挥发性有机物标准气体，为满足方法性能评估和样品测试用量需求，建议气体容量为常压下180 L以上。</w:t>
      </w:r>
    </w:p>
    <w:p>
      <w:pPr>
        <w:adjustRightInd w:val="0"/>
        <w:snapToGrid w:val="0"/>
        <w:spacing w:before="312" w:beforeLines="100" w:after="312" w:afterLines="100"/>
        <w:outlineLvl w:val="2"/>
        <w:rPr>
          <w:rFonts w:ascii="Times New Roman" w:hAnsi="Times New Roman" w:eastAsia="黑体" w:cs="Times New Roman"/>
        </w:rPr>
      </w:pPr>
      <w:bookmarkStart w:id="87" w:name="_Toc10430"/>
      <w:bookmarkStart w:id="88" w:name="_Toc2813"/>
      <w:bookmarkStart w:id="89" w:name="_Toc121693343"/>
      <w:bookmarkStart w:id="90" w:name="_Toc316"/>
      <w:bookmarkStart w:id="91" w:name="_Toc10967"/>
      <w:r>
        <w:rPr>
          <w:rFonts w:hint="eastAsia" w:ascii="Times New Roman" w:hAnsi="Times New Roman" w:eastAsia="黑体" w:cs="Times New Roman"/>
        </w:rPr>
        <w:t>6.3.4校准方式</w:t>
      </w:r>
      <w:bookmarkEnd w:id="87"/>
      <w:bookmarkEnd w:id="88"/>
      <w:bookmarkEnd w:id="89"/>
      <w:bookmarkEnd w:id="90"/>
      <w:bookmarkEnd w:id="9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w:t>
      </w:r>
      <w:r>
        <w:rPr>
          <w:rFonts w:ascii="Times New Roman" w:hAnsi="Times New Roman" w:eastAsia="宋体" w:cs="Times New Roman"/>
          <w:szCs w:val="21"/>
        </w:rPr>
        <w:t>比对样品</w:t>
      </w:r>
      <w:r>
        <w:rPr>
          <w:rFonts w:hint="eastAsia" w:ascii="Times New Roman" w:hAnsi="Times New Roman" w:eastAsia="宋体" w:cs="Times New Roman"/>
          <w:szCs w:val="21"/>
        </w:rPr>
        <w:t>与参考标准量值水平相近，比对样品可</w:t>
      </w:r>
      <w:r>
        <w:rPr>
          <w:rFonts w:ascii="Times New Roman" w:hAnsi="Times New Roman" w:eastAsia="宋体" w:cs="Times New Roman"/>
          <w:szCs w:val="21"/>
        </w:rPr>
        <w:t>不经浓缩</w:t>
      </w:r>
      <w:r>
        <w:rPr>
          <w:rFonts w:hint="eastAsia" w:ascii="Times New Roman" w:hAnsi="Times New Roman" w:eastAsia="宋体" w:cs="Times New Roman"/>
          <w:szCs w:val="21"/>
        </w:rPr>
        <w:t>或稀释</w:t>
      </w:r>
      <w:r>
        <w:rPr>
          <w:rFonts w:ascii="Times New Roman" w:hAnsi="Times New Roman" w:eastAsia="宋体" w:cs="Times New Roman"/>
          <w:szCs w:val="21"/>
        </w:rPr>
        <w:t>，连接减压阀后通过定量环直接</w:t>
      </w:r>
      <w:r>
        <w:rPr>
          <w:rFonts w:hint="eastAsia" w:ascii="Times New Roman" w:hAnsi="Times New Roman" w:eastAsia="宋体" w:cs="Times New Roman"/>
          <w:szCs w:val="21"/>
        </w:rPr>
        <w:t>分析</w:t>
      </w:r>
      <w:r>
        <w:rPr>
          <w:rFonts w:ascii="Times New Roman" w:hAnsi="Times New Roman" w:eastAsia="宋体" w:cs="Times New Roman"/>
          <w:szCs w:val="21"/>
        </w:rPr>
        <w:t>，并以参考标准</w:t>
      </w:r>
      <w:r>
        <w:rPr>
          <w:rFonts w:hint="eastAsia" w:ascii="Times New Roman" w:hAnsi="Times New Roman" w:eastAsia="宋体" w:cs="Times New Roman"/>
          <w:szCs w:val="21"/>
        </w:rPr>
        <w:t>高频</w:t>
      </w:r>
      <w:r>
        <w:rPr>
          <w:rFonts w:ascii="Times New Roman" w:hAnsi="Times New Roman" w:eastAsia="宋体" w:cs="Times New Roman"/>
          <w:szCs w:val="21"/>
        </w:rPr>
        <w:t>单点校准</w:t>
      </w:r>
      <w:r>
        <w:rPr>
          <w:rFonts w:hint="eastAsia" w:ascii="Times New Roman" w:hAnsi="Times New Roman" w:eastAsia="宋体" w:cs="Times New Roman"/>
          <w:szCs w:val="21"/>
        </w:rPr>
        <w:t>的</w:t>
      </w:r>
      <w:r>
        <w:rPr>
          <w:rFonts w:ascii="Times New Roman" w:hAnsi="Times New Roman" w:eastAsia="宋体" w:cs="Times New Roman"/>
          <w:szCs w:val="21"/>
        </w:rPr>
        <w:t>方式进行定量。</w:t>
      </w:r>
      <w:r>
        <w:rPr>
          <w:rFonts w:hint="eastAsia" w:ascii="Times New Roman" w:hAnsi="Times New Roman" w:eastAsia="宋体" w:cs="Times New Roman"/>
          <w:szCs w:val="21"/>
        </w:rPr>
        <w:t>如</w:t>
      </w:r>
      <w:r>
        <w:rPr>
          <w:rFonts w:ascii="Times New Roman" w:hAnsi="Times New Roman" w:eastAsia="宋体" w:cs="Times New Roman"/>
          <w:szCs w:val="21"/>
        </w:rPr>
        <w:t>比对样品</w:t>
      </w:r>
      <w:r>
        <w:rPr>
          <w:rFonts w:hint="eastAsia" w:ascii="Times New Roman" w:hAnsi="Times New Roman" w:eastAsia="宋体" w:cs="Times New Roman"/>
          <w:szCs w:val="21"/>
        </w:rPr>
        <w:t>与参考标准量值水平不同，</w:t>
      </w:r>
      <w:r>
        <w:rPr>
          <w:rFonts w:ascii="Times New Roman" w:hAnsi="Times New Roman" w:eastAsia="宋体" w:cs="Times New Roman"/>
          <w:szCs w:val="21"/>
        </w:rPr>
        <w:t>应通过稀释</w:t>
      </w:r>
      <w:r>
        <w:rPr>
          <w:rFonts w:hint="eastAsia" w:ascii="Times New Roman" w:hAnsi="Times New Roman" w:eastAsia="宋体" w:cs="Times New Roman"/>
          <w:szCs w:val="21"/>
        </w:rPr>
        <w:t>或浓缩</w:t>
      </w:r>
      <w:r>
        <w:rPr>
          <w:rFonts w:ascii="Times New Roman" w:hAnsi="Times New Roman" w:eastAsia="宋体" w:cs="Times New Roman"/>
          <w:szCs w:val="21"/>
        </w:rPr>
        <w:t>等方式使其量值水平相近，</w:t>
      </w:r>
      <w:r>
        <w:rPr>
          <w:rFonts w:hint="eastAsia" w:ascii="Times New Roman" w:hAnsi="Times New Roman" w:eastAsia="宋体" w:cs="Times New Roman"/>
          <w:szCs w:val="21"/>
        </w:rPr>
        <w:t>然后进行高频单点校准。</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高频单点校准：</w:t>
      </w:r>
      <w:r>
        <w:rPr>
          <w:rFonts w:ascii="Times New Roman" w:hAnsi="Times New Roman" w:eastAsia="宋体" w:cs="Times New Roman"/>
          <w:szCs w:val="21"/>
        </w:rPr>
        <w:t>比对测试期间，参考标准与比对样品交替分析，即S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 S</w:t>
      </w:r>
      <w:r>
        <w:rPr>
          <w:rFonts w:ascii="Times New Roman" w:hAnsi="Times New Roman" w:eastAsia="宋体" w:cs="Times New Roman"/>
          <w:szCs w:val="21"/>
        </w:rPr>
        <w:t>（S为参考标准，T为比对样品），比对样品各目标组分的</w:t>
      </w:r>
      <w:r>
        <w:rPr>
          <w:rFonts w:hint="eastAsia" w:ascii="Times New Roman" w:hAnsi="Times New Roman" w:eastAsia="宋体" w:cs="Times New Roman"/>
          <w:szCs w:val="21"/>
        </w:rPr>
        <w:t>比对参考值</w:t>
      </w:r>
      <w:r>
        <w:rPr>
          <w:rFonts w:ascii="Times New Roman" w:hAnsi="Times New Roman" w:eastAsia="宋体" w:cs="Times New Roman"/>
          <w:szCs w:val="21"/>
        </w:rPr>
        <w:t>参照式</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计算，每个比对样品至少分析</w:t>
      </w:r>
      <w:r>
        <w:rPr>
          <w:rFonts w:hint="eastAsia" w:ascii="Times New Roman" w:hAnsi="Times New Roman" w:eastAsia="宋体" w:cs="Times New Roman"/>
          <w:szCs w:val="21"/>
        </w:rPr>
        <w:t xml:space="preserve"> 3 </w:t>
      </w:r>
      <w:r>
        <w:rPr>
          <w:rFonts w:ascii="Times New Roman" w:hAnsi="Times New Roman" w:eastAsia="宋体" w:cs="Times New Roman"/>
          <w:szCs w:val="21"/>
        </w:rPr>
        <w:t>次，取平均值进行评价。其中间二甲苯和对二甲苯色谱共流出，以两者加和</w:t>
      </w:r>
      <w:r>
        <w:rPr>
          <w:rFonts w:hint="eastAsia" w:ascii="Times New Roman" w:hAnsi="Times New Roman" w:eastAsia="宋体" w:cs="Times New Roman"/>
          <w:szCs w:val="21"/>
        </w:rPr>
        <w:t>结果</w:t>
      </w:r>
      <w:r>
        <w:rPr>
          <w:rFonts w:ascii="Times New Roman" w:hAnsi="Times New Roman" w:eastAsia="宋体" w:cs="Times New Roman"/>
          <w:szCs w:val="21"/>
        </w:rPr>
        <w:t>评价。</w:t>
      </w:r>
    </w:p>
    <w:p>
      <w:pPr>
        <w:spacing w:line="360" w:lineRule="exact"/>
        <w:ind w:firstLine="840" w:firstLineChars="400"/>
        <w:jc w:val="right"/>
        <w:rPr>
          <w:rFonts w:ascii="Times New Roman" w:hAnsi="Times New Roman" w:eastAsia="宋体" w:cs="Times New Roman"/>
          <w:szCs w:val="21"/>
        </w:rPr>
      </w:pPr>
      <w:r>
        <w:rPr>
          <w:rFonts w:ascii="Times New Roman" w:hAnsi="Times New Roman" w:eastAsia="宋体" w:cs="Times New Roman"/>
          <w:szCs w:val="21"/>
        </w:rPr>
        <w:pict>
          <v:shape id="_x0000_s1032" o:spid="_x0000_s1032" o:spt="75" type="#_x0000_t75" style="position:absolute;left:0pt;margin-left:138pt;margin-top:3pt;height:31.2pt;width:109.0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0" o:title=""/>
            <o:lock v:ext="edit" aspectratio="t"/>
            <w10:wrap type="square"/>
          </v:shape>
          <o:OLEObject Type="Embed" ProgID="Equation.3" ShapeID="_x0000_s1032" DrawAspect="Content" ObjectID="_1468075725" r:id="rId9">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（1）</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lang w:val="nb-NO"/>
        </w:rPr>
        <w:t>——</w:t>
      </w:r>
      <w:r>
        <w:rPr>
          <w:rFonts w:ascii="Times New Roman" w:hAnsi="Times New Roman" w:eastAsia="宋体" w:cs="Times New Roman"/>
          <w:szCs w:val="21"/>
        </w:rPr>
        <w:t>比对样品的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r>
        <w:rPr>
          <w:rFonts w:ascii="Times New Roman" w:hAnsi="Times New Roman" w:eastAsia="宋体" w:cs="Times New Roman"/>
          <w:szCs w:val="21"/>
          <w:lang w:val="nb-NO"/>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stan</w:t>
      </w:r>
      <w:r>
        <w:rPr>
          <w:rFonts w:ascii="Times New Roman" w:hAnsi="Times New Roman" w:eastAsia="宋体" w:cs="Times New Roman"/>
          <w:szCs w:val="21"/>
        </w:rPr>
        <w:t>——参考标准的标称</w:t>
      </w:r>
      <w:r>
        <w:rPr>
          <w:rFonts w:hint="eastAsia" w:ascii="Times New Roman" w:hAnsi="Times New Roman" w:eastAsia="宋体" w:cs="Times New Roman"/>
          <w:szCs w:val="21"/>
        </w:rPr>
        <w:t>值</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rPr>
        <w:t>´</w:t>
      </w:r>
      <w:r>
        <w:rPr>
          <w:rFonts w:ascii="Times New Roman" w:hAnsi="Times New Roman" w:eastAsia="宋体" w:cs="Times New Roman"/>
          <w:szCs w:val="21"/>
          <w:vertAlign w:val="subscript"/>
        </w:rPr>
        <w:t>stan</w:t>
      </w:r>
      <w:r>
        <w:rPr>
          <w:rFonts w:ascii="Times New Roman" w:hAnsi="Times New Roman" w:eastAsia="宋体" w:cs="Times New Roman"/>
          <w:szCs w:val="21"/>
        </w:rPr>
        <w:t>——比对样品相邻两个参考标准的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92" w:name="_Toc121693344"/>
      <w:bookmarkStart w:id="93" w:name="_Toc22021"/>
      <w:bookmarkStart w:id="94" w:name="_Toc5729"/>
      <w:bookmarkStart w:id="95" w:name="_Toc32268"/>
      <w:bookmarkStart w:id="96" w:name="_Toc27988"/>
      <w:r>
        <w:rPr>
          <w:rFonts w:hint="eastAsia" w:ascii="Times New Roman" w:hAnsi="Times New Roman" w:eastAsia="黑体" w:cs="Times New Roman"/>
        </w:rPr>
        <w:t>6.3.5测量结果等效性评估</w:t>
      </w:r>
      <w:bookmarkEnd w:id="92"/>
      <w:bookmarkEnd w:id="93"/>
      <w:bookmarkEnd w:id="94"/>
      <w:bookmarkEnd w:id="95"/>
      <w:bookmarkEnd w:id="96"/>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实验室一同完成比对工作时，</w:t>
      </w:r>
      <w:r>
        <w:rPr>
          <w:rFonts w:hint="eastAsia" w:ascii="Times New Roman" w:hAnsi="Times New Roman" w:eastAsia="宋体" w:cs="Times New Roman"/>
          <w:szCs w:val="21"/>
        </w:rPr>
        <w:t>主导实验室与专家实验室测试结果的等效性评估可参照下列方法执行</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实验室可以使用自行研制的标准气体作为各自的比对参考标准开展等效性评估，也可以使用同一制造商研制的两个标准气体作为各自的比对参考标准开展等效性评估。</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在开展量值比对前，实验室对各自使用的参考标准进行等效性评估。参照</w:t>
      </w:r>
      <w:r>
        <w:rPr>
          <w:rFonts w:ascii="Times New Roman" w:hAnsi="Times New Roman" w:eastAsia="宋体" w:cs="Times New Roman"/>
          <w:szCs w:val="21"/>
        </w:rPr>
        <w:t>JJF 1117.1</w:t>
      </w:r>
      <w:r>
        <w:rPr>
          <w:rFonts w:hint="eastAsia" w:ascii="Times New Roman" w:hAnsi="Times New Roman" w:eastAsia="宋体" w:cs="Times New Roman"/>
          <w:szCs w:val="21"/>
        </w:rPr>
        <w:t xml:space="preserve">和JJF 1854，当|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）（即|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 /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）≤1，</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2）时，可认为实验室的参考标准</w:t>
      </w:r>
      <w:r>
        <w:rPr>
          <w:rFonts w:ascii="Times New Roman" w:hAnsi="Times New Roman" w:eastAsia="宋体" w:cs="Times New Roman"/>
          <w:szCs w:val="21"/>
        </w:rPr>
        <w:t>量值一致，可各自开展量值比对工作。</w:t>
      </w:r>
      <w:r>
        <w:rPr>
          <w:rFonts w:hint="eastAsia" w:ascii="Times New Roman" w:hAnsi="Times New Roman" w:eastAsia="宋体" w:cs="Times New Roman"/>
          <w:szCs w:val="21"/>
        </w:rPr>
        <w:t>评估过程详见附录C。</w:t>
      </w:r>
    </w:p>
    <w:p>
      <w:pPr>
        <w:numPr>
          <w:ilvl w:val="255"/>
          <w:numId w:val="0"/>
        </w:numPr>
        <w:adjustRightInd w:val="0"/>
        <w:snapToGrid w:val="0"/>
        <w:spacing w:before="312" w:beforeLines="100" w:after="312" w:afterLines="100" w:line="360" w:lineRule="exact"/>
        <w:outlineLvl w:val="1"/>
        <w:rPr>
          <w:rFonts w:ascii="Times New Roman" w:hAnsi="Times New Roman" w:eastAsia="黑体" w:cs="Times New Roman"/>
        </w:rPr>
      </w:pPr>
      <w:bookmarkStart w:id="97" w:name="_Toc17706"/>
      <w:bookmarkStart w:id="98" w:name="_Toc5875"/>
      <w:bookmarkStart w:id="99" w:name="_Toc121693345"/>
      <w:bookmarkStart w:id="100" w:name="_Toc14548"/>
      <w:bookmarkStart w:id="101" w:name="_Toc30617"/>
      <w:r>
        <w:rPr>
          <w:rFonts w:hint="eastAsia" w:ascii="Times New Roman" w:hAnsi="Times New Roman" w:eastAsia="黑体" w:cs="Times New Roman"/>
        </w:rPr>
        <w:t>6.4样品测试</w:t>
      </w:r>
      <w:bookmarkEnd w:id="97"/>
      <w:bookmarkEnd w:id="98"/>
      <w:bookmarkEnd w:id="99"/>
      <w:bookmarkEnd w:id="100"/>
      <w:bookmarkEnd w:id="101"/>
    </w:p>
    <w:p>
      <w:pPr>
        <w:adjustRightInd w:val="0"/>
        <w:snapToGrid w:val="0"/>
        <w:spacing w:before="312" w:beforeLines="100" w:after="312" w:afterLines="100"/>
        <w:outlineLvl w:val="2"/>
        <w:rPr>
          <w:rFonts w:ascii="Times New Roman" w:hAnsi="Times New Roman" w:eastAsia="黑体" w:cs="Times New Roman"/>
        </w:rPr>
      </w:pPr>
      <w:bookmarkStart w:id="102" w:name="_Toc17382"/>
      <w:bookmarkStart w:id="103" w:name="_Toc19268"/>
      <w:bookmarkStart w:id="104" w:name="_Toc10568"/>
      <w:bookmarkStart w:id="105" w:name="_Toc121693346"/>
      <w:bookmarkStart w:id="106" w:name="_Toc21335"/>
      <w:r>
        <w:rPr>
          <w:rFonts w:hint="eastAsia" w:ascii="Times New Roman" w:hAnsi="Times New Roman" w:eastAsia="黑体" w:cs="Times New Roman"/>
        </w:rPr>
        <w:t>6.4.1比对样品测试</w:t>
      </w:r>
      <w:bookmarkEnd w:id="102"/>
      <w:bookmarkEnd w:id="103"/>
      <w:bookmarkEnd w:id="104"/>
      <w:bookmarkEnd w:id="105"/>
      <w:bookmarkEnd w:id="106"/>
    </w:p>
    <w:p>
      <w:pPr>
        <w:numPr>
          <w:ilvl w:val="255"/>
          <w:numId w:val="0"/>
        </w:numPr>
        <w:adjustRightInd w:val="0"/>
        <w:snapToGrid w:val="0"/>
        <w:spacing w:before="312" w:beforeLines="100" w:after="312" w:afterLines="100" w:line="360" w:lineRule="exact"/>
        <w:ind w:firstLine="420" w:firstLineChars="200"/>
      </w:pPr>
      <w:bookmarkStart w:id="107" w:name="_Toc2208"/>
      <w:bookmarkStart w:id="108" w:name="_Toc27806"/>
      <w:r>
        <w:t>实验室</w:t>
      </w:r>
      <w:r>
        <w:rPr>
          <w:rFonts w:hint="eastAsia" w:ascii="Times New Roman" w:hAnsi="Times New Roman" w:eastAsia="宋体" w:cs="Times New Roman"/>
          <w:szCs w:val="21"/>
        </w:rPr>
        <w:t>按照6.3分析方法要求</w:t>
      </w:r>
      <w:r>
        <w:t>对全部比对样品进行分析。实验室收到比对样品后，随机排列样品分析顺序，并以参考标准高频单点校准方式按照式（1）计算得出比对样品各组分的比对参考值</w:t>
      </w:r>
      <w:r>
        <w:rPr>
          <w:rFonts w:hint="eastAsia" w:ascii="Times New Roman" w:hAnsi="Times New Roman" w:eastAsia="宋体" w:cs="Times New Roman"/>
          <w:szCs w:val="21"/>
        </w:rPr>
        <w:t>，并应按要求填报测试结果。</w:t>
      </w:r>
      <w:bookmarkEnd w:id="107"/>
      <w:bookmarkEnd w:id="108"/>
    </w:p>
    <w:p>
      <w:pPr>
        <w:adjustRightInd w:val="0"/>
        <w:snapToGrid w:val="0"/>
        <w:spacing w:before="312" w:beforeLines="100" w:after="312" w:afterLines="100"/>
        <w:outlineLvl w:val="2"/>
        <w:rPr>
          <w:rFonts w:ascii="Times New Roman" w:hAnsi="Times New Roman" w:eastAsia="黑体" w:cs="Times New Roman"/>
        </w:rPr>
      </w:pPr>
      <w:bookmarkStart w:id="109" w:name="_Toc24609"/>
      <w:bookmarkStart w:id="110" w:name="_Toc121693347"/>
      <w:bookmarkStart w:id="111" w:name="_Toc12651"/>
      <w:bookmarkStart w:id="112" w:name="_Toc19834"/>
      <w:bookmarkStart w:id="113" w:name="_Toc118815070"/>
      <w:bookmarkStart w:id="114" w:name="_Toc6194"/>
      <w:r>
        <w:rPr>
          <w:rFonts w:hint="eastAsia" w:ascii="Times New Roman" w:hAnsi="Times New Roman" w:eastAsia="黑体" w:cs="Times New Roman"/>
        </w:rPr>
        <w:t>6.4.2比对参考值不确定度评估</w:t>
      </w:r>
      <w:bookmarkEnd w:id="109"/>
      <w:bookmarkEnd w:id="110"/>
      <w:bookmarkEnd w:id="111"/>
      <w:bookmarkEnd w:id="112"/>
      <w:bookmarkEnd w:id="113"/>
      <w:bookmarkEnd w:id="114"/>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通常，市售 57 种臭氧前体挥发性有机物标准气体的摩尔分数相近，约为 1 </w:t>
      </w:r>
      <w:r>
        <w:rPr>
          <w:rFonts w:ascii="Times New Roman" w:hAnsi="Times New Roman" w:eastAsia="宋体" w:cs="Times New Roman"/>
          <w:szCs w:val="21"/>
        </w:rPr>
        <w:t>µmol/mol</w:t>
      </w:r>
      <w:r>
        <w:rPr>
          <w:rFonts w:hint="eastAsia" w:ascii="Times New Roman" w:hAnsi="Times New Roman" w:eastAsia="宋体" w:cs="Times New Roman"/>
          <w:szCs w:val="21"/>
        </w:rPr>
        <w:t>，比对样品和参考标准可直接上机分析，比对参考值按式（2）~（3）评价不确定度。当比对样品与参考标准量值水平不用时，可通过稀释或浓缩使量值水平相同，并在不确定度中引入因稀释或浓缩导致的分量。</w:t>
      </w:r>
    </w:p>
    <w:p>
      <w:pPr>
        <w:spacing w:line="360" w:lineRule="exact"/>
        <w:ind w:firstLine="420" w:firstLineChars="200"/>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pict>
          <v:shape id="_x0000_s1030" o:spid="_x0000_s1030" o:spt="75" type="#_x0000_t75" style="position:absolute;left:0pt;margin-left:61.2pt;margin-top:3.65pt;height:25.75pt;width:274.6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2" o:title=""/>
            <o:lock v:ext="edit" aspectratio="t"/>
            <w10:wrap type="square"/>
          </v:shape>
          <o:OLEObject Type="Embed" ProgID="Equation.3" ShapeID="_x0000_s1030" DrawAspect="Content" ObjectID="_1468075726" r:id="rId11">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比对样品的比对参考值</w:t>
      </w:r>
      <w:r>
        <w:rPr>
          <w:rFonts w:ascii="Times New Roman" w:hAnsi="Times New Roman" w:eastAsia="宋体" w:cs="Times New Roman"/>
          <w:szCs w:val="21"/>
        </w:rPr>
        <w:t>，μmol/mol</w:t>
      </w:r>
      <w:r>
        <w:rPr>
          <w:rFonts w:hint="eastAsia" w:ascii="Times New Roman" w:hAnsi="Times New Roman" w:eastAsia="宋体" w:cs="Times New Roman"/>
          <w:szCs w:val="21"/>
        </w:rPr>
        <w:t>，参照式（1）计算</w:t>
      </w:r>
      <w:r>
        <w:rPr>
          <w:rFonts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w:t>
      </w:r>
      <w:r>
        <w:rPr>
          <w:rFonts w:ascii="Times New Roman" w:hAnsi="Times New Roman" w:eastAsia="宋体" w:cs="Times New Roman"/>
          <w:szCs w:val="21"/>
        </w:rPr>
        <w:t>由测试系统精密度引入的测量不确定度与参考标准不确定度进行合成</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参考标准认定值的相对标准不确定度</w:t>
      </w:r>
      <w:r>
        <w:rPr>
          <w:rFonts w:ascii="Times New Roman" w:hAnsi="Times New Roman" w:eastAsia="宋体" w:cs="Times New Roman"/>
          <w:szCs w:val="21"/>
        </w:rPr>
        <w:t>（参照证书）</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A</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测量比对样品峰面积的相对标准不确定度，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5" o:spt="75" type="#_x0000_t75" style="height:14.25pt;width:49.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7" r:id="rId13">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测量参考标准峰面积的相对标准不确定度，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6" o:spt="75" type="#_x0000_t75" style="height:14.25pt;width:47.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8" r:id="rId15">
            <o:LockedField>false</o:LockedField>
          </o:OLEObject>
        </w:object>
      </w:r>
      <w:r>
        <w:rPr>
          <w:rFonts w:hint="eastAsia" w:ascii="Times New Roman" w:hAnsi="Times New Roman" w:eastAsia="宋体" w:cs="Times New Roman"/>
          <w:szCs w:val="21"/>
        </w:rPr>
        <w:t>计算。</w:t>
      </w:r>
    </w:p>
    <w:p>
      <w:pPr>
        <w:spacing w:line="360" w:lineRule="exact"/>
        <w:ind w:firstLine="420" w:firstLineChars="200"/>
        <w:jc w:val="righ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hint="eastAsia" w:ascii="Times New Roman" w:hAnsi="Times New Roman" w:eastAsia="宋体" w:cs="Times New Roman"/>
          <w:i/>
          <w:iCs/>
          <w:szCs w:val="21"/>
        </w:rPr>
        <w:t>k</w:t>
      </w:r>
      <w:r>
        <w:rPr>
          <w:rFonts w:ascii="Times New Roman" w:hAnsi="Times New Roman" w:eastAsia="宋体" w:cs="Times New Roman"/>
          <w:szCs w:val="21"/>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                      （3）</w:t>
      </w: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比对样品比对参考值的扩展不确定度</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k</w:t>
      </w:r>
      <w:r>
        <w:rPr>
          <w:rFonts w:ascii="Times New Roman" w:hAnsi="Times New Roman" w:eastAsia="宋体" w:cs="Times New Roman"/>
          <w:szCs w:val="21"/>
          <w:lang w:val="nb-NO"/>
        </w:rPr>
        <w:t>——</w:t>
      </w:r>
      <w:r>
        <w:rPr>
          <w:rFonts w:hint="eastAsia" w:ascii="Times New Roman" w:hAnsi="Times New Roman" w:eastAsia="宋体" w:cs="Times New Roman"/>
          <w:szCs w:val="21"/>
        </w:rPr>
        <w:t>包含因子，在95%包含概率下，</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，参照公式（2）计算。</w:t>
      </w:r>
    </w:p>
    <w:p>
      <w:pPr>
        <w:adjustRightInd w:val="0"/>
        <w:snapToGrid w:val="0"/>
        <w:spacing w:before="312" w:beforeLines="100" w:after="312" w:afterLines="100"/>
        <w:outlineLvl w:val="2"/>
        <w:rPr>
          <w:rFonts w:ascii="Times New Roman" w:hAnsi="Times New Roman" w:eastAsia="黑体" w:cs="Times New Roman"/>
        </w:rPr>
      </w:pPr>
      <w:bookmarkStart w:id="115" w:name="_Toc13955"/>
      <w:bookmarkStart w:id="116" w:name="_Toc118815074"/>
      <w:bookmarkStart w:id="117" w:name="_Toc29589"/>
      <w:bookmarkStart w:id="118" w:name="_Toc121693348"/>
      <w:bookmarkStart w:id="119" w:name="_Toc4427"/>
      <w:bookmarkStart w:id="120" w:name="_Toc26437"/>
      <w:bookmarkStart w:id="121" w:name="_Toc118815075"/>
      <w:r>
        <w:rPr>
          <w:rFonts w:hint="eastAsia" w:ascii="Times New Roman" w:hAnsi="Times New Roman" w:eastAsia="黑体" w:cs="Times New Roman"/>
        </w:rPr>
        <w:t>6.4.3质量保证与质量控制</w:t>
      </w:r>
      <w:bookmarkEnd w:id="115"/>
      <w:bookmarkEnd w:id="116"/>
      <w:bookmarkEnd w:id="117"/>
      <w:bookmarkEnd w:id="118"/>
      <w:bookmarkEnd w:id="119"/>
      <w:bookmarkEnd w:id="120"/>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比对过程中，实验室应有适当的质量保证与质量控制措施，保证分析数据的准确性，包括但不限于：</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（1）如果比对样品在运输过程中经历了</w:t>
      </w:r>
      <w:r>
        <w:rPr>
          <w:rFonts w:ascii="Times New Roman" w:hAnsi="Times New Roman" w:eastAsia="宋体" w:cs="Times New Roman"/>
          <w:szCs w:val="21"/>
        </w:rPr>
        <w:t>低温</w:t>
      </w:r>
      <w:r>
        <w:rPr>
          <w:rFonts w:hint="eastAsia" w:ascii="Times New Roman" w:hAnsi="Times New Roman" w:eastAsia="宋体" w:cs="Times New Roman"/>
          <w:szCs w:val="21"/>
        </w:rPr>
        <w:t>，抵达</w:t>
      </w:r>
      <w:r>
        <w:rPr>
          <w:rFonts w:ascii="Times New Roman" w:hAnsi="Times New Roman" w:eastAsia="宋体" w:cs="Times New Roman"/>
          <w:szCs w:val="21"/>
        </w:rPr>
        <w:t>实验室后</w:t>
      </w:r>
      <w:r>
        <w:rPr>
          <w:rFonts w:hint="eastAsia" w:ascii="Times New Roman" w:hAnsi="Times New Roman" w:eastAsia="宋体" w:cs="Times New Roman"/>
          <w:szCs w:val="21"/>
        </w:rPr>
        <w:t xml:space="preserve">应在 </w:t>
      </w:r>
      <w:r>
        <w:rPr>
          <w:rFonts w:ascii="Times New Roman" w:hAnsi="Times New Roman" w:eastAsia="宋体" w:cs="Times New Roman"/>
          <w:szCs w:val="21"/>
        </w:rPr>
        <w:t>20</w:t>
      </w:r>
      <w:r>
        <w:rPr>
          <w:rFonts w:hint="eastAsia" w:ascii="Times New Roman" w:hAnsi="Times New Roman" w:eastAsia="宋体" w:cs="Times New Roman"/>
          <w:szCs w:val="21"/>
        </w:rPr>
        <w:t xml:space="preserve"> </w:t>
      </w:r>
      <w:r>
        <w:rPr>
          <w:rFonts w:ascii="Times New Roman" w:hAnsi="Times New Roman" w:eastAsia="宋体" w:cs="Times New Roman"/>
          <w:szCs w:val="21"/>
        </w:rPr>
        <w:t>℃以上</w:t>
      </w:r>
      <w:r>
        <w:rPr>
          <w:rFonts w:hint="eastAsia" w:ascii="Times New Roman" w:hAnsi="Times New Roman" w:eastAsia="宋体" w:cs="Times New Roman"/>
          <w:szCs w:val="21"/>
        </w:rPr>
        <w:t>环境</w:t>
      </w:r>
      <w:r>
        <w:rPr>
          <w:rFonts w:ascii="Times New Roman" w:hAnsi="Times New Roman" w:eastAsia="宋体" w:cs="Times New Roman"/>
          <w:szCs w:val="21"/>
        </w:rPr>
        <w:t>放置</w:t>
      </w:r>
      <w:r>
        <w:rPr>
          <w:rFonts w:hint="eastAsia" w:ascii="Times New Roman" w:hAnsi="Times New Roman" w:eastAsia="宋体" w:cs="Times New Roman"/>
          <w:szCs w:val="21"/>
        </w:rPr>
        <w:t xml:space="preserve"> </w:t>
      </w:r>
      <w:r>
        <w:rPr>
          <w:rFonts w:ascii="Times New Roman" w:hAnsi="Times New Roman" w:eastAsia="宋体" w:cs="Times New Roman"/>
          <w:szCs w:val="21"/>
        </w:rPr>
        <w:t>24 h</w:t>
      </w:r>
      <w:r>
        <w:rPr>
          <w:rFonts w:hint="eastAsia" w:ascii="Times New Roman" w:hAnsi="Times New Roman" w:eastAsia="宋体" w:cs="Times New Roman"/>
          <w:szCs w:val="21"/>
        </w:rPr>
        <w:t>后</w:t>
      </w:r>
      <w:r>
        <w:rPr>
          <w:rFonts w:ascii="Times New Roman" w:hAnsi="Times New Roman" w:eastAsia="宋体" w:cs="Times New Roman"/>
          <w:szCs w:val="21"/>
        </w:rPr>
        <w:t>再进行测定，避免高沸点组分在低温运输过程中冷凝液化。</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（2）测试前，</w:t>
      </w:r>
      <w:r>
        <w:rPr>
          <w:rFonts w:ascii="Times New Roman" w:hAnsi="Times New Roman" w:eastAsia="宋体" w:cs="Times New Roman"/>
          <w:szCs w:val="21"/>
        </w:rPr>
        <w:t>减压阀和连接管线先用高纯氮气吹扫</w:t>
      </w:r>
      <w:r>
        <w:rPr>
          <w:rFonts w:hint="eastAsia" w:ascii="Times New Roman" w:hAnsi="Times New Roman" w:eastAsia="宋体" w:cs="Times New Roman"/>
          <w:szCs w:val="21"/>
        </w:rPr>
        <w:t xml:space="preserve"> 10 min</w:t>
      </w:r>
      <w:r>
        <w:rPr>
          <w:rFonts w:ascii="Times New Roman" w:hAnsi="Times New Roman" w:eastAsia="宋体" w:cs="Times New Roman"/>
          <w:szCs w:val="21"/>
        </w:rPr>
        <w:t>以上</w:t>
      </w:r>
      <w:r>
        <w:rPr>
          <w:rFonts w:hint="eastAsia" w:ascii="Times New Roman" w:hAnsi="Times New Roman" w:eastAsia="宋体" w:cs="Times New Roman"/>
          <w:szCs w:val="21"/>
        </w:rPr>
        <w:t>（流量 10 ml/min以上）</w:t>
      </w:r>
      <w:r>
        <w:rPr>
          <w:rFonts w:ascii="Times New Roman" w:hAnsi="Times New Roman" w:eastAsia="宋体" w:cs="Times New Roman"/>
          <w:szCs w:val="21"/>
        </w:rPr>
        <w:t>，</w:t>
      </w:r>
      <w:r>
        <w:rPr>
          <w:rFonts w:hint="eastAsia" w:ascii="Times New Roman" w:hAnsi="Times New Roman" w:eastAsia="宋体" w:cs="Times New Roman"/>
          <w:szCs w:val="21"/>
        </w:rPr>
        <w:t>消除</w:t>
      </w:r>
      <w:r>
        <w:rPr>
          <w:rFonts w:ascii="Times New Roman" w:hAnsi="Times New Roman" w:eastAsia="宋体" w:cs="Times New Roman"/>
          <w:szCs w:val="21"/>
        </w:rPr>
        <w:t>上一个</w:t>
      </w:r>
      <w:r>
        <w:rPr>
          <w:rFonts w:hint="eastAsia" w:ascii="Times New Roman" w:hAnsi="Times New Roman" w:eastAsia="宋体" w:cs="Times New Roman"/>
          <w:szCs w:val="21"/>
        </w:rPr>
        <w:t>比对样品</w:t>
      </w:r>
      <w:r>
        <w:rPr>
          <w:rFonts w:ascii="Times New Roman" w:hAnsi="Times New Roman" w:eastAsia="宋体" w:cs="Times New Roman"/>
          <w:szCs w:val="21"/>
        </w:rPr>
        <w:t>的残留影响</w:t>
      </w:r>
      <w:r>
        <w:rPr>
          <w:rFonts w:hint="eastAsia" w:ascii="Times New Roman" w:hAnsi="Times New Roman" w:eastAsia="宋体" w:cs="Times New Roman"/>
          <w:szCs w:val="21"/>
        </w:rPr>
        <w:t>。然后将减压阀和管线连接到比对样品，通过高压放气冲洗减压阀和管线 7 次以充分置换内部气体，然后连接到进样器。</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测试过程中，随机排列进样顺序，每</w:t>
      </w:r>
      <w:r>
        <w:rPr>
          <w:rFonts w:hint="eastAsia" w:ascii="Times New Roman" w:hAnsi="Times New Roman" w:eastAsia="宋体" w:cs="Times New Roman"/>
          <w:szCs w:val="21"/>
        </w:rPr>
        <w:t>个比对样品</w:t>
      </w:r>
      <w:r>
        <w:rPr>
          <w:rFonts w:ascii="Times New Roman" w:hAnsi="Times New Roman" w:eastAsia="宋体" w:cs="Times New Roman"/>
          <w:szCs w:val="21"/>
        </w:rPr>
        <w:t>至少测定</w:t>
      </w:r>
      <w:r>
        <w:rPr>
          <w:rFonts w:hint="eastAsia" w:ascii="Times New Roman" w:hAnsi="Times New Roman" w:eastAsia="宋体" w:cs="Times New Roman"/>
          <w:szCs w:val="21"/>
        </w:rPr>
        <w:t xml:space="preserve"> </w:t>
      </w:r>
      <w:r>
        <w:rPr>
          <w:rFonts w:ascii="Times New Roman" w:hAnsi="Times New Roman" w:eastAsia="宋体" w:cs="Times New Roman"/>
          <w:szCs w:val="21"/>
        </w:rPr>
        <w:t>3</w:t>
      </w:r>
      <w:r>
        <w:rPr>
          <w:rFonts w:hint="eastAsia" w:ascii="Times New Roman" w:hAnsi="Times New Roman" w:eastAsia="宋体" w:cs="Times New Roman"/>
          <w:szCs w:val="21"/>
        </w:rPr>
        <w:t xml:space="preserve"> </w:t>
      </w:r>
      <w:r>
        <w:rPr>
          <w:rFonts w:ascii="Times New Roman" w:hAnsi="Times New Roman" w:eastAsia="宋体" w:cs="Times New Roman"/>
          <w:szCs w:val="21"/>
        </w:rPr>
        <w:t>次，</w:t>
      </w:r>
      <w:r>
        <w:rPr>
          <w:rFonts w:hint="eastAsia" w:ascii="Times New Roman" w:hAnsi="Times New Roman" w:eastAsia="宋体" w:cs="Times New Roman"/>
          <w:szCs w:val="21"/>
        </w:rPr>
        <w:t>每次测得的各组分测量值中，</w:t>
      </w:r>
      <w:r>
        <w:rPr>
          <w:rFonts w:ascii="Times New Roman" w:hAnsi="Times New Roman" w:eastAsia="宋体" w:cs="Times New Roman"/>
          <w:szCs w:val="21"/>
        </w:rPr>
        <w:t>C2</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C3、十一烷和十二烷的相对标准偏差均应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2%，其余</w:t>
      </w:r>
      <w:r>
        <w:rPr>
          <w:rFonts w:hint="eastAsia" w:ascii="Times New Roman" w:hAnsi="Times New Roman" w:eastAsia="宋体" w:cs="Times New Roman"/>
          <w:szCs w:val="21"/>
        </w:rPr>
        <w:t>组分</w:t>
      </w:r>
      <w:r>
        <w:rPr>
          <w:rFonts w:ascii="Times New Roman" w:hAnsi="Times New Roman" w:eastAsia="宋体" w:cs="Times New Roman"/>
          <w:szCs w:val="21"/>
        </w:rPr>
        <w:t>的相对标准偏差均应</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1%</w:t>
      </w:r>
      <w:r>
        <w:rPr>
          <w:rFonts w:hint="eastAsia" w:ascii="Times New Roman" w:hAnsi="Times New Roman" w:eastAsia="宋体" w:cs="Times New Roman"/>
          <w:szCs w:val="21"/>
        </w:rPr>
        <w:t>，否则应增加测量次数，直至连续 3 次测量值的相对标准偏差满足要求。取符合要求的 3 次测定结果的平均值作为比对样品的比对参考值。</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（4）实验过程中应保持室温恒定，温度波动小于 2 ℃。</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由于管路死体积与残留等因素均会对测量系统的精密度产生影响，测试时</w:t>
      </w:r>
      <w:r>
        <w:rPr>
          <w:rFonts w:hint="eastAsia" w:ascii="Times New Roman" w:hAnsi="Times New Roman" w:eastAsia="宋体" w:cs="Times New Roman"/>
          <w:szCs w:val="21"/>
        </w:rPr>
        <w:t>应</w:t>
      </w:r>
      <w:r>
        <w:rPr>
          <w:rFonts w:ascii="Times New Roman" w:hAnsi="Times New Roman" w:eastAsia="宋体" w:cs="Times New Roman"/>
          <w:szCs w:val="21"/>
        </w:rPr>
        <w:t>采用低残留和死体积</w:t>
      </w:r>
      <w:r>
        <w:rPr>
          <w:rFonts w:hint="eastAsia" w:ascii="Times New Roman" w:hAnsi="Times New Roman" w:eastAsia="宋体" w:cs="Times New Roman"/>
          <w:szCs w:val="21"/>
        </w:rPr>
        <w:t>小</w:t>
      </w:r>
      <w:r>
        <w:rPr>
          <w:rFonts w:ascii="Times New Roman" w:hAnsi="Times New Roman" w:eastAsia="宋体" w:cs="Times New Roman"/>
          <w:szCs w:val="21"/>
        </w:rPr>
        <w:t>的气体减压阀。</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测试过程中，每完成一</w:t>
      </w:r>
      <w:r>
        <w:rPr>
          <w:rFonts w:hint="eastAsia" w:ascii="Times New Roman" w:hAnsi="Times New Roman" w:eastAsia="宋体" w:cs="Times New Roman"/>
          <w:szCs w:val="21"/>
        </w:rPr>
        <w:t>个比对样品分析</w:t>
      </w:r>
      <w:r>
        <w:rPr>
          <w:rFonts w:ascii="Times New Roman" w:hAnsi="Times New Roman" w:eastAsia="宋体" w:cs="Times New Roman"/>
          <w:szCs w:val="21"/>
        </w:rPr>
        <w:t>后</w:t>
      </w:r>
      <w:r>
        <w:rPr>
          <w:rFonts w:hint="eastAsia" w:ascii="Times New Roman" w:hAnsi="Times New Roman" w:eastAsia="宋体" w:cs="Times New Roman"/>
          <w:szCs w:val="21"/>
        </w:rPr>
        <w:t>应</w:t>
      </w:r>
      <w:r>
        <w:rPr>
          <w:rFonts w:ascii="Times New Roman" w:hAnsi="Times New Roman" w:eastAsia="宋体" w:cs="Times New Roman"/>
          <w:szCs w:val="21"/>
        </w:rPr>
        <w:t>进行空白测试，确保无残留影响。</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lang w:val="zh-CN"/>
        </w:rPr>
      </w:pPr>
      <w:bookmarkStart w:id="122" w:name="_Toc28221"/>
      <w:bookmarkStart w:id="123" w:name="_Toc11948"/>
      <w:bookmarkStart w:id="124" w:name="_Toc23681"/>
      <w:bookmarkStart w:id="125" w:name="_Toc121693349"/>
      <w:bookmarkStart w:id="126" w:name="_Toc27836"/>
      <w:r>
        <w:rPr>
          <w:rFonts w:ascii="Times New Roman" w:hAnsi="Times New Roman" w:eastAsia="黑体" w:cs="Times New Roman"/>
          <w:szCs w:val="21"/>
          <w:lang w:val="zh-CN"/>
        </w:rPr>
        <w:t>结果评价</w:t>
      </w:r>
      <w:bookmarkEnd w:id="121"/>
      <w:bookmarkEnd w:id="122"/>
      <w:bookmarkEnd w:id="123"/>
      <w:bookmarkEnd w:id="124"/>
      <w:bookmarkEnd w:id="125"/>
      <w:bookmarkEnd w:id="126"/>
    </w:p>
    <w:p>
      <w:pPr>
        <w:adjustRightInd w:val="0"/>
        <w:snapToGrid w:val="0"/>
        <w:spacing w:before="312" w:beforeLines="100" w:after="312" w:afterLines="100" w:line="360" w:lineRule="exact"/>
        <w:outlineLvl w:val="1"/>
        <w:rPr>
          <w:rFonts w:ascii="Times New Roman" w:hAnsi="Times New Roman" w:eastAsia="黑体" w:cs="Times New Roman"/>
        </w:rPr>
      </w:pPr>
      <w:bookmarkStart w:id="127" w:name="_Toc3041"/>
      <w:bookmarkStart w:id="128" w:name="_Toc894"/>
      <w:bookmarkStart w:id="129" w:name="_Toc121693350"/>
      <w:bookmarkStart w:id="130" w:name="_Toc28583"/>
      <w:bookmarkStart w:id="131" w:name="_Toc2111"/>
      <w:r>
        <w:rPr>
          <w:rFonts w:hint="eastAsia" w:ascii="Times New Roman" w:hAnsi="Times New Roman" w:eastAsia="黑体" w:cs="Times New Roman"/>
        </w:rPr>
        <w:t>7.1</w:t>
      </w:r>
      <w:r>
        <w:rPr>
          <w:rFonts w:ascii="Times New Roman" w:hAnsi="Times New Roman" w:eastAsia="黑体" w:cs="Times New Roman"/>
        </w:rPr>
        <w:t>量值</w:t>
      </w:r>
      <w:r>
        <w:rPr>
          <w:rFonts w:hint="eastAsia" w:ascii="Times New Roman" w:hAnsi="Times New Roman" w:eastAsia="黑体" w:cs="Times New Roman"/>
        </w:rPr>
        <w:t>准确性评价（</w:t>
      </w:r>
      <w:r>
        <w:rPr>
          <w:rFonts w:hint="eastAsia" w:ascii="Times New Roman" w:hAnsi="Times New Roman" w:eastAsia="黑体" w:cs="Times New Roman"/>
          <w:i/>
          <w:iCs/>
        </w:rPr>
        <w:t>E</w:t>
      </w:r>
      <w:r>
        <w:rPr>
          <w:rFonts w:hint="eastAsia" w:ascii="Times New Roman" w:hAnsi="Times New Roman" w:eastAsia="黑体" w:cs="Times New Roman"/>
          <w:i/>
          <w:iCs/>
          <w:vertAlign w:val="subscript"/>
        </w:rPr>
        <w:t>n</w:t>
      </w:r>
      <w:r>
        <w:rPr>
          <w:rFonts w:hint="eastAsia" w:ascii="Times New Roman" w:hAnsi="Times New Roman" w:eastAsia="黑体" w:cs="Times New Roman"/>
        </w:rPr>
        <w:t>值法）</w:t>
      </w:r>
      <w:bookmarkEnd w:id="127"/>
      <w:bookmarkEnd w:id="128"/>
      <w:bookmarkEnd w:id="129"/>
      <w:bookmarkEnd w:id="130"/>
      <w:bookmarkEnd w:id="13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比对完成后，实验室将比对样品各组分的比对参考值和比对参考值的不确定度评估汇总提交主导实验室，主导实验室解码后统计测试结果，并根据实验室上报的结果，按式（4）计算每个比对样品各</w:t>
      </w:r>
      <w:r>
        <w:rPr>
          <w:rFonts w:ascii="Times New Roman" w:hAnsi="Times New Roman" w:eastAsia="宋体" w:cs="Times New Roman"/>
          <w:szCs w:val="21"/>
        </w:rPr>
        <w:t>组分的</w:t>
      </w:r>
      <w:r>
        <w:rPr>
          <w:rFonts w:hint="eastAsia" w:ascii="Times New Roman" w:hAnsi="Times New Roman" w:eastAsia="宋体" w:cs="Times New Roman"/>
          <w:i/>
          <w:iCs/>
          <w:szCs w:val="21"/>
        </w:rPr>
        <w:t>E</w:t>
      </w:r>
      <w:r>
        <w:rPr>
          <w:rFonts w:hint="eastAsia" w:ascii="Times New Roman" w:hAnsi="Times New Roman" w:eastAsia="宋体" w:cs="Times New Roman"/>
          <w:i/>
          <w:iCs/>
          <w:szCs w:val="21"/>
          <w:vertAlign w:val="subscript"/>
        </w:rPr>
        <w:t>n</w:t>
      </w:r>
      <w:r>
        <w:rPr>
          <w:rFonts w:hint="eastAsia" w:ascii="Times New Roman" w:hAnsi="Times New Roman" w:eastAsia="宋体" w:cs="Times New Roman"/>
          <w:szCs w:val="21"/>
        </w:rPr>
        <w:t>值。若比对样品某一组分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比对样品这一组分的</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若由两家</w:t>
      </w:r>
      <w:r>
        <w:rPr>
          <w:rFonts w:ascii="Times New Roman" w:hAnsi="Times New Roman" w:eastAsia="宋体" w:cs="Times New Roman"/>
          <w:szCs w:val="21"/>
        </w:rPr>
        <w:t>实验室</w:t>
      </w:r>
      <w:r>
        <w:rPr>
          <w:rFonts w:hint="eastAsia" w:ascii="Times New Roman" w:hAnsi="Times New Roman" w:eastAsia="宋体" w:cs="Times New Roman"/>
          <w:szCs w:val="21"/>
        </w:rPr>
        <w:t>同时进行测试，则两家实验室对</w:t>
      </w:r>
      <w:r>
        <w:rPr>
          <w:rFonts w:ascii="Times New Roman" w:hAnsi="Times New Roman" w:eastAsia="宋体" w:cs="Times New Roman"/>
          <w:szCs w:val="21"/>
        </w:rPr>
        <w:t>同一</w:t>
      </w:r>
      <w:r>
        <w:rPr>
          <w:rFonts w:hint="eastAsia" w:ascii="Times New Roman" w:hAnsi="Times New Roman" w:eastAsia="宋体" w:cs="Times New Roman"/>
          <w:szCs w:val="21"/>
        </w:rPr>
        <w:t>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均大于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r>
        <w:rPr>
          <w:rFonts w:hint="eastAsia" w:ascii="Times New Roman" w:hAnsi="Times New Roman" w:eastAsia="宋体" w:cs="Times New Roman"/>
          <w:szCs w:val="21"/>
        </w:rPr>
        <w:t>若两家</w:t>
      </w:r>
      <w:r>
        <w:rPr>
          <w:rFonts w:ascii="Times New Roman" w:hAnsi="Times New Roman" w:eastAsia="宋体" w:cs="Times New Roman"/>
          <w:szCs w:val="21"/>
        </w:rPr>
        <w:t>实验室</w:t>
      </w:r>
      <w:r>
        <w:rPr>
          <w:rFonts w:hint="eastAsia" w:ascii="Times New Roman" w:hAnsi="Times New Roman" w:eastAsia="宋体" w:cs="Times New Roman"/>
          <w:szCs w:val="21"/>
        </w:rPr>
        <w:t>对</w:t>
      </w:r>
      <w:r>
        <w:rPr>
          <w:rFonts w:ascii="Times New Roman" w:hAnsi="Times New Roman" w:eastAsia="宋体" w:cs="Times New Roman"/>
          <w:szCs w:val="21"/>
        </w:rPr>
        <w:t>同一</w:t>
      </w:r>
      <w:r>
        <w:rPr>
          <w:rFonts w:hint="eastAsia" w:ascii="Times New Roman" w:hAnsi="Times New Roman" w:eastAsia="宋体" w:cs="Times New Roman"/>
          <w:szCs w:val="21"/>
        </w:rPr>
        <w:t>比对样品某一组分的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值评价结果不一致，则可对该组分进行复测，或由权威专家组研究判定。也可合并计算两家实验室测定结果后，重新进行</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值评价。合并计算时，若两家实验室测定结果等精度，则合并计算算术平均值，测定结果不等精度计算加权平均，可采用</w:t>
      </w:r>
      <w:r>
        <w:rPr>
          <w:rFonts w:hint="eastAsia" w:ascii="Times New Roman" w:hAnsi="Times New Roman" w:eastAsia="宋体" w:cs="Times New Roman"/>
          <w:i/>
          <w:iCs/>
          <w:szCs w:val="21"/>
        </w:rPr>
        <w:t>F</w:t>
      </w:r>
      <w:r>
        <w:rPr>
          <w:rFonts w:hint="eastAsia" w:ascii="Times New Roman" w:hAnsi="Times New Roman" w:eastAsia="宋体" w:cs="Times New Roman"/>
          <w:szCs w:val="21"/>
        </w:rPr>
        <w:t>检验进行测定结果等精度判定。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1" o:spid="_x0000_s1031" o:spt="75" type="#_x0000_t75" style="position:absolute;left:0pt;margin-left:139.8pt;margin-top:17.15pt;height:36.25pt;width:109.1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8" o:title=""/>
            <o:lock v:ext="edit" aspectratio="t"/>
            <w10:wrap type="square"/>
          </v:shape>
          <o:OLEObject Type="Embed" ProgID="Equation.3" ShapeID="_x0000_s1031" DrawAspect="Content" ObjectID="_1468075729" r:id="rId17">
            <o:LockedField>false</o:LockedField>
          </o:OLEObject>
        </w:pic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（4）</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的标称</w:t>
      </w:r>
      <w:r>
        <w:rPr>
          <w:rFonts w:hint="eastAsia" w:ascii="Times New Roman" w:hAnsi="Times New Roman" w:eastAsia="宋体" w:cs="Times New Roman"/>
          <w:szCs w:val="21"/>
        </w:rPr>
        <w:t>值</w:t>
      </w:r>
      <w:r>
        <w:rPr>
          <w:rFonts w:ascii="Times New Roman" w:hAnsi="Times New Roman" w:eastAsia="宋体" w:cs="Times New Roman"/>
          <w:szCs w:val="21"/>
        </w:rPr>
        <w:t>（参照证书），μmol/mol；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rm</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标称</w:t>
      </w:r>
      <w:r>
        <w:rPr>
          <w:rFonts w:hint="eastAsia" w:ascii="Times New Roman" w:hAnsi="Times New Roman" w:eastAsia="宋体" w:cs="Times New Roman"/>
          <w:szCs w:val="21"/>
        </w:rPr>
        <w:t>值</w:t>
      </w:r>
      <w:r>
        <w:rPr>
          <w:rFonts w:ascii="Times New Roman" w:hAnsi="Times New Roman" w:eastAsia="宋体" w:cs="Times New Roman"/>
          <w:szCs w:val="21"/>
        </w:rPr>
        <w:t>的扩展不确定度（参照证书），μmol/mol；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w:t>
      </w:r>
      <w:r>
        <w:rPr>
          <w:rFonts w:ascii="Times New Roman" w:hAnsi="Times New Roman" w:eastAsia="宋体" w:cs="Times New Roman"/>
          <w:szCs w:val="21"/>
        </w:rPr>
        <w:t>的扩展不确定度</w:t>
      </w:r>
      <w:r>
        <w:rPr>
          <w:rFonts w:hint="eastAsia" w:ascii="Times New Roman" w:hAnsi="Times New Roman" w:eastAsia="宋体" w:cs="Times New Roman"/>
          <w:szCs w:val="21"/>
        </w:rPr>
        <w:t>，参照公式（3）计算</w:t>
      </w:r>
      <w:r>
        <w:rPr>
          <w:rFonts w:ascii="Times New Roman" w:hAnsi="Times New Roman" w:eastAsia="宋体" w:cs="Times New Roman"/>
          <w:szCs w:val="21"/>
        </w:rPr>
        <w:t>，μmol/mol</w:t>
      </w:r>
      <w:r>
        <w:rPr>
          <w:rFonts w:hint="eastAsia" w:ascii="Times New Roman" w:hAnsi="Times New Roman" w:eastAsia="宋体" w:cs="Times New Roman"/>
          <w:szCs w:val="21"/>
        </w:rPr>
        <w:t>。</w:t>
      </w:r>
    </w:p>
    <w:p>
      <w:pPr>
        <w:adjustRightInd w:val="0"/>
        <w:snapToGrid w:val="0"/>
        <w:spacing w:before="312" w:beforeLines="100" w:after="312" w:afterLines="100" w:line="360" w:lineRule="exact"/>
        <w:outlineLvl w:val="1"/>
        <w:rPr>
          <w:rFonts w:ascii="Times New Roman" w:hAnsi="Times New Roman" w:eastAsia="黑体" w:cs="Times New Roman"/>
        </w:rPr>
      </w:pPr>
      <w:bookmarkStart w:id="132" w:name="_Toc26699"/>
      <w:bookmarkStart w:id="133" w:name="_Toc121693351"/>
      <w:bookmarkStart w:id="134" w:name="_Toc24391"/>
      <w:bookmarkStart w:id="135" w:name="_Toc2004"/>
      <w:bookmarkStart w:id="136" w:name="_Toc19189"/>
      <w:bookmarkStart w:id="137" w:name="_Toc380"/>
      <w:bookmarkStart w:id="138" w:name="_Toc30718"/>
      <w:r>
        <w:rPr>
          <w:rFonts w:hint="eastAsia" w:ascii="Times New Roman" w:hAnsi="Times New Roman" w:eastAsia="黑体" w:cs="Times New Roman"/>
        </w:rPr>
        <w:t>7.2稳定性评价</w:t>
      </w:r>
      <w:bookmarkEnd w:id="132"/>
      <w:bookmarkEnd w:id="133"/>
      <w:bookmarkEnd w:id="134"/>
      <w:bookmarkEnd w:id="135"/>
      <w:bookmarkEnd w:id="136"/>
      <w:bookmarkEnd w:id="137"/>
      <w:bookmarkEnd w:id="138"/>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主导实验室可根据目标组分的性质，对活泼性组分或微痕量组分开展稳定性评价。稳定性核查与主导实验室对比对样品首次测量的时间间隔和该比对样品声称的有效期有关。通常市售</w:t>
      </w:r>
      <w:r>
        <w:rPr>
          <w:rFonts w:ascii="Times New Roman" w:hAnsi="Times New Roman" w:eastAsia="宋体" w:cs="Times New Roman"/>
          <w:szCs w:val="21"/>
        </w:rPr>
        <w:t xml:space="preserve"> 57 种</w:t>
      </w:r>
      <w:r>
        <w:rPr>
          <w:rFonts w:hint="eastAsia" w:ascii="Times New Roman" w:hAnsi="Times New Roman" w:eastAsia="宋体" w:cs="Times New Roman"/>
          <w:szCs w:val="21"/>
        </w:rPr>
        <w:t>臭氧前体挥发性有机物</w:t>
      </w:r>
      <w:r>
        <w:rPr>
          <w:rFonts w:ascii="Times New Roman" w:hAnsi="Times New Roman" w:eastAsia="宋体" w:cs="Times New Roman"/>
          <w:szCs w:val="21"/>
        </w:rPr>
        <w:t>标准气体</w:t>
      </w:r>
      <w:r>
        <w:rPr>
          <w:rFonts w:hint="eastAsia" w:ascii="Times New Roman" w:hAnsi="Times New Roman" w:eastAsia="宋体" w:cs="Times New Roman"/>
          <w:szCs w:val="21"/>
        </w:rPr>
        <w:t>的有效期为 1~2 年，</w:t>
      </w:r>
      <w:r>
        <w:rPr>
          <w:rFonts w:hint="eastAsia" w:ascii="Times New Roman" w:hAnsi="Times New Roman" w:eastAsia="宋体" w:cs="Times New Roman"/>
        </w:rPr>
        <w:t>当比对样品的有效期为 1 年，时间间隔可以选择 6 个月及以上；当比对样品的有效期为 2 年，则时间间隔可以选择 1 年及以上。也可结合抽测工作时间安排开展短期稳定性测试。</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主导实验室如果进行稳定性核查，可根据核查结果进行该比对样品的稳定性评估。稳定性核查中前后两次测量所获得参考值与该比对样品证书上声称的特性量值分别进行</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值评价。当两次</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adjustRightInd w:val="0"/>
        <w:snapToGrid w:val="0"/>
        <w:spacing w:before="312" w:beforeLines="100" w:after="312" w:afterLines="100" w:line="360" w:lineRule="exact"/>
        <w:outlineLvl w:val="1"/>
        <w:rPr>
          <w:rFonts w:ascii="Times New Roman" w:hAnsi="Times New Roman" w:eastAsia="黑体" w:cs="Times New Roman"/>
        </w:rPr>
      </w:pPr>
      <w:bookmarkStart w:id="139" w:name="_Toc5470"/>
      <w:bookmarkStart w:id="140" w:name="_Toc21575"/>
      <w:bookmarkStart w:id="141" w:name="_Toc1167"/>
      <w:bookmarkStart w:id="142" w:name="_Toc121693352"/>
      <w:bookmarkStart w:id="143" w:name="_Toc26128"/>
      <w:r>
        <w:rPr>
          <w:rFonts w:hint="eastAsia" w:ascii="Times New Roman" w:hAnsi="Times New Roman" w:eastAsia="黑体" w:cs="Times New Roman"/>
        </w:rPr>
        <w:t>7.3适用性评价</w:t>
      </w:r>
      <w:bookmarkEnd w:id="139"/>
      <w:bookmarkEnd w:id="140"/>
      <w:bookmarkEnd w:id="141"/>
      <w:bookmarkEnd w:id="142"/>
      <w:bookmarkEnd w:id="143"/>
    </w:p>
    <w:p>
      <w:pPr>
        <w:spacing w:line="360" w:lineRule="atLeast"/>
        <w:ind w:firstLine="420" w:firstLineChars="200"/>
        <w:jc w:val="left"/>
        <w:rPr>
          <w:rFonts w:ascii="Times New Roman" w:hAnsi="Times New Roman" w:eastAsia="宋体" w:cs="Times New Roman"/>
        </w:rPr>
      </w:pPr>
      <w:r>
        <w:rPr>
          <w:rFonts w:ascii="Times New Roman" w:hAnsi="Times New Roman" w:eastAsia="宋体" w:cs="Times New Roman"/>
        </w:rPr>
        <w:t>主导实验室</w:t>
      </w:r>
      <w:r>
        <w:rPr>
          <w:rFonts w:hint="eastAsia" w:ascii="Times New Roman" w:hAnsi="Times New Roman" w:eastAsia="宋体" w:cs="Times New Roman"/>
        </w:rPr>
        <w:t>可参考以下方法对</w:t>
      </w:r>
      <w:r>
        <w:rPr>
          <w:rFonts w:ascii="Times New Roman" w:hAnsi="Times New Roman" w:eastAsia="宋体" w:cs="Times New Roman"/>
        </w:rPr>
        <w:t>比对样品的</w:t>
      </w:r>
      <w:r>
        <w:rPr>
          <w:rFonts w:hint="eastAsia" w:ascii="Times New Roman" w:hAnsi="Times New Roman" w:eastAsia="宋体" w:cs="Times New Roman"/>
        </w:rPr>
        <w:t>监测工作</w:t>
      </w:r>
      <w:r>
        <w:rPr>
          <w:rFonts w:ascii="Times New Roman" w:hAnsi="Times New Roman" w:eastAsia="宋体" w:cs="Times New Roman"/>
        </w:rPr>
        <w:t>适用性进行</w:t>
      </w:r>
      <w:r>
        <w:rPr>
          <w:rFonts w:hint="eastAsia" w:ascii="Times New Roman" w:hAnsi="Times New Roman" w:eastAsia="宋体" w:cs="Times New Roman"/>
        </w:rPr>
        <w:t>评价。</w:t>
      </w:r>
    </w:p>
    <w:p>
      <w:pPr>
        <w:numPr>
          <w:ilvl w:val="0"/>
          <w:numId w:val="2"/>
        </w:numPr>
        <w:spacing w:line="360" w:lineRule="atLeast"/>
        <w:ind w:firstLine="420" w:firstLineChars="200"/>
        <w:jc w:val="left"/>
        <w:rPr>
          <w:rFonts w:ascii="Times New Roman" w:hAnsi="Times New Roman" w:eastAsia="宋体" w:cs="Times New Roman"/>
        </w:rPr>
      </w:pPr>
      <w:r>
        <w:rPr>
          <w:rFonts w:hint="eastAsia" w:ascii="Times New Roman" w:hAnsi="Times New Roman" w:eastAsia="宋体" w:cs="Times New Roman"/>
        </w:rPr>
        <w:t>标称值不确定度的适用性评价</w:t>
      </w:r>
    </w:p>
    <w:p>
      <w:pPr>
        <w:widowControl/>
        <w:numPr>
          <w:ilvl w:val="255"/>
          <w:numId w:val="0"/>
        </w:numPr>
        <w:spacing w:line="360" w:lineRule="atLeast"/>
        <w:ind w:firstLine="420" w:firstLineChars="200"/>
        <w:jc w:val="left"/>
        <w:rPr>
          <w:rFonts w:ascii="Times New Roman" w:hAnsi="Times New Roman" w:cs="Times New Roman"/>
          <w:highlight w:val="yellow"/>
        </w:rPr>
      </w:pPr>
      <w:r>
        <w:rPr>
          <w:rFonts w:hint="eastAsia" w:ascii="Times New Roman" w:hAnsi="Times New Roman" w:eastAsia="宋体" w:cs="Times New Roman"/>
        </w:rPr>
        <w:t>采用监测标准方法</w:t>
      </w:r>
      <w:r>
        <w:rPr>
          <w:rFonts w:ascii="Times New Roman" w:hAnsi="Times New Roman" w:eastAsia="宋体" w:cs="Times New Roman"/>
        </w:rPr>
        <w:t>中的质量控制指标对比对</w:t>
      </w:r>
      <w:r>
        <w:rPr>
          <w:rFonts w:hint="eastAsia" w:ascii="Times New Roman" w:hAnsi="Times New Roman" w:eastAsia="宋体" w:cs="Times New Roman"/>
        </w:rPr>
        <w:t>样品标称值不确定度</w:t>
      </w:r>
      <w:r>
        <w:rPr>
          <w:rFonts w:ascii="Times New Roman" w:hAnsi="Times New Roman" w:eastAsia="宋体" w:cs="Times New Roman"/>
        </w:rPr>
        <w:t>的适用性进行</w:t>
      </w:r>
      <w:r>
        <w:rPr>
          <w:rFonts w:hint="eastAsia" w:ascii="Times New Roman" w:hAnsi="Times New Roman" w:eastAsia="宋体" w:cs="Times New Roman"/>
        </w:rPr>
        <w:t>评价，方法正确度要求中可允许误差应大于等于标准气体标称值不确定度。如：《环境空气臭氧前体有机物手工监测技术要求（试行）》（环办监测函〔2018〕240号）中</w:t>
      </w:r>
      <w:r>
        <w:rPr>
          <w:rFonts w:ascii="Times New Roman" w:hAnsi="Times New Roman" w:eastAsia="宋体" w:cs="Times New Roman"/>
        </w:rPr>
        <w:t>提出</w:t>
      </w:r>
      <w:r>
        <w:rPr>
          <w:rFonts w:hint="eastAsia" w:ascii="Times New Roman" w:hAnsi="Times New Roman" w:eastAsia="宋体" w:cs="Times New Roman"/>
          <w:lang w:bidi="ar"/>
        </w:rPr>
        <w:t>“使用含有监测目标化合物的有证标准气体进行测定，标准气体的不确定度应不超过 ± 5%”“以校准曲线中间点进行校准，其测定结果与理论浓度值偏差应 ≤ 30%”，则所选标准气体的标称不确定度应 ＜ 5%。</w:t>
      </w:r>
    </w:p>
    <w:p>
      <w:pPr>
        <w:numPr>
          <w:ilvl w:val="0"/>
          <w:numId w:val="2"/>
        </w:numPr>
        <w:spacing w:line="360" w:lineRule="atLeast"/>
        <w:ind w:firstLine="420" w:firstLineChars="200"/>
        <w:jc w:val="left"/>
        <w:rPr>
          <w:rFonts w:ascii="Times New Roman" w:hAnsi="Times New Roman" w:eastAsia="宋体" w:cs="Times New Roman"/>
          <w:szCs w:val="21"/>
        </w:rPr>
      </w:pPr>
      <w:r>
        <w:rPr>
          <w:rFonts w:hint="eastAsia" w:ascii="Times New Roman" w:hAnsi="Times New Roman" w:eastAsia="宋体" w:cs="Times New Roman"/>
        </w:rPr>
        <w:t>干扰组分影响评价</w:t>
      </w:r>
    </w:p>
    <w:p>
      <w:pPr>
        <w:numPr>
          <w:ilvl w:val="255"/>
          <w:numId w:val="0"/>
        </w:numPr>
        <w:spacing w:line="360" w:lineRule="atLeast"/>
        <w:ind w:firstLine="420" w:firstLineChars="200"/>
        <w:jc w:val="left"/>
        <w:rPr>
          <w:rFonts w:ascii="Times New Roman" w:hAnsi="Times New Roman" w:eastAsia="宋体" w:cs="Times New Roman"/>
        </w:rPr>
      </w:pPr>
      <w:r>
        <w:rPr>
          <w:rFonts w:ascii="Times New Roman" w:hAnsi="Times New Roman" w:eastAsia="宋体" w:cs="Times New Roman"/>
        </w:rPr>
        <w:t>主导实验室可根据比对</w:t>
      </w:r>
      <w:r>
        <w:rPr>
          <w:rFonts w:hint="eastAsia" w:ascii="Times New Roman" w:hAnsi="Times New Roman" w:eastAsia="宋体" w:cs="Times New Roman"/>
        </w:rPr>
        <w:t>样品</w:t>
      </w:r>
      <w:r>
        <w:rPr>
          <w:rFonts w:ascii="Times New Roman" w:hAnsi="Times New Roman" w:eastAsia="宋体" w:cs="Times New Roman"/>
        </w:rPr>
        <w:t>的组成性质，对可能存在的干扰组分进行预估，并采用稳健可靠的分析测量方法对干扰组分进行定量测量。</w:t>
      </w:r>
    </w:p>
    <w:p>
      <w:pPr>
        <w:numPr>
          <w:ilvl w:val="0"/>
          <w:numId w:val="2"/>
        </w:num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rPr>
        <w:t>证书规范性检查</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主导实验室可对比对样品的证书进行形式检查，检查依据JJF</w:t>
      </w:r>
      <w:r>
        <w:rPr>
          <w:rFonts w:hint="eastAsia" w:ascii="Times New Roman" w:hAnsi="Times New Roman" w:eastAsia="宋体" w:cs="Times New Roman"/>
        </w:rPr>
        <w:t xml:space="preserve"> </w:t>
      </w:r>
      <w:r>
        <w:rPr>
          <w:rFonts w:ascii="Times New Roman" w:hAnsi="Times New Roman" w:eastAsia="宋体" w:cs="Times New Roman"/>
        </w:rPr>
        <w:t xml:space="preserve">1186 </w:t>
      </w:r>
      <w:r>
        <w:rPr>
          <w:rFonts w:hint="eastAsia" w:ascii="Times New Roman" w:hAnsi="Times New Roman" w:eastAsia="宋体" w:cs="Times New Roman"/>
        </w:rPr>
        <w:t>和GB/T 15000.4</w:t>
      </w:r>
      <w:r>
        <w:rPr>
          <w:rFonts w:ascii="Times New Roman" w:hAnsi="Times New Roman" w:eastAsia="宋体" w:cs="Times New Roman"/>
        </w:rPr>
        <w:t>执行</w:t>
      </w:r>
      <w:r>
        <w:rPr>
          <w:rFonts w:hint="eastAsia" w:ascii="Times New Roman" w:hAnsi="Times New Roman" w:eastAsia="宋体" w:cs="Times New Roman"/>
        </w:rPr>
        <w:t>，</w:t>
      </w:r>
      <w:r>
        <w:rPr>
          <w:rFonts w:ascii="Times New Roman" w:hAnsi="Times New Roman" w:eastAsia="宋体" w:cs="Times New Roman"/>
        </w:rPr>
        <w:t>也可在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w:t>
      </w:r>
      <w:r>
        <w:rPr>
          <w:rFonts w:ascii="Times New Roman" w:hAnsi="Times New Roman" w:eastAsia="宋体" w:cs="Times New Roman"/>
        </w:rPr>
        <w:t>和</w:t>
      </w:r>
      <w:r>
        <w:rPr>
          <w:rFonts w:hint="eastAsia" w:ascii="Times New Roman" w:hAnsi="Times New Roman" w:eastAsia="宋体" w:cs="Times New Roman"/>
        </w:rPr>
        <w:t>“</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）”分别检查标准物质和标准样品的取证范围、有效期等信息是否真实、准确。</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44" w:name="_Toc30399"/>
      <w:bookmarkStart w:id="145" w:name="_Toc118815076"/>
      <w:bookmarkStart w:id="146" w:name="_Toc24903"/>
      <w:bookmarkStart w:id="147" w:name="_Toc25248"/>
      <w:bookmarkStart w:id="148" w:name="_Toc121693353"/>
      <w:bookmarkStart w:id="149" w:name="_Toc29774"/>
      <w:r>
        <w:rPr>
          <w:rFonts w:ascii="Times New Roman" w:hAnsi="Times New Roman" w:eastAsia="黑体" w:cs="Times New Roman"/>
          <w:szCs w:val="21"/>
        </w:rPr>
        <w:t>比对总结报告</w:t>
      </w:r>
      <w:bookmarkEnd w:id="144"/>
      <w:bookmarkEnd w:id="145"/>
      <w:bookmarkEnd w:id="146"/>
      <w:bookmarkEnd w:id="147"/>
      <w:bookmarkEnd w:id="148"/>
      <w:bookmarkEnd w:id="149"/>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主导实验室负责起草比对总结报告</w:t>
      </w:r>
      <w:r>
        <w:rPr>
          <w:rFonts w:hint="eastAsia" w:ascii="Times New Roman" w:hAnsi="Times New Roman" w:eastAsia="宋体" w:cs="Times New Roman"/>
        </w:rPr>
        <w:t>。具体内容可</w:t>
      </w:r>
      <w:r>
        <w:rPr>
          <w:rFonts w:ascii="Times New Roman" w:hAnsi="Times New Roman" w:eastAsia="宋体" w:cs="Times New Roman"/>
        </w:rPr>
        <w:t>参照JJF</w:t>
      </w:r>
      <w:r>
        <w:rPr>
          <w:rFonts w:hint="eastAsia" w:ascii="Times New Roman" w:hAnsi="Times New Roman" w:eastAsia="宋体" w:cs="Times New Roman"/>
        </w:rPr>
        <w:t xml:space="preserve"> </w:t>
      </w:r>
      <w:r>
        <w:rPr>
          <w:rFonts w:ascii="Times New Roman" w:hAnsi="Times New Roman" w:eastAsia="宋体" w:cs="Times New Roman"/>
        </w:rPr>
        <w:t>1960</w:t>
      </w:r>
      <w:r>
        <w:rPr>
          <w:rFonts w:hint="eastAsia" w:ascii="Times New Roman" w:hAnsi="Times New Roman" w:eastAsia="宋体" w:cs="Times New Roman"/>
        </w:rPr>
        <w:t>中的“7.7比对总结报告的起草”编写</w:t>
      </w:r>
      <w:r>
        <w:rPr>
          <w:rFonts w:ascii="Times New Roman" w:hAnsi="Times New Roman" w:eastAsia="宋体" w:cs="Times New Roman"/>
        </w:rPr>
        <w:t>。如果在比对测试期间还进行了稳定性核查、适用性核查，则相关内容也应该写入比对总结报告中。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制造商标气准确性形成严格的统计意义上的评估，因此比对总结报告应注明“所提供的数据仅代表被抽测比对样品的质量水平”。</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50" w:name="_Toc5797"/>
      <w:bookmarkStart w:id="151" w:name="_Toc32441"/>
      <w:bookmarkStart w:id="152" w:name="_Toc20305"/>
      <w:bookmarkStart w:id="153" w:name="_Toc118815077"/>
      <w:bookmarkStart w:id="154" w:name="_Toc121693354"/>
      <w:bookmarkStart w:id="155" w:name="_Toc31563"/>
      <w:r>
        <w:rPr>
          <w:rFonts w:ascii="Times New Roman" w:hAnsi="Times New Roman" w:eastAsia="黑体" w:cs="Times New Roman"/>
          <w:szCs w:val="21"/>
        </w:rPr>
        <w:t>比对资料归档</w:t>
      </w:r>
      <w:bookmarkEnd w:id="150"/>
      <w:bookmarkEnd w:id="151"/>
      <w:bookmarkEnd w:id="152"/>
      <w:bookmarkEnd w:id="153"/>
      <w:bookmarkEnd w:id="154"/>
      <w:bookmarkEnd w:id="155"/>
    </w:p>
    <w:p>
      <w:pPr>
        <w:spacing w:line="360" w:lineRule="exact"/>
        <w:ind w:firstLine="420" w:firstLineChars="200"/>
        <w:rPr>
          <w:rFonts w:ascii="Times New Roman" w:hAnsi="Times New Roman" w:eastAsia="宋体" w:cs="Times New Roman"/>
          <w:szCs w:val="21"/>
        </w:rPr>
      </w:pPr>
      <w:bookmarkStart w:id="156" w:name="_Toc7423"/>
      <w:bookmarkStart w:id="157" w:name="_Toc6227"/>
      <w:bookmarkStart w:id="158" w:name="_Toc8044"/>
      <w:bookmarkStart w:id="159" w:name="_Toc27516"/>
      <w:bookmarkStart w:id="160" w:name="_Toc32662"/>
      <w:bookmarkStart w:id="161" w:name="_Toc8793"/>
      <w:r>
        <w:rPr>
          <w:rFonts w:hint="eastAsia" w:ascii="Times New Roman" w:hAnsi="Times New Roman" w:eastAsia="宋体" w:cs="Times New Roman"/>
          <w:szCs w:val="21"/>
        </w:rPr>
        <w:t>比对过程中产生的技术资料应归档保存。包括：前期调研结果、比对样品采购或收发记录、比对样品所附证书、方法性能评估实验原始记录、分析方法参数、比对抽测实施方案、样品测试原始记录、比对参考值不确定度评估、比对总结报告等。</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162" w:name="_Toc5719"/>
      <w:bookmarkStart w:id="163" w:name="_Toc6466"/>
      <w:bookmarkStart w:id="164" w:name="_Toc2974"/>
      <w:bookmarkStart w:id="165" w:name="_Toc23528"/>
      <w:bookmarkStart w:id="166" w:name="_Toc31445"/>
      <w:bookmarkStart w:id="167" w:name="_Toc26488"/>
      <w:bookmarkStart w:id="168" w:name="_Toc121693355"/>
      <w:r>
        <w:rPr>
          <w:rFonts w:ascii="Times New Roman" w:hAnsi="Times New Roman" w:eastAsia="黑体" w:cs="Times New Roman"/>
          <w:szCs w:val="21"/>
        </w:rPr>
        <w:t>比对</w:t>
      </w:r>
      <w:r>
        <w:rPr>
          <w:rFonts w:hint="eastAsia" w:ascii="Times New Roman" w:hAnsi="Times New Roman" w:eastAsia="黑体" w:cs="Times New Roman"/>
          <w:szCs w:val="21"/>
        </w:rPr>
        <w:t>结果应用</w:t>
      </w:r>
      <w:bookmarkEnd w:id="162"/>
      <w:bookmarkEnd w:id="163"/>
      <w:bookmarkEnd w:id="164"/>
      <w:bookmarkEnd w:id="165"/>
      <w:bookmarkEnd w:id="166"/>
      <w:bookmarkEnd w:id="167"/>
      <w:bookmarkEnd w:id="168"/>
    </w:p>
    <w:p>
      <w:pPr>
        <w:spacing w:line="360" w:lineRule="exact"/>
        <w:ind w:firstLine="420" w:firstLineChars="200"/>
        <w:rPr>
          <w:rFonts w:ascii="Times New Roman" w:hAnsi="Times New Roman" w:eastAsia="宋体" w:cs="Times New Roman"/>
          <w:szCs w:val="21"/>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bCs/>
          <w:szCs w:val="21"/>
        </w:rPr>
        <w:t>主导实验室可依据比对抽测评价结果管理实验室已有的标气，或参考其选择可靠的制造商作为合格供应商；也可将比对抽测评价结果推送相关应用部门，为其选择可靠的制造商作为合格供应商提供参考；也可将调查和评价结果推动相关管理部门，为行业标气的研制、监管提供参考。</w:t>
      </w:r>
    </w:p>
    <w:p>
      <w:pPr>
        <w:keepNext/>
        <w:adjustRightInd w:val="0"/>
        <w:snapToGrid w:val="0"/>
        <w:jc w:val="center"/>
        <w:outlineLvl w:val="0"/>
        <w:rPr>
          <w:rFonts w:ascii="黑体" w:hAnsi="黑体" w:eastAsia="黑体" w:cs="Times New Roman"/>
          <w:kern w:val="0"/>
          <w:szCs w:val="21"/>
        </w:rPr>
      </w:pPr>
      <w:bookmarkStart w:id="169" w:name="_Toc30899"/>
      <w:bookmarkStart w:id="170" w:name="_Toc22894"/>
      <w:bookmarkStart w:id="171" w:name="_Toc121693356"/>
      <w:bookmarkStart w:id="172" w:name="_Toc118815078"/>
      <w:bookmarkStart w:id="173" w:name="_Toc15686"/>
      <w:bookmarkStart w:id="174" w:name="_Toc32459"/>
      <w:r>
        <w:rPr>
          <w:rFonts w:ascii="黑体" w:hAnsi="黑体" w:eastAsia="黑体" w:cs="Times New Roman"/>
          <w:kern w:val="0"/>
          <w:szCs w:val="21"/>
        </w:rPr>
        <w:t>附录A</w:t>
      </w:r>
      <w:bookmarkEnd w:id="156"/>
      <w:bookmarkEnd w:id="169"/>
      <w:bookmarkEnd w:id="170"/>
      <w:bookmarkEnd w:id="171"/>
      <w:bookmarkEnd w:id="172"/>
      <w:bookmarkEnd w:id="173"/>
      <w:bookmarkEnd w:id="174"/>
    </w:p>
    <w:p>
      <w:pPr>
        <w:keepNext/>
        <w:adjustRightInd w:val="0"/>
        <w:snapToGrid w:val="0"/>
        <w:jc w:val="center"/>
        <w:outlineLvl w:val="0"/>
        <w:rPr>
          <w:rFonts w:ascii="黑体" w:hAnsi="黑体" w:eastAsia="黑体" w:cs="Times New Roman"/>
          <w:kern w:val="0"/>
          <w:szCs w:val="21"/>
        </w:rPr>
      </w:pPr>
      <w:bookmarkStart w:id="175" w:name="_Toc28022"/>
      <w:bookmarkStart w:id="176" w:name="_Toc121693357"/>
      <w:bookmarkStart w:id="177" w:name="_Toc13330"/>
      <w:bookmarkStart w:id="178" w:name="_Toc27152"/>
      <w:bookmarkStart w:id="179" w:name="_Toc20407"/>
      <w:bookmarkStart w:id="180" w:name="_Toc27207"/>
      <w:bookmarkStart w:id="181" w:name="_Toc118815079"/>
      <w:bookmarkStart w:id="182" w:name="_Toc1574"/>
      <w:r>
        <w:rPr>
          <w:rFonts w:ascii="黑体" w:hAnsi="黑体" w:eastAsia="黑体" w:cs="Times New Roman"/>
          <w:kern w:val="0"/>
          <w:szCs w:val="21"/>
        </w:rPr>
        <w:t>（资料性附录）</w:t>
      </w:r>
      <w:bookmarkEnd w:id="175"/>
      <w:bookmarkEnd w:id="176"/>
      <w:bookmarkEnd w:id="177"/>
      <w:bookmarkEnd w:id="178"/>
      <w:bookmarkEnd w:id="179"/>
      <w:bookmarkEnd w:id="180"/>
      <w:bookmarkEnd w:id="181"/>
      <w:bookmarkEnd w:id="182"/>
    </w:p>
    <w:p>
      <w:pPr>
        <w:keepNext/>
        <w:widowControl/>
        <w:adjustRightInd w:val="0"/>
        <w:snapToGrid w:val="0"/>
        <w:jc w:val="center"/>
        <w:outlineLvl w:val="0"/>
        <w:rPr>
          <w:rFonts w:ascii="黑体" w:hAnsi="黑体" w:eastAsia="黑体" w:cs="Times New Roman"/>
          <w:kern w:val="0"/>
          <w:szCs w:val="21"/>
        </w:rPr>
      </w:pPr>
      <w:bookmarkStart w:id="183" w:name="_Toc14624"/>
      <w:bookmarkStart w:id="184" w:name="_Toc25270"/>
      <w:bookmarkStart w:id="185" w:name="_Toc121693358"/>
      <w:bookmarkStart w:id="186" w:name="_Toc7531"/>
      <w:bookmarkStart w:id="187" w:name="_Toc22682"/>
      <w:r>
        <w:rPr>
          <w:rFonts w:ascii="黑体" w:hAnsi="黑体" w:eastAsia="黑体" w:cs="Times New Roman"/>
          <w:kern w:val="0"/>
          <w:szCs w:val="21"/>
          <w:lang w:bidi="ar"/>
        </w:rPr>
        <w:t>57 组分环境空气臭氧前体挥发性有机物清单</w:t>
      </w:r>
      <w:bookmarkEnd w:id="183"/>
      <w:bookmarkEnd w:id="184"/>
      <w:bookmarkEnd w:id="185"/>
      <w:bookmarkEnd w:id="186"/>
      <w:bookmarkEnd w:id="187"/>
    </w:p>
    <w:tbl>
      <w:tblPr>
        <w:tblStyle w:val="16"/>
        <w:tblW w:w="516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9"/>
        <w:gridCol w:w="1773"/>
        <w:gridCol w:w="1035"/>
        <w:gridCol w:w="1564"/>
        <w:gridCol w:w="1898"/>
        <w:gridCol w:w="110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8" w:hRule="atLeast"/>
          <w:jc w:val="center"/>
        </w:trPr>
        <w:tc>
          <w:tcPr>
            <w:tcW w:w="1813" w:type="pct"/>
            <w:gridSpan w:val="2"/>
            <w:tcBorders>
              <w:bottom w:val="single" w:color="000000"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化合物</w:t>
            </w:r>
          </w:p>
        </w:tc>
        <w:tc>
          <w:tcPr>
            <w:tcW w:w="588" w:type="pct"/>
            <w:tcBorders>
              <w:bottom w:val="single" w:color="000000" w:sz="4" w:space="0"/>
              <w:right w:val="single" w:color="auto"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CAS</w:t>
            </w:r>
            <w:r>
              <w:rPr>
                <w:rFonts w:hint="eastAsia" w:ascii="宋体" w:hAnsi="宋体" w:eastAsia="宋体" w:cs="宋体"/>
                <w:b/>
                <w:bCs/>
                <w:color w:val="000000"/>
                <w:kern w:val="0"/>
                <w:sz w:val="18"/>
                <w:szCs w:val="18"/>
              </w:rPr>
              <w:t>号</w:t>
            </w:r>
          </w:p>
        </w:tc>
        <w:tc>
          <w:tcPr>
            <w:tcW w:w="1968" w:type="pct"/>
            <w:gridSpan w:val="2"/>
            <w:tcBorders>
              <w:left w:val="single" w:color="auto" w:sz="4" w:space="0"/>
              <w:bottom w:val="single" w:color="000000" w:sz="4" w:space="0"/>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化合物</w:t>
            </w:r>
          </w:p>
        </w:tc>
        <w:tc>
          <w:tcPr>
            <w:tcW w:w="629" w:type="pct"/>
            <w:tcBorders>
              <w:bottom w:val="single" w:color="000000" w:sz="4" w:space="0"/>
              <w:tl2br w:val="nil"/>
              <w:tr2bl w:val="nil"/>
            </w:tcBorders>
            <w:shd w:val="clear" w:color="auto" w:fill="auto"/>
            <w:noWrap/>
            <w:vAlign w:val="center"/>
          </w:tcPr>
          <w:p>
            <w:pPr>
              <w:widowControl/>
              <w:jc w:val="center"/>
              <w:rPr>
                <w:rFonts w:ascii="Calibri" w:hAnsi="Calibri" w:eastAsia="宋体" w:cs="宋体"/>
                <w:b/>
                <w:bCs/>
                <w:color w:val="000000"/>
                <w:kern w:val="0"/>
                <w:sz w:val="18"/>
                <w:szCs w:val="18"/>
              </w:rPr>
            </w:pPr>
            <w:r>
              <w:rPr>
                <w:rFonts w:ascii="Calibri" w:hAnsi="Calibri" w:eastAsia="宋体" w:cs="宋体"/>
                <w:b/>
                <w:bCs/>
                <w:color w:val="000000"/>
                <w:kern w:val="0"/>
                <w:sz w:val="18"/>
                <w:szCs w:val="18"/>
              </w:rPr>
              <w:t>CAS</w:t>
            </w:r>
            <w:r>
              <w:rPr>
                <w:rFonts w:hint="eastAsia" w:ascii="宋体" w:hAnsi="宋体" w:eastAsia="宋体" w:cs="宋体"/>
                <w:b/>
                <w:bCs/>
                <w:color w:val="000000"/>
                <w:kern w:val="0"/>
                <w:sz w:val="18"/>
                <w:szCs w:val="18"/>
              </w:rPr>
              <w:t>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8" w:hRule="atLeast"/>
          <w:jc w:val="center"/>
        </w:trPr>
        <w:tc>
          <w:tcPr>
            <w:tcW w:w="806"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乙烯</w:t>
            </w:r>
          </w:p>
        </w:tc>
        <w:tc>
          <w:tcPr>
            <w:tcW w:w="1007"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Ethylene</w:t>
            </w:r>
          </w:p>
        </w:tc>
        <w:tc>
          <w:tcPr>
            <w:tcW w:w="588" w:type="pct"/>
            <w:tcBorders>
              <w:top w:val="single" w:color="000000" w:sz="4" w:space="0"/>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74-85-1</w:t>
            </w:r>
          </w:p>
        </w:tc>
        <w:tc>
          <w:tcPr>
            <w:tcW w:w="889" w:type="pct"/>
            <w:tcBorders>
              <w:top w:val="single" w:color="000000" w:sz="4" w:space="0"/>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3-甲基己烷</w:t>
            </w:r>
          </w:p>
        </w:tc>
        <w:tc>
          <w:tcPr>
            <w:tcW w:w="1078" w:type="pct"/>
            <w:tcBorders>
              <w:top w:val="single" w:color="000000"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3-Methylhexane</w:t>
            </w:r>
          </w:p>
        </w:tc>
        <w:tc>
          <w:tcPr>
            <w:tcW w:w="629" w:type="pct"/>
            <w:tcBorders>
              <w:top w:val="single" w:color="000000"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589-34-4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乙炔</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Acetylene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74-86-2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2,2,4-三甲基戊烷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2,2,4-Trimethylpentane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540-84-1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74-84-0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142-82-5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Propylene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115-07-1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甲基环己烷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Methylcyclohexane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108-87-2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74-98-6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2,3,4-三甲基戊烷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2,3,4-Trimethylpentane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565-75-3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75-28-5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106-98-9</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592-27-8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106-97-8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3-甲基庚烷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3-Methylheptane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589-81-1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顺-2-丁烯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cis-2-Butene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590-18-1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正辛烷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Octane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111-65-9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反-2-丁烯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trans-2-Butene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624-64-6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100-41-4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78-78-4</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邻二甲苯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95-47-6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109-67-1</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间二甲苯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108-38-3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n-Pentane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109-66-0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对二甲苯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1,4-Dimethylbenzene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106-42-3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异戊二烯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Isoprene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78-79-5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苯乙烯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Styrene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100-42-5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顺-2-戊烯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cis-2-Pentene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627-20-3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正壬烷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Nonane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111-84-2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反-2-戊烯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trans-2-Pentene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646-04-8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异丙基苯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Cumene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98-82-8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2,2-二甲基丁烷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2,2-Dimethylbutane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75-83-2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丙基苯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Propylbenzene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103-65-1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环戊烷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Cyclopentane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287-92-3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620-14-4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2,3-二甲基丁烷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2,3-Dimethylbutane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79-29-8</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4-乙基甲苯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4-Ethyltoluene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622-96-8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107-83-5</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1,3,5-三甲基苯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1,3,5-Trimethylbenzene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3-Methylpentane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96-14-0</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2-乙基甲苯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2-Ethyltoluene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611-14-3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1-己烯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1-Hexene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592-41-6</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95-63-6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110-54-3</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正癸烷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124-18-5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甲基环戊烷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Methylcyclopentane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96-37-7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1,2,3-三甲基苯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1,2,3-Trimethylbenzene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526-73-8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2,4-二甲基戊烷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2,4-Dimethylpentane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108-08-7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间二乙苯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1,3-Diethylbenzene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141-93-5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苯</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Benzene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71-43-2</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对二乙苯</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1,4-Diethylbenzene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105-05-5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环己烷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Cyclohexane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110-82-7</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正十一烷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Undecane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1120-21-4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2-甲基己烷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2-Methylhexane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591-76-4</w:t>
            </w:r>
          </w:p>
        </w:tc>
        <w:tc>
          <w:tcPr>
            <w:tcW w:w="889" w:type="pct"/>
            <w:tcBorders>
              <w:top w:val="nil"/>
              <w:left w:val="single" w:color="auto" w:sz="4" w:space="0"/>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正十二烷</w:t>
            </w:r>
          </w:p>
        </w:tc>
        <w:tc>
          <w:tcPr>
            <w:tcW w:w="1078" w:type="pct"/>
            <w:tcBorders>
              <w:top w:val="nil"/>
              <w:bottom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Dodecane</w:t>
            </w: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112-40-3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38" w:hRule="atLeast"/>
          <w:jc w:val="center"/>
        </w:trPr>
        <w:tc>
          <w:tcPr>
            <w:tcW w:w="806"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2,3-二甲基戊烷</w:t>
            </w:r>
          </w:p>
        </w:tc>
        <w:tc>
          <w:tcPr>
            <w:tcW w:w="1007"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2,3-Dimethylpentane</w:t>
            </w:r>
          </w:p>
        </w:tc>
        <w:tc>
          <w:tcPr>
            <w:tcW w:w="588" w:type="pct"/>
            <w:tcBorders>
              <w:right w:val="single" w:color="auto" w:sz="4" w:space="0"/>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r>
              <w:rPr>
                <w:rFonts w:ascii="Times New Roman" w:hAnsi="Times New Roman" w:eastAsia="宋体" w:cs="Times New Roman"/>
                <w:sz w:val="18"/>
                <w:szCs w:val="21"/>
                <w:lang w:bidi="ar"/>
              </w:rPr>
              <w:t>565-59-3</w:t>
            </w:r>
          </w:p>
        </w:tc>
        <w:tc>
          <w:tcPr>
            <w:tcW w:w="889" w:type="pct"/>
            <w:tcBorders>
              <w:top w:val="nil"/>
              <w:left w:val="single" w:color="auto" w:sz="4" w:space="0"/>
            </w:tcBorders>
            <w:shd w:val="clear" w:color="auto" w:fill="auto"/>
            <w:noWrap/>
            <w:vAlign w:val="center"/>
          </w:tcPr>
          <w:p>
            <w:pPr>
              <w:widowControl/>
              <w:jc w:val="left"/>
              <w:rPr>
                <w:rFonts w:ascii="Times New Roman" w:hAnsi="Times New Roman" w:eastAsia="宋体" w:cs="Times New Roman"/>
                <w:sz w:val="18"/>
                <w:szCs w:val="21"/>
                <w:lang w:bidi="ar"/>
              </w:rPr>
            </w:pPr>
          </w:p>
        </w:tc>
        <w:tc>
          <w:tcPr>
            <w:tcW w:w="1078" w:type="pct"/>
            <w:tcBorders>
              <w:top w:val="nil"/>
            </w:tcBorders>
            <w:shd w:val="clear" w:color="auto" w:fill="auto"/>
            <w:noWrap/>
            <w:vAlign w:val="center"/>
          </w:tcPr>
          <w:p>
            <w:pPr>
              <w:widowControl/>
              <w:jc w:val="left"/>
              <w:rPr>
                <w:rFonts w:ascii="Times New Roman" w:hAnsi="Times New Roman" w:eastAsia="宋体" w:cs="Times New Roman"/>
                <w:sz w:val="18"/>
                <w:szCs w:val="21"/>
                <w:lang w:bidi="ar"/>
              </w:rPr>
            </w:pPr>
          </w:p>
        </w:tc>
        <w:tc>
          <w:tcPr>
            <w:tcW w:w="629" w:type="pct"/>
            <w:tcBorders>
              <w:tl2br w:val="nil"/>
              <w:tr2bl w:val="nil"/>
            </w:tcBorders>
            <w:shd w:val="clear" w:color="auto" w:fill="auto"/>
            <w:noWrap/>
            <w:vAlign w:val="center"/>
          </w:tcPr>
          <w:p>
            <w:pPr>
              <w:widowControl/>
              <w:jc w:val="left"/>
              <w:rPr>
                <w:rFonts w:ascii="Times New Roman" w:hAnsi="Times New Roman" w:eastAsia="宋体" w:cs="Times New Roman"/>
                <w:sz w:val="18"/>
                <w:szCs w:val="21"/>
                <w:lang w:bidi="ar"/>
              </w:rPr>
            </w:pPr>
          </w:p>
        </w:tc>
      </w:tr>
      <w:bookmarkEnd w:id="157"/>
      <w:bookmarkEnd w:id="158"/>
      <w:bookmarkEnd w:id="159"/>
      <w:bookmarkEnd w:id="160"/>
      <w:bookmarkEnd w:id="161"/>
    </w:tbl>
    <w:p>
      <w:pPr>
        <w:keepNext/>
        <w:adjustRightInd w:val="0"/>
        <w:snapToGrid w:val="0"/>
        <w:jc w:val="center"/>
        <w:outlineLvl w:val="0"/>
        <w:rPr>
          <w:rFonts w:ascii="黑体" w:hAnsi="黑体" w:eastAsia="黑体" w:cs="Times New Roman"/>
          <w:kern w:val="0"/>
          <w:szCs w:val="21"/>
        </w:rPr>
        <w:sectPr>
          <w:pgSz w:w="11906" w:h="16838"/>
          <w:pgMar w:top="1440" w:right="1800" w:bottom="1440" w:left="1800" w:header="851" w:footer="992" w:gutter="0"/>
          <w:cols w:space="425" w:num="1"/>
          <w:docGrid w:type="lines" w:linePitch="312" w:charSpace="0"/>
        </w:sectPr>
      </w:pPr>
      <w:bookmarkStart w:id="188" w:name="_Toc118815080"/>
    </w:p>
    <w:p>
      <w:pPr>
        <w:keepNext/>
        <w:adjustRightInd w:val="0"/>
        <w:snapToGrid w:val="0"/>
        <w:jc w:val="center"/>
        <w:outlineLvl w:val="0"/>
        <w:rPr>
          <w:rFonts w:ascii="黑体" w:hAnsi="黑体" w:eastAsia="黑体" w:cs="Times New Roman"/>
          <w:kern w:val="0"/>
          <w:szCs w:val="21"/>
        </w:rPr>
      </w:pPr>
      <w:bookmarkStart w:id="189" w:name="_Toc16666"/>
      <w:bookmarkStart w:id="190" w:name="_Toc30643"/>
      <w:bookmarkStart w:id="191" w:name="_Toc121693359"/>
      <w:bookmarkStart w:id="192" w:name="_Toc659"/>
      <w:bookmarkStart w:id="193" w:name="_Toc7889"/>
      <w:r>
        <w:rPr>
          <w:rFonts w:ascii="黑体" w:hAnsi="黑体" w:eastAsia="黑体" w:cs="Times New Roman"/>
          <w:kern w:val="0"/>
          <w:szCs w:val="21"/>
        </w:rPr>
        <w:t>附录</w:t>
      </w:r>
      <w:r>
        <w:rPr>
          <w:rFonts w:hint="eastAsia" w:ascii="黑体" w:hAnsi="黑体" w:eastAsia="黑体" w:cs="Times New Roman"/>
          <w:kern w:val="0"/>
          <w:szCs w:val="21"/>
        </w:rPr>
        <w:t>B</w:t>
      </w:r>
      <w:bookmarkEnd w:id="189"/>
      <w:bookmarkEnd w:id="190"/>
      <w:bookmarkEnd w:id="191"/>
      <w:bookmarkEnd w:id="192"/>
      <w:bookmarkEnd w:id="193"/>
    </w:p>
    <w:p>
      <w:pPr>
        <w:keepNext/>
        <w:adjustRightInd w:val="0"/>
        <w:snapToGrid w:val="0"/>
        <w:jc w:val="center"/>
        <w:outlineLvl w:val="0"/>
        <w:rPr>
          <w:rFonts w:ascii="黑体" w:hAnsi="黑体" w:eastAsia="黑体" w:cs="Times New Roman"/>
          <w:kern w:val="0"/>
          <w:szCs w:val="21"/>
        </w:rPr>
      </w:pPr>
      <w:bookmarkStart w:id="194" w:name="_Toc7173"/>
      <w:bookmarkStart w:id="195" w:name="_Toc14348"/>
      <w:bookmarkStart w:id="196" w:name="_Toc27827"/>
      <w:bookmarkStart w:id="197" w:name="_Toc11112"/>
      <w:bookmarkStart w:id="198" w:name="_Toc121693360"/>
      <w:r>
        <w:rPr>
          <w:rFonts w:ascii="黑体" w:hAnsi="黑体" w:eastAsia="黑体" w:cs="Times New Roman"/>
          <w:kern w:val="0"/>
          <w:szCs w:val="21"/>
        </w:rPr>
        <w:t>（资料性附录）</w:t>
      </w:r>
      <w:bookmarkEnd w:id="194"/>
      <w:bookmarkEnd w:id="195"/>
      <w:bookmarkEnd w:id="196"/>
      <w:bookmarkEnd w:id="197"/>
      <w:bookmarkEnd w:id="198"/>
    </w:p>
    <w:p>
      <w:pPr>
        <w:keepNext/>
        <w:adjustRightInd w:val="0"/>
        <w:snapToGrid w:val="0"/>
        <w:jc w:val="center"/>
        <w:outlineLvl w:val="0"/>
        <w:rPr>
          <w:rFonts w:ascii="黑体" w:hAnsi="黑体" w:eastAsia="黑体" w:cs="Times New Roman"/>
          <w:kern w:val="0"/>
          <w:szCs w:val="21"/>
        </w:rPr>
      </w:pPr>
      <w:bookmarkStart w:id="199" w:name="_Toc28094"/>
      <w:bookmarkStart w:id="200" w:name="_Toc29200"/>
      <w:bookmarkStart w:id="201" w:name="_Toc121693361"/>
      <w:bookmarkStart w:id="202" w:name="_Toc16857"/>
      <w:bookmarkStart w:id="203" w:name="_Toc1191"/>
      <w:r>
        <w:rPr>
          <w:rFonts w:ascii="黑体" w:hAnsi="黑体" w:eastAsia="黑体" w:cs="Times New Roman"/>
          <w:kern w:val="0"/>
          <w:szCs w:val="21"/>
        </w:rPr>
        <w:t>参考</w:t>
      </w:r>
      <w:bookmarkEnd w:id="188"/>
      <w:r>
        <w:rPr>
          <w:rFonts w:hint="eastAsia" w:ascii="黑体" w:hAnsi="黑体" w:eastAsia="黑体" w:cs="Times New Roman"/>
          <w:kern w:val="0"/>
          <w:szCs w:val="21"/>
        </w:rPr>
        <w:t>分析方法</w:t>
      </w:r>
      <w:bookmarkEnd w:id="199"/>
      <w:bookmarkEnd w:id="200"/>
      <w:bookmarkEnd w:id="201"/>
      <w:bookmarkEnd w:id="202"/>
      <w:bookmarkEnd w:id="203"/>
    </w:p>
    <w:p>
      <w:pPr>
        <w:rPr>
          <w:rFonts w:ascii="Times New Roman" w:hAnsi="Times New Roman" w:eastAsia="宋体" w:cs="Times New Roman"/>
          <w:bCs/>
          <w:color w:val="000000"/>
          <w:kern w:val="0"/>
          <w:sz w:val="18"/>
          <w:szCs w:val="18"/>
          <w:lang w:bidi="ar"/>
        </w:rPr>
      </w:pPr>
      <w:r>
        <w:rPr>
          <w:rFonts w:ascii="Times New Roman" w:hAnsi="Times New Roman" w:eastAsia="宋体" w:cs="Times New Roman"/>
          <w:b/>
          <w:bCs/>
          <w:color w:val="000000"/>
          <w:kern w:val="0"/>
          <w:sz w:val="18"/>
          <w:szCs w:val="18"/>
          <w:lang w:bidi="ar"/>
        </w:rPr>
        <w:t>B.1</w:t>
      </w:r>
      <w:r>
        <w:rPr>
          <w:rFonts w:hint="eastAsia" w:ascii="Times New Roman" w:hAnsi="Times New Roman" w:eastAsia="宋体" w:cs="Times New Roman"/>
          <w:b/>
          <w:bCs/>
          <w:color w:val="000000"/>
          <w:kern w:val="0"/>
          <w:sz w:val="18"/>
          <w:szCs w:val="18"/>
          <w:lang w:bidi="ar"/>
        </w:rPr>
        <w:t>仪器与</w:t>
      </w:r>
      <w:r>
        <w:rPr>
          <w:rFonts w:hint="eastAsia" w:ascii="Times New Roman" w:hAnsi="Times New Roman" w:eastAsia="宋体" w:cs="Times New Roman"/>
          <w:b/>
          <w:color w:val="000000"/>
          <w:kern w:val="0"/>
          <w:sz w:val="18"/>
          <w:szCs w:val="18"/>
          <w:lang w:bidi="ar"/>
        </w:rPr>
        <w:t>设备</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w:t>
      </w:r>
      <w:r>
        <w:rPr>
          <w:rFonts w:ascii="Times New Roman" w:hAnsi="Times New Roman" w:eastAsia="宋体" w:cs="Times New Roman"/>
          <w:sz w:val="18"/>
          <w:szCs w:val="18"/>
        </w:rPr>
        <w:t>.1.1 气相色谱仪：气相部分具有电子流量控制器，具备微流控板和双 FID 检测器，柱温箱具有程序升温功能。</w:t>
      </w:r>
    </w:p>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B.1</w:t>
      </w:r>
      <w:r>
        <w:rPr>
          <w:rFonts w:hint="eastAsia" w:ascii="Times New Roman" w:hAnsi="Times New Roman" w:eastAsia="宋体" w:cs="Times New Roman"/>
          <w:sz w:val="18"/>
          <w:szCs w:val="18"/>
        </w:rPr>
        <w:t>.2 毛细</w:t>
      </w:r>
      <w:r>
        <w:rPr>
          <w:rFonts w:ascii="Times New Roman" w:hAnsi="Times New Roman" w:eastAsia="宋体" w:cs="Times New Roman"/>
          <w:sz w:val="18"/>
          <w:szCs w:val="18"/>
        </w:rPr>
        <w:t>管色谱柱：色谱柱 1 ：固定相为 100% 二甲基聚硅氧烷的毛细管色谱柱（ 60 m × 0.250 mm × 1.0 μm），色谱柱 2 ：固定相为经硫酸钠脱活的氧化铝多孔层开口管（Al</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O</w:t>
      </w:r>
      <w:r>
        <w:rPr>
          <w:rFonts w:ascii="Times New Roman" w:hAnsi="Times New Roman" w:eastAsia="宋体" w:cs="Times New Roman"/>
          <w:sz w:val="18"/>
          <w:szCs w:val="18"/>
          <w:vertAlign w:val="subscript"/>
        </w:rPr>
        <w:t>3</w:t>
      </w:r>
      <w:r>
        <w:rPr>
          <w:rFonts w:ascii="Times New Roman" w:hAnsi="Times New Roman" w:eastAsia="宋体" w:cs="Times New Roman"/>
          <w:sz w:val="18"/>
          <w:szCs w:val="18"/>
        </w:rPr>
        <w:t xml:space="preserve"> / Na</w:t>
      </w:r>
      <w:r>
        <w:rPr>
          <w:rFonts w:ascii="Times New Roman" w:hAnsi="Times New Roman" w:eastAsia="宋体" w:cs="Times New Roman"/>
          <w:sz w:val="18"/>
          <w:szCs w:val="18"/>
          <w:vertAlign w:val="subscript"/>
        </w:rPr>
        <w:t>2</w:t>
      </w:r>
      <w:r>
        <w:rPr>
          <w:rFonts w:ascii="Times New Roman" w:hAnsi="Times New Roman" w:eastAsia="宋体" w:cs="Times New Roman"/>
          <w:sz w:val="18"/>
          <w:szCs w:val="18"/>
        </w:rPr>
        <w:t>SO</w:t>
      </w:r>
      <w:r>
        <w:rPr>
          <w:rFonts w:ascii="Times New Roman" w:hAnsi="Times New Roman" w:eastAsia="宋体" w:cs="Times New Roman"/>
          <w:sz w:val="18"/>
          <w:szCs w:val="18"/>
          <w:vertAlign w:val="subscript"/>
        </w:rPr>
        <w:t>4</w:t>
      </w:r>
      <w:r>
        <w:rPr>
          <w:rFonts w:ascii="Times New Roman" w:hAnsi="Times New Roman" w:eastAsia="宋体" w:cs="Times New Roman"/>
          <w:sz w:val="18"/>
          <w:szCs w:val="18"/>
        </w:rPr>
        <w:t xml:space="preserve"> PLOT）（50 m × 0.320 mm × 8 μm），或其他等效毛细管色谱柱。 </w:t>
      </w:r>
    </w:p>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B.1.3 气体自动进样器或气体进样六通阀，定量环体积 1 ~ 5 ml。</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.4 气体减压阀：入口压力 0</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3 500 psig，出口压力 0</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60 psig，应尽量选用小体积减压</w:t>
      </w:r>
      <w:r>
        <w:rPr>
          <w:rFonts w:hint="eastAsia" w:ascii="Times New Roman" w:hAnsi="Times New Roman" w:eastAsia="宋体" w:cs="Times New Roman"/>
          <w:sz w:val="18"/>
          <w:szCs w:val="18"/>
        </w:rPr>
        <w:t>阀</w:t>
      </w:r>
      <w:r>
        <w:rPr>
          <w:rFonts w:ascii="Times New Roman" w:hAnsi="Times New Roman" w:eastAsia="宋体" w:cs="Times New Roman"/>
          <w:sz w:val="18"/>
          <w:szCs w:val="18"/>
        </w:rPr>
        <w:t>，减</w:t>
      </w:r>
      <w:r>
        <w:rPr>
          <w:rFonts w:hint="eastAsia" w:ascii="Times New Roman" w:hAnsi="Times New Roman" w:eastAsia="宋体" w:cs="Times New Roman"/>
          <w:sz w:val="18"/>
          <w:szCs w:val="18"/>
        </w:rPr>
        <w:t>小</w:t>
      </w:r>
      <w:r>
        <w:rPr>
          <w:rFonts w:ascii="Times New Roman" w:hAnsi="Times New Roman" w:eastAsia="宋体" w:cs="Times New Roman"/>
          <w:sz w:val="18"/>
          <w:szCs w:val="18"/>
        </w:rPr>
        <w:t>进样死体积，降低样品残留。</w:t>
      </w:r>
    </w:p>
    <w:p>
      <w:pPr>
        <w:spacing w:line="36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 xml:space="preserve">.5 </w:t>
      </w:r>
      <w:r>
        <w:rPr>
          <w:rFonts w:hint="eastAsia" w:ascii="Times New Roman" w:hAnsi="Times New Roman" w:eastAsia="宋体" w:cs="Times New Roman"/>
          <w:sz w:val="18"/>
          <w:szCs w:val="18"/>
        </w:rPr>
        <w:t>标准气体：含有 57 种臭氧前体挥发性有机物（PAMS组分），基体为高纯氮气，常压下可释放 180 L以上的气体。</w:t>
      </w:r>
    </w:p>
    <w:p>
      <w:pPr>
        <w:spacing w:line="360" w:lineRule="exact"/>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sz w:val="18"/>
          <w:szCs w:val="18"/>
        </w:rPr>
        <w:t>B.1</w:t>
      </w:r>
      <w:r>
        <w:rPr>
          <w:rFonts w:ascii="Times New Roman" w:hAnsi="Times New Roman" w:eastAsia="宋体" w:cs="Times New Roman"/>
          <w:sz w:val="18"/>
          <w:szCs w:val="18"/>
        </w:rPr>
        <w:t xml:space="preserve">.6 </w:t>
      </w:r>
      <w:r>
        <w:rPr>
          <w:rFonts w:hint="eastAsia" w:ascii="Times New Roman" w:hAnsi="Times New Roman" w:eastAsia="宋体" w:cs="Times New Roman"/>
          <w:sz w:val="18"/>
          <w:szCs w:val="18"/>
        </w:rPr>
        <w:t>硅烷化不锈钢管线：用于连接气瓶至仪器进样口，管线应尽量短。</w:t>
      </w:r>
    </w:p>
    <w:p>
      <w:pPr>
        <w:spacing w:line="360" w:lineRule="exact"/>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B.2进样参考条件</w:t>
      </w:r>
    </w:p>
    <w:p>
      <w:pPr>
        <w:widowControl/>
        <w:spacing w:line="360" w:lineRule="atLeas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气瓶气体通过不锈钢减压阀减压后，调节出口压力至 10 psig（表压 69 kPa）或流量 1 ml/min，分别连接到多通道进样器或气体六通阀上。</w:t>
      </w:r>
    </w:p>
    <w:p>
      <w:pPr>
        <w:widowControl/>
        <w:spacing w:line="360" w:lineRule="atLeas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定量环体积1 ~ 5 ml；进样口温度 60 ℃，定量环及传输管路温度 120 ℃。填充时间 4 min，转移时间 4 min，氮气冲洗时间 20 min。</w:t>
      </w:r>
    </w:p>
    <w:p>
      <w:pPr>
        <w:widowControl/>
        <w:spacing w:line="360" w:lineRule="atLeast"/>
        <w:jc w:val="left"/>
        <w:textAlignment w:val="center"/>
        <w:rPr>
          <w:rFonts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B.3气相色谱仪参考条件</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升温程序： 35 ℃保持20 min，以 4 ℃/min的升温速率升至 140 ℃，保持 13 min；以 15 ℃/min的升温速率升至 180 ℃，保持 8 min。</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进样口温度为 250 ℃；分流流量 5 ml/min。载气He，恒压模式，进样口压力 229.0 kPa，中心切割气压力 110.8 kPa，低碳FID检测器温度 220 ℃，高碳FID检测器温度 250 ℃。氢气 35 ml/min，空气 350 ml/min，尾吹氮气 40 ml/min。</w:t>
      </w:r>
    </w:p>
    <w:p>
      <w:pPr>
        <w:widowControl/>
        <w:spacing w:line="360" w:lineRule="exact"/>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典型色谱图如下：</w:t>
      </w:r>
    </w:p>
    <w:p>
      <w:pPr>
        <w:jc w:val="center"/>
      </w:pPr>
      <w:bookmarkStart w:id="204" w:name="_Toc11990"/>
      <w:r>
        <w:drawing>
          <wp:inline distT="0" distB="0" distL="114300" distR="114300">
            <wp:extent cx="4274185" cy="1326515"/>
            <wp:effectExtent l="0" t="0" r="12065" b="6985"/>
            <wp:docPr id="21" name="图片 21" descr="谱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谱图"/>
                    <pic:cNvPicPr>
                      <a:picLocks noChangeAspect="1"/>
                    </pic:cNvPicPr>
                  </pic:nvPicPr>
                  <pic:blipFill>
                    <a:blip r:embed="rId19">
                      <a:grayscl/>
                    </a:blip>
                    <a:srcRect t="50413"/>
                    <a:stretch>
                      <a:fillRect/>
                    </a:stretch>
                  </pic:blipFill>
                  <pic:spPr>
                    <a:xfrm>
                      <a:off x="0" y="0"/>
                      <a:ext cx="4274185" cy="1326515"/>
                    </a:xfrm>
                    <a:prstGeom prst="rect">
                      <a:avLst/>
                    </a:prstGeom>
                  </pic:spPr>
                </pic:pic>
              </a:graphicData>
            </a:graphic>
          </wp:inline>
        </w:drawing>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出峰顺序为：1：乙烷、2：乙烯、3：丙烷、4：丙烯、5：异丁烷、6：正丁烷、7：乙炔、8：反-2-丁烯、9：1-丁烯、10：顺-2-丁烯、11：环戊烷、12：异戊烷、13：正戊烷、14：反-2-戊烯、15：1-戊烯、16：顺-2-戊烯、17：2,2-二甲基丁烷、18：2,3-二甲基丁烷、19：2-甲基戊烷、20：3-甲基戊烷、21：正己烷、22：异戊二烯</w:t>
      </w:r>
      <w:r>
        <w:rPr>
          <w:rFonts w:hint="eastAsia" w:ascii="Times New Roman" w:hAnsi="Times New Roman" w:eastAsia="宋体" w:cs="Times New Roman"/>
          <w:color w:val="000000"/>
          <w:kern w:val="0"/>
          <w:sz w:val="18"/>
          <w:szCs w:val="18"/>
          <w:lang w:bidi="ar"/>
        </w:rPr>
        <w:t>、23：</w:t>
      </w:r>
      <w:r>
        <w:rPr>
          <w:rFonts w:ascii="Times New Roman" w:hAnsi="Times New Roman" w:eastAsia="宋体" w:cs="Times New Roman"/>
          <w:color w:val="000000"/>
          <w:kern w:val="0"/>
          <w:sz w:val="18"/>
          <w:szCs w:val="18"/>
          <w:lang w:bidi="ar"/>
        </w:rPr>
        <w:t>1-己烯</w:t>
      </w:r>
    </w:p>
    <w:p>
      <w:pPr>
        <w:widowControl/>
        <w:ind w:firstLine="360" w:firstLineChars="200"/>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图</w:t>
      </w:r>
      <w:r>
        <w:rPr>
          <w:rFonts w:hint="eastAsia" w:ascii="Times New Roman" w:hAnsi="Times New Roman" w:eastAsia="黑体" w:cs="Times New Roman"/>
          <w:color w:val="000000"/>
          <w:kern w:val="0"/>
          <w:sz w:val="18"/>
          <w:szCs w:val="18"/>
          <w:lang w:bidi="ar"/>
        </w:rPr>
        <w:t>B</w:t>
      </w:r>
      <w:r>
        <w:rPr>
          <w:rFonts w:ascii="Times New Roman" w:hAnsi="Times New Roman" w:eastAsia="黑体" w:cs="Times New Roman"/>
          <w:color w:val="000000"/>
          <w:kern w:val="0"/>
          <w:sz w:val="18"/>
          <w:szCs w:val="18"/>
          <w:lang w:bidi="ar"/>
        </w:rPr>
        <w:t>.1 低碳组分经TG</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1</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MS和HP</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Al</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S</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w:t>
      </w:r>
      <w:r>
        <w:rPr>
          <w:rFonts w:hint="eastAsia" w:ascii="Times New Roman" w:hAnsi="Times New Roman" w:eastAsia="黑体" w:cs="Times New Roman"/>
          <w:color w:val="000000"/>
          <w:kern w:val="0"/>
          <w:sz w:val="18"/>
          <w:szCs w:val="18"/>
          <w:lang w:bidi="ar"/>
        </w:rPr>
        <w:t xml:space="preserve"> </w:t>
      </w:r>
      <w:r>
        <w:rPr>
          <w:rFonts w:ascii="Times New Roman" w:hAnsi="Times New Roman" w:eastAsia="黑体" w:cs="Times New Roman"/>
          <w:color w:val="000000"/>
          <w:kern w:val="0"/>
          <w:sz w:val="18"/>
          <w:szCs w:val="18"/>
          <w:lang w:bidi="ar"/>
        </w:rPr>
        <w:t>PT毛细管色谱柱分离后的色谱图</w:t>
      </w:r>
    </w:p>
    <w:p>
      <w:pPr>
        <w:jc w:val="center"/>
      </w:pPr>
      <w:r>
        <w:drawing>
          <wp:inline distT="0" distB="0" distL="114300" distR="114300">
            <wp:extent cx="4288790" cy="1238250"/>
            <wp:effectExtent l="9525" t="9525" r="26035" b="9525"/>
            <wp:docPr id="20" name="图片 20" descr="谱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谱图"/>
                    <pic:cNvPicPr>
                      <a:picLocks noChangeAspect="1"/>
                    </pic:cNvPicPr>
                  </pic:nvPicPr>
                  <pic:blipFill>
                    <a:blip r:embed="rId19">
                      <a:grayscl/>
                    </a:blip>
                    <a:srcRect t="2370" b="51490"/>
                    <a:stretch>
                      <a:fillRect/>
                    </a:stretch>
                  </pic:blipFill>
                  <pic:spPr>
                    <a:xfrm>
                      <a:off x="0" y="0"/>
                      <a:ext cx="4288790" cy="1238250"/>
                    </a:xfrm>
                    <a:prstGeom prst="rect">
                      <a:avLst/>
                    </a:prstGeom>
                    <a:ln>
                      <a:solidFill>
                        <a:schemeClr val="tx1"/>
                      </a:solidFill>
                    </a:ln>
                  </pic:spPr>
                </pic:pic>
              </a:graphicData>
            </a:graphic>
          </wp:inline>
        </w:drawing>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出峰顺序为：1：甲基环戊烷、</w:t>
      </w:r>
      <w:r>
        <w:rPr>
          <w:rFonts w:hint="eastAsia" w:ascii="Times New Roman" w:hAnsi="Times New Roman" w:eastAsia="宋体" w:cs="Times New Roman"/>
          <w:color w:val="000000"/>
          <w:kern w:val="0"/>
          <w:sz w:val="18"/>
          <w:szCs w:val="18"/>
          <w:lang w:bidi="ar"/>
        </w:rPr>
        <w:t>2</w:t>
      </w:r>
      <w:r>
        <w:rPr>
          <w:rFonts w:ascii="Times New Roman" w:hAnsi="Times New Roman" w:eastAsia="宋体" w:cs="Times New Roman"/>
          <w:color w:val="000000"/>
          <w:kern w:val="0"/>
          <w:sz w:val="18"/>
          <w:szCs w:val="18"/>
          <w:lang w:bidi="ar"/>
        </w:rPr>
        <w:t>：2,4-二甲基戊烷、</w:t>
      </w:r>
      <w:r>
        <w:rPr>
          <w:rFonts w:hint="eastAsia" w:ascii="Times New Roman" w:hAnsi="Times New Roman" w:eastAsia="宋体" w:cs="Times New Roman"/>
          <w:color w:val="000000"/>
          <w:kern w:val="0"/>
          <w:sz w:val="18"/>
          <w:szCs w:val="18"/>
          <w:lang w:bidi="ar"/>
        </w:rPr>
        <w:t>3</w:t>
      </w:r>
      <w:r>
        <w:rPr>
          <w:rFonts w:ascii="Times New Roman" w:hAnsi="Times New Roman" w:eastAsia="宋体" w:cs="Times New Roman"/>
          <w:color w:val="000000"/>
          <w:kern w:val="0"/>
          <w:sz w:val="18"/>
          <w:szCs w:val="18"/>
          <w:lang w:bidi="ar"/>
        </w:rPr>
        <w:t>：苯、</w:t>
      </w:r>
      <w:r>
        <w:rPr>
          <w:rFonts w:hint="eastAsia" w:ascii="Times New Roman" w:hAnsi="Times New Roman" w:eastAsia="宋体" w:cs="Times New Roman"/>
          <w:color w:val="000000"/>
          <w:kern w:val="0"/>
          <w:sz w:val="18"/>
          <w:szCs w:val="18"/>
          <w:lang w:bidi="ar"/>
        </w:rPr>
        <w:t>4</w:t>
      </w:r>
      <w:r>
        <w:rPr>
          <w:rFonts w:ascii="Times New Roman" w:hAnsi="Times New Roman" w:eastAsia="宋体" w:cs="Times New Roman"/>
          <w:color w:val="000000"/>
          <w:kern w:val="0"/>
          <w:sz w:val="18"/>
          <w:szCs w:val="18"/>
          <w:lang w:bidi="ar"/>
        </w:rPr>
        <w:t>：环己烷、</w:t>
      </w:r>
      <w:r>
        <w:rPr>
          <w:rFonts w:hint="eastAsia" w:ascii="Times New Roman" w:hAnsi="Times New Roman" w:eastAsia="宋体" w:cs="Times New Roman"/>
          <w:color w:val="000000"/>
          <w:kern w:val="0"/>
          <w:sz w:val="18"/>
          <w:szCs w:val="18"/>
          <w:lang w:bidi="ar"/>
        </w:rPr>
        <w:t>5</w:t>
      </w:r>
      <w:r>
        <w:rPr>
          <w:rFonts w:ascii="Times New Roman" w:hAnsi="Times New Roman" w:eastAsia="宋体" w:cs="Times New Roman"/>
          <w:color w:val="000000"/>
          <w:kern w:val="0"/>
          <w:sz w:val="18"/>
          <w:szCs w:val="18"/>
          <w:lang w:bidi="ar"/>
        </w:rPr>
        <w:t>：2-甲基己烷、</w:t>
      </w:r>
      <w:r>
        <w:rPr>
          <w:rFonts w:hint="eastAsia" w:ascii="Times New Roman" w:hAnsi="Times New Roman" w:eastAsia="宋体" w:cs="Times New Roman"/>
          <w:color w:val="000000"/>
          <w:kern w:val="0"/>
          <w:sz w:val="18"/>
          <w:szCs w:val="18"/>
          <w:lang w:bidi="ar"/>
        </w:rPr>
        <w:t>6</w:t>
      </w:r>
      <w:r>
        <w:rPr>
          <w:rFonts w:ascii="Times New Roman" w:hAnsi="Times New Roman" w:eastAsia="宋体" w:cs="Times New Roman"/>
          <w:color w:val="000000"/>
          <w:kern w:val="0"/>
          <w:sz w:val="18"/>
          <w:szCs w:val="18"/>
          <w:lang w:bidi="ar"/>
        </w:rPr>
        <w:t>：2,3-二甲基戊烷、</w:t>
      </w:r>
      <w:r>
        <w:rPr>
          <w:rFonts w:hint="eastAsia" w:ascii="Times New Roman" w:hAnsi="Times New Roman" w:eastAsia="宋体" w:cs="Times New Roman"/>
          <w:color w:val="000000"/>
          <w:kern w:val="0"/>
          <w:sz w:val="18"/>
          <w:szCs w:val="18"/>
          <w:lang w:bidi="ar"/>
        </w:rPr>
        <w:t>7</w:t>
      </w:r>
      <w:r>
        <w:rPr>
          <w:rFonts w:ascii="Times New Roman" w:hAnsi="Times New Roman" w:eastAsia="宋体" w:cs="Times New Roman"/>
          <w:color w:val="000000"/>
          <w:kern w:val="0"/>
          <w:sz w:val="18"/>
          <w:szCs w:val="18"/>
          <w:lang w:bidi="ar"/>
        </w:rPr>
        <w:t>：3-甲基己烷、</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：2,2,4-三甲基戊烷、</w:t>
      </w:r>
      <w:r>
        <w:rPr>
          <w:rFonts w:hint="eastAsia" w:ascii="Times New Roman" w:hAnsi="Times New Roman" w:eastAsia="宋体" w:cs="Times New Roman"/>
          <w:color w:val="000000"/>
          <w:kern w:val="0"/>
          <w:sz w:val="18"/>
          <w:szCs w:val="18"/>
          <w:lang w:bidi="ar"/>
        </w:rPr>
        <w:t>9</w:t>
      </w:r>
      <w:r>
        <w:rPr>
          <w:rFonts w:ascii="Times New Roman" w:hAnsi="Times New Roman" w:eastAsia="宋体" w:cs="Times New Roman"/>
          <w:color w:val="000000"/>
          <w:kern w:val="0"/>
          <w:sz w:val="18"/>
          <w:szCs w:val="18"/>
          <w:lang w:bidi="ar"/>
        </w:rPr>
        <w:t>：正庚烷、1</w:t>
      </w:r>
      <w:r>
        <w:rPr>
          <w:rFonts w:hint="eastAsia" w:ascii="Times New Roman" w:hAnsi="Times New Roman" w:eastAsia="宋体" w:cs="Times New Roman"/>
          <w:color w:val="000000"/>
          <w:kern w:val="0"/>
          <w:sz w:val="18"/>
          <w:szCs w:val="18"/>
          <w:lang w:bidi="ar"/>
        </w:rPr>
        <w:t>0</w:t>
      </w:r>
      <w:r>
        <w:rPr>
          <w:rFonts w:ascii="Times New Roman" w:hAnsi="Times New Roman" w:eastAsia="宋体" w:cs="Times New Roman"/>
          <w:color w:val="000000"/>
          <w:kern w:val="0"/>
          <w:sz w:val="18"/>
          <w:szCs w:val="18"/>
          <w:lang w:bidi="ar"/>
        </w:rPr>
        <w:t>：甲基环己烷、1</w:t>
      </w:r>
      <w:r>
        <w:rPr>
          <w:rFonts w:hint="eastAsia" w:ascii="Times New Roman" w:hAnsi="Times New Roman" w:eastAsia="宋体" w:cs="Times New Roman"/>
          <w:color w:val="000000"/>
          <w:kern w:val="0"/>
          <w:sz w:val="18"/>
          <w:szCs w:val="18"/>
          <w:lang w:bidi="ar"/>
        </w:rPr>
        <w:t>1</w:t>
      </w:r>
      <w:r>
        <w:rPr>
          <w:rFonts w:ascii="Times New Roman" w:hAnsi="Times New Roman" w:eastAsia="宋体" w:cs="Times New Roman"/>
          <w:color w:val="000000"/>
          <w:kern w:val="0"/>
          <w:sz w:val="18"/>
          <w:szCs w:val="18"/>
          <w:lang w:bidi="ar"/>
        </w:rPr>
        <w:t>：2,3,4-三甲基戊烷、1</w:t>
      </w:r>
      <w:r>
        <w:rPr>
          <w:rFonts w:hint="eastAsia" w:ascii="Times New Roman" w:hAnsi="Times New Roman" w:eastAsia="宋体" w:cs="Times New Roman"/>
          <w:color w:val="000000"/>
          <w:kern w:val="0"/>
          <w:sz w:val="18"/>
          <w:szCs w:val="18"/>
          <w:lang w:bidi="ar"/>
        </w:rPr>
        <w:t>2</w:t>
      </w:r>
      <w:r>
        <w:rPr>
          <w:rFonts w:ascii="Times New Roman" w:hAnsi="Times New Roman" w:eastAsia="宋体" w:cs="Times New Roman"/>
          <w:color w:val="000000"/>
          <w:kern w:val="0"/>
          <w:sz w:val="18"/>
          <w:szCs w:val="18"/>
          <w:lang w:bidi="ar"/>
        </w:rPr>
        <w:t>：甲苯、1</w:t>
      </w:r>
      <w:r>
        <w:rPr>
          <w:rFonts w:hint="eastAsia" w:ascii="Times New Roman" w:hAnsi="Times New Roman" w:eastAsia="宋体" w:cs="Times New Roman"/>
          <w:color w:val="000000"/>
          <w:kern w:val="0"/>
          <w:sz w:val="18"/>
          <w:szCs w:val="18"/>
          <w:lang w:bidi="ar"/>
        </w:rPr>
        <w:t>3</w:t>
      </w:r>
      <w:r>
        <w:rPr>
          <w:rFonts w:ascii="Times New Roman" w:hAnsi="Times New Roman" w:eastAsia="宋体" w:cs="Times New Roman"/>
          <w:color w:val="000000"/>
          <w:kern w:val="0"/>
          <w:sz w:val="18"/>
          <w:szCs w:val="18"/>
          <w:lang w:bidi="ar"/>
        </w:rPr>
        <w:t>：2-甲基庚烷、1</w:t>
      </w:r>
      <w:r>
        <w:rPr>
          <w:rFonts w:hint="eastAsia" w:ascii="Times New Roman" w:hAnsi="Times New Roman" w:eastAsia="宋体" w:cs="Times New Roman"/>
          <w:color w:val="000000"/>
          <w:kern w:val="0"/>
          <w:sz w:val="18"/>
          <w:szCs w:val="18"/>
          <w:lang w:bidi="ar"/>
        </w:rPr>
        <w:t>4</w:t>
      </w:r>
      <w:r>
        <w:rPr>
          <w:rFonts w:ascii="Times New Roman" w:hAnsi="Times New Roman" w:eastAsia="宋体" w:cs="Times New Roman"/>
          <w:color w:val="000000"/>
          <w:kern w:val="0"/>
          <w:sz w:val="18"/>
          <w:szCs w:val="18"/>
          <w:lang w:bidi="ar"/>
        </w:rPr>
        <w:t>：3-甲基庚烷、1</w:t>
      </w:r>
      <w:r>
        <w:rPr>
          <w:rFonts w:hint="eastAsia" w:ascii="Times New Roman" w:hAnsi="Times New Roman" w:eastAsia="宋体" w:cs="Times New Roman"/>
          <w:color w:val="000000"/>
          <w:kern w:val="0"/>
          <w:sz w:val="18"/>
          <w:szCs w:val="18"/>
          <w:lang w:bidi="ar"/>
        </w:rPr>
        <w:t>5</w:t>
      </w:r>
      <w:r>
        <w:rPr>
          <w:rFonts w:ascii="Times New Roman" w:hAnsi="Times New Roman" w:eastAsia="宋体" w:cs="Times New Roman"/>
          <w:color w:val="000000"/>
          <w:kern w:val="0"/>
          <w:sz w:val="18"/>
          <w:szCs w:val="18"/>
          <w:lang w:bidi="ar"/>
        </w:rPr>
        <w:t>：正辛烷、1</w:t>
      </w:r>
      <w:r>
        <w:rPr>
          <w:rFonts w:hint="eastAsia" w:ascii="Times New Roman" w:hAnsi="Times New Roman" w:eastAsia="宋体" w:cs="Times New Roman"/>
          <w:color w:val="000000"/>
          <w:kern w:val="0"/>
          <w:sz w:val="18"/>
          <w:szCs w:val="18"/>
          <w:lang w:bidi="ar"/>
        </w:rPr>
        <w:t>6</w:t>
      </w:r>
      <w:r>
        <w:rPr>
          <w:rFonts w:ascii="Times New Roman" w:hAnsi="Times New Roman" w:eastAsia="宋体" w:cs="Times New Roman"/>
          <w:color w:val="000000"/>
          <w:kern w:val="0"/>
          <w:sz w:val="18"/>
          <w:szCs w:val="18"/>
          <w:lang w:bidi="ar"/>
        </w:rPr>
        <w:t>：乙苯、1</w:t>
      </w:r>
      <w:r>
        <w:rPr>
          <w:rFonts w:hint="eastAsia" w:ascii="Times New Roman" w:hAnsi="Times New Roman" w:eastAsia="宋体" w:cs="Times New Roman"/>
          <w:color w:val="000000"/>
          <w:kern w:val="0"/>
          <w:sz w:val="18"/>
          <w:szCs w:val="18"/>
          <w:lang w:bidi="ar"/>
        </w:rPr>
        <w:t>7</w:t>
      </w:r>
      <w:r>
        <w:rPr>
          <w:rFonts w:ascii="Times New Roman" w:hAnsi="Times New Roman" w:eastAsia="宋体" w:cs="Times New Roman"/>
          <w:color w:val="000000"/>
          <w:kern w:val="0"/>
          <w:sz w:val="18"/>
          <w:szCs w:val="18"/>
          <w:lang w:bidi="ar"/>
        </w:rPr>
        <w:t>：间/对二甲苯、18：苯乙烯、19：邻二甲苯、20：壬烷、21：异丙苯、22：正丙基苯、23：间乙基甲苯、24：对乙基甲苯、25：1,3,5-三甲基苯、26：邻乙基甲苯、27：1,2,4-三甲基苯、2</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：正癸烷、29：1,2,3-三甲基苯、30：间二乙苯、31：对二乙苯、32：十一烷、33：十二烷</w:t>
      </w:r>
    </w:p>
    <w:p>
      <w:pPr>
        <w:widowControl/>
        <w:ind w:firstLine="360" w:firstLineChars="200"/>
        <w:jc w:val="center"/>
        <w:textAlignment w:val="center"/>
        <w:rPr>
          <w:rFonts w:ascii="Times New Roman" w:hAnsi="Times New Roman" w:eastAsia="黑体" w:cs="Times New Roman"/>
          <w:color w:val="000000"/>
          <w:kern w:val="0"/>
          <w:sz w:val="18"/>
          <w:szCs w:val="18"/>
          <w:lang w:bidi="ar"/>
        </w:rPr>
      </w:pPr>
      <w:r>
        <w:rPr>
          <w:rFonts w:ascii="Times New Roman" w:hAnsi="Times New Roman" w:eastAsia="黑体" w:cs="Times New Roman"/>
          <w:color w:val="000000"/>
          <w:kern w:val="0"/>
          <w:sz w:val="18"/>
          <w:szCs w:val="18"/>
          <w:lang w:bidi="ar"/>
        </w:rPr>
        <w:t>图B.2 高碳组分经TG-1MS毛细管色谱柱分离后的色谱图</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205" w:name="_Toc118815081"/>
      <w:bookmarkStart w:id="206" w:name="_Toc20858"/>
      <w:bookmarkStart w:id="207" w:name="_Toc121693362"/>
      <w:bookmarkStart w:id="208" w:name="_Toc4895"/>
      <w:bookmarkStart w:id="209" w:name="_Toc13288"/>
      <w:bookmarkStart w:id="210" w:name="_Toc31778"/>
      <w:r>
        <w:rPr>
          <w:rFonts w:ascii="黑体" w:hAnsi="黑体" w:eastAsia="黑体" w:cs="Times New Roman"/>
          <w:kern w:val="0"/>
          <w:szCs w:val="21"/>
        </w:rPr>
        <w:t>附录</w:t>
      </w:r>
      <w:bookmarkEnd w:id="205"/>
      <w:r>
        <w:rPr>
          <w:rFonts w:hint="eastAsia" w:ascii="黑体" w:hAnsi="黑体" w:eastAsia="黑体" w:cs="Times New Roman"/>
          <w:kern w:val="0"/>
          <w:szCs w:val="21"/>
        </w:rPr>
        <w:t>C</w:t>
      </w:r>
      <w:bookmarkEnd w:id="206"/>
      <w:bookmarkEnd w:id="207"/>
      <w:bookmarkEnd w:id="208"/>
      <w:bookmarkEnd w:id="209"/>
      <w:bookmarkEnd w:id="210"/>
    </w:p>
    <w:p>
      <w:pPr>
        <w:keepNext/>
        <w:adjustRightInd w:val="0"/>
        <w:snapToGrid w:val="0"/>
        <w:jc w:val="center"/>
        <w:outlineLvl w:val="0"/>
        <w:rPr>
          <w:rFonts w:ascii="黑体" w:hAnsi="黑体" w:eastAsia="黑体" w:cs="Times New Roman"/>
          <w:kern w:val="0"/>
          <w:szCs w:val="21"/>
        </w:rPr>
      </w:pPr>
      <w:bookmarkStart w:id="211" w:name="_Toc4944"/>
      <w:bookmarkStart w:id="212" w:name="_Toc3277"/>
      <w:bookmarkStart w:id="213" w:name="_Toc118815082"/>
      <w:bookmarkStart w:id="214" w:name="_Toc121693363"/>
      <w:bookmarkStart w:id="215" w:name="_Toc804"/>
      <w:bookmarkStart w:id="216" w:name="_Toc2355"/>
      <w:r>
        <w:rPr>
          <w:rFonts w:ascii="黑体" w:hAnsi="黑体" w:eastAsia="黑体" w:cs="Times New Roman"/>
          <w:kern w:val="0"/>
          <w:szCs w:val="21"/>
        </w:rPr>
        <w:t>（资料性附录）</w:t>
      </w:r>
      <w:bookmarkEnd w:id="211"/>
      <w:bookmarkEnd w:id="212"/>
      <w:bookmarkEnd w:id="213"/>
      <w:bookmarkEnd w:id="214"/>
      <w:bookmarkEnd w:id="215"/>
      <w:bookmarkEnd w:id="216"/>
    </w:p>
    <w:p>
      <w:pPr>
        <w:keepNext/>
        <w:adjustRightInd w:val="0"/>
        <w:snapToGrid w:val="0"/>
        <w:jc w:val="center"/>
        <w:outlineLvl w:val="0"/>
        <w:rPr>
          <w:rFonts w:ascii="黑体" w:hAnsi="黑体" w:eastAsia="黑体" w:cs="Times New Roman"/>
          <w:kern w:val="0"/>
          <w:szCs w:val="21"/>
        </w:rPr>
      </w:pPr>
      <w:bookmarkStart w:id="217" w:name="_Toc18154"/>
      <w:bookmarkStart w:id="218" w:name="_Toc118815083"/>
      <w:bookmarkStart w:id="219" w:name="_Toc5005"/>
      <w:bookmarkStart w:id="220" w:name="_Toc13984"/>
      <w:bookmarkStart w:id="221" w:name="_Toc121693364"/>
      <w:bookmarkStart w:id="222" w:name="_Toc123"/>
      <w:r>
        <w:rPr>
          <w:rFonts w:hint="eastAsia" w:ascii="黑体" w:hAnsi="黑体" w:eastAsia="黑体" w:cs="Times New Roman"/>
          <w:kern w:val="0"/>
          <w:szCs w:val="21"/>
        </w:rPr>
        <w:t>实验室</w:t>
      </w:r>
      <w:r>
        <w:rPr>
          <w:rFonts w:ascii="黑体" w:hAnsi="黑体" w:eastAsia="黑体" w:cs="Times New Roman"/>
          <w:kern w:val="0"/>
          <w:szCs w:val="21"/>
        </w:rPr>
        <w:t>测量结果等效性</w:t>
      </w:r>
      <w:r>
        <w:rPr>
          <w:rFonts w:hint="eastAsia" w:ascii="黑体" w:hAnsi="黑体" w:eastAsia="黑体" w:cs="Times New Roman"/>
          <w:kern w:val="0"/>
          <w:szCs w:val="21"/>
        </w:rPr>
        <w:t>评估</w:t>
      </w:r>
      <w:bookmarkEnd w:id="217"/>
      <w:bookmarkEnd w:id="218"/>
      <w:bookmarkEnd w:id="219"/>
      <w:bookmarkEnd w:id="220"/>
      <w:bookmarkEnd w:id="221"/>
      <w:bookmarkEnd w:id="222"/>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实验室通过将对方实验室的参考标准按照比对样品相同的步骤进行测试得到测定值，同时评估实验室测试方法的不确定度，当拟开展等效性评估的参考标准量值相近时，</w:t>
      </w:r>
      <w:r>
        <w:rPr>
          <w:rFonts w:ascii="Times New Roman" w:hAnsi="Times New Roman" w:eastAsia="宋体" w:cs="Times New Roman"/>
          <w:color w:val="000000"/>
          <w:kern w:val="0"/>
          <w:sz w:val="18"/>
          <w:szCs w:val="18"/>
          <w:lang w:bidi="ar"/>
        </w:rPr>
        <w:t>按下式评定实验室测试</w:t>
      </w:r>
      <w:r>
        <w:rPr>
          <w:rFonts w:hint="eastAsia" w:ascii="Times New Roman" w:hAnsi="Times New Roman" w:eastAsia="宋体" w:cs="Times New Roman"/>
          <w:color w:val="000000"/>
          <w:kern w:val="0"/>
          <w:sz w:val="18"/>
          <w:szCs w:val="18"/>
          <w:lang w:bidi="ar"/>
        </w:rPr>
        <w:t>结果</w:t>
      </w:r>
      <w:r>
        <w:rPr>
          <w:rFonts w:ascii="Times New Roman" w:hAnsi="Times New Roman" w:eastAsia="宋体" w:cs="Times New Roman"/>
          <w:color w:val="000000"/>
          <w:kern w:val="0"/>
          <w:sz w:val="18"/>
          <w:szCs w:val="18"/>
          <w:lang w:bidi="ar"/>
        </w:rPr>
        <w:t>的等效性</w:t>
      </w:r>
      <w:r>
        <w:rPr>
          <w:rFonts w:hint="eastAsia" w:ascii="Times New Roman" w:hAnsi="Times New Roman" w:eastAsia="宋体" w:cs="Times New Roman"/>
          <w:color w:val="000000"/>
          <w:kern w:val="0"/>
          <w:sz w:val="18"/>
          <w:szCs w:val="18"/>
          <w:lang w:bidi="ar"/>
        </w:rPr>
        <w:t>。</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position w:val="-8"/>
          <w:sz w:val="18"/>
          <w:szCs w:val="18"/>
          <w:lang w:bidi="ar"/>
        </w:rPr>
        <w:object>
          <v:shape id="_x0000_i1027" o:spt="75" type="#_x0000_t75" style="height:20.25pt;width:153.7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30" r:id="rId20">
            <o:LockedField>false</o:LockedField>
          </o:OLEObject>
        </w:objec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8" o:spt="75" type="#_x0000_t75" style="height:23.25pt;width:246.7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31" r:id="rId22">
            <o:LockedField>false</o:LockedField>
          </o:OLEObject>
        </w:object>
      </w:r>
      <w:r>
        <w:rPr>
          <w:rFonts w:hint="eastAsia"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object>
          <v:shape id="_x0000_i1029" o:spt="75" type="#_x0000_t75" style="height:14.25pt;width:77.2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32" r:id="rId23">
            <o:LockedField>false</o:LockedField>
          </o:OLEObject>
        </w:object>
      </w:r>
      <w:r>
        <w:rPr>
          <w:rFonts w:hint="eastAsia" w:ascii="Times New Roman" w:hAnsi="Times New Roman" w:eastAsia="宋体" w:cs="Times New Roman"/>
          <w:color w:val="000000"/>
          <w:kern w:val="0"/>
          <w:sz w:val="18"/>
          <w:szCs w:val="18"/>
          <w:lang w:bidi="ar"/>
        </w:rPr>
        <w:t xml:space="preserve">                            B.3</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式中</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比对样品（对方实验室参考标准）的测定值</w:t>
      </w:r>
      <w:r>
        <w:rPr>
          <w:rFonts w:ascii="Times New Roman" w:hAnsi="Times New Roman" w:eastAsia="宋体" w:cs="Times New Roman"/>
          <w:color w:val="000000"/>
          <w:kern w:val="0"/>
          <w:sz w:val="18"/>
          <w:szCs w:val="18"/>
          <w:lang w:bidi="ar"/>
        </w:rPr>
        <w:t>，μmol/mol</w:t>
      </w:r>
      <w:r>
        <w:rPr>
          <w:rFonts w:hint="eastAsia" w:ascii="Times New Roman" w:hAnsi="Times New Roman" w:eastAsia="宋体" w:cs="Times New Roman"/>
          <w:color w:val="000000"/>
          <w:kern w:val="0"/>
          <w:sz w:val="18"/>
          <w:szCs w:val="18"/>
          <w:lang w:bidi="ar"/>
        </w:rPr>
        <w:t>，参照公式（1）计算</w:t>
      </w:r>
      <w:r>
        <w:rPr>
          <w:rFonts w:ascii="Times New Roman" w:hAnsi="Times New Roman" w:eastAsia="宋体" w:cs="Times New Roman"/>
          <w:color w:val="000000"/>
          <w:kern w:val="0"/>
          <w:sz w:val="18"/>
          <w:szCs w:val="18"/>
          <w:lang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比对样品（对方实验室参考标准）的认定值</w:t>
      </w:r>
      <w:r>
        <w:rPr>
          <w:rFonts w:ascii="Times New Roman" w:hAnsi="Times New Roman" w:eastAsia="宋体" w:cs="Times New Roman"/>
          <w:color w:val="000000"/>
          <w:kern w:val="0"/>
          <w:sz w:val="18"/>
          <w:szCs w:val="18"/>
          <w:lang w:bidi="ar"/>
        </w:rPr>
        <w:t>（参照证书），μmol/mol；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hint="eastAsia"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参考标准的认定值</w:t>
      </w:r>
      <w:r>
        <w:rPr>
          <w:rFonts w:ascii="Times New Roman" w:hAnsi="Times New Roman" w:eastAsia="宋体" w:cs="Times New Roman"/>
          <w:color w:val="000000"/>
          <w:kern w:val="0"/>
          <w:sz w:val="18"/>
          <w:szCs w:val="18"/>
          <w:lang w:bidi="ar"/>
        </w:rPr>
        <w:t>（参照证书），μmol/mol；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A</w:t>
      </w:r>
      <w:r>
        <w:rPr>
          <w:rFonts w:hint="eastAsia"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比对样品（对方实验室参考标准）</w:t>
      </w:r>
      <w:r>
        <w:rPr>
          <w:rFonts w:ascii="Times New Roman" w:hAnsi="Times New Roman" w:eastAsia="宋体" w:cs="Times New Roman"/>
          <w:color w:val="000000"/>
          <w:kern w:val="0"/>
          <w:sz w:val="18"/>
          <w:szCs w:val="18"/>
          <w:lang w:bidi="ar"/>
        </w:rPr>
        <w:t>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val="nb-NO" w:bidi="ar"/>
        </w:rPr>
      </w:pPr>
      <w:r>
        <w:rPr>
          <w:rFonts w:hint="eastAsia" w:ascii="Times New Roman" w:hAnsi="Times New Roman" w:eastAsia="宋体" w:cs="Times New Roman"/>
          <w:i/>
          <w:iCs/>
          <w:color w:val="000000"/>
          <w:kern w:val="0"/>
          <w:sz w:val="18"/>
          <w:szCs w:val="18"/>
          <w:lang w:bidi="ar"/>
        </w:rPr>
        <w:t>D</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比对样品（对方实验室参考标准）认定值与测定值的偏差</w:t>
      </w:r>
      <w:r>
        <w:rPr>
          <w:rFonts w:ascii="Times New Roman" w:hAnsi="Times New Roman" w:eastAsia="宋体" w:cs="Times New Roman"/>
          <w:color w:val="000000"/>
          <w:kern w:val="0"/>
          <w:sz w:val="18"/>
          <w:szCs w:val="18"/>
          <w:lang w:val="nb-NO"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认定值、测定值的标准不确定度。</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次测量结果平均值的标准不确定度可由测量重复性标准偏差</w:t>
      </w:r>
      <w:r>
        <w:rPr>
          <w:rFonts w:hint="eastAsia" w:ascii="Times New Roman" w:hAnsi="Times New Roman" w:eastAsia="宋体" w:cs="Times New Roman"/>
          <w:i/>
          <w:iCs/>
          <w:color w:val="000000"/>
          <w:kern w:val="0"/>
          <w:sz w:val="18"/>
          <w:szCs w:val="18"/>
          <w:lang w:bidi="ar"/>
        </w:rPr>
        <w:t>s</w:t>
      </w:r>
      <w:r>
        <w:rPr>
          <w:rFonts w:hint="eastAsia"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object>
          <v:shape id="_x0000_i1030" o:spt="75" type="#_x0000_t75" style="height:14.25pt;width:1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3" r:id="rId25">
            <o:LockedField>false</o:LockedField>
          </o:OLEObject>
        </w:object>
      </w:r>
      <w:r>
        <w:rPr>
          <w:rFonts w:hint="eastAsia" w:ascii="Times New Roman" w:hAnsi="Times New Roman" w:eastAsia="宋体" w:cs="Times New Roman"/>
          <w:color w:val="000000"/>
          <w:kern w:val="0"/>
          <w:sz w:val="18"/>
          <w:szCs w:val="18"/>
          <w:lang w:bidi="ar"/>
        </w:rPr>
        <w:t>计算，</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一般不少于6次。</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u</w:t>
      </w:r>
      <w:r>
        <w:rPr>
          <w:rFonts w:hint="eastAsia" w:ascii="Times New Roman" w:hAnsi="Times New Roman" w:eastAsia="宋体" w:cs="Times New Roman"/>
          <w:color w:val="000000"/>
          <w:kern w:val="0"/>
          <w:sz w:val="18"/>
          <w:szCs w:val="18"/>
          <w:vertAlign w:val="subscript"/>
          <w:lang w:bidi="ar"/>
        </w:rPr>
        <w:t>rel</w:t>
      </w:r>
      <w:r>
        <w:rPr>
          <w:rFonts w:ascii="Times New Roman" w:hAnsi="Times New Roman" w:eastAsia="宋体" w:cs="Times New Roman"/>
          <w:color w:val="000000"/>
          <w:kern w:val="0"/>
          <w:sz w:val="18"/>
          <w:szCs w:val="18"/>
          <w:lang w:val="nb-NO" w:bidi="ar"/>
        </w:rPr>
        <w:t>——</w:t>
      </w:r>
      <w:r>
        <w:rPr>
          <w:rFonts w:hint="eastAsia" w:ascii="Times New Roman" w:hAnsi="Times New Roman" w:eastAsia="宋体" w:cs="Times New Roman"/>
          <w:color w:val="000000"/>
          <w:kern w:val="0"/>
          <w:sz w:val="18"/>
          <w:szCs w:val="18"/>
          <w:lang w:bidi="ar"/>
        </w:rPr>
        <w:t>认定值、测定值的相对标准不确定度。</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次测量结果平均值的相对标准不确定度可由测量重复性相对标准偏差</w:t>
      </w:r>
      <w:r>
        <w:rPr>
          <w:rFonts w:hint="eastAsia" w:ascii="Times New Roman" w:hAnsi="Times New Roman" w:eastAsia="宋体" w:cs="Times New Roman"/>
          <w:i/>
          <w:iCs/>
          <w:color w:val="000000"/>
          <w:kern w:val="0"/>
          <w:sz w:val="18"/>
          <w:szCs w:val="18"/>
          <w:lang w:bidi="ar"/>
        </w:rPr>
        <w:t>s</w:t>
      </w:r>
      <w:r>
        <w:rPr>
          <w:rFonts w:hint="eastAsia"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object>
          <v:shape id="_x0000_i1031" o:spt="75" type="#_x0000_t75" style="height:14.25pt;width:3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4" r:id="rId27">
            <o:LockedField>false</o:LockedField>
          </o:OLEObject>
        </w:object>
      </w:r>
      <w:r>
        <w:rPr>
          <w:rFonts w:hint="eastAsia" w:ascii="Times New Roman" w:hAnsi="Times New Roman" w:eastAsia="宋体" w:cs="Times New Roman"/>
          <w:color w:val="000000"/>
          <w:kern w:val="0"/>
          <w:sz w:val="18"/>
          <w:szCs w:val="18"/>
          <w:lang w:bidi="ar"/>
        </w:rPr>
        <w:t>计算，</w:t>
      </w:r>
      <w:r>
        <w:rPr>
          <w:rFonts w:hint="eastAsia" w:ascii="Times New Roman" w:hAnsi="Times New Roman" w:eastAsia="宋体" w:cs="Times New Roman"/>
          <w:i/>
          <w:iCs/>
          <w:color w:val="000000"/>
          <w:kern w:val="0"/>
          <w:sz w:val="18"/>
          <w:szCs w:val="18"/>
          <w:lang w:bidi="ar"/>
        </w:rPr>
        <w:t>n</w:t>
      </w:r>
      <w:r>
        <w:rPr>
          <w:rFonts w:hint="eastAsia" w:ascii="Times New Roman" w:hAnsi="Times New Roman" w:eastAsia="宋体" w:cs="Times New Roman"/>
          <w:color w:val="000000"/>
          <w:kern w:val="0"/>
          <w:sz w:val="18"/>
          <w:szCs w:val="18"/>
          <w:lang w:bidi="ar"/>
        </w:rPr>
        <w:t>一般不少于6次。</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 xml:space="preserve">通常，市售 57 种臭氧前体挥发性有机物标准气体的摩尔分数相近，约为 1 </w:t>
      </w:r>
      <w:r>
        <w:rPr>
          <w:rFonts w:ascii="Times New Roman" w:hAnsi="Times New Roman" w:eastAsia="宋体" w:cs="Times New Roman"/>
          <w:color w:val="000000"/>
          <w:kern w:val="0"/>
          <w:sz w:val="18"/>
          <w:szCs w:val="18"/>
          <w:lang w:bidi="ar"/>
        </w:rPr>
        <w:t>µmol/mol</w:t>
      </w:r>
      <w:r>
        <w:rPr>
          <w:rFonts w:hint="eastAsia" w:ascii="Times New Roman" w:hAnsi="Times New Roman" w:eastAsia="宋体" w:cs="Times New Roman"/>
          <w:color w:val="000000"/>
          <w:kern w:val="0"/>
          <w:sz w:val="18"/>
          <w:szCs w:val="18"/>
          <w:lang w:bidi="ar"/>
        </w:rPr>
        <w:t>，可按上述过程开展评估。当开展等效性评估的参考标准量值水平不用时，可通过稀释或浓缩使量值水平相同，并在不确定度中引入因稀释或浓缩导致的分量。</w:t>
      </w:r>
    </w:p>
    <w:p>
      <w:pPr>
        <w:ind w:firstLine="420" w:firstLineChars="200"/>
        <w:rPr>
          <w:rFonts w:ascii="Times New Roman" w:hAnsi="Times New Roman" w:cs="Times New Roman"/>
        </w:rPr>
      </w:pPr>
    </w:p>
    <w:p>
      <w:pPr>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223" w:name="_Toc118815084"/>
      <w:bookmarkStart w:id="224" w:name="_Toc30100"/>
      <w:bookmarkStart w:id="225" w:name="_Toc17620"/>
      <w:bookmarkStart w:id="226" w:name="_Toc121693365"/>
      <w:bookmarkStart w:id="227" w:name="_Toc11513"/>
      <w:bookmarkStart w:id="228" w:name="_Toc30257"/>
      <w:r>
        <w:rPr>
          <w:rFonts w:ascii="黑体" w:hAnsi="黑体" w:eastAsia="黑体" w:cs="Times New Roman"/>
          <w:kern w:val="0"/>
          <w:szCs w:val="21"/>
        </w:rPr>
        <w:t>附录</w:t>
      </w:r>
      <w:bookmarkEnd w:id="204"/>
      <w:bookmarkEnd w:id="223"/>
      <w:r>
        <w:rPr>
          <w:rFonts w:hint="eastAsia" w:ascii="黑体" w:hAnsi="黑体" w:eastAsia="黑体" w:cs="Times New Roman"/>
          <w:kern w:val="0"/>
          <w:szCs w:val="21"/>
        </w:rPr>
        <w:t>D</w:t>
      </w:r>
      <w:bookmarkEnd w:id="224"/>
      <w:bookmarkEnd w:id="225"/>
      <w:bookmarkEnd w:id="226"/>
      <w:bookmarkEnd w:id="227"/>
      <w:bookmarkEnd w:id="228"/>
    </w:p>
    <w:p>
      <w:pPr>
        <w:keepNext/>
        <w:adjustRightInd w:val="0"/>
        <w:snapToGrid w:val="0"/>
        <w:jc w:val="center"/>
        <w:outlineLvl w:val="0"/>
        <w:rPr>
          <w:rFonts w:ascii="黑体" w:hAnsi="黑体" w:eastAsia="黑体" w:cs="Times New Roman"/>
          <w:kern w:val="0"/>
          <w:szCs w:val="21"/>
        </w:rPr>
      </w:pPr>
      <w:bookmarkStart w:id="229" w:name="_Toc8799"/>
      <w:bookmarkStart w:id="230" w:name="_Toc20826"/>
      <w:bookmarkStart w:id="231" w:name="_Toc121693366"/>
      <w:bookmarkStart w:id="232" w:name="_Toc2951"/>
      <w:bookmarkStart w:id="233" w:name="_Toc27099"/>
      <w:bookmarkStart w:id="234" w:name="_Toc1346"/>
      <w:bookmarkStart w:id="235" w:name="_Toc31645"/>
      <w:bookmarkStart w:id="236" w:name="_Toc118815085"/>
      <w:r>
        <w:rPr>
          <w:rFonts w:ascii="黑体" w:hAnsi="黑体" w:eastAsia="黑体" w:cs="Times New Roman"/>
          <w:kern w:val="0"/>
          <w:szCs w:val="21"/>
        </w:rPr>
        <w:t>（资料性附录）</w:t>
      </w:r>
      <w:bookmarkEnd w:id="229"/>
      <w:bookmarkEnd w:id="230"/>
      <w:bookmarkEnd w:id="231"/>
      <w:bookmarkEnd w:id="232"/>
      <w:bookmarkEnd w:id="233"/>
      <w:bookmarkEnd w:id="234"/>
      <w:bookmarkEnd w:id="235"/>
      <w:bookmarkEnd w:id="236"/>
    </w:p>
    <w:p>
      <w:pPr>
        <w:keepNext/>
        <w:adjustRightInd w:val="0"/>
        <w:snapToGrid w:val="0"/>
        <w:jc w:val="center"/>
        <w:outlineLvl w:val="0"/>
        <w:rPr>
          <w:rFonts w:ascii="黑体" w:hAnsi="黑体" w:eastAsia="黑体" w:cs="Times New Roman"/>
          <w:kern w:val="0"/>
          <w:szCs w:val="21"/>
        </w:rPr>
      </w:pPr>
      <w:bookmarkStart w:id="237" w:name="_Toc25489"/>
      <w:bookmarkStart w:id="238" w:name="_Toc15724"/>
      <w:bookmarkStart w:id="239" w:name="_Toc14314"/>
      <w:bookmarkStart w:id="240" w:name="_Toc30172"/>
      <w:bookmarkStart w:id="241" w:name="_Toc3253"/>
      <w:bookmarkStart w:id="242" w:name="_Toc121693367"/>
      <w:bookmarkStart w:id="243" w:name="_Toc118815086"/>
      <w:r>
        <w:rPr>
          <w:rFonts w:ascii="黑体" w:hAnsi="黑体" w:eastAsia="黑体" w:cs="Times New Roman"/>
          <w:kern w:val="0"/>
          <w:szCs w:val="21"/>
        </w:rPr>
        <w:t>相关记录表格示例</w:t>
      </w:r>
      <w:bookmarkEnd w:id="237"/>
      <w:bookmarkEnd w:id="238"/>
      <w:bookmarkEnd w:id="239"/>
      <w:bookmarkEnd w:id="240"/>
      <w:bookmarkEnd w:id="241"/>
      <w:bookmarkEnd w:id="242"/>
      <w:bookmarkEnd w:id="243"/>
    </w:p>
    <w:p>
      <w:pPr>
        <w:keepNext/>
        <w:adjustRightInd w:val="0"/>
        <w:snapToGrid w:val="0"/>
        <w:jc w:val="center"/>
        <w:rPr>
          <w:rFonts w:ascii="Times New Roman" w:hAnsi="Times New Roman" w:eastAsia="黑体" w:cs="Times New Roman"/>
          <w:kern w:val="0"/>
          <w:szCs w:val="21"/>
        </w:rPr>
      </w:pPr>
      <w:bookmarkStart w:id="244" w:name="_Toc31822"/>
      <w:bookmarkStart w:id="245" w:name="_Toc1421"/>
      <w:bookmarkStart w:id="246" w:name="_Toc17916"/>
      <w:bookmarkStart w:id="247" w:name="_Toc30439"/>
      <w:bookmarkStart w:id="248" w:name="_Toc27294"/>
      <w:bookmarkStart w:id="249" w:name="_Toc118815087"/>
      <w:bookmarkStart w:id="250" w:name="_Toc32011"/>
      <w:bookmarkStart w:id="251" w:name="_Toc22593"/>
      <w:bookmarkStart w:id="252" w:name="_Toc32417"/>
      <w:bookmarkStart w:id="253" w:name="_Toc50021830"/>
      <w:bookmarkStart w:id="254" w:name="_Toc30051"/>
      <w:bookmarkStart w:id="255" w:name="_Toc13573"/>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.1测试系统精密度测试结果</w:t>
      </w:r>
      <w:bookmarkEnd w:id="244"/>
      <w:bookmarkEnd w:id="245"/>
      <w:bookmarkEnd w:id="246"/>
      <w:bookmarkEnd w:id="247"/>
      <w:bookmarkEnd w:id="248"/>
      <w:bookmarkEnd w:id="249"/>
      <w:bookmarkEnd w:id="250"/>
      <w:bookmarkEnd w:id="251"/>
      <w:bookmarkEnd w:id="252"/>
      <w:bookmarkEnd w:id="253"/>
      <w:bookmarkEnd w:id="254"/>
      <w:bookmarkEnd w:id="255"/>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6"/>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1"/>
        <w:gridCol w:w="1331"/>
        <w:gridCol w:w="1331"/>
        <w:gridCol w:w="133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jc w:val="center"/>
        </w:trPr>
        <w:tc>
          <w:tcPr>
            <w:tcW w:w="277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组分</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第1天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第2天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第3天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3天RSD%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bl>
    <w:p>
      <w:pPr>
        <w:rPr>
          <w:rFonts w:ascii="Times New Roman" w:hAnsi="Times New Roman" w:cs="Times New Roman"/>
        </w:rPr>
      </w:pPr>
    </w:p>
    <w:p>
      <w:pPr>
        <w:keepNext/>
        <w:adjustRightInd w:val="0"/>
        <w:snapToGrid w:val="0"/>
        <w:jc w:val="center"/>
        <w:rPr>
          <w:rFonts w:ascii="Times New Roman" w:hAnsi="Times New Roman" w:eastAsia="黑体" w:cs="Times New Roman"/>
          <w:kern w:val="0"/>
          <w:szCs w:val="21"/>
        </w:rPr>
      </w:pPr>
      <w:bookmarkStart w:id="256" w:name="_Toc2495"/>
      <w:bookmarkStart w:id="257" w:name="_Toc7613"/>
      <w:bookmarkStart w:id="258" w:name="_Toc118815088"/>
      <w:bookmarkStart w:id="259" w:name="_Toc9743"/>
      <w:bookmarkStart w:id="260" w:name="_Toc20954"/>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.2 实验室测量等效性数据</w:t>
      </w:r>
      <w:bookmarkEnd w:id="256"/>
      <w:bookmarkEnd w:id="257"/>
      <w:bookmarkEnd w:id="258"/>
      <w:bookmarkEnd w:id="259"/>
      <w:bookmarkEnd w:id="260"/>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6"/>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1397"/>
        <w:gridCol w:w="1417"/>
        <w:gridCol w:w="1387"/>
        <w:gridCol w:w="1305"/>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8" w:hRule="atLeast"/>
          <w:tblHeader/>
          <w:jc w:val="center"/>
        </w:trPr>
        <w:tc>
          <w:tcPr>
            <w:tcW w:w="20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4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8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0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k</w:t>
            </w:r>
            <w:r>
              <w:rPr>
                <w:rFonts w:ascii="Times New Roman" w:hAnsi="Times New Roman" w:eastAsia="宋体" w:cs="Times New Roman"/>
                <w:color w:val="000000"/>
                <w:kern w:val="0"/>
                <w:sz w:val="18"/>
                <w:szCs w:val="18"/>
                <w:lang w:bidi="ar"/>
              </w:rPr>
              <w:t>=2)</w:t>
            </w:r>
          </w:p>
        </w:tc>
      </w:tr>
      <w:tr>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rPr>
          <w:rFonts w:ascii="Times New Roman" w:hAnsi="Times New Roman" w:eastAsia="黑体" w:cs="Times New Roman"/>
          <w:sz w:val="30"/>
          <w:szCs w:val="30"/>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rPr>
      </w:pPr>
      <w:bookmarkStart w:id="261" w:name="_Toc704"/>
      <w:bookmarkStart w:id="262" w:name="_Toc50021827"/>
    </w:p>
    <w:p>
      <w:pPr>
        <w:keepNext/>
        <w:adjustRightInd w:val="0"/>
        <w:snapToGrid w:val="0"/>
        <w:jc w:val="center"/>
        <w:rPr>
          <w:rFonts w:ascii="Times New Roman" w:hAnsi="Times New Roman" w:eastAsia="黑体" w:cs="Times New Roman"/>
          <w:kern w:val="0"/>
          <w:szCs w:val="21"/>
        </w:rPr>
      </w:pPr>
      <w:bookmarkStart w:id="263" w:name="_Toc5591"/>
      <w:bookmarkStart w:id="264" w:name="_Toc118815089"/>
      <w:bookmarkStart w:id="265" w:name="_Toc4389"/>
      <w:bookmarkStart w:id="266" w:name="_Toc25309"/>
      <w:bookmarkStart w:id="267" w:name="_Toc16136"/>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3</w:t>
      </w:r>
      <w:r>
        <w:rPr>
          <w:rFonts w:ascii="Times New Roman" w:hAnsi="Times New Roman" w:eastAsia="黑体" w:cs="Times New Roman"/>
          <w:kern w:val="0"/>
          <w:szCs w:val="21"/>
        </w:rPr>
        <w:t xml:space="preserve"> 实验室</w:t>
      </w:r>
      <w:r>
        <w:rPr>
          <w:rFonts w:hint="eastAsia" w:ascii="Times New Roman" w:hAnsi="Times New Roman" w:eastAsia="黑体" w:cs="Times New Roman"/>
          <w:kern w:val="0"/>
          <w:szCs w:val="21"/>
        </w:rPr>
        <w:t>比对样品测试结果表</w:t>
      </w:r>
      <w:bookmarkEnd w:id="263"/>
      <w:bookmarkEnd w:id="264"/>
      <w:bookmarkEnd w:id="265"/>
      <w:bookmarkEnd w:id="266"/>
      <w:bookmarkEnd w:id="267"/>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6"/>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2"/>
        <w:gridCol w:w="1520"/>
        <w:gridCol w:w="1542"/>
        <w:gridCol w:w="1509"/>
        <w:gridCol w:w="142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样品编号</w:t>
            </w:r>
          </w:p>
        </w:tc>
        <w:tc>
          <w:tcPr>
            <w:tcW w:w="7297" w:type="dxa"/>
            <w:gridSpan w:val="5"/>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9"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5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54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509"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4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（μmol/mol）</w:t>
            </w:r>
          </w:p>
        </w:tc>
        <w:tc>
          <w:tcPr>
            <w:tcW w:w="1306"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E</w:t>
            </w:r>
            <w:r>
              <w:rPr>
                <w:rFonts w:hint="eastAsia" w:ascii="Times New Roman" w:hAnsi="Times New Roman" w:eastAsia="宋体" w:cs="Times New Roman"/>
                <w:i/>
                <w:iCs/>
                <w:color w:val="000000"/>
                <w:kern w:val="0"/>
                <w:sz w:val="18"/>
                <w:szCs w:val="18"/>
                <w:vertAlign w:val="subscript"/>
                <w:lang w:bidi="a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keepNext/>
        <w:adjustRightInd w:val="0"/>
        <w:snapToGrid w:val="0"/>
        <w:jc w:val="center"/>
        <w:outlineLvl w:val="0"/>
        <w:rPr>
          <w:rFonts w:ascii="Times New Roman" w:hAnsi="Times New Roman" w:eastAsia="黑体" w:cs="Times New Roman"/>
          <w:kern w:val="0"/>
          <w:szCs w:val="21"/>
        </w:rPr>
        <w:sectPr>
          <w:footerReference r:id="rId7" w:type="default"/>
          <w:pgSz w:w="11906" w:h="16838"/>
          <w:pgMar w:top="1440" w:right="1800" w:bottom="1440" w:left="1800" w:header="851" w:footer="992" w:gutter="0"/>
          <w:cols w:space="425" w:num="1"/>
          <w:docGrid w:type="lines" w:linePitch="312" w:charSpace="0"/>
        </w:sectPr>
      </w:pPr>
    </w:p>
    <w:p>
      <w:pPr>
        <w:keepNext/>
        <w:adjustRightInd w:val="0"/>
        <w:snapToGrid w:val="0"/>
        <w:jc w:val="center"/>
        <w:rPr>
          <w:rFonts w:ascii="Times New Roman" w:hAnsi="Times New Roman" w:eastAsia="黑体" w:cs="Times New Roman"/>
          <w:kern w:val="0"/>
          <w:szCs w:val="21"/>
        </w:rPr>
      </w:pPr>
      <w:bookmarkStart w:id="268" w:name="_Toc118815090"/>
      <w:bookmarkStart w:id="269" w:name="_Toc1669"/>
      <w:bookmarkStart w:id="270" w:name="_Toc21286"/>
      <w:bookmarkStart w:id="271" w:name="_Toc23346"/>
      <w:bookmarkStart w:id="272" w:name="_Toc29798"/>
      <w:r>
        <w:rPr>
          <w:rFonts w:ascii="Times New Roman" w:hAnsi="Times New Roman" w:eastAsia="黑体" w:cs="Times New Roman"/>
          <w:kern w:val="0"/>
          <w:szCs w:val="21"/>
        </w:rPr>
        <w:t>表</w:t>
      </w:r>
      <w:r>
        <w:rPr>
          <w:rFonts w:hint="eastAsia" w:ascii="Times New Roman" w:hAnsi="Times New Roman" w:eastAsia="黑体" w:cs="Times New Roman"/>
          <w:kern w:val="0"/>
          <w:szCs w:val="21"/>
        </w:rPr>
        <w:t>D</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4</w:t>
      </w:r>
      <w:r>
        <w:rPr>
          <w:rFonts w:ascii="Times New Roman" w:hAnsi="Times New Roman" w:eastAsia="黑体" w:cs="Times New Roman"/>
          <w:kern w:val="0"/>
          <w:szCs w:val="21"/>
        </w:rPr>
        <w:t>实验室测试结果汇总表（</w:t>
      </w:r>
      <w:r>
        <w:rPr>
          <w:rFonts w:ascii="Times New Roman" w:hAnsi="Times New Roman" w:eastAsia="黑体" w:cs="Times New Roman"/>
          <w:i/>
          <w:iCs/>
          <w:kern w:val="0"/>
          <w:szCs w:val="21"/>
        </w:rPr>
        <w:t>E</w:t>
      </w:r>
      <w:r>
        <w:rPr>
          <w:rFonts w:ascii="Times New Roman" w:hAnsi="Times New Roman" w:eastAsia="黑体" w:cs="Times New Roman"/>
          <w:i/>
          <w:iCs/>
          <w:kern w:val="0"/>
          <w:szCs w:val="21"/>
          <w:vertAlign w:val="subscript"/>
        </w:rPr>
        <w:t>n</w:t>
      </w:r>
      <w:r>
        <w:rPr>
          <w:rFonts w:ascii="Times New Roman" w:hAnsi="Times New Roman" w:eastAsia="黑体" w:cs="Times New Roman"/>
          <w:kern w:val="0"/>
          <w:szCs w:val="21"/>
        </w:rPr>
        <w:t>值）</w:t>
      </w:r>
      <w:bookmarkEnd w:id="261"/>
      <w:bookmarkEnd w:id="262"/>
      <w:bookmarkEnd w:id="268"/>
      <w:bookmarkEnd w:id="269"/>
      <w:bookmarkEnd w:id="270"/>
      <w:bookmarkEnd w:id="271"/>
      <w:bookmarkEnd w:id="272"/>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6"/>
        <w:tblW w:w="8958" w:type="dxa"/>
        <w:jc w:val="center"/>
        <w:tblLayout w:type="fixed"/>
        <w:tblCellMar>
          <w:top w:w="0" w:type="dxa"/>
          <w:left w:w="108" w:type="dxa"/>
          <w:bottom w:w="0" w:type="dxa"/>
          <w:right w:w="108" w:type="dxa"/>
        </w:tblCellMar>
      </w:tblPr>
      <w:tblGrid>
        <w:gridCol w:w="2005"/>
        <w:gridCol w:w="692"/>
        <w:gridCol w:w="698"/>
        <w:gridCol w:w="692"/>
        <w:gridCol w:w="698"/>
        <w:gridCol w:w="692"/>
        <w:gridCol w:w="698"/>
        <w:gridCol w:w="692"/>
        <w:gridCol w:w="699"/>
        <w:gridCol w:w="693"/>
        <w:gridCol w:w="699"/>
      </w:tblGrid>
      <w:tr>
        <w:trPr>
          <w:trHeight w:val="455" w:hRule="atLeast"/>
          <w:tblHeader/>
          <w:jc w:val="center"/>
        </w:trPr>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组分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品牌1</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品牌2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1380" w:hRule="atLeast"/>
          <w:tblHeader/>
          <w:jc w:val="center"/>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批次1</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批次2</w:t>
            </w:r>
          </w:p>
        </w:tc>
      </w:tr>
      <w:tr>
        <w:trPr>
          <w:trHeight w:val="497" w:hRule="atLeast"/>
          <w:jc w:val="center"/>
        </w:trPr>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乙烷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9C0006"/>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000000"/>
                <w:sz w:val="22"/>
                <w:szCs w:val="22"/>
              </w:rPr>
            </w:pPr>
          </w:p>
        </w:tc>
      </w:tr>
      <w:tr>
        <w:trPr>
          <w:trHeight w:val="481"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不合格组分个数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0"/>
          <w:jc w:val="center"/>
        </w:pPr>
        <w:r>
          <w:fldChar w:fldCharType="begin"/>
        </w:r>
        <w:r>
          <w:instrText xml:space="preserve">PAGE   \* MERGEFORMAT</w:instrText>
        </w:r>
        <w:r>
          <w:fldChar w:fldCharType="separate"/>
        </w:r>
        <w:r>
          <w:rPr>
            <w:lang w:val="zh-CN"/>
          </w:rPr>
          <w:t>i</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111948"/>
    </w:sdtPr>
    <w:sdtContent>
      <w:p>
        <w:pPr>
          <w:pStyle w:val="10"/>
          <w:jc w:val="center"/>
        </w:pPr>
        <w:r>
          <w:fldChar w:fldCharType="begin"/>
        </w:r>
        <w:r>
          <w:instrText xml:space="preserve">PAGE   \* MERGEFORMAT</w:instrText>
        </w:r>
        <w:r>
          <w:fldChar w:fldCharType="separate"/>
        </w:r>
        <w:r>
          <w:rPr>
            <w:lang w:val="zh-CN"/>
          </w:rPr>
          <w:t>ii</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212920"/>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15</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F01C0"/>
    <w:multiLevelType w:val="singleLevel"/>
    <w:tmpl w:val="8A2F01C0"/>
    <w:lvl w:ilvl="0" w:tentative="0">
      <w:start w:val="1"/>
      <w:numFmt w:val="decimal"/>
      <w:suff w:val="nothing"/>
      <w:lvlText w:val="（%1）"/>
      <w:lvlJc w:val="left"/>
    </w:lvl>
  </w:abstractNum>
  <w:abstractNum w:abstractNumId="1">
    <w:nsid w:val="106640BE"/>
    <w:multiLevelType w:val="multilevel"/>
    <w:tmpl w:val="106640BE"/>
    <w:lvl w:ilvl="0" w:tentative="0">
      <w:start w:val="1"/>
      <w:numFmt w:val="decimal"/>
      <w:lvlText w:val="%1"/>
      <w:lvlJc w:val="left"/>
      <w:pPr>
        <w:ind w:left="420" w:hanging="420"/>
      </w:pPr>
      <w:rPr>
        <w:rFonts w:hint="default" w:ascii="黑体" w:hAnsi="黑体" w:eastAsia="黑体" w:cs="Times New Roman"/>
        <w:b w:val="0"/>
        <w:sz w:val="21"/>
        <w:szCs w:val="21"/>
      </w:rPr>
    </w:lvl>
    <w:lvl w:ilvl="1" w:tentative="0">
      <w:start w:val="3"/>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00172A27"/>
    <w:rsid w:val="000646DC"/>
    <w:rsid w:val="00172A27"/>
    <w:rsid w:val="001763F6"/>
    <w:rsid w:val="002A097D"/>
    <w:rsid w:val="0043499C"/>
    <w:rsid w:val="004B0E50"/>
    <w:rsid w:val="00512F03"/>
    <w:rsid w:val="0060780C"/>
    <w:rsid w:val="00630CF2"/>
    <w:rsid w:val="006C603C"/>
    <w:rsid w:val="0070785B"/>
    <w:rsid w:val="00794BC1"/>
    <w:rsid w:val="007C17DD"/>
    <w:rsid w:val="008112C9"/>
    <w:rsid w:val="008217C7"/>
    <w:rsid w:val="00837E4F"/>
    <w:rsid w:val="00865627"/>
    <w:rsid w:val="00992DE3"/>
    <w:rsid w:val="00994EA5"/>
    <w:rsid w:val="00B32A66"/>
    <w:rsid w:val="00BD6677"/>
    <w:rsid w:val="00BD6752"/>
    <w:rsid w:val="00C36179"/>
    <w:rsid w:val="00C55877"/>
    <w:rsid w:val="00C707CE"/>
    <w:rsid w:val="00C80F09"/>
    <w:rsid w:val="00CA19DD"/>
    <w:rsid w:val="00CC124F"/>
    <w:rsid w:val="00D010D7"/>
    <w:rsid w:val="00D45A64"/>
    <w:rsid w:val="00DB755C"/>
    <w:rsid w:val="00E825D5"/>
    <w:rsid w:val="00EA40E8"/>
    <w:rsid w:val="00FF2398"/>
    <w:rsid w:val="0213141D"/>
    <w:rsid w:val="02334295"/>
    <w:rsid w:val="02B23D74"/>
    <w:rsid w:val="03061903"/>
    <w:rsid w:val="041E7FA4"/>
    <w:rsid w:val="048C47C8"/>
    <w:rsid w:val="06C85AAD"/>
    <w:rsid w:val="07455707"/>
    <w:rsid w:val="084C4D59"/>
    <w:rsid w:val="086D7CEF"/>
    <w:rsid w:val="09444D40"/>
    <w:rsid w:val="096133DF"/>
    <w:rsid w:val="09B84939"/>
    <w:rsid w:val="0BED7182"/>
    <w:rsid w:val="0CF87E01"/>
    <w:rsid w:val="0D0D664F"/>
    <w:rsid w:val="0D6A3852"/>
    <w:rsid w:val="0D986E19"/>
    <w:rsid w:val="0E207052"/>
    <w:rsid w:val="10305EEC"/>
    <w:rsid w:val="103C5444"/>
    <w:rsid w:val="10762704"/>
    <w:rsid w:val="111F70E9"/>
    <w:rsid w:val="11FB41C7"/>
    <w:rsid w:val="1289337B"/>
    <w:rsid w:val="14E1403A"/>
    <w:rsid w:val="15820EBC"/>
    <w:rsid w:val="15942EE1"/>
    <w:rsid w:val="1678528F"/>
    <w:rsid w:val="16BB4424"/>
    <w:rsid w:val="1A0D5BEF"/>
    <w:rsid w:val="1AF53561"/>
    <w:rsid w:val="1C575E2C"/>
    <w:rsid w:val="1D383FD6"/>
    <w:rsid w:val="1D7C5CB7"/>
    <w:rsid w:val="1DC73595"/>
    <w:rsid w:val="1F9669B7"/>
    <w:rsid w:val="22A30A6A"/>
    <w:rsid w:val="22A60538"/>
    <w:rsid w:val="23C757B4"/>
    <w:rsid w:val="23C95445"/>
    <w:rsid w:val="23E70159"/>
    <w:rsid w:val="242B23DA"/>
    <w:rsid w:val="25507940"/>
    <w:rsid w:val="269F1C1D"/>
    <w:rsid w:val="27794022"/>
    <w:rsid w:val="27BF6C56"/>
    <w:rsid w:val="287936DD"/>
    <w:rsid w:val="290F2BEE"/>
    <w:rsid w:val="29B81C6E"/>
    <w:rsid w:val="2B457EF5"/>
    <w:rsid w:val="2B6A3386"/>
    <w:rsid w:val="2D187EC9"/>
    <w:rsid w:val="2D4E7365"/>
    <w:rsid w:val="2F187F27"/>
    <w:rsid w:val="33CD207E"/>
    <w:rsid w:val="340B3B07"/>
    <w:rsid w:val="341F4D3F"/>
    <w:rsid w:val="34745B96"/>
    <w:rsid w:val="36256920"/>
    <w:rsid w:val="36396BB9"/>
    <w:rsid w:val="36694C93"/>
    <w:rsid w:val="36B77AAF"/>
    <w:rsid w:val="3785702B"/>
    <w:rsid w:val="37D915CC"/>
    <w:rsid w:val="395A3CEE"/>
    <w:rsid w:val="39C82ECE"/>
    <w:rsid w:val="3B937203"/>
    <w:rsid w:val="3D1B4E57"/>
    <w:rsid w:val="3EA11583"/>
    <w:rsid w:val="402F6686"/>
    <w:rsid w:val="40315E82"/>
    <w:rsid w:val="403D6C5A"/>
    <w:rsid w:val="404A7A4E"/>
    <w:rsid w:val="40546024"/>
    <w:rsid w:val="40EB1B58"/>
    <w:rsid w:val="41410663"/>
    <w:rsid w:val="41DF507B"/>
    <w:rsid w:val="42E661CE"/>
    <w:rsid w:val="436A5C4B"/>
    <w:rsid w:val="43AD0D0A"/>
    <w:rsid w:val="457C074C"/>
    <w:rsid w:val="45931715"/>
    <w:rsid w:val="45C324FD"/>
    <w:rsid w:val="45F44D15"/>
    <w:rsid w:val="461841B5"/>
    <w:rsid w:val="46390E31"/>
    <w:rsid w:val="46677D66"/>
    <w:rsid w:val="474069CC"/>
    <w:rsid w:val="4881395D"/>
    <w:rsid w:val="48BE32ED"/>
    <w:rsid w:val="48DA295A"/>
    <w:rsid w:val="491D26D4"/>
    <w:rsid w:val="49C009E7"/>
    <w:rsid w:val="4BBB18EA"/>
    <w:rsid w:val="4C043FAD"/>
    <w:rsid w:val="4D1766BC"/>
    <w:rsid w:val="4D855F74"/>
    <w:rsid w:val="4D8929FB"/>
    <w:rsid w:val="4E880692"/>
    <w:rsid w:val="50043A68"/>
    <w:rsid w:val="51572958"/>
    <w:rsid w:val="51BA5303"/>
    <w:rsid w:val="53056308"/>
    <w:rsid w:val="53752398"/>
    <w:rsid w:val="53C0099C"/>
    <w:rsid w:val="546F4B75"/>
    <w:rsid w:val="547B720C"/>
    <w:rsid w:val="54C307B3"/>
    <w:rsid w:val="563F74BE"/>
    <w:rsid w:val="56864963"/>
    <w:rsid w:val="56C83201"/>
    <w:rsid w:val="58F702C5"/>
    <w:rsid w:val="59B97010"/>
    <w:rsid w:val="5A5376DB"/>
    <w:rsid w:val="5A8042EB"/>
    <w:rsid w:val="5BA12F55"/>
    <w:rsid w:val="5C4D79EA"/>
    <w:rsid w:val="5CD302DE"/>
    <w:rsid w:val="5E900109"/>
    <w:rsid w:val="5F874915"/>
    <w:rsid w:val="5FB76C05"/>
    <w:rsid w:val="5FB80127"/>
    <w:rsid w:val="62183C83"/>
    <w:rsid w:val="63894B18"/>
    <w:rsid w:val="643E43CE"/>
    <w:rsid w:val="64601A41"/>
    <w:rsid w:val="647944D1"/>
    <w:rsid w:val="651D46B5"/>
    <w:rsid w:val="66403CD6"/>
    <w:rsid w:val="66DA05B5"/>
    <w:rsid w:val="67A256F8"/>
    <w:rsid w:val="67BB5EE1"/>
    <w:rsid w:val="67E777A5"/>
    <w:rsid w:val="67F50608"/>
    <w:rsid w:val="687C35E4"/>
    <w:rsid w:val="688A14C0"/>
    <w:rsid w:val="68C80885"/>
    <w:rsid w:val="69471D42"/>
    <w:rsid w:val="6A3B3D8A"/>
    <w:rsid w:val="6A6448CB"/>
    <w:rsid w:val="6A7A7EC5"/>
    <w:rsid w:val="6CAD6C56"/>
    <w:rsid w:val="6D7B15EB"/>
    <w:rsid w:val="6E39535A"/>
    <w:rsid w:val="6E776A16"/>
    <w:rsid w:val="6FA87503"/>
    <w:rsid w:val="6FBA557D"/>
    <w:rsid w:val="6FC21049"/>
    <w:rsid w:val="6FC54066"/>
    <w:rsid w:val="6FD90545"/>
    <w:rsid w:val="70111A55"/>
    <w:rsid w:val="70675BCC"/>
    <w:rsid w:val="710147D9"/>
    <w:rsid w:val="71614A1E"/>
    <w:rsid w:val="72E05381"/>
    <w:rsid w:val="72F0235C"/>
    <w:rsid w:val="73853046"/>
    <w:rsid w:val="73947506"/>
    <w:rsid w:val="747344DC"/>
    <w:rsid w:val="74C3262B"/>
    <w:rsid w:val="751E2A1A"/>
    <w:rsid w:val="77E06904"/>
    <w:rsid w:val="784A0977"/>
    <w:rsid w:val="79691607"/>
    <w:rsid w:val="797C669F"/>
    <w:rsid w:val="7A0C617D"/>
    <w:rsid w:val="7A441C1C"/>
    <w:rsid w:val="7A7D6CB8"/>
    <w:rsid w:val="7CD6395D"/>
    <w:rsid w:val="7CDB44E5"/>
    <w:rsid w:val="7DA600CD"/>
    <w:rsid w:val="7F1903B6"/>
    <w:rsid w:val="7F3A1E7A"/>
    <w:rsid w:val="7FBF7275"/>
    <w:rsid w:val="7FDF5A71"/>
    <w:rsid w:val="FF7F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rPr>
      <w:sz w:val="24"/>
    </w:rPr>
  </w:style>
  <w:style w:type="paragraph" w:styleId="8">
    <w:name w:val="toc 3"/>
    <w:basedOn w:val="1"/>
    <w:next w:val="1"/>
    <w:qFormat/>
    <w:uiPriority w:val="39"/>
    <w:pPr>
      <w:ind w:left="840" w:leftChars="400"/>
    </w:pPr>
  </w:style>
  <w:style w:type="paragraph" w:styleId="9">
    <w:name w:val="Balloon Text"/>
    <w:basedOn w:val="1"/>
    <w:link w:val="21"/>
    <w:qFormat/>
    <w:uiPriority w:val="0"/>
    <w:rPr>
      <w:sz w:val="18"/>
      <w:szCs w:val="18"/>
    </w:rPr>
  </w:style>
  <w:style w:type="paragraph" w:styleId="10">
    <w:name w:val="footer"/>
    <w:basedOn w:val="1"/>
    <w:link w:val="20"/>
    <w:unhideWhenUsed/>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页脚 字符"/>
    <w:basedOn w:val="14"/>
    <w:link w:val="10"/>
    <w:qFormat/>
    <w:uiPriority w:val="99"/>
    <w:rPr>
      <w:rFonts w:asciiTheme="minorHAnsi" w:hAnsiTheme="minorHAnsi" w:eastAsiaTheme="minorEastAsia" w:cstheme="minorBidi"/>
      <w:kern w:val="2"/>
      <w:sz w:val="18"/>
      <w:szCs w:val="18"/>
    </w:rPr>
  </w:style>
  <w:style w:type="character" w:customStyle="1" w:styleId="21">
    <w:name w:val="批注框文本 字符"/>
    <w:basedOn w:val="14"/>
    <w:link w:val="9"/>
    <w:qFormat/>
    <w:uiPriority w:val="0"/>
    <w:rPr>
      <w:rFonts w:asciiTheme="minorHAnsi" w:hAnsiTheme="minorHAnsi" w:eastAsiaTheme="minorEastAsia" w:cstheme="minorBidi"/>
      <w:kern w:val="2"/>
      <w:sz w:val="18"/>
      <w:szCs w:val="18"/>
    </w:rPr>
  </w:style>
  <w:style w:type="paragraph" w:customStyle="1" w:styleId="2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2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3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18</Pages>
  <Words>8346</Words>
  <Characters>10453</Characters>
  <Lines>108</Lines>
  <Paragraphs>30</Paragraphs>
  <TotalTime>0</TotalTime>
  <ScaleCrop>false</ScaleCrop>
  <LinksUpToDate>false</LinksUpToDate>
  <CharactersWithSpaces>11405</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2022-12-11T23:00:00Z</dcterms:created>
  <dc:creator>gyw</dc:creator>
  <cp:lastModifiedBy>manchestereva</cp:lastModifiedBy>
  <dcterms:modified xsi:type="dcterms:W3CDTF">2022-12-20T12:14:10Z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60A8C339AB7041C3AEE7EAFB1FA24140</vt:lpwstr>
  </property>
</Properties>
</file>