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/>
        <w:ind w:firstLine="0" w:firstLineChars="0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附件4：</w:t>
      </w:r>
    </w:p>
    <w:p>
      <w:pPr>
        <w:adjustRightInd w:val="0"/>
        <w:snapToGrid w:val="0"/>
        <w:spacing w:before="163" w:line="240" w:lineRule="auto"/>
        <w:ind w:firstLine="0" w:firstLineChars="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评分办法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58"/>
        <w:gridCol w:w="6480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shd w:val="clear" w:color="auto" w:fill="D8D8D8" w:themeFill="background1" w:themeFillShade="D9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b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b/>
                <w:sz w:val="21"/>
                <w:szCs w:val="21"/>
              </w:rPr>
              <w:t>序号</w:t>
            </w:r>
          </w:p>
        </w:tc>
        <w:tc>
          <w:tcPr>
            <w:tcW w:w="445" w:type="pct"/>
            <w:shd w:val="clear" w:color="auto" w:fill="D8D8D8" w:themeFill="background1" w:themeFillShade="D9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b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b/>
                <w:sz w:val="21"/>
                <w:szCs w:val="21"/>
              </w:rPr>
              <w:t>项目</w:t>
            </w:r>
          </w:p>
        </w:tc>
        <w:tc>
          <w:tcPr>
            <w:tcW w:w="3802" w:type="pct"/>
            <w:shd w:val="clear" w:color="auto" w:fill="D8D8D8" w:themeFill="background1" w:themeFillShade="D9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b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b/>
                <w:sz w:val="21"/>
                <w:szCs w:val="21"/>
              </w:rPr>
              <w:t>评分标准</w:t>
            </w:r>
          </w:p>
        </w:tc>
        <w:tc>
          <w:tcPr>
            <w:tcW w:w="375" w:type="pct"/>
            <w:shd w:val="clear" w:color="auto" w:fill="D8D8D8" w:themeFill="background1" w:themeFillShade="D9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b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b/>
                <w:sz w:val="21"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一、价格部分（</w:t>
            </w:r>
            <w:r>
              <w:rPr>
                <w:rFonts w:ascii="FangSong" w:hAnsi="FangSong" w:eastAsia="FangSong"/>
                <w:sz w:val="21"/>
                <w:szCs w:val="21"/>
              </w:rPr>
              <w:t>1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76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1</w:t>
            </w:r>
          </w:p>
        </w:tc>
        <w:tc>
          <w:tcPr>
            <w:tcW w:w="44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价格评分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投标报价得分=(评标基准价／投标报价)×价格权重×100（精确到0.01）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ascii="FangSong" w:hAnsi="FangSong" w:eastAsia="FangSong"/>
                <w:sz w:val="21"/>
                <w:szCs w:val="21"/>
              </w:rPr>
              <w:t>1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二、技术部分（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2</w:t>
            </w:r>
          </w:p>
        </w:tc>
        <w:tc>
          <w:tcPr>
            <w:tcW w:w="44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目标定位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项目目标理解透彻、定位分析清晰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好：得6分，一般：2-</w:t>
            </w:r>
            <w:r>
              <w:rPr>
                <w:rFonts w:ascii="FangSong" w:hAnsi="FangSong" w:eastAsia="FangSong"/>
                <w:sz w:val="21"/>
                <w:szCs w:val="21"/>
              </w:rPr>
              <w:t>5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分，差：0-1分。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3</w:t>
            </w:r>
          </w:p>
        </w:tc>
        <w:tc>
          <w:tcPr>
            <w:tcW w:w="44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需求分析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项目需求分析准确、深入，需求分析方法合理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</w:t>
            </w:r>
            <w:r>
              <w:rPr>
                <w:rFonts w:ascii="FangSong" w:hAnsi="FangSong" w:eastAsia="FangSong"/>
                <w:sz w:val="21"/>
                <w:szCs w:val="21"/>
              </w:rPr>
              <w:t>10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分，一般：</w:t>
            </w:r>
            <w:r>
              <w:rPr>
                <w:rFonts w:ascii="FangSong" w:hAnsi="FangSong" w:eastAsia="FangSong"/>
                <w:sz w:val="21"/>
                <w:szCs w:val="21"/>
              </w:rPr>
              <w:t>4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-</w:t>
            </w:r>
            <w:r>
              <w:rPr>
                <w:rFonts w:ascii="FangSong" w:hAnsi="FangSong" w:eastAsia="FangSong"/>
                <w:sz w:val="21"/>
                <w:szCs w:val="21"/>
              </w:rPr>
              <w:t>9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分，差：0-</w:t>
            </w:r>
            <w:r>
              <w:rPr>
                <w:rFonts w:ascii="FangSong" w:hAnsi="FangSong" w:eastAsia="FangSong"/>
                <w:sz w:val="21"/>
                <w:szCs w:val="21"/>
              </w:rPr>
              <w:t>3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Merge w:val="restar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4</w:t>
            </w:r>
          </w:p>
        </w:tc>
        <w:tc>
          <w:tcPr>
            <w:tcW w:w="445" w:type="pct"/>
            <w:vMerge w:val="restar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技术方案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（1）总体项目实施方案科学、合理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</w:t>
            </w:r>
            <w:r>
              <w:rPr>
                <w:rFonts w:ascii="FangSong" w:hAnsi="FangSong" w:eastAsia="FangSong"/>
                <w:sz w:val="21"/>
                <w:szCs w:val="21"/>
              </w:rPr>
              <w:t>1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分，一般：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6-14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分，差：0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-5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1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</w:p>
        </w:tc>
        <w:tc>
          <w:tcPr>
            <w:tcW w:w="445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hint="eastAsia"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（2）人员配置合理，足以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工作需求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分，一般：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3-6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分，差：0-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</w:p>
        </w:tc>
        <w:tc>
          <w:tcPr>
            <w:tcW w:w="445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hint="eastAsia"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项目时间安排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合理，足以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工作需求</w:t>
            </w:r>
          </w:p>
          <w:p>
            <w:pPr>
              <w:widowControl/>
              <w:spacing w:before="0" w:beforeLines="0" w:line="240" w:lineRule="auto"/>
              <w:ind w:firstLine="0" w:firstLineChars="0"/>
              <w:jc w:val="both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分，一般：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3-6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分，差：0-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5</w:t>
            </w:r>
          </w:p>
        </w:tc>
        <w:tc>
          <w:tcPr>
            <w:tcW w:w="44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质控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方案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质控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方案科学、合理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</w:t>
            </w:r>
            <w:r>
              <w:rPr>
                <w:rFonts w:ascii="FangSong" w:hAnsi="FangSong" w:eastAsia="FangSong"/>
                <w:sz w:val="21"/>
                <w:szCs w:val="21"/>
              </w:rPr>
              <w:t>10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分，一般：</w:t>
            </w:r>
            <w:r>
              <w:rPr>
                <w:rFonts w:ascii="FangSong" w:hAnsi="FangSong" w:eastAsia="FangSong"/>
                <w:sz w:val="21"/>
                <w:szCs w:val="21"/>
              </w:rPr>
              <w:t>4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-</w:t>
            </w:r>
            <w:r>
              <w:rPr>
                <w:rFonts w:ascii="FangSong" w:hAnsi="FangSong" w:eastAsia="FangSong"/>
                <w:sz w:val="21"/>
                <w:szCs w:val="21"/>
              </w:rPr>
              <w:t>9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分，差：0-</w:t>
            </w:r>
            <w:r>
              <w:rPr>
                <w:rFonts w:ascii="FangSong" w:hAnsi="FangSong" w:eastAsia="FangSong"/>
                <w:sz w:val="21"/>
                <w:szCs w:val="21"/>
              </w:rPr>
              <w:t>3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Merge w:val="restar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6</w:t>
            </w:r>
          </w:p>
        </w:tc>
        <w:tc>
          <w:tcPr>
            <w:tcW w:w="445" w:type="pct"/>
            <w:vMerge w:val="restar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管理方案</w:t>
            </w:r>
          </w:p>
        </w:tc>
        <w:tc>
          <w:tcPr>
            <w:tcW w:w="3802" w:type="pct"/>
            <w:vAlign w:val="center"/>
          </w:tcPr>
          <w:p>
            <w:pPr>
              <w:numPr>
                <w:ilvl w:val="0"/>
                <w:numId w:val="1"/>
              </w:numPr>
              <w:spacing w:before="0" w:beforeLines="0" w:line="240" w:lineRule="auto"/>
              <w:ind w:firstLine="0" w:firstLineChars="0"/>
              <w:jc w:val="both"/>
              <w:rPr>
                <w:rFonts w:hint="eastAsia"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保密管理方案</w:t>
            </w:r>
          </w:p>
          <w:p>
            <w:pPr>
              <w:numPr>
                <w:ilvl w:val="0"/>
                <w:numId w:val="0"/>
              </w:numPr>
              <w:spacing w:before="0" w:beforeLines="0" w:line="240" w:lineRule="auto"/>
              <w:jc w:val="both"/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好：得5分，一般：2-4分，差：0-1分。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</w:rPr>
            </w:pPr>
          </w:p>
        </w:tc>
        <w:tc>
          <w:tcPr>
            <w:tcW w:w="445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</w:pP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档案管理方案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hint="eastAsia"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好：得5分，一般：2-4分，差：0-1分。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</w:rPr>
            </w:pPr>
          </w:p>
        </w:tc>
        <w:tc>
          <w:tcPr>
            <w:tcW w:w="445" w:type="pct"/>
            <w:vMerge w:val="continue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</w:pP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应急方案</w:t>
            </w:r>
          </w:p>
          <w:p>
            <w:pPr>
              <w:spacing w:before="0" w:beforeLines="0" w:line="240" w:lineRule="auto"/>
              <w:ind w:firstLine="0" w:firstLineChars="0"/>
              <w:jc w:val="both"/>
              <w:rPr>
                <w:rFonts w:hint="eastAsia" w:ascii="FangSong" w:hAnsi="FangSong" w:eastAsia="FangSong"/>
                <w:sz w:val="21"/>
                <w:szCs w:val="21"/>
                <w:lang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好：得5分，一般：2-4分，差：0-1分。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bookmarkStart w:id="0" w:name="_GoBack"/>
            <w:r>
              <w:rPr>
                <w:rFonts w:hint="eastAsia" w:ascii="FangSong" w:hAnsi="FangSong" w:eastAsia="FangSong"/>
                <w:sz w:val="21"/>
                <w:szCs w:val="21"/>
              </w:rPr>
              <w:t>三、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商务部分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（</w:t>
            </w: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FangSong" w:hAnsi="FangSong" w:eastAsia="FangSong"/>
                <w:sz w:val="21"/>
                <w:szCs w:val="21"/>
              </w:rPr>
              <w:t>0分）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7</w:t>
            </w:r>
          </w:p>
        </w:tc>
        <w:tc>
          <w:tcPr>
            <w:tcW w:w="44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企业业绩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供应商2015年4月1日以来（以合同签署日期为准）承担区域性土壤监测项目工作类似业绩；每一个业绩得2分，最高得10分。提供业绩清单、合同首页、签字盖章页、主要服务内容页。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FangSong" w:hAnsi="FangSong" w:eastAsia="FangSong"/>
                <w:sz w:val="21"/>
                <w:szCs w:val="21"/>
              </w:rPr>
            </w:pPr>
            <w:r>
              <w:rPr>
                <w:rFonts w:ascii="FangSong" w:hAnsi="FangSong" w:eastAsia="FangSong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4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供应商自有的CMA资质实验室</w:t>
            </w:r>
          </w:p>
        </w:tc>
        <w:tc>
          <w:tcPr>
            <w:tcW w:w="3802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both"/>
              <w:rPr>
                <w:rFonts w:hint="eastAsia" w:ascii="FangSong" w:hAnsi="FangSong" w:eastAsia="FangSong"/>
                <w:sz w:val="21"/>
                <w:szCs w:val="21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</w:rPr>
              <w:t>评审供应商拟投入本项目的自有实验室具有的所有必测项目的CMA资质情况，包括土壤pH、阳离子交换量、有机质3种理化性质；砷、镉、铬、铜、汞、镍、铅和锌8种重金属的全量；有机氯农药（六六六和滴滴涕）和多环芳烃（苊烯、苊、芴、菲、蒽、荧蒽、芘、苯并(a)蒽、䓛、苯并(b)荧蒽、苯并(k)荧蒽、苯并(a)芘、茚苯(1,2,3-c,d)芘、二苯并(a, h)蒽和苯并(g, h, i)苝）。每缺少一项扣1分，扣完为止。提供检验检测机构资质认定证书（CMA证书）和包含必测项目的土壤检测附件的复印件并加盖公章。</w:t>
            </w:r>
          </w:p>
        </w:tc>
        <w:tc>
          <w:tcPr>
            <w:tcW w:w="375" w:type="pct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default" w:ascii="FangSong" w:hAnsi="FangSong" w:eastAsia="FangSong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1"/>
                <w:szCs w:val="21"/>
                <w:lang w:val="en-US" w:eastAsia="zh-CN"/>
              </w:rPr>
              <w:t>10</w:t>
            </w:r>
          </w:p>
        </w:tc>
      </w:tr>
    </w:tbl>
    <w:p>
      <w:pPr>
        <w:spacing w:before="163"/>
        <w:ind w:right="964" w:firstLine="9638" w:firstLineChars="4000"/>
        <w:rPr>
          <w:rFonts w:ascii="FangSong" w:hAnsi="FangSong" w:eastAsia="FangSong"/>
          <w:b/>
        </w:rPr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40DE8B"/>
    <w:multiLevelType w:val="singleLevel"/>
    <w:tmpl w:val="F140DE8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8"/>
    <w:rsid w:val="000603B8"/>
    <w:rsid w:val="00064DAA"/>
    <w:rsid w:val="0007438F"/>
    <w:rsid w:val="0008096A"/>
    <w:rsid w:val="000827B0"/>
    <w:rsid w:val="000A6151"/>
    <w:rsid w:val="000B1EBC"/>
    <w:rsid w:val="00107AF8"/>
    <w:rsid w:val="00182A43"/>
    <w:rsid w:val="0019794F"/>
    <w:rsid w:val="001B43B2"/>
    <w:rsid w:val="001E1147"/>
    <w:rsid w:val="00202C1C"/>
    <w:rsid w:val="00211525"/>
    <w:rsid w:val="0024174E"/>
    <w:rsid w:val="00285340"/>
    <w:rsid w:val="00287C4E"/>
    <w:rsid w:val="002B460D"/>
    <w:rsid w:val="002E2E93"/>
    <w:rsid w:val="003679D1"/>
    <w:rsid w:val="0039638E"/>
    <w:rsid w:val="0041791A"/>
    <w:rsid w:val="0045738C"/>
    <w:rsid w:val="004E4D32"/>
    <w:rsid w:val="0053748B"/>
    <w:rsid w:val="00541E14"/>
    <w:rsid w:val="00567563"/>
    <w:rsid w:val="005743E3"/>
    <w:rsid w:val="005C3FF6"/>
    <w:rsid w:val="005F2F0B"/>
    <w:rsid w:val="005F4055"/>
    <w:rsid w:val="006218B0"/>
    <w:rsid w:val="00632DC9"/>
    <w:rsid w:val="00645182"/>
    <w:rsid w:val="00745BE9"/>
    <w:rsid w:val="007632DD"/>
    <w:rsid w:val="0076423F"/>
    <w:rsid w:val="00804CB2"/>
    <w:rsid w:val="00806508"/>
    <w:rsid w:val="00827469"/>
    <w:rsid w:val="008A4D38"/>
    <w:rsid w:val="008B51F4"/>
    <w:rsid w:val="009141D1"/>
    <w:rsid w:val="00916AF2"/>
    <w:rsid w:val="009513CD"/>
    <w:rsid w:val="00981264"/>
    <w:rsid w:val="009A4F90"/>
    <w:rsid w:val="009C2658"/>
    <w:rsid w:val="00A103C6"/>
    <w:rsid w:val="00A64007"/>
    <w:rsid w:val="00A646BC"/>
    <w:rsid w:val="00AD0468"/>
    <w:rsid w:val="00BB1096"/>
    <w:rsid w:val="00BB4F8A"/>
    <w:rsid w:val="00C21B52"/>
    <w:rsid w:val="00C321ED"/>
    <w:rsid w:val="00C60FAC"/>
    <w:rsid w:val="00CA6E3B"/>
    <w:rsid w:val="00CC343F"/>
    <w:rsid w:val="00D2715D"/>
    <w:rsid w:val="00DA6EC2"/>
    <w:rsid w:val="00DB1C50"/>
    <w:rsid w:val="00E86E8C"/>
    <w:rsid w:val="00E902B3"/>
    <w:rsid w:val="00EE736B"/>
    <w:rsid w:val="00EF3E24"/>
    <w:rsid w:val="00EF510E"/>
    <w:rsid w:val="00F04197"/>
    <w:rsid w:val="00F9572D"/>
    <w:rsid w:val="0A130865"/>
    <w:rsid w:val="0E35766A"/>
    <w:rsid w:val="5FA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line="360" w:lineRule="auto"/>
      <w:ind w:firstLine="200" w:firstLineChars="200"/>
      <w:jc w:val="both"/>
    </w:pPr>
    <w:rPr>
      <w:rFonts w:ascii="Times New Roman" w:hAnsi="Times New Roman" w:eastAsia="SimSun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before="0" w:beforeLines="0"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Lines="0"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9</TotalTime>
  <ScaleCrop>false</ScaleCrop>
  <LinksUpToDate>false</LinksUpToDate>
  <CharactersWithSpaces>812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2018-07-16T00:45:00Z</dcterms:created>
  <dc:creator>倪永(返回经办人)</dc:creator>
  <cp:lastModifiedBy>蓝齐儿</cp:lastModifiedBy>
  <cp:lastPrinted>2022-03-22T01:09:00Z</cp:lastPrinted>
  <dcterms:modified xsi:type="dcterms:W3CDTF">2022-03-23T08:41:05Z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E7EDDCD1FF4643C6AD808B7EB09672E6</vt:lpwstr>
  </property>
</Properties>
</file>