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0" w:beforeLines="0" w:line="240" w:lineRule="auto"/>
        <w:ind w:firstLine="0" w:firstLineChars="0"/>
        <w:rPr>
          <w:rFonts w:ascii="仿宋_GB2312" w:hAnsi="仿宋_GB2312" w:eastAsia="仿宋_GB2312" w:cs="Times New Roman"/>
          <w:color w:val="auto"/>
          <w:kern w:val="0"/>
          <w:sz w:val="32"/>
          <w:szCs w:val="20"/>
        </w:rPr>
      </w:pPr>
      <w:bookmarkStart w:id="25" w:name="_GoBack"/>
      <w:bookmarkEnd w:id="25"/>
      <w:r>
        <w:rPr>
          <w:rFonts w:ascii="仿宋_GB2312" w:hAnsi="仿宋_GB2312" w:eastAsia="仿宋_GB2312" w:cs="Times New Roman"/>
          <w:color w:val="auto"/>
          <w:kern w:val="0"/>
          <w:sz w:val="32"/>
          <w:szCs w:val="20"/>
        </w:rPr>
        <w:t>附件</w:t>
      </w:r>
      <w:r>
        <w:rPr>
          <w:rFonts w:hint="eastAsia" w:ascii="仿宋_GB2312" w:hAnsi="仿宋_GB2312" w:eastAsia="仿宋_GB2312" w:cs="Times New Roman"/>
          <w:color w:val="auto"/>
          <w:kern w:val="0"/>
          <w:sz w:val="32"/>
          <w:szCs w:val="20"/>
        </w:rPr>
        <w:t>1：项目需求</w:t>
      </w:r>
    </w:p>
    <w:p>
      <w:pPr>
        <w:spacing w:before="156"/>
        <w:ind w:firstLine="0" w:firstLineChars="0"/>
        <w:rPr>
          <w:color w:val="auto"/>
        </w:rPr>
      </w:pPr>
    </w:p>
    <w:p>
      <w:pPr>
        <w:spacing w:before="156"/>
        <w:ind w:firstLine="0" w:firstLineChars="0"/>
        <w:rPr>
          <w:color w:val="auto"/>
        </w:rPr>
      </w:pPr>
    </w:p>
    <w:p>
      <w:pPr>
        <w:spacing w:before="156"/>
        <w:ind w:firstLine="0" w:firstLineChars="0"/>
        <w:jc w:val="center"/>
        <w:rPr>
          <w:b/>
          <w:color w:val="auto"/>
          <w:sz w:val="44"/>
          <w:szCs w:val="44"/>
        </w:rPr>
      </w:pPr>
    </w:p>
    <w:p>
      <w:pPr>
        <w:spacing w:before="156"/>
        <w:ind w:firstLine="0" w:firstLineChars="0"/>
        <w:jc w:val="center"/>
        <w:rPr>
          <w:rFonts w:hint="eastAsia"/>
          <w:b/>
          <w:color w:val="auto"/>
          <w:sz w:val="44"/>
          <w:szCs w:val="44"/>
        </w:rPr>
      </w:pPr>
      <w:r>
        <w:rPr>
          <w:rFonts w:hint="eastAsia"/>
          <w:b/>
          <w:color w:val="auto"/>
          <w:sz w:val="44"/>
          <w:szCs w:val="44"/>
        </w:rPr>
        <w:t>国家土壤环境质量监测质量监督抽查</w:t>
      </w:r>
    </w:p>
    <w:p>
      <w:pPr>
        <w:spacing w:before="156"/>
        <w:ind w:firstLine="0" w:firstLineChars="0"/>
        <w:jc w:val="center"/>
        <w:rPr>
          <w:b/>
          <w:color w:val="auto"/>
          <w:sz w:val="44"/>
          <w:szCs w:val="44"/>
        </w:rPr>
      </w:pPr>
      <w:r>
        <w:rPr>
          <w:rFonts w:hint="eastAsia"/>
          <w:b/>
          <w:color w:val="auto"/>
          <w:sz w:val="44"/>
          <w:szCs w:val="44"/>
        </w:rPr>
        <w:t>项目需求书</w:t>
      </w:r>
    </w:p>
    <w:p>
      <w:pPr>
        <w:spacing w:before="156"/>
        <w:ind w:firstLine="0" w:firstLineChars="0"/>
        <w:rPr>
          <w:color w:val="auto"/>
        </w:rPr>
      </w:pPr>
    </w:p>
    <w:p>
      <w:pPr>
        <w:spacing w:before="156"/>
        <w:ind w:firstLine="0" w:firstLineChars="0"/>
        <w:rPr>
          <w:color w:val="auto"/>
        </w:rPr>
      </w:pPr>
    </w:p>
    <w:p>
      <w:pPr>
        <w:spacing w:before="156"/>
        <w:ind w:firstLine="0" w:firstLineChars="0"/>
        <w:rPr>
          <w:color w:val="auto"/>
        </w:rPr>
      </w:pPr>
    </w:p>
    <w:p>
      <w:pPr>
        <w:spacing w:before="156"/>
        <w:ind w:firstLine="0" w:firstLineChars="0"/>
        <w:rPr>
          <w:color w:val="auto"/>
        </w:rPr>
      </w:pPr>
    </w:p>
    <w:p>
      <w:pPr>
        <w:spacing w:before="156"/>
        <w:ind w:firstLine="0" w:firstLineChars="0"/>
        <w:rPr>
          <w:color w:val="auto"/>
        </w:rPr>
      </w:pPr>
    </w:p>
    <w:p>
      <w:pPr>
        <w:spacing w:before="156"/>
        <w:ind w:firstLine="0" w:firstLineChars="0"/>
        <w:rPr>
          <w:color w:val="auto"/>
        </w:rPr>
      </w:pPr>
    </w:p>
    <w:p>
      <w:pPr>
        <w:spacing w:before="156"/>
        <w:ind w:firstLine="0" w:firstLineChars="0"/>
        <w:rPr>
          <w:color w:val="auto"/>
        </w:rPr>
      </w:pPr>
    </w:p>
    <w:p>
      <w:pPr>
        <w:spacing w:before="156"/>
        <w:ind w:firstLine="0" w:firstLineChars="0"/>
        <w:rPr>
          <w:color w:val="auto"/>
        </w:rPr>
      </w:pPr>
    </w:p>
    <w:p>
      <w:pPr>
        <w:spacing w:before="156"/>
        <w:ind w:firstLine="0" w:firstLineChars="0"/>
        <w:rPr>
          <w:color w:val="auto"/>
        </w:rPr>
      </w:pPr>
    </w:p>
    <w:p>
      <w:pPr>
        <w:spacing w:before="156"/>
        <w:ind w:firstLine="0" w:firstLineChars="0"/>
        <w:jc w:val="center"/>
        <w:rPr>
          <w:color w:val="auto"/>
          <w:sz w:val="28"/>
          <w:szCs w:val="28"/>
        </w:rPr>
      </w:pPr>
      <w:r>
        <w:rPr>
          <w:rFonts w:hint="eastAsia"/>
          <w:color w:val="auto"/>
          <w:sz w:val="28"/>
          <w:szCs w:val="28"/>
        </w:rPr>
        <w:t>中国环境监测总站</w:t>
      </w:r>
    </w:p>
    <w:p>
      <w:pPr>
        <w:spacing w:before="156"/>
        <w:ind w:firstLine="0" w:firstLineChars="0"/>
        <w:jc w:val="center"/>
        <w:rPr>
          <w:color w:val="auto"/>
          <w:sz w:val="28"/>
          <w:szCs w:val="28"/>
        </w:rPr>
      </w:pPr>
      <w:r>
        <w:rPr>
          <w:rFonts w:hint="eastAsia"/>
          <w:color w:val="auto"/>
          <w:sz w:val="28"/>
          <w:szCs w:val="28"/>
        </w:rPr>
        <w:t>20</w:t>
      </w:r>
      <w:r>
        <w:rPr>
          <w:color w:val="auto"/>
          <w:sz w:val="28"/>
          <w:szCs w:val="28"/>
        </w:rPr>
        <w:t>2</w:t>
      </w:r>
      <w:r>
        <w:rPr>
          <w:rFonts w:hint="eastAsia"/>
          <w:color w:val="auto"/>
          <w:sz w:val="28"/>
          <w:szCs w:val="28"/>
          <w:lang w:val="en-US" w:eastAsia="zh-CN"/>
        </w:rPr>
        <w:t>2</w:t>
      </w:r>
      <w:r>
        <w:rPr>
          <w:rFonts w:hint="eastAsia"/>
          <w:color w:val="auto"/>
          <w:sz w:val="28"/>
          <w:szCs w:val="28"/>
        </w:rPr>
        <w:t>年</w:t>
      </w:r>
      <w:r>
        <w:rPr>
          <w:rFonts w:hint="eastAsia"/>
          <w:color w:val="auto"/>
          <w:sz w:val="28"/>
          <w:szCs w:val="28"/>
          <w:lang w:val="en-US" w:eastAsia="zh-CN"/>
        </w:rPr>
        <w:t>3</w:t>
      </w:r>
      <w:r>
        <w:rPr>
          <w:rFonts w:hint="eastAsia"/>
          <w:color w:val="auto"/>
          <w:sz w:val="28"/>
          <w:szCs w:val="28"/>
        </w:rPr>
        <w:t>月</w:t>
      </w:r>
    </w:p>
    <w:p>
      <w:pPr>
        <w:spacing w:before="156"/>
        <w:ind w:firstLine="0" w:firstLineChars="0"/>
        <w:rPr>
          <w:color w:val="auto"/>
        </w:rPr>
      </w:pPr>
    </w:p>
    <w:p>
      <w:pPr>
        <w:spacing w:before="156"/>
        <w:ind w:firstLine="480"/>
        <w:rPr>
          <w:color w:val="auto"/>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sdt>
      <w:sdtPr>
        <w:rPr>
          <w:color w:val="auto"/>
          <w:lang w:val="zh-CN"/>
        </w:rPr>
        <w:id w:val="-1141878651"/>
        <w:docPartObj>
          <w:docPartGallery w:val="Table of Contents"/>
          <w:docPartUnique/>
        </w:docPartObj>
      </w:sdtPr>
      <w:sdtEndPr>
        <w:rPr>
          <w:b/>
          <w:bCs/>
          <w:color w:val="auto"/>
          <w:lang w:val="zh-CN"/>
        </w:rPr>
      </w:sdtEndPr>
      <w:sdtContent>
        <w:p>
          <w:pPr>
            <w:spacing w:before="156"/>
            <w:ind w:firstLine="0" w:firstLineChars="0"/>
            <w:jc w:val="center"/>
            <w:rPr>
              <w:b/>
              <w:color w:val="auto"/>
              <w:sz w:val="32"/>
              <w:szCs w:val="32"/>
            </w:rPr>
          </w:pPr>
          <w:r>
            <w:rPr>
              <w:b/>
              <w:color w:val="auto"/>
              <w:sz w:val="32"/>
              <w:szCs w:val="32"/>
            </w:rPr>
            <w:t>目录</w:t>
          </w:r>
        </w:p>
        <w:p>
          <w:pPr>
            <w:pStyle w:val="19"/>
            <w:tabs>
              <w:tab w:val="right" w:leader="dot" w:pos="8306"/>
              <w:tab w:val="clear" w:pos="567"/>
              <w:tab w:val="clear" w:pos="8296"/>
            </w:tabs>
          </w:pPr>
          <w:r>
            <w:rPr>
              <w:color w:val="auto"/>
            </w:rPr>
            <w:fldChar w:fldCharType="begin"/>
          </w:r>
          <w:r>
            <w:rPr>
              <w:color w:val="auto"/>
            </w:rPr>
            <w:instrText xml:space="preserve"> TOC \o "1-3" \h \z \u </w:instrText>
          </w:r>
          <w:r>
            <w:rPr>
              <w:color w:val="auto"/>
            </w:rPr>
            <w:fldChar w:fldCharType="separate"/>
          </w:r>
          <w:r>
            <w:rPr>
              <w:color w:val="auto"/>
            </w:rPr>
            <w:fldChar w:fldCharType="begin"/>
          </w:r>
          <w:r>
            <w:instrText xml:space="preserve"> HYPERLINK \l _Toc789 </w:instrText>
          </w:r>
          <w:r>
            <w:fldChar w:fldCharType="separate"/>
          </w:r>
          <w:r>
            <w:t xml:space="preserve">1 </w:t>
          </w:r>
          <w:r>
            <w:rPr>
              <w:rFonts w:hint="eastAsia"/>
            </w:rPr>
            <w:t>项目背景</w:t>
          </w:r>
          <w:r>
            <w:tab/>
          </w:r>
          <w:r>
            <w:fldChar w:fldCharType="begin"/>
          </w:r>
          <w:r>
            <w:instrText xml:space="preserve"> PAGEREF _Toc789 \h </w:instrText>
          </w:r>
          <w:r>
            <w:fldChar w:fldCharType="separate"/>
          </w:r>
          <w:r>
            <w:t>1</w:t>
          </w:r>
          <w:r>
            <w:fldChar w:fldCharType="end"/>
          </w:r>
          <w:r>
            <w:rPr>
              <w:color w:val="auto"/>
            </w:rPr>
            <w:fldChar w:fldCharType="end"/>
          </w:r>
        </w:p>
        <w:p>
          <w:pPr>
            <w:pStyle w:val="19"/>
            <w:tabs>
              <w:tab w:val="right" w:leader="dot" w:pos="8306"/>
              <w:tab w:val="clear" w:pos="567"/>
              <w:tab w:val="clear" w:pos="8296"/>
            </w:tabs>
          </w:pPr>
          <w:r>
            <w:rPr>
              <w:color w:val="auto"/>
            </w:rPr>
            <w:fldChar w:fldCharType="begin"/>
          </w:r>
          <w:r>
            <w:instrText xml:space="preserve"> HYPERLINK \l _Toc5404 </w:instrText>
          </w:r>
          <w:r>
            <w:fldChar w:fldCharType="separate"/>
          </w:r>
          <w:r>
            <w:t xml:space="preserve">2 </w:t>
          </w:r>
          <w:r>
            <w:rPr>
              <w:rFonts w:hint="eastAsia"/>
            </w:rPr>
            <w:t>项目任务</w:t>
          </w:r>
          <w:r>
            <w:tab/>
          </w:r>
          <w:r>
            <w:fldChar w:fldCharType="begin"/>
          </w:r>
          <w:r>
            <w:instrText xml:space="preserve"> PAGEREF _Toc5404 \h </w:instrText>
          </w:r>
          <w:r>
            <w:fldChar w:fldCharType="separate"/>
          </w:r>
          <w:r>
            <w:t>1</w:t>
          </w:r>
          <w:r>
            <w:fldChar w:fldCharType="end"/>
          </w:r>
          <w:r>
            <w:rPr>
              <w:color w:val="auto"/>
            </w:rPr>
            <w:fldChar w:fldCharType="end"/>
          </w:r>
        </w:p>
        <w:p>
          <w:pPr>
            <w:pStyle w:val="20"/>
            <w:tabs>
              <w:tab w:val="right" w:leader="dot" w:pos="8306"/>
            </w:tabs>
          </w:pPr>
          <w:r>
            <w:rPr>
              <w:color w:val="auto"/>
            </w:rPr>
            <w:fldChar w:fldCharType="begin"/>
          </w:r>
          <w:r>
            <w:instrText xml:space="preserve"> HYPERLINK \l _Toc30377 </w:instrText>
          </w:r>
          <w:r>
            <w:fldChar w:fldCharType="separate"/>
          </w:r>
          <w:r>
            <w:rPr>
              <w:rFonts w:hint="default" w:ascii="Times New Roman" w:hAnsi="Times New Roman" w:eastAsia="SimHei" w:cs="Times New Roman"/>
            </w:rPr>
            <w:t xml:space="preserve">2.1 </w:t>
          </w:r>
          <w:r>
            <w:rPr>
              <w:rFonts w:hint="eastAsia"/>
            </w:rPr>
            <w:t>总体目标</w:t>
          </w:r>
          <w:r>
            <w:tab/>
          </w:r>
          <w:r>
            <w:fldChar w:fldCharType="begin"/>
          </w:r>
          <w:r>
            <w:instrText xml:space="preserve"> PAGEREF _Toc30377 \h </w:instrText>
          </w:r>
          <w:r>
            <w:fldChar w:fldCharType="separate"/>
          </w:r>
          <w:r>
            <w:t>1</w:t>
          </w:r>
          <w:r>
            <w:fldChar w:fldCharType="end"/>
          </w:r>
          <w:r>
            <w:rPr>
              <w:color w:val="auto"/>
            </w:rPr>
            <w:fldChar w:fldCharType="end"/>
          </w:r>
        </w:p>
        <w:p>
          <w:pPr>
            <w:pStyle w:val="20"/>
            <w:tabs>
              <w:tab w:val="right" w:leader="dot" w:pos="8306"/>
            </w:tabs>
          </w:pPr>
          <w:r>
            <w:rPr>
              <w:color w:val="auto"/>
            </w:rPr>
            <w:fldChar w:fldCharType="begin"/>
          </w:r>
          <w:r>
            <w:instrText xml:space="preserve"> HYPERLINK \l _Toc11592 </w:instrText>
          </w:r>
          <w:r>
            <w:fldChar w:fldCharType="separate"/>
          </w:r>
          <w:r>
            <w:rPr>
              <w:rFonts w:hint="default" w:ascii="Times New Roman" w:hAnsi="Times New Roman" w:eastAsia="SimHei" w:cs="Times New Roman"/>
            </w:rPr>
            <w:t xml:space="preserve">2.2 </w:t>
          </w:r>
          <w:r>
            <w:rPr>
              <w:rFonts w:hint="eastAsia"/>
            </w:rPr>
            <w:t>服务内容</w:t>
          </w:r>
          <w:r>
            <w:tab/>
          </w:r>
          <w:r>
            <w:fldChar w:fldCharType="begin"/>
          </w:r>
          <w:r>
            <w:instrText xml:space="preserve"> PAGEREF _Toc11592 \h </w:instrText>
          </w:r>
          <w:r>
            <w:fldChar w:fldCharType="separate"/>
          </w:r>
          <w:r>
            <w:t>1</w:t>
          </w:r>
          <w:r>
            <w:fldChar w:fldCharType="end"/>
          </w:r>
          <w:r>
            <w:rPr>
              <w:color w:val="auto"/>
            </w:rPr>
            <w:fldChar w:fldCharType="end"/>
          </w:r>
        </w:p>
        <w:p>
          <w:pPr>
            <w:pStyle w:val="20"/>
            <w:tabs>
              <w:tab w:val="right" w:leader="dot" w:pos="8306"/>
            </w:tabs>
          </w:pPr>
          <w:r>
            <w:rPr>
              <w:color w:val="auto"/>
            </w:rPr>
            <w:fldChar w:fldCharType="begin"/>
          </w:r>
          <w:r>
            <w:instrText xml:space="preserve"> HYPERLINK \l _Toc20741 </w:instrText>
          </w:r>
          <w:r>
            <w:fldChar w:fldCharType="separate"/>
          </w:r>
          <w:r>
            <w:rPr>
              <w:rFonts w:hint="default" w:ascii="Times New Roman" w:hAnsi="Times New Roman" w:eastAsia="SimHei" w:cs="Times New Roman"/>
            </w:rPr>
            <w:t xml:space="preserve">2.3 </w:t>
          </w:r>
          <w:r>
            <w:rPr>
              <w:rFonts w:hint="eastAsia"/>
            </w:rPr>
            <w:t>项目团队要求</w:t>
          </w:r>
          <w:r>
            <w:tab/>
          </w:r>
          <w:r>
            <w:fldChar w:fldCharType="begin"/>
          </w:r>
          <w:r>
            <w:instrText xml:space="preserve"> PAGEREF _Toc20741 \h </w:instrText>
          </w:r>
          <w:r>
            <w:fldChar w:fldCharType="separate"/>
          </w:r>
          <w:r>
            <w:t>2</w:t>
          </w:r>
          <w:r>
            <w:fldChar w:fldCharType="end"/>
          </w:r>
          <w:r>
            <w:rPr>
              <w:color w:val="auto"/>
            </w:rPr>
            <w:fldChar w:fldCharType="end"/>
          </w:r>
        </w:p>
        <w:p>
          <w:pPr>
            <w:pStyle w:val="19"/>
            <w:tabs>
              <w:tab w:val="right" w:leader="dot" w:pos="8306"/>
              <w:tab w:val="clear" w:pos="567"/>
              <w:tab w:val="clear" w:pos="8296"/>
            </w:tabs>
          </w:pPr>
          <w:r>
            <w:rPr>
              <w:color w:val="auto"/>
            </w:rPr>
            <w:fldChar w:fldCharType="begin"/>
          </w:r>
          <w:r>
            <w:instrText xml:space="preserve"> HYPERLINK \l _Toc17075 </w:instrText>
          </w:r>
          <w:r>
            <w:fldChar w:fldCharType="separate"/>
          </w:r>
          <w:r>
            <w:t xml:space="preserve">3 </w:t>
          </w:r>
          <w:r>
            <w:rPr>
              <w:rFonts w:hint="eastAsia"/>
            </w:rPr>
            <w:t>技术要求</w:t>
          </w:r>
          <w:r>
            <w:tab/>
          </w:r>
          <w:r>
            <w:fldChar w:fldCharType="begin"/>
          </w:r>
          <w:r>
            <w:instrText xml:space="preserve"> PAGEREF _Toc17075 \h </w:instrText>
          </w:r>
          <w:r>
            <w:fldChar w:fldCharType="separate"/>
          </w:r>
          <w:r>
            <w:t>2</w:t>
          </w:r>
          <w:r>
            <w:fldChar w:fldCharType="end"/>
          </w:r>
          <w:r>
            <w:rPr>
              <w:color w:val="auto"/>
            </w:rPr>
            <w:fldChar w:fldCharType="end"/>
          </w:r>
        </w:p>
        <w:p>
          <w:pPr>
            <w:pStyle w:val="20"/>
            <w:tabs>
              <w:tab w:val="right" w:leader="dot" w:pos="8306"/>
            </w:tabs>
          </w:pPr>
          <w:r>
            <w:rPr>
              <w:color w:val="auto"/>
            </w:rPr>
            <w:fldChar w:fldCharType="begin"/>
          </w:r>
          <w:r>
            <w:instrText xml:space="preserve"> HYPERLINK \l _Toc31722 </w:instrText>
          </w:r>
          <w:r>
            <w:fldChar w:fldCharType="separate"/>
          </w:r>
          <w:r>
            <w:rPr>
              <w:rFonts w:hint="default" w:ascii="Times New Roman" w:hAnsi="Times New Roman" w:eastAsia="SimHei" w:cs="Times New Roman"/>
              <w:lang w:val="en-US" w:eastAsia="zh-CN"/>
            </w:rPr>
            <w:t xml:space="preserve">3.1 </w:t>
          </w:r>
          <w:r>
            <w:rPr>
              <w:rFonts w:hint="eastAsia"/>
              <w:lang w:val="en-US" w:eastAsia="zh-CN"/>
            </w:rPr>
            <w:t>风险监控点偏移审核要求</w:t>
          </w:r>
          <w:r>
            <w:tab/>
          </w:r>
          <w:r>
            <w:fldChar w:fldCharType="begin"/>
          </w:r>
          <w:r>
            <w:instrText xml:space="preserve"> PAGEREF _Toc31722 \h </w:instrText>
          </w:r>
          <w:r>
            <w:fldChar w:fldCharType="separate"/>
          </w:r>
          <w:r>
            <w:t>2</w:t>
          </w:r>
          <w:r>
            <w:fldChar w:fldCharType="end"/>
          </w:r>
          <w:r>
            <w:rPr>
              <w:color w:val="auto"/>
            </w:rPr>
            <w:fldChar w:fldCharType="end"/>
          </w:r>
        </w:p>
        <w:p>
          <w:pPr>
            <w:pStyle w:val="20"/>
            <w:tabs>
              <w:tab w:val="right" w:leader="dot" w:pos="8306"/>
            </w:tabs>
          </w:pPr>
          <w:r>
            <w:rPr>
              <w:color w:val="auto"/>
            </w:rPr>
            <w:fldChar w:fldCharType="begin"/>
          </w:r>
          <w:r>
            <w:instrText xml:space="preserve"> HYPERLINK \l _Toc30383 </w:instrText>
          </w:r>
          <w:r>
            <w:fldChar w:fldCharType="separate"/>
          </w:r>
          <w:r>
            <w:rPr>
              <w:rFonts w:hint="default" w:ascii="Times New Roman" w:hAnsi="Times New Roman" w:eastAsia="SimHei" w:cs="Times New Roman"/>
              <w:lang w:val="en-US" w:eastAsia="zh-CN"/>
            </w:rPr>
            <w:t xml:space="preserve">3.2 </w:t>
          </w:r>
          <w:r>
            <w:rPr>
              <w:rFonts w:hint="eastAsia"/>
              <w:lang w:val="en-US" w:eastAsia="zh-CN"/>
            </w:rPr>
            <w:t>质量监督抽查技术要求</w:t>
          </w:r>
          <w:r>
            <w:tab/>
          </w:r>
          <w:r>
            <w:fldChar w:fldCharType="begin"/>
          </w:r>
          <w:r>
            <w:instrText xml:space="preserve"> PAGEREF _Toc30383 \h </w:instrText>
          </w:r>
          <w:r>
            <w:fldChar w:fldCharType="separate"/>
          </w:r>
          <w:r>
            <w:t>2</w:t>
          </w:r>
          <w:r>
            <w:fldChar w:fldCharType="end"/>
          </w:r>
          <w:r>
            <w:rPr>
              <w:color w:val="auto"/>
            </w:rPr>
            <w:fldChar w:fldCharType="end"/>
          </w:r>
        </w:p>
        <w:p>
          <w:pPr>
            <w:pStyle w:val="19"/>
            <w:tabs>
              <w:tab w:val="right" w:leader="dot" w:pos="8306"/>
              <w:tab w:val="clear" w:pos="567"/>
              <w:tab w:val="clear" w:pos="8296"/>
            </w:tabs>
          </w:pPr>
          <w:r>
            <w:rPr>
              <w:color w:val="auto"/>
            </w:rPr>
            <w:fldChar w:fldCharType="begin"/>
          </w:r>
          <w:r>
            <w:instrText xml:space="preserve"> HYPERLINK \l _Toc24470 </w:instrText>
          </w:r>
          <w:r>
            <w:fldChar w:fldCharType="separate"/>
          </w:r>
          <w:r>
            <w:t xml:space="preserve">4 </w:t>
          </w:r>
          <w:r>
            <w:rPr>
              <w:rFonts w:hint="eastAsia"/>
            </w:rPr>
            <w:t>项目服务要求</w:t>
          </w:r>
          <w:r>
            <w:tab/>
          </w:r>
          <w:r>
            <w:fldChar w:fldCharType="begin"/>
          </w:r>
          <w:r>
            <w:instrText xml:space="preserve"> PAGEREF _Toc24470 \h </w:instrText>
          </w:r>
          <w:r>
            <w:fldChar w:fldCharType="separate"/>
          </w:r>
          <w:r>
            <w:t>3</w:t>
          </w:r>
          <w:r>
            <w:fldChar w:fldCharType="end"/>
          </w:r>
          <w:r>
            <w:rPr>
              <w:color w:val="auto"/>
            </w:rPr>
            <w:fldChar w:fldCharType="end"/>
          </w:r>
        </w:p>
        <w:p>
          <w:pPr>
            <w:pStyle w:val="20"/>
            <w:tabs>
              <w:tab w:val="right" w:leader="dot" w:pos="8306"/>
            </w:tabs>
          </w:pPr>
          <w:r>
            <w:rPr>
              <w:color w:val="auto"/>
            </w:rPr>
            <w:fldChar w:fldCharType="begin"/>
          </w:r>
          <w:r>
            <w:instrText xml:space="preserve"> HYPERLINK \l _Toc29675 </w:instrText>
          </w:r>
          <w:r>
            <w:fldChar w:fldCharType="separate"/>
          </w:r>
          <w:r>
            <w:rPr>
              <w:rFonts w:hint="default" w:ascii="Times New Roman" w:hAnsi="Times New Roman" w:eastAsia="SimHei" w:cs="Times New Roman"/>
            </w:rPr>
            <w:t xml:space="preserve">4.1 </w:t>
          </w:r>
          <w:r>
            <w:rPr>
              <w:rFonts w:hint="eastAsia"/>
            </w:rPr>
            <w:t>工期要求</w:t>
          </w:r>
          <w:r>
            <w:tab/>
          </w:r>
          <w:r>
            <w:fldChar w:fldCharType="begin"/>
          </w:r>
          <w:r>
            <w:instrText xml:space="preserve"> PAGEREF _Toc29675 \h </w:instrText>
          </w:r>
          <w:r>
            <w:fldChar w:fldCharType="separate"/>
          </w:r>
          <w:r>
            <w:t>3</w:t>
          </w:r>
          <w:r>
            <w:fldChar w:fldCharType="end"/>
          </w:r>
          <w:r>
            <w:rPr>
              <w:color w:val="auto"/>
            </w:rPr>
            <w:fldChar w:fldCharType="end"/>
          </w:r>
        </w:p>
        <w:p>
          <w:pPr>
            <w:pStyle w:val="20"/>
            <w:tabs>
              <w:tab w:val="right" w:leader="dot" w:pos="8306"/>
            </w:tabs>
          </w:pPr>
          <w:r>
            <w:rPr>
              <w:color w:val="auto"/>
            </w:rPr>
            <w:fldChar w:fldCharType="begin"/>
          </w:r>
          <w:r>
            <w:instrText xml:space="preserve"> HYPERLINK \l _Toc31163 </w:instrText>
          </w:r>
          <w:r>
            <w:fldChar w:fldCharType="separate"/>
          </w:r>
          <w:r>
            <w:rPr>
              <w:rFonts w:hint="default" w:ascii="Times New Roman" w:hAnsi="Times New Roman" w:eastAsia="SimHei" w:cs="Times New Roman"/>
            </w:rPr>
            <w:t xml:space="preserve">4.2 </w:t>
          </w:r>
          <w:r>
            <w:rPr>
              <w:rFonts w:hint="eastAsia"/>
            </w:rPr>
            <w:t>服务人员要求</w:t>
          </w:r>
          <w:r>
            <w:tab/>
          </w:r>
          <w:r>
            <w:fldChar w:fldCharType="begin"/>
          </w:r>
          <w:r>
            <w:instrText xml:space="preserve"> PAGEREF _Toc31163 \h </w:instrText>
          </w:r>
          <w:r>
            <w:fldChar w:fldCharType="separate"/>
          </w:r>
          <w:r>
            <w:t>3</w:t>
          </w:r>
          <w:r>
            <w:fldChar w:fldCharType="end"/>
          </w:r>
          <w:r>
            <w:rPr>
              <w:color w:val="auto"/>
            </w:rPr>
            <w:fldChar w:fldCharType="end"/>
          </w:r>
        </w:p>
        <w:p>
          <w:pPr>
            <w:pStyle w:val="20"/>
            <w:tabs>
              <w:tab w:val="right" w:leader="dot" w:pos="8306"/>
            </w:tabs>
          </w:pPr>
          <w:r>
            <w:rPr>
              <w:color w:val="auto"/>
            </w:rPr>
            <w:fldChar w:fldCharType="begin"/>
          </w:r>
          <w:r>
            <w:instrText xml:space="preserve"> HYPERLINK \l _Toc20497 </w:instrText>
          </w:r>
          <w:r>
            <w:fldChar w:fldCharType="separate"/>
          </w:r>
          <w:r>
            <w:rPr>
              <w:rFonts w:hint="default" w:ascii="Times New Roman" w:hAnsi="Times New Roman" w:eastAsia="SimHei" w:cs="Times New Roman"/>
            </w:rPr>
            <w:t xml:space="preserve">4.3 </w:t>
          </w:r>
          <w:r>
            <w:rPr>
              <w:rFonts w:hint="eastAsia"/>
            </w:rPr>
            <w:t>质量保障要求</w:t>
          </w:r>
          <w:r>
            <w:tab/>
          </w:r>
          <w:r>
            <w:fldChar w:fldCharType="begin"/>
          </w:r>
          <w:r>
            <w:instrText xml:space="preserve"> PAGEREF _Toc20497 \h </w:instrText>
          </w:r>
          <w:r>
            <w:fldChar w:fldCharType="separate"/>
          </w:r>
          <w:r>
            <w:t>4</w:t>
          </w:r>
          <w:r>
            <w:fldChar w:fldCharType="end"/>
          </w:r>
          <w:r>
            <w:rPr>
              <w:color w:val="auto"/>
            </w:rPr>
            <w:fldChar w:fldCharType="end"/>
          </w:r>
        </w:p>
        <w:p>
          <w:pPr>
            <w:pStyle w:val="20"/>
            <w:tabs>
              <w:tab w:val="right" w:leader="dot" w:pos="8306"/>
            </w:tabs>
          </w:pPr>
          <w:r>
            <w:rPr>
              <w:color w:val="auto"/>
            </w:rPr>
            <w:fldChar w:fldCharType="begin"/>
          </w:r>
          <w:r>
            <w:instrText xml:space="preserve"> HYPERLINK \l _Toc17711 </w:instrText>
          </w:r>
          <w:r>
            <w:fldChar w:fldCharType="separate"/>
          </w:r>
          <w:r>
            <w:rPr>
              <w:rFonts w:hint="default" w:ascii="Times New Roman" w:hAnsi="Times New Roman" w:eastAsia="SimHei" w:cs="Times New Roman"/>
            </w:rPr>
            <w:t xml:space="preserve">4.4 </w:t>
          </w:r>
          <w:r>
            <w:rPr>
              <w:rFonts w:hint="eastAsia"/>
            </w:rPr>
            <w:t>安全保密要求</w:t>
          </w:r>
          <w:r>
            <w:tab/>
          </w:r>
          <w:r>
            <w:fldChar w:fldCharType="begin"/>
          </w:r>
          <w:r>
            <w:instrText xml:space="preserve"> PAGEREF _Toc17711 \h </w:instrText>
          </w:r>
          <w:r>
            <w:fldChar w:fldCharType="separate"/>
          </w:r>
          <w:r>
            <w:t>4</w:t>
          </w:r>
          <w:r>
            <w:fldChar w:fldCharType="end"/>
          </w:r>
          <w:r>
            <w:rPr>
              <w:color w:val="auto"/>
            </w:rPr>
            <w:fldChar w:fldCharType="end"/>
          </w:r>
        </w:p>
        <w:p>
          <w:pPr>
            <w:pStyle w:val="20"/>
            <w:tabs>
              <w:tab w:val="right" w:leader="dot" w:pos="8306"/>
            </w:tabs>
          </w:pPr>
          <w:r>
            <w:rPr>
              <w:color w:val="auto"/>
            </w:rPr>
            <w:fldChar w:fldCharType="begin"/>
          </w:r>
          <w:r>
            <w:instrText xml:space="preserve"> HYPERLINK \l _Toc12068 </w:instrText>
          </w:r>
          <w:r>
            <w:fldChar w:fldCharType="separate"/>
          </w:r>
          <w:r>
            <w:rPr>
              <w:rFonts w:hint="default" w:ascii="Times New Roman" w:hAnsi="Times New Roman" w:eastAsia="SimHei" w:cs="Times New Roman"/>
            </w:rPr>
            <w:t xml:space="preserve">4.5 </w:t>
          </w:r>
          <w:r>
            <w:rPr>
              <w:rFonts w:hint="eastAsia"/>
            </w:rPr>
            <w:t>资产与管理要求</w:t>
          </w:r>
          <w:r>
            <w:tab/>
          </w:r>
          <w:r>
            <w:fldChar w:fldCharType="begin"/>
          </w:r>
          <w:r>
            <w:instrText xml:space="preserve"> PAGEREF _Toc12068 \h </w:instrText>
          </w:r>
          <w:r>
            <w:fldChar w:fldCharType="separate"/>
          </w:r>
          <w:r>
            <w:t>4</w:t>
          </w:r>
          <w:r>
            <w:fldChar w:fldCharType="end"/>
          </w:r>
          <w:r>
            <w:rPr>
              <w:color w:val="auto"/>
            </w:rPr>
            <w:fldChar w:fldCharType="end"/>
          </w:r>
        </w:p>
        <w:p>
          <w:pPr>
            <w:pStyle w:val="20"/>
            <w:tabs>
              <w:tab w:val="right" w:leader="dot" w:pos="8306"/>
            </w:tabs>
          </w:pPr>
          <w:r>
            <w:rPr>
              <w:color w:val="auto"/>
            </w:rPr>
            <w:fldChar w:fldCharType="begin"/>
          </w:r>
          <w:r>
            <w:instrText xml:space="preserve"> HYPERLINK \l _Toc16459 </w:instrText>
          </w:r>
          <w:r>
            <w:fldChar w:fldCharType="separate"/>
          </w:r>
          <w:r>
            <w:rPr>
              <w:rFonts w:hint="default" w:ascii="Times New Roman" w:hAnsi="Times New Roman" w:eastAsia="SimHei" w:cs="Times New Roman"/>
            </w:rPr>
            <w:t xml:space="preserve">4.6 </w:t>
          </w:r>
          <w:r>
            <w:rPr>
              <w:rFonts w:hint="eastAsia"/>
            </w:rPr>
            <w:t>项目成果要求</w:t>
          </w:r>
          <w:r>
            <w:tab/>
          </w:r>
          <w:r>
            <w:fldChar w:fldCharType="begin"/>
          </w:r>
          <w:r>
            <w:instrText xml:space="preserve"> PAGEREF _Toc16459 \h </w:instrText>
          </w:r>
          <w:r>
            <w:fldChar w:fldCharType="separate"/>
          </w:r>
          <w:r>
            <w:t>5</w:t>
          </w:r>
          <w:r>
            <w:fldChar w:fldCharType="end"/>
          </w:r>
          <w:r>
            <w:rPr>
              <w:color w:val="auto"/>
            </w:rPr>
            <w:fldChar w:fldCharType="end"/>
          </w:r>
        </w:p>
        <w:p>
          <w:pPr>
            <w:pStyle w:val="19"/>
            <w:tabs>
              <w:tab w:val="right" w:leader="dot" w:pos="8306"/>
              <w:tab w:val="clear" w:pos="567"/>
              <w:tab w:val="clear" w:pos="8296"/>
            </w:tabs>
          </w:pPr>
          <w:r>
            <w:rPr>
              <w:color w:val="auto"/>
            </w:rPr>
            <w:fldChar w:fldCharType="begin"/>
          </w:r>
          <w:r>
            <w:instrText xml:space="preserve"> HYPERLINK \l _Toc24308 </w:instrText>
          </w:r>
          <w:r>
            <w:fldChar w:fldCharType="separate"/>
          </w:r>
          <w:r>
            <w:t xml:space="preserve">5 </w:t>
          </w:r>
          <w:r>
            <w:rPr>
              <w:rFonts w:hint="eastAsia"/>
            </w:rPr>
            <w:t>其他补充</w:t>
          </w:r>
          <w:r>
            <w:tab/>
          </w:r>
          <w:r>
            <w:fldChar w:fldCharType="begin"/>
          </w:r>
          <w:r>
            <w:instrText xml:space="preserve"> PAGEREF _Toc24308 \h </w:instrText>
          </w:r>
          <w:r>
            <w:fldChar w:fldCharType="separate"/>
          </w:r>
          <w:r>
            <w:t>5</w:t>
          </w:r>
          <w:r>
            <w:fldChar w:fldCharType="end"/>
          </w:r>
          <w:r>
            <w:rPr>
              <w:color w:val="auto"/>
            </w:rPr>
            <w:fldChar w:fldCharType="end"/>
          </w:r>
        </w:p>
        <w:p>
          <w:pPr>
            <w:spacing w:before="0" w:beforeLines="0"/>
            <w:ind w:firstLine="422"/>
            <w:rPr>
              <w:color w:val="auto"/>
            </w:rPr>
          </w:pPr>
          <w:r>
            <w:rPr>
              <w:color w:val="auto"/>
            </w:rPr>
            <w:fldChar w:fldCharType="end"/>
          </w:r>
        </w:p>
      </w:sdtContent>
    </w:sdt>
    <w:p>
      <w:pPr>
        <w:spacing w:before="156"/>
        <w:ind w:firstLine="0" w:firstLineChars="0"/>
        <w:rPr>
          <w:color w:val="auto"/>
        </w:rPr>
      </w:pPr>
    </w:p>
    <w:p>
      <w:pPr>
        <w:spacing w:before="156"/>
        <w:ind w:firstLine="0" w:firstLineChars="0"/>
        <w:rPr>
          <w:color w:val="auto"/>
        </w:rPr>
      </w:pPr>
    </w:p>
    <w:p>
      <w:pPr>
        <w:spacing w:before="156"/>
        <w:ind w:firstLine="480"/>
        <w:rPr>
          <w:color w:val="auto"/>
        </w:rPr>
      </w:pPr>
    </w:p>
    <w:p>
      <w:pPr>
        <w:spacing w:before="156"/>
        <w:ind w:firstLine="480"/>
        <w:rPr>
          <w:color w:val="auto"/>
        </w:rPr>
      </w:pPr>
    </w:p>
    <w:p>
      <w:pPr>
        <w:spacing w:before="156"/>
        <w:ind w:firstLine="480"/>
        <w:rPr>
          <w:color w:val="auto"/>
        </w:rPr>
        <w:sectPr>
          <w:headerReference r:id="rId11" w:type="default"/>
          <w:footerReference r:id="rId12" w:type="default"/>
          <w:pgSz w:w="11906" w:h="16838"/>
          <w:pgMar w:top="1440" w:right="1800" w:bottom="1440" w:left="1800" w:header="851" w:footer="992" w:gutter="0"/>
          <w:pgNumType w:fmt="upperRoman" w:start="1"/>
          <w:cols w:space="425" w:num="1"/>
          <w:docGrid w:type="lines" w:linePitch="312" w:charSpace="0"/>
        </w:sectPr>
      </w:pPr>
    </w:p>
    <w:p>
      <w:pPr>
        <w:pStyle w:val="4"/>
        <w:rPr>
          <w:color w:val="auto"/>
        </w:rPr>
      </w:pPr>
      <w:bookmarkStart w:id="0" w:name="_Toc789"/>
      <w:r>
        <w:rPr>
          <w:rFonts w:hint="eastAsia"/>
          <w:color w:val="auto"/>
        </w:rPr>
        <w:t>项目背景</w:t>
      </w:r>
      <w:bookmarkEnd w:id="0"/>
    </w:p>
    <w:p>
      <w:pPr>
        <w:spacing w:before="156"/>
        <w:ind w:firstLine="480"/>
        <w:rPr>
          <w:color w:val="auto"/>
        </w:rPr>
      </w:pPr>
      <w:r>
        <w:rPr>
          <w:rFonts w:hint="eastAsia"/>
          <w:color w:val="auto"/>
        </w:rPr>
        <w:t>为满足《2022年全国环境监测方案》（环办监测[2021]58号）和《</w:t>
      </w:r>
      <w:r>
        <w:rPr>
          <w:rFonts w:hint="eastAsia"/>
          <w:color w:val="auto"/>
          <w:lang w:eastAsia="zh-CN"/>
        </w:rPr>
        <w:t>2022年土壤风险监控点监测工作技术要求</w:t>
      </w:r>
      <w:r>
        <w:rPr>
          <w:rFonts w:hint="eastAsia"/>
          <w:color w:val="auto"/>
        </w:rPr>
        <w:t>》（总站土字[2022]82号）的要求，开展风险监控点土壤环境质量监测质量监督抽查工作，现向社会公开征集具有相应资质且具备相应履约能力的承接单位。</w:t>
      </w:r>
    </w:p>
    <w:p>
      <w:pPr>
        <w:pStyle w:val="4"/>
        <w:rPr>
          <w:color w:val="auto"/>
        </w:rPr>
      </w:pPr>
      <w:bookmarkStart w:id="1" w:name="_Hlk515607447"/>
      <w:bookmarkStart w:id="2" w:name="_Toc5404"/>
      <w:r>
        <w:rPr>
          <w:rFonts w:hint="eastAsia"/>
          <w:color w:val="auto"/>
        </w:rPr>
        <w:t>项目</w:t>
      </w:r>
      <w:bookmarkEnd w:id="1"/>
      <w:r>
        <w:rPr>
          <w:rFonts w:hint="eastAsia"/>
          <w:color w:val="auto"/>
        </w:rPr>
        <w:t>任务</w:t>
      </w:r>
      <w:bookmarkEnd w:id="2"/>
    </w:p>
    <w:p>
      <w:pPr>
        <w:pStyle w:val="5"/>
        <w:rPr>
          <w:color w:val="auto"/>
        </w:rPr>
      </w:pPr>
      <w:bookmarkStart w:id="3" w:name="_Toc30377"/>
      <w:r>
        <w:rPr>
          <w:rFonts w:hint="eastAsia"/>
          <w:color w:val="auto"/>
        </w:rPr>
        <w:t>总体目标</w:t>
      </w:r>
      <w:bookmarkEnd w:id="3"/>
    </w:p>
    <w:p>
      <w:pPr>
        <w:spacing w:before="156"/>
        <w:ind w:firstLine="480"/>
        <w:rPr>
          <w:color w:val="auto"/>
        </w:rPr>
      </w:pPr>
      <w:r>
        <w:rPr>
          <w:rFonts w:hint="eastAsia"/>
          <w:color w:val="auto"/>
          <w:lang w:val="en-US" w:eastAsia="zh-CN"/>
        </w:rPr>
        <w:t>为掌握风险监控点土壤环境监测工作的质量，检查各省风险监控点各环节工作的规范性，评价各省工作质量，开展土壤环境质量监测质量监督抽查工作</w:t>
      </w:r>
      <w:r>
        <w:rPr>
          <w:rFonts w:hint="eastAsia"/>
          <w:color w:val="auto"/>
        </w:rPr>
        <w:t>。</w:t>
      </w:r>
    </w:p>
    <w:p>
      <w:pPr>
        <w:pStyle w:val="5"/>
        <w:rPr>
          <w:color w:val="auto"/>
        </w:rPr>
      </w:pPr>
      <w:bookmarkStart w:id="4" w:name="_Toc11592"/>
      <w:r>
        <w:rPr>
          <w:rFonts w:hint="eastAsia"/>
          <w:color w:val="auto"/>
        </w:rPr>
        <w:t>服务内容</w:t>
      </w:r>
      <w:bookmarkEnd w:id="4"/>
    </w:p>
    <w:p>
      <w:pPr>
        <w:rPr>
          <w:rFonts w:hint="default"/>
          <w:color w:val="auto"/>
        </w:rPr>
      </w:pPr>
      <w:r>
        <w:rPr>
          <w:rFonts w:hint="default"/>
          <w:color w:val="auto"/>
        </w:rPr>
        <w:t>需对2022年度土壤风险监控点偏移点位进行审核，对环境监测过程开展质量监督，并对质量监督数据整理、统计和分析。</w:t>
      </w:r>
    </w:p>
    <w:p>
      <w:pPr>
        <w:rPr>
          <w:rFonts w:hint="default"/>
          <w:color w:val="auto"/>
        </w:rPr>
      </w:pPr>
      <w:r>
        <w:rPr>
          <w:rFonts w:hint="default"/>
          <w:color w:val="auto"/>
        </w:rPr>
        <w:t>项目分为两包招标，每包的服务范围如下:</w:t>
      </w:r>
    </w:p>
    <w:p>
      <w:pPr>
        <w:rPr>
          <w:rFonts w:hint="default"/>
          <w:color w:val="auto"/>
        </w:rPr>
      </w:pPr>
      <w:r>
        <w:rPr>
          <w:rFonts w:hint="default"/>
          <w:color w:val="auto"/>
        </w:rPr>
        <w:t>第1包: 对16个地区，包括河北、北京、四川、兵团、安徽、广西、广东、上海、青海、内蒙古、湖北、天津、吉林、江西、贵州、云南，开展</w:t>
      </w:r>
      <w:r>
        <w:rPr>
          <w:rFonts w:hint="eastAsia"/>
          <w:color w:val="auto"/>
          <w:lang w:val="en-US" w:eastAsia="zh-CN"/>
        </w:rPr>
        <w:t>土壤风险点偏移审核和</w:t>
      </w:r>
      <w:r>
        <w:rPr>
          <w:rFonts w:hint="default"/>
          <w:color w:val="auto"/>
        </w:rPr>
        <w:t>土壤风险监控点环境监测过程质量监督检查，并对质量监督数据整理、统计和分析。</w:t>
      </w:r>
    </w:p>
    <w:p>
      <w:pPr>
        <w:rPr>
          <w:color w:val="auto"/>
        </w:rPr>
      </w:pPr>
      <w:r>
        <w:rPr>
          <w:rFonts w:hint="default"/>
          <w:color w:val="auto"/>
        </w:rPr>
        <w:t>第2包: 对15个地区，包括浙江、江苏、重庆、甘肃、海南、山东、湖南、陕西、山西、辽宁、新疆、河南、黑龙江、福建、西藏，开展</w:t>
      </w:r>
      <w:r>
        <w:rPr>
          <w:rFonts w:hint="eastAsia"/>
          <w:color w:val="auto"/>
          <w:lang w:val="en-US" w:eastAsia="zh-CN"/>
        </w:rPr>
        <w:t>土壤风险点偏移审核和</w:t>
      </w:r>
      <w:r>
        <w:rPr>
          <w:rFonts w:hint="default"/>
          <w:color w:val="auto"/>
        </w:rPr>
        <w:t>土壤风险监控点环境监测过程质量监督检查，并对质量监督数据整理、统计和分析。</w:t>
      </w:r>
    </w:p>
    <w:p>
      <w:pPr>
        <w:pStyle w:val="5"/>
        <w:rPr>
          <w:color w:val="auto"/>
        </w:rPr>
      </w:pPr>
      <w:bookmarkStart w:id="5" w:name="_Toc20741"/>
      <w:r>
        <w:rPr>
          <w:rFonts w:hint="eastAsia"/>
          <w:color w:val="auto"/>
        </w:rPr>
        <w:t>项目团队要求</w:t>
      </w:r>
      <w:bookmarkEnd w:id="5"/>
    </w:p>
    <w:p>
      <w:pPr>
        <w:spacing w:before="156" w:after="120"/>
        <w:ind w:firstLine="480"/>
        <w:rPr>
          <w:rFonts w:hint="default" w:eastAsia="SimSun"/>
          <w:color w:val="auto"/>
          <w:lang w:val="en-US" w:eastAsia="zh-CN"/>
        </w:rPr>
      </w:pPr>
      <w:r>
        <w:rPr>
          <w:rFonts w:hint="eastAsia"/>
          <w:color w:val="auto"/>
          <w:lang w:eastAsia="zh-CN"/>
        </w:rPr>
        <w:t>服务提供商</w:t>
      </w:r>
      <w:r>
        <w:rPr>
          <w:rFonts w:hint="eastAsia"/>
          <w:color w:val="auto"/>
        </w:rPr>
        <w:t>应根据本项目特点，合理组织项目实施团队，配备满足业务需求的技术和服务团队参与项目实施。在实施期内，</w:t>
      </w:r>
      <w:r>
        <w:rPr>
          <w:rFonts w:hint="eastAsia"/>
          <w:color w:val="auto"/>
          <w:lang w:eastAsia="zh-CN"/>
        </w:rPr>
        <w:t>服务提供商</w:t>
      </w:r>
      <w:r>
        <w:rPr>
          <w:rFonts w:hint="eastAsia"/>
          <w:color w:val="auto"/>
        </w:rPr>
        <w:t>应配备</w:t>
      </w:r>
      <w:r>
        <w:rPr>
          <w:rFonts w:hint="eastAsia"/>
          <w:color w:val="auto"/>
          <w:lang w:val="en-US" w:eastAsia="zh-CN"/>
        </w:rPr>
        <w:t>项目负责人</w:t>
      </w:r>
      <w:r>
        <w:rPr>
          <w:rFonts w:hint="eastAsia"/>
          <w:color w:val="auto"/>
        </w:rPr>
        <w:t>1人，</w:t>
      </w:r>
      <w:r>
        <w:rPr>
          <w:rFonts w:hint="eastAsia"/>
          <w:color w:val="auto"/>
          <w:lang w:val="en-US" w:eastAsia="zh-CN"/>
        </w:rPr>
        <w:t>联络员1人，</w:t>
      </w:r>
      <w:r>
        <w:rPr>
          <w:rFonts w:hint="eastAsia"/>
          <w:color w:val="auto"/>
        </w:rPr>
        <w:t>其中项目</w:t>
      </w:r>
      <w:r>
        <w:rPr>
          <w:rFonts w:hint="eastAsia"/>
          <w:color w:val="auto"/>
          <w:lang w:val="en-US" w:eastAsia="zh-CN"/>
        </w:rPr>
        <w:t>负责人</w:t>
      </w:r>
      <w:r>
        <w:rPr>
          <w:rFonts w:hint="eastAsia"/>
          <w:color w:val="auto"/>
        </w:rPr>
        <w:t>要求定期汇报</w:t>
      </w:r>
      <w:r>
        <w:rPr>
          <w:rFonts w:hint="eastAsia"/>
          <w:color w:val="auto"/>
          <w:lang w:val="en-US" w:eastAsia="zh-CN"/>
        </w:rPr>
        <w:t>工作</w:t>
      </w:r>
      <w:r>
        <w:rPr>
          <w:rFonts w:hint="eastAsia"/>
          <w:color w:val="auto"/>
        </w:rPr>
        <w:t>进度。</w:t>
      </w:r>
      <w:r>
        <w:rPr>
          <w:rFonts w:hint="eastAsia"/>
          <w:color w:val="auto"/>
          <w:lang w:val="en-US" w:eastAsia="zh-CN"/>
        </w:rPr>
        <w:t>每次监督检查中，应按要求配备专家不少于3人。</w:t>
      </w:r>
    </w:p>
    <w:p>
      <w:pPr>
        <w:pStyle w:val="4"/>
        <w:rPr>
          <w:color w:val="auto"/>
        </w:rPr>
      </w:pPr>
      <w:bookmarkStart w:id="6" w:name="_Toc17075"/>
      <w:r>
        <w:rPr>
          <w:rFonts w:hint="eastAsia"/>
          <w:color w:val="auto"/>
        </w:rPr>
        <w:t>技术要求</w:t>
      </w:r>
      <w:bookmarkEnd w:id="6"/>
    </w:p>
    <w:p>
      <w:pPr>
        <w:pStyle w:val="5"/>
        <w:rPr>
          <w:rFonts w:hint="default"/>
          <w:color w:val="auto"/>
          <w:lang w:val="en-US" w:eastAsia="zh-CN"/>
        </w:rPr>
      </w:pPr>
      <w:bookmarkStart w:id="7" w:name="_Toc31722"/>
      <w:r>
        <w:rPr>
          <w:rFonts w:hint="eastAsia"/>
          <w:color w:val="auto"/>
          <w:lang w:val="en-US" w:eastAsia="zh-CN"/>
        </w:rPr>
        <w:t>风险监控点偏移审核要求</w:t>
      </w:r>
      <w:bookmarkEnd w:id="7"/>
    </w:p>
    <w:p>
      <w:pPr>
        <w:spacing w:before="156" w:after="120"/>
        <w:ind w:left="0" w:leftChars="0" w:firstLine="480" w:firstLineChars="200"/>
        <w:rPr>
          <w:rFonts w:hint="default"/>
          <w:color w:val="auto"/>
          <w:lang w:val="en-US" w:eastAsia="zh-CN"/>
        </w:rPr>
      </w:pPr>
      <w:r>
        <w:rPr>
          <w:rFonts w:hint="eastAsia"/>
          <w:color w:val="auto"/>
          <w:lang w:val="en-US" w:eastAsia="zh-CN"/>
        </w:rPr>
        <w:t>风险监控点偏移审核遵循《国家网土壤采样工作手册》要求风险监控点偏移审核每月至少1次。</w:t>
      </w:r>
      <w:r>
        <w:rPr>
          <w:rFonts w:hint="eastAsia"/>
          <w:color w:val="auto"/>
          <w:lang w:eastAsia="zh-CN"/>
        </w:rPr>
        <w:t>服务提供商</w:t>
      </w:r>
      <w:r>
        <w:rPr>
          <w:rFonts w:hint="eastAsia"/>
          <w:color w:val="auto"/>
          <w:lang w:val="en-US" w:eastAsia="zh-CN"/>
        </w:rPr>
        <w:t>组织专家判定偏移的必要性和点位调整的合理性，收集永久偏移点位的申请资料，并提交年度报告。具体包括：</w:t>
      </w:r>
    </w:p>
    <w:p>
      <w:pPr>
        <w:numPr>
          <w:ilvl w:val="0"/>
          <w:numId w:val="2"/>
        </w:numPr>
        <w:spacing w:before="156" w:after="120"/>
        <w:ind w:left="0" w:leftChars="0" w:firstLine="480" w:firstLineChars="200"/>
        <w:rPr>
          <w:rFonts w:hint="default"/>
          <w:color w:val="auto"/>
          <w:lang w:val="en-US" w:eastAsia="zh-CN"/>
        </w:rPr>
      </w:pPr>
      <w:r>
        <w:rPr>
          <w:rFonts w:hint="eastAsia"/>
          <w:color w:val="auto"/>
          <w:lang w:val="en-US" w:eastAsia="zh-CN"/>
        </w:rPr>
        <w:t>偏移审核。</w:t>
      </w:r>
      <w:r>
        <w:rPr>
          <w:rFonts w:hint="default"/>
          <w:color w:val="auto"/>
          <w:lang w:val="en-US" w:eastAsia="zh-CN"/>
        </w:rPr>
        <w:t>仔细阅读、分析省站提交的申请材料。通过分析对“是否到达原点位”、“偏移采样原因”和“是否临时偏移采样更合适”进行判定，并给出修改建议。按偏移采样审核依据逐条进行审核，对存在问题的情况在“备注”中进行描述。反馈审核结果</w:t>
      </w:r>
      <w:r>
        <w:rPr>
          <w:rFonts w:hint="eastAsia"/>
          <w:color w:val="auto"/>
          <w:lang w:val="en-US" w:eastAsia="zh-CN"/>
        </w:rPr>
        <w:t>。</w:t>
      </w:r>
      <w:r>
        <w:rPr>
          <w:rFonts w:hint="default"/>
          <w:color w:val="auto"/>
          <w:lang w:val="en-US" w:eastAsia="zh-CN"/>
        </w:rPr>
        <w:t>偏移采样审核实施“一审到底”责任制，</w:t>
      </w:r>
      <w:r>
        <w:rPr>
          <w:rFonts w:hint="eastAsia"/>
          <w:color w:val="auto"/>
          <w:lang w:val="en-US" w:eastAsia="zh-CN"/>
        </w:rPr>
        <w:t>审核人员</w:t>
      </w:r>
      <w:r>
        <w:rPr>
          <w:rFonts w:hint="default"/>
          <w:color w:val="auto"/>
          <w:lang w:val="en-US" w:eastAsia="zh-CN"/>
        </w:rPr>
        <w:t>应督促省站管理人员对审核意见进行修改并对整改情况进行复核，最终形成偏移采样审核闭环。</w:t>
      </w:r>
    </w:p>
    <w:p>
      <w:pPr>
        <w:numPr>
          <w:ilvl w:val="0"/>
          <w:numId w:val="2"/>
        </w:numPr>
        <w:spacing w:before="156" w:after="120"/>
        <w:ind w:left="0" w:leftChars="0" w:firstLine="480" w:firstLineChars="200"/>
        <w:rPr>
          <w:rFonts w:hint="default"/>
          <w:color w:val="auto"/>
          <w:lang w:val="en-US" w:eastAsia="zh-CN"/>
        </w:rPr>
      </w:pPr>
      <w:r>
        <w:rPr>
          <w:rFonts w:hint="eastAsia"/>
          <w:color w:val="auto"/>
          <w:lang w:val="en-US" w:eastAsia="zh-CN"/>
        </w:rPr>
        <w:t>永久偏移点位资料收集。收集通过永久偏移审核点位所在省份提交的永久性偏移申请纸质材料，审核材料的完整性、规范性。反馈审核结果。</w:t>
      </w:r>
    </w:p>
    <w:p>
      <w:pPr>
        <w:numPr>
          <w:ilvl w:val="0"/>
          <w:numId w:val="2"/>
        </w:numPr>
        <w:spacing w:before="156" w:after="120"/>
        <w:ind w:left="0" w:leftChars="0" w:firstLine="480" w:firstLineChars="200"/>
        <w:rPr>
          <w:rFonts w:hint="eastAsia"/>
          <w:color w:val="auto"/>
          <w:lang w:val="en-US" w:eastAsia="zh-CN"/>
        </w:rPr>
      </w:pPr>
      <w:r>
        <w:rPr>
          <w:rFonts w:hint="eastAsia"/>
          <w:color w:val="auto"/>
          <w:lang w:val="en-US" w:eastAsia="zh-CN"/>
        </w:rPr>
        <w:t>提交报告。统计负责省份偏移采样数据。编制并提交《2022年土壤风险监控点偏移审核报告》。</w:t>
      </w:r>
    </w:p>
    <w:p>
      <w:pPr>
        <w:pStyle w:val="5"/>
        <w:rPr>
          <w:rFonts w:hint="default"/>
          <w:color w:val="auto"/>
          <w:lang w:val="en-US" w:eastAsia="zh-CN"/>
        </w:rPr>
      </w:pPr>
      <w:bookmarkStart w:id="8" w:name="_Toc30383"/>
      <w:r>
        <w:rPr>
          <w:rFonts w:hint="eastAsia"/>
          <w:color w:val="auto"/>
          <w:lang w:val="en-US" w:eastAsia="zh-CN"/>
        </w:rPr>
        <w:t>质量监督抽查技术要求</w:t>
      </w:r>
      <w:bookmarkEnd w:id="8"/>
    </w:p>
    <w:p>
      <w:pPr>
        <w:spacing w:before="156" w:after="120"/>
        <w:ind w:firstLine="480"/>
        <w:rPr>
          <w:rFonts w:hint="eastAsia"/>
          <w:color w:val="auto"/>
        </w:rPr>
      </w:pPr>
      <w:r>
        <w:rPr>
          <w:rFonts w:hint="eastAsia"/>
          <w:color w:val="auto"/>
        </w:rPr>
        <w:t>质量监督抽查应遵循《质量体系文件》。</w:t>
      </w:r>
      <w:r>
        <w:rPr>
          <w:rFonts w:hint="eastAsia"/>
          <w:color w:val="auto"/>
          <w:lang w:eastAsia="zh-CN"/>
        </w:rPr>
        <w:t>服务提供商</w:t>
      </w:r>
      <w:r>
        <w:rPr>
          <w:rFonts w:hint="eastAsia"/>
          <w:color w:val="auto"/>
          <w:lang w:val="en-US" w:eastAsia="zh-CN"/>
        </w:rPr>
        <w:t>组织成立质量监督组，</w:t>
      </w:r>
      <w:r>
        <w:rPr>
          <w:rFonts w:hint="eastAsia"/>
          <w:color w:val="auto"/>
        </w:rPr>
        <w:t>对各地区风险监控点的采样、制备、流转、保存和分析进行监督检查，对被检查单位的土壤环境监测质量进行严格把控。具体包括：</w:t>
      </w:r>
    </w:p>
    <w:p>
      <w:pPr>
        <w:numPr>
          <w:ilvl w:val="0"/>
          <w:numId w:val="3"/>
        </w:numPr>
        <w:spacing w:before="156" w:after="120"/>
        <w:ind w:left="0" w:leftChars="0" w:firstLine="480" w:firstLineChars="200"/>
        <w:rPr>
          <w:rFonts w:hint="eastAsia"/>
          <w:color w:val="auto"/>
        </w:rPr>
      </w:pPr>
      <w:r>
        <w:rPr>
          <w:rFonts w:hint="eastAsia"/>
          <w:color w:val="auto"/>
        </w:rPr>
        <w:t>监督检查：质量监督组按照覆盖监测任务全流程（采样、制样和测试）和全要素（质量体系、人员、仪器设备、环境和方法等）的原则实施质量监督抽查。</w:t>
      </w:r>
      <w:r>
        <w:rPr>
          <w:rFonts w:hint="eastAsia"/>
          <w:color w:val="auto"/>
          <w:lang w:val="en-US" w:eastAsia="zh-CN"/>
        </w:rPr>
        <w:t>质量监督组人员不少于3人，</w:t>
      </w:r>
      <w:r>
        <w:rPr>
          <w:rFonts w:hint="eastAsia"/>
          <w:color w:val="auto"/>
        </w:rPr>
        <w:t>对每个地区的质量监督抽查</w:t>
      </w:r>
      <w:r>
        <w:rPr>
          <w:rFonts w:hint="eastAsia"/>
          <w:color w:val="auto"/>
          <w:lang w:val="en-US" w:eastAsia="zh-CN"/>
        </w:rPr>
        <w:t>不少于</w:t>
      </w:r>
      <w:r>
        <w:rPr>
          <w:rFonts w:hint="eastAsia"/>
          <w:color w:val="auto"/>
        </w:rPr>
        <w:t>1次。</w:t>
      </w:r>
    </w:p>
    <w:p>
      <w:pPr>
        <w:numPr>
          <w:ilvl w:val="0"/>
          <w:numId w:val="3"/>
        </w:numPr>
        <w:spacing w:before="156" w:after="120"/>
        <w:ind w:left="0" w:leftChars="0" w:firstLine="480" w:firstLineChars="200"/>
        <w:rPr>
          <w:rFonts w:hint="eastAsia"/>
          <w:color w:val="auto"/>
        </w:rPr>
      </w:pPr>
      <w:r>
        <w:rPr>
          <w:rFonts w:hint="eastAsia"/>
          <w:color w:val="auto"/>
        </w:rPr>
        <w:t>问题反馈：检查完成后1周内，质量监督组</w:t>
      </w:r>
      <w:r>
        <w:rPr>
          <w:rFonts w:hint="eastAsia"/>
          <w:color w:val="auto"/>
          <w:lang w:val="en-US" w:eastAsia="zh-CN"/>
        </w:rPr>
        <w:t>完成填报监督检查的各项目检查表及</w:t>
      </w:r>
      <w:r>
        <w:rPr>
          <w:rFonts w:hint="eastAsia"/>
          <w:color w:val="auto"/>
        </w:rPr>
        <w:t>《土壤风险监控点监测质量监督检查汇总表》</w:t>
      </w:r>
      <w:r>
        <w:rPr>
          <w:rFonts w:hint="eastAsia"/>
          <w:color w:val="auto"/>
          <w:lang w:val="en-US" w:eastAsia="zh-CN"/>
        </w:rPr>
        <w:t>反馈被检查单位</w:t>
      </w:r>
      <w:r>
        <w:rPr>
          <w:rFonts w:hint="eastAsia"/>
          <w:color w:val="auto"/>
        </w:rPr>
        <w:t>；被检查单位须在检查完成后2周内将整改报告。质量监督组在被检查单位提交整改报告后1周内</w:t>
      </w:r>
      <w:r>
        <w:rPr>
          <w:rFonts w:hint="eastAsia"/>
          <w:color w:val="auto"/>
          <w:lang w:val="en-US" w:eastAsia="zh-CN"/>
        </w:rPr>
        <w:t>完成《</w:t>
      </w:r>
      <w:r>
        <w:rPr>
          <w:rFonts w:hint="eastAsia"/>
          <w:color w:val="auto"/>
        </w:rPr>
        <w:t>土壤风险监控点监测质量监督整改情况汇总表</w:t>
      </w:r>
      <w:r>
        <w:rPr>
          <w:rFonts w:hint="eastAsia"/>
          <w:color w:val="auto"/>
          <w:lang w:val="en-US" w:eastAsia="zh-CN"/>
        </w:rPr>
        <w:t>》</w:t>
      </w:r>
      <w:r>
        <w:rPr>
          <w:rFonts w:hint="eastAsia"/>
          <w:color w:val="auto"/>
        </w:rPr>
        <w:t>。</w:t>
      </w:r>
    </w:p>
    <w:p>
      <w:pPr>
        <w:numPr>
          <w:ilvl w:val="0"/>
          <w:numId w:val="3"/>
        </w:numPr>
        <w:spacing w:before="156" w:after="120"/>
        <w:ind w:left="0" w:leftChars="0" w:firstLine="480" w:firstLineChars="200"/>
        <w:rPr>
          <w:rFonts w:hint="eastAsia"/>
          <w:color w:val="auto"/>
        </w:rPr>
      </w:pPr>
      <w:r>
        <w:rPr>
          <w:rFonts w:hint="eastAsia"/>
          <w:color w:val="auto"/>
        </w:rPr>
        <w:t>形成“一地区一档一报告”：质量监督组整理该地区的监督检查计划表、现场检查表、问题反馈清单、整改报告、检查报告等材料，按要求出具该地区的质量监督抽查报告，形成“一地区一档一报告”。</w:t>
      </w:r>
    </w:p>
    <w:p>
      <w:pPr>
        <w:numPr>
          <w:ilvl w:val="0"/>
          <w:numId w:val="3"/>
        </w:numPr>
        <w:spacing w:before="156" w:after="120"/>
        <w:ind w:left="0" w:leftChars="0" w:firstLine="480" w:firstLineChars="200"/>
        <w:rPr>
          <w:rFonts w:hint="eastAsia" w:ascii="仿宋_GB2312" w:hAnsi="SimSun" w:eastAsia="仿宋_GB2312" w:cs="Arial"/>
          <w:color w:val="auto"/>
          <w:sz w:val="24"/>
        </w:rPr>
      </w:pPr>
      <w:r>
        <w:rPr>
          <w:rFonts w:hint="eastAsia"/>
          <w:color w:val="auto"/>
        </w:rPr>
        <w:t>评价被检查地区的工作时效性和工作质量，形成整理提交相关整理结果和审核报告，并</w:t>
      </w:r>
      <w:bookmarkStart w:id="9" w:name="_Toc29565210"/>
      <w:r>
        <w:rPr>
          <w:rFonts w:hint="eastAsia"/>
          <w:color w:val="auto"/>
        </w:rPr>
        <w:t>编制《202</w:t>
      </w:r>
      <w:r>
        <w:rPr>
          <w:rFonts w:hint="eastAsia"/>
          <w:color w:val="auto"/>
          <w:lang w:val="en-US" w:eastAsia="zh-CN"/>
        </w:rPr>
        <w:t>2</w:t>
      </w:r>
      <w:r>
        <w:rPr>
          <w:rFonts w:hint="eastAsia"/>
          <w:color w:val="auto"/>
        </w:rPr>
        <w:t>年土壤</w:t>
      </w:r>
      <w:r>
        <w:rPr>
          <w:rFonts w:hint="eastAsia"/>
          <w:color w:val="auto"/>
          <w:lang w:eastAsia="zh-CN"/>
        </w:rPr>
        <w:t>风险监控点</w:t>
      </w:r>
      <w:r>
        <w:rPr>
          <w:rFonts w:hint="eastAsia"/>
          <w:color w:val="auto"/>
        </w:rPr>
        <w:t>质量监督抽查报告》</w:t>
      </w:r>
      <w:bookmarkEnd w:id="9"/>
      <w:r>
        <w:rPr>
          <w:rFonts w:hint="eastAsia"/>
          <w:color w:val="auto"/>
        </w:rPr>
        <w:t>。</w:t>
      </w:r>
    </w:p>
    <w:p>
      <w:pPr>
        <w:pStyle w:val="4"/>
        <w:rPr>
          <w:color w:val="auto"/>
        </w:rPr>
      </w:pPr>
      <w:bookmarkStart w:id="10" w:name="_Toc24470"/>
      <w:r>
        <w:rPr>
          <w:rFonts w:hint="eastAsia"/>
          <w:color w:val="auto"/>
        </w:rPr>
        <w:t>项目服务要求</w:t>
      </w:r>
      <w:bookmarkEnd w:id="10"/>
    </w:p>
    <w:p>
      <w:pPr>
        <w:pStyle w:val="5"/>
        <w:rPr>
          <w:rFonts w:hint="eastAsia"/>
          <w:color w:val="auto"/>
        </w:rPr>
      </w:pPr>
      <w:bookmarkStart w:id="11" w:name="_Toc88744291"/>
      <w:bookmarkStart w:id="12" w:name="_Toc29675"/>
      <w:r>
        <w:rPr>
          <w:rFonts w:hint="eastAsia"/>
          <w:color w:val="auto"/>
        </w:rPr>
        <w:t>工期要求</w:t>
      </w:r>
      <w:bookmarkEnd w:id="11"/>
      <w:bookmarkEnd w:id="12"/>
    </w:p>
    <w:p>
      <w:pPr>
        <w:spacing w:before="156"/>
        <w:ind w:firstLine="480"/>
        <w:rPr>
          <w:rFonts w:hint="eastAsia" w:cs="Times New Roman"/>
          <w:color w:val="auto"/>
          <w:szCs w:val="24"/>
        </w:rPr>
      </w:pPr>
      <w:r>
        <w:rPr>
          <w:rFonts w:hint="eastAsia" w:cs="Times New Roman"/>
          <w:color w:val="auto"/>
          <w:szCs w:val="24"/>
        </w:rPr>
        <w:t>本项目的具体进度要求如下：</w:t>
      </w:r>
    </w:p>
    <w:p>
      <w:pPr>
        <w:spacing w:before="156"/>
        <w:ind w:firstLine="480"/>
        <w:rPr>
          <w:rFonts w:hint="eastAsia" w:cs="Times New Roman"/>
          <w:color w:val="auto"/>
          <w:szCs w:val="24"/>
        </w:rPr>
      </w:pPr>
      <w:r>
        <w:rPr>
          <w:rFonts w:hint="eastAsia" w:cs="Times New Roman"/>
          <w:color w:val="auto"/>
          <w:szCs w:val="24"/>
        </w:rPr>
        <w:t>服务提供商</w:t>
      </w:r>
      <w:r>
        <w:rPr>
          <w:rFonts w:hint="eastAsia" w:cs="Times New Roman"/>
          <w:color w:val="auto"/>
          <w:szCs w:val="24"/>
          <w:lang w:val="en-US" w:eastAsia="zh-CN"/>
        </w:rPr>
        <w:t>需在</w:t>
      </w:r>
      <w:r>
        <w:rPr>
          <w:rFonts w:hint="eastAsia" w:cs="Times New Roman"/>
          <w:color w:val="auto"/>
          <w:szCs w:val="24"/>
        </w:rPr>
        <w:t>2022年11月15日前完成《2022年土壤风险监控点偏移审核报告》</w:t>
      </w:r>
      <w:r>
        <w:rPr>
          <w:rFonts w:hint="eastAsia" w:cs="Times New Roman"/>
          <w:color w:val="auto"/>
          <w:szCs w:val="24"/>
          <w:lang w:eastAsia="zh-CN"/>
        </w:rPr>
        <w:t>、</w:t>
      </w:r>
      <w:r>
        <w:rPr>
          <w:rFonts w:hint="eastAsia" w:cs="Times New Roman"/>
          <w:color w:val="auto"/>
          <w:szCs w:val="24"/>
        </w:rPr>
        <w:t>“一省一档一报告”及《2022年土壤风险监控点质量监督检查报告》。</w:t>
      </w:r>
    </w:p>
    <w:p>
      <w:pPr>
        <w:pStyle w:val="5"/>
        <w:rPr>
          <w:rFonts w:hint="eastAsia"/>
          <w:color w:val="auto"/>
        </w:rPr>
      </w:pPr>
      <w:bookmarkStart w:id="13" w:name="_Toc88744292"/>
      <w:bookmarkStart w:id="14" w:name="_Toc31163"/>
      <w:r>
        <w:rPr>
          <w:rFonts w:hint="eastAsia"/>
          <w:color w:val="auto"/>
        </w:rPr>
        <w:t>服务人员要求</w:t>
      </w:r>
      <w:bookmarkEnd w:id="13"/>
      <w:bookmarkEnd w:id="14"/>
      <w:r>
        <w:rPr>
          <w:rFonts w:hint="eastAsia"/>
          <w:color w:val="auto"/>
        </w:rPr>
        <w:tab/>
      </w:r>
    </w:p>
    <w:p>
      <w:pPr>
        <w:spacing w:before="156"/>
        <w:ind w:firstLine="480"/>
        <w:rPr>
          <w:rFonts w:hint="default" w:cs="Times New Roman"/>
          <w:color w:val="auto"/>
          <w:szCs w:val="24"/>
          <w:lang w:val="en-US" w:eastAsia="zh-CN"/>
        </w:rPr>
      </w:pPr>
      <w:r>
        <w:rPr>
          <w:rFonts w:hint="eastAsia" w:cs="Times New Roman"/>
          <w:color w:val="auto"/>
          <w:szCs w:val="24"/>
        </w:rPr>
        <w:t>服务提供商须为本项目组建稳定的、专业的项目团队，负责本项目服务实施工作，并进行相关的项目管控。服务提供商须针对本项目成立专门的项目组，确保人力、物力的投入，项目组成员必须稳定，项目实施团队成员在项目终验前如果人员退出或更换，需要征得总站负责人同意。</w:t>
      </w:r>
      <w:r>
        <w:rPr>
          <w:rFonts w:hint="eastAsia" w:cs="Times New Roman"/>
          <w:color w:val="auto"/>
          <w:szCs w:val="24"/>
          <w:lang w:val="en-US" w:eastAsia="zh-CN"/>
        </w:rPr>
        <w:t>本项目每次质量监督抽查允许聘用1-2名外单位专家参加，但专家不可为被检查地区土壤风险监控点监测任务承担单位员工。</w:t>
      </w:r>
    </w:p>
    <w:p>
      <w:pPr>
        <w:spacing w:before="156"/>
        <w:ind w:firstLine="480"/>
        <w:rPr>
          <w:rFonts w:hint="default" w:cs="Times New Roman"/>
          <w:color w:val="auto"/>
          <w:szCs w:val="24"/>
          <w:lang w:val="en-US" w:eastAsia="zh-CN"/>
        </w:rPr>
      </w:pPr>
      <w:r>
        <w:rPr>
          <w:rFonts w:hint="eastAsia" w:cs="Times New Roman"/>
          <w:color w:val="auto"/>
          <w:szCs w:val="24"/>
        </w:rPr>
        <w:t>项目</w:t>
      </w:r>
      <w:r>
        <w:rPr>
          <w:rFonts w:hint="eastAsia" w:cs="Times New Roman"/>
          <w:color w:val="auto"/>
          <w:szCs w:val="24"/>
          <w:lang w:val="en-US" w:eastAsia="zh-CN"/>
        </w:rPr>
        <w:t>负责人</w:t>
      </w:r>
      <w:r>
        <w:rPr>
          <w:rFonts w:hint="eastAsia" w:cs="Times New Roman"/>
          <w:color w:val="auto"/>
          <w:szCs w:val="24"/>
        </w:rPr>
        <w:t>需具有</w:t>
      </w:r>
      <w:r>
        <w:rPr>
          <w:rFonts w:hint="eastAsia" w:cs="Times New Roman"/>
          <w:color w:val="auto"/>
          <w:szCs w:val="24"/>
          <w:lang w:val="en-US" w:eastAsia="zh-CN"/>
        </w:rPr>
        <w:t>5</w:t>
      </w:r>
      <w:r>
        <w:rPr>
          <w:rFonts w:hint="eastAsia" w:cs="Times New Roman"/>
          <w:color w:val="auto"/>
          <w:szCs w:val="24"/>
        </w:rPr>
        <w:t>年以上的相关工作经验、</w:t>
      </w:r>
      <w:r>
        <w:rPr>
          <w:rFonts w:hint="eastAsia" w:cs="Times New Roman"/>
          <w:color w:val="auto"/>
          <w:szCs w:val="24"/>
          <w:lang w:val="en-US" w:eastAsia="zh-CN"/>
        </w:rPr>
        <w:t>高</w:t>
      </w:r>
      <w:r>
        <w:rPr>
          <w:rFonts w:hint="eastAsia" w:cs="Times New Roman"/>
          <w:color w:val="auto"/>
          <w:szCs w:val="24"/>
        </w:rPr>
        <w:t>级工程师（含）以上技术职称、硕士（含）以上学历，具有快速解决问题的能力，有较高组织和管理协调能力。</w:t>
      </w:r>
      <w:r>
        <w:rPr>
          <w:rFonts w:hint="eastAsia" w:cs="Times New Roman"/>
          <w:color w:val="auto"/>
          <w:szCs w:val="24"/>
          <w:lang w:val="en-US" w:eastAsia="zh-CN"/>
        </w:rPr>
        <w:t>项目应配备1名联络员，负责此项目的沟通协调。在监督检查工作中，任组长的专家应具有环境、土壤、分析相关专业高级以上职称，任组员的专家应具有环境、土壤、分析相关专业中级以上职称。</w:t>
      </w:r>
    </w:p>
    <w:p>
      <w:pPr>
        <w:pStyle w:val="5"/>
        <w:rPr>
          <w:rFonts w:hint="eastAsia"/>
          <w:color w:val="auto"/>
        </w:rPr>
      </w:pPr>
      <w:bookmarkStart w:id="15" w:name="_Toc88744293"/>
      <w:bookmarkStart w:id="16" w:name="_Toc20497"/>
      <w:r>
        <w:rPr>
          <w:rFonts w:hint="eastAsia"/>
          <w:color w:val="auto"/>
        </w:rPr>
        <w:t>质量保障要求</w:t>
      </w:r>
      <w:bookmarkEnd w:id="15"/>
      <w:bookmarkEnd w:id="16"/>
    </w:p>
    <w:p>
      <w:pPr>
        <w:spacing w:before="156"/>
        <w:ind w:firstLine="480"/>
        <w:rPr>
          <w:rFonts w:cs="Times New Roman"/>
          <w:color w:val="auto"/>
          <w:szCs w:val="24"/>
        </w:rPr>
      </w:pPr>
      <w:r>
        <w:rPr>
          <w:rFonts w:hint="eastAsia" w:cs="Times New Roman"/>
          <w:color w:val="auto"/>
          <w:szCs w:val="24"/>
        </w:rPr>
        <w:t>服务提供商在项目实施过程中应严格按照相关标准，根据总站要求，及时</w:t>
      </w:r>
      <w:r>
        <w:rPr>
          <w:rFonts w:hint="eastAsia" w:cs="Times New Roman"/>
          <w:color w:val="auto"/>
          <w:szCs w:val="24"/>
          <w:lang w:val="en-US" w:eastAsia="zh-CN"/>
        </w:rPr>
        <w:t>并保质保量</w:t>
      </w:r>
      <w:r>
        <w:rPr>
          <w:rFonts w:hint="eastAsia" w:cs="Times New Roman"/>
          <w:color w:val="auto"/>
          <w:szCs w:val="24"/>
        </w:rPr>
        <w:t>完成实施</w:t>
      </w:r>
      <w:r>
        <w:rPr>
          <w:rFonts w:hint="eastAsia" w:cs="Times New Roman"/>
          <w:color w:val="auto"/>
          <w:szCs w:val="24"/>
          <w:lang w:val="en-US" w:eastAsia="zh-CN"/>
        </w:rPr>
        <w:t>偏移点位审核和质量监督检查</w:t>
      </w:r>
      <w:r>
        <w:rPr>
          <w:rFonts w:hint="eastAsia" w:cs="Times New Roman"/>
          <w:color w:val="auto"/>
          <w:szCs w:val="24"/>
        </w:rPr>
        <w:t>等工作；项目</w:t>
      </w:r>
      <w:r>
        <w:rPr>
          <w:rFonts w:hint="eastAsia" w:cs="Times New Roman"/>
          <w:color w:val="auto"/>
          <w:szCs w:val="24"/>
          <w:lang w:val="en-US" w:eastAsia="zh-CN"/>
        </w:rPr>
        <w:t>负责人和联络员</w:t>
      </w:r>
      <w:r>
        <w:rPr>
          <w:rFonts w:hint="eastAsia" w:cs="Times New Roman"/>
          <w:color w:val="auto"/>
          <w:szCs w:val="24"/>
        </w:rPr>
        <w:t>应随时与总站项目承接科室和人员有效沟通，保证项目按目标顺利完成。</w:t>
      </w:r>
    </w:p>
    <w:p>
      <w:pPr>
        <w:pStyle w:val="5"/>
        <w:rPr>
          <w:rFonts w:hint="eastAsia"/>
          <w:color w:val="auto"/>
        </w:rPr>
      </w:pPr>
      <w:bookmarkStart w:id="17" w:name="_Toc17711"/>
      <w:bookmarkStart w:id="18" w:name="_Toc88744294"/>
      <w:r>
        <w:rPr>
          <w:rFonts w:hint="eastAsia"/>
          <w:color w:val="auto"/>
        </w:rPr>
        <w:t>安全保密要求</w:t>
      </w:r>
      <w:bookmarkEnd w:id="17"/>
      <w:bookmarkEnd w:id="18"/>
      <w:r>
        <w:rPr>
          <w:rFonts w:hint="eastAsia"/>
          <w:color w:val="auto"/>
        </w:rPr>
        <w:tab/>
      </w:r>
    </w:p>
    <w:p>
      <w:pPr>
        <w:spacing w:before="156"/>
        <w:ind w:firstLine="480"/>
        <w:rPr>
          <w:rFonts w:cs="Times New Roman"/>
          <w:color w:val="auto"/>
          <w:szCs w:val="24"/>
        </w:rPr>
      </w:pPr>
      <w:r>
        <w:rPr>
          <w:rFonts w:hint="eastAsia" w:cs="Times New Roman"/>
          <w:color w:val="auto"/>
          <w:szCs w:val="24"/>
        </w:rPr>
        <w:t>服务提供商要严格遵守国家《保密法》及有关保密的法律法规，选派具有良好职业道德的人员参与和从事本项目工作，教育相关人员恪守职业道德，服从招标人的管理，严格遵守招标人的保密规定和工作制度，并承担相应的保密责任。</w:t>
      </w:r>
    </w:p>
    <w:p>
      <w:pPr>
        <w:spacing w:before="156"/>
        <w:ind w:firstLine="480"/>
        <w:rPr>
          <w:rFonts w:cs="Times New Roman"/>
          <w:color w:val="auto"/>
          <w:szCs w:val="24"/>
        </w:rPr>
      </w:pPr>
      <w:r>
        <w:rPr>
          <w:rFonts w:hint="eastAsia" w:cs="Times New Roman"/>
          <w:color w:val="auto"/>
          <w:szCs w:val="24"/>
        </w:rPr>
        <w:t>服务提供商所有参与本项目的服务人员须签订《保密承诺书》。服务提供商负责对《保密承诺书》归档保管，接受招标人检查。服务提供商要对承诺履行情况负有监督责任，一经发现违反承诺情况，要及时向招标人报告。</w:t>
      </w:r>
    </w:p>
    <w:p>
      <w:pPr>
        <w:spacing w:before="156"/>
        <w:ind w:firstLine="480"/>
        <w:rPr>
          <w:rFonts w:ascii="SimSun" w:hAnsi="SimSun" w:cs="Times New Roman"/>
          <w:color w:val="auto"/>
          <w:sz w:val="28"/>
          <w:szCs w:val="28"/>
        </w:rPr>
      </w:pPr>
      <w:r>
        <w:rPr>
          <w:rFonts w:hint="eastAsia" w:cs="Times New Roman"/>
          <w:color w:val="auto"/>
          <w:szCs w:val="24"/>
        </w:rPr>
        <w:t>服务提供商所有参与本项目的服务人员自觉接受招标人的安全保密监督和管理，如违反安全保密条款，招标人将追究其责任，对重大的泄密事件将移交司法部门追究其法律责任；对泄露系统资料，造成伤害的，除依据有关规定追究有关责任人员法律责任外，还应依法承担相应的民事责任。</w:t>
      </w:r>
    </w:p>
    <w:p>
      <w:pPr>
        <w:pStyle w:val="5"/>
        <w:rPr>
          <w:rFonts w:hint="eastAsia"/>
          <w:color w:val="auto"/>
        </w:rPr>
      </w:pPr>
      <w:bookmarkStart w:id="19" w:name="_Toc12068"/>
      <w:r>
        <w:rPr>
          <w:rFonts w:hint="eastAsia"/>
          <w:color w:val="auto"/>
        </w:rPr>
        <w:t>资产与管理要求</w:t>
      </w:r>
      <w:bookmarkEnd w:id="19"/>
    </w:p>
    <w:p>
      <w:pPr>
        <w:spacing w:before="156"/>
        <w:ind w:firstLine="480"/>
        <w:rPr>
          <w:rFonts w:hint="eastAsia" w:cs="Times New Roman"/>
          <w:color w:val="auto"/>
          <w:szCs w:val="24"/>
        </w:rPr>
      </w:pPr>
      <w:r>
        <w:rPr>
          <w:rFonts w:hint="eastAsia" w:cs="Times New Roman"/>
          <w:color w:val="auto"/>
          <w:szCs w:val="24"/>
        </w:rPr>
        <w:t>服务提供商资金保证充足，具有独立财务账户或财务独立核算。</w:t>
      </w:r>
    </w:p>
    <w:p>
      <w:pPr>
        <w:spacing w:before="156"/>
        <w:ind w:firstLine="480"/>
        <w:rPr>
          <w:rFonts w:hint="eastAsia" w:cs="Times New Roman"/>
          <w:color w:val="auto"/>
          <w:szCs w:val="24"/>
        </w:rPr>
      </w:pPr>
      <w:r>
        <w:rPr>
          <w:rFonts w:hint="eastAsia" w:cs="Times New Roman"/>
          <w:color w:val="auto"/>
          <w:szCs w:val="24"/>
        </w:rPr>
        <w:t>服务提供商应具有独立完成质控检查任务的资源和能力，具有明确的法律地位，能够对质控检查结果的真实性和准确性负责。</w:t>
      </w:r>
    </w:p>
    <w:p>
      <w:pPr>
        <w:spacing w:before="156"/>
        <w:ind w:firstLine="480"/>
        <w:rPr>
          <w:rFonts w:cs="Times New Roman"/>
          <w:color w:val="auto"/>
          <w:szCs w:val="24"/>
        </w:rPr>
      </w:pPr>
      <w:r>
        <w:rPr>
          <w:rFonts w:hint="eastAsia" w:cs="Times New Roman"/>
          <w:color w:val="auto"/>
          <w:szCs w:val="24"/>
        </w:rPr>
        <w:t>在委托期内，在合同约束范围内服务提供商拥有管理自主权；不能以任何形式外包合同规定的</w:t>
      </w:r>
      <w:r>
        <w:rPr>
          <w:rFonts w:hint="eastAsia" w:cs="Times New Roman"/>
          <w:color w:val="auto"/>
          <w:szCs w:val="24"/>
          <w:lang w:val="en-US" w:eastAsia="zh-CN"/>
        </w:rPr>
        <w:t>偏移审核和</w:t>
      </w:r>
      <w:r>
        <w:rPr>
          <w:rFonts w:hint="eastAsia" w:cs="Times New Roman"/>
          <w:color w:val="auto"/>
          <w:szCs w:val="24"/>
        </w:rPr>
        <w:t>质控检查任务。</w:t>
      </w:r>
    </w:p>
    <w:p>
      <w:pPr>
        <w:pStyle w:val="5"/>
        <w:rPr>
          <w:rFonts w:hint="eastAsia"/>
          <w:color w:val="auto"/>
        </w:rPr>
      </w:pPr>
      <w:bookmarkStart w:id="20" w:name="_Toc523857180"/>
      <w:bookmarkStart w:id="21" w:name="_Toc88744295"/>
      <w:bookmarkStart w:id="22" w:name="_Toc16459"/>
      <w:r>
        <w:rPr>
          <w:rFonts w:hint="eastAsia"/>
          <w:color w:val="auto"/>
        </w:rPr>
        <w:t>项目成果</w:t>
      </w:r>
      <w:bookmarkEnd w:id="20"/>
      <w:r>
        <w:rPr>
          <w:rFonts w:hint="eastAsia"/>
          <w:color w:val="auto"/>
        </w:rPr>
        <w:t>要求</w:t>
      </w:r>
      <w:bookmarkEnd w:id="21"/>
      <w:bookmarkEnd w:id="22"/>
    </w:p>
    <w:p>
      <w:pPr>
        <w:adjustRightInd w:val="0"/>
        <w:snapToGrid w:val="0"/>
        <w:spacing w:line="360" w:lineRule="auto"/>
        <w:ind w:firstLine="480" w:firstLineChars="200"/>
        <w:rPr>
          <w:rFonts w:hint="eastAsia" w:ascii="SimSun" w:hAnsi="SimSun" w:eastAsia="SimSun" w:cs="SimSun"/>
          <w:color w:val="auto"/>
          <w:kern w:val="0"/>
          <w:sz w:val="24"/>
          <w:szCs w:val="24"/>
        </w:rPr>
      </w:pPr>
      <w:bookmarkStart w:id="23" w:name="_Toc88637753"/>
      <w:r>
        <w:rPr>
          <w:rFonts w:hint="eastAsia" w:ascii="SimSun" w:hAnsi="SimSun" w:eastAsia="SimSun" w:cs="SimSun"/>
          <w:color w:val="auto"/>
          <w:kern w:val="0"/>
          <w:sz w:val="24"/>
          <w:szCs w:val="24"/>
          <w:lang w:eastAsia="zh-CN"/>
        </w:rPr>
        <w:t>（</w:t>
      </w:r>
      <w:r>
        <w:rPr>
          <w:rFonts w:hint="eastAsia" w:ascii="SimSun" w:hAnsi="SimSun" w:eastAsia="SimSun" w:cs="SimSun"/>
          <w:color w:val="auto"/>
          <w:kern w:val="0"/>
          <w:sz w:val="24"/>
          <w:szCs w:val="24"/>
          <w:lang w:val="en-US" w:eastAsia="zh-CN"/>
        </w:rPr>
        <w:t>1</w:t>
      </w:r>
      <w:r>
        <w:rPr>
          <w:rFonts w:hint="eastAsia" w:ascii="SimSun" w:hAnsi="SimSun" w:eastAsia="SimSun" w:cs="SimSun"/>
          <w:color w:val="auto"/>
          <w:kern w:val="0"/>
          <w:sz w:val="24"/>
          <w:szCs w:val="24"/>
          <w:lang w:eastAsia="zh-CN"/>
        </w:rPr>
        <w:t>）</w:t>
      </w:r>
      <w:r>
        <w:rPr>
          <w:rFonts w:hint="eastAsia" w:ascii="SimSun" w:hAnsi="SimSun" w:eastAsia="SimSun" w:cs="SimSun"/>
          <w:color w:val="auto"/>
          <w:kern w:val="0"/>
          <w:sz w:val="24"/>
          <w:szCs w:val="24"/>
        </w:rPr>
        <w:t>《2022年土壤风险监控点偏移审核报告》</w:t>
      </w:r>
    </w:p>
    <w:p>
      <w:pPr>
        <w:adjustRightInd w:val="0"/>
        <w:snapToGrid w:val="0"/>
        <w:spacing w:line="360" w:lineRule="auto"/>
        <w:ind w:firstLine="480" w:firstLineChars="200"/>
        <w:rPr>
          <w:rFonts w:hint="eastAsia" w:ascii="SimSun" w:hAnsi="SimSun" w:eastAsia="SimSun" w:cs="SimSun"/>
          <w:color w:val="auto"/>
          <w:kern w:val="0"/>
          <w:sz w:val="24"/>
          <w:szCs w:val="24"/>
        </w:rPr>
      </w:pPr>
      <w:r>
        <w:rPr>
          <w:rFonts w:hint="eastAsia" w:ascii="SimSun" w:hAnsi="SimSun" w:eastAsia="SimSun" w:cs="SimSun"/>
          <w:color w:val="auto"/>
          <w:kern w:val="0"/>
          <w:sz w:val="24"/>
          <w:szCs w:val="24"/>
        </w:rPr>
        <w:t xml:space="preserve"> 内容：收集偏移采样信息，统计偏移采样的情况，编制《2022年土壤风险监控点偏移审核报告》。</w:t>
      </w:r>
    </w:p>
    <w:p>
      <w:pPr>
        <w:adjustRightInd w:val="0"/>
        <w:snapToGrid w:val="0"/>
        <w:spacing w:line="360" w:lineRule="auto"/>
        <w:ind w:firstLine="480" w:firstLineChars="200"/>
        <w:rPr>
          <w:rFonts w:hint="eastAsia" w:ascii="SimSun" w:hAnsi="SimSun" w:eastAsia="SimSun" w:cs="SimSun"/>
          <w:color w:val="auto"/>
          <w:kern w:val="0"/>
          <w:sz w:val="24"/>
          <w:szCs w:val="24"/>
        </w:rPr>
      </w:pPr>
      <w:r>
        <w:rPr>
          <w:rFonts w:hint="eastAsia" w:ascii="SimSun" w:hAnsi="SimSun" w:eastAsia="SimSun" w:cs="SimSun"/>
          <w:color w:val="auto"/>
          <w:kern w:val="0"/>
          <w:sz w:val="24"/>
          <w:szCs w:val="24"/>
          <w:lang w:eastAsia="zh-CN"/>
        </w:rPr>
        <w:t>（</w:t>
      </w:r>
      <w:r>
        <w:rPr>
          <w:rFonts w:hint="eastAsia" w:ascii="SimSun" w:hAnsi="SimSun" w:eastAsia="SimSun" w:cs="SimSun"/>
          <w:color w:val="auto"/>
          <w:kern w:val="0"/>
          <w:sz w:val="24"/>
          <w:szCs w:val="24"/>
          <w:lang w:val="en-US" w:eastAsia="zh-CN"/>
        </w:rPr>
        <w:t>2</w:t>
      </w:r>
      <w:r>
        <w:rPr>
          <w:rFonts w:hint="eastAsia" w:ascii="SimSun" w:hAnsi="SimSun" w:eastAsia="SimSun" w:cs="SimSun"/>
          <w:color w:val="auto"/>
          <w:kern w:val="0"/>
          <w:sz w:val="24"/>
          <w:szCs w:val="24"/>
          <w:lang w:eastAsia="zh-CN"/>
        </w:rPr>
        <w:t>）</w:t>
      </w:r>
      <w:r>
        <w:rPr>
          <w:rFonts w:hint="eastAsia" w:ascii="SimSun" w:hAnsi="SimSun" w:eastAsia="SimSun" w:cs="SimSun"/>
          <w:color w:val="auto"/>
          <w:kern w:val="0"/>
          <w:sz w:val="24"/>
          <w:szCs w:val="24"/>
        </w:rPr>
        <w:t>各省的“一省一档一报告”</w:t>
      </w:r>
    </w:p>
    <w:p>
      <w:pPr>
        <w:adjustRightInd w:val="0"/>
        <w:snapToGrid w:val="0"/>
        <w:spacing w:line="360" w:lineRule="auto"/>
        <w:ind w:firstLine="480" w:firstLineChars="200"/>
        <w:rPr>
          <w:rFonts w:hint="eastAsia" w:ascii="SimSun" w:hAnsi="SimSun" w:eastAsia="SimSun" w:cs="SimSun"/>
          <w:color w:val="auto"/>
          <w:kern w:val="0"/>
          <w:sz w:val="24"/>
          <w:szCs w:val="24"/>
        </w:rPr>
      </w:pPr>
      <w:r>
        <w:rPr>
          <w:rFonts w:hint="eastAsia" w:ascii="SimSun" w:hAnsi="SimSun" w:eastAsia="SimSun" w:cs="SimSun"/>
          <w:color w:val="auto"/>
          <w:kern w:val="0"/>
          <w:sz w:val="24"/>
          <w:szCs w:val="24"/>
        </w:rPr>
        <w:t>内容：整理各省的质量监督检查相关资料，包括：监督检查计划表、现场检查表、问题反馈清单、整改报告、检查报告等材料，按照档案管理要求建档，并根据各省的质量监督检查结果出具该省的质量检查报告，形成建立“一省一档一报告”。</w:t>
      </w:r>
    </w:p>
    <w:p>
      <w:pPr>
        <w:adjustRightInd w:val="0"/>
        <w:snapToGrid w:val="0"/>
        <w:spacing w:line="360" w:lineRule="auto"/>
        <w:ind w:firstLine="480" w:firstLineChars="200"/>
        <w:rPr>
          <w:rFonts w:hint="eastAsia" w:ascii="SimSun" w:hAnsi="SimSun" w:eastAsia="SimSun" w:cs="SimSun"/>
          <w:color w:val="auto"/>
          <w:kern w:val="0"/>
          <w:sz w:val="24"/>
          <w:szCs w:val="24"/>
        </w:rPr>
      </w:pPr>
      <w:r>
        <w:rPr>
          <w:rFonts w:hint="eastAsia" w:ascii="SimSun" w:hAnsi="SimSun" w:eastAsia="SimSun" w:cs="SimSun"/>
          <w:color w:val="auto"/>
          <w:kern w:val="0"/>
          <w:sz w:val="24"/>
          <w:szCs w:val="24"/>
          <w:lang w:eastAsia="zh-CN"/>
        </w:rPr>
        <w:t>（</w:t>
      </w:r>
      <w:r>
        <w:rPr>
          <w:rFonts w:hint="eastAsia" w:ascii="SimSun" w:hAnsi="SimSun" w:eastAsia="SimSun" w:cs="SimSun"/>
          <w:color w:val="auto"/>
          <w:kern w:val="0"/>
          <w:sz w:val="24"/>
          <w:szCs w:val="24"/>
          <w:lang w:val="en-US" w:eastAsia="zh-CN"/>
        </w:rPr>
        <w:t>3</w:t>
      </w:r>
      <w:r>
        <w:rPr>
          <w:rFonts w:hint="eastAsia" w:ascii="SimSun" w:hAnsi="SimSun" w:eastAsia="SimSun" w:cs="SimSun"/>
          <w:color w:val="auto"/>
          <w:kern w:val="0"/>
          <w:sz w:val="24"/>
          <w:szCs w:val="24"/>
          <w:lang w:eastAsia="zh-CN"/>
        </w:rPr>
        <w:t>）《</w:t>
      </w:r>
      <w:r>
        <w:rPr>
          <w:rFonts w:hint="eastAsia" w:ascii="SimSun" w:hAnsi="SimSun" w:eastAsia="SimSun" w:cs="SimSun"/>
          <w:color w:val="auto"/>
          <w:kern w:val="0"/>
          <w:sz w:val="24"/>
          <w:szCs w:val="24"/>
        </w:rPr>
        <w:t>2022年土壤风险监控点质量监督检查报告</w:t>
      </w:r>
      <w:r>
        <w:rPr>
          <w:rFonts w:hint="eastAsia" w:ascii="SimSun" w:hAnsi="SimSun" w:eastAsia="SimSun" w:cs="SimSun"/>
          <w:color w:val="auto"/>
          <w:kern w:val="0"/>
          <w:sz w:val="24"/>
          <w:szCs w:val="24"/>
          <w:lang w:eastAsia="zh-CN"/>
        </w:rPr>
        <w:t>》</w:t>
      </w:r>
    </w:p>
    <w:p>
      <w:pPr>
        <w:adjustRightInd w:val="0"/>
        <w:snapToGrid w:val="0"/>
        <w:spacing w:line="360" w:lineRule="auto"/>
        <w:ind w:firstLine="480" w:firstLineChars="200"/>
        <w:rPr>
          <w:rFonts w:hint="eastAsia" w:ascii="SimSun" w:hAnsi="SimSun" w:eastAsia="SimSun" w:cs="SimSun"/>
          <w:color w:val="auto"/>
          <w:kern w:val="0"/>
          <w:sz w:val="24"/>
          <w:szCs w:val="24"/>
        </w:rPr>
      </w:pPr>
      <w:r>
        <w:rPr>
          <w:rFonts w:hint="eastAsia" w:ascii="SimSun" w:hAnsi="SimSun" w:eastAsia="SimSun" w:cs="SimSun"/>
          <w:color w:val="auto"/>
          <w:kern w:val="0"/>
          <w:sz w:val="24"/>
          <w:szCs w:val="24"/>
        </w:rPr>
        <w:t>内容：根据质量监督检查资料，开展质量监督检查资料统计分析，分析结果应包括各省整改工作评价表、各省检查组监督检查评价表、各省各环节及理化质量监督检查主要问题汇总、各省重金属测试项目质量监督检查主要问题汇总、各省有机测试项目质量监督检查主要问题汇总、各省存在问题反馈报告、全国问题清单。编制《2022年土壤风险监控点质量监督检查报告》。</w:t>
      </w:r>
    </w:p>
    <w:p>
      <w:pPr>
        <w:adjustRightInd w:val="0"/>
        <w:snapToGrid w:val="0"/>
        <w:spacing w:line="360" w:lineRule="auto"/>
        <w:ind w:firstLine="480" w:firstLineChars="200"/>
        <w:rPr>
          <w:rFonts w:hint="eastAsia" w:ascii="SimSun" w:hAnsi="SimSun" w:eastAsia="SimSun" w:cs="SimSun"/>
          <w:color w:val="auto"/>
          <w:kern w:val="0"/>
          <w:sz w:val="24"/>
          <w:szCs w:val="24"/>
        </w:rPr>
      </w:pPr>
      <w:r>
        <w:rPr>
          <w:rFonts w:hint="eastAsia" w:ascii="SimSun" w:hAnsi="SimSun" w:cs="SimSun"/>
          <w:color w:val="auto"/>
          <w:kern w:val="0"/>
          <w:sz w:val="24"/>
          <w:szCs w:val="24"/>
          <w:lang w:val="en-US" w:eastAsia="zh-CN"/>
        </w:rPr>
        <w:t>服务提供商</w:t>
      </w:r>
      <w:r>
        <w:rPr>
          <w:rFonts w:hint="eastAsia" w:ascii="SimSun" w:hAnsi="SimSun" w:eastAsia="SimSun" w:cs="SimSun"/>
          <w:color w:val="auto"/>
          <w:kern w:val="0"/>
          <w:sz w:val="24"/>
          <w:szCs w:val="24"/>
          <w:lang w:val="en-US" w:eastAsia="zh-CN"/>
        </w:rPr>
        <w:t>需在</w:t>
      </w:r>
      <w:r>
        <w:rPr>
          <w:rFonts w:hint="eastAsia" w:ascii="SimSun" w:hAnsi="SimSun" w:eastAsia="SimSun" w:cs="SimSun"/>
          <w:color w:val="auto"/>
          <w:kern w:val="0"/>
          <w:sz w:val="24"/>
          <w:szCs w:val="24"/>
        </w:rPr>
        <w:t>2022年11月15日前完成《2022年土壤风险监控点偏移审核报告》</w:t>
      </w:r>
      <w:r>
        <w:rPr>
          <w:rFonts w:hint="eastAsia" w:ascii="SimSun" w:hAnsi="SimSun" w:eastAsia="SimSun" w:cs="SimSun"/>
          <w:color w:val="auto"/>
          <w:kern w:val="0"/>
          <w:sz w:val="24"/>
          <w:szCs w:val="24"/>
          <w:lang w:eastAsia="zh-CN"/>
        </w:rPr>
        <w:t>、</w:t>
      </w:r>
      <w:r>
        <w:rPr>
          <w:rFonts w:hint="eastAsia" w:ascii="SimSun" w:hAnsi="SimSun" w:eastAsia="SimSun" w:cs="SimSun"/>
          <w:color w:val="auto"/>
          <w:kern w:val="0"/>
          <w:sz w:val="24"/>
          <w:szCs w:val="24"/>
        </w:rPr>
        <w:t>“一省一档一报告”及《2022年土壤风险监控点质量监督检查报告》</w:t>
      </w:r>
      <w:r>
        <w:rPr>
          <w:rFonts w:hint="eastAsia" w:ascii="SimSun" w:hAnsi="SimSun" w:eastAsia="SimSun" w:cs="SimSun"/>
          <w:color w:val="auto"/>
          <w:kern w:val="0"/>
          <w:sz w:val="24"/>
          <w:szCs w:val="24"/>
          <w:lang w:eastAsia="zh-CN"/>
        </w:rPr>
        <w:t>，</w:t>
      </w:r>
      <w:r>
        <w:rPr>
          <w:rFonts w:hint="eastAsia" w:ascii="SimSun" w:hAnsi="SimSun" w:eastAsia="SimSun" w:cs="SimSun"/>
          <w:color w:val="auto"/>
          <w:kern w:val="0"/>
          <w:sz w:val="24"/>
          <w:szCs w:val="24"/>
          <w:lang w:val="en-US" w:eastAsia="zh-CN"/>
        </w:rPr>
        <w:t>并提交至</w:t>
      </w:r>
      <w:r>
        <w:rPr>
          <w:rFonts w:hint="eastAsia" w:ascii="SimSun" w:hAnsi="SimSun" w:eastAsia="SimSun" w:cs="SimSun"/>
          <w:color w:val="auto"/>
          <w:kern w:val="0"/>
          <w:sz w:val="24"/>
          <w:szCs w:val="24"/>
        </w:rPr>
        <w:t>中国环境监测总站（北京市朝阳区安外大羊坊8号乙）。</w:t>
      </w:r>
    </w:p>
    <w:p>
      <w:pPr>
        <w:pStyle w:val="4"/>
        <w:rPr>
          <w:color w:val="auto"/>
        </w:rPr>
      </w:pPr>
      <w:bookmarkStart w:id="24" w:name="_Toc24308"/>
      <w:r>
        <w:rPr>
          <w:rFonts w:hint="eastAsia"/>
          <w:color w:val="auto"/>
        </w:rPr>
        <w:t>其他补充</w:t>
      </w:r>
      <w:bookmarkEnd w:id="23"/>
      <w:bookmarkEnd w:id="24"/>
    </w:p>
    <w:p>
      <w:pPr>
        <w:spacing w:before="156"/>
        <w:ind w:firstLine="480"/>
        <w:rPr>
          <w:rFonts w:hint="eastAsia" w:ascii="SimSun" w:hAnsi="SimSun"/>
          <w:color w:val="auto"/>
        </w:rPr>
      </w:pPr>
      <w:r>
        <w:rPr>
          <w:rFonts w:ascii="SimSun" w:hAnsi="SimSun"/>
          <w:color w:val="auto"/>
        </w:rPr>
        <w:t>其它未尽事宜，均依照国家有关规定及相关规范执行。</w:t>
      </w:r>
    </w:p>
    <w:sectPr>
      <w:footerReference r:id="rId13" w:type="default"/>
      <w:pgSz w:w="11906" w:h="16838"/>
      <w:pgMar w:top="1440" w:right="1797" w:bottom="1440" w:left="1797"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DengXian Light">
    <w:panose1 w:val="02010600030101010101"/>
    <w:charset w:val="86"/>
    <w:family w:val="auto"/>
    <w:pitch w:val="default"/>
    <w:sig w:usb0="A00002BF" w:usb1="38CF7CFA" w:usb2="00000016" w:usb3="00000000" w:csb0="0004000F" w:csb1="00000000"/>
  </w:font>
  <w:font w:name="仿宋_GB2312">
    <w:altName w:val="FangSong"/>
    <w:panose1 w:val="02010609030101010101"/>
    <w:charset w:val="86"/>
    <w:family w:val="modern"/>
    <w:pitch w:val="default"/>
    <w:sig w:usb0="00000000" w:usb1="00000000" w:usb2="00000010" w:usb3="00000000" w:csb0="00040000" w:csb1="00000000"/>
  </w:font>
  <w:font w:name="FangSong">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0132696"/>
      <w:docPartObj>
        <w:docPartGallery w:val="autotext"/>
      </w:docPartObj>
    </w:sdtPr>
    <w:sdtContent>
      <w:p>
        <w:pPr>
          <w:spacing w:before="120"/>
          <w:ind w:firstLine="480"/>
        </w:pPr>
      </w:p>
      <w:p>
        <w:pPr>
          <w:spacing w:before="120"/>
          <w:ind w:firstLine="480"/>
        </w:pPr>
        <w:r>
          <w:fldChar w:fldCharType="begin"/>
        </w:r>
        <w:r>
          <w:instrText xml:space="preserve">PAGE   \* MERGEFORMAT</w:instrText>
        </w:r>
        <w:r>
          <w:fldChar w:fldCharType="separate"/>
        </w:r>
        <w:r>
          <w:rPr>
            <w:lang w:val="zh-CN"/>
          </w:rPr>
          <w:t>7</w:t>
        </w:r>
        <w:r>
          <w:fldChar w:fldCharType="end"/>
        </w:r>
      </w:p>
    </w:sdtContent>
  </w:sdt>
  <w:p>
    <w:pPr>
      <w:spacing w:before="120"/>
      <w:ind w:firstLine="4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8535875"/>
      <w:docPartObj>
        <w:docPartGallery w:val="autotext"/>
      </w:docPartObj>
    </w:sdtPr>
    <w:sdtContent>
      <w:p>
        <w:pPr>
          <w:spacing w:before="120"/>
          <w:ind w:firstLine="480"/>
          <w:jc w:val="center"/>
        </w:pPr>
        <w:r>
          <w:fldChar w:fldCharType="begin"/>
        </w:r>
        <w:r>
          <w:instrText xml:space="preserve">PAGE   \* MERGEFORMAT</w:instrText>
        </w:r>
        <w:r>
          <w:fldChar w:fldCharType="separate"/>
        </w:r>
        <w:r>
          <w:rPr>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1CFD7"/>
    <w:multiLevelType w:val="singleLevel"/>
    <w:tmpl w:val="9621CFD7"/>
    <w:lvl w:ilvl="0" w:tentative="0">
      <w:start w:val="1"/>
      <w:numFmt w:val="decimalEnclosedCircleChinese"/>
      <w:suff w:val="nothing"/>
      <w:lvlText w:val="%1　"/>
      <w:lvlJc w:val="left"/>
      <w:pPr>
        <w:ind w:left="0" w:firstLine="400"/>
      </w:pPr>
      <w:rPr>
        <w:rFonts w:hint="eastAsia"/>
      </w:rPr>
    </w:lvl>
  </w:abstractNum>
  <w:abstractNum w:abstractNumId="1">
    <w:nsid w:val="4DC97063"/>
    <w:multiLevelType w:val="multilevel"/>
    <w:tmpl w:val="4DC97063"/>
    <w:lvl w:ilvl="0" w:tentative="0">
      <w:start w:val="1"/>
      <w:numFmt w:val="decimal"/>
      <w:pStyle w:val="4"/>
      <w:lvlText w:val="%1"/>
      <w:lvlJc w:val="left"/>
      <w:pPr>
        <w:ind w:left="432" w:hanging="432"/>
      </w:pPr>
    </w:lvl>
    <w:lvl w:ilvl="1" w:tentative="0">
      <w:start w:val="1"/>
      <w:numFmt w:val="decimal"/>
      <w:pStyle w:val="5"/>
      <w:lvlText w:val="%1.%2"/>
      <w:lvlJc w:val="left"/>
      <w:pPr>
        <w:ind w:left="1206" w:hanging="576"/>
      </w:pPr>
      <w:rPr>
        <w:rFonts w:hint="default" w:ascii="Times New Roman" w:hAnsi="Times New Roman" w:eastAsia="SimHei" w:cs="Times New Roman"/>
      </w:rPr>
    </w:lvl>
    <w:lvl w:ilvl="2" w:tentative="0">
      <w:start w:val="1"/>
      <w:numFmt w:val="decimal"/>
      <w:pStyle w:val="6"/>
      <w:lvlText w:val="%1.%2.%3"/>
      <w:lvlJc w:val="left"/>
      <w:pPr>
        <w:ind w:left="720" w:hanging="720"/>
      </w:pPr>
    </w:lvl>
    <w:lvl w:ilvl="3" w:tentative="0">
      <w:start w:val="1"/>
      <w:numFmt w:val="decimal"/>
      <w:pStyle w:val="7"/>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pStyle w:val="9"/>
      <w:lvlText w:val="%1.%2.%3.%4.%5.%6"/>
      <w:lvlJc w:val="left"/>
      <w:pPr>
        <w:ind w:left="1152" w:hanging="1152"/>
      </w:pPr>
    </w:lvl>
    <w:lvl w:ilvl="6" w:tentative="0">
      <w:start w:val="1"/>
      <w:numFmt w:val="decimal"/>
      <w:pStyle w:val="10"/>
      <w:lvlText w:val="%1.%2.%3.%4.%5.%6.%7"/>
      <w:lvlJc w:val="left"/>
      <w:pPr>
        <w:ind w:left="1296" w:hanging="1296"/>
      </w:pPr>
    </w:lvl>
    <w:lvl w:ilvl="7" w:tentative="0">
      <w:start w:val="1"/>
      <w:numFmt w:val="decimal"/>
      <w:pStyle w:val="11"/>
      <w:lvlText w:val="%1.%2.%3.%4.%5.%6.%7.%8"/>
      <w:lvlJc w:val="left"/>
      <w:pPr>
        <w:ind w:left="1440" w:hanging="1440"/>
      </w:pPr>
    </w:lvl>
    <w:lvl w:ilvl="8" w:tentative="0">
      <w:start w:val="1"/>
      <w:numFmt w:val="decimal"/>
      <w:pStyle w:val="12"/>
      <w:lvlText w:val="%1.%2.%3.%4.%5.%6.%7.%8.%9"/>
      <w:lvlJc w:val="left"/>
      <w:pPr>
        <w:ind w:left="1584" w:hanging="1584"/>
      </w:pPr>
    </w:lvl>
  </w:abstractNum>
  <w:abstractNum w:abstractNumId="2">
    <w:nsid w:val="7610CA2F"/>
    <w:multiLevelType w:val="singleLevel"/>
    <w:tmpl w:val="7610CA2F"/>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E3"/>
    <w:rsid w:val="00021F13"/>
    <w:rsid w:val="00025501"/>
    <w:rsid w:val="0003536A"/>
    <w:rsid w:val="000415A0"/>
    <w:rsid w:val="00056270"/>
    <w:rsid w:val="00062D11"/>
    <w:rsid w:val="00062FE3"/>
    <w:rsid w:val="00065323"/>
    <w:rsid w:val="00087A17"/>
    <w:rsid w:val="00095123"/>
    <w:rsid w:val="000B12EE"/>
    <w:rsid w:val="000B52BC"/>
    <w:rsid w:val="000C17DD"/>
    <w:rsid w:val="000C1913"/>
    <w:rsid w:val="000C3FEB"/>
    <w:rsid w:val="000D0F46"/>
    <w:rsid w:val="000E1198"/>
    <w:rsid w:val="000E3A94"/>
    <w:rsid w:val="000E576A"/>
    <w:rsid w:val="000E74BE"/>
    <w:rsid w:val="000F300F"/>
    <w:rsid w:val="000F5104"/>
    <w:rsid w:val="00102653"/>
    <w:rsid w:val="0011661F"/>
    <w:rsid w:val="001613B2"/>
    <w:rsid w:val="00164DB7"/>
    <w:rsid w:val="00165270"/>
    <w:rsid w:val="001700D0"/>
    <w:rsid w:val="00187B1B"/>
    <w:rsid w:val="00192E02"/>
    <w:rsid w:val="001938A8"/>
    <w:rsid w:val="001B023D"/>
    <w:rsid w:val="001B07D6"/>
    <w:rsid w:val="001B2302"/>
    <w:rsid w:val="001D2C57"/>
    <w:rsid w:val="00227563"/>
    <w:rsid w:val="00232DD5"/>
    <w:rsid w:val="00234B7F"/>
    <w:rsid w:val="00243A1B"/>
    <w:rsid w:val="00255FA9"/>
    <w:rsid w:val="00265287"/>
    <w:rsid w:val="00275831"/>
    <w:rsid w:val="00275843"/>
    <w:rsid w:val="00283A91"/>
    <w:rsid w:val="002A1138"/>
    <w:rsid w:val="002A4277"/>
    <w:rsid w:val="002B1408"/>
    <w:rsid w:val="002D3147"/>
    <w:rsid w:val="002F0BC7"/>
    <w:rsid w:val="002F31F0"/>
    <w:rsid w:val="003053D8"/>
    <w:rsid w:val="00321906"/>
    <w:rsid w:val="00323AA1"/>
    <w:rsid w:val="00334D15"/>
    <w:rsid w:val="003631E9"/>
    <w:rsid w:val="003677CF"/>
    <w:rsid w:val="003831AC"/>
    <w:rsid w:val="00386734"/>
    <w:rsid w:val="003868CF"/>
    <w:rsid w:val="00391674"/>
    <w:rsid w:val="00397EEB"/>
    <w:rsid w:val="003A1E2F"/>
    <w:rsid w:val="003A2182"/>
    <w:rsid w:val="003A4059"/>
    <w:rsid w:val="003A7967"/>
    <w:rsid w:val="003B737F"/>
    <w:rsid w:val="003C0996"/>
    <w:rsid w:val="003D7CA3"/>
    <w:rsid w:val="003E31C6"/>
    <w:rsid w:val="003F49E4"/>
    <w:rsid w:val="00406C7C"/>
    <w:rsid w:val="004117FF"/>
    <w:rsid w:val="00412B44"/>
    <w:rsid w:val="00417E2E"/>
    <w:rsid w:val="00423655"/>
    <w:rsid w:val="00425749"/>
    <w:rsid w:val="004332D1"/>
    <w:rsid w:val="00433B6D"/>
    <w:rsid w:val="00437C7A"/>
    <w:rsid w:val="00452E51"/>
    <w:rsid w:val="00463075"/>
    <w:rsid w:val="0046320A"/>
    <w:rsid w:val="00464221"/>
    <w:rsid w:val="00471A33"/>
    <w:rsid w:val="00483537"/>
    <w:rsid w:val="004B63DA"/>
    <w:rsid w:val="004D1404"/>
    <w:rsid w:val="004D29AC"/>
    <w:rsid w:val="004E7104"/>
    <w:rsid w:val="004F66E6"/>
    <w:rsid w:val="00501711"/>
    <w:rsid w:val="00503E1F"/>
    <w:rsid w:val="00507DE2"/>
    <w:rsid w:val="00510F76"/>
    <w:rsid w:val="005159E6"/>
    <w:rsid w:val="00522061"/>
    <w:rsid w:val="005267D5"/>
    <w:rsid w:val="005343F8"/>
    <w:rsid w:val="00545D74"/>
    <w:rsid w:val="0057249F"/>
    <w:rsid w:val="00574A39"/>
    <w:rsid w:val="00576C63"/>
    <w:rsid w:val="00576E01"/>
    <w:rsid w:val="00581CAF"/>
    <w:rsid w:val="00582E4E"/>
    <w:rsid w:val="00584DF4"/>
    <w:rsid w:val="005A26FD"/>
    <w:rsid w:val="005B1103"/>
    <w:rsid w:val="005C16C3"/>
    <w:rsid w:val="005C1AD8"/>
    <w:rsid w:val="005C2C5A"/>
    <w:rsid w:val="005C74B7"/>
    <w:rsid w:val="005D3439"/>
    <w:rsid w:val="005D66B2"/>
    <w:rsid w:val="005E0D79"/>
    <w:rsid w:val="005F5479"/>
    <w:rsid w:val="00603EDF"/>
    <w:rsid w:val="00607635"/>
    <w:rsid w:val="00614ED1"/>
    <w:rsid w:val="00624D70"/>
    <w:rsid w:val="00642CFE"/>
    <w:rsid w:val="00643091"/>
    <w:rsid w:val="006508A8"/>
    <w:rsid w:val="00652A75"/>
    <w:rsid w:val="00661028"/>
    <w:rsid w:val="00663626"/>
    <w:rsid w:val="00672260"/>
    <w:rsid w:val="0067512C"/>
    <w:rsid w:val="006D0F15"/>
    <w:rsid w:val="006D53F4"/>
    <w:rsid w:val="006E7B8E"/>
    <w:rsid w:val="0070316E"/>
    <w:rsid w:val="00710117"/>
    <w:rsid w:val="00721952"/>
    <w:rsid w:val="00722A40"/>
    <w:rsid w:val="00725DEB"/>
    <w:rsid w:val="00754262"/>
    <w:rsid w:val="0075747D"/>
    <w:rsid w:val="00757522"/>
    <w:rsid w:val="00763640"/>
    <w:rsid w:val="00766289"/>
    <w:rsid w:val="007666A3"/>
    <w:rsid w:val="00770198"/>
    <w:rsid w:val="00780ACF"/>
    <w:rsid w:val="00781AAD"/>
    <w:rsid w:val="00787062"/>
    <w:rsid w:val="007A48BD"/>
    <w:rsid w:val="007C47A5"/>
    <w:rsid w:val="007C61F5"/>
    <w:rsid w:val="007D106F"/>
    <w:rsid w:val="007F7879"/>
    <w:rsid w:val="00801D25"/>
    <w:rsid w:val="00804435"/>
    <w:rsid w:val="00812416"/>
    <w:rsid w:val="00816AE0"/>
    <w:rsid w:val="00816F13"/>
    <w:rsid w:val="0082174B"/>
    <w:rsid w:val="0082475F"/>
    <w:rsid w:val="00832892"/>
    <w:rsid w:val="008339D5"/>
    <w:rsid w:val="0083422D"/>
    <w:rsid w:val="00847068"/>
    <w:rsid w:val="00855DBA"/>
    <w:rsid w:val="00870A32"/>
    <w:rsid w:val="008719F7"/>
    <w:rsid w:val="008857A6"/>
    <w:rsid w:val="0089651B"/>
    <w:rsid w:val="00897267"/>
    <w:rsid w:val="008A5983"/>
    <w:rsid w:val="008C0ABC"/>
    <w:rsid w:val="008D2FB7"/>
    <w:rsid w:val="008E2182"/>
    <w:rsid w:val="008F2BAE"/>
    <w:rsid w:val="009123BC"/>
    <w:rsid w:val="009127BF"/>
    <w:rsid w:val="00925E59"/>
    <w:rsid w:val="00934A29"/>
    <w:rsid w:val="00940DB7"/>
    <w:rsid w:val="00961169"/>
    <w:rsid w:val="00967E63"/>
    <w:rsid w:val="00970EE7"/>
    <w:rsid w:val="00972F06"/>
    <w:rsid w:val="00985F0B"/>
    <w:rsid w:val="009A2D3A"/>
    <w:rsid w:val="009B2AA1"/>
    <w:rsid w:val="009B3FB2"/>
    <w:rsid w:val="009D01E9"/>
    <w:rsid w:val="009E7783"/>
    <w:rsid w:val="009F023F"/>
    <w:rsid w:val="009F1F7C"/>
    <w:rsid w:val="009F5427"/>
    <w:rsid w:val="009F7DC0"/>
    <w:rsid w:val="00A030A2"/>
    <w:rsid w:val="00A06887"/>
    <w:rsid w:val="00A12485"/>
    <w:rsid w:val="00A124B5"/>
    <w:rsid w:val="00A27FA7"/>
    <w:rsid w:val="00A36D19"/>
    <w:rsid w:val="00A41A79"/>
    <w:rsid w:val="00A424E1"/>
    <w:rsid w:val="00A42E76"/>
    <w:rsid w:val="00A743D0"/>
    <w:rsid w:val="00A77610"/>
    <w:rsid w:val="00A91251"/>
    <w:rsid w:val="00AA2DFD"/>
    <w:rsid w:val="00AB0BBC"/>
    <w:rsid w:val="00AC2C51"/>
    <w:rsid w:val="00AC3130"/>
    <w:rsid w:val="00AD01E6"/>
    <w:rsid w:val="00AE6F5C"/>
    <w:rsid w:val="00AF23CD"/>
    <w:rsid w:val="00AF4C1A"/>
    <w:rsid w:val="00B05F4C"/>
    <w:rsid w:val="00B22617"/>
    <w:rsid w:val="00B228C2"/>
    <w:rsid w:val="00B33D34"/>
    <w:rsid w:val="00B449FA"/>
    <w:rsid w:val="00B53D2A"/>
    <w:rsid w:val="00B62AE3"/>
    <w:rsid w:val="00B73518"/>
    <w:rsid w:val="00B77D6A"/>
    <w:rsid w:val="00B96C75"/>
    <w:rsid w:val="00BA43C5"/>
    <w:rsid w:val="00BA55F1"/>
    <w:rsid w:val="00BD138E"/>
    <w:rsid w:val="00BE5414"/>
    <w:rsid w:val="00BE5624"/>
    <w:rsid w:val="00BF6170"/>
    <w:rsid w:val="00C13DBE"/>
    <w:rsid w:val="00C316D4"/>
    <w:rsid w:val="00C4738F"/>
    <w:rsid w:val="00C51D25"/>
    <w:rsid w:val="00C52A2A"/>
    <w:rsid w:val="00C5641A"/>
    <w:rsid w:val="00C629C4"/>
    <w:rsid w:val="00C76200"/>
    <w:rsid w:val="00C81DF1"/>
    <w:rsid w:val="00C907F7"/>
    <w:rsid w:val="00C918DA"/>
    <w:rsid w:val="00C94681"/>
    <w:rsid w:val="00C94BE2"/>
    <w:rsid w:val="00CA4EE6"/>
    <w:rsid w:val="00CB033B"/>
    <w:rsid w:val="00CC295E"/>
    <w:rsid w:val="00CE3F44"/>
    <w:rsid w:val="00D02A30"/>
    <w:rsid w:val="00D05C2C"/>
    <w:rsid w:val="00D15DAA"/>
    <w:rsid w:val="00D16686"/>
    <w:rsid w:val="00D344DC"/>
    <w:rsid w:val="00D41DE3"/>
    <w:rsid w:val="00D434A7"/>
    <w:rsid w:val="00D703D7"/>
    <w:rsid w:val="00D70D83"/>
    <w:rsid w:val="00D71A87"/>
    <w:rsid w:val="00D76442"/>
    <w:rsid w:val="00D77641"/>
    <w:rsid w:val="00D84A22"/>
    <w:rsid w:val="00DB4C6A"/>
    <w:rsid w:val="00DE0CAE"/>
    <w:rsid w:val="00DE46C0"/>
    <w:rsid w:val="00DF084F"/>
    <w:rsid w:val="00DF393A"/>
    <w:rsid w:val="00E014AB"/>
    <w:rsid w:val="00E1437D"/>
    <w:rsid w:val="00E23209"/>
    <w:rsid w:val="00E41C33"/>
    <w:rsid w:val="00E8338C"/>
    <w:rsid w:val="00E937A1"/>
    <w:rsid w:val="00EA0525"/>
    <w:rsid w:val="00EA1AA6"/>
    <w:rsid w:val="00EB23EB"/>
    <w:rsid w:val="00ED62E4"/>
    <w:rsid w:val="00ED6AB7"/>
    <w:rsid w:val="00EF0C4C"/>
    <w:rsid w:val="00EF7313"/>
    <w:rsid w:val="00F01776"/>
    <w:rsid w:val="00F12E04"/>
    <w:rsid w:val="00F16A11"/>
    <w:rsid w:val="00F17917"/>
    <w:rsid w:val="00F45323"/>
    <w:rsid w:val="00F51B05"/>
    <w:rsid w:val="00F6060A"/>
    <w:rsid w:val="00F80466"/>
    <w:rsid w:val="00F97655"/>
    <w:rsid w:val="00FA25A4"/>
    <w:rsid w:val="00FB5CEC"/>
    <w:rsid w:val="00FC32EB"/>
    <w:rsid w:val="00FD144C"/>
    <w:rsid w:val="079D1DB9"/>
    <w:rsid w:val="11AD1687"/>
    <w:rsid w:val="1A137B29"/>
    <w:rsid w:val="517A4DF5"/>
    <w:rsid w:val="54924DEF"/>
    <w:rsid w:val="6ABD207E"/>
    <w:rsid w:val="71C47F52"/>
    <w:rsid w:val="722A0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50" w:beforeLines="50" w:line="360" w:lineRule="auto"/>
      <w:ind w:firstLine="200" w:firstLineChars="200"/>
      <w:jc w:val="both"/>
    </w:pPr>
    <w:rPr>
      <w:rFonts w:ascii="Times New Roman" w:hAnsi="Times New Roman" w:eastAsia="SimSun" w:cstheme="minorBidi"/>
      <w:kern w:val="2"/>
      <w:sz w:val="24"/>
      <w:szCs w:val="22"/>
      <w:lang w:val="en-US" w:eastAsia="zh-CN" w:bidi="ar-SA"/>
    </w:rPr>
  </w:style>
  <w:style w:type="paragraph" w:styleId="4">
    <w:name w:val="heading 1"/>
    <w:basedOn w:val="1"/>
    <w:next w:val="1"/>
    <w:link w:val="30"/>
    <w:qFormat/>
    <w:uiPriority w:val="0"/>
    <w:pPr>
      <w:keepNext/>
      <w:keepLines/>
      <w:numPr>
        <w:ilvl w:val="0"/>
        <w:numId w:val="1"/>
      </w:numPr>
      <w:spacing w:before="156" w:after="330" w:line="578" w:lineRule="auto"/>
      <w:ind w:firstLineChars="0"/>
      <w:outlineLvl w:val="0"/>
    </w:pPr>
    <w:rPr>
      <w:b/>
      <w:bCs/>
      <w:kern w:val="44"/>
      <w:sz w:val="32"/>
      <w:szCs w:val="32"/>
    </w:rPr>
  </w:style>
  <w:style w:type="paragraph" w:styleId="5">
    <w:name w:val="heading 2"/>
    <w:basedOn w:val="1"/>
    <w:next w:val="1"/>
    <w:link w:val="32"/>
    <w:unhideWhenUsed/>
    <w:qFormat/>
    <w:uiPriority w:val="0"/>
    <w:pPr>
      <w:keepNext/>
      <w:keepLines/>
      <w:numPr>
        <w:ilvl w:val="1"/>
        <w:numId w:val="1"/>
      </w:numPr>
      <w:spacing w:before="156" w:after="260" w:line="416" w:lineRule="auto"/>
      <w:ind w:firstLineChars="0"/>
      <w:outlineLvl w:val="1"/>
    </w:pPr>
    <w:rPr>
      <w:rFonts w:ascii="SimSun" w:hAnsi="SimSun" w:cstheme="majorBidi"/>
      <w:b/>
      <w:bCs/>
      <w:sz w:val="30"/>
      <w:szCs w:val="30"/>
    </w:rPr>
  </w:style>
  <w:style w:type="paragraph" w:styleId="6">
    <w:name w:val="heading 3"/>
    <w:basedOn w:val="1"/>
    <w:next w:val="1"/>
    <w:link w:val="49"/>
    <w:unhideWhenUsed/>
    <w:qFormat/>
    <w:uiPriority w:val="9"/>
    <w:pPr>
      <w:keepNext/>
      <w:keepLines/>
      <w:numPr>
        <w:ilvl w:val="2"/>
        <w:numId w:val="1"/>
      </w:numPr>
      <w:spacing w:before="156" w:after="260" w:line="416" w:lineRule="auto"/>
      <w:ind w:firstLine="0" w:firstLineChars="0"/>
      <w:outlineLvl w:val="2"/>
    </w:pPr>
    <w:rPr>
      <w:b/>
      <w:bCs/>
      <w:sz w:val="28"/>
      <w:szCs w:val="28"/>
    </w:rPr>
  </w:style>
  <w:style w:type="paragraph" w:styleId="7">
    <w:name w:val="heading 4"/>
    <w:basedOn w:val="1"/>
    <w:next w:val="1"/>
    <w:link w:val="34"/>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35"/>
    <w:unhideWhenUsed/>
    <w:qFormat/>
    <w:uiPriority w:val="0"/>
    <w:pPr>
      <w:keepNext/>
      <w:keepLines/>
      <w:numPr>
        <w:ilvl w:val="4"/>
        <w:numId w:val="1"/>
      </w:numPr>
      <w:spacing w:before="280" w:after="290" w:line="376" w:lineRule="auto"/>
      <w:outlineLvl w:val="4"/>
    </w:pPr>
    <w:rPr>
      <w:b/>
      <w:bCs/>
      <w:sz w:val="28"/>
      <w:szCs w:val="28"/>
    </w:rPr>
  </w:style>
  <w:style w:type="paragraph" w:styleId="9">
    <w:name w:val="heading 6"/>
    <w:basedOn w:val="1"/>
    <w:next w:val="1"/>
    <w:link w:val="36"/>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Cs w:val="24"/>
    </w:rPr>
  </w:style>
  <w:style w:type="paragraph" w:styleId="10">
    <w:name w:val="heading 7"/>
    <w:basedOn w:val="1"/>
    <w:next w:val="1"/>
    <w:link w:val="37"/>
    <w:unhideWhenUsed/>
    <w:qFormat/>
    <w:uiPriority w:val="0"/>
    <w:pPr>
      <w:keepNext/>
      <w:keepLines/>
      <w:numPr>
        <w:ilvl w:val="6"/>
        <w:numId w:val="1"/>
      </w:numPr>
      <w:spacing w:before="240" w:after="64" w:line="320" w:lineRule="auto"/>
      <w:outlineLvl w:val="6"/>
    </w:pPr>
    <w:rPr>
      <w:b/>
      <w:bCs/>
      <w:szCs w:val="24"/>
    </w:rPr>
  </w:style>
  <w:style w:type="paragraph" w:styleId="11">
    <w:name w:val="heading 8"/>
    <w:basedOn w:val="1"/>
    <w:next w:val="1"/>
    <w:link w:val="38"/>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Cs w:val="24"/>
    </w:rPr>
  </w:style>
  <w:style w:type="paragraph" w:styleId="12">
    <w:name w:val="heading 9"/>
    <w:basedOn w:val="1"/>
    <w:next w:val="1"/>
    <w:link w:val="39"/>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 w:val="21"/>
      <w:szCs w:val="21"/>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val="0"/>
      <w:spacing w:after="120"/>
      <w:ind w:left="420" w:leftChars="200" w:firstLine="420" w:firstLineChars="200"/>
      <w:jc w:val="both"/>
    </w:pPr>
    <w:rPr>
      <w:rFonts w:ascii="Calibri" w:hAnsi="Calibri" w:eastAsia="SimSun" w:cs="Times New Roman"/>
      <w:kern w:val="2"/>
      <w:sz w:val="21"/>
      <w:szCs w:val="24"/>
      <w:lang w:val="en-US" w:eastAsia="zh-CN" w:bidi="ar-SA"/>
    </w:rPr>
  </w:style>
  <w:style w:type="paragraph" w:styleId="3">
    <w:name w:val="Body Text Indent"/>
    <w:basedOn w:val="1"/>
    <w:qFormat/>
    <w:uiPriority w:val="0"/>
    <w:pPr>
      <w:widowControl w:val="0"/>
      <w:spacing w:after="120"/>
      <w:ind w:left="420" w:leftChars="200"/>
      <w:jc w:val="both"/>
    </w:pPr>
    <w:rPr>
      <w:rFonts w:ascii="Calibri" w:hAnsi="Calibri" w:eastAsia="SimSun" w:cs="Times New Roman"/>
      <w:kern w:val="2"/>
      <w:sz w:val="21"/>
      <w:szCs w:val="24"/>
      <w:lang w:val="en-US" w:eastAsia="zh-CN" w:bidi="ar-SA"/>
    </w:rPr>
  </w:style>
  <w:style w:type="paragraph" w:styleId="13">
    <w:name w:val="caption"/>
    <w:basedOn w:val="1"/>
    <w:next w:val="1"/>
    <w:unhideWhenUsed/>
    <w:qFormat/>
    <w:uiPriority w:val="35"/>
    <w:pPr>
      <w:spacing w:before="0" w:beforeLines="0" w:line="240" w:lineRule="auto"/>
      <w:ind w:firstLine="0" w:firstLineChars="0"/>
    </w:pPr>
    <w:rPr>
      <w:rFonts w:eastAsia="SimHei" w:asciiTheme="majorHAnsi" w:hAnsiTheme="majorHAnsi" w:cstheme="majorBidi"/>
      <w:sz w:val="20"/>
      <w:szCs w:val="20"/>
    </w:rPr>
  </w:style>
  <w:style w:type="paragraph" w:styleId="14">
    <w:name w:val="annotation text"/>
    <w:basedOn w:val="1"/>
    <w:link w:val="43"/>
    <w:unhideWhenUsed/>
    <w:qFormat/>
    <w:uiPriority w:val="99"/>
    <w:pPr>
      <w:jc w:val="left"/>
    </w:pPr>
  </w:style>
  <w:style w:type="paragraph" w:styleId="15">
    <w:name w:val="toc 3"/>
    <w:basedOn w:val="1"/>
    <w:next w:val="1"/>
    <w:unhideWhenUsed/>
    <w:qFormat/>
    <w:uiPriority w:val="39"/>
    <w:pPr>
      <w:spacing w:before="0" w:beforeLines="0"/>
      <w:ind w:left="400" w:leftChars="400" w:firstLine="0" w:firstLineChars="0"/>
    </w:pPr>
    <w:rPr>
      <w:sz w:val="21"/>
    </w:rPr>
  </w:style>
  <w:style w:type="paragraph" w:styleId="16">
    <w:name w:val="Balloon Text"/>
    <w:basedOn w:val="1"/>
    <w:link w:val="42"/>
    <w:semiHidden/>
    <w:unhideWhenUsed/>
    <w:qFormat/>
    <w:uiPriority w:val="99"/>
    <w:pPr>
      <w:spacing w:before="0" w:line="240" w:lineRule="auto"/>
    </w:pPr>
    <w:rPr>
      <w:sz w:val="18"/>
      <w:szCs w:val="18"/>
    </w:rPr>
  </w:style>
  <w:style w:type="paragraph" w:styleId="17">
    <w:name w:val="footer"/>
    <w:basedOn w:val="1"/>
    <w:link w:val="29"/>
    <w:unhideWhenUsed/>
    <w:qFormat/>
    <w:uiPriority w:val="99"/>
    <w:pPr>
      <w:tabs>
        <w:tab w:val="center" w:pos="4153"/>
        <w:tab w:val="right" w:pos="8306"/>
      </w:tabs>
      <w:snapToGrid w:val="0"/>
      <w:jc w:val="left"/>
    </w:pPr>
    <w:rPr>
      <w:sz w:val="18"/>
      <w:szCs w:val="18"/>
    </w:rPr>
  </w:style>
  <w:style w:type="paragraph" w:styleId="18">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tabs>
        <w:tab w:val="left" w:pos="567"/>
        <w:tab w:val="right" w:leader="dot" w:pos="8296"/>
      </w:tabs>
      <w:spacing w:before="0" w:beforeLines="0"/>
      <w:ind w:firstLine="0" w:firstLineChars="0"/>
      <w:jc w:val="left"/>
    </w:pPr>
    <w:rPr>
      <w:b/>
      <w:sz w:val="21"/>
    </w:rPr>
  </w:style>
  <w:style w:type="paragraph" w:styleId="20">
    <w:name w:val="toc 2"/>
    <w:basedOn w:val="1"/>
    <w:next w:val="1"/>
    <w:unhideWhenUsed/>
    <w:qFormat/>
    <w:uiPriority w:val="39"/>
    <w:pPr>
      <w:spacing w:before="0" w:beforeLines="0"/>
      <w:ind w:left="200" w:leftChars="200" w:firstLine="0" w:firstLineChars="0"/>
    </w:pPr>
    <w:rPr>
      <w:sz w:val="21"/>
    </w:rPr>
  </w:style>
  <w:style w:type="paragraph" w:styleId="21">
    <w:name w:val="annotation subject"/>
    <w:basedOn w:val="14"/>
    <w:next w:val="14"/>
    <w:link w:val="44"/>
    <w:semiHidden/>
    <w:unhideWhenUsed/>
    <w:qFormat/>
    <w:uiPriority w:val="99"/>
    <w:rPr>
      <w:b/>
      <w:bCs/>
    </w:rPr>
  </w:style>
  <w:style w:type="table" w:styleId="23">
    <w:name w:val="Table Grid"/>
    <w:basedOn w:val="22"/>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Emphasis"/>
    <w:basedOn w:val="24"/>
    <w:qFormat/>
    <w:uiPriority w:val="20"/>
    <w:rPr>
      <w:i/>
      <w:iCs/>
    </w:rPr>
  </w:style>
  <w:style w:type="character" w:styleId="26">
    <w:name w:val="Hyperlink"/>
    <w:basedOn w:val="24"/>
    <w:unhideWhenUsed/>
    <w:qFormat/>
    <w:uiPriority w:val="99"/>
    <w:rPr>
      <w:color w:val="0563C1" w:themeColor="hyperlink"/>
      <w:u w:val="single"/>
      <w14:textFill>
        <w14:solidFill>
          <w14:schemeClr w14:val="hlink"/>
        </w14:solidFill>
      </w14:textFill>
    </w:rPr>
  </w:style>
  <w:style w:type="character" w:styleId="27">
    <w:name w:val="annotation reference"/>
    <w:basedOn w:val="24"/>
    <w:semiHidden/>
    <w:unhideWhenUsed/>
    <w:qFormat/>
    <w:uiPriority w:val="99"/>
    <w:rPr>
      <w:sz w:val="21"/>
      <w:szCs w:val="21"/>
    </w:rPr>
  </w:style>
  <w:style w:type="character" w:customStyle="1" w:styleId="28">
    <w:name w:val="页眉 字符"/>
    <w:basedOn w:val="24"/>
    <w:link w:val="18"/>
    <w:qFormat/>
    <w:uiPriority w:val="99"/>
    <w:rPr>
      <w:sz w:val="18"/>
      <w:szCs w:val="18"/>
    </w:rPr>
  </w:style>
  <w:style w:type="character" w:customStyle="1" w:styleId="29">
    <w:name w:val="页脚 字符"/>
    <w:basedOn w:val="24"/>
    <w:link w:val="17"/>
    <w:qFormat/>
    <w:uiPriority w:val="99"/>
    <w:rPr>
      <w:sz w:val="18"/>
      <w:szCs w:val="18"/>
    </w:rPr>
  </w:style>
  <w:style w:type="character" w:customStyle="1" w:styleId="30">
    <w:name w:val="标题 1 字符"/>
    <w:basedOn w:val="24"/>
    <w:link w:val="4"/>
    <w:qFormat/>
    <w:uiPriority w:val="0"/>
    <w:rPr>
      <w:rFonts w:ascii="Times New Roman" w:hAnsi="Times New Roman" w:eastAsia="SimSun"/>
      <w:b/>
      <w:bCs/>
      <w:kern w:val="44"/>
      <w:sz w:val="32"/>
      <w:szCs w:val="32"/>
    </w:rPr>
  </w:style>
  <w:style w:type="paragraph" w:customStyle="1" w:styleId="31">
    <w:name w:val="TOC Heading"/>
    <w:basedOn w:val="4"/>
    <w:next w:val="1"/>
    <w:unhideWhenUsed/>
    <w:qFormat/>
    <w:uiPriority w:val="39"/>
    <w:pPr>
      <w:widowControl/>
      <w:spacing w:before="240" w:beforeLines="0" w:after="0" w:line="259" w:lineRule="auto"/>
      <w:jc w:val="left"/>
      <w:outlineLvl w:val="9"/>
    </w:pPr>
    <w:rPr>
      <w:rFonts w:asciiTheme="majorHAnsi" w:hAnsiTheme="majorHAnsi" w:eastAsiaTheme="majorEastAsia" w:cstheme="majorBidi"/>
      <w:b w:val="0"/>
      <w:bCs w:val="0"/>
      <w:color w:val="2F5597" w:themeColor="accent1" w:themeShade="BF"/>
      <w:kern w:val="0"/>
    </w:rPr>
  </w:style>
  <w:style w:type="character" w:customStyle="1" w:styleId="32">
    <w:name w:val="标题 2 字符"/>
    <w:basedOn w:val="24"/>
    <w:link w:val="5"/>
    <w:qFormat/>
    <w:uiPriority w:val="0"/>
    <w:rPr>
      <w:rFonts w:ascii="SimSun" w:hAnsi="SimSun" w:eastAsia="SimSun" w:cstheme="majorBidi"/>
      <w:b/>
      <w:bCs/>
      <w:sz w:val="30"/>
      <w:szCs w:val="30"/>
    </w:rPr>
  </w:style>
  <w:style w:type="character" w:customStyle="1" w:styleId="33">
    <w:name w:val="标题 3 字符"/>
    <w:basedOn w:val="24"/>
    <w:link w:val="6"/>
    <w:qFormat/>
    <w:uiPriority w:val="9"/>
    <w:rPr>
      <w:rFonts w:ascii="Times New Roman" w:hAnsi="Times New Roman" w:eastAsia="SimSun"/>
      <w:b/>
      <w:bCs/>
      <w:sz w:val="28"/>
      <w:szCs w:val="28"/>
    </w:rPr>
  </w:style>
  <w:style w:type="character" w:customStyle="1" w:styleId="34">
    <w:name w:val="标题 4 字符"/>
    <w:basedOn w:val="24"/>
    <w:link w:val="7"/>
    <w:qFormat/>
    <w:uiPriority w:val="9"/>
    <w:rPr>
      <w:rFonts w:asciiTheme="majorHAnsi" w:hAnsiTheme="majorHAnsi" w:eastAsiaTheme="majorEastAsia" w:cstheme="majorBidi"/>
      <w:b/>
      <w:bCs/>
      <w:sz w:val="28"/>
      <w:szCs w:val="28"/>
    </w:rPr>
  </w:style>
  <w:style w:type="character" w:customStyle="1" w:styleId="35">
    <w:name w:val="标题 5 字符"/>
    <w:basedOn w:val="24"/>
    <w:link w:val="8"/>
    <w:qFormat/>
    <w:uiPriority w:val="0"/>
    <w:rPr>
      <w:rFonts w:ascii="Times New Roman" w:hAnsi="Times New Roman" w:eastAsia="SimSun"/>
      <w:b/>
      <w:bCs/>
      <w:sz w:val="28"/>
      <w:szCs w:val="28"/>
    </w:rPr>
  </w:style>
  <w:style w:type="character" w:customStyle="1" w:styleId="36">
    <w:name w:val="标题 6 字符"/>
    <w:basedOn w:val="24"/>
    <w:link w:val="9"/>
    <w:qFormat/>
    <w:uiPriority w:val="0"/>
    <w:rPr>
      <w:rFonts w:asciiTheme="majorHAnsi" w:hAnsiTheme="majorHAnsi" w:eastAsiaTheme="majorEastAsia" w:cstheme="majorBidi"/>
      <w:b/>
      <w:bCs/>
      <w:sz w:val="24"/>
      <w:szCs w:val="24"/>
    </w:rPr>
  </w:style>
  <w:style w:type="character" w:customStyle="1" w:styleId="37">
    <w:name w:val="标题 7 字符"/>
    <w:basedOn w:val="24"/>
    <w:link w:val="10"/>
    <w:qFormat/>
    <w:uiPriority w:val="0"/>
    <w:rPr>
      <w:rFonts w:ascii="Times New Roman" w:hAnsi="Times New Roman" w:eastAsia="SimSun"/>
      <w:b/>
      <w:bCs/>
      <w:sz w:val="24"/>
      <w:szCs w:val="24"/>
    </w:rPr>
  </w:style>
  <w:style w:type="character" w:customStyle="1" w:styleId="38">
    <w:name w:val="标题 8 字符"/>
    <w:basedOn w:val="24"/>
    <w:link w:val="11"/>
    <w:qFormat/>
    <w:uiPriority w:val="0"/>
    <w:rPr>
      <w:rFonts w:asciiTheme="majorHAnsi" w:hAnsiTheme="majorHAnsi" w:eastAsiaTheme="majorEastAsia" w:cstheme="majorBidi"/>
      <w:sz w:val="24"/>
      <w:szCs w:val="24"/>
    </w:rPr>
  </w:style>
  <w:style w:type="character" w:customStyle="1" w:styleId="39">
    <w:name w:val="标题 9 字符"/>
    <w:basedOn w:val="24"/>
    <w:link w:val="12"/>
    <w:qFormat/>
    <w:uiPriority w:val="0"/>
    <w:rPr>
      <w:rFonts w:asciiTheme="majorHAnsi" w:hAnsiTheme="majorHAnsi" w:eastAsiaTheme="majorEastAsia" w:cstheme="majorBidi"/>
      <w:szCs w:val="21"/>
    </w:rPr>
  </w:style>
  <w:style w:type="paragraph" w:styleId="40">
    <w:name w:val="List Paragraph"/>
    <w:basedOn w:val="1"/>
    <w:link w:val="41"/>
    <w:qFormat/>
    <w:uiPriority w:val="34"/>
    <w:pPr>
      <w:ind w:firstLine="420"/>
    </w:pPr>
  </w:style>
  <w:style w:type="character" w:customStyle="1" w:styleId="41">
    <w:name w:val="列出段落 字符"/>
    <w:link w:val="40"/>
    <w:qFormat/>
    <w:uiPriority w:val="34"/>
    <w:rPr>
      <w:rFonts w:ascii="Times New Roman" w:hAnsi="Times New Roman" w:eastAsia="SimSun"/>
      <w:sz w:val="24"/>
    </w:rPr>
  </w:style>
  <w:style w:type="character" w:customStyle="1" w:styleId="42">
    <w:name w:val="批注框文本 字符"/>
    <w:basedOn w:val="24"/>
    <w:link w:val="16"/>
    <w:semiHidden/>
    <w:qFormat/>
    <w:uiPriority w:val="99"/>
    <w:rPr>
      <w:rFonts w:ascii="Times New Roman" w:hAnsi="Times New Roman" w:eastAsia="SimSun"/>
      <w:sz w:val="18"/>
      <w:szCs w:val="18"/>
    </w:rPr>
  </w:style>
  <w:style w:type="character" w:customStyle="1" w:styleId="43">
    <w:name w:val="批注文字 字符"/>
    <w:basedOn w:val="24"/>
    <w:link w:val="14"/>
    <w:qFormat/>
    <w:uiPriority w:val="99"/>
    <w:rPr>
      <w:rFonts w:ascii="Times New Roman" w:hAnsi="Times New Roman" w:eastAsia="SimSun"/>
      <w:sz w:val="24"/>
    </w:rPr>
  </w:style>
  <w:style w:type="character" w:customStyle="1" w:styleId="44">
    <w:name w:val="批注主题 字符"/>
    <w:basedOn w:val="43"/>
    <w:link w:val="21"/>
    <w:semiHidden/>
    <w:qFormat/>
    <w:uiPriority w:val="99"/>
    <w:rPr>
      <w:rFonts w:ascii="Times New Roman" w:hAnsi="Times New Roman" w:eastAsia="SimSun"/>
      <w:b/>
      <w:bCs/>
      <w:sz w:val="24"/>
    </w:rPr>
  </w:style>
  <w:style w:type="character" w:customStyle="1" w:styleId="45">
    <w:name w:val="Unresolved Mention"/>
    <w:basedOn w:val="24"/>
    <w:semiHidden/>
    <w:unhideWhenUsed/>
    <w:qFormat/>
    <w:uiPriority w:val="99"/>
    <w:rPr>
      <w:color w:val="808080"/>
      <w:shd w:val="clear" w:color="auto" w:fill="E6E6E6"/>
    </w:rPr>
  </w:style>
  <w:style w:type="paragraph" w:customStyle="1" w:styleId="46">
    <w:name w:val="样式1 程继雄"/>
    <w:basedOn w:val="1"/>
    <w:qFormat/>
    <w:uiPriority w:val="0"/>
    <w:pPr>
      <w:adjustRightInd w:val="0"/>
      <w:snapToGrid w:val="0"/>
      <w:spacing w:before="0" w:beforeLines="0" w:line="365" w:lineRule="auto"/>
      <w:ind w:firstLine="600"/>
    </w:pPr>
    <w:rPr>
      <w:rFonts w:ascii="仿宋_GB2312" w:hAnsi="SimHei" w:eastAsia="仿宋_GB2312" w:cs="Times New Roman"/>
      <w:kern w:val="0"/>
      <w:sz w:val="30"/>
      <w:szCs w:val="21"/>
    </w:rPr>
  </w:style>
  <w:style w:type="character" w:customStyle="1" w:styleId="47">
    <w:name w:val="朝阳教委申报正文 Char Char"/>
    <w:link w:val="48"/>
    <w:qFormat/>
    <w:uiPriority w:val="0"/>
    <w:rPr>
      <w:rFonts w:ascii="SimSun" w:hAnsi="SimSun"/>
      <w:color w:val="000000"/>
      <w:sz w:val="24"/>
    </w:rPr>
  </w:style>
  <w:style w:type="paragraph" w:customStyle="1" w:styleId="48">
    <w:name w:val="朝阳教委申报正文"/>
    <w:basedOn w:val="1"/>
    <w:link w:val="47"/>
    <w:qFormat/>
    <w:uiPriority w:val="0"/>
    <w:pPr>
      <w:spacing w:before="0" w:beforeLines="0"/>
      <w:ind w:firstLine="482" w:firstLineChars="0"/>
    </w:pPr>
    <w:rPr>
      <w:rFonts w:ascii="SimSun" w:hAnsi="SimSun" w:eastAsiaTheme="minorEastAsia"/>
      <w:color w:val="000000"/>
    </w:rPr>
  </w:style>
  <w:style w:type="character" w:customStyle="1" w:styleId="49">
    <w:name w:val="标题 3 Char"/>
    <w:link w:val="6"/>
    <w:qFormat/>
    <w:uiPriority w:val="9"/>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4CC5BE-0509-4AD8-8DCA-92BFB4450A5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742</Words>
  <Characters>4230</Characters>
  <Lines>35</Lines>
  <Paragraphs>9</Paragraphs>
  <TotalTime>0</TotalTime>
  <ScaleCrop>false</ScaleCrop>
  <LinksUpToDate>false</LinksUpToDate>
  <CharactersWithSpaces>4963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2021-11-26T21:18:00Z</dcterms:created>
  <dc:creator>Administrator</dc:creator>
  <cp:lastModifiedBy>蓝齐儿</cp:lastModifiedBy>
  <cp:lastPrinted>2018-06-03T04:12:00Z</cp:lastPrinted>
  <dcterms:modified xsi:type="dcterms:W3CDTF">2022-03-25T01:46:01Z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BE60971848254D419878A4B670A4CEF8</vt:lpwstr>
  </property>
</Properties>
</file>