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84"/>
          <w:szCs w:val="84"/>
          <w:highlight w:val="none"/>
          <w:lang w:val="zh-CN"/>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84"/>
          <w:szCs w:val="84"/>
          <w:highlight w:val="none"/>
        </w:rPr>
      </w:pPr>
      <w:r>
        <w:rPr>
          <w:rFonts w:hint="eastAsia" w:asciiTheme="minorEastAsia" w:hAnsiTheme="minorEastAsia" w:eastAsiaTheme="minorEastAsia" w:cstheme="minorEastAsia"/>
          <w:b/>
          <w:bCs/>
          <w:color w:val="auto"/>
          <w:kern w:val="0"/>
          <w:sz w:val="84"/>
          <w:szCs w:val="84"/>
          <w:highlight w:val="none"/>
          <w:lang w:val="zh-CN"/>
        </w:rPr>
        <w:t>公开招标文件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36"/>
          <w:szCs w:val="36"/>
          <w:highlight w:val="none"/>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36"/>
          <w:szCs w:val="36"/>
          <w:highlight w:val="none"/>
          <w:u w:val="dotDash"/>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 w:val="36"/>
          <w:szCs w:val="36"/>
          <w:highlight w:val="none"/>
          <w:u w:val="dotDash"/>
        </w:rPr>
      </w:pP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lang w:val="zh-CN"/>
        </w:rPr>
        <w:t>采购项目编号：兰州众信公招（货物）2020-058号</w:t>
      </w:r>
    </w:p>
    <w:p>
      <w:pPr>
        <w:autoSpaceDE w:val="0"/>
        <w:autoSpaceDN w:val="0"/>
        <w:adjustRightInd w:val="0"/>
        <w:spacing w:line="360" w:lineRule="auto"/>
        <w:ind w:left="2530" w:hanging="2530" w:hangingChars="700"/>
        <w:jc w:val="left"/>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lang w:val="zh-CN"/>
        </w:rPr>
        <w:t>采购项目名称：2020年抗疫特别国债购置实验室检测设备</w:t>
      </w: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28"/>
          <w:szCs w:val="28"/>
          <w:highlight w:val="none"/>
          <w:u w:val="dashDotHeavy"/>
          <w:lang w:val="zh-CN"/>
        </w:rPr>
      </w:pPr>
      <w:r>
        <w:rPr>
          <w:rFonts w:hint="eastAsia" w:asciiTheme="minorEastAsia" w:hAnsiTheme="minorEastAsia" w:eastAsiaTheme="minorEastAsia" w:cstheme="minorEastAsia"/>
          <w:b/>
          <w:bCs/>
          <w:color w:val="auto"/>
          <w:kern w:val="0"/>
          <w:sz w:val="36"/>
          <w:szCs w:val="36"/>
          <w:highlight w:val="none"/>
          <w:lang w:val="zh-CN"/>
        </w:rPr>
        <w:t>采   购   人：西宁市疾病预防控制中心  </w:t>
      </w: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28"/>
          <w:szCs w:val="28"/>
          <w:highlight w:val="none"/>
          <w:u w:val="dashDotHeavy"/>
          <w:lang w:val="zh-CN"/>
        </w:rPr>
      </w:pP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28"/>
          <w:szCs w:val="28"/>
          <w:highlight w:val="none"/>
          <w:u w:val="dashDotHeavy"/>
          <w:lang w:val="zh-CN"/>
        </w:rPr>
      </w:pP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36"/>
          <w:szCs w:val="36"/>
          <w:highlight w:val="none"/>
        </w:rPr>
      </w:pP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36"/>
          <w:szCs w:val="36"/>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8"/>
          <w:szCs w:val="28"/>
          <w:highlight w:val="none"/>
          <w:u w:val="single"/>
          <w:lang w:val="zh-CN"/>
        </w:rPr>
      </w:pPr>
      <w:r>
        <w:rPr>
          <w:rFonts w:hint="eastAsia" w:asciiTheme="minorEastAsia" w:hAnsiTheme="minorEastAsia" w:eastAsiaTheme="minorEastAsia" w:cstheme="minorEastAsia"/>
          <w:b/>
          <w:bCs/>
          <w:color w:val="auto"/>
          <w:kern w:val="0"/>
          <w:sz w:val="36"/>
          <w:szCs w:val="36"/>
          <w:highlight w:val="none"/>
          <w:lang w:val="zh-CN"/>
        </w:rPr>
        <w:t>采购代理机构：兰州众信招标有限公司</w:t>
      </w: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28"/>
          <w:szCs w:val="28"/>
          <w:highlight w:val="none"/>
          <w:lang w:val="zh-CN"/>
        </w:rPr>
      </w:pPr>
      <w:r>
        <w:rPr>
          <w:rFonts w:hint="eastAsia" w:asciiTheme="minorEastAsia" w:hAnsiTheme="minorEastAsia" w:eastAsiaTheme="minorEastAsia" w:cstheme="minorEastAsia"/>
          <w:b/>
          <w:bCs/>
          <w:color w:val="auto"/>
          <w:kern w:val="0"/>
          <w:sz w:val="28"/>
          <w:szCs w:val="28"/>
          <w:highlight w:val="none"/>
          <w:lang w:val="zh-CN"/>
        </w:rPr>
        <w:t>20</w:t>
      </w:r>
      <w:r>
        <w:rPr>
          <w:rFonts w:hint="eastAsia" w:asciiTheme="minorEastAsia" w:hAnsiTheme="minorEastAsia" w:eastAsiaTheme="minorEastAsia" w:cstheme="minorEastAsia"/>
          <w:b/>
          <w:bCs/>
          <w:color w:val="auto"/>
          <w:kern w:val="0"/>
          <w:sz w:val="28"/>
          <w:szCs w:val="28"/>
          <w:highlight w:val="none"/>
          <w:lang w:val="en-US" w:eastAsia="zh-CN"/>
        </w:rPr>
        <w:t>20</w:t>
      </w:r>
      <w:r>
        <w:rPr>
          <w:rFonts w:hint="eastAsia" w:asciiTheme="minorEastAsia" w:hAnsiTheme="minorEastAsia" w:eastAsiaTheme="minorEastAsia" w:cstheme="minorEastAsia"/>
          <w:b/>
          <w:bCs/>
          <w:color w:val="auto"/>
          <w:kern w:val="0"/>
          <w:sz w:val="28"/>
          <w:szCs w:val="28"/>
          <w:highlight w:val="none"/>
          <w:lang w:val="zh-CN"/>
        </w:rPr>
        <w:t>年</w:t>
      </w:r>
      <w:r>
        <w:rPr>
          <w:rFonts w:hint="eastAsia" w:asciiTheme="minorEastAsia" w:hAnsiTheme="minorEastAsia" w:eastAsiaTheme="minorEastAsia" w:cstheme="minorEastAsia"/>
          <w:b/>
          <w:bCs/>
          <w:color w:val="auto"/>
          <w:kern w:val="0"/>
          <w:sz w:val="28"/>
          <w:szCs w:val="28"/>
          <w:highlight w:val="none"/>
        </w:rPr>
        <w:t>10</w:t>
      </w:r>
      <w:r>
        <w:rPr>
          <w:rFonts w:hint="eastAsia" w:asciiTheme="minorEastAsia" w:hAnsiTheme="minorEastAsia" w:eastAsiaTheme="minorEastAsia" w:cstheme="minorEastAsia"/>
          <w:b/>
          <w:bCs/>
          <w:color w:val="auto"/>
          <w:kern w:val="0"/>
          <w:sz w:val="28"/>
          <w:szCs w:val="28"/>
          <w:highlight w:val="none"/>
          <w:lang w:val="zh-CN"/>
        </w:rPr>
        <w:t>月</w:t>
      </w:r>
    </w:p>
    <w:p>
      <w:pPr>
        <w:autoSpaceDE w:val="0"/>
        <w:autoSpaceDN w:val="0"/>
        <w:adjustRightInd w:val="0"/>
        <w:spacing w:line="360" w:lineRule="auto"/>
        <w:rPr>
          <w:rFonts w:hint="eastAsia" w:asciiTheme="minorEastAsia" w:hAnsiTheme="minorEastAsia" w:eastAsiaTheme="minorEastAsia" w:cstheme="minorEastAsia"/>
          <w:color w:val="auto"/>
          <w:kern w:val="0"/>
          <w:sz w:val="36"/>
          <w:szCs w:val="36"/>
          <w:highlight w:val="none"/>
        </w:rPr>
      </w:pPr>
    </w:p>
    <w:p>
      <w:pPr>
        <w:adjustRightInd w:val="0"/>
        <w:spacing w:line="360" w:lineRule="auto"/>
        <w:jc w:val="center"/>
        <w:textAlignment w:val="baseline"/>
        <w:rPr>
          <w:rFonts w:hint="eastAsia" w:asciiTheme="minorEastAsia" w:hAnsiTheme="minorEastAsia" w:eastAsiaTheme="minorEastAsia" w:cstheme="minorEastAsia"/>
          <w:b/>
          <w:color w:val="auto"/>
          <w:sz w:val="40"/>
          <w:szCs w:val="30"/>
          <w:highlight w:val="none"/>
        </w:rPr>
      </w:pPr>
      <w:r>
        <w:rPr>
          <w:rFonts w:hint="eastAsia" w:asciiTheme="minorEastAsia" w:hAnsiTheme="minorEastAsia" w:eastAsiaTheme="minorEastAsia" w:cstheme="minorEastAsia"/>
          <w:b/>
          <w:color w:val="auto"/>
          <w:sz w:val="40"/>
          <w:szCs w:val="30"/>
          <w:highlight w:val="none"/>
        </w:rPr>
        <w:br w:type="page"/>
      </w:r>
      <w:r>
        <w:rPr>
          <w:rFonts w:hint="eastAsia" w:asciiTheme="minorEastAsia" w:hAnsiTheme="minorEastAsia" w:eastAsiaTheme="minorEastAsia" w:cstheme="minorEastAsia"/>
          <w:b/>
          <w:color w:val="auto"/>
          <w:sz w:val="40"/>
          <w:szCs w:val="30"/>
          <w:highlight w:val="none"/>
        </w:rPr>
        <w:t>目  录</w:t>
      </w:r>
    </w:p>
    <w:p>
      <w:pPr>
        <w:pStyle w:val="14"/>
        <w:tabs>
          <w:tab w:val="right" w:leader="dot" w:pos="8233"/>
        </w:tabs>
        <w:ind w:firstLine="480"/>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b w:val="0"/>
          <w:bCs w:val="0"/>
          <w:color w:val="auto"/>
          <w:kern w:val="0"/>
          <w:szCs w:val="24"/>
          <w:highlight w:val="none"/>
        </w:rPr>
        <w:fldChar w:fldCharType="begin"/>
      </w:r>
      <w:r>
        <w:rPr>
          <w:rStyle w:val="25"/>
          <w:rFonts w:hint="eastAsia" w:asciiTheme="minorEastAsia" w:hAnsiTheme="minorEastAsia" w:eastAsiaTheme="minorEastAsia" w:cstheme="minorEastAsia"/>
          <w:b w:val="0"/>
          <w:bCs w:val="0"/>
          <w:color w:val="auto"/>
          <w:kern w:val="0"/>
          <w:szCs w:val="24"/>
          <w:highlight w:val="none"/>
        </w:rPr>
        <w:instrText xml:space="preserve"> TOC \o "3-3" \h \z \t "标题 1,2,标题 2,3,标题,1" </w:instrText>
      </w:r>
      <w:r>
        <w:rPr>
          <w:rFonts w:hint="eastAsia" w:asciiTheme="minorEastAsia" w:hAnsiTheme="minorEastAsia" w:eastAsiaTheme="minorEastAsia" w:cstheme="minorEastAsia"/>
          <w:b w:val="0"/>
          <w:bCs w:val="0"/>
          <w:color w:val="auto"/>
          <w:kern w:val="0"/>
          <w:szCs w:val="24"/>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"_Toc515908167"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第一部分  投标邀请</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_Toc515908167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"_Toc515908168"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第二部分  投标人须知</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_Toc515908168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"_Toc515908169"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一、说明</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_Toc515908169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1.适用范围</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2.采购方式、合格的投标人</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3.投标费用</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二、招标文件说明</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4.招标文件的构成</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5.招标文件、采购活动和中标结果的质疑</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6.招标文件的澄清或修改</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9</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三、投标文件的编制</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7.投标文件的语言及度量衡单位</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"_Toc515908179"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8.投标报价及币种</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_Toc515908179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9.投标保证金</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10.投标有效期</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11</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11.投标文件构成</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12</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12.投标文件的编制要求</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13</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四、投标文件的提交</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13</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13.投标文件的密封和标记</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14.提交投标文件的时间、地点、方式</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15.投标文件的补充、修改或者撤回</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五、开标</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"_Toc515908189"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16.开标</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_Toc515908189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kern w:val="0"/>
          <w:highlight w:val="none"/>
        </w:rPr>
        <w:t>六、资格</w:t>
      </w:r>
      <w:r>
        <w:rPr>
          <w:rStyle w:val="25"/>
          <w:rFonts w:hint="eastAsia" w:asciiTheme="minorEastAsia" w:hAnsiTheme="minorEastAsia" w:eastAsiaTheme="minorEastAsia" w:cstheme="minorEastAsia"/>
          <w:b w:val="0"/>
          <w:color w:val="auto"/>
          <w:highlight w:val="none"/>
          <w:lang w:val="zh-CN"/>
        </w:rPr>
        <w:t>审查</w:t>
      </w:r>
      <w:r>
        <w:rPr>
          <w:rStyle w:val="25"/>
          <w:rFonts w:hint="eastAsia" w:asciiTheme="minorEastAsia" w:hAnsiTheme="minorEastAsia" w:eastAsiaTheme="minorEastAsia" w:cstheme="minorEastAsia"/>
          <w:b w:val="0"/>
          <w:color w:val="auto"/>
          <w:kern w:val="0"/>
          <w:highlight w:val="none"/>
        </w:rPr>
        <w:t>程序</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17.资格审查</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七、评审程序及方法</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1</w:t>
      </w:r>
      <w:r>
        <w:rPr>
          <w:rStyle w:val="25"/>
          <w:rFonts w:hint="eastAsia" w:asciiTheme="minorEastAsia" w:hAnsiTheme="minorEastAsia" w:eastAsiaTheme="minorEastAsia" w:cstheme="minorEastAsia"/>
          <w:b w:val="0"/>
          <w:color w:val="auto"/>
          <w:highlight w:val="none"/>
        </w:rPr>
        <w:t>8</w:t>
      </w:r>
      <w:r>
        <w:rPr>
          <w:rStyle w:val="25"/>
          <w:rFonts w:hint="eastAsia" w:asciiTheme="minorEastAsia" w:hAnsiTheme="minorEastAsia" w:eastAsiaTheme="minorEastAsia" w:cstheme="minorEastAsia"/>
          <w:b w:val="0"/>
          <w:color w:val="auto"/>
          <w:highlight w:val="none"/>
          <w:lang w:val="zh-CN"/>
        </w:rPr>
        <w:t>.评标委员会</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19</w:t>
      </w:r>
      <w:r>
        <w:rPr>
          <w:rStyle w:val="25"/>
          <w:rFonts w:hint="eastAsia" w:asciiTheme="minorEastAsia" w:hAnsiTheme="minorEastAsia" w:eastAsiaTheme="minorEastAsia" w:cstheme="minorEastAsia"/>
          <w:b w:val="0"/>
          <w:color w:val="auto"/>
          <w:highlight w:val="none"/>
          <w:lang w:val="zh-CN"/>
        </w:rPr>
        <w:t>.评审工</w:t>
      </w:r>
      <w:bookmarkStart w:id="0" w:name="_Hlt531003267"/>
      <w:r>
        <w:rPr>
          <w:rStyle w:val="25"/>
          <w:rFonts w:hint="eastAsia" w:asciiTheme="minorEastAsia" w:hAnsiTheme="minorEastAsia" w:eastAsiaTheme="minorEastAsia" w:cstheme="minorEastAsia"/>
          <w:b w:val="0"/>
          <w:color w:val="auto"/>
          <w:highlight w:val="none"/>
          <w:lang w:val="zh-CN"/>
        </w:rPr>
        <w:t>作</w:t>
      </w:r>
      <w:bookmarkEnd w:id="0"/>
      <w:r>
        <w:rPr>
          <w:rStyle w:val="25"/>
          <w:rFonts w:hint="eastAsia" w:asciiTheme="minorEastAsia" w:hAnsiTheme="minorEastAsia" w:eastAsiaTheme="minorEastAsia" w:cstheme="minorEastAsia"/>
          <w:b w:val="0"/>
          <w:color w:val="auto"/>
          <w:highlight w:val="none"/>
          <w:lang w:val="zh-CN"/>
        </w:rPr>
        <w:t>程序</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18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20</w:t>
      </w:r>
      <w:r>
        <w:rPr>
          <w:rStyle w:val="25"/>
          <w:rFonts w:hint="eastAsia" w:asciiTheme="minorEastAsia" w:hAnsiTheme="minorEastAsia" w:eastAsiaTheme="minorEastAsia" w:cstheme="minorEastAsia"/>
          <w:b w:val="0"/>
          <w:color w:val="auto"/>
          <w:highlight w:val="none"/>
          <w:lang w:val="zh-CN"/>
        </w:rPr>
        <w:t>.评审方法和标准</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21</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八、中标</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2</w:t>
      </w:r>
      <w:r>
        <w:rPr>
          <w:rStyle w:val="25"/>
          <w:rFonts w:hint="eastAsia" w:asciiTheme="minorEastAsia" w:hAnsiTheme="minorEastAsia" w:eastAsiaTheme="minorEastAsia" w:cstheme="minorEastAsia"/>
          <w:b w:val="0"/>
          <w:color w:val="auto"/>
          <w:highlight w:val="none"/>
        </w:rPr>
        <w:t>1</w:t>
      </w:r>
      <w:r>
        <w:rPr>
          <w:rStyle w:val="25"/>
          <w:rFonts w:hint="eastAsia" w:asciiTheme="minorEastAsia" w:hAnsiTheme="minorEastAsia" w:eastAsiaTheme="minorEastAsia" w:cstheme="minorEastAsia"/>
          <w:b w:val="0"/>
          <w:color w:val="auto"/>
          <w:highlight w:val="none"/>
          <w:lang w:val="zh-CN"/>
        </w:rPr>
        <w:t>.推荐并确定中标人</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2</w:t>
      </w:r>
      <w:r>
        <w:rPr>
          <w:rStyle w:val="25"/>
          <w:rFonts w:hint="eastAsia" w:asciiTheme="minorEastAsia" w:hAnsiTheme="minorEastAsia" w:eastAsiaTheme="minorEastAsia" w:cstheme="minorEastAsia"/>
          <w:b w:val="0"/>
          <w:color w:val="auto"/>
          <w:highlight w:val="none"/>
        </w:rPr>
        <w:t>2</w:t>
      </w:r>
      <w:r>
        <w:rPr>
          <w:rStyle w:val="25"/>
          <w:rFonts w:hint="eastAsia" w:asciiTheme="minorEastAsia" w:hAnsiTheme="minorEastAsia" w:eastAsiaTheme="minorEastAsia" w:cstheme="minorEastAsia"/>
          <w:b w:val="0"/>
          <w:color w:val="auto"/>
          <w:highlight w:val="none"/>
          <w:lang w:val="zh-CN"/>
        </w:rPr>
        <w:t>.中标通知</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"_Toc515908199"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九、授予合同</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_Toc515908199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2</w:t>
      </w:r>
      <w:r>
        <w:rPr>
          <w:rStyle w:val="25"/>
          <w:rFonts w:hint="eastAsia" w:asciiTheme="minorEastAsia" w:hAnsiTheme="minorEastAsia" w:eastAsiaTheme="minorEastAsia" w:cstheme="minorEastAsia"/>
          <w:b w:val="0"/>
          <w:color w:val="auto"/>
          <w:highlight w:val="none"/>
        </w:rPr>
        <w:t>3</w:t>
      </w:r>
      <w:r>
        <w:rPr>
          <w:rStyle w:val="25"/>
          <w:rFonts w:hint="eastAsia" w:asciiTheme="minorEastAsia" w:hAnsiTheme="minorEastAsia" w:eastAsiaTheme="minorEastAsia" w:cstheme="minorEastAsia"/>
          <w:b w:val="0"/>
          <w:color w:val="auto"/>
          <w:highlight w:val="none"/>
          <w:lang w:val="zh-CN"/>
        </w:rPr>
        <w:t>.签订合同</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十、其他</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24. 串通投标的情形</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25. 废标</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27</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26. 中标服务费</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27</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 xml:space="preserve">第三部分 </w:t>
      </w:r>
      <w:r>
        <w:rPr>
          <w:rStyle w:val="25"/>
          <w:rFonts w:hint="eastAsia" w:asciiTheme="minorEastAsia" w:hAnsiTheme="minorEastAsia" w:eastAsiaTheme="minorEastAsia" w:cstheme="minorEastAsia"/>
          <w:b w:val="0"/>
          <w:color w:val="auto"/>
          <w:highlight w:val="none"/>
        </w:rPr>
        <w:t xml:space="preserve"> </w:t>
      </w:r>
      <w:r>
        <w:rPr>
          <w:rStyle w:val="25"/>
          <w:rFonts w:hint="eastAsia" w:asciiTheme="minorEastAsia" w:hAnsiTheme="minorEastAsia" w:eastAsiaTheme="minorEastAsia" w:cstheme="minorEastAsia"/>
          <w:b w:val="0"/>
          <w:color w:val="auto"/>
          <w:highlight w:val="none"/>
          <w:lang w:val="zh-CN"/>
        </w:rPr>
        <w:t>青海省政府采购项目合同书范本</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29</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第四部分  投标文件格式</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46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封面（上册）</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46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目录（上册）</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47</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"_Toc515908209"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w:t>
      </w:r>
      <w:r>
        <w:rPr>
          <w:rStyle w:val="25"/>
          <w:rFonts w:hint="eastAsia" w:asciiTheme="minorEastAsia" w:hAnsiTheme="minorEastAsia" w:eastAsiaTheme="minorEastAsia" w:cstheme="minorEastAsia"/>
          <w:b w:val="0"/>
          <w:color w:val="auto"/>
          <w:highlight w:val="none"/>
          <w:lang w:val="zh-CN"/>
        </w:rPr>
        <w:t>投标函</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_Toc515908209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48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kern w:val="0"/>
          <w:highlight w:val="none"/>
          <w:lang w:val="zh-CN"/>
        </w:rPr>
        <w:t>（</w:t>
      </w:r>
      <w:r>
        <w:rPr>
          <w:rStyle w:val="25"/>
          <w:rFonts w:hint="eastAsia" w:asciiTheme="minorEastAsia" w:hAnsiTheme="minorEastAsia" w:eastAsiaTheme="minorEastAsia" w:cstheme="minorEastAsia"/>
          <w:b w:val="0"/>
          <w:color w:val="auto"/>
          <w:kern w:val="0"/>
          <w:highlight w:val="none"/>
        </w:rPr>
        <w:t>2</w:t>
      </w:r>
      <w:r>
        <w:rPr>
          <w:rStyle w:val="25"/>
          <w:rFonts w:hint="eastAsia" w:asciiTheme="minorEastAsia" w:hAnsiTheme="minorEastAsia" w:eastAsiaTheme="minorEastAsia" w:cstheme="minorEastAsia"/>
          <w:b w:val="0"/>
          <w:color w:val="auto"/>
          <w:kern w:val="0"/>
          <w:highlight w:val="none"/>
          <w:lang w:val="zh-CN"/>
        </w:rPr>
        <w:t>）</w:t>
      </w:r>
      <w:r>
        <w:rPr>
          <w:rStyle w:val="25"/>
          <w:rFonts w:hint="eastAsia" w:asciiTheme="minorEastAsia" w:hAnsiTheme="minorEastAsia" w:eastAsiaTheme="minorEastAsia" w:cstheme="minorEastAsia"/>
          <w:b w:val="0"/>
          <w:color w:val="auto"/>
          <w:highlight w:val="none"/>
        </w:rPr>
        <w:t>法定代表人证明书</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49</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（3）</w:t>
      </w:r>
      <w:r>
        <w:rPr>
          <w:rStyle w:val="25"/>
          <w:rFonts w:hint="eastAsia" w:asciiTheme="minorEastAsia" w:hAnsiTheme="minorEastAsia" w:eastAsiaTheme="minorEastAsia" w:cstheme="minorEastAsia"/>
          <w:b w:val="0"/>
          <w:color w:val="auto"/>
          <w:highlight w:val="none"/>
          <w:lang w:val="zh-CN"/>
        </w:rPr>
        <w:t>法定代表人授权书</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（4）</w:t>
      </w:r>
      <w:r>
        <w:rPr>
          <w:rStyle w:val="25"/>
          <w:rFonts w:hint="eastAsia" w:asciiTheme="minorEastAsia" w:hAnsiTheme="minorEastAsia" w:eastAsiaTheme="minorEastAsia" w:cstheme="minorEastAsia"/>
          <w:b w:val="0"/>
          <w:color w:val="auto"/>
          <w:highlight w:val="none"/>
          <w:lang w:val="zh-CN"/>
        </w:rPr>
        <w:t>投标人承诺函</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51</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（5）</w:t>
      </w:r>
      <w:r>
        <w:rPr>
          <w:rStyle w:val="25"/>
          <w:rFonts w:hint="eastAsia" w:asciiTheme="minorEastAsia" w:hAnsiTheme="minorEastAsia" w:eastAsiaTheme="minorEastAsia" w:cstheme="minorEastAsia"/>
          <w:b w:val="0"/>
          <w:color w:val="auto"/>
          <w:highlight w:val="none"/>
          <w:lang w:val="zh-CN"/>
        </w:rPr>
        <w:t>投标人诚信承诺书</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52</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（6）</w:t>
      </w:r>
      <w:r>
        <w:rPr>
          <w:rStyle w:val="25"/>
          <w:rFonts w:hint="eastAsia" w:asciiTheme="minorEastAsia" w:hAnsiTheme="minorEastAsia" w:eastAsiaTheme="minorEastAsia" w:cstheme="minorEastAsia"/>
          <w:b w:val="0"/>
          <w:color w:val="auto"/>
          <w:highlight w:val="none"/>
          <w:lang w:val="zh-CN"/>
        </w:rPr>
        <w:t>资格证明材料</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53</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（7）</w:t>
      </w:r>
      <w:r>
        <w:rPr>
          <w:rStyle w:val="25"/>
          <w:rFonts w:hint="eastAsia" w:asciiTheme="minorEastAsia" w:hAnsiTheme="minorEastAsia" w:eastAsiaTheme="minorEastAsia" w:cstheme="minorEastAsia"/>
          <w:b w:val="0"/>
          <w:color w:val="auto"/>
          <w:highlight w:val="none"/>
          <w:lang w:val="zh-CN"/>
        </w:rPr>
        <w:t>财务状况报告，依法缴纳税收和社会保障资金的相关材料</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（8）</w:t>
      </w:r>
      <w:r>
        <w:rPr>
          <w:rStyle w:val="25"/>
          <w:rFonts w:hint="eastAsia" w:asciiTheme="minorEastAsia" w:hAnsiTheme="minorEastAsia" w:eastAsiaTheme="minorEastAsia" w:cstheme="minorEastAsia"/>
          <w:b w:val="0"/>
          <w:color w:val="auto"/>
          <w:highlight w:val="none"/>
          <w:lang w:val="zh-CN"/>
        </w:rPr>
        <w:t>具备履行合同所必需的设备和专业技术能力的证明材料</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（9）</w:t>
      </w:r>
      <w:r>
        <w:rPr>
          <w:rStyle w:val="25"/>
          <w:rFonts w:hint="eastAsia" w:asciiTheme="minorEastAsia" w:hAnsiTheme="minorEastAsia" w:eastAsiaTheme="minorEastAsia" w:cstheme="minorEastAsia"/>
          <w:b w:val="0"/>
          <w:color w:val="auto"/>
          <w:highlight w:val="none"/>
          <w:lang w:val="zh-CN"/>
        </w:rPr>
        <w:t>无重大违法记录声明</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（10）</w:t>
      </w:r>
      <w:r>
        <w:rPr>
          <w:rStyle w:val="25"/>
          <w:rFonts w:hint="eastAsia" w:asciiTheme="minorEastAsia" w:hAnsiTheme="minorEastAsia" w:eastAsiaTheme="minorEastAsia" w:cstheme="minorEastAsia"/>
          <w:b w:val="0"/>
          <w:color w:val="auto"/>
          <w:highlight w:val="none"/>
          <w:lang w:val="zh-CN"/>
        </w:rPr>
        <w:t>投标保证金证明</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57</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"_Toc515908219"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目录（下册）</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_Toc515908219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59</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（11）</w:t>
      </w:r>
      <w:r>
        <w:rPr>
          <w:rStyle w:val="25"/>
          <w:rFonts w:hint="eastAsia" w:asciiTheme="minorEastAsia" w:hAnsiTheme="minorEastAsia" w:eastAsiaTheme="minorEastAsia" w:cstheme="minorEastAsia"/>
          <w:b w:val="0"/>
          <w:color w:val="auto"/>
          <w:highlight w:val="none"/>
          <w:lang w:val="zh-CN"/>
        </w:rPr>
        <w:t>评分对照表</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"_Toc515908221"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（12）</w:t>
      </w:r>
      <w:r>
        <w:rPr>
          <w:rStyle w:val="25"/>
          <w:rFonts w:hint="eastAsia" w:asciiTheme="minorEastAsia" w:hAnsiTheme="minorEastAsia" w:eastAsiaTheme="minorEastAsia" w:cstheme="minorEastAsia"/>
          <w:b w:val="0"/>
          <w:color w:val="auto"/>
          <w:highlight w:val="none"/>
          <w:lang w:val="zh-CN"/>
        </w:rPr>
        <w:t>开标一</w:t>
      </w:r>
      <w:bookmarkStart w:id="1" w:name="_Hlt13572591"/>
      <w:bookmarkStart w:id="2" w:name="_Hlt13572590"/>
      <w:r>
        <w:rPr>
          <w:rStyle w:val="25"/>
          <w:rFonts w:hint="eastAsia" w:asciiTheme="minorEastAsia" w:hAnsiTheme="minorEastAsia" w:eastAsiaTheme="minorEastAsia" w:cstheme="minorEastAsia"/>
          <w:b w:val="0"/>
          <w:color w:val="auto"/>
          <w:highlight w:val="none"/>
          <w:lang w:val="zh-CN"/>
        </w:rPr>
        <w:t>览</w:t>
      </w:r>
      <w:bookmarkEnd w:id="1"/>
      <w:bookmarkEnd w:id="2"/>
      <w:r>
        <w:rPr>
          <w:rStyle w:val="25"/>
          <w:rFonts w:hint="eastAsia" w:asciiTheme="minorEastAsia" w:hAnsiTheme="minorEastAsia" w:eastAsiaTheme="minorEastAsia" w:cstheme="minorEastAsia"/>
          <w:b w:val="0"/>
          <w:color w:val="auto"/>
          <w:highlight w:val="none"/>
          <w:lang w:val="zh-CN"/>
        </w:rPr>
        <w:t>表（报价表）</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_Toc515908221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61</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"_Toc515908222"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（13）</w:t>
      </w:r>
      <w:r>
        <w:rPr>
          <w:rStyle w:val="25"/>
          <w:rFonts w:hint="eastAsia" w:asciiTheme="minorEastAsia" w:hAnsiTheme="minorEastAsia" w:eastAsiaTheme="minorEastAsia" w:cstheme="minorEastAsia"/>
          <w:b w:val="0"/>
          <w:color w:val="auto"/>
          <w:highlight w:val="none"/>
          <w:lang w:val="zh-CN"/>
        </w:rPr>
        <w:t>分项报价表</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_Toc515908222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62</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"_Toc515908223"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（14）</w:t>
      </w:r>
      <w:r>
        <w:rPr>
          <w:rStyle w:val="25"/>
          <w:rFonts w:hint="eastAsia" w:asciiTheme="minorEastAsia" w:hAnsiTheme="minorEastAsia" w:eastAsiaTheme="minorEastAsia" w:cstheme="minorEastAsia"/>
          <w:b w:val="0"/>
          <w:color w:val="auto"/>
          <w:highlight w:val="none"/>
          <w:lang w:val="zh-CN"/>
        </w:rPr>
        <w:t>技术规格响应表</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_Toc515908223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63</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"_Toc515908224"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（15）</w:t>
      </w:r>
      <w:r>
        <w:rPr>
          <w:rStyle w:val="25"/>
          <w:rFonts w:hint="eastAsia" w:asciiTheme="minorEastAsia" w:hAnsiTheme="minorEastAsia" w:eastAsiaTheme="minorEastAsia" w:cstheme="minorEastAsia"/>
          <w:b w:val="0"/>
          <w:color w:val="auto"/>
          <w:highlight w:val="none"/>
          <w:lang w:val="zh-CN"/>
        </w:rPr>
        <w:t>投标产品相关资料</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_Toc515908224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64</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"_Toc515908225"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（16）</w:t>
      </w:r>
      <w:r>
        <w:rPr>
          <w:rStyle w:val="25"/>
          <w:rFonts w:hint="eastAsia" w:asciiTheme="minorEastAsia" w:hAnsiTheme="minorEastAsia" w:eastAsiaTheme="minorEastAsia" w:cstheme="minorEastAsia"/>
          <w:b w:val="0"/>
          <w:color w:val="auto"/>
          <w:highlight w:val="none"/>
          <w:lang w:val="zh-CN"/>
        </w:rPr>
        <w:t>投标人的类似业绩证明材料</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_Toc515908225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65</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"_Toc515908226"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（17.1）</w:t>
      </w:r>
      <w:r>
        <w:rPr>
          <w:rStyle w:val="25"/>
          <w:rFonts w:hint="eastAsia" w:asciiTheme="minorEastAsia" w:hAnsiTheme="minorEastAsia" w:eastAsiaTheme="minorEastAsia" w:cstheme="minorEastAsia"/>
          <w:b w:val="0"/>
          <w:color w:val="auto"/>
          <w:highlight w:val="none"/>
          <w:lang w:val="zh-CN"/>
        </w:rPr>
        <w:t>制造（生产）企业小型、微型企业声明函</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_Toc515908226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66</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"_Toc515908227"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（17.2）</w:t>
      </w:r>
      <w:r>
        <w:rPr>
          <w:rStyle w:val="25"/>
          <w:rFonts w:hint="eastAsia" w:asciiTheme="minorEastAsia" w:hAnsiTheme="minorEastAsia" w:eastAsiaTheme="minorEastAsia" w:cstheme="minorEastAsia"/>
          <w:b w:val="0"/>
          <w:color w:val="auto"/>
          <w:highlight w:val="none"/>
          <w:lang w:val="zh-CN"/>
        </w:rPr>
        <w:t>从业人员声明函</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_Toc515908227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67</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"_Toc515908228"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w:t>
      </w:r>
      <w:r>
        <w:rPr>
          <w:rStyle w:val="25"/>
          <w:rFonts w:hint="eastAsia" w:asciiTheme="minorEastAsia" w:hAnsiTheme="minorEastAsia" w:eastAsiaTheme="minorEastAsia" w:cstheme="minorEastAsia"/>
          <w:b w:val="0"/>
          <w:color w:val="auto"/>
          <w:highlight w:val="none"/>
        </w:rPr>
        <w:t>18</w:t>
      </w:r>
      <w:r>
        <w:rPr>
          <w:rStyle w:val="25"/>
          <w:rFonts w:hint="eastAsia" w:asciiTheme="minorEastAsia" w:hAnsiTheme="minorEastAsia" w:eastAsiaTheme="minorEastAsia" w:cstheme="minorEastAsia"/>
          <w:b w:val="0"/>
          <w:color w:val="auto"/>
          <w:highlight w:val="none"/>
          <w:lang w:val="zh-CN"/>
        </w:rPr>
        <w:t>）残疾人</w:t>
      </w:r>
      <w:r>
        <w:rPr>
          <w:rStyle w:val="25"/>
          <w:rFonts w:hint="eastAsia" w:asciiTheme="minorEastAsia" w:hAnsiTheme="minorEastAsia" w:eastAsiaTheme="minorEastAsia" w:cstheme="minorEastAsia"/>
          <w:b w:val="0"/>
          <w:color w:val="auto"/>
          <w:highlight w:val="none"/>
        </w:rPr>
        <w:t>福利性单位声明函</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_Toc515908228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68</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"_Toc515908229"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rPr>
        <w:t>（19）</w:t>
      </w:r>
      <w:r>
        <w:rPr>
          <w:rStyle w:val="25"/>
          <w:rFonts w:hint="eastAsia" w:asciiTheme="minorEastAsia" w:hAnsiTheme="minorEastAsia" w:eastAsiaTheme="minorEastAsia" w:cstheme="minorEastAsia"/>
          <w:b w:val="0"/>
          <w:color w:val="auto"/>
          <w:highlight w:val="none"/>
          <w:lang w:val="zh-CN"/>
        </w:rPr>
        <w:t>投标人认为在其他方面有必要说明的事项</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_Toc515908229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69</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pStyle w:val="14"/>
        <w:tabs>
          <w:tab w:val="right" w:leader="dot" w:pos="8233"/>
        </w:tabs>
        <w:ind w:firstLine="482"/>
        <w:rPr>
          <w:rFonts w:hint="eastAsia" w:asciiTheme="minorEastAsia" w:hAnsiTheme="minorEastAsia" w:eastAsiaTheme="minorEastAsia" w:cstheme="minorEastAsia"/>
          <w:b w:val="0"/>
          <w:bCs w:val="0"/>
          <w:caps w:val="0"/>
          <w:color w:val="auto"/>
          <w:sz w:val="21"/>
          <w:szCs w:val="2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"_Toc515908230" </w:instrText>
      </w:r>
      <w:r>
        <w:rPr>
          <w:rFonts w:hint="eastAsia" w:asciiTheme="minorEastAsia" w:hAnsiTheme="minorEastAsia" w:eastAsiaTheme="minorEastAsia" w:cstheme="minorEastAsia"/>
          <w:color w:val="auto"/>
          <w:highlight w:val="none"/>
        </w:rPr>
        <w:fldChar w:fldCharType="separate"/>
      </w:r>
      <w:r>
        <w:rPr>
          <w:rStyle w:val="25"/>
          <w:rFonts w:hint="eastAsia" w:asciiTheme="minorEastAsia" w:hAnsiTheme="minorEastAsia" w:eastAsiaTheme="minorEastAsia" w:cstheme="minorEastAsia"/>
          <w:b w:val="0"/>
          <w:color w:val="auto"/>
          <w:highlight w:val="none"/>
          <w:lang w:val="zh-CN"/>
        </w:rPr>
        <w:t>第五部分  采购项目要求及技术参数</w:t>
      </w:r>
      <w:r>
        <w:rPr>
          <w:rFonts w:hint="eastAsia" w:asciiTheme="minorEastAsia" w:hAnsiTheme="minorEastAsia" w:eastAsiaTheme="minorEastAsia" w:cstheme="minorEastAsia"/>
          <w:b w:val="0"/>
          <w:color w:val="auto"/>
          <w:highlight w:val="none"/>
        </w:rPr>
        <w:tab/>
      </w:r>
      <w:r>
        <w:rPr>
          <w:rFonts w:hint="eastAsia" w:asciiTheme="minorEastAsia" w:hAnsiTheme="minorEastAsia" w:eastAsiaTheme="minorEastAsia" w:cstheme="minorEastAsia"/>
          <w:b w:val="0"/>
          <w:color w:val="auto"/>
          <w:highlight w:val="none"/>
        </w:rPr>
        <w:fldChar w:fldCharType="begin"/>
      </w:r>
      <w:r>
        <w:rPr>
          <w:rFonts w:hint="eastAsia" w:asciiTheme="minorEastAsia" w:hAnsiTheme="minorEastAsia" w:eastAsiaTheme="minorEastAsia" w:cstheme="minorEastAsia"/>
          <w:b w:val="0"/>
          <w:color w:val="auto"/>
          <w:highlight w:val="none"/>
        </w:rPr>
        <w:instrText xml:space="preserve"> PAGEREF _Toc515908230 \h </w:instrText>
      </w:r>
      <w:r>
        <w:rPr>
          <w:rFonts w:hint="eastAsia" w:asciiTheme="minorEastAsia" w:hAnsiTheme="minorEastAsia" w:eastAsiaTheme="minorEastAsia" w:cstheme="minorEastAsia"/>
          <w:b w:val="0"/>
          <w:color w:val="auto"/>
          <w:highlight w:val="none"/>
        </w:rPr>
        <w:fldChar w:fldCharType="separate"/>
      </w:r>
      <w:r>
        <w:rPr>
          <w:rFonts w:hint="eastAsia" w:asciiTheme="minorEastAsia" w:hAnsiTheme="minorEastAsia" w:eastAsiaTheme="minorEastAsia" w:cstheme="minorEastAsia"/>
          <w:b w:val="0"/>
          <w:color w:val="auto"/>
          <w:highlight w:val="none"/>
        </w:rPr>
        <w:t>70</w:t>
      </w:r>
      <w:r>
        <w:rPr>
          <w:rFonts w:hint="eastAsia" w:asciiTheme="minorEastAsia" w:hAnsiTheme="minorEastAsia" w:eastAsiaTheme="minorEastAsia" w:cstheme="minorEastAsia"/>
          <w:b w:val="0"/>
          <w:color w:val="auto"/>
          <w:highlight w:val="none"/>
        </w:rPr>
        <w:fldChar w:fldCharType="end"/>
      </w:r>
      <w:r>
        <w:rPr>
          <w:rFonts w:hint="eastAsia" w:asciiTheme="minorEastAsia" w:hAnsiTheme="minorEastAsia" w:eastAsiaTheme="minorEastAsia" w:cstheme="minorEastAsia"/>
          <w:b w:val="0"/>
          <w:color w:val="auto"/>
          <w:highlight w:val="none"/>
        </w:rPr>
        <w:fldChar w:fldCharType="end"/>
      </w:r>
    </w:p>
    <w:p>
      <w:pPr>
        <w:spacing w:line="40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end"/>
      </w:r>
    </w:p>
    <w:p>
      <w:pPr>
        <w:pStyle w:val="17"/>
        <w:spacing w:before="0" w:after="0" w:line="360" w:lineRule="auto"/>
        <w:jc w:val="both"/>
        <w:rPr>
          <w:rFonts w:hint="eastAsia" w:asciiTheme="minorEastAsia" w:hAnsiTheme="minorEastAsia" w:eastAsiaTheme="minorEastAsia" w:cstheme="minorEastAsia"/>
          <w:color w:val="auto"/>
          <w:highlight w:val="none"/>
        </w:rPr>
        <w:sectPr>
          <w:headerReference r:id="rId3" w:type="default"/>
          <w:footerReference r:id="rId4" w:type="default"/>
          <w:footerReference r:id="rId5" w:type="even"/>
          <w:pgSz w:w="11849" w:h="16781"/>
          <w:pgMar w:top="1440" w:right="1803" w:bottom="1440" w:left="1803" w:header="851" w:footer="992" w:gutter="0"/>
          <w:pgNumType w:start="1"/>
          <w:cols w:space="720" w:num="1"/>
          <w:docGrid w:linePitch="397" w:charSpace="0"/>
        </w:sectPr>
      </w:pPr>
    </w:p>
    <w:p>
      <w:pPr>
        <w:pStyle w:val="17"/>
        <w:spacing w:before="0" w:after="0" w:line="360" w:lineRule="auto"/>
        <w:rPr>
          <w:rFonts w:hint="eastAsia" w:asciiTheme="minorEastAsia" w:hAnsiTheme="minorEastAsia" w:eastAsiaTheme="minorEastAsia" w:cstheme="minorEastAsia"/>
          <w:color w:val="auto"/>
          <w:szCs w:val="36"/>
          <w:highlight w:val="none"/>
          <w:lang w:val="zh-CN"/>
        </w:rPr>
      </w:pPr>
      <w:bookmarkStart w:id="3" w:name="_Toc515908167"/>
      <w:r>
        <w:rPr>
          <w:rFonts w:hint="eastAsia" w:asciiTheme="minorEastAsia" w:hAnsiTheme="minorEastAsia" w:eastAsiaTheme="minorEastAsia" w:cstheme="minorEastAsia"/>
          <w:color w:val="auto"/>
          <w:szCs w:val="36"/>
          <w:highlight w:val="none"/>
          <w:lang w:val="zh-CN"/>
        </w:rPr>
        <w:t>第一部分  投标邀请</w:t>
      </w:r>
      <w:bookmarkEnd w:id="3"/>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兰州众信招标有限公司（以下均简称“采购代理机构”）受西宁市疾病预防控制中心（以下均简称“采购人”）委托,拟对2020年抗疫特别国债购置实验室检测设备进行国内公开招标，现予以公告，欢迎潜在的投标人参加本次政府采购活动。</w:t>
      </w:r>
    </w:p>
    <w:tbl>
      <w:tblPr>
        <w:tblStyle w:val="18"/>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兰州众信公招（货物）2020-058号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2020年抗疫特别国债购置实验室检测设备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en-US" w:eastAsia="zh-CN"/>
              </w:rPr>
              <w:t>1601.1</w:t>
            </w:r>
            <w:r>
              <w:rPr>
                <w:rFonts w:hint="eastAsia" w:asciiTheme="minorEastAsia" w:hAnsiTheme="minorEastAsia" w:eastAsiaTheme="minorEastAsia" w:cstheme="minorEastAsia"/>
                <w:color w:val="auto"/>
                <w:kern w:val="0"/>
                <w:highlight w:val="none"/>
                <w:lang w:val="zh-CN"/>
              </w:rPr>
              <w:t>万元（包</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en-US" w:eastAsia="zh-CN"/>
              </w:rPr>
              <w:t>322</w:t>
            </w:r>
            <w:r>
              <w:rPr>
                <w:rFonts w:hint="eastAsia" w:asciiTheme="minorEastAsia" w:hAnsiTheme="minorEastAsia" w:eastAsiaTheme="minorEastAsia" w:cstheme="minorEastAsia"/>
                <w:color w:val="auto"/>
                <w:kern w:val="0"/>
                <w:highlight w:val="none"/>
              </w:rPr>
              <w:t>万元；包2：</w:t>
            </w:r>
            <w:r>
              <w:rPr>
                <w:rFonts w:hint="eastAsia" w:asciiTheme="minorEastAsia" w:hAnsiTheme="minorEastAsia" w:eastAsiaTheme="minorEastAsia" w:cstheme="minorEastAsia"/>
                <w:color w:val="auto"/>
                <w:kern w:val="0"/>
                <w:highlight w:val="none"/>
                <w:lang w:val="en-US" w:eastAsia="zh-CN"/>
              </w:rPr>
              <w:t>324.1</w:t>
            </w:r>
            <w:r>
              <w:rPr>
                <w:rFonts w:hint="eastAsia" w:asciiTheme="minorEastAsia" w:hAnsiTheme="minorEastAsia" w:eastAsiaTheme="minorEastAsia" w:cstheme="minorEastAsia"/>
                <w:color w:val="auto"/>
                <w:kern w:val="0"/>
                <w:highlight w:val="none"/>
              </w:rPr>
              <w:t>万元</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327</w:t>
            </w:r>
            <w:r>
              <w:rPr>
                <w:rFonts w:hint="eastAsia" w:asciiTheme="minorEastAsia" w:hAnsiTheme="minorEastAsia" w:eastAsiaTheme="minorEastAsia" w:cstheme="minorEastAsia"/>
                <w:color w:val="auto"/>
                <w:kern w:val="0"/>
                <w:highlight w:val="none"/>
              </w:rPr>
              <w:t>万元；包</w:t>
            </w:r>
            <w:r>
              <w:rPr>
                <w:rFonts w:hint="eastAsia" w:asciiTheme="minorEastAsia" w:hAnsiTheme="minorEastAsia" w:eastAsiaTheme="minorEastAsia" w:cstheme="minorEastAsia"/>
                <w:color w:val="auto"/>
                <w:kern w:val="0"/>
                <w:highlight w:val="none"/>
                <w:lang w:val="en-US" w:eastAsia="zh-CN"/>
              </w:rPr>
              <w:t>4</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303</w:t>
            </w:r>
            <w:r>
              <w:rPr>
                <w:rFonts w:hint="eastAsia" w:asciiTheme="minorEastAsia" w:hAnsiTheme="minorEastAsia" w:eastAsiaTheme="minorEastAsia" w:cstheme="minorEastAsia"/>
                <w:color w:val="auto"/>
                <w:kern w:val="0"/>
                <w:highlight w:val="none"/>
              </w:rPr>
              <w:t>万元</w:t>
            </w:r>
            <w:r>
              <w:rPr>
                <w:rFonts w:hint="eastAsia" w:asciiTheme="minorEastAsia" w:hAnsiTheme="minorEastAsia" w:eastAsiaTheme="minorEastAsia" w:cstheme="minorEastAsia"/>
                <w:color w:val="auto"/>
                <w:kern w:val="0"/>
                <w:highlight w:val="none"/>
                <w:lang w:eastAsia="zh-CN"/>
              </w:rPr>
              <w:t>；包</w:t>
            </w:r>
            <w:r>
              <w:rPr>
                <w:rFonts w:hint="eastAsia" w:asciiTheme="minorEastAsia" w:hAnsiTheme="minorEastAsia" w:eastAsiaTheme="minorEastAsia" w:cstheme="minorEastAsia"/>
                <w:color w:val="auto"/>
                <w:kern w:val="0"/>
                <w:highlight w:val="none"/>
                <w:lang w:val="en-US" w:eastAsia="zh-CN"/>
              </w:rPr>
              <w:t>5：325万元</w:t>
            </w:r>
            <w:r>
              <w:rPr>
                <w:rFonts w:hint="eastAsia" w:asciiTheme="minorEastAsia" w:hAnsiTheme="minorEastAsia" w:eastAsiaTheme="minorEastAsia" w:cstheme="minorEastAsia"/>
                <w:color w:val="auto"/>
                <w:kern w:val="0"/>
                <w:highlight w:val="none"/>
                <w:lang w:val="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u w:val="dashDotHeavy"/>
              </w:rPr>
            </w:pPr>
            <w:r>
              <w:rPr>
                <w:rFonts w:hint="eastAsia" w:asciiTheme="minorEastAsia" w:hAnsiTheme="minorEastAsia" w:eastAsiaTheme="minorEastAsia" w:cstheme="minorEastAsia"/>
                <w:color w:val="auto"/>
                <w:kern w:val="0"/>
                <w:highlight w:val="none"/>
                <w:lang w:val="en-US" w:eastAsia="zh-CN"/>
              </w:rPr>
              <w:t>1601.1</w:t>
            </w:r>
            <w:r>
              <w:rPr>
                <w:rFonts w:hint="eastAsia" w:asciiTheme="minorEastAsia" w:hAnsiTheme="minorEastAsia" w:eastAsiaTheme="minorEastAsia" w:cstheme="minorEastAsia"/>
                <w:color w:val="auto"/>
                <w:kern w:val="0"/>
                <w:highlight w:val="none"/>
                <w:lang w:val="zh-CN"/>
              </w:rPr>
              <w:t>万元（包</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en-US" w:eastAsia="zh-CN"/>
              </w:rPr>
              <w:t>322</w:t>
            </w:r>
            <w:r>
              <w:rPr>
                <w:rFonts w:hint="eastAsia" w:asciiTheme="minorEastAsia" w:hAnsiTheme="minorEastAsia" w:eastAsiaTheme="minorEastAsia" w:cstheme="minorEastAsia"/>
                <w:color w:val="auto"/>
                <w:kern w:val="0"/>
                <w:highlight w:val="none"/>
              </w:rPr>
              <w:t>万元；包2：</w:t>
            </w:r>
            <w:r>
              <w:rPr>
                <w:rFonts w:hint="eastAsia" w:asciiTheme="minorEastAsia" w:hAnsiTheme="minorEastAsia" w:eastAsiaTheme="minorEastAsia" w:cstheme="minorEastAsia"/>
                <w:color w:val="auto"/>
                <w:kern w:val="0"/>
                <w:highlight w:val="none"/>
                <w:lang w:val="en-US" w:eastAsia="zh-CN"/>
              </w:rPr>
              <w:t>324.1</w:t>
            </w:r>
            <w:r>
              <w:rPr>
                <w:rFonts w:hint="eastAsia" w:asciiTheme="minorEastAsia" w:hAnsiTheme="minorEastAsia" w:eastAsiaTheme="minorEastAsia" w:cstheme="minorEastAsia"/>
                <w:color w:val="auto"/>
                <w:kern w:val="0"/>
                <w:highlight w:val="none"/>
              </w:rPr>
              <w:t>万元</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327</w:t>
            </w:r>
            <w:r>
              <w:rPr>
                <w:rFonts w:hint="eastAsia" w:asciiTheme="minorEastAsia" w:hAnsiTheme="minorEastAsia" w:eastAsiaTheme="minorEastAsia" w:cstheme="minorEastAsia"/>
                <w:color w:val="auto"/>
                <w:kern w:val="0"/>
                <w:highlight w:val="none"/>
              </w:rPr>
              <w:t>万元；包</w:t>
            </w:r>
            <w:r>
              <w:rPr>
                <w:rFonts w:hint="eastAsia" w:asciiTheme="minorEastAsia" w:hAnsiTheme="minorEastAsia" w:eastAsiaTheme="minorEastAsia" w:cstheme="minorEastAsia"/>
                <w:color w:val="auto"/>
                <w:kern w:val="0"/>
                <w:highlight w:val="none"/>
                <w:lang w:val="en-US" w:eastAsia="zh-CN"/>
              </w:rPr>
              <w:t>4</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303</w:t>
            </w:r>
            <w:r>
              <w:rPr>
                <w:rFonts w:hint="eastAsia" w:asciiTheme="minorEastAsia" w:hAnsiTheme="minorEastAsia" w:eastAsiaTheme="minorEastAsia" w:cstheme="minorEastAsia"/>
                <w:color w:val="auto"/>
                <w:kern w:val="0"/>
                <w:highlight w:val="none"/>
              </w:rPr>
              <w:t>万元</w:t>
            </w:r>
            <w:r>
              <w:rPr>
                <w:rFonts w:hint="eastAsia" w:asciiTheme="minorEastAsia" w:hAnsiTheme="minorEastAsia" w:eastAsiaTheme="minorEastAsia" w:cstheme="minorEastAsia"/>
                <w:color w:val="auto"/>
                <w:kern w:val="0"/>
                <w:highlight w:val="none"/>
                <w:lang w:eastAsia="zh-CN"/>
              </w:rPr>
              <w:t>；包</w:t>
            </w:r>
            <w:r>
              <w:rPr>
                <w:rFonts w:hint="eastAsia" w:asciiTheme="minorEastAsia" w:hAnsiTheme="minorEastAsia" w:eastAsiaTheme="minorEastAsia" w:cstheme="minorEastAsia"/>
                <w:color w:val="auto"/>
                <w:kern w:val="0"/>
                <w:highlight w:val="none"/>
                <w:lang w:val="en-US" w:eastAsia="zh-CN"/>
              </w:rPr>
              <w:t>5：325万元</w:t>
            </w:r>
            <w:r>
              <w:rPr>
                <w:rFonts w:hint="eastAsia" w:asciiTheme="minorEastAsia" w:hAnsiTheme="minorEastAsia" w:eastAsiaTheme="minorEastAsia" w:cstheme="minorEastAsia"/>
                <w:color w:val="auto"/>
                <w:kern w:val="0"/>
                <w:highlight w:val="none"/>
                <w:lang w:val="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rPr>
              <w:t>个</w:t>
            </w:r>
            <w:r>
              <w:rPr>
                <w:rFonts w:hint="eastAsia" w:asciiTheme="minorEastAsia" w:hAnsiTheme="minorEastAsia" w:eastAsiaTheme="minorEastAsia" w:cstheme="minorEastAsia"/>
                <w:color w:val="auto"/>
                <w:kern w:val="0"/>
                <w:highlight w:val="none"/>
                <w:lang w:val="zh-CN"/>
              </w:rPr>
              <w:t>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u w:val="dashDotHeavy"/>
                <w:lang w:val="zh-CN"/>
              </w:rPr>
            </w:pPr>
            <w:r>
              <w:rPr>
                <w:rFonts w:hint="eastAsia" w:asciiTheme="minorEastAsia" w:hAnsiTheme="minorEastAsia" w:eastAsiaTheme="minorEastAsia" w:cstheme="minorEastAsia"/>
                <w:color w:val="auto"/>
                <w:kern w:val="0"/>
                <w:highlight w:val="none"/>
                <w:lang w:val="zh-CN"/>
              </w:rPr>
              <w:t>招标内容：2020年抗疫特别国债购置实验室检测设备。具体内容详见《招标文件》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76" w:lineRule="auto"/>
              <w:rPr>
                <w:rFonts w:hint="eastAsia"/>
                <w:highlight w:val="none"/>
                <w:lang w:val="zh-CN"/>
              </w:rPr>
            </w:pPr>
            <w:r>
              <w:rPr>
                <w:rFonts w:hint="eastAsia"/>
                <w:highlight w:val="none"/>
                <w:lang w:val="zh-CN"/>
              </w:rPr>
              <w:t>1、 符合《政府采购法》第22条条件，并提供下列材料：</w:t>
            </w:r>
          </w:p>
          <w:p>
            <w:pPr>
              <w:autoSpaceDE w:val="0"/>
              <w:autoSpaceDN w:val="0"/>
              <w:spacing w:line="276" w:lineRule="auto"/>
              <w:rPr>
                <w:rFonts w:hint="eastAsia"/>
                <w:highlight w:val="none"/>
                <w:lang w:val="zh-CN"/>
              </w:rPr>
            </w:pPr>
            <w:r>
              <w:rPr>
                <w:rFonts w:hint="eastAsia"/>
                <w:highlight w:val="none"/>
                <w:lang w:val="zh-CN"/>
              </w:rPr>
              <w:t>&lt;1&gt;投标人的营业执照等证明文件，自然人的身份证明。</w:t>
            </w:r>
          </w:p>
          <w:p>
            <w:pPr>
              <w:autoSpaceDE w:val="0"/>
              <w:autoSpaceDN w:val="0"/>
              <w:spacing w:line="276" w:lineRule="auto"/>
              <w:rPr>
                <w:rFonts w:hint="eastAsia"/>
                <w:highlight w:val="none"/>
                <w:lang w:val="zh-CN"/>
              </w:rPr>
            </w:pPr>
            <w:r>
              <w:rPr>
                <w:rFonts w:hint="eastAsia"/>
                <w:highlight w:val="none"/>
                <w:lang w:val="zh-CN"/>
              </w:rPr>
              <w:t>&lt;2&gt;财务状况报告，依法缴纳税收和社会保障资金的相关材料。</w:t>
            </w:r>
          </w:p>
          <w:p>
            <w:pPr>
              <w:autoSpaceDE w:val="0"/>
              <w:autoSpaceDN w:val="0"/>
              <w:spacing w:line="276" w:lineRule="auto"/>
              <w:rPr>
                <w:rFonts w:hint="eastAsia"/>
                <w:highlight w:val="none"/>
                <w:lang w:val="zh-CN"/>
              </w:rPr>
            </w:pPr>
            <w:r>
              <w:rPr>
                <w:rFonts w:hint="eastAsia"/>
                <w:highlight w:val="none"/>
                <w:lang w:val="zh-CN"/>
              </w:rPr>
              <w:t>&lt;3&gt;具备履行合同所必需的设备和专业技术能力的证明材料。</w:t>
            </w:r>
          </w:p>
          <w:p>
            <w:pPr>
              <w:autoSpaceDE w:val="0"/>
              <w:autoSpaceDN w:val="0"/>
              <w:spacing w:line="276" w:lineRule="auto"/>
              <w:rPr>
                <w:rFonts w:hint="eastAsia"/>
                <w:highlight w:val="none"/>
                <w:lang w:val="zh-CN"/>
              </w:rPr>
            </w:pPr>
            <w:r>
              <w:rPr>
                <w:rFonts w:hint="eastAsia"/>
                <w:highlight w:val="none"/>
                <w:lang w:val="zh-CN"/>
              </w:rPr>
              <w:t>&lt;4&gt;参加政府采购活动前3年内在经营活动中没有重大违法记录的书面声明。</w:t>
            </w:r>
          </w:p>
          <w:p>
            <w:pPr>
              <w:autoSpaceDE w:val="0"/>
              <w:autoSpaceDN w:val="0"/>
              <w:spacing w:line="276" w:lineRule="auto"/>
              <w:rPr>
                <w:rFonts w:hint="eastAsia"/>
                <w:highlight w:val="none"/>
                <w:lang w:val="zh-CN"/>
              </w:rPr>
            </w:pPr>
            <w:r>
              <w:rPr>
                <w:rFonts w:hint="eastAsia"/>
                <w:highlight w:val="none"/>
                <w:lang w:val="zh-CN"/>
              </w:rPr>
              <w:t>&lt;5&gt;具备法律、行政法规规定的其他条件的证明材料。</w:t>
            </w:r>
          </w:p>
          <w:p>
            <w:pPr>
              <w:autoSpaceDE w:val="0"/>
              <w:autoSpaceDN w:val="0"/>
              <w:spacing w:line="276" w:lineRule="auto"/>
              <w:rPr>
                <w:rFonts w:hint="eastAsia"/>
                <w:highlight w:val="none"/>
                <w:lang w:val="zh-CN"/>
              </w:rPr>
            </w:pPr>
            <w:r>
              <w:rPr>
                <w:rFonts w:hint="eastAsia"/>
                <w:highlight w:val="none"/>
                <w:lang w:val="zh-CN"/>
              </w:rPr>
              <w:t>2、</w:t>
            </w:r>
            <w:r>
              <w:rPr>
                <w:rFonts w:hint="eastAsia"/>
                <w:highlight w:val="none"/>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276" w:lineRule="auto"/>
              <w:rPr>
                <w:rFonts w:hint="eastAsia"/>
                <w:highlight w:val="none"/>
                <w:lang w:val="zh-CN"/>
              </w:rPr>
            </w:pPr>
            <w:r>
              <w:rPr>
                <w:rFonts w:hint="eastAsia"/>
                <w:highlight w:val="none"/>
                <w:lang w:val="zh-CN"/>
              </w:rPr>
              <w:t>3、单位负责人为同一人或者存在直接控股、管理关系的不同投标人，不得参加同一合同项下的政府采购活动。否则，皆取消投标资格；</w:t>
            </w:r>
          </w:p>
          <w:p>
            <w:pPr>
              <w:autoSpaceDE w:val="0"/>
              <w:autoSpaceDN w:val="0"/>
              <w:spacing w:line="276" w:lineRule="auto"/>
              <w:rPr>
                <w:rFonts w:hint="eastAsia"/>
                <w:highlight w:val="none"/>
                <w:lang w:val="zh-CN"/>
              </w:rPr>
            </w:pPr>
            <w:r>
              <w:rPr>
                <w:rFonts w:hint="eastAsia"/>
                <w:highlight w:val="none"/>
                <w:lang w:val="en-US" w:eastAsia="zh-CN"/>
              </w:rPr>
              <w:t>4</w:t>
            </w:r>
            <w:r>
              <w:rPr>
                <w:rFonts w:hint="eastAsia"/>
                <w:highlight w:val="none"/>
                <w:lang w:val="zh-CN"/>
              </w:rPr>
              <w:t>、本项目不接受投标人以联合体方式进行投标；</w:t>
            </w:r>
          </w:p>
          <w:p>
            <w:pPr>
              <w:pStyle w:val="2"/>
              <w:rPr>
                <w:rFonts w:hint="eastAsia" w:eastAsiaTheme="minorEastAsia"/>
                <w:highlight w:val="none"/>
                <w:lang w:val="en-US" w:eastAsia="zh-CN"/>
              </w:rPr>
            </w:pPr>
            <w:r>
              <w:rPr>
                <w:rFonts w:hint="eastAsia" w:ascii="Times New Roman" w:hAnsi="Times New Roman" w:eastAsia="宋体" w:cs="Times New Roman"/>
                <w:kern w:val="2"/>
                <w:sz w:val="24"/>
                <w:szCs w:val="24"/>
                <w:highlight w:val="none"/>
                <w:lang w:val="en-US" w:eastAsia="zh-CN" w:bidi="ar-SA"/>
              </w:rPr>
              <w:t>5、进口设备需提供进口设备授权书。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20</w:t>
            </w:r>
            <w:r>
              <w:rPr>
                <w:rFonts w:hint="eastAsia" w:asciiTheme="minorEastAsia" w:hAnsiTheme="minorEastAsia" w:eastAsiaTheme="minorEastAsia" w:cstheme="minorEastAsia"/>
                <w:color w:val="auto"/>
                <w:kern w:val="0"/>
                <w:highlight w:val="none"/>
                <w:lang w:val="en-US" w:eastAsia="zh-CN"/>
              </w:rPr>
              <w:t>20</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lang w:val="en-US" w:eastAsia="zh-CN"/>
              </w:rPr>
              <w:t>10</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29</w:t>
            </w:r>
            <w:r>
              <w:rPr>
                <w:rFonts w:hint="eastAsia" w:asciiTheme="minorEastAsia" w:hAnsiTheme="minorEastAsia" w:eastAsiaTheme="minorEastAsia" w:cstheme="minorEastAsia"/>
                <w:color w:val="auto"/>
                <w:kern w:val="0"/>
                <w:highlight w:val="none"/>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u w:val="dashDotHeavy"/>
                <w:lang w:val="zh-CN"/>
              </w:rPr>
            </w:pPr>
            <w:r>
              <w:rPr>
                <w:rFonts w:hint="eastAsia" w:asciiTheme="minorEastAsia" w:hAnsiTheme="minorEastAsia" w:eastAsiaTheme="minorEastAsia" w:cstheme="minorEastAsia"/>
                <w:color w:val="auto"/>
                <w:kern w:val="0"/>
                <w:highlight w:val="none"/>
                <w:lang w:val="zh-CN"/>
              </w:rPr>
              <w:t>20</w:t>
            </w:r>
            <w:r>
              <w:rPr>
                <w:rFonts w:hint="eastAsia" w:asciiTheme="minorEastAsia" w:hAnsiTheme="minorEastAsia" w:eastAsiaTheme="minorEastAsia" w:cstheme="minorEastAsia"/>
                <w:color w:val="auto"/>
                <w:kern w:val="0"/>
                <w:highlight w:val="none"/>
                <w:lang w:val="en-US" w:eastAsia="zh-CN"/>
              </w:rPr>
              <w:t>20</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lang w:val="en-US" w:eastAsia="zh-CN"/>
              </w:rPr>
              <w:t>10</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30</w:t>
            </w:r>
            <w:r>
              <w:rPr>
                <w:rFonts w:hint="eastAsia" w:asciiTheme="minorEastAsia" w:hAnsiTheme="minorEastAsia" w:eastAsiaTheme="minorEastAsia" w:cstheme="minorEastAsia"/>
                <w:color w:val="auto"/>
                <w:kern w:val="0"/>
                <w:highlight w:val="none"/>
                <w:lang w:val="zh-CN"/>
              </w:rPr>
              <w:t>日至</w:t>
            </w:r>
            <w:r>
              <w:rPr>
                <w:rFonts w:hint="eastAsia" w:asciiTheme="minorEastAsia" w:hAnsiTheme="minorEastAsia" w:eastAsiaTheme="minorEastAsia" w:cstheme="minorEastAsia"/>
                <w:color w:val="auto"/>
                <w:kern w:val="0"/>
                <w:highlight w:val="none"/>
                <w:lang w:val="en-US" w:eastAsia="zh-CN"/>
              </w:rPr>
              <w:t>11</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lang w:val="zh-CN"/>
              </w:rPr>
              <w:t>日，每天上午</w:t>
            </w:r>
            <w:r>
              <w:rPr>
                <w:rFonts w:hint="eastAsia" w:asciiTheme="minorEastAsia" w:hAnsiTheme="minorEastAsia" w:eastAsiaTheme="minorEastAsia" w:cstheme="minorEastAsia"/>
                <w:color w:val="auto"/>
                <w:kern w:val="0"/>
                <w:highlight w:val="none"/>
              </w:rPr>
              <w:t>9</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0</w:t>
            </w:r>
            <w:r>
              <w:rPr>
                <w:rFonts w:hint="eastAsia" w:asciiTheme="minorEastAsia" w:hAnsiTheme="minorEastAsia" w:eastAsiaTheme="minorEastAsia" w:cstheme="minorEastAsia"/>
                <w:color w:val="auto"/>
                <w:kern w:val="0"/>
                <w:highlight w:val="none"/>
                <w:lang w:val="zh-CN"/>
              </w:rPr>
              <w:t>0-12:00,下午</w:t>
            </w:r>
            <w:r>
              <w:rPr>
                <w:rFonts w:hint="eastAsia" w:asciiTheme="minorEastAsia" w:hAnsiTheme="minorEastAsia" w:eastAsiaTheme="minorEastAsia" w:cstheme="minorEastAsia"/>
                <w:color w:val="auto"/>
                <w:kern w:val="0"/>
                <w:highlight w:val="none"/>
              </w:rPr>
              <w:t>14</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0</w:t>
            </w:r>
            <w:r>
              <w:rPr>
                <w:rFonts w:hint="eastAsia" w:asciiTheme="minorEastAsia" w:hAnsiTheme="minorEastAsia" w:eastAsiaTheme="minorEastAsia" w:cstheme="minorEastAsia"/>
                <w:color w:val="auto"/>
                <w:kern w:val="0"/>
                <w:highlight w:val="none"/>
                <w:lang w:val="zh-CN"/>
              </w:rPr>
              <w:t>0-</w:t>
            </w:r>
            <w:r>
              <w:rPr>
                <w:rFonts w:hint="eastAsia" w:asciiTheme="minorEastAsia" w:hAnsiTheme="minorEastAsia" w:eastAsiaTheme="minorEastAsia" w:cstheme="minorEastAsia"/>
                <w:color w:val="auto"/>
                <w:kern w:val="0"/>
                <w:highlight w:val="none"/>
              </w:rPr>
              <w:t>17</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lang w:val="en-US" w:eastAsia="zh-CN"/>
              </w:rPr>
              <w:t>30</w:t>
            </w:r>
            <w:r>
              <w:rPr>
                <w:rFonts w:hint="eastAsia" w:asciiTheme="minorEastAsia" w:hAnsiTheme="minorEastAsia" w:eastAsiaTheme="minorEastAsia" w:cstheme="minorEastAsia"/>
                <w:color w:val="auto"/>
                <w:kern w:val="0"/>
                <w:highlight w:val="none"/>
                <w:lang w:val="zh-CN"/>
              </w:rPr>
              <w:t>（午休、节假日除外）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现场购买或网上购买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500元/包（招标文件售后不退,投标资格不能转让。）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地址：青海省西宁市海湖新区唐道</w:t>
            </w:r>
            <w:r>
              <w:rPr>
                <w:rFonts w:hint="eastAsia" w:asciiTheme="minorEastAsia" w:hAnsiTheme="minorEastAsia" w:eastAsiaTheme="minorEastAsia" w:cstheme="minorEastAsia"/>
                <w:color w:val="auto"/>
                <w:kern w:val="0"/>
                <w:highlight w:val="none"/>
                <w:lang w:val="en-US" w:eastAsia="zh-CN"/>
              </w:rPr>
              <w:t>637</w:t>
            </w:r>
            <w:r>
              <w:rPr>
                <w:rFonts w:hint="eastAsia" w:asciiTheme="minorEastAsia" w:hAnsiTheme="minorEastAsia" w:eastAsiaTheme="minorEastAsia" w:cstheme="minorEastAsia"/>
                <w:color w:val="auto"/>
                <w:kern w:val="0"/>
                <w:highlight w:val="none"/>
                <w:lang w:val="zh-CN"/>
              </w:rPr>
              <w:t>唐府公寓13B</w:t>
            </w:r>
            <w:r>
              <w:rPr>
                <w:rFonts w:hint="eastAsia" w:asciiTheme="minorEastAsia" w:hAnsiTheme="minorEastAsia" w:eastAsiaTheme="minorEastAsia" w:cstheme="minorEastAsia"/>
                <w:color w:val="auto"/>
                <w:kern w:val="0"/>
                <w:highlight w:val="none"/>
                <w:lang w:val="en-US" w:eastAsia="zh-CN"/>
              </w:rPr>
              <w:t>-11334</w:t>
            </w:r>
          </w:p>
          <w:p>
            <w:pPr>
              <w:pStyle w:val="7"/>
              <w:spacing w:line="276" w:lineRule="auto"/>
              <w:jc w:val="both"/>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标书购买联系人：祁先生</w:t>
            </w:r>
          </w:p>
          <w:p>
            <w:pPr>
              <w:pStyle w:val="7"/>
              <w:spacing w:line="276" w:lineRule="auto"/>
              <w:jc w:val="both"/>
              <w:rPr>
                <w:rFonts w:hint="eastAsia" w:asciiTheme="minorEastAsia" w:hAnsiTheme="minorEastAsia" w:eastAsiaTheme="minorEastAsia" w:cstheme="minorEastAsia"/>
                <w:color w:val="auto"/>
                <w:kern w:val="0"/>
                <w:highlight w:val="none"/>
                <w:lang w:val="en-US"/>
              </w:rPr>
            </w:pPr>
            <w:r>
              <w:rPr>
                <w:rFonts w:hint="eastAsia" w:asciiTheme="minorEastAsia" w:hAnsiTheme="minorEastAsia" w:eastAsiaTheme="minorEastAsia" w:cstheme="minorEastAsia"/>
                <w:color w:val="auto"/>
                <w:kern w:val="0"/>
                <w:highlight w:val="none"/>
                <w:lang w:val="zh-CN"/>
              </w:rPr>
              <w:t>电话</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18697272772</w:t>
            </w:r>
          </w:p>
          <w:p>
            <w:pPr>
              <w:pStyle w:val="7"/>
              <w:spacing w:line="276" w:lineRule="auto"/>
              <w:jc w:val="both"/>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电子邮箱</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497373573</w:t>
            </w:r>
            <w:r>
              <w:rPr>
                <w:rFonts w:hint="eastAsia" w:asciiTheme="minorEastAsia" w:hAnsiTheme="minorEastAsia" w:eastAsiaTheme="minorEastAsia" w:cstheme="minorEastAsia"/>
                <w:color w:val="auto"/>
                <w:kern w:val="0"/>
                <w:highlight w:val="none"/>
              </w:rPr>
              <w:t>@qq.com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hint="eastAsia" w:asciiTheme="minorEastAsia" w:hAnsiTheme="minorEastAsia" w:eastAsiaTheme="minorEastAsia" w:cstheme="minorEastAsia"/>
                <w:color w:val="auto"/>
                <w:kern w:val="0"/>
                <w:sz w:val="24"/>
                <w:szCs w:val="24"/>
                <w:highlight w:val="none"/>
                <w:lang w:val="zh-CN" w:eastAsia="zh-CN" w:bidi="ar-SA"/>
              </w:rPr>
            </w:pPr>
            <w:r>
              <w:rPr>
                <w:rFonts w:hint="eastAsia" w:asciiTheme="minorEastAsia" w:hAnsiTheme="minorEastAsia" w:eastAsiaTheme="minorEastAsia" w:cstheme="minorEastAsia"/>
                <w:color w:val="auto"/>
                <w:kern w:val="0"/>
                <w:highlight w:val="none"/>
                <w:lang w:val="zh-CN"/>
              </w:rPr>
              <w:t>营业执照副本复印件（加盖单位公章）</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法定代表人授权书（参考</w:t>
            </w:r>
            <w:r>
              <w:rPr>
                <w:rFonts w:hint="eastAsia" w:asciiTheme="minorEastAsia" w:hAnsiTheme="minorEastAsia" w:eastAsiaTheme="minorEastAsia" w:cstheme="minorEastAsia"/>
                <w:color w:val="auto"/>
                <w:kern w:val="0"/>
                <w:highlight w:val="none"/>
              </w:rPr>
              <w:t>招标文件</w:t>
            </w:r>
            <w:r>
              <w:rPr>
                <w:rFonts w:hint="eastAsia" w:asciiTheme="minorEastAsia" w:hAnsiTheme="minorEastAsia" w:eastAsiaTheme="minorEastAsia" w:cstheme="minorEastAsia"/>
                <w:color w:val="auto"/>
                <w:kern w:val="0"/>
                <w:highlight w:val="none"/>
                <w:lang w:val="zh-CN"/>
              </w:rPr>
              <w:t>格式</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）。注：需网上购买招标文件的投标人可将以上材料扫描后发送至采购代理机构电子邮箱，在邮件中标明项目编号、项目名称、包号、联系人及联系方式，并联系代理机构工作人员进行确认。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投标截止</w:t>
            </w:r>
            <w:r>
              <w:rPr>
                <w:rFonts w:hint="eastAsia" w:asciiTheme="minorEastAsia" w:hAnsiTheme="minorEastAsia" w:eastAsiaTheme="minorEastAsia" w:cstheme="minorEastAsia"/>
                <w:color w:val="auto"/>
                <w:kern w:val="0"/>
                <w:highlight w:val="none"/>
              </w:rPr>
              <w:t>及</w:t>
            </w:r>
            <w:r>
              <w:rPr>
                <w:rFonts w:hint="eastAsia" w:asciiTheme="minorEastAsia" w:hAnsiTheme="minorEastAsia" w:eastAsiaTheme="minorEastAsia" w:cstheme="minorEastAsia"/>
                <w:color w:val="auto"/>
                <w:kern w:val="0"/>
                <w:highlight w:val="none"/>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20</w:t>
            </w:r>
            <w:r>
              <w:rPr>
                <w:rFonts w:hint="eastAsia" w:asciiTheme="minorEastAsia" w:hAnsiTheme="minorEastAsia" w:eastAsiaTheme="minorEastAsia" w:cstheme="minorEastAsia"/>
                <w:color w:val="auto"/>
                <w:kern w:val="0"/>
                <w:highlight w:val="none"/>
                <w:lang w:val="en-US" w:eastAsia="zh-CN"/>
              </w:rPr>
              <w:t>20</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lang w:val="en-US" w:eastAsia="zh-CN"/>
              </w:rPr>
              <w:t>11</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19</w:t>
            </w:r>
            <w:r>
              <w:rPr>
                <w:rFonts w:hint="eastAsia" w:asciiTheme="minorEastAsia" w:hAnsiTheme="minorEastAsia" w:eastAsiaTheme="minorEastAsia" w:cstheme="minorEastAsia"/>
                <w:color w:val="auto"/>
                <w:kern w:val="0"/>
                <w:highlight w:val="none"/>
                <w:lang w:val="zh-CN"/>
              </w:rPr>
              <w:t>日</w:t>
            </w:r>
            <w:r>
              <w:rPr>
                <w:rFonts w:hint="eastAsia" w:asciiTheme="minorEastAsia" w:hAnsiTheme="minorEastAsia" w:eastAsiaTheme="minorEastAsia" w:cstheme="minorEastAsia"/>
                <w:color w:val="auto"/>
                <w:kern w:val="0"/>
                <w:highlight w:val="none"/>
                <w:lang w:val="en-US" w:eastAsia="zh-CN"/>
              </w:rPr>
              <w:t>10</w:t>
            </w:r>
            <w:r>
              <w:rPr>
                <w:rFonts w:hint="eastAsia" w:asciiTheme="minorEastAsia" w:hAnsiTheme="minorEastAsia" w:eastAsiaTheme="minorEastAsia" w:cstheme="minorEastAsia"/>
                <w:color w:val="auto"/>
                <w:kern w:val="0"/>
                <w:highlight w:val="none"/>
                <w:lang w:val="zh-CN"/>
              </w:rPr>
              <w:t>时</w:t>
            </w:r>
            <w:r>
              <w:rPr>
                <w:rFonts w:hint="eastAsia" w:asciiTheme="minorEastAsia" w:hAnsiTheme="minorEastAsia" w:eastAsiaTheme="minorEastAsia" w:cstheme="minorEastAsia"/>
                <w:color w:val="auto"/>
                <w:kern w:val="0"/>
                <w:highlight w:val="none"/>
                <w:lang w:val="en-US" w:eastAsia="zh-CN"/>
              </w:rPr>
              <w:t>0</w:t>
            </w:r>
            <w:r>
              <w:rPr>
                <w:rFonts w:hint="eastAsia" w:asciiTheme="minorEastAsia" w:hAnsiTheme="minorEastAsia" w:eastAsiaTheme="minorEastAsia" w:cstheme="minorEastAsia"/>
                <w:color w:val="auto"/>
                <w:kern w:val="0"/>
                <w:highlight w:val="none"/>
              </w:rPr>
              <w:t>0</w:t>
            </w:r>
            <w:r>
              <w:rPr>
                <w:rFonts w:hint="eastAsia" w:asciiTheme="minorEastAsia" w:hAnsiTheme="minorEastAsia" w:eastAsiaTheme="minorEastAsia" w:cstheme="minorEastAsia"/>
                <w:color w:val="auto"/>
                <w:kern w:val="0"/>
                <w:highlight w:val="none"/>
                <w:lang w:val="zh-CN"/>
              </w:rPr>
              <w:t>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zh-CN"/>
              </w:rPr>
              <w:t>西宁市公共资源交易中心四楼</w:t>
            </w:r>
            <w:bookmarkStart w:id="118" w:name="_GoBack"/>
            <w:bookmarkEnd w:id="118"/>
            <w:r>
              <w:rPr>
                <w:rFonts w:hint="eastAsia" w:asciiTheme="minorEastAsia" w:hAnsiTheme="minorEastAsia" w:eastAsiaTheme="minorEastAsia" w:cstheme="minorEastAsia"/>
                <w:color w:val="auto"/>
                <w:kern w:val="0"/>
                <w:highlight w:val="none"/>
                <w:lang w:val="en-US" w:eastAsia="zh-CN"/>
              </w:rPr>
              <w:t>1号开标室（省团校对面市民中心）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采购人联系</w:t>
            </w:r>
            <w:r>
              <w:rPr>
                <w:rFonts w:hint="eastAsia" w:asciiTheme="minorEastAsia" w:hAnsiTheme="minorEastAsia" w:eastAsiaTheme="minorEastAsia" w:cstheme="minorEastAsia"/>
                <w:color w:val="auto"/>
                <w:kern w:val="0"/>
                <w:highlight w:val="none"/>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采购人：西宁市疾病预防控制中心   </w:t>
            </w:r>
          </w:p>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联系人：</w:t>
            </w:r>
            <w:r>
              <w:rPr>
                <w:rFonts w:hint="eastAsia" w:asciiTheme="minorEastAsia" w:hAnsiTheme="minorEastAsia" w:eastAsiaTheme="minorEastAsia" w:cstheme="minorEastAsia"/>
                <w:color w:val="auto"/>
                <w:kern w:val="0"/>
                <w:highlight w:val="none"/>
                <w:lang w:val="zh-CN" w:eastAsia="zh-CN"/>
              </w:rPr>
              <w:t>郑老师</w:t>
            </w:r>
            <w:r>
              <w:rPr>
                <w:rFonts w:hint="eastAsia" w:asciiTheme="minorEastAsia" w:hAnsiTheme="minorEastAsia" w:eastAsiaTheme="minorEastAsia" w:cstheme="minorEastAsia"/>
                <w:color w:val="auto"/>
                <w:kern w:val="0"/>
                <w:highlight w:val="none"/>
                <w:lang w:val="zh-CN"/>
              </w:rPr>
              <w:t xml:space="preserve">  </w:t>
            </w:r>
          </w:p>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电  话：0971-8806420</w:t>
            </w:r>
          </w:p>
        </w:tc>
      </w:tr>
      <w:tr>
        <w:tblPrEx>
          <w:tblCellMar>
            <w:top w:w="0" w:type="dxa"/>
            <w:left w:w="108" w:type="dxa"/>
            <w:bottom w:w="0" w:type="dxa"/>
            <w:right w:w="108" w:type="dxa"/>
          </w:tblCellMar>
        </w:tblPrEx>
        <w:trPr>
          <w:trHeight w:val="107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联系人：祁先生    </w:t>
            </w:r>
          </w:p>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zh-CN"/>
              </w:rPr>
              <w:t>联系电话：</w:t>
            </w:r>
            <w:r>
              <w:rPr>
                <w:rFonts w:hint="eastAsia" w:asciiTheme="minorEastAsia" w:hAnsiTheme="minorEastAsia" w:eastAsiaTheme="minorEastAsia" w:cstheme="minorEastAsia"/>
                <w:color w:val="auto"/>
                <w:kern w:val="0"/>
                <w:highlight w:val="none"/>
                <w:lang w:val="en-US" w:eastAsia="zh-CN"/>
              </w:rPr>
              <w:t>18697272772</w:t>
            </w:r>
          </w:p>
          <w:p>
            <w:pPr>
              <w:pStyle w:val="7"/>
              <w:spacing w:line="276" w:lineRule="auto"/>
              <w:jc w:val="both"/>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zh-CN"/>
              </w:rPr>
              <w:t>联系地址：青海省西宁市海湖新区唐道</w:t>
            </w:r>
            <w:r>
              <w:rPr>
                <w:rFonts w:hint="eastAsia" w:asciiTheme="minorEastAsia" w:hAnsiTheme="minorEastAsia" w:eastAsiaTheme="minorEastAsia" w:cstheme="minorEastAsia"/>
                <w:color w:val="auto"/>
                <w:kern w:val="0"/>
                <w:highlight w:val="none"/>
                <w:lang w:val="en-US" w:eastAsia="zh-CN"/>
              </w:rPr>
              <w:t>637</w:t>
            </w:r>
            <w:r>
              <w:rPr>
                <w:rFonts w:hint="eastAsia" w:asciiTheme="minorEastAsia" w:hAnsiTheme="minorEastAsia" w:eastAsiaTheme="minorEastAsia" w:cstheme="minorEastAsia"/>
                <w:color w:val="auto"/>
                <w:kern w:val="0"/>
                <w:highlight w:val="none"/>
                <w:lang w:val="zh-CN"/>
              </w:rPr>
              <w:t>唐府公寓13B</w:t>
            </w:r>
            <w:r>
              <w:rPr>
                <w:rFonts w:hint="eastAsia" w:asciiTheme="minorEastAsia" w:hAnsiTheme="minorEastAsia" w:eastAsiaTheme="minorEastAsia" w:cstheme="minorEastAsia"/>
                <w:color w:val="auto"/>
                <w:kern w:val="0"/>
                <w:highlight w:val="none"/>
                <w:lang w:val="en-US" w:eastAsia="zh-CN"/>
              </w:rPr>
              <w:t>-11334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青海银行股份有限公司中心广场支行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兰州众信招标有限公司青海分公司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0701201000155335</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zh-CN"/>
              </w:rPr>
              <w:t>公示网址</w:t>
            </w:r>
            <w:r>
              <w:rPr>
                <w:rFonts w:hint="eastAsia" w:asciiTheme="minorEastAsia" w:hAnsiTheme="minorEastAsia" w:eastAsiaTheme="minorEastAsia" w:cstheme="minorEastAsia"/>
                <w:color w:val="auto"/>
                <w:highlight w:val="none"/>
              </w:rPr>
              <w:t>：</w:t>
            </w:r>
          </w:p>
          <w:p>
            <w:pPr>
              <w:autoSpaceDE w:val="0"/>
              <w:autoSpaceDN w:val="0"/>
              <w:adjustRightInd w:val="0"/>
              <w:spacing w:line="276" w:lineRule="auto"/>
              <w:jc w:val="left"/>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青海政府采购网（http://www.ccgp-qinghai.gov.cn/home.html）</w:t>
            </w:r>
          </w:p>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lang w:val="zh-CN"/>
              </w:rPr>
              <w:t>青海省电子招标投标公共服务平台（http://111.44.251.34/fwpt/）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监督单位：西宁市财政局   </w:t>
            </w:r>
          </w:p>
          <w:p>
            <w:pPr>
              <w:autoSpaceDE w:val="0"/>
              <w:autoSpaceDN w:val="0"/>
              <w:adjustRightInd w:val="0"/>
              <w:spacing w:line="276"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联系电话：0971-6304026</w:t>
            </w:r>
          </w:p>
        </w:tc>
      </w:tr>
    </w:tbl>
    <w:p>
      <w:pPr>
        <w:pStyle w:val="17"/>
        <w:spacing w:before="0" w:after="0" w:line="360" w:lineRule="auto"/>
        <w:rPr>
          <w:rFonts w:hint="eastAsia" w:asciiTheme="minorEastAsia" w:hAnsiTheme="minorEastAsia" w:eastAsiaTheme="minorEastAsia" w:cstheme="minorEastAsia"/>
          <w:color w:val="auto"/>
          <w:szCs w:val="36"/>
          <w:highlight w:val="none"/>
        </w:rPr>
      </w:pPr>
      <w:bookmarkStart w:id="4" w:name="_Toc428180535"/>
      <w:r>
        <w:rPr>
          <w:rFonts w:hint="eastAsia" w:asciiTheme="minorEastAsia" w:hAnsiTheme="minorEastAsia" w:eastAsiaTheme="minorEastAsia" w:cstheme="minorEastAsia"/>
          <w:color w:val="auto"/>
          <w:highlight w:val="none"/>
          <w:lang w:val="zh-CN"/>
        </w:rPr>
        <w:br w:type="page"/>
      </w:r>
      <w:bookmarkEnd w:id="4"/>
      <w:bookmarkStart w:id="5" w:name="_Toc515908168"/>
      <w:r>
        <w:rPr>
          <w:rFonts w:hint="eastAsia" w:asciiTheme="minorEastAsia" w:hAnsiTheme="minorEastAsia" w:eastAsiaTheme="minorEastAsia" w:cstheme="minorEastAsia"/>
          <w:color w:val="auto"/>
          <w:szCs w:val="36"/>
          <w:highlight w:val="none"/>
          <w:lang w:val="zh-CN"/>
        </w:rPr>
        <w:t>第二部分  投标人须知</w:t>
      </w:r>
      <w:bookmarkEnd w:id="5"/>
    </w:p>
    <w:p>
      <w:pPr>
        <w:pStyle w:val="17"/>
        <w:spacing w:before="0" w:after="0" w:line="360" w:lineRule="auto"/>
        <w:rPr>
          <w:rFonts w:hint="eastAsia" w:asciiTheme="minorEastAsia" w:hAnsiTheme="minorEastAsia" w:eastAsiaTheme="minorEastAsia" w:cstheme="minorEastAsia"/>
          <w:color w:val="auto"/>
          <w:highlight w:val="none"/>
        </w:rPr>
      </w:pPr>
      <w:bookmarkStart w:id="6" w:name="_Toc515908169"/>
      <w:r>
        <w:rPr>
          <w:rFonts w:hint="eastAsia" w:asciiTheme="minorEastAsia" w:hAnsiTheme="minorEastAsia" w:eastAsiaTheme="minorEastAsia" w:cstheme="minorEastAsia"/>
          <w:color w:val="auto"/>
          <w:highlight w:val="none"/>
          <w:lang w:val="zh-CN"/>
        </w:rPr>
        <w:t>一、说明</w:t>
      </w:r>
      <w:bookmarkEnd w:id="6"/>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7" w:name="_Toc515908170"/>
      <w:r>
        <w:rPr>
          <w:rFonts w:hint="eastAsia" w:asciiTheme="minorEastAsia" w:hAnsiTheme="minorEastAsia" w:eastAsiaTheme="minorEastAsia" w:cstheme="minorEastAsia"/>
          <w:color w:val="auto"/>
          <w:sz w:val="28"/>
          <w:szCs w:val="28"/>
          <w:highlight w:val="none"/>
          <w:lang w:val="zh-CN"/>
        </w:rPr>
        <w:t>1.适用范围</w:t>
      </w:r>
      <w:bookmarkEnd w:id="7"/>
    </w:p>
    <w:p>
      <w:pPr>
        <w:autoSpaceDE w:val="0"/>
        <w:autoSpaceDN w:val="0"/>
        <w:spacing w:line="360" w:lineRule="auto"/>
        <w:ind w:firstLine="360" w:firstLineChars="15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本次招标依据采购人的采购计划，仅适用于本招标文件中所叙述的项目。</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8" w:name="_Toc515908171"/>
      <w:r>
        <w:rPr>
          <w:rFonts w:hint="eastAsia" w:asciiTheme="minorEastAsia" w:hAnsiTheme="minorEastAsia" w:eastAsiaTheme="minorEastAsia" w:cstheme="minorEastAsia"/>
          <w:color w:val="auto"/>
          <w:sz w:val="28"/>
          <w:szCs w:val="28"/>
          <w:highlight w:val="none"/>
          <w:lang w:val="zh-CN"/>
        </w:rPr>
        <w:t>2.采购方式、合格的投标人</w:t>
      </w:r>
      <w:bookmarkEnd w:id="8"/>
    </w:p>
    <w:p>
      <w:pPr>
        <w:autoSpaceDE w:val="0"/>
        <w:autoSpaceDN w:val="0"/>
        <w:spacing w:line="360" w:lineRule="auto"/>
        <w:ind w:firstLine="360" w:firstLineChars="150"/>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color w:val="auto"/>
          <w:kern w:val="0"/>
          <w:highlight w:val="none"/>
          <w:lang w:val="zh-CN"/>
        </w:rPr>
        <w:t>2.1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本次招标采取公开招标方式。</w:t>
      </w:r>
    </w:p>
    <w:p>
      <w:pPr>
        <w:autoSpaceDE w:val="0"/>
        <w:autoSpaceDN w:val="0"/>
        <w:spacing w:line="360" w:lineRule="auto"/>
        <w:ind w:firstLine="360" w:firstLineChars="15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合格的投标人：详见第一部分</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各包投标人资格要求</w:t>
      </w:r>
      <w:r>
        <w:rPr>
          <w:rFonts w:hint="eastAsia" w:asciiTheme="minorEastAsia" w:hAnsiTheme="minorEastAsia" w:eastAsiaTheme="minorEastAsia" w:cstheme="minorEastAsia"/>
          <w:color w:val="auto"/>
          <w:kern w:val="0"/>
          <w:highlight w:val="none"/>
        </w:rPr>
        <w:t>”。</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9" w:name="_Toc515908172"/>
      <w:r>
        <w:rPr>
          <w:rFonts w:hint="eastAsia" w:asciiTheme="minorEastAsia" w:hAnsiTheme="minorEastAsia" w:eastAsiaTheme="minorEastAsia" w:cstheme="minorEastAsia"/>
          <w:color w:val="auto"/>
          <w:sz w:val="28"/>
          <w:szCs w:val="28"/>
          <w:highlight w:val="none"/>
          <w:lang w:val="zh-CN"/>
        </w:rPr>
        <w:t>3.投标费用</w:t>
      </w:r>
      <w:bookmarkEnd w:id="9"/>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投标人应自愿承担与参加本次投标有关的费用。采购代理机构对投标人发生的费用不承担任何责任。</w:t>
      </w:r>
    </w:p>
    <w:p>
      <w:pPr>
        <w:pStyle w:val="17"/>
        <w:spacing w:before="0" w:after="0" w:line="360" w:lineRule="auto"/>
        <w:rPr>
          <w:rFonts w:hint="eastAsia" w:asciiTheme="minorEastAsia" w:hAnsiTheme="minorEastAsia" w:eastAsiaTheme="minorEastAsia" w:cstheme="minorEastAsia"/>
          <w:color w:val="auto"/>
          <w:highlight w:val="none"/>
        </w:rPr>
      </w:pPr>
      <w:bookmarkStart w:id="10" w:name="_Toc515908173"/>
      <w:r>
        <w:rPr>
          <w:rFonts w:hint="eastAsia" w:asciiTheme="minorEastAsia" w:hAnsiTheme="minorEastAsia" w:eastAsiaTheme="minorEastAsia" w:cstheme="minorEastAsia"/>
          <w:color w:val="auto"/>
          <w:highlight w:val="none"/>
          <w:lang w:val="zh-CN"/>
        </w:rPr>
        <w:t>二、招标文件说明</w:t>
      </w:r>
      <w:bookmarkEnd w:id="10"/>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1" w:name="_Toc515908174"/>
      <w:r>
        <w:rPr>
          <w:rFonts w:hint="eastAsia" w:asciiTheme="minorEastAsia" w:hAnsiTheme="minorEastAsia" w:eastAsiaTheme="minorEastAsia" w:cstheme="minorEastAsia"/>
          <w:color w:val="auto"/>
          <w:sz w:val="28"/>
          <w:szCs w:val="28"/>
          <w:highlight w:val="none"/>
          <w:lang w:val="zh-CN"/>
        </w:rPr>
        <w:t>4.招标文件的构成</w:t>
      </w:r>
      <w:bookmarkEnd w:id="11"/>
    </w:p>
    <w:p>
      <w:pPr>
        <w:autoSpaceDE w:val="0"/>
        <w:autoSpaceDN w:val="0"/>
        <w:spacing w:line="360" w:lineRule="auto"/>
        <w:ind w:firstLine="360" w:firstLineChars="15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招标文件包括：</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（1）投标邀请</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）投标人须知</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）青海省政府采购项目合同书范本</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4</w:t>
      </w:r>
      <w:r>
        <w:rPr>
          <w:rFonts w:hint="eastAsia" w:asciiTheme="minorEastAsia" w:hAnsiTheme="minorEastAsia" w:eastAsiaTheme="minorEastAsia" w:cstheme="minorEastAsia"/>
          <w:color w:val="auto"/>
          <w:kern w:val="0"/>
          <w:highlight w:val="none"/>
          <w:lang w:val="zh-CN"/>
        </w:rPr>
        <w:t>）投标文件格式</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5</w:t>
      </w:r>
      <w:r>
        <w:rPr>
          <w:rFonts w:hint="eastAsia" w:asciiTheme="minorEastAsia" w:hAnsiTheme="minorEastAsia" w:eastAsiaTheme="minorEastAsia" w:cstheme="minorEastAsia"/>
          <w:color w:val="auto"/>
          <w:kern w:val="0"/>
          <w:highlight w:val="none"/>
          <w:lang w:val="zh-CN"/>
        </w:rPr>
        <w:t>）采购项目要求及技术参数</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6</w:t>
      </w:r>
      <w:r>
        <w:rPr>
          <w:rFonts w:hint="eastAsia" w:asciiTheme="minorEastAsia" w:hAnsiTheme="minorEastAsia" w:eastAsiaTheme="minorEastAsia" w:cstheme="minorEastAsia"/>
          <w:color w:val="auto"/>
          <w:kern w:val="0"/>
          <w:highlight w:val="none"/>
          <w:lang w:val="zh-CN"/>
        </w:rPr>
        <w:t>）采购过程中发生的澄清、变更和补充文件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4.2 </w:t>
      </w:r>
      <w:r>
        <w:rPr>
          <w:rFonts w:hint="eastAsia" w:asciiTheme="minorEastAsia" w:hAnsiTheme="minorEastAsia" w:eastAsiaTheme="minorEastAsia" w:cstheme="minorEastAsia"/>
          <w:color w:val="auto"/>
          <w:kern w:val="0"/>
          <w:highlight w:val="none"/>
        </w:rPr>
        <w:t>投标人应当按照招标文件的要求编制投标文件。投标文件应当对招标文件提出的要求和条件作出明确响应。</w:t>
      </w:r>
    </w:p>
    <w:p>
      <w:pPr>
        <w:pStyle w:val="17"/>
        <w:spacing w:before="0" w:after="0" w:line="360" w:lineRule="auto"/>
        <w:jc w:val="left"/>
        <w:rPr>
          <w:rFonts w:hint="eastAsia" w:asciiTheme="minorEastAsia" w:hAnsiTheme="minorEastAsia" w:eastAsiaTheme="minorEastAsia" w:cstheme="minorEastAsia"/>
          <w:color w:val="auto"/>
          <w:sz w:val="28"/>
          <w:szCs w:val="28"/>
          <w:highlight w:val="none"/>
          <w:lang w:val="zh-CN"/>
        </w:rPr>
      </w:pPr>
      <w:bookmarkStart w:id="12" w:name="_Toc515908175"/>
      <w:r>
        <w:rPr>
          <w:rFonts w:hint="eastAsia" w:asciiTheme="minorEastAsia" w:hAnsiTheme="minorEastAsia" w:eastAsiaTheme="minorEastAsia" w:cstheme="minorEastAsia"/>
          <w:color w:val="auto"/>
          <w:sz w:val="28"/>
          <w:szCs w:val="28"/>
          <w:highlight w:val="none"/>
          <w:lang w:val="zh-CN"/>
        </w:rPr>
        <w:t>5.招标文件、采购活动和中标结果的质疑</w:t>
      </w:r>
      <w:bookmarkEnd w:id="12"/>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hint="eastAsia" w:asciiTheme="minorEastAsia" w:hAnsiTheme="minorEastAsia" w:eastAsiaTheme="minorEastAsia" w:cstheme="minorEastAsia"/>
          <w:color w:val="auto"/>
          <w:highlight w:val="none"/>
        </w:rPr>
        <w:t>潜在供应商已依法获取其可质疑的采购文件的，可以对该文件提出质疑，对采购文件提出质疑的，应当在获取采购文件或者采购文件公告期限届满之日起7个工作日内提出</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highlight w:val="none"/>
        </w:rPr>
        <w:t>供应商须在法定质疑期内一次性提出针对同一采购程序环节的质疑。</w:t>
      </w:r>
      <w:r>
        <w:rPr>
          <w:rFonts w:hint="eastAsia" w:asciiTheme="minorEastAsia" w:hAnsiTheme="minorEastAsia" w:eastAsiaTheme="minorEastAsia" w:cstheme="minorEastAsia"/>
          <w:color w:val="auto"/>
          <w:kern w:val="0"/>
          <w:highlight w:val="none"/>
          <w:lang w:val="zh-CN"/>
        </w:rPr>
        <w:t>采购人或采购代理机构在收到书面</w:t>
      </w:r>
      <w:r>
        <w:rPr>
          <w:rFonts w:hint="eastAsia" w:asciiTheme="minorEastAsia" w:hAnsiTheme="minorEastAsia" w:eastAsiaTheme="minorEastAsia" w:cstheme="minorEastAsia"/>
          <w:color w:val="auto"/>
          <w:highlight w:val="none"/>
        </w:rPr>
        <w:t>质疑函后7个工作日内作出答复</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投标人应知其权益受到损害之日，是指：</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（二）对采购过程提出质疑的，为各采购程序环节结束之日；</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（三）对中标结果提出质疑的，为中标结果公告期限届满之日。</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3" w:name="_Toc515908176"/>
      <w:r>
        <w:rPr>
          <w:rFonts w:hint="eastAsia" w:asciiTheme="minorEastAsia" w:hAnsiTheme="minorEastAsia" w:eastAsiaTheme="minorEastAsia" w:cstheme="minorEastAsia"/>
          <w:color w:val="auto"/>
          <w:sz w:val="28"/>
          <w:szCs w:val="28"/>
          <w:highlight w:val="none"/>
          <w:lang w:val="zh-CN"/>
        </w:rPr>
        <w:t>6.招标文件的澄清或修改</w:t>
      </w:r>
      <w:bookmarkEnd w:id="13"/>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17"/>
        <w:spacing w:before="0" w:after="0" w:line="360" w:lineRule="auto"/>
        <w:rPr>
          <w:rFonts w:hint="eastAsia" w:asciiTheme="minorEastAsia" w:hAnsiTheme="minorEastAsia" w:eastAsiaTheme="minorEastAsia" w:cstheme="minorEastAsia"/>
          <w:color w:val="auto"/>
          <w:highlight w:val="none"/>
        </w:rPr>
      </w:pPr>
      <w:bookmarkStart w:id="14" w:name="_Toc515908177"/>
      <w:r>
        <w:rPr>
          <w:rFonts w:hint="eastAsia" w:asciiTheme="minorEastAsia" w:hAnsiTheme="minorEastAsia" w:eastAsiaTheme="minorEastAsia" w:cstheme="minorEastAsia"/>
          <w:color w:val="auto"/>
          <w:highlight w:val="none"/>
          <w:lang w:val="zh-CN"/>
        </w:rPr>
        <w:t>三、投标文件的编制</w:t>
      </w:r>
      <w:bookmarkEnd w:id="14"/>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5" w:name="_Toc515908178"/>
      <w:r>
        <w:rPr>
          <w:rFonts w:hint="eastAsia" w:asciiTheme="minorEastAsia" w:hAnsiTheme="minorEastAsia" w:eastAsiaTheme="minorEastAsia" w:cstheme="minorEastAsia"/>
          <w:color w:val="auto"/>
          <w:sz w:val="28"/>
          <w:szCs w:val="28"/>
          <w:highlight w:val="none"/>
          <w:lang w:val="zh-CN"/>
        </w:rPr>
        <w:t>7.投标文件的语言及度量衡单位</w:t>
      </w:r>
      <w:bookmarkEnd w:id="15"/>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7.1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投标人提交的投标文件以及投标人与采购代理机构就此投标发生的所有来往函电均应使用简体中文。</w:t>
      </w:r>
      <w:r>
        <w:rPr>
          <w:rFonts w:hint="eastAsia" w:asciiTheme="minorEastAsia" w:hAnsiTheme="minorEastAsia" w:eastAsiaTheme="minorEastAsia" w:cstheme="minorEastAsia"/>
          <w:color w:val="auto"/>
          <w:highlight w:val="none"/>
        </w:rPr>
        <w:t>除签名、盖章、专用名称等特殊情形外，以中文汉语以外的文字表述的投标文件视同未提供。</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7.3 附有外文资料的须翻译成中文，并加盖投标人公章，如果翻译的中文资料与外文资料出现差异与矛盾时，以中文为准，其准确性由投标人负责。</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6" w:name="_Toc515908179"/>
      <w:r>
        <w:rPr>
          <w:rFonts w:hint="eastAsia" w:asciiTheme="minorEastAsia" w:hAnsiTheme="minorEastAsia" w:eastAsiaTheme="minorEastAsia" w:cstheme="minorEastAsia"/>
          <w:color w:val="auto"/>
          <w:sz w:val="28"/>
          <w:szCs w:val="28"/>
          <w:highlight w:val="none"/>
          <w:lang w:val="zh-CN"/>
        </w:rPr>
        <w:t>8.投标报价及币种</w:t>
      </w:r>
      <w:bookmarkEnd w:id="16"/>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8.1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8.2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投标报价有效期与投标有效期一致。</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8.</w:t>
      </w:r>
      <w:r>
        <w:rPr>
          <w:rFonts w:hint="eastAsia" w:asciiTheme="minorEastAsia" w:hAnsiTheme="minorEastAsia" w:eastAsiaTheme="minorEastAsia" w:cstheme="minorEastAsia"/>
          <w:color w:val="auto"/>
          <w:kern w:val="0"/>
          <w:highlight w:val="none"/>
        </w:rPr>
        <w:t xml:space="preserve">3 </w:t>
      </w:r>
      <w:r>
        <w:rPr>
          <w:rFonts w:hint="eastAsia" w:asciiTheme="minorEastAsia" w:hAnsiTheme="minorEastAsia" w:eastAsiaTheme="minorEastAsia" w:cstheme="minorEastAsia"/>
          <w:color w:val="auto"/>
          <w:kern w:val="0"/>
          <w:highlight w:val="none"/>
          <w:lang w:val="zh-CN"/>
        </w:rPr>
        <w:t>投标报价为闭口价，即中标后在合同有效期内价格不变。</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8.</w:t>
      </w:r>
      <w:r>
        <w:rPr>
          <w:rFonts w:hint="eastAsia" w:asciiTheme="minorEastAsia" w:hAnsiTheme="minorEastAsia" w:eastAsiaTheme="minorEastAsia" w:cstheme="minorEastAsia"/>
          <w:color w:val="auto"/>
          <w:kern w:val="0"/>
          <w:highlight w:val="none"/>
        </w:rPr>
        <w:t xml:space="preserve">4 </w:t>
      </w:r>
      <w:r>
        <w:rPr>
          <w:rFonts w:hint="eastAsia" w:asciiTheme="minorEastAsia" w:hAnsiTheme="minorEastAsia" w:eastAsiaTheme="minorEastAsia" w:cstheme="minorEastAsia"/>
          <w:color w:val="auto"/>
          <w:kern w:val="0"/>
          <w:highlight w:val="none"/>
          <w:lang w:val="zh-CN"/>
        </w:rPr>
        <w:t>投标币种是人民币。</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7" w:name="_Toc515908180"/>
      <w:r>
        <w:rPr>
          <w:rFonts w:hint="eastAsia" w:asciiTheme="minorEastAsia" w:hAnsiTheme="minorEastAsia" w:eastAsiaTheme="minorEastAsia" w:cstheme="minorEastAsia"/>
          <w:color w:val="auto"/>
          <w:sz w:val="28"/>
          <w:szCs w:val="28"/>
          <w:highlight w:val="none"/>
          <w:lang w:val="zh-CN"/>
        </w:rPr>
        <w:t>9.投标保证金</w:t>
      </w:r>
      <w:bookmarkEnd w:id="17"/>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9.1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投标人须在投标截止期前按以下要求交纳投标保证金（说明：收取的投标保证金不得超过采购项目预算金额的2%）：</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投标保证金：</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en-US" w:eastAsia="zh-CN"/>
        </w:rPr>
        <w:t>64000</w:t>
      </w:r>
      <w:r>
        <w:rPr>
          <w:rFonts w:hint="eastAsia" w:asciiTheme="minorEastAsia" w:hAnsiTheme="minorEastAsia" w:eastAsiaTheme="minorEastAsia" w:cstheme="minorEastAsia"/>
          <w:color w:val="auto"/>
          <w:kern w:val="0"/>
          <w:highlight w:val="none"/>
          <w:lang w:val="zh-CN"/>
        </w:rPr>
        <w:t>元整（大写：陆万肆仟元整）；</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en-US" w:eastAsia="zh-CN"/>
        </w:rPr>
        <w:t>：64000元整（</w:t>
      </w:r>
      <w:r>
        <w:rPr>
          <w:rFonts w:hint="eastAsia" w:asciiTheme="minorEastAsia" w:hAnsiTheme="minorEastAsia" w:eastAsiaTheme="minorEastAsia" w:cstheme="minorEastAsia"/>
          <w:color w:val="auto"/>
          <w:kern w:val="0"/>
          <w:highlight w:val="none"/>
        </w:rPr>
        <w:t>大写：</w:t>
      </w:r>
      <w:r>
        <w:rPr>
          <w:rFonts w:hint="eastAsia" w:asciiTheme="minorEastAsia" w:hAnsiTheme="minorEastAsia" w:eastAsiaTheme="minorEastAsia" w:cstheme="minorEastAsia"/>
          <w:color w:val="auto"/>
          <w:kern w:val="0"/>
          <w:highlight w:val="none"/>
          <w:lang w:eastAsia="zh-CN"/>
        </w:rPr>
        <w:t>陆万肆仟</w:t>
      </w:r>
      <w:r>
        <w:rPr>
          <w:rFonts w:hint="eastAsia" w:asciiTheme="minorEastAsia" w:hAnsiTheme="minorEastAsia" w:eastAsiaTheme="minorEastAsia" w:cstheme="minorEastAsia"/>
          <w:color w:val="auto"/>
          <w:kern w:val="0"/>
          <w:highlight w:val="none"/>
        </w:rPr>
        <w:t>元整）；</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lang w:val="en-US" w:eastAsia="zh-CN"/>
        </w:rPr>
        <w:t>65000</w:t>
      </w:r>
      <w:r>
        <w:rPr>
          <w:rFonts w:hint="eastAsia" w:asciiTheme="minorEastAsia" w:hAnsiTheme="minorEastAsia" w:eastAsiaTheme="minorEastAsia" w:cstheme="minorEastAsia"/>
          <w:color w:val="auto"/>
          <w:kern w:val="0"/>
          <w:highlight w:val="none"/>
          <w:lang w:val="zh-CN"/>
        </w:rPr>
        <w:t>元整（大写：陆万伍仟元整）；</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lang w:val="en-US" w:eastAsia="zh-CN"/>
        </w:rPr>
        <w:t>4</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lang w:val="en-US" w:eastAsia="zh-CN"/>
        </w:rPr>
        <w:t>60000</w:t>
      </w:r>
      <w:r>
        <w:rPr>
          <w:rFonts w:hint="eastAsia" w:asciiTheme="minorEastAsia" w:hAnsiTheme="minorEastAsia" w:eastAsiaTheme="minorEastAsia" w:cstheme="minorEastAsia"/>
          <w:color w:val="auto"/>
          <w:kern w:val="0"/>
          <w:highlight w:val="none"/>
          <w:lang w:val="zh-CN"/>
        </w:rPr>
        <w:t>元整（大写：陆万元整）；</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kern w:val="0"/>
          <w:highlight w:val="none"/>
          <w:lang w:val="zh-CN"/>
        </w:rPr>
        <w:t>包</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lang w:val="en-US" w:eastAsia="zh-CN"/>
        </w:rPr>
        <w:t>65000</w:t>
      </w:r>
      <w:r>
        <w:rPr>
          <w:rFonts w:hint="eastAsia" w:asciiTheme="minorEastAsia" w:hAnsiTheme="minorEastAsia" w:eastAsiaTheme="minorEastAsia" w:cstheme="minorEastAsia"/>
          <w:color w:val="auto"/>
          <w:kern w:val="0"/>
          <w:highlight w:val="none"/>
          <w:lang w:val="zh-CN"/>
        </w:rPr>
        <w:t>元整（大写：陆万伍仟元整）；</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收款单位：兰州众信招标有限公司青海分公司</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开 户 行：青海银行股份有限公司中心广场支行</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银行账号：0701201000155335</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交纳时间：20</w:t>
      </w:r>
      <w:r>
        <w:rPr>
          <w:rFonts w:hint="eastAsia" w:asciiTheme="minorEastAsia" w:hAnsiTheme="minorEastAsia" w:eastAsiaTheme="minorEastAsia" w:cstheme="minorEastAsia"/>
          <w:color w:val="auto"/>
          <w:kern w:val="0"/>
          <w:highlight w:val="none"/>
          <w:lang w:val="en-US" w:eastAsia="zh-CN"/>
        </w:rPr>
        <w:t>20</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lang w:val="en-US" w:eastAsia="zh-CN"/>
        </w:rPr>
        <w:t>11</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19</w:t>
      </w:r>
      <w:r>
        <w:rPr>
          <w:rFonts w:hint="eastAsia" w:asciiTheme="minorEastAsia" w:hAnsiTheme="minorEastAsia" w:eastAsiaTheme="minorEastAsia" w:cstheme="minorEastAsia"/>
          <w:color w:val="auto"/>
          <w:kern w:val="0"/>
          <w:highlight w:val="none"/>
          <w:lang w:val="zh-CN"/>
        </w:rPr>
        <w:t>日</w:t>
      </w:r>
      <w:r>
        <w:rPr>
          <w:rFonts w:hint="eastAsia" w:asciiTheme="minorEastAsia" w:hAnsiTheme="minorEastAsia" w:eastAsiaTheme="minorEastAsia" w:cstheme="minorEastAsia"/>
          <w:color w:val="auto"/>
          <w:kern w:val="0"/>
          <w:highlight w:val="none"/>
          <w:lang w:val="en-US" w:eastAsia="zh-CN"/>
        </w:rPr>
        <w:t>10</w:t>
      </w:r>
      <w:r>
        <w:rPr>
          <w:rFonts w:hint="eastAsia" w:asciiTheme="minorEastAsia" w:hAnsiTheme="minorEastAsia" w:eastAsiaTheme="minorEastAsia" w:cstheme="minorEastAsia"/>
          <w:color w:val="auto"/>
          <w:kern w:val="0"/>
          <w:highlight w:val="none"/>
          <w:lang w:val="zh-CN"/>
        </w:rPr>
        <w:t>时</w:t>
      </w:r>
      <w:r>
        <w:rPr>
          <w:rFonts w:hint="eastAsia" w:asciiTheme="minorEastAsia" w:hAnsiTheme="minorEastAsia" w:eastAsiaTheme="minorEastAsia" w:cstheme="minorEastAsia"/>
          <w:color w:val="auto"/>
          <w:kern w:val="0"/>
          <w:highlight w:val="none"/>
          <w:lang w:val="en-US" w:eastAsia="zh-CN"/>
        </w:rPr>
        <w:t>00</w:t>
      </w:r>
      <w:r>
        <w:rPr>
          <w:rFonts w:hint="eastAsia" w:asciiTheme="minorEastAsia" w:hAnsiTheme="minorEastAsia" w:eastAsiaTheme="minorEastAsia" w:cstheme="minorEastAsia"/>
          <w:color w:val="auto"/>
          <w:kern w:val="0"/>
          <w:highlight w:val="none"/>
          <w:lang w:val="zh-CN"/>
        </w:rPr>
        <w:t>分前，以银行到账时间为准。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如采购项目变更开标时间，则保证金交纳时间相应顺延。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9.2</w:t>
      </w:r>
      <w:r>
        <w:rPr>
          <w:rFonts w:hint="eastAsia" w:asciiTheme="minorEastAsia" w:hAnsiTheme="minorEastAsia" w:eastAsiaTheme="minorEastAsia" w:cstheme="minorEastAsia"/>
          <w:color w:val="auto"/>
          <w:kern w:val="0"/>
          <w:highlight w:val="none"/>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9.3</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投标保证金退还：投标人在投标截止时间前撤回已提交的投标文件的，采购代理机构应当自收到投标人书面撤回通知之日起</w:t>
      </w:r>
      <w:r>
        <w:rPr>
          <w:rFonts w:hint="eastAsia" w:asciiTheme="minorEastAsia" w:hAnsiTheme="minorEastAsia" w:eastAsiaTheme="minorEastAsia" w:cstheme="minorEastAsia"/>
          <w:color w:val="auto"/>
          <w:kern w:val="0"/>
          <w:highlight w:val="none"/>
        </w:rPr>
        <w:t>5</w:t>
      </w:r>
      <w:r>
        <w:rPr>
          <w:rFonts w:hint="eastAsia" w:asciiTheme="minorEastAsia" w:hAnsiTheme="minorEastAsia" w:eastAsiaTheme="minorEastAsia" w:cstheme="minorEastAsia"/>
          <w:color w:val="auto"/>
          <w:kern w:val="0"/>
          <w:highlight w:val="none"/>
          <w:lang w:val="zh-CN"/>
        </w:rPr>
        <w:t>个工作日内，退还已收取的投标保证金，但因投标人自身原因导致无法及时退还的除外。</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9.4 投标有效期内投标人撤销投标文件的，采购人或者采购代理机构可以不退还投标保证金。</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8" w:name="_Toc515908181"/>
      <w:r>
        <w:rPr>
          <w:rFonts w:hint="eastAsia" w:asciiTheme="minorEastAsia" w:hAnsiTheme="minorEastAsia" w:eastAsiaTheme="minorEastAsia" w:cstheme="minorEastAsia"/>
          <w:color w:val="auto"/>
          <w:sz w:val="28"/>
          <w:szCs w:val="28"/>
          <w:highlight w:val="none"/>
          <w:lang w:val="zh-CN"/>
        </w:rPr>
        <w:t>10.投标有效期</w:t>
      </w:r>
      <w:bookmarkEnd w:id="18"/>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shd w:val="clear" w:color="auto" w:fill="FFFFFF"/>
        </w:rPr>
        <w:t>从提交投标文件的截止之日起</w:t>
      </w:r>
      <w:r>
        <w:rPr>
          <w:rFonts w:hint="eastAsia" w:asciiTheme="minorEastAsia" w:hAnsiTheme="minorEastAsia" w:eastAsiaTheme="minorEastAsia" w:cstheme="minorEastAsia"/>
          <w:color w:val="auto"/>
          <w:kern w:val="0"/>
          <w:highlight w:val="none"/>
          <w:lang w:val="zh-CN"/>
        </w:rPr>
        <w:t>60日历日（说明：一般为</w:t>
      </w:r>
      <w:r>
        <w:rPr>
          <w:rFonts w:hint="eastAsia" w:asciiTheme="minorEastAsia" w:hAnsiTheme="minorEastAsia" w:eastAsiaTheme="minorEastAsia" w:cstheme="minorEastAsia"/>
          <w:color w:val="auto"/>
          <w:kern w:val="0"/>
          <w:highlight w:val="none"/>
        </w:rPr>
        <w:t>60天</w:t>
      </w:r>
      <w:r>
        <w:rPr>
          <w:rFonts w:hint="eastAsia" w:asciiTheme="minorEastAsia" w:hAnsiTheme="minorEastAsia" w:eastAsiaTheme="minorEastAsia" w:cstheme="minorEastAsia"/>
          <w:color w:val="auto"/>
          <w:kern w:val="0"/>
          <w:highlight w:val="none"/>
          <w:lang w:val="zh-CN"/>
        </w:rPr>
        <w:t>）。投标文件中承诺的投标有效期应当不少于招标文件中载明的投标有效期。</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19" w:name="_Toc515908182"/>
      <w:r>
        <w:rPr>
          <w:rFonts w:hint="eastAsia" w:asciiTheme="minorEastAsia" w:hAnsiTheme="minorEastAsia" w:eastAsiaTheme="minorEastAsia" w:cstheme="minorEastAsia"/>
          <w:color w:val="auto"/>
          <w:sz w:val="28"/>
          <w:szCs w:val="28"/>
          <w:highlight w:val="none"/>
          <w:lang w:val="zh-CN"/>
        </w:rPr>
        <w:t>11.投标文件构成</w:t>
      </w:r>
      <w:bookmarkEnd w:id="19"/>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kern w:val="0"/>
          <w:highlight w:val="none"/>
        </w:rPr>
        <w:t>11.1</w:t>
      </w:r>
      <w:r>
        <w:rPr>
          <w:rFonts w:hint="eastAsia" w:asciiTheme="minorEastAsia" w:hAnsiTheme="minorEastAsia" w:eastAsiaTheme="minorEastAsia" w:cstheme="minorEastAsia"/>
          <w:b/>
          <w:bCs/>
          <w:color w:val="auto"/>
          <w:kern w:val="0"/>
          <w:highlight w:val="none"/>
          <w:lang w:val="zh-CN"/>
        </w:rPr>
        <w:t>、投标文件（上册）（资格审查）</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投标函</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法定代表人证明书</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法定代表人授权书</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投标人承诺函</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投标人诚信承诺书</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资格证明材料</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财务状况报告，依法缴纳税收和社会保障资金的相关材料</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具备履行合同所必需的设备和专业技术能力的证明材料</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无重大违法记录声明</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投标保证金证明</w:t>
      </w:r>
    </w:p>
    <w:p>
      <w:pPr>
        <w:autoSpaceDE w:val="0"/>
        <w:autoSpaceDN w:val="0"/>
        <w:spacing w:line="360" w:lineRule="auto"/>
        <w:ind w:firstLine="482"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rPr>
        <w:t xml:space="preserve">11.2 </w:t>
      </w:r>
      <w:r>
        <w:rPr>
          <w:rFonts w:hint="eastAsia" w:asciiTheme="minorEastAsia" w:hAnsiTheme="minorEastAsia" w:eastAsiaTheme="minorEastAsia" w:cstheme="minorEastAsia"/>
          <w:b/>
          <w:bCs/>
          <w:color w:val="auto"/>
          <w:kern w:val="0"/>
          <w:highlight w:val="none"/>
          <w:lang w:val="zh-CN"/>
        </w:rPr>
        <w:t>投标文件（下册）</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评分对照表</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开标一览表（报价表）</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分项报价表</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技术规格响应表</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投标产品相关资料</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投标人的类似业绩证明材料</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制造（生产）企业小型、微型企业声明函、从业人员声明函</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残疾人福利性单位声明函</w:t>
      </w:r>
    </w:p>
    <w:p>
      <w:pPr>
        <w:numPr>
          <w:ilvl w:val="0"/>
          <w:numId w:val="1"/>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投标人认为在其他方面有必要说明的事项</w:t>
      </w:r>
    </w:p>
    <w:p>
      <w:pPr>
        <w:autoSpaceDE w:val="0"/>
        <w:autoSpaceDN w:val="0"/>
        <w:spacing w:line="360" w:lineRule="auto"/>
        <w:ind w:firstLine="600" w:firstLineChars="25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注：投标人须按上述内容、顺序和格式编制投标文件，并按要求编制目录、页码，并保证所提供的全部资料真实可信，自愿承担相应责任。</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20" w:name="_Toc515908183"/>
      <w:r>
        <w:rPr>
          <w:rFonts w:hint="eastAsia" w:asciiTheme="minorEastAsia" w:hAnsiTheme="minorEastAsia" w:eastAsiaTheme="minorEastAsia" w:cstheme="minorEastAsia"/>
          <w:color w:val="auto"/>
          <w:sz w:val="28"/>
          <w:szCs w:val="28"/>
          <w:highlight w:val="none"/>
          <w:lang w:val="zh-CN"/>
        </w:rPr>
        <w:t>12.投标文件的编制要求</w:t>
      </w:r>
      <w:bookmarkEnd w:id="20"/>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12.1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12.2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投标人应准备纸质投标文件正本1份</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、副本</w:t>
      </w:r>
      <w:r>
        <w:rPr>
          <w:rFonts w:hint="eastAsia" w:asciiTheme="minorEastAsia" w:hAnsiTheme="minorEastAsia" w:eastAsiaTheme="minorEastAsia" w:cstheme="minorEastAsia"/>
          <w:color w:val="auto"/>
          <w:kern w:val="0"/>
          <w:highlight w:val="none"/>
          <w:lang w:val="en-US" w:eastAsia="zh-CN"/>
        </w:rPr>
        <w:t>6</w:t>
      </w:r>
      <w:r>
        <w:rPr>
          <w:rFonts w:hint="eastAsia" w:asciiTheme="minorEastAsia" w:hAnsiTheme="minorEastAsia" w:eastAsiaTheme="minorEastAsia" w:cstheme="minorEastAsia"/>
          <w:color w:val="auto"/>
          <w:kern w:val="0"/>
          <w:highlight w:val="none"/>
          <w:lang w:val="zh-CN"/>
        </w:rPr>
        <w:t>份</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，电子文档1份</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。若发生正本和副本不符，以正本为准。投标文件统一使用A4幅面的纸张印制，必须胶装成</w:t>
      </w:r>
      <w:r>
        <w:rPr>
          <w:rFonts w:hint="eastAsia" w:asciiTheme="minorEastAsia" w:hAnsiTheme="minorEastAsia" w:eastAsiaTheme="minorEastAsia" w:cstheme="minorEastAsia"/>
          <w:color w:val="auto"/>
          <w:kern w:val="0"/>
          <w:highlight w:val="none"/>
        </w:rPr>
        <w:t>上、下两</w:t>
      </w:r>
      <w:r>
        <w:rPr>
          <w:rFonts w:hint="eastAsia" w:asciiTheme="minorEastAsia" w:hAnsiTheme="minorEastAsia" w:eastAsiaTheme="minorEastAsia" w:cstheme="minorEastAsia"/>
          <w:color w:val="auto"/>
          <w:kern w:val="0"/>
          <w:highlight w:val="none"/>
          <w:lang w:val="zh-CN"/>
        </w:rPr>
        <w:t>册并编码，其他方式装订的投标文件一概不予接受。封面左侧胶装处须打印此次采购项目名称及投标人名称，其他方式装订的投标文件一概不予接受。</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12.3 投标文件的正本</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需打印或用不褪色、不变质的墨水书写，副本</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可采用正本的复印件。电子文档</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用光盘或U盘制作，采用不可修改文档格式（如：PDF格式），内容必须和纸质投标文件正本</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完全一致，包括封面、页码、签字、盖章等。</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12.4 投标文件中不得行间插字、涂改或增删，如有修改错漏处，须由投标人法定代表人或其委托代理人签字、加盖公章。投标文件需由法定代表人或被授权人逐页小签，未小签投标文件按无效文件处理。</w:t>
      </w:r>
    </w:p>
    <w:p>
      <w:pPr>
        <w:pStyle w:val="17"/>
        <w:spacing w:before="0" w:after="0" w:line="360" w:lineRule="auto"/>
        <w:rPr>
          <w:rFonts w:hint="eastAsia" w:asciiTheme="minorEastAsia" w:hAnsiTheme="minorEastAsia" w:eastAsiaTheme="minorEastAsia" w:cstheme="minorEastAsia"/>
          <w:color w:val="auto"/>
          <w:highlight w:val="none"/>
        </w:rPr>
      </w:pPr>
      <w:bookmarkStart w:id="21" w:name="_Toc515908184"/>
      <w:r>
        <w:rPr>
          <w:rFonts w:hint="eastAsia" w:asciiTheme="minorEastAsia" w:hAnsiTheme="minorEastAsia" w:eastAsiaTheme="minorEastAsia" w:cstheme="minorEastAsia"/>
          <w:color w:val="auto"/>
          <w:highlight w:val="none"/>
          <w:lang w:val="zh-CN"/>
        </w:rPr>
        <w:t>四、投标文件的提交</w:t>
      </w:r>
      <w:bookmarkEnd w:id="21"/>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22" w:name="_Toc515908185"/>
      <w:r>
        <w:rPr>
          <w:rFonts w:hint="eastAsia" w:asciiTheme="minorEastAsia" w:hAnsiTheme="minorEastAsia" w:eastAsiaTheme="minorEastAsia" w:cstheme="minorEastAsia"/>
          <w:color w:val="auto"/>
          <w:sz w:val="28"/>
          <w:szCs w:val="28"/>
          <w:highlight w:val="none"/>
          <w:lang w:val="zh-CN"/>
        </w:rPr>
        <w:t>13.投标文件的密封和标记</w:t>
      </w:r>
      <w:bookmarkEnd w:id="22"/>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13.1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投标文件正本</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、所有副本</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、电子文档</w:t>
      </w:r>
      <w:r>
        <w:rPr>
          <w:rFonts w:hint="eastAsia" w:asciiTheme="minorEastAsia" w:hAnsiTheme="minorEastAsia" w:eastAsiaTheme="minorEastAsia" w:cstheme="minorEastAsia"/>
          <w:color w:val="auto"/>
          <w:kern w:val="0"/>
          <w:highlight w:val="none"/>
        </w:rPr>
        <w:t>(上、下册)</w:t>
      </w:r>
      <w:r>
        <w:rPr>
          <w:rFonts w:hint="eastAsia" w:asciiTheme="minorEastAsia" w:hAnsiTheme="minorEastAsia" w:eastAsiaTheme="minorEastAsia" w:cstheme="minorEastAsia"/>
          <w:color w:val="auto"/>
          <w:kern w:val="0"/>
          <w:highlight w:val="none"/>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13.2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密封后的投标文件密封袋用“于</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日</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时</w:t>
      </w:r>
      <w:r>
        <w:rPr>
          <w:rFonts w:hint="eastAsia" w:asciiTheme="minorEastAsia" w:hAnsiTheme="minorEastAsia" w:eastAsiaTheme="minorEastAsia" w:cstheme="minorEastAsia"/>
          <w:color w:val="auto"/>
          <w:kern w:val="0"/>
          <w:highlight w:val="none"/>
          <w:lang w:val="en-US" w:eastAsia="zh-CN"/>
        </w:rPr>
        <w:t>*</w:t>
      </w:r>
      <w:r>
        <w:rPr>
          <w:rFonts w:hint="eastAsia" w:asciiTheme="minorEastAsia" w:hAnsiTheme="minorEastAsia" w:eastAsiaTheme="minorEastAsia" w:cstheme="minorEastAsia"/>
          <w:color w:val="auto"/>
          <w:kern w:val="0"/>
          <w:highlight w:val="none"/>
          <w:lang w:val="zh-CN"/>
        </w:rPr>
        <w:t>分（北京时间）之前不准启封”的标签密封。</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13.</w:t>
      </w:r>
      <w:r>
        <w:rPr>
          <w:rFonts w:hint="eastAsia" w:asciiTheme="minorEastAsia" w:hAnsiTheme="minorEastAsia" w:eastAsiaTheme="minorEastAsia" w:cstheme="minorEastAsia"/>
          <w:color w:val="auto"/>
          <w:kern w:val="0"/>
          <w:highlight w:val="none"/>
        </w:rPr>
        <w:t>3 投标人</w:t>
      </w:r>
      <w:r>
        <w:rPr>
          <w:rFonts w:hint="eastAsia" w:asciiTheme="minorEastAsia" w:hAnsiTheme="minorEastAsia" w:eastAsiaTheme="minorEastAsia" w:cstheme="minorEastAsia"/>
          <w:color w:val="auto"/>
          <w:highlight w:val="none"/>
        </w:rPr>
        <w:t>如投多个包，投标文件每包分别按上述规定装订（如果有）。</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23" w:name="_Toc515908186"/>
      <w:r>
        <w:rPr>
          <w:rFonts w:hint="eastAsia" w:asciiTheme="minorEastAsia" w:hAnsiTheme="minorEastAsia" w:eastAsiaTheme="minorEastAsia" w:cstheme="minorEastAsia"/>
          <w:color w:val="auto"/>
          <w:sz w:val="28"/>
          <w:szCs w:val="28"/>
          <w:highlight w:val="none"/>
          <w:lang w:val="zh-CN"/>
        </w:rPr>
        <w:t>14.提交投标文件的时间、地点、方式</w:t>
      </w:r>
      <w:bookmarkEnd w:id="23"/>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14.1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投标人应当在招标文件要求提交投标文件的截止时间前，将投标文件（</w:t>
      </w:r>
      <w:r>
        <w:rPr>
          <w:rFonts w:hint="eastAsia" w:asciiTheme="minorEastAsia" w:hAnsiTheme="minorEastAsia" w:eastAsiaTheme="minorEastAsia" w:cstheme="minorEastAsia"/>
          <w:color w:val="auto"/>
          <w:kern w:val="0"/>
          <w:highlight w:val="none"/>
        </w:rPr>
        <w:t>正本、副本、电子文档）</w:t>
      </w:r>
      <w:r>
        <w:rPr>
          <w:rFonts w:hint="eastAsia" w:asciiTheme="minorEastAsia" w:hAnsiTheme="minorEastAsia" w:eastAsiaTheme="minorEastAsia" w:cstheme="minorEastAsia"/>
          <w:color w:val="auto"/>
          <w:kern w:val="0"/>
          <w:highlight w:val="none"/>
          <w:lang w:val="zh-CN"/>
        </w:rPr>
        <w:t>密封送达投标地点，并按要求递交投标文件，</w:t>
      </w:r>
      <w:r>
        <w:rPr>
          <w:rFonts w:hint="eastAsia" w:asciiTheme="minorEastAsia" w:hAnsiTheme="minorEastAsia" w:eastAsiaTheme="minorEastAsia" w:cstheme="minorEastAsia"/>
          <w:color w:val="auto"/>
          <w:highlight w:val="none"/>
        </w:rPr>
        <w:t>在截止时间后送达的，采购人、采购机构或者评标委员会应当拒收。</w:t>
      </w:r>
      <w:r>
        <w:rPr>
          <w:rFonts w:hint="eastAsia" w:asciiTheme="minorEastAsia" w:hAnsiTheme="minorEastAsia" w:eastAsiaTheme="minorEastAsia" w:cstheme="minorEastAsia"/>
          <w:color w:val="auto"/>
          <w:kern w:val="0"/>
          <w:highlight w:val="none"/>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14.2 </w:t>
      </w:r>
      <w:r>
        <w:rPr>
          <w:rFonts w:hint="eastAsia" w:asciiTheme="minorEastAsia" w:hAnsiTheme="minorEastAsia" w:eastAsiaTheme="minorEastAsia" w:cstheme="minorEastAsia"/>
          <w:color w:val="auto"/>
          <w:kern w:val="0"/>
          <w:highlight w:val="none"/>
          <w:lang w:val="zh-CN"/>
        </w:rPr>
        <w:t>逾期送达或者未按照招标文件第13.1-1</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条要求密封的投标文件，采购人、采购代理机构应当拒收。</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24" w:name="_Toc515908187"/>
      <w:r>
        <w:rPr>
          <w:rFonts w:hint="eastAsia" w:asciiTheme="minorEastAsia" w:hAnsiTheme="minorEastAsia" w:eastAsiaTheme="minorEastAsia" w:cstheme="minorEastAsia"/>
          <w:color w:val="auto"/>
          <w:sz w:val="28"/>
          <w:szCs w:val="28"/>
          <w:highlight w:val="none"/>
          <w:lang w:val="zh-CN"/>
        </w:rPr>
        <w:t>15.投标文件的补充、修改或者撤回</w:t>
      </w:r>
      <w:bookmarkEnd w:id="24"/>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15.1</w:t>
      </w:r>
      <w:r>
        <w:rPr>
          <w:rFonts w:hint="eastAsia" w:asciiTheme="minorEastAsia" w:hAnsiTheme="minorEastAsia" w:eastAsiaTheme="minorEastAsia" w:cstheme="minorEastAsia"/>
          <w:color w:val="auto"/>
          <w:kern w:val="0"/>
          <w:highlight w:val="none"/>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7"/>
        <w:spacing w:before="0" w:after="0" w:line="360" w:lineRule="auto"/>
        <w:rPr>
          <w:rFonts w:hint="eastAsia" w:asciiTheme="minorEastAsia" w:hAnsiTheme="minorEastAsia" w:eastAsiaTheme="minorEastAsia" w:cstheme="minorEastAsia"/>
          <w:color w:val="auto"/>
          <w:highlight w:val="none"/>
        </w:rPr>
      </w:pPr>
      <w:bookmarkStart w:id="25" w:name="_Toc515908188"/>
      <w:r>
        <w:rPr>
          <w:rFonts w:hint="eastAsia" w:asciiTheme="minorEastAsia" w:hAnsiTheme="minorEastAsia" w:eastAsiaTheme="minorEastAsia" w:cstheme="minorEastAsia"/>
          <w:color w:val="auto"/>
          <w:highlight w:val="none"/>
          <w:lang w:val="zh-CN"/>
        </w:rPr>
        <w:t>五、开标</w:t>
      </w:r>
      <w:bookmarkEnd w:id="25"/>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26" w:name="_Toc515908189"/>
      <w:r>
        <w:rPr>
          <w:rFonts w:hint="eastAsia" w:asciiTheme="minorEastAsia" w:hAnsiTheme="minorEastAsia" w:eastAsiaTheme="minorEastAsia" w:cstheme="minorEastAsia"/>
          <w:color w:val="auto"/>
          <w:sz w:val="28"/>
          <w:szCs w:val="28"/>
          <w:highlight w:val="none"/>
          <w:lang w:val="zh-CN"/>
        </w:rPr>
        <w:t>16.开标</w:t>
      </w:r>
      <w:bookmarkEnd w:id="26"/>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16.1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16.2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highlight w:val="none"/>
          <w:shd w:val="clear" w:color="auto" w:fill="FFFFFF"/>
        </w:rPr>
        <w:t>开标由</w:t>
      </w:r>
      <w:r>
        <w:rPr>
          <w:rFonts w:hint="eastAsia" w:asciiTheme="minorEastAsia" w:hAnsiTheme="minorEastAsia" w:eastAsiaTheme="minorEastAsia" w:cstheme="minorEastAsia"/>
          <w:color w:val="auto"/>
          <w:kern w:val="0"/>
          <w:highlight w:val="none"/>
          <w:lang w:val="zh-CN"/>
        </w:rPr>
        <w:t>采购代理机构</w:t>
      </w:r>
      <w:r>
        <w:rPr>
          <w:rFonts w:hint="eastAsia" w:asciiTheme="minorEastAsia" w:hAnsiTheme="minorEastAsia" w:eastAsiaTheme="minorEastAsia" w:cstheme="minorEastAsia"/>
          <w:color w:val="auto"/>
          <w:highlight w:val="none"/>
          <w:shd w:val="clear" w:color="auto" w:fill="FFFFFF"/>
        </w:rPr>
        <w:t>主持，邀请投标人参加。评标委员会成员不得参加开标活动。</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kern w:val="0"/>
          <w:highlight w:val="none"/>
          <w:lang w:val="zh-CN"/>
        </w:rPr>
        <w:t xml:space="preserve">16.3 </w:t>
      </w:r>
      <w:r>
        <w:rPr>
          <w:rFonts w:hint="eastAsia" w:asciiTheme="minorEastAsia" w:hAnsiTheme="minorEastAsia" w:eastAsiaTheme="minorEastAsia" w:cstheme="minorEastAsia"/>
          <w:color w:val="auto"/>
          <w:highlight w:val="none"/>
          <w:shd w:val="clear" w:color="auto" w:fill="FFFFFF"/>
        </w:rPr>
        <w:t>开标时，应当由投标人或者其推选的代表检查投标文件的密封情况；经确认无误后，由</w:t>
      </w:r>
      <w:r>
        <w:rPr>
          <w:rFonts w:hint="eastAsia" w:asciiTheme="minorEastAsia" w:hAnsiTheme="minorEastAsia" w:eastAsiaTheme="minorEastAsia" w:cstheme="minorEastAsia"/>
          <w:color w:val="auto"/>
          <w:kern w:val="0"/>
          <w:highlight w:val="none"/>
          <w:lang w:val="zh-CN"/>
        </w:rPr>
        <w:t>采购代理机构</w:t>
      </w:r>
      <w:r>
        <w:rPr>
          <w:rFonts w:hint="eastAsia" w:asciiTheme="minorEastAsia" w:hAnsiTheme="minorEastAsia" w:eastAsiaTheme="minorEastAsia" w:cstheme="minorEastAsia"/>
          <w:color w:val="auto"/>
          <w:highlight w:val="none"/>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lang w:val="zh-CN"/>
        </w:rPr>
      </w:pPr>
      <w:r>
        <w:rPr>
          <w:rFonts w:hint="eastAsia" w:asciiTheme="minorEastAsia" w:hAnsiTheme="minorEastAsia" w:eastAsiaTheme="minorEastAsia" w:cstheme="minorEastAsia"/>
          <w:color w:val="auto"/>
          <w:highlight w:val="none"/>
          <w:shd w:val="clear" w:color="auto" w:fill="FFFFFF"/>
          <w:lang w:val="zh-CN"/>
        </w:rPr>
        <w:t>投标人不足3家的，不得开标。</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16.4 开标过程应当由</w:t>
      </w:r>
      <w:r>
        <w:rPr>
          <w:rFonts w:hint="eastAsia" w:asciiTheme="minorEastAsia" w:hAnsiTheme="minorEastAsia" w:eastAsiaTheme="minorEastAsia" w:cstheme="minorEastAsia"/>
          <w:color w:val="auto"/>
          <w:kern w:val="0"/>
          <w:highlight w:val="none"/>
          <w:lang w:val="zh-CN"/>
        </w:rPr>
        <w:t>采购代理机构</w:t>
      </w:r>
      <w:r>
        <w:rPr>
          <w:rFonts w:hint="eastAsia" w:asciiTheme="minorEastAsia" w:hAnsiTheme="minorEastAsia" w:eastAsiaTheme="minorEastAsia" w:cstheme="minorEastAsia"/>
          <w:color w:val="auto"/>
          <w:kern w:val="0"/>
          <w:highlight w:val="none"/>
        </w:rPr>
        <w:t>负责记录，由参加开标的各投标人代表和相关工作人员签字确认后随采购文件一并存档。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投标人未参加开标的，视同认可开标结果。</w:t>
      </w:r>
    </w:p>
    <w:p>
      <w:pPr>
        <w:pStyle w:val="17"/>
        <w:spacing w:before="0" w:after="0" w:line="360" w:lineRule="auto"/>
        <w:rPr>
          <w:rFonts w:hint="eastAsia" w:asciiTheme="minorEastAsia" w:hAnsiTheme="minorEastAsia" w:eastAsiaTheme="minorEastAsia" w:cstheme="minorEastAsia"/>
          <w:color w:val="auto"/>
          <w:kern w:val="0"/>
          <w:highlight w:val="none"/>
        </w:rPr>
      </w:pPr>
      <w:bookmarkStart w:id="27" w:name="_Toc515908190"/>
      <w:bookmarkStart w:id="28" w:name="_Toc496004006"/>
      <w:r>
        <w:rPr>
          <w:rFonts w:hint="eastAsia" w:asciiTheme="minorEastAsia" w:hAnsiTheme="minorEastAsia" w:eastAsiaTheme="minorEastAsia" w:cstheme="minorEastAsia"/>
          <w:color w:val="auto"/>
          <w:kern w:val="0"/>
          <w:szCs w:val="36"/>
          <w:highlight w:val="none"/>
        </w:rPr>
        <w:t>六、资格</w:t>
      </w:r>
      <w:r>
        <w:rPr>
          <w:rFonts w:hint="eastAsia" w:asciiTheme="minorEastAsia" w:hAnsiTheme="minorEastAsia" w:eastAsiaTheme="minorEastAsia" w:cstheme="minorEastAsia"/>
          <w:color w:val="auto"/>
          <w:highlight w:val="none"/>
          <w:lang w:val="zh-CN"/>
        </w:rPr>
        <w:t>审查</w:t>
      </w:r>
      <w:r>
        <w:rPr>
          <w:rFonts w:hint="eastAsia" w:asciiTheme="minorEastAsia" w:hAnsiTheme="minorEastAsia" w:eastAsiaTheme="minorEastAsia" w:cstheme="minorEastAsia"/>
          <w:color w:val="auto"/>
          <w:kern w:val="0"/>
          <w:szCs w:val="36"/>
          <w:highlight w:val="none"/>
        </w:rPr>
        <w:t>程序</w:t>
      </w:r>
      <w:bookmarkEnd w:id="27"/>
      <w:bookmarkEnd w:id="28"/>
    </w:p>
    <w:p>
      <w:pPr>
        <w:pStyle w:val="17"/>
        <w:spacing w:before="0" w:after="0" w:line="360" w:lineRule="auto"/>
        <w:jc w:val="left"/>
        <w:rPr>
          <w:rFonts w:hint="eastAsia" w:asciiTheme="minorEastAsia" w:hAnsiTheme="minorEastAsia" w:eastAsiaTheme="minorEastAsia" w:cstheme="minorEastAsia"/>
          <w:color w:val="auto"/>
          <w:sz w:val="28"/>
          <w:szCs w:val="28"/>
          <w:highlight w:val="none"/>
        </w:rPr>
      </w:pPr>
      <w:bookmarkStart w:id="29" w:name="_Toc515908191"/>
      <w:r>
        <w:rPr>
          <w:rFonts w:hint="eastAsia" w:asciiTheme="minorEastAsia" w:hAnsiTheme="minorEastAsia" w:eastAsiaTheme="minorEastAsia" w:cstheme="minorEastAsia"/>
          <w:color w:val="auto"/>
          <w:sz w:val="28"/>
          <w:szCs w:val="28"/>
          <w:highlight w:val="none"/>
        </w:rPr>
        <w:t>17.资格审查</w:t>
      </w:r>
      <w:bookmarkEnd w:id="29"/>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17.2 合格投标人不足3家的，不得评标。</w:t>
      </w:r>
    </w:p>
    <w:p>
      <w:pPr>
        <w:autoSpaceDE w:val="0"/>
        <w:autoSpaceDN w:val="0"/>
        <w:spacing w:line="360" w:lineRule="auto"/>
        <w:ind w:firstLine="480" w:firstLineChars="200"/>
        <w:rPr>
          <w:rFonts w:hint="eastAsia" w:asciiTheme="minorEastAsia" w:hAnsiTheme="minorEastAsia" w:eastAsiaTheme="minorEastAsia" w:cstheme="minorEastAsia"/>
          <w:color w:val="auto"/>
          <w:sz w:val="28"/>
          <w:szCs w:val="28"/>
          <w:highlight w:val="none"/>
        </w:rPr>
      </w:pPr>
      <w:bookmarkStart w:id="30" w:name="_Toc497503516"/>
      <w:bookmarkStart w:id="31" w:name="_Toc497503249"/>
      <w:bookmarkStart w:id="32" w:name="_Toc497503449"/>
      <w:bookmarkStart w:id="33" w:name="_Toc497503315"/>
      <w:bookmarkStart w:id="34" w:name="_Toc30809"/>
      <w:r>
        <w:rPr>
          <w:rFonts w:hint="eastAsia" w:asciiTheme="minorEastAsia" w:hAnsiTheme="minorEastAsia" w:eastAsiaTheme="minorEastAsia" w:cstheme="minorEastAsia"/>
          <w:color w:val="auto"/>
          <w:kern w:val="0"/>
          <w:highlight w:val="none"/>
        </w:rPr>
        <w:t>17.3 资格审查时，投标人存在下列情况之一的，按无效投标处理：</w:t>
      </w:r>
      <w:bookmarkEnd w:id="30"/>
      <w:bookmarkEnd w:id="31"/>
      <w:bookmarkEnd w:id="32"/>
      <w:bookmarkEnd w:id="33"/>
      <w:bookmarkEnd w:id="34"/>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highlight w:val="none"/>
          <w:shd w:val="clear" w:color="auto" w:fill="FFFFFF"/>
        </w:rPr>
        <w:t>不具备</w:t>
      </w:r>
      <w:r>
        <w:rPr>
          <w:rFonts w:hint="eastAsia" w:asciiTheme="minorEastAsia" w:hAnsiTheme="minorEastAsia" w:eastAsiaTheme="minorEastAsia" w:cstheme="minorEastAsia"/>
          <w:color w:val="auto"/>
          <w:kern w:val="0"/>
          <w:highlight w:val="none"/>
          <w:lang w:val="zh-CN"/>
        </w:rPr>
        <w:t>第一部分“投标邀请”中各包投标人资格要求</w:t>
      </w:r>
      <w:r>
        <w:rPr>
          <w:rFonts w:hint="eastAsia" w:asciiTheme="minorEastAsia" w:hAnsiTheme="minorEastAsia" w:eastAsiaTheme="minorEastAsia" w:cstheme="minorEastAsia"/>
          <w:color w:val="auto"/>
          <w:highlight w:val="none"/>
          <w:shd w:val="clear" w:color="auto" w:fill="FFFFFF"/>
        </w:rPr>
        <w:t>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财务审计报告或银行资信证明未加盖财务专用章</w:t>
      </w:r>
      <w:r>
        <w:rPr>
          <w:rFonts w:hint="eastAsia" w:asciiTheme="minorEastAsia" w:hAnsiTheme="minorEastAsia" w:eastAsiaTheme="minorEastAsia" w:cstheme="minorEastAsia"/>
          <w:color w:val="auto"/>
          <w:kern w:val="0"/>
          <w:highlight w:val="none"/>
        </w:rPr>
        <w:t>；</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未按第11.1要求提供相关资料的；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kern w:val="0"/>
          <w:highlight w:val="none"/>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未按照招标文件要求提供电子文档</w:t>
      </w:r>
      <w:r>
        <w:rPr>
          <w:rFonts w:hint="eastAsia" w:asciiTheme="minorEastAsia" w:hAnsiTheme="minorEastAsia" w:eastAsiaTheme="minorEastAsia" w:cstheme="minorEastAsia"/>
          <w:color w:val="auto"/>
          <w:kern w:val="0"/>
          <w:highlight w:val="none"/>
          <w:lang w:val="zh-CN"/>
        </w:rPr>
        <w:t>的；</w:t>
      </w:r>
    </w:p>
    <w:p>
      <w:pPr>
        <w:numPr>
          <w:ilvl w:val="0"/>
          <w:numId w:val="2"/>
        </w:numPr>
        <w:tabs>
          <w:tab w:val="left" w:pos="960"/>
        </w:tabs>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未按招标文件要求交纳或未足额交纳投标保证金的</w:t>
      </w:r>
      <w:r>
        <w:rPr>
          <w:rFonts w:hint="eastAsia" w:asciiTheme="minorEastAsia" w:hAnsiTheme="minorEastAsia" w:eastAsiaTheme="minorEastAsia" w:cstheme="minorEastAsia"/>
          <w:color w:val="auto"/>
          <w:kern w:val="0"/>
          <w:highlight w:val="none"/>
          <w:lang w:val="zh-CN"/>
        </w:rPr>
        <w:t>。</w:t>
      </w:r>
    </w:p>
    <w:p>
      <w:pPr>
        <w:pStyle w:val="17"/>
        <w:spacing w:before="0" w:after="0" w:line="360" w:lineRule="auto"/>
        <w:rPr>
          <w:rFonts w:hint="eastAsia" w:asciiTheme="minorEastAsia" w:hAnsiTheme="minorEastAsia" w:eastAsiaTheme="minorEastAsia" w:cstheme="minorEastAsia"/>
          <w:color w:val="auto"/>
          <w:highlight w:val="none"/>
        </w:rPr>
      </w:pPr>
      <w:bookmarkStart w:id="35" w:name="_Toc515908192"/>
      <w:r>
        <w:rPr>
          <w:rFonts w:hint="eastAsia" w:asciiTheme="minorEastAsia" w:hAnsiTheme="minorEastAsia" w:eastAsiaTheme="minorEastAsia" w:cstheme="minorEastAsia"/>
          <w:color w:val="auto"/>
          <w:highlight w:val="none"/>
          <w:lang w:val="zh-CN"/>
        </w:rPr>
        <w:t>七、评审程序及方法</w:t>
      </w:r>
      <w:bookmarkEnd w:id="35"/>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36" w:name="_Toc515908193"/>
      <w:r>
        <w:rPr>
          <w:rFonts w:hint="eastAsia" w:asciiTheme="minorEastAsia" w:hAnsiTheme="minorEastAsia" w:eastAsiaTheme="minorEastAsia" w:cstheme="minorEastAsia"/>
          <w:color w:val="auto"/>
          <w:sz w:val="28"/>
          <w:szCs w:val="28"/>
          <w:highlight w:val="none"/>
          <w:lang w:val="zh-CN"/>
        </w:rPr>
        <w:t>1</w:t>
      </w:r>
      <w:r>
        <w:rPr>
          <w:rFonts w:hint="eastAsia" w:asciiTheme="minorEastAsia" w:hAnsiTheme="minorEastAsia" w:eastAsiaTheme="minorEastAsia" w:cstheme="minorEastAsia"/>
          <w:color w:val="auto"/>
          <w:sz w:val="28"/>
          <w:szCs w:val="28"/>
          <w:highlight w:val="none"/>
        </w:rPr>
        <w:t>8</w:t>
      </w:r>
      <w:r>
        <w:rPr>
          <w:rFonts w:hint="eastAsia" w:asciiTheme="minorEastAsia" w:hAnsiTheme="minorEastAsia" w:eastAsiaTheme="minorEastAsia" w:cstheme="minorEastAsia"/>
          <w:color w:val="auto"/>
          <w:sz w:val="28"/>
          <w:szCs w:val="28"/>
          <w:highlight w:val="none"/>
          <w:lang w:val="zh-CN"/>
        </w:rPr>
        <w:t>.评标委员会</w:t>
      </w:r>
      <w:bookmarkEnd w:id="36"/>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18.1</w:t>
      </w:r>
      <w:r>
        <w:rPr>
          <w:rFonts w:hint="eastAsia" w:asciiTheme="minorEastAsia" w:hAnsiTheme="minorEastAsia" w:eastAsiaTheme="minorEastAsia" w:cstheme="minorEastAsia"/>
          <w:color w:val="auto"/>
          <w:kern w:val="0"/>
          <w:highlight w:val="none"/>
          <w:u w:val="single"/>
          <w:lang w:val="zh-CN"/>
        </w:rPr>
        <w:t>采</w:t>
      </w:r>
      <w:r>
        <w:rPr>
          <w:rFonts w:hint="eastAsia" w:asciiTheme="minorEastAsia" w:hAnsiTheme="minorEastAsia" w:eastAsiaTheme="minorEastAsia" w:cstheme="minorEastAsia"/>
          <w:color w:val="auto"/>
          <w:kern w:val="0"/>
          <w:highlight w:val="none"/>
          <w:lang w:val="zh-CN"/>
        </w:rPr>
        <w:t>购代理机构负责组织评标工作，并履行下列职责：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）宣布评标纪律；</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）公布投标人名单，告知评审专家应当回避的情形；</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4</w:t>
      </w:r>
      <w:r>
        <w:rPr>
          <w:rFonts w:hint="eastAsia" w:asciiTheme="minorEastAsia" w:hAnsiTheme="minorEastAsia" w:eastAsiaTheme="minorEastAsia" w:cstheme="minorEastAsia"/>
          <w:color w:val="auto"/>
          <w:kern w:val="0"/>
          <w:highlight w:val="none"/>
          <w:lang w:val="zh-CN"/>
        </w:rPr>
        <w:t>）组织评标委员会推选评标组长，采购人代表不得担任组长；</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5</w:t>
      </w:r>
      <w:r>
        <w:rPr>
          <w:rFonts w:hint="eastAsia" w:asciiTheme="minorEastAsia" w:hAnsiTheme="minorEastAsia" w:eastAsiaTheme="minorEastAsia" w:cstheme="minorEastAsia"/>
          <w:color w:val="auto"/>
          <w:kern w:val="0"/>
          <w:highlight w:val="none"/>
          <w:lang w:val="zh-CN"/>
        </w:rPr>
        <w:t>）在评标期间采取必要的通讯管理措施，保证评标活动不受外界干扰；</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6</w:t>
      </w:r>
      <w:r>
        <w:rPr>
          <w:rFonts w:hint="eastAsia" w:asciiTheme="minorEastAsia" w:hAnsiTheme="minorEastAsia" w:eastAsiaTheme="minorEastAsia" w:cstheme="minorEastAsia"/>
          <w:color w:val="auto"/>
          <w:kern w:val="0"/>
          <w:highlight w:val="none"/>
          <w:lang w:val="zh-CN"/>
        </w:rPr>
        <w:t>）根据评标委员会的要求介绍政府采购相关政策法规、招标文件；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7</w:t>
      </w:r>
      <w:r>
        <w:rPr>
          <w:rFonts w:hint="eastAsia" w:asciiTheme="minorEastAsia" w:hAnsiTheme="minorEastAsia" w:eastAsiaTheme="minorEastAsia" w:cstheme="minorEastAsia"/>
          <w:color w:val="auto"/>
          <w:kern w:val="0"/>
          <w:highlight w:val="none"/>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8</w:t>
      </w:r>
      <w:r>
        <w:rPr>
          <w:rFonts w:hint="eastAsia" w:asciiTheme="minorEastAsia" w:hAnsiTheme="minorEastAsia" w:eastAsiaTheme="minorEastAsia" w:cstheme="minorEastAsia"/>
          <w:color w:val="auto"/>
          <w:kern w:val="0"/>
          <w:highlight w:val="none"/>
          <w:lang w:val="zh-CN"/>
        </w:rPr>
        <w:t>）核对评标结果，有</w:t>
      </w:r>
      <w:r>
        <w:rPr>
          <w:rFonts w:hint="eastAsia" w:asciiTheme="minorEastAsia" w:hAnsiTheme="minorEastAsia" w:eastAsiaTheme="minorEastAsia" w:cstheme="minorEastAsia"/>
          <w:color w:val="auto"/>
          <w:kern w:val="0"/>
          <w:highlight w:val="none"/>
        </w:rPr>
        <w:t>20.4</w:t>
      </w:r>
      <w:r>
        <w:rPr>
          <w:rFonts w:hint="eastAsia" w:asciiTheme="minorEastAsia" w:hAnsiTheme="minorEastAsia" w:eastAsiaTheme="minorEastAsia" w:cstheme="minorEastAsia"/>
          <w:color w:val="auto"/>
          <w:kern w:val="0"/>
          <w:highlight w:val="none"/>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9</w:t>
      </w:r>
      <w:r>
        <w:rPr>
          <w:rFonts w:hint="eastAsia" w:asciiTheme="minorEastAsia" w:hAnsiTheme="minorEastAsia" w:eastAsiaTheme="minorEastAsia" w:cstheme="minorEastAsia"/>
          <w:color w:val="auto"/>
          <w:kern w:val="0"/>
          <w:highlight w:val="none"/>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10</w:t>
      </w:r>
      <w:r>
        <w:rPr>
          <w:rFonts w:hint="eastAsia" w:asciiTheme="minorEastAsia" w:hAnsiTheme="minorEastAsia" w:eastAsiaTheme="minorEastAsia" w:cstheme="minorEastAsia"/>
          <w:color w:val="auto"/>
          <w:kern w:val="0"/>
          <w:highlight w:val="none"/>
          <w:lang w:val="zh-CN"/>
        </w:rPr>
        <w:t>）处理与评标有关的其他事项。</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18.2 评标委员会负责具体评标事务，并独立履行下列职责：</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严格遵守评审工作纪律,按照客观、公正、审慎的原则,根据采购文件规定的评审程序、评审方法和评审标准进行独立评审</w:t>
      </w:r>
      <w:r>
        <w:rPr>
          <w:rFonts w:hint="eastAsia" w:asciiTheme="minorEastAsia" w:hAnsiTheme="minorEastAsia" w:eastAsiaTheme="minorEastAsia" w:cstheme="minorEastAsia"/>
          <w:color w:val="auto"/>
          <w:kern w:val="0"/>
          <w:highlight w:val="none"/>
          <w:lang w:val="zh-CN"/>
        </w:rPr>
        <w:t>；</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现采购文件内容违反国家有关强制性规定或者采购文件存在歧义、重大缺陷导致评审工作无法进行时,应当停止评审并向采购人或者采购代理机构书面说明情况</w:t>
      </w:r>
      <w:r>
        <w:rPr>
          <w:rFonts w:hint="eastAsia" w:asciiTheme="minorEastAsia" w:hAnsiTheme="minorEastAsia" w:eastAsiaTheme="minorEastAsia" w:cstheme="minorEastAsia"/>
          <w:color w:val="auto"/>
          <w:kern w:val="0"/>
          <w:highlight w:val="none"/>
          <w:lang w:val="zh-CN"/>
        </w:rPr>
        <w:t>；</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审查、评价投标文件是否符合招标文件的商务、技术等实质性要求</w:t>
      </w:r>
      <w:r>
        <w:rPr>
          <w:rFonts w:hint="eastAsia" w:asciiTheme="minorEastAsia" w:hAnsiTheme="minorEastAsia" w:eastAsiaTheme="minorEastAsia" w:cstheme="minorEastAsia"/>
          <w:color w:val="auto"/>
          <w:kern w:val="0"/>
          <w:highlight w:val="none"/>
          <w:lang w:val="zh-CN"/>
        </w:rPr>
        <w:t>；</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要求投标人对投标文件有关事项作出澄清或者说明；</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对投标文件进行比较和评价；</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确定中标候选人名单，以及根据采购人委托直接确定中标人；</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配合答复供应商的询问、质疑和投诉等事项,不得泄露评审文件、评审情况和在评审过程中获悉的商业秘密</w:t>
      </w:r>
      <w:r>
        <w:rPr>
          <w:rFonts w:hint="eastAsia" w:asciiTheme="minorEastAsia" w:hAnsiTheme="minorEastAsia" w:eastAsiaTheme="minorEastAsia" w:cstheme="minorEastAsia"/>
          <w:color w:val="auto"/>
          <w:kern w:val="0"/>
          <w:highlight w:val="none"/>
          <w:lang w:val="zh-CN"/>
        </w:rPr>
        <w:t>；</w:t>
      </w:r>
    </w:p>
    <w:p>
      <w:pPr>
        <w:numPr>
          <w:ilvl w:val="0"/>
          <w:numId w:val="3"/>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向采购人、采购代理机构或者有关部门报告评标中发现的违法行为。</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采购项目符合下列情形之一的，评标委员会成员人数应当为7人以上单数：</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（1）采购预算金额在1000万元以上；</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（2）技术复杂；</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（3）社会影响较大。</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评标委员会成员名单在评标结果公告前应当保密。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18.4</w:t>
      </w:r>
      <w:r>
        <w:rPr>
          <w:rFonts w:hint="eastAsia" w:asciiTheme="minorEastAsia" w:hAnsiTheme="minorEastAsia" w:eastAsiaTheme="minorEastAsia" w:cstheme="minorEastAsia"/>
          <w:color w:val="auto"/>
          <w:kern w:val="0"/>
          <w:highlight w:val="none"/>
          <w:lang w:val="zh-CN"/>
        </w:rPr>
        <w:t>采购代理机构</w:t>
      </w:r>
      <w:r>
        <w:rPr>
          <w:rFonts w:hint="eastAsia" w:asciiTheme="minorEastAsia" w:hAnsiTheme="minorEastAsia" w:eastAsiaTheme="minorEastAsia" w:cstheme="minorEastAsia"/>
          <w:color w:val="auto"/>
          <w:kern w:val="0"/>
          <w:highlight w:val="none"/>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8</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采购代理机构</w:t>
      </w:r>
      <w:r>
        <w:rPr>
          <w:rFonts w:hint="eastAsia" w:asciiTheme="minorEastAsia" w:hAnsiTheme="minorEastAsia" w:eastAsiaTheme="minorEastAsia" w:cstheme="minorEastAsia"/>
          <w:color w:val="auto"/>
          <w:kern w:val="0"/>
          <w:highlight w:val="none"/>
        </w:rPr>
        <w:t>应当将变更、重新组建评标委员会的情况予以记录，并随采购文件一并存档。</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37" w:name="_Toc515908194"/>
      <w:r>
        <w:rPr>
          <w:rFonts w:hint="eastAsia" w:asciiTheme="minorEastAsia" w:hAnsiTheme="minorEastAsia" w:eastAsiaTheme="minorEastAsia" w:cstheme="minorEastAsia"/>
          <w:color w:val="auto"/>
          <w:sz w:val="28"/>
          <w:szCs w:val="28"/>
          <w:highlight w:val="none"/>
        </w:rPr>
        <w:t>19</w:t>
      </w:r>
      <w:r>
        <w:rPr>
          <w:rFonts w:hint="eastAsia" w:asciiTheme="minorEastAsia" w:hAnsiTheme="minorEastAsia" w:eastAsiaTheme="minorEastAsia" w:cstheme="minorEastAsia"/>
          <w:color w:val="auto"/>
          <w:sz w:val="28"/>
          <w:szCs w:val="28"/>
          <w:highlight w:val="none"/>
          <w:lang w:val="zh-CN"/>
        </w:rPr>
        <w:t>.评审工作程序</w:t>
      </w:r>
      <w:bookmarkEnd w:id="37"/>
    </w:p>
    <w:p>
      <w:pPr>
        <w:autoSpaceDE w:val="0"/>
        <w:autoSpaceDN w:val="0"/>
        <w:spacing w:line="360" w:lineRule="auto"/>
        <w:ind w:firstLine="482"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1</w:t>
      </w:r>
      <w:r>
        <w:rPr>
          <w:rFonts w:hint="eastAsia" w:asciiTheme="minorEastAsia" w:hAnsiTheme="minorEastAsia" w:eastAsiaTheme="minorEastAsia" w:cstheme="minorEastAsia"/>
          <w:b/>
          <w:bCs/>
          <w:color w:val="auto"/>
          <w:kern w:val="0"/>
          <w:highlight w:val="none"/>
        </w:rPr>
        <w:t>9</w:t>
      </w:r>
      <w:r>
        <w:rPr>
          <w:rFonts w:hint="eastAsia" w:asciiTheme="minorEastAsia" w:hAnsiTheme="minorEastAsia" w:eastAsiaTheme="minorEastAsia" w:cstheme="minorEastAsia"/>
          <w:b/>
          <w:bCs/>
          <w:color w:val="auto"/>
          <w:kern w:val="0"/>
          <w:highlight w:val="none"/>
          <w:lang w:val="zh-CN"/>
        </w:rPr>
        <w:t>.1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19.1.1</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color w:val="auto"/>
          <w:kern w:val="0"/>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9</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.2投标人存在下列情况之一的，投标无效:</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符合性审查文件未按招标文件要求签署、盖章的；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lang w:val="zh-CN"/>
        </w:rPr>
        <w:t>未按第11</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zh-CN"/>
        </w:rPr>
        <w:t>2（11）-（1</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val="zh-CN"/>
        </w:rPr>
        <w:t>）款要求提供相关资料的；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产品交货时间不能满足招标文件要求的；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投标总报价超过招标文件规定的采购预算额度或者最高限价的；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投标产品未完全满足招标文件确定的重要技术指标、参数的；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存在串通投标行为；</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投标报价出现前后不一致，又不按19.1.3进行确认的；</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评标委员会认为应按无效投标处理的其他情况；</w:t>
      </w:r>
    </w:p>
    <w:p>
      <w:pPr>
        <w:numPr>
          <w:ilvl w:val="0"/>
          <w:numId w:val="4"/>
        </w:num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法律、法规和招标文件规定的其他无效情形。</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19.1.3 投标文件报价出现前后不一致的，按照下列规定修正：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（2）大写金额和小写金额不一致的，以大写金额为准；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（3）单价金额小数点或者百分比有明显错位的，以开标一览表的总价为准，并修改单价；</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（4）总价金额与按单价汇总金额不一致的，以单价金额计算结果为准。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19.2 </w:t>
      </w:r>
      <w:r>
        <w:rPr>
          <w:rFonts w:hint="eastAsia" w:asciiTheme="minorEastAsia" w:hAnsiTheme="minorEastAsia" w:eastAsiaTheme="minorEastAsia" w:cstheme="minorEastAsia"/>
          <w:color w:val="auto"/>
          <w:kern w:val="0"/>
          <w:highlight w:val="none"/>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Theme="minorEastAsia" w:hAnsiTheme="minorEastAsia" w:eastAsiaTheme="minorEastAsia" w:cstheme="minorEastAsia"/>
          <w:color w:val="auto"/>
          <w:kern w:val="0"/>
          <w:highlight w:val="none"/>
        </w:rPr>
        <w:t>18</w:t>
      </w:r>
      <w:r>
        <w:rPr>
          <w:rFonts w:hint="eastAsia" w:asciiTheme="minorEastAsia" w:hAnsiTheme="minorEastAsia" w:eastAsiaTheme="minorEastAsia" w:cstheme="minorEastAsia"/>
          <w:color w:val="auto"/>
          <w:kern w:val="0"/>
          <w:highlight w:val="none"/>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19.3 </w:t>
      </w:r>
      <w:r>
        <w:rPr>
          <w:rFonts w:hint="eastAsia" w:asciiTheme="minorEastAsia" w:hAnsiTheme="minorEastAsia" w:eastAsiaTheme="minorEastAsia" w:cstheme="minorEastAsia"/>
          <w:color w:val="auto"/>
          <w:kern w:val="0"/>
          <w:highlight w:val="none"/>
          <w:lang w:val="zh-CN"/>
        </w:rPr>
        <w:t>在评审过程中，</w:t>
      </w:r>
      <w:r>
        <w:rPr>
          <w:rFonts w:hint="eastAsia" w:asciiTheme="minorEastAsia" w:hAnsiTheme="minorEastAsia" w:eastAsiaTheme="minorEastAsia" w:cstheme="minorEastAsia"/>
          <w:color w:val="auto"/>
          <w:highlight w:val="none"/>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9</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4</w:t>
      </w:r>
      <w:r>
        <w:rPr>
          <w:rFonts w:hint="eastAsia" w:asciiTheme="minorEastAsia" w:hAnsiTheme="minorEastAsia" w:eastAsiaTheme="minorEastAsia" w:cstheme="minorEastAsia"/>
          <w:color w:val="auto"/>
          <w:kern w:val="0"/>
          <w:highlight w:val="none"/>
          <w:lang w:val="zh-CN"/>
        </w:rPr>
        <w:t xml:space="preserve"> </w:t>
      </w:r>
      <w:r>
        <w:rPr>
          <w:rFonts w:hint="eastAsia" w:asciiTheme="minorEastAsia" w:hAnsiTheme="minorEastAsia" w:eastAsiaTheme="minorEastAsia" w:cstheme="minorEastAsia"/>
          <w:color w:val="auto"/>
          <w:highlight w:val="none"/>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9</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 xml:space="preserve">5 </w:t>
      </w:r>
      <w:r>
        <w:rPr>
          <w:rFonts w:hint="eastAsia" w:asciiTheme="minorEastAsia" w:hAnsiTheme="minorEastAsia" w:eastAsiaTheme="minorEastAsia" w:cstheme="minorEastAsia"/>
          <w:color w:val="auto"/>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kern w:val="0"/>
          <w:highlight w:val="none"/>
        </w:rPr>
        <w:t xml:space="preserve">19.6 </w:t>
      </w:r>
      <w:r>
        <w:rPr>
          <w:rFonts w:hint="eastAsia" w:asciiTheme="minorEastAsia" w:hAnsiTheme="minorEastAsia" w:eastAsiaTheme="minorEastAsia" w:cstheme="minorEastAsia"/>
          <w:color w:val="auto"/>
          <w:highlight w:val="none"/>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7"/>
        <w:spacing w:before="0" w:after="0" w:line="360" w:lineRule="auto"/>
        <w:jc w:val="left"/>
        <w:rPr>
          <w:rFonts w:hint="eastAsia" w:asciiTheme="minorEastAsia" w:hAnsiTheme="minorEastAsia" w:eastAsiaTheme="minorEastAsia" w:cstheme="minorEastAsia"/>
          <w:color w:val="auto"/>
          <w:sz w:val="28"/>
          <w:szCs w:val="28"/>
          <w:highlight w:val="none"/>
          <w:lang w:val="zh-CN"/>
        </w:rPr>
      </w:pPr>
      <w:bookmarkStart w:id="38" w:name="_Toc515908195"/>
      <w:r>
        <w:rPr>
          <w:rFonts w:hint="eastAsia" w:asciiTheme="minorEastAsia" w:hAnsiTheme="minorEastAsia" w:eastAsiaTheme="minorEastAsia" w:cstheme="minorEastAsia"/>
          <w:color w:val="auto"/>
          <w:sz w:val="28"/>
          <w:szCs w:val="28"/>
          <w:highlight w:val="none"/>
        </w:rPr>
        <w:t>20</w:t>
      </w:r>
      <w:r>
        <w:rPr>
          <w:rFonts w:hint="eastAsia" w:asciiTheme="minorEastAsia" w:hAnsiTheme="minorEastAsia" w:eastAsiaTheme="minorEastAsia" w:cstheme="minorEastAsia"/>
          <w:color w:val="auto"/>
          <w:sz w:val="28"/>
          <w:szCs w:val="28"/>
          <w:highlight w:val="none"/>
          <w:lang w:val="zh-CN"/>
        </w:rPr>
        <w:t>.评审方法和标准</w:t>
      </w:r>
      <w:bookmarkEnd w:id="38"/>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20</w:t>
      </w: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u w:val="dashDotHeavy"/>
        </w:rPr>
      </w:pPr>
      <w:r>
        <w:rPr>
          <w:rFonts w:hint="eastAsia" w:asciiTheme="minorEastAsia" w:hAnsiTheme="minorEastAsia" w:eastAsiaTheme="minorEastAsia" w:cstheme="minorEastAsia"/>
          <w:color w:val="auto"/>
          <w:kern w:val="0"/>
          <w:highlight w:val="none"/>
        </w:rPr>
        <w:t>20</w:t>
      </w: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本次评审方法采用综合评分法</w:t>
      </w:r>
      <w:r>
        <w:rPr>
          <w:rFonts w:hint="eastAsia" w:asciiTheme="minorEastAsia" w:hAnsiTheme="minorEastAsia" w:eastAsiaTheme="minorEastAsia" w:cstheme="minorEastAsia"/>
          <w:color w:val="auto"/>
          <w:kern w:val="0"/>
          <w:highlight w:val="none"/>
        </w:rPr>
        <w:t>。</w:t>
      </w:r>
    </w:p>
    <w:p>
      <w:pPr>
        <w:autoSpaceDE w:val="0"/>
        <w:autoSpaceDN w:val="0"/>
        <w:spacing w:line="360" w:lineRule="auto"/>
        <w:ind w:firstLine="482" w:firstLineChars="200"/>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评审方法一：最低评标</w:t>
      </w:r>
      <w:r>
        <w:rPr>
          <w:rFonts w:hint="eastAsia" w:asciiTheme="minorEastAsia" w:hAnsiTheme="minorEastAsia" w:eastAsiaTheme="minorEastAsia" w:cstheme="minorEastAsia"/>
          <w:b/>
          <w:bCs/>
          <w:color w:val="auto"/>
          <w:kern w:val="0"/>
          <w:highlight w:val="none"/>
          <w:lang w:val="zh-CN"/>
        </w:rPr>
        <w:t>价法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最低评标价法，是指投标文件满足招标文件全部实质性要求，且投标报价最低的投标人为中标候选人的评标方法。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技术、服务等标准统一的货物服务项目，应当采用最低评标价法。</w:t>
      </w:r>
    </w:p>
    <w:p>
      <w:pPr>
        <w:pStyle w:val="16"/>
        <w:widowControl/>
        <w:spacing w:before="0" w:beforeAutospacing="0" w:after="0" w:afterAutospacing="0" w:line="360" w:lineRule="auto"/>
        <w:ind w:firstLine="360"/>
        <w:jc w:val="both"/>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采用最低评标价法评标时，除了算术修正和落实政府采购政策需进行的价格扣除外，不能对投标人的投标价格进行任何调整。</w:t>
      </w:r>
    </w:p>
    <w:p>
      <w:pPr>
        <w:autoSpaceDE w:val="0"/>
        <w:autoSpaceDN w:val="0"/>
        <w:spacing w:line="360" w:lineRule="auto"/>
        <w:ind w:firstLine="482"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rPr>
        <w:t>评审方法二：采用</w:t>
      </w:r>
      <w:r>
        <w:rPr>
          <w:rFonts w:hint="eastAsia" w:asciiTheme="minorEastAsia" w:hAnsiTheme="minorEastAsia" w:eastAsiaTheme="minorEastAsia" w:cstheme="minorEastAsia"/>
          <w:b/>
          <w:bCs/>
          <w:color w:val="auto"/>
          <w:kern w:val="0"/>
          <w:highlight w:val="none"/>
          <w:lang w:val="zh-CN"/>
        </w:rPr>
        <w:t>综合评分法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综合评分法，</w:t>
      </w:r>
      <w:r>
        <w:rPr>
          <w:rFonts w:hint="eastAsia" w:asciiTheme="minorEastAsia" w:hAnsiTheme="minorEastAsia" w:eastAsiaTheme="minorEastAsia" w:cstheme="minorEastAsia"/>
          <w:color w:val="auto"/>
          <w:highlight w:val="none"/>
          <w:shd w:val="clear" w:color="auto" w:fill="FFFFFF"/>
        </w:rPr>
        <w:t>是指投标文件满足招标文件全部实质性要求，且按照评审因素的量化指标评审得分最高的投标人为中标候选人的评标方法</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评审因素的设定应当与投标人所提供货物服务的质量相关，包括</w:t>
      </w:r>
      <w:r>
        <w:rPr>
          <w:rFonts w:hint="eastAsia" w:asciiTheme="minorEastAsia" w:hAnsiTheme="minorEastAsia" w:eastAsiaTheme="minorEastAsia" w:cstheme="minorEastAsia"/>
          <w:b/>
          <w:bCs/>
          <w:color w:val="auto"/>
          <w:highlight w:val="none"/>
          <w:shd w:val="clear" w:color="auto" w:fill="FFFFFF"/>
        </w:rPr>
        <w:t>投标报价、技术或者服务水平、履约能力、售后服务</w:t>
      </w:r>
      <w:r>
        <w:rPr>
          <w:rFonts w:hint="eastAsia" w:asciiTheme="minorEastAsia" w:hAnsiTheme="minorEastAsia" w:eastAsiaTheme="minorEastAsia" w:cstheme="minorEastAsia"/>
          <w:color w:val="auto"/>
          <w:highlight w:val="none"/>
          <w:shd w:val="clear" w:color="auto" w:fill="FFFFFF"/>
        </w:rPr>
        <w:t>等。资格条件不得作为评审因素。</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评审因素应当细化和量化，且与相应的商务条件和采购需求对应。商务条件和采购需求指标有区间规定的，评审因素应当量化到相应区间，并设置各区间对应的不同分值。</w:t>
      </w:r>
    </w:p>
    <w:p>
      <w:pPr>
        <w:pStyle w:val="2"/>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评分标准：</w:t>
      </w:r>
    </w:p>
    <w:tbl>
      <w:tblPr>
        <w:tblStyle w:val="18"/>
        <w:tblW w:w="0" w:type="auto"/>
        <w:jc w:val="center"/>
        <w:tblLayout w:type="fixed"/>
        <w:tblCellMar>
          <w:top w:w="0" w:type="dxa"/>
          <w:left w:w="108" w:type="dxa"/>
          <w:bottom w:w="0" w:type="dxa"/>
          <w:right w:w="108" w:type="dxa"/>
        </w:tblCellMar>
      </w:tblPr>
      <w:tblGrid>
        <w:gridCol w:w="493"/>
        <w:gridCol w:w="1063"/>
        <w:gridCol w:w="6875"/>
      </w:tblGrid>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序号</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评审</w:t>
            </w:r>
            <w:r>
              <w:rPr>
                <w:rFonts w:hint="eastAsia" w:asciiTheme="minorEastAsia" w:hAnsiTheme="minorEastAsia" w:eastAsiaTheme="minorEastAsia" w:cstheme="minorEastAsia"/>
                <w:color w:val="auto"/>
                <w:sz w:val="21"/>
                <w:szCs w:val="21"/>
                <w:highlight w:val="none"/>
              </w:rPr>
              <w:t>因素</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评审标准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shd w:val="clear" w:color="auto" w:fill="FFFFFF"/>
              </w:rPr>
            </w:pPr>
            <w:r>
              <w:rPr>
                <w:rFonts w:hint="eastAsia" w:asciiTheme="minorEastAsia" w:hAnsiTheme="minorEastAsia" w:eastAsiaTheme="minorEastAsia" w:cstheme="minorEastAsia"/>
                <w:b/>
                <w:bCs/>
                <w:color w:val="auto"/>
                <w:sz w:val="21"/>
                <w:szCs w:val="21"/>
                <w:highlight w:val="none"/>
                <w:shd w:val="clear" w:color="auto" w:fill="FFFFFF"/>
              </w:rPr>
              <w:t>投标报价</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30分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（1）货物项目的价格分值占总分值的比重不得低于30%</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（3）因落实政府采购政策进行</w:t>
            </w:r>
            <w:r>
              <w:rPr>
                <w:rFonts w:hint="eastAsia" w:asciiTheme="minorEastAsia" w:hAnsiTheme="minorEastAsia" w:eastAsiaTheme="minorEastAsia" w:cstheme="minorEastAsia"/>
                <w:color w:val="auto"/>
                <w:sz w:val="21"/>
                <w:szCs w:val="21"/>
                <w:highlight w:val="none"/>
                <w:shd w:val="clear" w:color="auto" w:fill="FFFFFF"/>
                <w:lang w:val="en-US" w:eastAsia="zh-CN"/>
              </w:rPr>
              <w:t>6%</w:t>
            </w:r>
            <w:r>
              <w:rPr>
                <w:rFonts w:hint="eastAsia" w:asciiTheme="minorEastAsia" w:hAnsiTheme="minorEastAsia" w:eastAsiaTheme="minorEastAsia" w:cstheme="minorEastAsia"/>
                <w:color w:val="auto"/>
                <w:sz w:val="21"/>
                <w:szCs w:val="21"/>
                <w:highlight w:val="none"/>
                <w:shd w:val="clear" w:color="auto" w:fill="FFFFFF"/>
              </w:rPr>
              <w:t>价格调整的，以调整后的价格计算评标基准价和投标报价。残疾人福利性单位属于小型、微型企业的，不重复享受政策。</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shd w:val="clear" w:color="auto" w:fill="FFFFFF"/>
              </w:rPr>
              <w:t>（4）执行国家统一定价标准和采用固定价格采购的项目，其价格不列为评审因素。</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技术水平</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w:t>
            </w:r>
            <w:r>
              <w:rPr>
                <w:rFonts w:hint="eastAsia" w:asciiTheme="minorEastAsia" w:hAnsiTheme="minorEastAsia" w:eastAsiaTheme="minorEastAsia" w:cstheme="minorEastAsia"/>
                <w:b/>
                <w:bCs/>
                <w:color w:val="auto"/>
                <w:sz w:val="21"/>
                <w:szCs w:val="21"/>
                <w:highlight w:val="none"/>
                <w:lang w:val="en-US" w:eastAsia="zh-CN"/>
              </w:rPr>
              <w:t>50</w:t>
            </w:r>
            <w:r>
              <w:rPr>
                <w:rFonts w:hint="eastAsia" w:asciiTheme="minorEastAsia" w:hAnsiTheme="minorEastAsia" w:eastAsiaTheme="minorEastAsia" w:cstheme="minorEastAsia"/>
                <w:b/>
                <w:bCs/>
                <w:color w:val="auto"/>
                <w:sz w:val="21"/>
                <w:szCs w:val="21"/>
                <w:highlight w:val="none"/>
                <w:lang w:val="zh-CN"/>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技术参数</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42分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t>投标产品技术参数和配置完全满足或高于招标文件要求的，得</w:t>
            </w:r>
            <w:r>
              <w:rPr>
                <w:rFonts w:hint="eastAsia" w:asciiTheme="minorEastAsia" w:hAnsiTheme="minorEastAsia" w:eastAsiaTheme="minorEastAsia" w:cstheme="minorEastAsia"/>
                <w:b w:val="0"/>
                <w:bCs w:val="0"/>
                <w:color w:val="auto"/>
                <w:sz w:val="21"/>
                <w:szCs w:val="21"/>
                <w:highlight w:val="none"/>
                <w:lang w:val="en-US" w:eastAsia="zh-CN"/>
              </w:rPr>
              <w:t>42</w:t>
            </w:r>
            <w:r>
              <w:rPr>
                <w:rFonts w:hint="eastAsia" w:asciiTheme="minorEastAsia" w:hAnsiTheme="minorEastAsia" w:eastAsiaTheme="minorEastAsia" w:cstheme="minorEastAsia"/>
                <w:b w:val="0"/>
                <w:bCs w:val="0"/>
                <w:color w:val="auto"/>
                <w:sz w:val="21"/>
                <w:szCs w:val="21"/>
                <w:highlight w:val="none"/>
                <w:lang w:val="zh-CN"/>
              </w:rPr>
              <w:t>分</w:t>
            </w:r>
            <w:r>
              <w:rPr>
                <w:rFonts w:hint="eastAsia" w:asciiTheme="minorEastAsia" w:hAnsiTheme="minorEastAsia" w:eastAsiaTheme="minorEastAsia" w:cstheme="minorEastAsia"/>
                <w:b w:val="0"/>
                <w:bCs w:val="0"/>
                <w:color w:val="auto"/>
                <w:sz w:val="21"/>
                <w:szCs w:val="21"/>
                <w:highlight w:val="none"/>
              </w:rPr>
              <w:t>；每有一项负偏离扣</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分，扣完该项得分为止。</w:t>
            </w:r>
          </w:p>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CN"/>
              </w:rPr>
              <w:t>节能和环保（</w:t>
            </w:r>
            <w:r>
              <w:rPr>
                <w:rFonts w:hint="eastAsia" w:asciiTheme="minorEastAsia" w:hAnsiTheme="minorEastAsia" w:eastAsiaTheme="minorEastAsia" w:cstheme="minorEastAsia"/>
                <w:b/>
                <w:bCs/>
                <w:color w:val="auto"/>
                <w:sz w:val="21"/>
                <w:szCs w:val="21"/>
                <w:highlight w:val="none"/>
                <w:lang w:val="en-US" w:eastAsia="zh-CN"/>
              </w:rPr>
              <w:t>2分</w:t>
            </w:r>
            <w:r>
              <w:rPr>
                <w:rFonts w:hint="eastAsia" w:asciiTheme="minorEastAsia" w:hAnsiTheme="minorEastAsia" w:eastAsiaTheme="minorEastAsia" w:cstheme="minorEastAsia"/>
                <w:b/>
                <w:bCs/>
                <w:color w:val="auto"/>
                <w:sz w:val="21"/>
                <w:szCs w:val="21"/>
                <w:highlight w:val="none"/>
                <w:lang w:val="zh-CN"/>
              </w:rPr>
              <w:t>）：</w:t>
            </w:r>
            <w:r>
              <w:rPr>
                <w:rFonts w:hint="eastAsia" w:asciiTheme="minorEastAsia" w:hAnsiTheme="minorEastAsia" w:eastAsiaTheme="minorEastAsia" w:cstheme="minorEastAsia"/>
                <w:b w:val="0"/>
                <w:bCs w:val="0"/>
                <w:color w:val="auto"/>
                <w:sz w:val="21"/>
                <w:szCs w:val="21"/>
                <w:highlight w:val="none"/>
              </w:rPr>
              <w:t>所投产品为节能产品，每提供1份得</w:t>
            </w:r>
            <w:r>
              <w:rPr>
                <w:rFonts w:hint="eastAsia" w:asciiTheme="minorEastAsia" w:hAnsiTheme="minorEastAsia" w:eastAsiaTheme="minorEastAsia" w:cstheme="minorEastAsia"/>
                <w:b w:val="0"/>
                <w:bCs w:val="0"/>
                <w:color w:val="auto"/>
                <w:sz w:val="21"/>
                <w:szCs w:val="21"/>
                <w:highlight w:val="none"/>
                <w:lang w:val="en-US" w:eastAsia="zh-CN"/>
              </w:rPr>
              <w:t>0.5</w:t>
            </w:r>
            <w:r>
              <w:rPr>
                <w:rFonts w:hint="eastAsia" w:asciiTheme="minorEastAsia" w:hAnsiTheme="minorEastAsia" w:eastAsiaTheme="minorEastAsia" w:cstheme="minorEastAsia"/>
                <w:b w:val="0"/>
                <w:bCs w:val="0"/>
                <w:color w:val="auto"/>
                <w:sz w:val="21"/>
                <w:szCs w:val="21"/>
                <w:highlight w:val="none"/>
              </w:rPr>
              <w:t>分，</w:t>
            </w:r>
            <w:r>
              <w:rPr>
                <w:rFonts w:hint="eastAsia" w:asciiTheme="minorEastAsia" w:hAnsiTheme="minorEastAsia" w:eastAsiaTheme="minorEastAsia" w:cstheme="minorEastAsia"/>
                <w:b w:val="0"/>
                <w:bCs w:val="0"/>
                <w:color w:val="auto"/>
                <w:sz w:val="21"/>
                <w:szCs w:val="21"/>
                <w:highlight w:val="none"/>
                <w:lang w:val="zh-CN"/>
              </w:rPr>
              <w:t>满分</w:t>
            </w: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val="zh-CN"/>
              </w:rPr>
              <w:t>分；</w:t>
            </w:r>
            <w:r>
              <w:rPr>
                <w:rFonts w:hint="eastAsia" w:asciiTheme="minorEastAsia" w:hAnsiTheme="minorEastAsia" w:eastAsiaTheme="minorEastAsia" w:cstheme="minorEastAsia"/>
                <w:b w:val="0"/>
                <w:bCs w:val="0"/>
                <w:color w:val="auto"/>
                <w:sz w:val="21"/>
                <w:szCs w:val="21"/>
                <w:highlight w:val="none"/>
              </w:rPr>
              <w:t>所投产品为环保产品，每提供1份得</w:t>
            </w:r>
            <w:r>
              <w:rPr>
                <w:rFonts w:hint="eastAsia" w:asciiTheme="minorEastAsia" w:hAnsiTheme="minorEastAsia" w:eastAsiaTheme="minorEastAsia" w:cstheme="minorEastAsia"/>
                <w:b w:val="0"/>
                <w:bCs w:val="0"/>
                <w:color w:val="auto"/>
                <w:sz w:val="21"/>
                <w:szCs w:val="21"/>
                <w:highlight w:val="none"/>
                <w:lang w:val="en-US" w:eastAsia="zh-CN"/>
              </w:rPr>
              <w:t>0.5</w:t>
            </w:r>
            <w:r>
              <w:rPr>
                <w:rFonts w:hint="eastAsia" w:asciiTheme="minorEastAsia" w:hAnsiTheme="minorEastAsia" w:eastAsiaTheme="minorEastAsia" w:cstheme="minorEastAsia"/>
                <w:b w:val="0"/>
                <w:bCs w:val="0"/>
                <w:color w:val="auto"/>
                <w:sz w:val="21"/>
                <w:szCs w:val="21"/>
                <w:highlight w:val="none"/>
              </w:rPr>
              <w:t>分，</w:t>
            </w:r>
            <w:r>
              <w:rPr>
                <w:rFonts w:hint="eastAsia" w:asciiTheme="minorEastAsia" w:hAnsiTheme="minorEastAsia" w:eastAsiaTheme="minorEastAsia" w:cstheme="minorEastAsia"/>
                <w:b w:val="0"/>
                <w:bCs w:val="0"/>
                <w:color w:val="auto"/>
                <w:sz w:val="21"/>
                <w:szCs w:val="21"/>
                <w:highlight w:val="none"/>
                <w:lang w:val="zh-CN"/>
              </w:rPr>
              <w:t>满分</w:t>
            </w: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val="zh-CN"/>
              </w:rPr>
              <w:t>分；未提供不得分。该项得分的认定以《国家节能产品认证证书》</w:t>
            </w:r>
            <w:r>
              <w:rPr>
                <w:rFonts w:hint="eastAsia" w:asciiTheme="minorEastAsia" w:hAnsiTheme="minorEastAsia" w:eastAsiaTheme="minorEastAsia" w:cstheme="minorEastAsia"/>
                <w:color w:val="auto"/>
                <w:sz w:val="21"/>
                <w:szCs w:val="21"/>
                <w:highlight w:val="none"/>
                <w:lang w:val="zh-CN"/>
              </w:rPr>
              <w:t>、《中国环境标志产品认证证书》（原件备查）和政府部门公布的《节能产品政府采购清单》、《环境标志产品政府采购清单》网页截屏为准。</w:t>
            </w:r>
          </w:p>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实施方案（</w:t>
            </w: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rPr>
              <w:t>分）</w:t>
            </w:r>
            <w:r>
              <w:rPr>
                <w:rFonts w:hint="eastAsia" w:asciiTheme="minorEastAsia" w:hAnsiTheme="minorEastAsia" w:eastAsiaTheme="minorEastAsia" w:cstheme="minorEastAsia"/>
                <w:color w:val="auto"/>
                <w:sz w:val="21"/>
                <w:szCs w:val="21"/>
                <w:highlight w:val="none"/>
              </w:rPr>
              <w:t>：供应商根据项目实际情况，编制详细的设备运输、安装、调试和验收实施方案，磋商小组根据供应商编制方案的完整性、可操作性、准确性横向比较进行综合评分，所投产品运输、安装、调试和验收方案全面，完全满足磋商要求的得6分，实施方案基本能够满足磋商要求的得4分，实施方案不全面的得2分；未提供的不得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履约能力</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10分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6"/>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类似业绩情况</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10分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提供投标截止日前3年的投标人类似业绩证明材料（201</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日至</w:t>
            </w:r>
            <w:r>
              <w:rPr>
                <w:rFonts w:hint="eastAsia" w:asciiTheme="minorEastAsia" w:hAnsiTheme="minorEastAsia" w:eastAsiaTheme="minorEastAsia" w:cstheme="minorEastAsia"/>
                <w:color w:val="auto"/>
                <w:sz w:val="21"/>
                <w:szCs w:val="21"/>
                <w:highlight w:val="none"/>
                <w:lang w:eastAsia="zh-CN"/>
              </w:rPr>
              <w:t>今</w:t>
            </w:r>
            <w:r>
              <w:rPr>
                <w:rFonts w:hint="eastAsia" w:asciiTheme="minorEastAsia" w:hAnsiTheme="minorEastAsia" w:eastAsiaTheme="minorEastAsia" w:cstheme="minorEastAsia"/>
                <w:color w:val="auto"/>
                <w:sz w:val="21"/>
                <w:szCs w:val="21"/>
                <w:highlight w:val="none"/>
              </w:rPr>
              <w:t>）。每提供1项得</w:t>
            </w: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b/>
                <w:bCs/>
                <w:color w:val="auto"/>
                <w:sz w:val="21"/>
                <w:szCs w:val="21"/>
                <w:highlight w:val="none"/>
              </w:rPr>
              <w:t>10</w:t>
            </w:r>
            <w:r>
              <w:rPr>
                <w:rFonts w:hint="eastAsia" w:asciiTheme="minorEastAsia" w:hAnsiTheme="minorEastAsia" w:eastAsiaTheme="minorEastAsia" w:cstheme="minorEastAsia"/>
                <w:color w:val="auto"/>
                <w:sz w:val="21"/>
                <w:szCs w:val="21"/>
                <w:highlight w:val="none"/>
              </w:rPr>
              <w:t>分；不提供不得分。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售后服务</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10分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numPr>
                <w:ilvl w:val="0"/>
                <w:numId w:val="7"/>
              </w:numPr>
              <w:spacing w:line="240" w:lineRule="auto"/>
              <w:ind w:firstLine="28"/>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b/>
                <w:bCs/>
                <w:color w:val="auto"/>
                <w:sz w:val="21"/>
                <w:szCs w:val="21"/>
                <w:highlight w:val="none"/>
              </w:rPr>
              <w:t>本地化服务能力</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5分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在</w:t>
            </w:r>
            <w:r>
              <w:rPr>
                <w:rFonts w:hint="eastAsia" w:asciiTheme="minorEastAsia" w:hAnsiTheme="minorEastAsia" w:eastAsiaTheme="minorEastAsia" w:cstheme="minorEastAsia"/>
                <w:color w:val="auto"/>
                <w:kern w:val="0"/>
                <w:sz w:val="21"/>
                <w:szCs w:val="21"/>
                <w:highlight w:val="none"/>
                <w:lang w:val="zh-CN"/>
              </w:rPr>
              <w:t>青海省有</w:t>
            </w:r>
            <w:r>
              <w:rPr>
                <w:rFonts w:hint="eastAsia" w:asciiTheme="minorEastAsia" w:hAnsiTheme="minorEastAsia" w:eastAsiaTheme="minorEastAsia" w:cstheme="minorEastAsia"/>
                <w:color w:val="auto"/>
                <w:sz w:val="21"/>
                <w:szCs w:val="21"/>
                <w:highlight w:val="none"/>
              </w:rPr>
              <w:t>服务机构的，得</w:t>
            </w:r>
            <w:r>
              <w:rPr>
                <w:rFonts w:hint="eastAsia" w:asciiTheme="minorEastAsia" w:hAnsiTheme="minorEastAsia" w:eastAsiaTheme="minorEastAsia" w:cstheme="minorEastAsia"/>
                <w:b/>
                <w:bCs/>
                <w:color w:val="auto"/>
                <w:kern w:val="0"/>
                <w:sz w:val="21"/>
                <w:szCs w:val="21"/>
                <w:highlight w:val="none"/>
              </w:rPr>
              <w:t>5分</w:t>
            </w:r>
            <w:r>
              <w:rPr>
                <w:rFonts w:hint="eastAsia" w:asciiTheme="minorEastAsia" w:hAnsiTheme="minorEastAsia" w:eastAsiaTheme="minorEastAsia" w:cstheme="minorEastAsia"/>
                <w:color w:val="auto"/>
                <w:sz w:val="21"/>
                <w:szCs w:val="21"/>
                <w:highlight w:val="none"/>
              </w:rPr>
              <w:t>；有合作性服务机构的，得</w:t>
            </w:r>
            <w:r>
              <w:rPr>
                <w:rFonts w:hint="eastAsia" w:asciiTheme="minorEastAsia" w:hAnsiTheme="minorEastAsia" w:eastAsiaTheme="minorEastAsia" w:cstheme="minorEastAsia"/>
                <w:b/>
                <w:bCs/>
                <w:color w:val="auto"/>
                <w:kern w:val="0"/>
                <w:sz w:val="21"/>
                <w:szCs w:val="21"/>
                <w:highlight w:val="none"/>
              </w:rPr>
              <w:t>3分</w:t>
            </w:r>
            <w:r>
              <w:rPr>
                <w:rFonts w:hint="eastAsia" w:asciiTheme="minorEastAsia" w:hAnsiTheme="minorEastAsia" w:eastAsiaTheme="minorEastAsia" w:cstheme="minorEastAsia"/>
                <w:color w:val="auto"/>
                <w:sz w:val="21"/>
                <w:szCs w:val="21"/>
                <w:highlight w:val="none"/>
              </w:rPr>
              <w:t>；没有的不得分。（需提供相关证明材料）。</w:t>
            </w:r>
          </w:p>
          <w:p>
            <w:pPr>
              <w:numPr>
                <w:ilvl w:val="0"/>
                <w:numId w:val="7"/>
              </w:numPr>
              <w:spacing w:line="240" w:lineRule="auto"/>
              <w:ind w:firstLine="28"/>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售后服务计划、措施及服务承诺（5分）</w:t>
            </w:r>
            <w:r>
              <w:rPr>
                <w:rFonts w:hint="eastAsia" w:asciiTheme="minorEastAsia" w:hAnsiTheme="minorEastAsia" w:eastAsiaTheme="minorEastAsia" w:cstheme="minorEastAsia"/>
                <w:color w:val="auto"/>
                <w:kern w:val="0"/>
                <w:sz w:val="21"/>
                <w:szCs w:val="21"/>
                <w:highlight w:val="none"/>
                <w:lang w:bidi="ar"/>
              </w:rPr>
              <w:t>：根据投标供应商所投产品提供的售后服务方案、承诺以及响应时间、售后服务网点分布情况、培训计划（技术实战操作培训）及在质量保证期内，对于产品质量问题造成的损坏，免费提供咨询、部件更换、维修服务等进行综合评定，所提供的售后方案包含以上全部内容且完全满足本次磋商要求的得5分，提供售后方案内容基本满足的得3分，售后方案内容不全面得1分；未提供的不得分。</w:t>
            </w:r>
          </w:p>
        </w:tc>
      </w:tr>
    </w:tbl>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 xml:space="preserve">20.3 </w:t>
      </w:r>
      <w:r>
        <w:rPr>
          <w:rFonts w:hint="eastAsia" w:asciiTheme="minorEastAsia" w:hAnsiTheme="minorEastAsia" w:eastAsiaTheme="minorEastAsia" w:cstheme="minorEastAsia"/>
          <w:b/>
          <w:bCs/>
          <w:color w:val="auto"/>
          <w:kern w:val="0"/>
          <w:highlight w:val="none"/>
        </w:rPr>
        <w:t>采用最低评标价法的，</w:t>
      </w:r>
      <w:r>
        <w:rPr>
          <w:rFonts w:hint="eastAsia" w:asciiTheme="minorEastAsia" w:hAnsiTheme="minorEastAsia" w:eastAsiaTheme="minorEastAsia" w:cstheme="minorEastAsia"/>
          <w:color w:val="auto"/>
          <w:highlight w:val="none"/>
          <w:shd w:val="clear" w:color="auto" w:fill="FFFFFF"/>
        </w:rPr>
        <w:t>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2"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b/>
          <w:bCs/>
          <w:color w:val="auto"/>
          <w:kern w:val="0"/>
          <w:highlight w:val="none"/>
        </w:rPr>
        <w:t>采用综合评分法的，</w:t>
      </w:r>
      <w:r>
        <w:rPr>
          <w:rFonts w:hint="eastAsia" w:asciiTheme="minorEastAsia" w:hAnsiTheme="minorEastAsia" w:eastAsiaTheme="minorEastAsia" w:cstheme="minorEastAsia"/>
          <w:color w:val="auto"/>
          <w:highlight w:val="none"/>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（1）分值汇总计算错误的；</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（2）分项评分超出评分标准范围的；</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（3）评标委员会成员对客观评审因素评分不一致的；</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（4）经评标委员会认定评分畸高、畸低的。</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投标人对以上情形提出质疑的，采购人或者采购代理机构可以组织原评标委员会进行重新评审，重新评审改变评标结果的，应当书面报告本级财政部门。</w:t>
      </w:r>
    </w:p>
    <w:p>
      <w:pPr>
        <w:pStyle w:val="17"/>
        <w:spacing w:before="0" w:after="0" w:line="360" w:lineRule="auto"/>
        <w:rPr>
          <w:rFonts w:hint="eastAsia" w:asciiTheme="minorEastAsia" w:hAnsiTheme="minorEastAsia" w:eastAsiaTheme="minorEastAsia" w:cstheme="minorEastAsia"/>
          <w:color w:val="auto"/>
          <w:highlight w:val="none"/>
          <w:lang w:val="zh-CN"/>
        </w:rPr>
      </w:pPr>
      <w:bookmarkStart w:id="39" w:name="_Toc515908196"/>
      <w:r>
        <w:rPr>
          <w:rFonts w:hint="eastAsia" w:asciiTheme="minorEastAsia" w:hAnsiTheme="minorEastAsia" w:eastAsiaTheme="minorEastAsia" w:cstheme="minorEastAsia"/>
          <w:color w:val="auto"/>
          <w:highlight w:val="none"/>
          <w:lang w:val="zh-CN"/>
        </w:rPr>
        <w:t>八、中标</w:t>
      </w:r>
      <w:bookmarkEnd w:id="39"/>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40" w:name="_Toc515908197"/>
      <w:r>
        <w:rPr>
          <w:rFonts w:hint="eastAsia" w:asciiTheme="minorEastAsia" w:hAnsiTheme="minorEastAsia" w:eastAsiaTheme="minorEastAsia" w:cstheme="minorEastAsia"/>
          <w:color w:val="auto"/>
          <w:sz w:val="28"/>
          <w:szCs w:val="28"/>
          <w:highlight w:val="none"/>
          <w:lang w:val="zh-CN"/>
        </w:rPr>
        <w:t>2</w:t>
      </w: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lang w:val="zh-CN"/>
        </w:rPr>
        <w:t>.推荐并确定中标人</w:t>
      </w:r>
      <w:bookmarkEnd w:id="40"/>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 采购人自行组织招标的，应当在评标结束后5个工作日内确定中标人。</w:t>
      </w:r>
    </w:p>
    <w:p>
      <w:pPr>
        <w:autoSpaceDE w:val="0"/>
        <w:autoSpaceDN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 采购人在收到评标报告5个工作日内未按评标报告推荐的中标候选人顺序确定中标人，又不能说明合法理由的，视同按评标报告推荐的顺序确定排名第一的中标候选人为中标人。</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bookmarkStart w:id="41" w:name="_Toc515908198"/>
      <w:r>
        <w:rPr>
          <w:rFonts w:hint="eastAsia" w:asciiTheme="minorEastAsia" w:hAnsiTheme="minorEastAsia" w:eastAsiaTheme="minorEastAsia" w:cstheme="minorEastAsia"/>
          <w:color w:val="auto"/>
          <w:sz w:val="28"/>
          <w:szCs w:val="28"/>
          <w:highlight w:val="none"/>
          <w:lang w:val="zh-CN"/>
        </w:rPr>
        <w:t>2</w:t>
      </w: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lang w:val="zh-CN"/>
        </w:rPr>
        <w:t>.中标通知</w:t>
      </w:r>
      <w:bookmarkEnd w:id="41"/>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22.3 中标公告期限为1个工作日。</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22.4 在公告中标结果的同时，</w:t>
      </w:r>
      <w:r>
        <w:rPr>
          <w:rFonts w:hint="eastAsia" w:asciiTheme="minorEastAsia" w:hAnsiTheme="minorEastAsia" w:eastAsiaTheme="minorEastAsia" w:cstheme="minorEastAsia"/>
          <w:color w:val="auto"/>
          <w:highlight w:val="none"/>
          <w:shd w:val="clear" w:color="auto" w:fill="FFFFFF"/>
        </w:rPr>
        <w:t>采购代理机构</w:t>
      </w:r>
      <w:r>
        <w:rPr>
          <w:rFonts w:hint="eastAsia" w:asciiTheme="minorEastAsia" w:hAnsiTheme="minorEastAsia" w:eastAsiaTheme="minorEastAsia" w:cstheme="minorEastAsia"/>
          <w:color w:val="auto"/>
          <w:kern w:val="0"/>
          <w:highlight w:val="none"/>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22.5 中标通知书发出后，采购人不得违法改变中标结果，中标人无正当理由不得放弃中标。</w:t>
      </w:r>
    </w:p>
    <w:p>
      <w:pPr>
        <w:pStyle w:val="17"/>
        <w:spacing w:before="0" w:after="0" w:line="360" w:lineRule="auto"/>
        <w:rPr>
          <w:rFonts w:hint="eastAsia" w:asciiTheme="minorEastAsia" w:hAnsiTheme="minorEastAsia" w:eastAsiaTheme="minorEastAsia" w:cstheme="minorEastAsia"/>
          <w:color w:val="auto"/>
          <w:highlight w:val="none"/>
          <w:lang w:val="zh-CN"/>
        </w:rPr>
      </w:pPr>
      <w:bookmarkStart w:id="42" w:name="_Toc515908199"/>
      <w:r>
        <w:rPr>
          <w:rFonts w:hint="eastAsia" w:asciiTheme="minorEastAsia" w:hAnsiTheme="minorEastAsia" w:eastAsiaTheme="minorEastAsia" w:cstheme="minorEastAsia"/>
          <w:color w:val="auto"/>
          <w:highlight w:val="none"/>
          <w:lang w:val="zh-CN"/>
        </w:rPr>
        <w:t>九、授予合同</w:t>
      </w:r>
      <w:bookmarkEnd w:id="42"/>
    </w:p>
    <w:p>
      <w:pPr>
        <w:pStyle w:val="17"/>
        <w:spacing w:before="0" w:after="0" w:line="360" w:lineRule="auto"/>
        <w:jc w:val="left"/>
        <w:rPr>
          <w:rFonts w:hint="eastAsia" w:asciiTheme="minorEastAsia" w:hAnsiTheme="minorEastAsia" w:eastAsiaTheme="minorEastAsia" w:cstheme="minorEastAsia"/>
          <w:color w:val="auto"/>
          <w:kern w:val="0"/>
          <w:sz w:val="24"/>
          <w:highlight w:val="none"/>
        </w:rPr>
      </w:pPr>
      <w:bookmarkStart w:id="43" w:name="_Toc515908200"/>
      <w:r>
        <w:rPr>
          <w:rFonts w:hint="eastAsia" w:asciiTheme="minorEastAsia" w:hAnsiTheme="minorEastAsia" w:eastAsiaTheme="minorEastAsia" w:cstheme="minorEastAsia"/>
          <w:color w:val="auto"/>
          <w:sz w:val="28"/>
          <w:szCs w:val="28"/>
          <w:highlight w:val="none"/>
          <w:lang w:val="zh-CN"/>
        </w:rPr>
        <w:t>2</w:t>
      </w:r>
      <w:r>
        <w:rPr>
          <w:rFonts w:hint="eastAsia"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cstheme="minorEastAsia"/>
          <w:color w:val="auto"/>
          <w:sz w:val="28"/>
          <w:szCs w:val="28"/>
          <w:highlight w:val="none"/>
          <w:lang w:val="zh-CN"/>
        </w:rPr>
        <w:t>.签订合同</w:t>
      </w:r>
      <w:bookmarkEnd w:id="43"/>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采购人不得向中标人提出任何不合理的要求作为签订合同的条件。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.3</w:t>
      </w:r>
      <w:r>
        <w:rPr>
          <w:rFonts w:hint="eastAsia" w:asciiTheme="minorEastAsia" w:hAnsiTheme="minorEastAsia" w:eastAsiaTheme="minorEastAsia" w:cstheme="minorEastAsia"/>
          <w:color w:val="auto"/>
          <w:kern w:val="0"/>
          <w:highlight w:val="none"/>
        </w:rPr>
        <w:t xml:space="preserve"> 中标人拒绝与采购人签订合同的</w:t>
      </w:r>
      <w:r>
        <w:rPr>
          <w:rFonts w:hint="eastAsia" w:asciiTheme="minorEastAsia" w:hAnsiTheme="minorEastAsia" w:eastAsiaTheme="minorEastAsia" w:cstheme="minorEastAsia"/>
          <w:color w:val="auto"/>
          <w:kern w:val="0"/>
          <w:highlight w:val="none"/>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.4</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22.5 </w:t>
      </w:r>
      <w:r>
        <w:rPr>
          <w:rFonts w:hint="eastAsia" w:asciiTheme="minorEastAsia" w:hAnsiTheme="minorEastAsia" w:eastAsiaTheme="minorEastAsia" w:cstheme="minorEastAsia"/>
          <w:color w:val="auto"/>
          <w:kern w:val="0"/>
          <w:highlight w:val="none"/>
          <w:lang w:val="zh-CN"/>
        </w:rPr>
        <w:t>采购合同签订之日起</w:t>
      </w: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23.7 </w:t>
      </w:r>
      <w:r>
        <w:rPr>
          <w:rFonts w:hint="eastAsia" w:asciiTheme="minorEastAsia" w:hAnsiTheme="minorEastAsia" w:eastAsiaTheme="minorEastAsia" w:cstheme="minorEastAsia"/>
          <w:color w:val="auto"/>
          <w:highlight w:val="none"/>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23.9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23.10 采购人、采购代理机构应当建立真实完整的招标采购档案，妥善保存每项采购活动的采购文件。</w:t>
      </w:r>
    </w:p>
    <w:p>
      <w:pPr>
        <w:pStyle w:val="17"/>
        <w:spacing w:before="0" w:after="0" w:line="360" w:lineRule="auto"/>
        <w:rPr>
          <w:rFonts w:hint="eastAsia" w:asciiTheme="minorEastAsia" w:hAnsiTheme="minorEastAsia" w:eastAsiaTheme="minorEastAsia" w:cstheme="minorEastAsia"/>
          <w:color w:val="auto"/>
          <w:highlight w:val="none"/>
          <w:lang w:val="zh-CN"/>
        </w:rPr>
      </w:pPr>
      <w:bookmarkStart w:id="44" w:name="_Toc515908201"/>
      <w:r>
        <w:rPr>
          <w:rFonts w:hint="eastAsia" w:asciiTheme="minorEastAsia" w:hAnsiTheme="minorEastAsia" w:eastAsiaTheme="minorEastAsia" w:cstheme="minorEastAsia"/>
          <w:color w:val="auto"/>
          <w:highlight w:val="none"/>
          <w:lang w:val="zh-CN"/>
        </w:rPr>
        <w:t>十、其他</w:t>
      </w:r>
      <w:bookmarkEnd w:id="44"/>
    </w:p>
    <w:p>
      <w:pPr>
        <w:pStyle w:val="17"/>
        <w:spacing w:before="0" w:after="0" w:line="360" w:lineRule="auto"/>
        <w:jc w:val="left"/>
        <w:rPr>
          <w:rFonts w:hint="eastAsia" w:asciiTheme="minorEastAsia" w:hAnsiTheme="minorEastAsia" w:eastAsiaTheme="minorEastAsia" w:cstheme="minorEastAsia"/>
          <w:color w:val="auto"/>
          <w:sz w:val="28"/>
          <w:szCs w:val="28"/>
          <w:highlight w:val="none"/>
        </w:rPr>
      </w:pPr>
      <w:bookmarkStart w:id="45" w:name="_Toc515908202"/>
      <w:r>
        <w:rPr>
          <w:rFonts w:hint="eastAsia" w:asciiTheme="minorEastAsia" w:hAnsiTheme="minorEastAsia" w:eastAsiaTheme="minorEastAsia" w:cstheme="minorEastAsia"/>
          <w:color w:val="auto"/>
          <w:sz w:val="28"/>
          <w:szCs w:val="28"/>
          <w:highlight w:val="none"/>
        </w:rPr>
        <w:t>24. 串通投标的情形</w:t>
      </w:r>
      <w:bookmarkEnd w:id="45"/>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24.2 有下列情形之一的，视为投标人串通投标，其投标无效：</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（1）不同投标人的投标文件由同一单位或者个人编制；</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（2）不同投标人委托同一单位或者个人办理投标事宜；</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（3）不同投标人的投标文件载明的项目管理成员或者联系人员为同一人；</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（4）不同投标人的投标文件异常一致或者投标报价呈规律性差异；</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（5）不同投标人的投标文件相互混装；</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（6）不同投标人的投标保证金从同一单位或者个人的账户转出。</w:t>
      </w:r>
    </w:p>
    <w:p>
      <w:pPr>
        <w:pStyle w:val="17"/>
        <w:spacing w:before="0" w:after="0" w:line="360" w:lineRule="auto"/>
        <w:jc w:val="left"/>
        <w:rPr>
          <w:rFonts w:hint="eastAsia" w:asciiTheme="minorEastAsia" w:hAnsiTheme="minorEastAsia" w:eastAsiaTheme="minorEastAsia" w:cstheme="minorEastAsia"/>
          <w:color w:val="auto"/>
          <w:sz w:val="28"/>
          <w:szCs w:val="28"/>
          <w:highlight w:val="none"/>
        </w:rPr>
      </w:pPr>
      <w:bookmarkStart w:id="46" w:name="_Toc515908203"/>
      <w:r>
        <w:rPr>
          <w:rFonts w:hint="eastAsia" w:asciiTheme="minorEastAsia" w:hAnsiTheme="minorEastAsia" w:eastAsiaTheme="minorEastAsia" w:cstheme="minorEastAsia"/>
          <w:color w:val="auto"/>
          <w:sz w:val="28"/>
          <w:szCs w:val="28"/>
          <w:highlight w:val="none"/>
        </w:rPr>
        <w:t>25. 废标</w:t>
      </w:r>
      <w:bookmarkEnd w:id="46"/>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25.1 在招标采购中，出现下列情形之一的，应予废标：</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（1）符合专业条件的投标人或者对招标文件作实质性响应的投标人不足三家的。</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（2）出现影响采购公正的违法、违规行为的。</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（3）投标人的报价均超出采购预算，采购人不能支付的。</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（4）因重大变故，采购任务取消的。</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废标后，由采购人或者采购代理机构发布废标公告。</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25.2 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（1）招标文件存在不合理条款或者招标程序不符合规定的，采购人、采购代理机构改正后依法重新招标；</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（2）招标文件没有不合理条款、招标程序符合规定，需要采用其他采购方式采购的，采购人应当依法报财政部门批准。</w:t>
      </w:r>
    </w:p>
    <w:p>
      <w:pPr>
        <w:pStyle w:val="17"/>
        <w:spacing w:before="0" w:after="0" w:line="360" w:lineRule="auto"/>
        <w:jc w:val="left"/>
        <w:rPr>
          <w:rFonts w:hint="eastAsia" w:asciiTheme="minorEastAsia" w:hAnsiTheme="minorEastAsia" w:eastAsiaTheme="minorEastAsia" w:cstheme="minorEastAsia"/>
          <w:color w:val="auto"/>
          <w:sz w:val="28"/>
          <w:szCs w:val="28"/>
          <w:highlight w:val="none"/>
        </w:rPr>
      </w:pPr>
      <w:bookmarkStart w:id="47" w:name="_Toc515908204"/>
      <w:r>
        <w:rPr>
          <w:rFonts w:hint="eastAsia" w:asciiTheme="minorEastAsia" w:hAnsiTheme="minorEastAsia" w:eastAsiaTheme="minorEastAsia" w:cstheme="minorEastAsia"/>
          <w:color w:val="auto"/>
          <w:sz w:val="28"/>
          <w:szCs w:val="28"/>
          <w:highlight w:val="none"/>
        </w:rPr>
        <w:t>26. 中标服务费</w:t>
      </w:r>
      <w:bookmarkEnd w:id="47"/>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26.1 收取对象：中标人。</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highlight w:val="none"/>
          <w:u w:val="dashDotDotHeavy"/>
          <w:lang w:val="zh-CN"/>
        </w:rPr>
      </w:pPr>
      <w:r>
        <w:rPr>
          <w:rFonts w:hint="eastAsia" w:asciiTheme="minorEastAsia" w:hAnsiTheme="minorEastAsia" w:eastAsiaTheme="minorEastAsia" w:cstheme="minorEastAsia"/>
          <w:color w:val="auto"/>
          <w:kern w:val="0"/>
          <w:highlight w:val="none"/>
        </w:rPr>
        <w:t xml:space="preserve">26.2 </w:t>
      </w:r>
      <w:r>
        <w:rPr>
          <w:rFonts w:hint="eastAsia" w:asciiTheme="minorEastAsia" w:hAnsiTheme="minorEastAsia" w:eastAsiaTheme="minorEastAsia" w:cstheme="minorEastAsia"/>
          <w:color w:val="auto"/>
          <w:kern w:val="0"/>
          <w:highlight w:val="none"/>
          <w:lang w:val="zh-CN"/>
        </w:rPr>
        <w:t>收费金额：在领取中标通知书前向采购代理机构缴纳中标金额1.5%。</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其他未尽事宜，按照《中华人民共和国政府采购法》、《中华人民共和国政府采购法实施条例》、《中华人民共和国合同法》等法律法规的有关条款执行。</w:t>
      </w:r>
    </w:p>
    <w:p>
      <w:pPr>
        <w:rPr>
          <w:rFonts w:hint="eastAsia" w:asciiTheme="minorEastAsia" w:hAnsiTheme="minorEastAsia" w:eastAsiaTheme="minorEastAsia" w:cstheme="minorEastAsia"/>
          <w:color w:val="auto"/>
          <w:highlight w:val="none"/>
        </w:rPr>
      </w:pPr>
    </w:p>
    <w:p>
      <w:pPr>
        <w:pStyle w:val="17"/>
        <w:spacing w:before="0" w:after="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Cs w:val="36"/>
          <w:highlight w:val="none"/>
          <w:lang w:val="zh-CN"/>
        </w:rPr>
        <w:br w:type="page"/>
      </w:r>
      <w:bookmarkStart w:id="48" w:name="_Toc515908205"/>
      <w:r>
        <w:rPr>
          <w:rFonts w:hint="eastAsia" w:asciiTheme="minorEastAsia" w:hAnsiTheme="minorEastAsia" w:eastAsiaTheme="minorEastAsia" w:cstheme="minorEastAsia"/>
          <w:color w:val="auto"/>
          <w:szCs w:val="36"/>
          <w:highlight w:val="none"/>
          <w:lang w:val="zh-CN"/>
        </w:rPr>
        <w:t xml:space="preserve">第三部分 </w:t>
      </w:r>
      <w:r>
        <w:rPr>
          <w:rFonts w:hint="eastAsia" w:asciiTheme="minorEastAsia" w:hAnsiTheme="minorEastAsia" w:eastAsiaTheme="minorEastAsia" w:cstheme="minorEastAsia"/>
          <w:color w:val="auto"/>
          <w:szCs w:val="36"/>
          <w:highlight w:val="none"/>
        </w:rPr>
        <w:t xml:space="preserve"> </w:t>
      </w:r>
      <w:r>
        <w:rPr>
          <w:rFonts w:hint="eastAsia" w:asciiTheme="minorEastAsia" w:hAnsiTheme="minorEastAsia" w:eastAsiaTheme="minorEastAsia" w:cstheme="minorEastAsia"/>
          <w:color w:val="auto"/>
          <w:szCs w:val="36"/>
          <w:highlight w:val="none"/>
          <w:lang w:val="zh-CN"/>
        </w:rPr>
        <w:t>青海省政府采购项目合同书范本</w:t>
      </w:r>
      <w:bookmarkEnd w:id="48"/>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zh-CN"/>
        </w:rPr>
        <w:t>（货物类）</w:t>
      </w: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48"/>
          <w:szCs w:val="48"/>
          <w:highlight w:val="none"/>
        </w:rPr>
      </w:pPr>
      <w:r>
        <w:rPr>
          <w:rFonts w:hint="eastAsia" w:asciiTheme="minorEastAsia" w:hAnsiTheme="minorEastAsia" w:eastAsiaTheme="minorEastAsia" w:cstheme="minorEastAsia"/>
          <w:b/>
          <w:bCs/>
          <w:color w:val="auto"/>
          <w:kern w:val="0"/>
          <w:sz w:val="48"/>
          <w:szCs w:val="48"/>
          <w:highlight w:val="none"/>
          <w:lang w:val="zh-CN"/>
        </w:rPr>
        <w:t>青海省政府采购项目合同书</w:t>
      </w: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lang w:val="zh-CN"/>
        </w:rPr>
      </w:pPr>
      <w:r>
        <w:rPr>
          <w:rFonts w:hint="eastAsia" w:asciiTheme="minorEastAsia" w:hAnsiTheme="minorEastAsia" w:eastAsiaTheme="minorEastAsia" w:cstheme="minorEastAsia"/>
          <w:b/>
          <w:bCs/>
          <w:color w:val="auto"/>
          <w:kern w:val="0"/>
          <w:sz w:val="30"/>
          <w:szCs w:val="30"/>
          <w:highlight w:val="none"/>
          <w:lang w:val="zh-CN"/>
        </w:rPr>
        <w:t>采购项目编号：</w:t>
      </w:r>
      <w:r>
        <w:rPr>
          <w:rFonts w:hint="eastAsia" w:asciiTheme="minorEastAsia" w:hAnsiTheme="minorEastAsia" w:eastAsiaTheme="minorEastAsia" w:cstheme="minorEastAsia"/>
          <w:color w:val="auto"/>
          <w:kern w:val="0"/>
          <w:sz w:val="30"/>
          <w:szCs w:val="30"/>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zh-CN"/>
        </w:rPr>
        <w:t>采购项目名称：</w:t>
      </w:r>
      <w:r>
        <w:rPr>
          <w:rFonts w:hint="eastAsia" w:asciiTheme="minorEastAsia" w:hAnsiTheme="minorEastAsia" w:eastAsiaTheme="minorEastAsia" w:cstheme="minorEastAsia"/>
          <w:b/>
          <w:bCs/>
          <w:color w:val="auto"/>
          <w:kern w:val="0"/>
          <w:sz w:val="30"/>
          <w:szCs w:val="30"/>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lang w:val="en-US" w:eastAsia="zh-CN"/>
        </w:rPr>
      </w:pPr>
      <w:r>
        <w:rPr>
          <w:rFonts w:hint="eastAsia" w:asciiTheme="minorEastAsia" w:hAnsiTheme="minorEastAsia" w:eastAsiaTheme="minorEastAsia" w:cstheme="minorEastAsia"/>
          <w:b/>
          <w:bCs/>
          <w:color w:val="auto"/>
          <w:kern w:val="0"/>
          <w:sz w:val="30"/>
          <w:szCs w:val="30"/>
          <w:highlight w:val="none"/>
          <w:lang w:val="zh-CN"/>
        </w:rPr>
        <w:t>采购合同编号：</w:t>
      </w:r>
      <w:r>
        <w:rPr>
          <w:rFonts w:hint="eastAsia" w:asciiTheme="minorEastAsia" w:hAnsiTheme="minorEastAsia" w:eastAsiaTheme="minorEastAsia" w:cstheme="minorEastAsia"/>
          <w:color w:val="auto"/>
          <w:kern w:val="0"/>
          <w:sz w:val="30"/>
          <w:szCs w:val="30"/>
          <w:highlight w:val="none"/>
          <w:u w:val="single"/>
          <w:lang w:val="zh-CN"/>
        </w:rPr>
        <w:t>LZZX-20</w:t>
      </w:r>
      <w:r>
        <w:rPr>
          <w:rFonts w:hint="eastAsia" w:asciiTheme="minorEastAsia" w:hAnsiTheme="minorEastAsia" w:eastAsiaTheme="minorEastAsia" w:cstheme="minorEastAsia"/>
          <w:color w:val="auto"/>
          <w:kern w:val="0"/>
          <w:sz w:val="30"/>
          <w:szCs w:val="30"/>
          <w:highlight w:val="none"/>
          <w:u w:val="single"/>
          <w:lang w:val="en-US" w:eastAsia="zh-CN"/>
        </w:rPr>
        <w:t>20</w:t>
      </w:r>
      <w:r>
        <w:rPr>
          <w:rFonts w:hint="eastAsia" w:asciiTheme="minorEastAsia" w:hAnsiTheme="minorEastAsia" w:eastAsiaTheme="minorEastAsia" w:cstheme="minorEastAsia"/>
          <w:color w:val="auto"/>
          <w:kern w:val="0"/>
          <w:sz w:val="30"/>
          <w:szCs w:val="30"/>
          <w:highlight w:val="none"/>
          <w:u w:val="single"/>
          <w:lang w:val="zh-CN"/>
        </w:rPr>
        <w:t>-0</w:t>
      </w:r>
      <w:r>
        <w:rPr>
          <w:rFonts w:hint="eastAsia" w:asciiTheme="minorEastAsia" w:hAnsiTheme="minorEastAsia" w:eastAsiaTheme="minorEastAsia" w:cstheme="minorEastAsia"/>
          <w:color w:val="auto"/>
          <w:kern w:val="0"/>
          <w:sz w:val="30"/>
          <w:szCs w:val="30"/>
          <w:highlight w:val="none"/>
          <w:u w:val="single"/>
          <w:lang w:val="en-US" w:eastAsia="zh-CN"/>
        </w:rPr>
        <w:t>58</w:t>
      </w:r>
      <w:r>
        <w:rPr>
          <w:rFonts w:hint="eastAsia" w:asciiTheme="minorEastAsia" w:hAnsiTheme="minorEastAsia" w:eastAsiaTheme="minorEastAsia" w:cstheme="minorEastAsia"/>
          <w:color w:val="auto"/>
          <w:kern w:val="0"/>
          <w:sz w:val="30"/>
          <w:szCs w:val="30"/>
          <w:highlight w:val="none"/>
          <w:u w:val="single"/>
          <w:lang w:val="zh-CN"/>
        </w:rPr>
        <w:t>号</w:t>
      </w:r>
      <w:r>
        <w:rPr>
          <w:rFonts w:hint="eastAsia" w:asciiTheme="minorEastAsia" w:hAnsiTheme="minorEastAsia" w:eastAsiaTheme="minorEastAsia" w:cstheme="minorEastAsia"/>
          <w:color w:val="auto"/>
          <w:kern w:val="0"/>
          <w:sz w:val="30"/>
          <w:szCs w:val="30"/>
          <w:highlight w:val="none"/>
          <w:u w:val="single"/>
          <w:lang w:val="en-US" w:eastAsia="zh-CN"/>
        </w:rPr>
        <w:t>-1/2/3/4/5(数字表示包号）</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zh-CN"/>
        </w:rPr>
        <w:t>合同金额（人民币）：</w:t>
      </w:r>
      <w:r>
        <w:rPr>
          <w:rFonts w:hint="eastAsia" w:asciiTheme="minorEastAsia" w:hAnsiTheme="minorEastAsia" w:eastAsiaTheme="minorEastAsia" w:cstheme="minorEastAsia"/>
          <w:b/>
          <w:bCs/>
          <w:color w:val="auto"/>
          <w:kern w:val="0"/>
          <w:sz w:val="30"/>
          <w:szCs w:val="30"/>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zh-CN"/>
        </w:rPr>
        <w:t>采购人（甲方）：</w:t>
      </w:r>
      <w:r>
        <w:rPr>
          <w:rFonts w:hint="eastAsia" w:asciiTheme="minorEastAsia" w:hAnsiTheme="minorEastAsia" w:eastAsiaTheme="minorEastAsia" w:cstheme="minorEastAsia"/>
          <w:b/>
          <w:bCs/>
          <w:color w:val="auto"/>
          <w:kern w:val="0"/>
          <w:sz w:val="30"/>
          <w:szCs w:val="30"/>
          <w:highlight w:val="none"/>
          <w:u w:val="single"/>
        </w:rPr>
        <w:t xml:space="preserve">                       </w:t>
      </w:r>
      <w:r>
        <w:rPr>
          <w:rFonts w:hint="eastAsia" w:asciiTheme="minorEastAsia" w:hAnsiTheme="minorEastAsia" w:eastAsiaTheme="minorEastAsia" w:cstheme="minorEastAsia"/>
          <w:b/>
          <w:bCs/>
          <w:color w:val="auto"/>
          <w:kern w:val="0"/>
          <w:sz w:val="30"/>
          <w:szCs w:val="30"/>
          <w:highlight w:val="none"/>
          <w:u w:val="single"/>
          <w:lang w:val="zh-CN"/>
        </w:rPr>
        <w:t>（盖章）</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zh-CN"/>
        </w:rPr>
        <w:t>中标人（乙方）：</w:t>
      </w:r>
      <w:r>
        <w:rPr>
          <w:rFonts w:hint="eastAsia" w:asciiTheme="minorEastAsia" w:hAnsiTheme="minorEastAsia" w:eastAsiaTheme="minorEastAsia" w:cstheme="minorEastAsia"/>
          <w:b/>
          <w:bCs/>
          <w:color w:val="auto"/>
          <w:kern w:val="0"/>
          <w:sz w:val="30"/>
          <w:szCs w:val="30"/>
          <w:highlight w:val="none"/>
          <w:u w:val="single"/>
        </w:rPr>
        <w:t xml:space="preserve">                       </w:t>
      </w:r>
      <w:r>
        <w:rPr>
          <w:rFonts w:hint="eastAsia" w:asciiTheme="minorEastAsia" w:hAnsiTheme="minorEastAsia" w:eastAsiaTheme="minorEastAsia" w:cstheme="minorEastAsia"/>
          <w:b/>
          <w:bCs/>
          <w:color w:val="auto"/>
          <w:kern w:val="0"/>
          <w:sz w:val="30"/>
          <w:szCs w:val="30"/>
          <w:highlight w:val="none"/>
          <w:u w:val="single"/>
          <w:lang w:val="zh-CN"/>
        </w:rPr>
        <w:t>（盖章）</w:t>
      </w:r>
    </w:p>
    <w:p>
      <w:pPr>
        <w:autoSpaceDE w:val="0"/>
        <w:autoSpaceDN w:val="0"/>
        <w:adjustRightInd w:val="0"/>
        <w:spacing w:line="360" w:lineRule="auto"/>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zh-CN"/>
        </w:rPr>
        <w:t>采购日期：</w:t>
      </w:r>
      <w:r>
        <w:rPr>
          <w:rFonts w:hint="eastAsia" w:asciiTheme="minorEastAsia" w:hAnsiTheme="minorEastAsia" w:eastAsiaTheme="minorEastAsia" w:cstheme="minorEastAsia"/>
          <w:b/>
          <w:bCs/>
          <w:color w:val="auto"/>
          <w:kern w:val="0"/>
          <w:sz w:val="30"/>
          <w:szCs w:val="30"/>
          <w:highlight w:val="none"/>
          <w:u w:val="single"/>
        </w:rPr>
        <w:t xml:space="preserve">                                     </w:t>
      </w: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adjustRightInd w:val="0"/>
        <w:spacing w:line="360" w:lineRule="auto"/>
        <w:jc w:val="left"/>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br w:type="page"/>
      </w:r>
      <w:r>
        <w:rPr>
          <w:rFonts w:hint="eastAsia" w:asciiTheme="minorEastAsia" w:hAnsiTheme="minorEastAsia" w:eastAsiaTheme="minorEastAsia" w:cstheme="minorEastAsia"/>
          <w:b/>
          <w:bCs/>
          <w:color w:val="auto"/>
          <w:kern w:val="0"/>
          <w:sz w:val="28"/>
          <w:szCs w:val="28"/>
          <w:highlight w:val="none"/>
          <w:lang w:val="zh-CN"/>
        </w:rPr>
        <w:t>采</w:t>
      </w:r>
      <w:r>
        <w:rPr>
          <w:rFonts w:hint="eastAsia" w:asciiTheme="minorEastAsia" w:hAnsiTheme="minorEastAsia" w:eastAsiaTheme="minorEastAsia" w:cstheme="minorEastAsia"/>
          <w:b/>
          <w:bCs/>
          <w:color w:val="auto"/>
          <w:kern w:val="0"/>
          <w:sz w:val="28"/>
          <w:szCs w:val="28"/>
          <w:highlight w:val="none"/>
        </w:rPr>
        <w:t xml:space="preserve"> </w:t>
      </w:r>
      <w:r>
        <w:rPr>
          <w:rFonts w:hint="eastAsia" w:asciiTheme="minorEastAsia" w:hAnsiTheme="minorEastAsia" w:eastAsiaTheme="minorEastAsia" w:cstheme="minorEastAsia"/>
          <w:b/>
          <w:bCs/>
          <w:color w:val="auto"/>
          <w:kern w:val="0"/>
          <w:sz w:val="28"/>
          <w:szCs w:val="28"/>
          <w:highlight w:val="none"/>
          <w:lang w:val="zh-CN"/>
        </w:rPr>
        <w:t>购</w:t>
      </w:r>
      <w:r>
        <w:rPr>
          <w:rFonts w:hint="eastAsia" w:asciiTheme="minorEastAsia" w:hAnsiTheme="minorEastAsia" w:eastAsiaTheme="minorEastAsia" w:cstheme="minorEastAsia"/>
          <w:b/>
          <w:bCs/>
          <w:color w:val="auto"/>
          <w:kern w:val="0"/>
          <w:sz w:val="28"/>
          <w:szCs w:val="28"/>
          <w:highlight w:val="none"/>
        </w:rPr>
        <w:t xml:space="preserve"> </w:t>
      </w:r>
      <w:r>
        <w:rPr>
          <w:rFonts w:hint="eastAsia" w:asciiTheme="minorEastAsia" w:hAnsiTheme="minorEastAsia" w:eastAsiaTheme="minorEastAsia" w:cstheme="minorEastAsia"/>
          <w:b/>
          <w:bCs/>
          <w:color w:val="auto"/>
          <w:kern w:val="0"/>
          <w:sz w:val="28"/>
          <w:szCs w:val="28"/>
          <w:highlight w:val="none"/>
          <w:lang w:val="zh-CN"/>
        </w:rPr>
        <w:t>人（以下简称甲方）：</w:t>
      </w: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bCs/>
          <w:color w:val="auto"/>
          <w:kern w:val="0"/>
          <w:sz w:val="30"/>
          <w:szCs w:val="30"/>
          <w:highlight w:val="none"/>
          <w:lang w:val="zh-CN"/>
        </w:rPr>
        <w:t>中</w:t>
      </w:r>
      <w:r>
        <w:rPr>
          <w:rFonts w:hint="eastAsia" w:asciiTheme="minorEastAsia" w:hAnsiTheme="minorEastAsia" w:eastAsiaTheme="minorEastAsia" w:cstheme="minorEastAsia"/>
          <w:b/>
          <w:bCs/>
          <w:color w:val="auto"/>
          <w:kern w:val="0"/>
          <w:sz w:val="30"/>
          <w:szCs w:val="30"/>
          <w:highlight w:val="none"/>
        </w:rPr>
        <w:t xml:space="preserve"> </w:t>
      </w:r>
      <w:r>
        <w:rPr>
          <w:rFonts w:hint="eastAsia" w:asciiTheme="minorEastAsia" w:hAnsiTheme="minorEastAsia" w:eastAsiaTheme="minorEastAsia" w:cstheme="minorEastAsia"/>
          <w:b/>
          <w:bCs/>
          <w:color w:val="auto"/>
          <w:kern w:val="0"/>
          <w:sz w:val="30"/>
          <w:szCs w:val="30"/>
          <w:highlight w:val="none"/>
          <w:lang w:val="zh-CN"/>
        </w:rPr>
        <w:t>标</w:t>
      </w:r>
      <w:r>
        <w:rPr>
          <w:rFonts w:hint="eastAsia" w:asciiTheme="minorEastAsia" w:hAnsiTheme="minorEastAsia" w:eastAsiaTheme="minorEastAsia" w:cstheme="minorEastAsia"/>
          <w:b/>
          <w:bCs/>
          <w:color w:val="auto"/>
          <w:kern w:val="0"/>
          <w:sz w:val="30"/>
          <w:szCs w:val="30"/>
          <w:highlight w:val="none"/>
        </w:rPr>
        <w:t xml:space="preserve"> </w:t>
      </w:r>
      <w:r>
        <w:rPr>
          <w:rFonts w:hint="eastAsia" w:asciiTheme="minorEastAsia" w:hAnsiTheme="minorEastAsia" w:eastAsiaTheme="minorEastAsia" w:cstheme="minorEastAsia"/>
          <w:b/>
          <w:bCs/>
          <w:color w:val="auto"/>
          <w:kern w:val="0"/>
          <w:sz w:val="30"/>
          <w:szCs w:val="30"/>
          <w:highlight w:val="none"/>
          <w:lang w:val="zh-CN"/>
        </w:rPr>
        <w:t>人</w:t>
      </w:r>
      <w:r>
        <w:rPr>
          <w:rFonts w:hint="eastAsia" w:asciiTheme="minorEastAsia" w:hAnsiTheme="minorEastAsia" w:eastAsiaTheme="minorEastAsia" w:cstheme="minorEastAsia"/>
          <w:b/>
          <w:bCs/>
          <w:color w:val="auto"/>
          <w:kern w:val="0"/>
          <w:sz w:val="28"/>
          <w:szCs w:val="28"/>
          <w:highlight w:val="none"/>
          <w:lang w:val="zh-CN"/>
        </w:rPr>
        <w:t>（以下简称乙方）：</w:t>
      </w:r>
    </w:p>
    <w:p>
      <w:pPr>
        <w:pStyle w:val="9"/>
        <w:spacing w:after="0" w:line="360" w:lineRule="auto"/>
        <w:ind w:left="0" w:leftChars="0"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甲、乙双方根据XXXX年XX月XX日（</w:t>
      </w:r>
      <w:r>
        <w:rPr>
          <w:rFonts w:hint="eastAsia" w:asciiTheme="minorEastAsia" w:hAnsiTheme="minorEastAsia" w:eastAsiaTheme="minorEastAsia" w:cstheme="minorEastAsia"/>
          <w:color w:val="auto"/>
          <w:kern w:val="0"/>
          <w:highlight w:val="none"/>
          <w:u w:val="single"/>
          <w:lang w:val="zh-CN"/>
        </w:rPr>
        <w:t>采购项目名称）</w:t>
      </w:r>
      <w:r>
        <w:rPr>
          <w:rFonts w:hint="eastAsia" w:asciiTheme="minorEastAsia" w:hAnsiTheme="minorEastAsia" w:eastAsiaTheme="minorEastAsia" w:cstheme="minorEastAsia"/>
          <w:color w:val="auto"/>
          <w:kern w:val="0"/>
          <w:highlight w:val="none"/>
          <w:lang w:val="zh-CN"/>
        </w:rPr>
        <w:t>采购项目（</w:t>
      </w:r>
      <w:r>
        <w:rPr>
          <w:rFonts w:hint="eastAsia" w:asciiTheme="minorEastAsia" w:hAnsiTheme="minorEastAsia" w:eastAsiaTheme="minorEastAsia" w:cstheme="minorEastAsia"/>
          <w:color w:val="auto"/>
          <w:kern w:val="0"/>
          <w:highlight w:val="none"/>
          <w:u w:val="single"/>
          <w:lang w:val="zh-CN"/>
        </w:rPr>
        <w:t>采购项目编号</w:t>
      </w:r>
      <w:r>
        <w:rPr>
          <w:rFonts w:hint="eastAsia" w:asciiTheme="minorEastAsia" w:hAnsiTheme="minorEastAsia" w:eastAsiaTheme="minorEastAsia" w:cstheme="minorEastAsia"/>
          <w:color w:val="auto"/>
          <w:kern w:val="0"/>
          <w:highlight w:val="none"/>
          <w:lang w:val="zh-CN"/>
        </w:rPr>
        <w:t>）的招标文件要求和</w:t>
      </w:r>
      <w:r>
        <w:rPr>
          <w:rFonts w:hint="eastAsia" w:asciiTheme="minorEastAsia" w:hAnsiTheme="minorEastAsia" w:eastAsiaTheme="minorEastAsia" w:cstheme="minorEastAsia"/>
          <w:color w:val="auto"/>
          <w:kern w:val="0"/>
          <w:highlight w:val="none"/>
          <w:u w:val="single"/>
          <w:lang w:val="zh-CN"/>
        </w:rPr>
        <w:t>采购代理机构</w:t>
      </w:r>
      <w:r>
        <w:rPr>
          <w:rFonts w:hint="eastAsia" w:asciiTheme="minorEastAsia" w:hAnsiTheme="minorEastAsia" w:eastAsiaTheme="minorEastAsia" w:cstheme="minorEastAsia"/>
          <w:color w:val="auto"/>
          <w:kern w:val="0"/>
          <w:highlight w:val="none"/>
          <w:lang w:val="zh-CN"/>
        </w:rPr>
        <w:t>出具的《中标通知书》，并经双方协商一致，签订本合同协议书。</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一、签订本政府采购合同的依据</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本政府采购合同所附下列文件是构成本政府采购合同不可分割的部分：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1.招标文件；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2.招标文件的澄清、变更公告；</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3.中标人提交的投标文件；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4.招标文件中规定的政府采购合同通用条款；</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5.中标通知书；</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6.履约保证金缴费证明。</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二、合同标的及金额                                       单位：元</w:t>
      </w:r>
    </w:p>
    <w:tbl>
      <w:tblPr>
        <w:tblStyle w:val="18"/>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bl>
    <w:p>
      <w:pPr>
        <w:autoSpaceDE w:val="0"/>
        <w:autoSpaceDN w:val="0"/>
        <w:spacing w:line="360" w:lineRule="auto"/>
        <w:jc w:val="left"/>
        <w:rPr>
          <w:rFonts w:hint="eastAsia" w:asciiTheme="minorEastAsia" w:hAnsiTheme="minorEastAsia" w:eastAsiaTheme="minorEastAsia" w:cstheme="minorEastAsia"/>
          <w:color w:val="auto"/>
          <w:kern w:val="0"/>
          <w:highlight w:val="none"/>
          <w:u w:val="single"/>
        </w:rPr>
      </w:pPr>
      <w:r>
        <w:rPr>
          <w:rFonts w:hint="eastAsia" w:asciiTheme="minorEastAsia" w:hAnsiTheme="minorEastAsia" w:eastAsiaTheme="minorEastAsia" w:cstheme="minorEastAsia"/>
          <w:color w:val="auto"/>
          <w:kern w:val="0"/>
          <w:highlight w:val="none"/>
          <w:lang w:val="zh-CN"/>
        </w:rPr>
        <w:t>根据上述政府采购合同文件要求，本政府采购合同的总金额为人民币</w:t>
      </w:r>
      <w:r>
        <w:rPr>
          <w:rFonts w:hint="eastAsia" w:asciiTheme="minorEastAsia" w:hAnsiTheme="minorEastAsia" w:eastAsiaTheme="minorEastAsia" w:cstheme="minorEastAsia"/>
          <w:color w:val="auto"/>
          <w:kern w:val="0"/>
          <w:highlight w:val="none"/>
          <w:u w:val="single"/>
        </w:rPr>
        <w:t xml:space="preserve">           </w:t>
      </w: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（大写）</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元。</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三、交付时间、地点和要求</w:t>
      </w:r>
    </w:p>
    <w:p>
      <w:pPr>
        <w:autoSpaceDE w:val="0"/>
        <w:autoSpaceDN w:val="0"/>
        <w:spacing w:line="360" w:lineRule="auto"/>
        <w:ind w:firstLine="360"/>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交货时间：国产产品自合同签订之日起</w:t>
      </w:r>
      <w:r>
        <w:rPr>
          <w:rFonts w:hint="eastAsia" w:asciiTheme="minorEastAsia" w:hAnsiTheme="minorEastAsia" w:eastAsiaTheme="minorEastAsia" w:cstheme="minorEastAsia"/>
          <w:color w:val="auto"/>
          <w:kern w:val="0"/>
          <w:highlight w:val="none"/>
          <w:lang w:val="en-US" w:eastAsia="zh-CN"/>
        </w:rPr>
        <w:t>30</w:t>
      </w:r>
      <w:r>
        <w:rPr>
          <w:rFonts w:hint="eastAsia" w:asciiTheme="minorEastAsia" w:hAnsiTheme="minorEastAsia" w:eastAsiaTheme="minorEastAsia" w:cstheme="minorEastAsia"/>
          <w:color w:val="auto"/>
          <w:kern w:val="0"/>
          <w:highlight w:val="none"/>
          <w:lang w:val="zh-CN"/>
        </w:rPr>
        <w:t>个日历日内；进口产品自合同签订之日起</w:t>
      </w:r>
      <w:r>
        <w:rPr>
          <w:rFonts w:hint="eastAsia" w:asciiTheme="minorEastAsia" w:hAnsiTheme="minorEastAsia" w:eastAsiaTheme="minorEastAsia" w:cstheme="minorEastAsia"/>
          <w:color w:val="auto"/>
          <w:kern w:val="0"/>
          <w:highlight w:val="none"/>
          <w:lang w:val="en-US" w:eastAsia="zh-CN"/>
        </w:rPr>
        <w:t>60</w:t>
      </w:r>
      <w:r>
        <w:rPr>
          <w:rFonts w:hint="eastAsia" w:asciiTheme="minorEastAsia" w:hAnsiTheme="minorEastAsia" w:eastAsiaTheme="minorEastAsia" w:cstheme="minorEastAsia"/>
          <w:color w:val="auto"/>
          <w:kern w:val="0"/>
          <w:highlight w:val="none"/>
          <w:lang w:val="zh-CN"/>
        </w:rPr>
        <w:t>个日历日内；</w:t>
      </w:r>
    </w:p>
    <w:p>
      <w:pPr>
        <w:autoSpaceDE w:val="0"/>
        <w:autoSpaceDN w:val="0"/>
        <w:spacing w:line="360" w:lineRule="auto"/>
        <w:ind w:firstLine="360"/>
        <w:jc w:val="left"/>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交货地点：</w:t>
      </w:r>
      <w:r>
        <w:rPr>
          <w:rFonts w:hint="eastAsia" w:asciiTheme="minorEastAsia" w:hAnsiTheme="minorEastAsia" w:eastAsiaTheme="minorEastAsia" w:cstheme="minorEastAsia"/>
          <w:color w:val="auto"/>
          <w:kern w:val="0"/>
          <w:highlight w:val="none"/>
          <w:u w:val="single"/>
          <w:lang w:eastAsia="zh-CN"/>
        </w:rPr>
        <w:t xml:space="preserve">西宁市疾病预防控制中心 </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乙方提供不符合招投标文件和本合同规定的产品，甲方有权拒绝接受。</w:t>
      </w:r>
    </w:p>
    <w:p>
      <w:pPr>
        <w:spacing w:line="360" w:lineRule="auto"/>
        <w:ind w:firstLine="360" w:firstLineChars="1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乙方应将提供产品的报关单、商检报告、安装报告、设备质量检测报告、使用手册及说明书（中文版）2份、设备维修技术资料（中文版）2份、软件系统需提供双硬盘备份、装机调试时的初始化数据记录、装箱清单（装机时供应商跟科室及设备科进行核验签字）、培训记录（医务人员、维修工程师）、设备操作流程（塑封2份/张）、技术白皮书、原厂保修卡、随机资料、工具和备品、备件等交付给甲方，如有缺失应及时补齐，否则视为逾期交货。</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4.甲方应当在设备安装、调试、培训、试用合格后报西宁市财政监管部门按照政府采购相关规定组织验收，验收合格后由财政部门根据项目验收报告办理资金审批，厂家工程师必须参加验收。</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5.甲方在验收过程中发现乙方有违约问题，可按照投标文件的规定要求乙方及时予以解决。</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6.设备安装并开始使用后乙方向甲方提供产品相关完税销售发票。</w:t>
      </w:r>
    </w:p>
    <w:p>
      <w:pPr>
        <w:spacing w:line="480" w:lineRule="exact"/>
        <w:ind w:firstLine="482"/>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四、付款方式</w:t>
      </w:r>
    </w:p>
    <w:p>
      <w:pPr>
        <w:autoSpaceDE w:val="0"/>
        <w:autoSpaceDN w:val="0"/>
        <w:spacing w:line="48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1.合同签订前，乙方按合同总额的10%，即人民币￥：      元（小写）       （大写）向甲方缴纳的履约保证金，验收合格后履约保证金即转为质保金，质量保证期为壹年，自验收合格之日起计，待质量保证期满且设备无任何问题后退还给乙方。</w:t>
      </w:r>
    </w:p>
    <w:p>
      <w:pPr>
        <w:autoSpaceDE w:val="0"/>
        <w:autoSpaceDN w:val="0"/>
        <w:spacing w:line="480" w:lineRule="exact"/>
        <w:ind w:firstLine="48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2.合同签订后甲方支付乙方合同总额的30%；乙方交付所有产品后，甲方支付合同总额的60%；所有产品待甲方验收合格后，支付合同总额的10%。</w:t>
      </w:r>
    </w:p>
    <w:p>
      <w:pPr>
        <w:autoSpaceDE w:val="0"/>
        <w:autoSpaceDN w:val="0"/>
        <w:spacing w:line="480" w:lineRule="exact"/>
        <w:ind w:firstLine="48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五、合同的变更、终止与转让</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1．除《中华人民共和国政府采购法》第50条规定的情形外，本合同一经签订，甲乙双方不得擅自变更、中止或终止；</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2．乙方不得擅自转让其应履行的合同义务。</w:t>
      </w:r>
    </w:p>
    <w:p>
      <w:pPr>
        <w:spacing w:line="480" w:lineRule="exact"/>
        <w:ind w:firstLine="48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六、违约责任</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2．乙方提供的货物如侵犯了第三方权益而引发纠纷或诉讼的，均由乙方负责交涉并承担全部责任；</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3．因包装、运输引起的货物损坏，按质量不合格处罚；</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4．甲方无故延期接受货物和乙方逾期交货的，每天应向对方偿付未交货物的货款3‰的违约金，但违约金累计不得超过违约货款的5%，超过10天对方有权解除合同，违约方承担因此给对方造成的经济损失；</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5．乙方未按本合同和招标文件中规定的服务承诺提供售后服务的，乙方应按本合同合计金额的5%向甲方支付违约金；</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6．乙方提供的货物在质量保证期内，因设计、工艺或材料的缺陷和其它质量原因造成的问题，由乙方负责，费用从履约保证金中扣除，不足另补；</w:t>
      </w:r>
    </w:p>
    <w:p>
      <w:pPr>
        <w:spacing w:line="48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7．其它违约行为按违约货款额5%收取违约金并赔偿经济损失。</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七、不可抗力</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不可抗力使合同的某些内容有变更必要的，双方应通过协商在</w:t>
      </w:r>
      <w:r>
        <w:rPr>
          <w:rFonts w:hint="eastAsia" w:asciiTheme="minorEastAsia" w:hAnsiTheme="minorEastAsia" w:eastAsiaTheme="minorEastAsia" w:cstheme="minorEastAsia"/>
          <w:color w:val="auto"/>
          <w:kern w:val="0"/>
          <w:highlight w:val="none"/>
          <w:u w:val="single"/>
        </w:rPr>
        <w:t xml:space="preserve">   </w:t>
      </w:r>
      <w:r>
        <w:rPr>
          <w:rFonts w:hint="eastAsia" w:asciiTheme="minorEastAsia" w:hAnsiTheme="minorEastAsia" w:eastAsiaTheme="minorEastAsia" w:cstheme="minorEastAsia"/>
          <w:color w:val="auto"/>
          <w:kern w:val="0"/>
          <w:highlight w:val="none"/>
          <w:lang w:val="zh-CN"/>
        </w:rPr>
        <w:t>天内达成进一步履行合同的协议，因不可抗力致使合同不能履行的，合同终止。</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八、知识产权：详见合同通用条款</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九、其他约定：</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十、合同争议解决</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因履行本合同引起的或与本合同有关的争议，甲乙双方应首先通过友好协商解决，如果协商不能解决，可向</w:t>
      </w:r>
      <w:r>
        <w:rPr>
          <w:rFonts w:hint="eastAsia" w:asciiTheme="minorEastAsia" w:hAnsiTheme="minorEastAsia" w:eastAsiaTheme="minorEastAsia" w:cstheme="minorEastAsia"/>
          <w:color w:val="auto"/>
          <w:kern w:val="0"/>
          <w:highlight w:val="none"/>
          <w:u w:val="single"/>
          <w:lang w:val="zh-CN"/>
        </w:rPr>
        <w:t>甲方</w:t>
      </w:r>
      <w:r>
        <w:rPr>
          <w:rFonts w:hint="eastAsia" w:asciiTheme="minorEastAsia" w:hAnsiTheme="minorEastAsia" w:eastAsiaTheme="minorEastAsia" w:cstheme="minorEastAsia"/>
          <w:color w:val="auto"/>
          <w:kern w:val="0"/>
          <w:highlight w:val="none"/>
          <w:lang w:val="zh-CN"/>
        </w:rPr>
        <w:t>所在地仲裁委员会申请仲裁或向甲方所在地人民法院提起诉讼。</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诉讼期间，本合同继续履行。</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十一、合同生效及其它</w:t>
      </w:r>
      <w:r>
        <w:rPr>
          <w:rFonts w:hint="eastAsia" w:asciiTheme="minorEastAsia" w:hAnsiTheme="minorEastAsia" w:eastAsiaTheme="minorEastAsia" w:cstheme="minorEastAsia"/>
          <w:color w:val="auto"/>
          <w:kern w:val="0"/>
          <w:highlight w:val="none"/>
        </w:rPr>
        <w:t>：</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本合同一式</w:t>
      </w:r>
      <w:r>
        <w:rPr>
          <w:rFonts w:hint="eastAsia" w:asciiTheme="minorEastAsia" w:hAnsiTheme="minorEastAsia" w:eastAsiaTheme="minorEastAsia" w:cstheme="minorEastAsia"/>
          <w:color w:val="auto"/>
          <w:kern w:val="0"/>
          <w:highlight w:val="none"/>
          <w:u w:val="dashDotHeavy"/>
          <w:lang w:val="zh-CN"/>
        </w:rPr>
        <w:t>八</w:t>
      </w:r>
      <w:r>
        <w:rPr>
          <w:rFonts w:hint="eastAsia" w:asciiTheme="minorEastAsia" w:hAnsiTheme="minorEastAsia" w:eastAsiaTheme="minorEastAsia" w:cstheme="minorEastAsia"/>
          <w:color w:val="auto"/>
          <w:kern w:val="0"/>
          <w:highlight w:val="none"/>
          <w:lang w:val="zh-CN"/>
        </w:rPr>
        <w:t>份，经双方签字，并加盖公章即为生效。</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本合同未尽事宜，按经济合同法有关规定处理。</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本合同的组成包含《合同通用条款》。</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甲方（盖章）：</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乙方（盖章）：</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法定代表人或委托代理人</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法定代表人或委托代理人</w:t>
      </w:r>
      <w:r>
        <w:rPr>
          <w:rFonts w:hint="eastAsia" w:asciiTheme="minorEastAsia" w:hAnsiTheme="minorEastAsia" w:eastAsiaTheme="minorEastAsia" w:cstheme="minorEastAsia"/>
          <w:color w:val="auto"/>
          <w:kern w:val="0"/>
          <w:highlight w:val="none"/>
        </w:rPr>
        <w:t>：</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开户银行：</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账号：</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地址：</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地址：</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联系电话：</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联系电话：</w:t>
      </w:r>
    </w:p>
    <w:p>
      <w:pPr>
        <w:autoSpaceDE w:val="0"/>
        <w:autoSpaceDN w:val="0"/>
        <w:spacing w:line="360" w:lineRule="auto"/>
        <w:ind w:firstLine="1320" w:firstLineChars="55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签约时间：</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日</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采购代理机构：</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负责人或经办人：</w:t>
      </w:r>
    </w:p>
    <w:p>
      <w:pPr>
        <w:autoSpaceDE w:val="0"/>
        <w:autoSpaceDN w:val="0"/>
        <w:spacing w:line="360" w:lineRule="auto"/>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color w:val="auto"/>
          <w:kern w:val="0"/>
          <w:highlight w:val="none"/>
          <w:lang w:val="zh-CN"/>
        </w:rPr>
        <w:t>时间：</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日</w:t>
      </w:r>
      <w:r>
        <w:rPr>
          <w:rFonts w:hint="eastAsia" w:asciiTheme="minorEastAsia" w:hAnsiTheme="minorEastAsia" w:eastAsiaTheme="minorEastAsia" w:cstheme="minorEastAsia"/>
          <w:b/>
          <w:bCs/>
          <w:color w:val="auto"/>
          <w:kern w:val="0"/>
          <w:sz w:val="28"/>
          <w:szCs w:val="28"/>
          <w:highlight w:val="none"/>
          <w:lang w:val="zh-CN"/>
        </w:rPr>
        <w:br w:type="page"/>
      </w:r>
      <w:r>
        <w:rPr>
          <w:rFonts w:hint="eastAsia" w:asciiTheme="minorEastAsia" w:hAnsiTheme="minorEastAsia" w:eastAsiaTheme="minorEastAsia" w:cstheme="minorEastAsia"/>
          <w:b/>
          <w:bCs/>
          <w:color w:val="auto"/>
          <w:kern w:val="0"/>
          <w:sz w:val="28"/>
          <w:szCs w:val="28"/>
          <w:highlight w:val="none"/>
          <w:lang w:val="zh-CN"/>
        </w:rPr>
        <w:t>合同通用条款</w:t>
      </w:r>
    </w:p>
    <w:p>
      <w:pPr>
        <w:autoSpaceDE w:val="0"/>
        <w:autoSpaceDN w:val="0"/>
        <w:adjustRightInd w:val="0"/>
        <w:spacing w:line="360" w:lineRule="auto"/>
        <w:rPr>
          <w:rFonts w:hint="eastAsia" w:asciiTheme="minorEastAsia" w:hAnsiTheme="minorEastAsia" w:eastAsiaTheme="minorEastAsia" w:cstheme="minorEastAsia"/>
          <w:color w:val="auto"/>
          <w:kern w:val="0"/>
          <w:sz w:val="28"/>
          <w:szCs w:val="28"/>
          <w:highlight w:val="none"/>
        </w:rPr>
      </w:pP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w:t>
      </w:r>
      <w:r>
        <w:rPr>
          <w:rFonts w:hint="eastAsia" w:asciiTheme="minorEastAsia" w:hAnsiTheme="minorEastAsia" w:eastAsiaTheme="minorEastAsia" w:cstheme="minorEastAsia"/>
          <w:b/>
          <w:bCs/>
          <w:color w:val="auto"/>
          <w:kern w:val="0"/>
          <w:highlight w:val="none"/>
          <w:lang w:val="zh-CN"/>
        </w:rPr>
        <w:t>定义</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本合同中的下列术语应解释为：</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 </w:t>
      </w:r>
      <w:r>
        <w:rPr>
          <w:rFonts w:hint="eastAsia" w:asciiTheme="minorEastAsia" w:hAnsiTheme="minorEastAsia" w:eastAsiaTheme="minorEastAsia" w:cstheme="minorEastAsia"/>
          <w:color w:val="auto"/>
          <w:kern w:val="0"/>
          <w:highlight w:val="none"/>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1.2 </w:t>
      </w:r>
      <w:r>
        <w:rPr>
          <w:rFonts w:hint="eastAsia" w:asciiTheme="minorEastAsia" w:hAnsiTheme="minorEastAsia" w:eastAsiaTheme="minorEastAsia" w:cstheme="minorEastAsia"/>
          <w:color w:val="auto"/>
          <w:kern w:val="0"/>
          <w:highlight w:val="none"/>
          <w:lang w:val="zh-CN"/>
        </w:rPr>
        <w:t>“合同金额”指根据合同规定，乙方在正确地完全履行合同义务后甲方应付给乙方的价款。</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 </w:t>
      </w:r>
      <w:r>
        <w:rPr>
          <w:rFonts w:hint="eastAsia" w:asciiTheme="minorEastAsia" w:hAnsiTheme="minorEastAsia" w:eastAsiaTheme="minorEastAsia" w:cstheme="minorEastAsia"/>
          <w:color w:val="auto"/>
          <w:kern w:val="0"/>
          <w:highlight w:val="none"/>
          <w:lang w:val="zh-CN"/>
        </w:rPr>
        <w:t>“合同条款”指本合同条款。</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 </w:t>
      </w:r>
      <w:r>
        <w:rPr>
          <w:rFonts w:hint="eastAsia" w:asciiTheme="minorEastAsia" w:hAnsiTheme="minorEastAsia" w:eastAsiaTheme="minorEastAsia" w:cstheme="minorEastAsia"/>
          <w:color w:val="auto"/>
          <w:kern w:val="0"/>
          <w:highlight w:val="none"/>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1.5 </w:t>
      </w:r>
      <w:r>
        <w:rPr>
          <w:rFonts w:hint="eastAsia" w:asciiTheme="minorEastAsia" w:hAnsiTheme="minorEastAsia" w:eastAsiaTheme="minorEastAsia" w:cstheme="minorEastAsia"/>
          <w:color w:val="auto"/>
          <w:kern w:val="0"/>
          <w:highlight w:val="none"/>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1.6 </w:t>
      </w:r>
      <w:r>
        <w:rPr>
          <w:rFonts w:hint="eastAsia" w:asciiTheme="minorEastAsia" w:hAnsiTheme="minorEastAsia" w:eastAsiaTheme="minorEastAsia" w:cstheme="minorEastAsia"/>
          <w:color w:val="auto"/>
          <w:kern w:val="0"/>
          <w:highlight w:val="none"/>
          <w:lang w:val="zh-CN"/>
        </w:rPr>
        <w:t>“甲方”指购买货物和服务的单位。</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1.7 </w:t>
      </w:r>
      <w:r>
        <w:rPr>
          <w:rFonts w:hint="eastAsia" w:asciiTheme="minorEastAsia" w:hAnsiTheme="minorEastAsia" w:eastAsiaTheme="minorEastAsia" w:cstheme="minorEastAsia"/>
          <w:color w:val="auto"/>
          <w:kern w:val="0"/>
          <w:highlight w:val="none"/>
          <w:lang w:val="zh-CN"/>
        </w:rPr>
        <w:t>“乙方”指提供本合同条款下货物和服务的公司或其他实体。</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1.8 </w:t>
      </w:r>
      <w:r>
        <w:rPr>
          <w:rFonts w:hint="eastAsia" w:asciiTheme="minorEastAsia" w:hAnsiTheme="minorEastAsia" w:eastAsiaTheme="minorEastAsia" w:cstheme="minorEastAsia"/>
          <w:color w:val="auto"/>
          <w:kern w:val="0"/>
          <w:highlight w:val="none"/>
          <w:lang w:val="zh-CN"/>
        </w:rPr>
        <w:t>“现场”指合同规定货物将要运至和安装的地点。</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1.9 </w:t>
      </w:r>
      <w:r>
        <w:rPr>
          <w:rFonts w:hint="eastAsia" w:asciiTheme="minorEastAsia" w:hAnsiTheme="minorEastAsia" w:eastAsiaTheme="minorEastAsia" w:cstheme="minorEastAsia"/>
          <w:color w:val="auto"/>
          <w:kern w:val="0"/>
          <w:highlight w:val="none"/>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1.10 </w:t>
      </w:r>
      <w:r>
        <w:rPr>
          <w:rFonts w:hint="eastAsia" w:asciiTheme="minorEastAsia" w:hAnsiTheme="minorEastAsia" w:eastAsiaTheme="minorEastAsia" w:cstheme="minorEastAsia"/>
          <w:color w:val="auto"/>
          <w:kern w:val="0"/>
          <w:highlight w:val="none"/>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1.11 </w:t>
      </w:r>
      <w:r>
        <w:rPr>
          <w:rFonts w:hint="eastAsia" w:asciiTheme="minorEastAsia" w:hAnsiTheme="minorEastAsia" w:eastAsiaTheme="minorEastAsia" w:cstheme="minorEastAsia"/>
          <w:color w:val="auto"/>
          <w:kern w:val="0"/>
          <w:highlight w:val="none"/>
          <w:lang w:val="zh-CN"/>
        </w:rPr>
        <w:t>原产地：指产品的生产地，或提供服务的来源地。</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 </w:t>
      </w:r>
      <w:r>
        <w:rPr>
          <w:rFonts w:hint="eastAsia" w:asciiTheme="minorEastAsia" w:hAnsiTheme="minorEastAsia" w:eastAsiaTheme="minorEastAsia" w:cstheme="minorEastAsia"/>
          <w:color w:val="auto"/>
          <w:kern w:val="0"/>
          <w:highlight w:val="none"/>
          <w:lang w:val="zh-CN"/>
        </w:rPr>
        <w:t>“工作日”指国家法定工作日，“天”指日历天数。</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w:t>
      </w:r>
      <w:r>
        <w:rPr>
          <w:rFonts w:hint="eastAsia" w:asciiTheme="minorEastAsia" w:hAnsiTheme="minorEastAsia" w:eastAsiaTheme="minorEastAsia" w:cstheme="minorEastAsia"/>
          <w:b/>
          <w:bCs/>
          <w:color w:val="auto"/>
          <w:kern w:val="0"/>
          <w:highlight w:val="none"/>
          <w:lang w:val="zh-CN"/>
        </w:rPr>
        <w:t>技术规格要求</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2.1 </w:t>
      </w:r>
      <w:r>
        <w:rPr>
          <w:rFonts w:hint="eastAsia" w:asciiTheme="minorEastAsia" w:hAnsiTheme="minorEastAsia" w:eastAsiaTheme="minorEastAsia" w:cstheme="minorEastAsia"/>
          <w:color w:val="auto"/>
          <w:kern w:val="0"/>
          <w:highlight w:val="none"/>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2.2 </w:t>
      </w:r>
      <w:r>
        <w:rPr>
          <w:rFonts w:hint="eastAsia" w:asciiTheme="minorEastAsia" w:hAnsiTheme="minorEastAsia" w:eastAsiaTheme="minorEastAsia" w:cstheme="minorEastAsia"/>
          <w:color w:val="auto"/>
          <w:kern w:val="0"/>
          <w:highlight w:val="none"/>
          <w:lang w:val="zh-CN"/>
        </w:rPr>
        <w:t>乙方应向甲方提供货物及服务有关的标准的中文文本。</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2.3 </w:t>
      </w:r>
      <w:r>
        <w:rPr>
          <w:rFonts w:hint="eastAsia" w:asciiTheme="minorEastAsia" w:hAnsiTheme="minorEastAsia" w:eastAsiaTheme="minorEastAsia" w:cstheme="minorEastAsia"/>
          <w:color w:val="auto"/>
          <w:kern w:val="0"/>
          <w:highlight w:val="none"/>
          <w:lang w:val="zh-CN"/>
        </w:rPr>
        <w:t>除非技术规范中另有规定，计量单位均采用中华人民共和国法定计量单位。</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3.</w:t>
      </w:r>
      <w:r>
        <w:rPr>
          <w:rFonts w:hint="eastAsia" w:asciiTheme="minorEastAsia" w:hAnsiTheme="minorEastAsia" w:eastAsiaTheme="minorEastAsia" w:cstheme="minorEastAsia"/>
          <w:b/>
          <w:bCs/>
          <w:color w:val="auto"/>
          <w:kern w:val="0"/>
          <w:highlight w:val="none"/>
          <w:lang w:val="zh-CN"/>
        </w:rPr>
        <w:t>合同范围</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3.1 </w:t>
      </w:r>
      <w:r>
        <w:rPr>
          <w:rFonts w:hint="eastAsia" w:asciiTheme="minorEastAsia" w:hAnsiTheme="minorEastAsia" w:eastAsiaTheme="minorEastAsia" w:cstheme="minorEastAsia"/>
          <w:color w:val="auto"/>
          <w:kern w:val="0"/>
          <w:highlight w:val="none"/>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3.2 </w:t>
      </w:r>
      <w:r>
        <w:rPr>
          <w:rFonts w:hint="eastAsia" w:asciiTheme="minorEastAsia" w:hAnsiTheme="minorEastAsia" w:eastAsiaTheme="minorEastAsia" w:cstheme="minorEastAsia"/>
          <w:color w:val="auto"/>
          <w:kern w:val="0"/>
          <w:highlight w:val="none"/>
          <w:lang w:val="zh-CN"/>
        </w:rPr>
        <w:t>乙方应负责培训甲方的技术人员。</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3.3 </w:t>
      </w:r>
      <w:r>
        <w:rPr>
          <w:rFonts w:hint="eastAsia" w:asciiTheme="minorEastAsia" w:hAnsiTheme="minorEastAsia" w:eastAsiaTheme="minorEastAsia" w:cstheme="minorEastAsia"/>
          <w:color w:val="auto"/>
          <w:kern w:val="0"/>
          <w:highlight w:val="none"/>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4.</w:t>
      </w:r>
      <w:r>
        <w:rPr>
          <w:rFonts w:hint="eastAsia" w:asciiTheme="minorEastAsia" w:hAnsiTheme="minorEastAsia" w:eastAsiaTheme="minorEastAsia" w:cstheme="minorEastAsia"/>
          <w:b/>
          <w:bCs/>
          <w:color w:val="auto"/>
          <w:kern w:val="0"/>
          <w:highlight w:val="none"/>
          <w:lang w:val="zh-CN"/>
        </w:rPr>
        <w:t>合同文件和资料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4.1 </w:t>
      </w:r>
      <w:r>
        <w:rPr>
          <w:rFonts w:hint="eastAsia" w:asciiTheme="minorEastAsia" w:hAnsiTheme="minorEastAsia" w:eastAsiaTheme="minorEastAsia" w:cstheme="minorEastAsia"/>
          <w:color w:val="auto"/>
          <w:kern w:val="0"/>
          <w:highlight w:val="none"/>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4.2 </w:t>
      </w:r>
      <w:r>
        <w:rPr>
          <w:rFonts w:hint="eastAsia" w:asciiTheme="minorEastAsia" w:hAnsiTheme="minorEastAsia" w:eastAsiaTheme="minorEastAsia" w:cstheme="minorEastAsia"/>
          <w:color w:val="auto"/>
          <w:kern w:val="0"/>
          <w:highlight w:val="none"/>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5.</w:t>
      </w:r>
      <w:r>
        <w:rPr>
          <w:rFonts w:hint="eastAsia" w:asciiTheme="minorEastAsia" w:hAnsiTheme="minorEastAsia" w:eastAsiaTheme="minorEastAsia" w:cstheme="minorEastAsia"/>
          <w:b/>
          <w:bCs/>
          <w:color w:val="auto"/>
          <w:kern w:val="0"/>
          <w:highlight w:val="none"/>
          <w:lang w:val="zh-CN"/>
        </w:rPr>
        <w:t>知识产权</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5.1 </w:t>
      </w:r>
      <w:r>
        <w:rPr>
          <w:rFonts w:hint="eastAsia" w:asciiTheme="minorEastAsia" w:hAnsiTheme="minorEastAsia" w:eastAsiaTheme="minorEastAsia" w:cstheme="minorEastAsia"/>
          <w:color w:val="auto"/>
          <w:kern w:val="0"/>
          <w:highlight w:val="none"/>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5.2 </w:t>
      </w:r>
      <w:r>
        <w:rPr>
          <w:rFonts w:hint="eastAsia" w:asciiTheme="minorEastAsia" w:hAnsiTheme="minorEastAsia" w:eastAsiaTheme="minorEastAsia" w:cstheme="minorEastAsia"/>
          <w:color w:val="auto"/>
          <w:kern w:val="0"/>
          <w:highlight w:val="none"/>
          <w:lang w:val="zh-CN"/>
        </w:rPr>
        <w:t>任何第三方提出侵权指控，乙方须与第三方交涉并承担由此产生的一切责任、费用和经济赔偿。</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5.3 </w:t>
      </w:r>
      <w:r>
        <w:rPr>
          <w:rFonts w:hint="eastAsia" w:asciiTheme="minorEastAsia" w:hAnsiTheme="minorEastAsia" w:eastAsiaTheme="minorEastAsia" w:cstheme="minorEastAsia"/>
          <w:color w:val="auto"/>
          <w:kern w:val="0"/>
          <w:highlight w:val="none"/>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5.4 </w:t>
      </w:r>
      <w:r>
        <w:rPr>
          <w:rFonts w:hint="eastAsia" w:asciiTheme="minorEastAsia" w:hAnsiTheme="minorEastAsia" w:eastAsiaTheme="minorEastAsia" w:cstheme="minorEastAsia"/>
          <w:color w:val="auto"/>
          <w:kern w:val="0"/>
          <w:highlight w:val="none"/>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5.5 </w:t>
      </w:r>
      <w:r>
        <w:rPr>
          <w:rFonts w:hint="eastAsia" w:asciiTheme="minorEastAsia" w:hAnsiTheme="minorEastAsia" w:eastAsiaTheme="minorEastAsia" w:cstheme="minorEastAsia"/>
          <w:color w:val="auto"/>
          <w:kern w:val="0"/>
          <w:highlight w:val="none"/>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6.</w:t>
      </w:r>
      <w:r>
        <w:rPr>
          <w:rFonts w:hint="eastAsia" w:asciiTheme="minorEastAsia" w:hAnsiTheme="minorEastAsia" w:eastAsiaTheme="minorEastAsia" w:cstheme="minorEastAsia"/>
          <w:b/>
          <w:bCs/>
          <w:color w:val="auto"/>
          <w:kern w:val="0"/>
          <w:highlight w:val="none"/>
          <w:lang w:val="zh-CN"/>
        </w:rPr>
        <w:t>保密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6.1 </w:t>
      </w:r>
      <w:r>
        <w:rPr>
          <w:rFonts w:hint="eastAsia" w:asciiTheme="minorEastAsia" w:hAnsiTheme="minorEastAsia" w:eastAsiaTheme="minorEastAsia" w:cstheme="minorEastAsia"/>
          <w:color w:val="auto"/>
          <w:kern w:val="0"/>
          <w:highlight w:val="none"/>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6.2 </w:t>
      </w:r>
      <w:r>
        <w:rPr>
          <w:rFonts w:hint="eastAsia" w:asciiTheme="minorEastAsia" w:hAnsiTheme="minorEastAsia" w:eastAsiaTheme="minorEastAsia" w:cstheme="minorEastAsia"/>
          <w:color w:val="auto"/>
          <w:kern w:val="0"/>
          <w:highlight w:val="none"/>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6.2.1 </w:t>
      </w:r>
      <w:r>
        <w:rPr>
          <w:rFonts w:hint="eastAsia" w:asciiTheme="minorEastAsia" w:hAnsiTheme="minorEastAsia" w:eastAsiaTheme="minorEastAsia" w:cstheme="minorEastAsia"/>
          <w:color w:val="auto"/>
          <w:kern w:val="0"/>
          <w:highlight w:val="none"/>
          <w:lang w:val="zh-CN"/>
        </w:rPr>
        <w:t>任何涉及对方过去、现在或将来的商业计划、规章制度、操作规程、处理手段、财务信息；</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6.2.2 </w:t>
      </w:r>
      <w:r>
        <w:rPr>
          <w:rFonts w:hint="eastAsia" w:asciiTheme="minorEastAsia" w:hAnsiTheme="minorEastAsia" w:eastAsiaTheme="minorEastAsia" w:cstheme="minorEastAsia"/>
          <w:color w:val="auto"/>
          <w:kern w:val="0"/>
          <w:highlight w:val="none"/>
          <w:lang w:val="zh-CN"/>
        </w:rPr>
        <w:t>任何对方的技术措施、技术方案、软件应用及开发，硬件设备的品种、质量、数量、品牌等；</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6.2.3 </w:t>
      </w:r>
      <w:r>
        <w:rPr>
          <w:rFonts w:hint="eastAsia" w:asciiTheme="minorEastAsia" w:hAnsiTheme="minorEastAsia" w:eastAsiaTheme="minorEastAsia" w:cstheme="minorEastAsia"/>
          <w:color w:val="auto"/>
          <w:kern w:val="0"/>
          <w:highlight w:val="none"/>
          <w:lang w:val="zh-CN"/>
        </w:rPr>
        <w:t>任何对方的技术秘密或专有知识、文件</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、报告、数据、客户软件、流程图、数据库、发明、知识、贸易秘密。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6.3 </w:t>
      </w:r>
      <w:r>
        <w:rPr>
          <w:rFonts w:hint="eastAsia" w:asciiTheme="minorEastAsia" w:hAnsiTheme="minorEastAsia" w:eastAsiaTheme="minorEastAsia" w:cstheme="minorEastAsia"/>
          <w:color w:val="auto"/>
          <w:kern w:val="0"/>
          <w:highlight w:val="none"/>
          <w:lang w:val="zh-CN"/>
        </w:rPr>
        <w:t>乙方应根据甲方的要求签署相应的保密协议，保密协议与本条款存在不一致的，以保密协议为准。</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 xml:space="preserve">7. </w:t>
      </w:r>
      <w:r>
        <w:rPr>
          <w:rFonts w:hint="eastAsia" w:asciiTheme="minorEastAsia" w:hAnsiTheme="minorEastAsia" w:eastAsiaTheme="minorEastAsia" w:cstheme="minorEastAsia"/>
          <w:b/>
          <w:bCs/>
          <w:color w:val="auto"/>
          <w:kern w:val="0"/>
          <w:highlight w:val="none"/>
          <w:lang w:val="zh-CN"/>
        </w:rPr>
        <w:t>质量保证</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 </w:t>
      </w:r>
      <w:r>
        <w:rPr>
          <w:rFonts w:hint="eastAsia" w:asciiTheme="minorEastAsia" w:hAnsiTheme="minorEastAsia" w:eastAsiaTheme="minorEastAsia" w:cstheme="minorEastAsia"/>
          <w:color w:val="auto"/>
          <w:kern w:val="0"/>
          <w:highlight w:val="none"/>
          <w:lang w:val="zh-CN"/>
        </w:rPr>
        <w:t>货物质量保证</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7.1.1 </w:t>
      </w:r>
      <w:r>
        <w:rPr>
          <w:rFonts w:hint="eastAsia" w:asciiTheme="minorEastAsia" w:hAnsiTheme="minorEastAsia" w:eastAsiaTheme="minorEastAsia" w:cstheme="minorEastAsia"/>
          <w:color w:val="auto"/>
          <w:kern w:val="0"/>
          <w:highlight w:val="none"/>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7.1.2 </w:t>
      </w:r>
      <w:r>
        <w:rPr>
          <w:rFonts w:hint="eastAsia" w:asciiTheme="minorEastAsia" w:hAnsiTheme="minorEastAsia" w:eastAsiaTheme="minorEastAsia" w:cstheme="minorEastAsia"/>
          <w:color w:val="auto"/>
          <w:kern w:val="0"/>
          <w:highlight w:val="none"/>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7.1.3 </w:t>
      </w:r>
      <w:r>
        <w:rPr>
          <w:rFonts w:hint="eastAsia" w:asciiTheme="minorEastAsia" w:hAnsiTheme="minorEastAsia" w:eastAsiaTheme="minorEastAsia" w:cstheme="minorEastAsia"/>
          <w:color w:val="auto"/>
          <w:kern w:val="0"/>
          <w:highlight w:val="none"/>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7.1.4 </w:t>
      </w:r>
      <w:r>
        <w:rPr>
          <w:rFonts w:hint="eastAsia" w:asciiTheme="minorEastAsia" w:hAnsiTheme="minorEastAsia" w:eastAsiaTheme="minorEastAsia" w:cstheme="minorEastAsia"/>
          <w:color w:val="auto"/>
          <w:kern w:val="0"/>
          <w:highlight w:val="none"/>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7.1.5 </w:t>
      </w:r>
      <w:r>
        <w:rPr>
          <w:rFonts w:hint="eastAsia" w:asciiTheme="minorEastAsia" w:hAnsiTheme="minorEastAsia" w:eastAsiaTheme="minorEastAsia" w:cstheme="minorEastAsia"/>
          <w:color w:val="auto"/>
          <w:kern w:val="0"/>
          <w:highlight w:val="none"/>
          <w:lang w:val="zh-CN"/>
        </w:rPr>
        <w:t>合同条款下货物的质量保证期自货物通过最终验收起算，合同另行规定除外。</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7.2 </w:t>
      </w:r>
      <w:r>
        <w:rPr>
          <w:rFonts w:hint="eastAsia" w:asciiTheme="minorEastAsia" w:hAnsiTheme="minorEastAsia" w:eastAsiaTheme="minorEastAsia" w:cstheme="minorEastAsia"/>
          <w:color w:val="auto"/>
          <w:kern w:val="0"/>
          <w:highlight w:val="none"/>
          <w:lang w:val="zh-CN"/>
        </w:rPr>
        <w:t>辅助服务质量保证</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7.2.1 </w:t>
      </w:r>
      <w:r>
        <w:rPr>
          <w:rFonts w:hint="eastAsia" w:asciiTheme="minorEastAsia" w:hAnsiTheme="minorEastAsia" w:eastAsiaTheme="minorEastAsia" w:cstheme="minorEastAsia"/>
          <w:color w:val="auto"/>
          <w:kern w:val="0"/>
          <w:highlight w:val="none"/>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7.2.2 </w:t>
      </w:r>
      <w:r>
        <w:rPr>
          <w:rFonts w:hint="eastAsia" w:asciiTheme="minorEastAsia" w:hAnsiTheme="minorEastAsia" w:eastAsiaTheme="minorEastAsia" w:cstheme="minorEastAsia"/>
          <w:color w:val="auto"/>
          <w:kern w:val="0"/>
          <w:highlight w:val="none"/>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8.</w:t>
      </w:r>
      <w:r>
        <w:rPr>
          <w:rFonts w:hint="eastAsia" w:asciiTheme="minorEastAsia" w:hAnsiTheme="minorEastAsia" w:eastAsiaTheme="minorEastAsia" w:cstheme="minorEastAsia"/>
          <w:b/>
          <w:bCs/>
          <w:color w:val="auto"/>
          <w:kern w:val="0"/>
          <w:highlight w:val="none"/>
          <w:lang w:val="zh-CN"/>
        </w:rPr>
        <w:t>包装要求</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8.1 </w:t>
      </w:r>
      <w:r>
        <w:rPr>
          <w:rFonts w:hint="eastAsia" w:asciiTheme="minorEastAsia" w:hAnsiTheme="minorEastAsia" w:eastAsiaTheme="minorEastAsia" w:cstheme="minorEastAsia"/>
          <w:color w:val="auto"/>
          <w:kern w:val="0"/>
          <w:highlight w:val="none"/>
          <w:lang w:val="zh-CN"/>
        </w:rPr>
        <w:t>除合同另有约定外</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乙方提供的全部货物</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均应采用本行业通用的方式进行包装，且该包装应符合国家有关包装的法律、法规的规定。</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8.2 </w:t>
      </w:r>
      <w:r>
        <w:rPr>
          <w:rFonts w:hint="eastAsia" w:asciiTheme="minorEastAsia" w:hAnsiTheme="minorEastAsia" w:eastAsiaTheme="minorEastAsia" w:cstheme="minorEastAsia"/>
          <w:color w:val="auto"/>
          <w:kern w:val="0"/>
          <w:highlight w:val="none"/>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8.3 </w:t>
      </w:r>
      <w:r>
        <w:rPr>
          <w:rFonts w:hint="eastAsia" w:asciiTheme="minorEastAsia" w:hAnsiTheme="minorEastAsia" w:eastAsiaTheme="minorEastAsia" w:cstheme="minorEastAsia"/>
          <w:color w:val="auto"/>
          <w:kern w:val="0"/>
          <w:highlight w:val="none"/>
          <w:lang w:val="zh-CN"/>
        </w:rPr>
        <w:t>乙方所提供的货物包装均为出厂时原包装。</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8.4 </w:t>
      </w:r>
      <w:r>
        <w:rPr>
          <w:rFonts w:hint="eastAsia" w:asciiTheme="minorEastAsia" w:hAnsiTheme="minorEastAsia" w:eastAsiaTheme="minorEastAsia" w:cstheme="minorEastAsia"/>
          <w:color w:val="auto"/>
          <w:kern w:val="0"/>
          <w:highlight w:val="none"/>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8.5 </w:t>
      </w:r>
      <w:r>
        <w:rPr>
          <w:rFonts w:hint="eastAsia" w:asciiTheme="minorEastAsia" w:hAnsiTheme="minorEastAsia" w:eastAsiaTheme="minorEastAsia" w:cstheme="minorEastAsia"/>
          <w:color w:val="auto"/>
          <w:kern w:val="0"/>
          <w:highlight w:val="none"/>
          <w:lang w:val="zh-CN"/>
        </w:rPr>
        <w:t>货物运输中的运输费用和保险费用均由乙方承担。运输过程中的一切损失、损坏均由乙方负责。</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9.</w:t>
      </w:r>
      <w:r>
        <w:rPr>
          <w:rFonts w:hint="eastAsia" w:asciiTheme="minorEastAsia" w:hAnsiTheme="minorEastAsia" w:eastAsiaTheme="minorEastAsia" w:cstheme="minorEastAsia"/>
          <w:b/>
          <w:bCs/>
          <w:color w:val="auto"/>
          <w:kern w:val="0"/>
          <w:highlight w:val="none"/>
          <w:lang w:val="zh-CN"/>
        </w:rPr>
        <w:t>价格</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9.1 </w:t>
      </w:r>
      <w:r>
        <w:rPr>
          <w:rFonts w:hint="eastAsia" w:asciiTheme="minorEastAsia" w:hAnsiTheme="minorEastAsia" w:eastAsiaTheme="minorEastAsia" w:cstheme="minorEastAsia"/>
          <w:color w:val="auto"/>
          <w:kern w:val="0"/>
          <w:highlight w:val="none"/>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9.2 </w:t>
      </w:r>
      <w:r>
        <w:rPr>
          <w:rFonts w:hint="eastAsia" w:asciiTheme="minorEastAsia" w:hAnsiTheme="minorEastAsia" w:eastAsiaTheme="minorEastAsia" w:cstheme="minorEastAsia"/>
          <w:color w:val="auto"/>
          <w:kern w:val="0"/>
          <w:highlight w:val="none"/>
          <w:lang w:val="zh-CN"/>
        </w:rPr>
        <w:t>本合同价格为固定价格，包括了乙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方履行合同全过程产生的所有成本和费用以及乙方应承担的一切税费。</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9.3 </w:t>
      </w:r>
      <w:r>
        <w:rPr>
          <w:rFonts w:hint="eastAsia" w:asciiTheme="minorEastAsia" w:hAnsiTheme="minorEastAsia" w:eastAsiaTheme="minorEastAsia" w:cstheme="minorEastAsia"/>
          <w:color w:val="auto"/>
          <w:kern w:val="0"/>
          <w:highlight w:val="none"/>
          <w:lang w:val="zh-CN"/>
        </w:rPr>
        <w:t>检验费用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9.3.1 </w:t>
      </w:r>
      <w:r>
        <w:rPr>
          <w:rFonts w:hint="eastAsia" w:asciiTheme="minorEastAsia" w:hAnsiTheme="minorEastAsia" w:eastAsiaTheme="minorEastAsia" w:cstheme="minorEastAsia"/>
          <w:color w:val="auto"/>
          <w:kern w:val="0"/>
          <w:highlight w:val="none"/>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9.3.2 </w:t>
      </w:r>
      <w:r>
        <w:rPr>
          <w:rFonts w:hint="eastAsia" w:asciiTheme="minorEastAsia" w:hAnsiTheme="minorEastAsia" w:eastAsiaTheme="minorEastAsia" w:cstheme="minorEastAsia"/>
          <w:color w:val="auto"/>
          <w:kern w:val="0"/>
          <w:highlight w:val="none"/>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9.3.3 </w:t>
      </w:r>
      <w:r>
        <w:rPr>
          <w:rFonts w:hint="eastAsia" w:asciiTheme="minorEastAsia" w:hAnsiTheme="minorEastAsia" w:eastAsiaTheme="minorEastAsia" w:cstheme="minorEastAsia"/>
          <w:color w:val="auto"/>
          <w:kern w:val="0"/>
          <w:highlight w:val="none"/>
          <w:lang w:val="zh-CN"/>
        </w:rPr>
        <w:t>甲方检验人员已到卖方所在地，测试无法依照合同进行，</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而引起甲方人员延长逗留时间，所有由此产生的包括甲方人员在内的直接费用及成本由乙方承担。</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10.</w:t>
      </w:r>
      <w:r>
        <w:rPr>
          <w:rFonts w:hint="eastAsia" w:asciiTheme="minorEastAsia" w:hAnsiTheme="minorEastAsia" w:eastAsiaTheme="minorEastAsia" w:cstheme="minorEastAsia"/>
          <w:b/>
          <w:bCs/>
          <w:color w:val="auto"/>
          <w:kern w:val="0"/>
          <w:highlight w:val="none"/>
          <w:lang w:val="zh-CN"/>
        </w:rPr>
        <w:t>交货方式及交货日期</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交货方式：现场交货，乙方负责办理运输和保险，将货物运抵现场。</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交货日期：所有货物运抵现场并经双方开箱验收合格之日。</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11.检验和验收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11.1 </w:t>
      </w:r>
      <w:r>
        <w:rPr>
          <w:rFonts w:hint="eastAsia" w:asciiTheme="minorEastAsia" w:hAnsiTheme="minorEastAsia" w:eastAsiaTheme="minorEastAsia" w:cstheme="minorEastAsia"/>
          <w:color w:val="auto"/>
          <w:kern w:val="0"/>
          <w:highlight w:val="none"/>
          <w:lang w:val="zh-CN"/>
        </w:rPr>
        <w:t>开箱验收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11.1.1 </w:t>
      </w:r>
      <w:r>
        <w:rPr>
          <w:rFonts w:hint="eastAsia" w:asciiTheme="minorEastAsia" w:hAnsiTheme="minorEastAsia" w:eastAsiaTheme="minorEastAsia" w:cstheme="minorEastAsia"/>
          <w:color w:val="auto"/>
          <w:kern w:val="0"/>
          <w:highlight w:val="none"/>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11.1.2 </w:t>
      </w:r>
      <w:r>
        <w:rPr>
          <w:rFonts w:hint="eastAsia" w:asciiTheme="minorEastAsia" w:hAnsiTheme="minorEastAsia" w:eastAsiaTheme="minorEastAsia" w:cstheme="minorEastAsia"/>
          <w:color w:val="auto"/>
          <w:kern w:val="0"/>
          <w:highlight w:val="none"/>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11.1.3 </w:t>
      </w:r>
      <w:r>
        <w:rPr>
          <w:rFonts w:hint="eastAsia" w:asciiTheme="minorEastAsia" w:hAnsiTheme="minorEastAsia" w:eastAsiaTheme="minorEastAsia" w:cstheme="minorEastAsia"/>
          <w:color w:val="auto"/>
          <w:kern w:val="0"/>
          <w:highlight w:val="none"/>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 </w:t>
      </w:r>
      <w:r>
        <w:rPr>
          <w:rFonts w:hint="eastAsia" w:asciiTheme="minorEastAsia" w:hAnsiTheme="minorEastAsia" w:eastAsiaTheme="minorEastAsia" w:cstheme="minorEastAsia"/>
          <w:color w:val="auto"/>
          <w:kern w:val="0"/>
          <w:highlight w:val="none"/>
          <w:lang w:val="zh-CN"/>
        </w:rPr>
        <w:t>检验验收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11.2.1 </w:t>
      </w:r>
      <w:r>
        <w:rPr>
          <w:rFonts w:hint="eastAsia" w:asciiTheme="minorEastAsia" w:hAnsiTheme="minorEastAsia" w:eastAsiaTheme="minorEastAsia" w:cstheme="minorEastAsia"/>
          <w:color w:val="auto"/>
          <w:kern w:val="0"/>
          <w:highlight w:val="none"/>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11.2.2 </w:t>
      </w:r>
      <w:r>
        <w:rPr>
          <w:rFonts w:hint="eastAsia" w:asciiTheme="minorEastAsia" w:hAnsiTheme="minorEastAsia" w:eastAsiaTheme="minorEastAsia" w:cstheme="minorEastAsia"/>
          <w:color w:val="auto"/>
          <w:kern w:val="0"/>
          <w:highlight w:val="none"/>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11.2.3 </w:t>
      </w:r>
      <w:r>
        <w:rPr>
          <w:rFonts w:hint="eastAsia" w:asciiTheme="minorEastAsia" w:hAnsiTheme="minorEastAsia" w:eastAsiaTheme="minorEastAsia" w:cstheme="minorEastAsia"/>
          <w:color w:val="auto"/>
          <w:kern w:val="0"/>
          <w:highlight w:val="none"/>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11.2.4 </w:t>
      </w:r>
      <w:r>
        <w:rPr>
          <w:rFonts w:hint="eastAsia" w:asciiTheme="minorEastAsia" w:hAnsiTheme="minorEastAsia" w:eastAsiaTheme="minorEastAsia" w:cstheme="minorEastAsia"/>
          <w:color w:val="auto"/>
          <w:kern w:val="0"/>
          <w:highlight w:val="none"/>
          <w:lang w:val="zh-CN"/>
        </w:rPr>
        <w:t>检验测试出现全部或部分未达到本合同所约定的技术指标，甲方有权选择下列任一处理方式：</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a.</w:t>
      </w:r>
      <w:r>
        <w:rPr>
          <w:rFonts w:hint="eastAsia" w:asciiTheme="minorEastAsia" w:hAnsiTheme="minorEastAsia" w:eastAsiaTheme="minorEastAsia" w:cstheme="minorEastAsia"/>
          <w:color w:val="auto"/>
          <w:kern w:val="0"/>
          <w:highlight w:val="none"/>
          <w:lang w:val="zh-CN"/>
        </w:rPr>
        <w:t>重新测试直至合格为止；</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b.</w:t>
      </w:r>
      <w:r>
        <w:rPr>
          <w:rFonts w:hint="eastAsia" w:asciiTheme="minorEastAsia" w:hAnsiTheme="minorEastAsia" w:eastAsiaTheme="minorEastAsia" w:cstheme="minorEastAsia"/>
          <w:color w:val="auto"/>
          <w:kern w:val="0"/>
          <w:highlight w:val="none"/>
          <w:lang w:val="zh-CN"/>
        </w:rPr>
        <w:t>要求乙方对货物进行免费更换，然后重新测试直至合格为止；</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无论选择何种方式，甲方因此而发生的因卖方原因引起的所有费用均由乙方负担。</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11.3 </w:t>
      </w:r>
      <w:r>
        <w:rPr>
          <w:rFonts w:hint="eastAsia" w:asciiTheme="minorEastAsia" w:hAnsiTheme="minorEastAsia" w:eastAsiaTheme="minorEastAsia" w:cstheme="minorEastAsia"/>
          <w:color w:val="auto"/>
          <w:kern w:val="0"/>
          <w:highlight w:val="none"/>
          <w:lang w:val="zh-CN"/>
        </w:rPr>
        <w:t>使用过程检验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11.3.1 </w:t>
      </w:r>
      <w:r>
        <w:rPr>
          <w:rFonts w:hint="eastAsia" w:asciiTheme="minorEastAsia" w:hAnsiTheme="minorEastAsia" w:eastAsiaTheme="minorEastAsia" w:cstheme="minorEastAsia"/>
          <w:color w:val="auto"/>
          <w:kern w:val="0"/>
          <w:highlight w:val="none"/>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11.3.2 </w:t>
      </w:r>
      <w:r>
        <w:rPr>
          <w:rFonts w:hint="eastAsia" w:asciiTheme="minorEastAsia" w:hAnsiTheme="minorEastAsia" w:eastAsiaTheme="minorEastAsia" w:cstheme="minorEastAsia"/>
          <w:color w:val="auto"/>
          <w:kern w:val="0"/>
          <w:highlight w:val="none"/>
          <w:lang w:val="zh-CN"/>
        </w:rPr>
        <w:t>如果合同双方对乙方提供的上述试验结果报告的解释有分歧，双方须于出现分歧后</w:t>
      </w:r>
      <w:r>
        <w:rPr>
          <w:rFonts w:hint="eastAsia" w:asciiTheme="minorEastAsia" w:hAnsiTheme="minorEastAsia" w:eastAsiaTheme="minorEastAsia" w:cstheme="minorEastAsia"/>
          <w:color w:val="auto"/>
          <w:kern w:val="0"/>
          <w:highlight w:val="none"/>
        </w:rPr>
        <w:t>10</w:t>
      </w:r>
      <w:r>
        <w:rPr>
          <w:rFonts w:hint="eastAsia" w:asciiTheme="minorEastAsia" w:hAnsiTheme="minorEastAsia" w:eastAsiaTheme="minorEastAsia" w:cstheme="minorEastAsia"/>
          <w:color w:val="auto"/>
          <w:kern w:val="0"/>
          <w:highlight w:val="none"/>
          <w:lang w:val="zh-CN"/>
        </w:rPr>
        <w:t>天内给对方声明，以陈述己方的观点。声明须附有关证据。分歧应通过协商解决。</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12.</w:t>
      </w:r>
      <w:r>
        <w:rPr>
          <w:rFonts w:hint="eastAsia" w:asciiTheme="minorEastAsia" w:hAnsiTheme="minorEastAsia" w:eastAsiaTheme="minorEastAsia" w:cstheme="minorEastAsia"/>
          <w:b/>
          <w:bCs/>
          <w:color w:val="auto"/>
          <w:kern w:val="0"/>
          <w:highlight w:val="none"/>
          <w:lang w:val="zh-CN"/>
        </w:rPr>
        <w:t>付款方法和条件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本合同条款下的付款方法和条件在“青海省政府采购项目合同书”中具体规定。</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13.</w:t>
      </w:r>
      <w:r>
        <w:rPr>
          <w:rFonts w:hint="eastAsia" w:asciiTheme="minorEastAsia" w:hAnsiTheme="minorEastAsia" w:eastAsiaTheme="minorEastAsia" w:cstheme="minorEastAsia"/>
          <w:b/>
          <w:bCs/>
          <w:color w:val="auto"/>
          <w:kern w:val="0"/>
          <w:highlight w:val="none"/>
          <w:lang w:val="zh-CN"/>
        </w:rPr>
        <w:t>履约保证金</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13.1 </w:t>
      </w:r>
      <w:r>
        <w:rPr>
          <w:rFonts w:hint="eastAsia" w:asciiTheme="minorEastAsia" w:hAnsiTheme="minorEastAsia" w:eastAsiaTheme="minorEastAsia" w:cstheme="minorEastAsia"/>
          <w:color w:val="auto"/>
          <w:kern w:val="0"/>
          <w:highlight w:val="none"/>
          <w:lang w:val="zh-CN"/>
        </w:rPr>
        <w:t>乙方应在合同签订前，按招标文件第</w:t>
      </w:r>
      <w:r>
        <w:rPr>
          <w:rFonts w:hint="eastAsia" w:asciiTheme="minorEastAsia" w:hAnsiTheme="minorEastAsia" w:eastAsiaTheme="minorEastAsia" w:cstheme="minorEastAsia"/>
          <w:color w:val="auto"/>
          <w:kern w:val="0"/>
          <w:highlight w:val="none"/>
        </w:rPr>
        <w:t>二</w:t>
      </w:r>
      <w:r>
        <w:rPr>
          <w:rFonts w:hint="eastAsia" w:asciiTheme="minorEastAsia" w:hAnsiTheme="minorEastAsia" w:eastAsiaTheme="minorEastAsia" w:cstheme="minorEastAsia"/>
          <w:color w:val="auto"/>
          <w:kern w:val="0"/>
          <w:highlight w:val="none"/>
          <w:lang w:val="zh-CN"/>
        </w:rPr>
        <w:t>部分“九 授予合同”中第23.2项的约定提交履约保证金。</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13.2 </w:t>
      </w:r>
      <w:r>
        <w:rPr>
          <w:rFonts w:hint="eastAsia" w:asciiTheme="minorEastAsia" w:hAnsiTheme="minorEastAsia" w:eastAsiaTheme="minorEastAsia" w:cstheme="minorEastAsia"/>
          <w:color w:val="auto"/>
          <w:kern w:val="0"/>
          <w:highlight w:val="none"/>
          <w:lang w:val="zh-CN"/>
        </w:rPr>
        <w:t>履约保证金用于补偿甲方因乙方不能履行其合同义务而蒙受的损失。</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13.3 </w:t>
      </w:r>
      <w:r>
        <w:rPr>
          <w:rFonts w:hint="eastAsia" w:asciiTheme="minorEastAsia" w:hAnsiTheme="minorEastAsia" w:eastAsiaTheme="minorEastAsia" w:cstheme="minorEastAsia"/>
          <w:color w:val="auto"/>
          <w:kern w:val="0"/>
          <w:highlight w:val="none"/>
          <w:lang w:val="zh-CN"/>
        </w:rPr>
        <w:t>履约保证金应使用本合同货币，按下述方式之一提交（招标文件中另有约定的除外）：</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13.3.1 </w:t>
      </w:r>
      <w:r>
        <w:rPr>
          <w:rFonts w:hint="eastAsia" w:asciiTheme="minorEastAsia" w:hAnsiTheme="minorEastAsia" w:eastAsiaTheme="minorEastAsia" w:cstheme="minorEastAsia"/>
          <w:color w:val="auto"/>
          <w:kern w:val="0"/>
          <w:highlight w:val="none"/>
          <w:lang w:val="zh-CN"/>
        </w:rPr>
        <w:t>甲方可接受的在中华人民共和国注册和营业的银行出具的履约保函；</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13.3.2 </w:t>
      </w:r>
      <w:r>
        <w:rPr>
          <w:rFonts w:hint="eastAsia" w:asciiTheme="minorEastAsia" w:hAnsiTheme="minorEastAsia" w:eastAsiaTheme="minorEastAsia" w:cstheme="minorEastAsia"/>
          <w:color w:val="auto"/>
          <w:kern w:val="0"/>
          <w:highlight w:val="none"/>
          <w:lang w:val="zh-CN"/>
        </w:rPr>
        <w:t>支票或汇票。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13.4 </w:t>
      </w:r>
      <w:r>
        <w:rPr>
          <w:rFonts w:hint="eastAsia" w:asciiTheme="minorEastAsia" w:hAnsiTheme="minorEastAsia" w:eastAsiaTheme="minorEastAsia" w:cstheme="minorEastAsia"/>
          <w:color w:val="auto"/>
          <w:kern w:val="0"/>
          <w:highlight w:val="none"/>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14.</w:t>
      </w:r>
      <w:r>
        <w:rPr>
          <w:rFonts w:hint="eastAsia" w:asciiTheme="minorEastAsia" w:hAnsiTheme="minorEastAsia" w:eastAsiaTheme="minorEastAsia" w:cstheme="minorEastAsia"/>
          <w:b/>
          <w:bCs/>
          <w:color w:val="auto"/>
          <w:kern w:val="0"/>
          <w:highlight w:val="none"/>
          <w:lang w:val="zh-CN"/>
        </w:rPr>
        <w:t>索赔</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14.1 </w:t>
      </w:r>
      <w:r>
        <w:rPr>
          <w:rFonts w:hint="eastAsia" w:asciiTheme="minorEastAsia" w:hAnsiTheme="minorEastAsia" w:eastAsiaTheme="minorEastAsia" w:cstheme="minorEastAsia"/>
          <w:color w:val="auto"/>
          <w:kern w:val="0"/>
          <w:highlight w:val="none"/>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14.2 </w:t>
      </w:r>
      <w:r>
        <w:rPr>
          <w:rFonts w:hint="eastAsia" w:asciiTheme="minorEastAsia" w:hAnsiTheme="minorEastAsia" w:eastAsiaTheme="minorEastAsia" w:cstheme="minorEastAsia"/>
          <w:color w:val="auto"/>
          <w:kern w:val="0"/>
          <w:highlight w:val="none"/>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14.2.1 </w:t>
      </w:r>
      <w:r>
        <w:rPr>
          <w:rFonts w:hint="eastAsia" w:asciiTheme="minorEastAsia" w:hAnsiTheme="minorEastAsia" w:eastAsiaTheme="minorEastAsia" w:cstheme="minorEastAsia"/>
          <w:color w:val="auto"/>
          <w:kern w:val="0"/>
          <w:highlight w:val="none"/>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14.2.2 </w:t>
      </w:r>
      <w:r>
        <w:rPr>
          <w:rFonts w:hint="eastAsia" w:asciiTheme="minorEastAsia" w:hAnsiTheme="minorEastAsia" w:eastAsiaTheme="minorEastAsia" w:cstheme="minorEastAsia"/>
          <w:color w:val="auto"/>
          <w:kern w:val="0"/>
          <w:highlight w:val="none"/>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14.2.3 </w:t>
      </w:r>
      <w:r>
        <w:rPr>
          <w:rFonts w:hint="eastAsia" w:asciiTheme="minorEastAsia" w:hAnsiTheme="minorEastAsia" w:eastAsiaTheme="minorEastAsia" w:cstheme="minorEastAsia"/>
          <w:color w:val="auto"/>
          <w:kern w:val="0"/>
          <w:highlight w:val="none"/>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14.3 </w:t>
      </w:r>
      <w:r>
        <w:rPr>
          <w:rFonts w:hint="eastAsia" w:asciiTheme="minorEastAsia" w:hAnsiTheme="minorEastAsia" w:eastAsiaTheme="minorEastAsia" w:cstheme="minorEastAsia"/>
          <w:color w:val="auto"/>
          <w:kern w:val="0"/>
          <w:highlight w:val="none"/>
          <w:lang w:val="zh-CN"/>
        </w:rPr>
        <w:t>乙方收到甲方发出的索赔通知之日起</w:t>
      </w:r>
      <w:r>
        <w:rPr>
          <w:rFonts w:hint="eastAsia" w:asciiTheme="minorEastAsia" w:hAnsiTheme="minorEastAsia" w:eastAsiaTheme="minorEastAsia" w:cstheme="minorEastAsia"/>
          <w:color w:val="auto"/>
          <w:kern w:val="0"/>
          <w:highlight w:val="none"/>
        </w:rPr>
        <w:t>5</w:t>
      </w:r>
      <w:r>
        <w:rPr>
          <w:rFonts w:hint="eastAsia" w:asciiTheme="minorEastAsia" w:hAnsiTheme="minorEastAsia" w:eastAsiaTheme="minorEastAsia" w:cstheme="minorEastAsia"/>
          <w:color w:val="auto"/>
          <w:kern w:val="0"/>
          <w:highlight w:val="none"/>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15.</w:t>
      </w:r>
      <w:r>
        <w:rPr>
          <w:rFonts w:hint="eastAsia" w:asciiTheme="minorEastAsia" w:hAnsiTheme="minorEastAsia" w:eastAsiaTheme="minorEastAsia" w:cstheme="minorEastAsia"/>
          <w:b/>
          <w:bCs/>
          <w:color w:val="auto"/>
          <w:kern w:val="0"/>
          <w:highlight w:val="none"/>
          <w:lang w:val="zh-CN"/>
        </w:rPr>
        <w:t>迟延交货</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15.1 </w:t>
      </w:r>
      <w:r>
        <w:rPr>
          <w:rFonts w:hint="eastAsia" w:asciiTheme="minorEastAsia" w:hAnsiTheme="minorEastAsia" w:eastAsiaTheme="minorEastAsia" w:cstheme="minorEastAsia"/>
          <w:color w:val="auto"/>
          <w:kern w:val="0"/>
          <w:highlight w:val="none"/>
          <w:lang w:val="zh-CN"/>
        </w:rPr>
        <w:t>乙方应按照合同约定的时间交货和提供服务。</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15.2 </w:t>
      </w:r>
      <w:r>
        <w:rPr>
          <w:rFonts w:hint="eastAsia" w:asciiTheme="minorEastAsia" w:hAnsiTheme="minorEastAsia" w:eastAsiaTheme="minorEastAsia" w:cstheme="minorEastAsia"/>
          <w:color w:val="auto"/>
          <w:kern w:val="0"/>
          <w:highlight w:val="none"/>
          <w:lang w:val="zh-CN"/>
        </w:rPr>
        <w:t>除不可抗力因素外，乙方迟延交货，甲方有权提出违约损失赔偿或解除合同。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15.3 </w:t>
      </w:r>
      <w:r>
        <w:rPr>
          <w:rFonts w:hint="eastAsia" w:asciiTheme="minorEastAsia" w:hAnsiTheme="minorEastAsia" w:eastAsiaTheme="minorEastAsia" w:cstheme="minorEastAsia"/>
          <w:color w:val="auto"/>
          <w:kern w:val="0"/>
          <w:highlight w:val="none"/>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16.</w:t>
      </w:r>
      <w:r>
        <w:rPr>
          <w:rFonts w:hint="eastAsia" w:asciiTheme="minorEastAsia" w:hAnsiTheme="minorEastAsia" w:eastAsiaTheme="minorEastAsia" w:cstheme="minorEastAsia"/>
          <w:b/>
          <w:bCs/>
          <w:color w:val="auto"/>
          <w:kern w:val="0"/>
          <w:highlight w:val="none"/>
          <w:lang w:val="zh-CN"/>
        </w:rPr>
        <w:t>违约赔偿</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17.</w:t>
      </w:r>
      <w:r>
        <w:rPr>
          <w:rFonts w:hint="eastAsia" w:asciiTheme="minorEastAsia" w:hAnsiTheme="minorEastAsia" w:eastAsiaTheme="minorEastAsia" w:cstheme="minorEastAsia"/>
          <w:b/>
          <w:bCs/>
          <w:color w:val="auto"/>
          <w:kern w:val="0"/>
          <w:highlight w:val="none"/>
          <w:lang w:val="zh-CN"/>
        </w:rPr>
        <w:t>不可抗力</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17.1 </w:t>
      </w:r>
      <w:r>
        <w:rPr>
          <w:rFonts w:hint="eastAsia" w:asciiTheme="minorEastAsia" w:hAnsiTheme="minorEastAsia" w:eastAsiaTheme="minorEastAsia" w:cstheme="minorEastAsia"/>
          <w:color w:val="auto"/>
          <w:kern w:val="0"/>
          <w:highlight w:val="none"/>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17.2 </w:t>
      </w:r>
      <w:r>
        <w:rPr>
          <w:rFonts w:hint="eastAsia" w:asciiTheme="minorEastAsia" w:hAnsiTheme="minorEastAsia" w:eastAsiaTheme="minorEastAsia" w:cstheme="minorEastAsia"/>
          <w:color w:val="auto"/>
          <w:kern w:val="0"/>
          <w:highlight w:val="none"/>
          <w:lang w:val="zh-CN"/>
        </w:rPr>
        <w:t>受事故影响的一方应在不可抗力的事故发生后以书面形式通知另一方。</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17.3 </w:t>
      </w:r>
      <w:r>
        <w:rPr>
          <w:rFonts w:hint="eastAsia" w:asciiTheme="minorEastAsia" w:hAnsiTheme="minorEastAsia" w:eastAsiaTheme="minorEastAsia" w:cstheme="minorEastAsia"/>
          <w:color w:val="auto"/>
          <w:kern w:val="0"/>
          <w:highlight w:val="none"/>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18.</w:t>
      </w:r>
      <w:r>
        <w:rPr>
          <w:rFonts w:hint="eastAsia" w:asciiTheme="minorEastAsia" w:hAnsiTheme="minorEastAsia" w:eastAsiaTheme="minorEastAsia" w:cstheme="minorEastAsia"/>
          <w:b/>
          <w:bCs/>
          <w:color w:val="auto"/>
          <w:kern w:val="0"/>
          <w:highlight w:val="none"/>
          <w:lang w:val="zh-CN"/>
        </w:rPr>
        <w:t>税费</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与本合同有关的一切税费均由乙方承担。</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19.</w:t>
      </w:r>
      <w:r>
        <w:rPr>
          <w:rFonts w:hint="eastAsia" w:asciiTheme="minorEastAsia" w:hAnsiTheme="minorEastAsia" w:eastAsiaTheme="minorEastAsia" w:cstheme="minorEastAsia"/>
          <w:b/>
          <w:bCs/>
          <w:color w:val="auto"/>
          <w:kern w:val="0"/>
          <w:highlight w:val="none"/>
          <w:lang w:val="zh-CN"/>
        </w:rPr>
        <w:t>合同争议的解决</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19.1 </w:t>
      </w:r>
      <w:r>
        <w:rPr>
          <w:rFonts w:hint="eastAsia" w:asciiTheme="minorEastAsia" w:hAnsiTheme="minorEastAsia" w:eastAsiaTheme="minorEastAsia" w:cstheme="minorEastAsia"/>
          <w:color w:val="auto"/>
          <w:kern w:val="0"/>
          <w:highlight w:val="none"/>
          <w:lang w:val="zh-CN"/>
        </w:rPr>
        <w:t>甲方和乙方由于本合同的履行而发生任何争议时，双方可先通过协商解决。</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19.2 </w:t>
      </w:r>
      <w:r>
        <w:rPr>
          <w:rFonts w:hint="eastAsia" w:asciiTheme="minorEastAsia" w:hAnsiTheme="minorEastAsia" w:eastAsiaTheme="minorEastAsia" w:cstheme="minorEastAsia"/>
          <w:color w:val="auto"/>
          <w:kern w:val="0"/>
          <w:highlight w:val="none"/>
          <w:lang w:val="zh-CN"/>
        </w:rPr>
        <w:t>任何一方不愿通过协商或通过协商仍不能解决争议，则双方中任何一方均应向甲方所在地人民法院起诉。</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20.</w:t>
      </w:r>
      <w:r>
        <w:rPr>
          <w:rFonts w:hint="eastAsia" w:asciiTheme="minorEastAsia" w:hAnsiTheme="minorEastAsia" w:eastAsiaTheme="minorEastAsia" w:cstheme="minorEastAsia"/>
          <w:b/>
          <w:bCs/>
          <w:color w:val="auto"/>
          <w:kern w:val="0"/>
          <w:highlight w:val="none"/>
          <w:lang w:val="zh-CN"/>
        </w:rPr>
        <w:t>违约解除合同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20.1 </w:t>
      </w:r>
      <w:r>
        <w:rPr>
          <w:rFonts w:hint="eastAsia" w:asciiTheme="minorEastAsia" w:hAnsiTheme="minorEastAsia" w:eastAsiaTheme="minorEastAsia" w:cstheme="minorEastAsia"/>
          <w:color w:val="auto"/>
          <w:kern w:val="0"/>
          <w:highlight w:val="none"/>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20.1.1 </w:t>
      </w:r>
      <w:r>
        <w:rPr>
          <w:rFonts w:hint="eastAsia" w:asciiTheme="minorEastAsia" w:hAnsiTheme="minorEastAsia" w:eastAsiaTheme="minorEastAsia" w:cstheme="minorEastAsia"/>
          <w:color w:val="auto"/>
          <w:kern w:val="0"/>
          <w:highlight w:val="none"/>
          <w:lang w:val="zh-CN"/>
        </w:rPr>
        <w:t>乙方未能在合同规定的限期或甲方同意延长的限期内，提供全部或部分货物的；</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20.1.2 </w:t>
      </w:r>
      <w:r>
        <w:rPr>
          <w:rFonts w:hint="eastAsia" w:asciiTheme="minorEastAsia" w:hAnsiTheme="minorEastAsia" w:eastAsiaTheme="minorEastAsia" w:cstheme="minorEastAsia"/>
          <w:color w:val="auto"/>
          <w:kern w:val="0"/>
          <w:highlight w:val="none"/>
          <w:lang w:val="zh-CN"/>
        </w:rPr>
        <w:t>乙方未能履行合同规定的其它主要义务的；</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20.1.3 </w:t>
      </w:r>
      <w:r>
        <w:rPr>
          <w:rFonts w:hint="eastAsia" w:asciiTheme="minorEastAsia" w:hAnsiTheme="minorEastAsia" w:eastAsiaTheme="minorEastAsia" w:cstheme="minorEastAsia"/>
          <w:color w:val="auto"/>
          <w:kern w:val="0"/>
          <w:highlight w:val="none"/>
          <w:lang w:val="zh-CN"/>
        </w:rPr>
        <w:t>乙方在本合同履行过程中有欺诈行为的。</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20.2 </w:t>
      </w:r>
      <w:r>
        <w:rPr>
          <w:rFonts w:hint="eastAsia" w:asciiTheme="minorEastAsia" w:hAnsiTheme="minorEastAsia" w:eastAsiaTheme="minorEastAsia" w:cstheme="minorEastAsia"/>
          <w:color w:val="auto"/>
          <w:kern w:val="0"/>
          <w:highlight w:val="none"/>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21.</w:t>
      </w:r>
      <w:r>
        <w:rPr>
          <w:rFonts w:hint="eastAsia" w:asciiTheme="minorEastAsia" w:hAnsiTheme="minorEastAsia" w:eastAsiaTheme="minorEastAsia" w:cstheme="minorEastAsia"/>
          <w:b/>
          <w:bCs/>
          <w:color w:val="auto"/>
          <w:kern w:val="0"/>
          <w:highlight w:val="none"/>
          <w:lang w:val="zh-CN"/>
        </w:rPr>
        <w:t>破产终止合同</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22.</w:t>
      </w:r>
      <w:r>
        <w:rPr>
          <w:rFonts w:hint="eastAsia" w:asciiTheme="minorEastAsia" w:hAnsiTheme="minorEastAsia" w:eastAsiaTheme="minorEastAsia" w:cstheme="minorEastAsia"/>
          <w:b/>
          <w:bCs/>
          <w:color w:val="auto"/>
          <w:kern w:val="0"/>
          <w:highlight w:val="none"/>
          <w:lang w:val="zh-CN"/>
        </w:rPr>
        <w:t>转让和分包</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22.1 </w:t>
      </w:r>
      <w:r>
        <w:rPr>
          <w:rFonts w:hint="eastAsia" w:asciiTheme="minorEastAsia" w:hAnsiTheme="minorEastAsia" w:eastAsiaTheme="minorEastAsia" w:cstheme="minorEastAsia"/>
          <w:color w:val="auto"/>
          <w:kern w:val="0"/>
          <w:highlight w:val="none"/>
          <w:lang w:val="zh-CN"/>
        </w:rPr>
        <w:t>政府采购合同不能转让。</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22.2 </w:t>
      </w:r>
      <w:r>
        <w:rPr>
          <w:rFonts w:hint="eastAsia" w:asciiTheme="minorEastAsia" w:hAnsiTheme="minorEastAsia" w:eastAsiaTheme="minorEastAsia" w:cstheme="minorEastAsia"/>
          <w:color w:val="auto"/>
          <w:kern w:val="0"/>
          <w:highlight w:val="none"/>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23.</w:t>
      </w:r>
      <w:r>
        <w:rPr>
          <w:rFonts w:hint="eastAsia" w:asciiTheme="minorEastAsia" w:hAnsiTheme="minorEastAsia" w:eastAsiaTheme="minorEastAsia" w:cstheme="minorEastAsia"/>
          <w:b/>
          <w:bCs/>
          <w:color w:val="auto"/>
          <w:kern w:val="0"/>
          <w:highlight w:val="none"/>
          <w:lang w:val="zh-CN"/>
        </w:rPr>
        <w:t>合同修改</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政府采购合同的双方当事人不得擅自变更、中止或者终止合同</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24.</w:t>
      </w:r>
      <w:r>
        <w:rPr>
          <w:rFonts w:hint="eastAsia" w:asciiTheme="minorEastAsia" w:hAnsiTheme="minorEastAsia" w:eastAsiaTheme="minorEastAsia" w:cstheme="minorEastAsia"/>
          <w:b/>
          <w:bCs/>
          <w:color w:val="auto"/>
          <w:kern w:val="0"/>
          <w:highlight w:val="none"/>
          <w:lang w:val="zh-CN"/>
        </w:rPr>
        <w:t>通知</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25.</w:t>
      </w:r>
      <w:r>
        <w:rPr>
          <w:rFonts w:hint="eastAsia" w:asciiTheme="minorEastAsia" w:hAnsiTheme="minorEastAsia" w:eastAsiaTheme="minorEastAsia" w:cstheme="minorEastAsia"/>
          <w:b/>
          <w:bCs/>
          <w:color w:val="auto"/>
          <w:kern w:val="0"/>
          <w:highlight w:val="none"/>
          <w:lang w:val="zh-CN"/>
        </w:rPr>
        <w:t>计量单位</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除技术规范中另有规定外</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计量单位均使用国家法定计量单位。</w:t>
      </w:r>
    </w:p>
    <w:p>
      <w:pPr>
        <w:autoSpaceDE w:val="0"/>
        <w:autoSpaceDN w:val="0"/>
        <w:spacing w:line="360" w:lineRule="auto"/>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26.</w:t>
      </w:r>
      <w:r>
        <w:rPr>
          <w:rFonts w:hint="eastAsia" w:asciiTheme="minorEastAsia" w:hAnsiTheme="minorEastAsia" w:eastAsiaTheme="minorEastAsia" w:cstheme="minorEastAsia"/>
          <w:b/>
          <w:bCs/>
          <w:color w:val="auto"/>
          <w:kern w:val="0"/>
          <w:highlight w:val="none"/>
          <w:lang w:val="zh-CN"/>
        </w:rPr>
        <w:t>适用法律</w:t>
      </w:r>
    </w:p>
    <w:p>
      <w:pPr>
        <w:autoSpaceDE w:val="0"/>
        <w:autoSpaceDN w:val="0"/>
        <w:spacing w:line="360" w:lineRule="auto"/>
        <w:ind w:firstLine="480"/>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kern w:val="0"/>
          <w:highlight w:val="none"/>
          <w:lang w:val="zh-CN"/>
        </w:rPr>
        <w:t>本合同按照中华人民共和国的相关法律进行解释。</w:t>
      </w:r>
    </w:p>
    <w:p>
      <w:pPr>
        <w:pStyle w:val="17"/>
        <w:spacing w:before="0" w:after="0"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szCs w:val="36"/>
          <w:highlight w:val="none"/>
          <w:lang w:val="zh-CN"/>
        </w:rPr>
        <w:br w:type="page"/>
      </w:r>
      <w:bookmarkStart w:id="49" w:name="_Toc515908206"/>
      <w:r>
        <w:rPr>
          <w:rFonts w:hint="eastAsia" w:asciiTheme="minorEastAsia" w:hAnsiTheme="minorEastAsia" w:eastAsiaTheme="minorEastAsia" w:cstheme="minorEastAsia"/>
          <w:color w:val="auto"/>
          <w:szCs w:val="36"/>
          <w:highlight w:val="none"/>
          <w:lang w:val="zh-CN"/>
        </w:rPr>
        <w:t>第四部分  投标文件格式</w:t>
      </w:r>
      <w:bookmarkEnd w:id="49"/>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bookmarkStart w:id="50" w:name="_Toc11851"/>
      <w:bookmarkStart w:id="51" w:name="_Toc515908207"/>
      <w:r>
        <w:rPr>
          <w:rFonts w:hint="eastAsia" w:asciiTheme="minorEastAsia" w:hAnsiTheme="minorEastAsia" w:eastAsiaTheme="minorEastAsia" w:cstheme="minorEastAsia"/>
          <w:color w:val="auto"/>
          <w:sz w:val="30"/>
          <w:szCs w:val="30"/>
          <w:highlight w:val="none"/>
          <w:lang w:val="zh-CN"/>
        </w:rPr>
        <w:t>封面</w:t>
      </w:r>
      <w:bookmarkEnd w:id="50"/>
      <w:r>
        <w:rPr>
          <w:rFonts w:hint="eastAsia" w:asciiTheme="minorEastAsia" w:hAnsiTheme="minorEastAsia" w:eastAsiaTheme="minorEastAsia" w:cstheme="minorEastAsia"/>
          <w:color w:val="auto"/>
          <w:sz w:val="30"/>
          <w:szCs w:val="30"/>
          <w:highlight w:val="none"/>
          <w:lang w:val="zh-CN"/>
        </w:rPr>
        <w:t>（上册）</w:t>
      </w:r>
      <w:bookmarkEnd w:id="51"/>
    </w:p>
    <w:p>
      <w:pPr>
        <w:autoSpaceDE w:val="0"/>
        <w:autoSpaceDN w:val="0"/>
        <w:spacing w:line="360" w:lineRule="auto"/>
        <w:jc w:val="right"/>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正本/副本</w:t>
      </w:r>
    </w:p>
    <w:p>
      <w:pPr>
        <w:autoSpaceDE w:val="0"/>
        <w:autoSpaceDN w:val="0"/>
        <w:spacing w:line="360" w:lineRule="auto"/>
        <w:jc w:val="center"/>
        <w:rPr>
          <w:rFonts w:hint="eastAsia" w:asciiTheme="minorEastAsia" w:hAnsiTheme="minorEastAsia" w:eastAsiaTheme="minorEastAsia" w:cstheme="minorEastAsia"/>
          <w:b/>
          <w:bCs/>
          <w:color w:val="auto"/>
          <w:kern w:val="0"/>
          <w:sz w:val="52"/>
          <w:szCs w:val="52"/>
          <w:highlight w:val="none"/>
          <w:lang w:val="zh-CN"/>
        </w:rPr>
      </w:pPr>
      <w:r>
        <w:rPr>
          <w:rFonts w:hint="eastAsia" w:asciiTheme="minorEastAsia" w:hAnsiTheme="minorEastAsia" w:eastAsiaTheme="minorEastAsia" w:cstheme="minorEastAsia"/>
          <w:b/>
          <w:bCs/>
          <w:color w:val="auto"/>
          <w:kern w:val="0"/>
          <w:sz w:val="52"/>
          <w:szCs w:val="52"/>
          <w:highlight w:val="none"/>
          <w:lang w:val="zh-CN"/>
        </w:rPr>
        <w:t>青海省政府采购项目</w:t>
      </w:r>
    </w:p>
    <w:p>
      <w:pPr>
        <w:autoSpaceDE w:val="0"/>
        <w:autoSpaceDN w:val="0"/>
        <w:spacing w:line="360" w:lineRule="auto"/>
        <w:rPr>
          <w:rFonts w:hint="eastAsia" w:asciiTheme="minorEastAsia" w:hAnsiTheme="minorEastAsia" w:eastAsiaTheme="minorEastAsia" w:cstheme="minorEastAsia"/>
          <w:color w:val="auto"/>
          <w:kern w:val="0"/>
          <w:sz w:val="36"/>
          <w:szCs w:val="36"/>
          <w:highlight w:val="none"/>
        </w:rPr>
      </w:pPr>
    </w:p>
    <w:p>
      <w:pPr>
        <w:autoSpaceDE w:val="0"/>
        <w:autoSpaceDN w:val="0"/>
        <w:spacing w:line="360" w:lineRule="auto"/>
        <w:jc w:val="center"/>
        <w:rPr>
          <w:rFonts w:hint="eastAsia" w:asciiTheme="minorEastAsia" w:hAnsiTheme="minorEastAsia" w:eastAsiaTheme="minorEastAsia" w:cstheme="minorEastAsia"/>
          <w:b/>
          <w:bCs/>
          <w:color w:val="auto"/>
          <w:kern w:val="0"/>
          <w:sz w:val="72"/>
          <w:szCs w:val="72"/>
          <w:highlight w:val="none"/>
          <w:lang w:val="zh-CN"/>
        </w:rPr>
      </w:pPr>
      <w:r>
        <w:rPr>
          <w:rFonts w:hint="eastAsia" w:asciiTheme="minorEastAsia" w:hAnsiTheme="minorEastAsia" w:eastAsiaTheme="minorEastAsia" w:cstheme="minorEastAsia"/>
          <w:b/>
          <w:bCs/>
          <w:color w:val="auto"/>
          <w:kern w:val="0"/>
          <w:sz w:val="72"/>
          <w:szCs w:val="72"/>
          <w:highlight w:val="none"/>
          <w:lang w:val="zh-CN"/>
        </w:rPr>
        <w:t>投</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标</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文</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件</w:t>
      </w: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sz w:val="36"/>
          <w:szCs w:val="36"/>
          <w:highlight w:val="none"/>
          <w:lang w:val="zh-CN"/>
        </w:rPr>
        <w:t>（上册）</w:t>
      </w:r>
    </w:p>
    <w:p>
      <w:pPr>
        <w:autoSpaceDE w:val="0"/>
        <w:autoSpaceDN w:val="0"/>
        <w:spacing w:line="360" w:lineRule="auto"/>
        <w:jc w:val="center"/>
        <w:rPr>
          <w:rFonts w:hint="eastAsia" w:asciiTheme="minorEastAsia" w:hAnsiTheme="minorEastAsia" w:eastAsiaTheme="minorEastAsia" w:cstheme="minorEastAsia"/>
          <w:color w:val="auto"/>
          <w:sz w:val="36"/>
          <w:szCs w:val="36"/>
          <w:highlight w:val="none"/>
          <w:lang w:val="zh-CN"/>
        </w:rPr>
      </w:pPr>
      <w:r>
        <w:rPr>
          <w:rFonts w:hint="eastAsia" w:asciiTheme="minorEastAsia" w:hAnsiTheme="minorEastAsia" w:eastAsiaTheme="minorEastAsia" w:cstheme="minorEastAsia"/>
          <w:b/>
          <w:bCs/>
          <w:color w:val="auto"/>
          <w:sz w:val="36"/>
          <w:szCs w:val="36"/>
          <w:highlight w:val="none"/>
          <w:lang w:val="zh-CN"/>
        </w:rPr>
        <w:t>（资格审查文件）</w:t>
      </w:r>
    </w:p>
    <w:p>
      <w:pPr>
        <w:autoSpaceDE w:val="0"/>
        <w:autoSpaceDN w:val="0"/>
        <w:spacing w:line="360" w:lineRule="auto"/>
        <w:rPr>
          <w:rFonts w:hint="eastAsia" w:asciiTheme="minorEastAsia" w:hAnsiTheme="minorEastAsia" w:eastAsiaTheme="minorEastAsia" w:cstheme="minorEastAsia"/>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zh-CN"/>
        </w:rPr>
        <w:t>采购项目编号：</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zh-CN"/>
        </w:rPr>
        <w:t>采购项目名称</w:t>
      </w:r>
      <w:r>
        <w:rPr>
          <w:rFonts w:hint="eastAsia" w:asciiTheme="minorEastAsia" w:hAnsiTheme="minorEastAsia" w:eastAsiaTheme="minorEastAsia" w:cstheme="minorEastAsia"/>
          <w:b/>
          <w:bCs/>
          <w:color w:val="auto"/>
          <w:kern w:val="0"/>
          <w:sz w:val="36"/>
          <w:szCs w:val="36"/>
          <w:highlight w:val="none"/>
        </w:rPr>
        <w:t>：</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lang w:val="zh-CN"/>
        </w:rPr>
        <w:t>采购项目包号：</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投标人：</w:t>
      </w:r>
      <w:r>
        <w:rPr>
          <w:rFonts w:hint="eastAsia" w:asciiTheme="minorEastAsia" w:hAnsiTheme="minorEastAsia" w:eastAsiaTheme="minorEastAsia" w:cstheme="minorEastAsia"/>
          <w:b/>
          <w:bCs/>
          <w:color w:val="auto"/>
          <w:kern w:val="0"/>
          <w:sz w:val="36"/>
          <w:szCs w:val="36"/>
          <w:highlight w:val="none"/>
          <w:u w:val="single"/>
        </w:rPr>
        <w:t xml:space="preserve">                          </w:t>
      </w:r>
      <w:r>
        <w:rPr>
          <w:rFonts w:hint="eastAsia" w:asciiTheme="minorEastAsia" w:hAnsiTheme="minorEastAsia" w:eastAsiaTheme="minorEastAsia" w:cstheme="minorEastAsia"/>
          <w:b/>
          <w:bCs/>
          <w:color w:val="auto"/>
          <w:kern w:val="0"/>
          <w:sz w:val="36"/>
          <w:szCs w:val="36"/>
          <w:highlight w:val="none"/>
        </w:rPr>
        <w:t>（</w:t>
      </w:r>
      <w:r>
        <w:rPr>
          <w:rFonts w:hint="eastAsia" w:asciiTheme="minorEastAsia" w:hAnsiTheme="minorEastAsia" w:eastAsiaTheme="minorEastAsia" w:cstheme="minorEastAsia"/>
          <w:b/>
          <w:bCs/>
          <w:color w:val="auto"/>
          <w:kern w:val="0"/>
          <w:sz w:val="36"/>
          <w:szCs w:val="36"/>
          <w:highlight w:val="none"/>
          <w:lang w:val="zh-CN"/>
        </w:rPr>
        <w:t>公章）</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法定代表人或委托代理人：</w:t>
      </w:r>
      <w:r>
        <w:rPr>
          <w:rFonts w:hint="eastAsia" w:asciiTheme="minorEastAsia" w:hAnsiTheme="minorEastAsia" w:eastAsiaTheme="minorEastAsia" w:cstheme="minorEastAsia"/>
          <w:b/>
          <w:bCs/>
          <w:color w:val="auto"/>
          <w:kern w:val="0"/>
          <w:sz w:val="36"/>
          <w:szCs w:val="36"/>
          <w:highlight w:val="none"/>
          <w:u w:val="single"/>
        </w:rPr>
        <w:t xml:space="preserve">     </w:t>
      </w:r>
      <w:r>
        <w:rPr>
          <w:rFonts w:hint="eastAsia" w:asciiTheme="minorEastAsia" w:hAnsiTheme="minorEastAsia" w:eastAsiaTheme="minorEastAsia" w:cstheme="minorEastAsia"/>
          <w:b/>
          <w:bCs/>
          <w:color w:val="auto"/>
          <w:kern w:val="0"/>
          <w:sz w:val="36"/>
          <w:szCs w:val="36"/>
          <w:highlight w:val="none"/>
          <w:lang w:val="zh-CN"/>
        </w:rPr>
        <w:t>（签字或盖章）</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年</w:t>
      </w: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月</w:t>
      </w: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日</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b w:val="0"/>
          <w:bCs w:val="0"/>
          <w:color w:val="auto"/>
          <w:kern w:val="0"/>
          <w:highlight w:val="none"/>
          <w:lang w:val="zh-CN"/>
        </w:rPr>
        <w:br w:type="page"/>
      </w:r>
      <w:bookmarkStart w:id="52" w:name="_Toc515908208"/>
      <w:bookmarkStart w:id="53" w:name="_Toc29902"/>
      <w:bookmarkStart w:id="54" w:name="_Toc8514"/>
      <w:r>
        <w:rPr>
          <w:rFonts w:hint="eastAsia" w:asciiTheme="minorEastAsia" w:hAnsiTheme="minorEastAsia" w:eastAsiaTheme="minorEastAsia" w:cstheme="minorEastAsia"/>
          <w:color w:val="auto"/>
          <w:sz w:val="30"/>
          <w:szCs w:val="30"/>
          <w:highlight w:val="none"/>
          <w:lang w:val="zh-CN"/>
        </w:rPr>
        <w:t>目录（上册）</w:t>
      </w:r>
      <w:bookmarkEnd w:id="52"/>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投标函……………………………………………………………所在页码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法定代表人证明书………………………………………………所在页码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法定代表人授权书………………………………………………所在页码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投标人承诺函……………………………………………………所在页码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投标人诚信承诺书………………………………………………所在页码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资格证明材料……………………………………………………所在页码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财务状况报告，依法缴纳税收和社会保障资金的相关材料…所在页码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具备履行合同所必需的设备和专业技术能力的证明材料……所在页码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无重大违法记录声明……………………………………………所在页码</w:t>
      </w:r>
    </w:p>
    <w:p>
      <w:pPr>
        <w:numPr>
          <w:ilvl w:val="0"/>
          <w:numId w:val="8"/>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投标保证金证明…………………………………………………所在页码</w:t>
      </w:r>
    </w:p>
    <w:bookmarkEnd w:id="53"/>
    <w:bookmarkEnd w:id="54"/>
    <w:p>
      <w:pPr>
        <w:pStyle w:val="17"/>
        <w:spacing w:before="0" w:after="0" w:line="360" w:lineRule="auto"/>
        <w:jc w:val="left"/>
        <w:outlineLvl w:val="1"/>
        <w:rPr>
          <w:rFonts w:hint="eastAsia" w:asciiTheme="minorEastAsia" w:hAnsiTheme="minorEastAsia" w:eastAsiaTheme="minorEastAsia" w:cstheme="minorEastAsia"/>
          <w:b/>
          <w:bCs/>
          <w:color w:val="auto"/>
          <w:kern w:val="0"/>
          <w:sz w:val="28"/>
          <w:szCs w:val="28"/>
          <w:highlight w:val="none"/>
          <w:lang w:val="zh-CN"/>
        </w:rPr>
      </w:pPr>
      <w:bookmarkStart w:id="55" w:name="_Toc19582"/>
      <w:r>
        <w:rPr>
          <w:rFonts w:hint="eastAsia" w:asciiTheme="minorEastAsia" w:hAnsiTheme="minorEastAsia" w:eastAsiaTheme="minorEastAsia" w:cstheme="minorEastAsia"/>
          <w:color w:val="auto"/>
          <w:sz w:val="30"/>
          <w:szCs w:val="30"/>
          <w:highlight w:val="none"/>
          <w:lang w:val="zh-CN"/>
        </w:rPr>
        <w:br w:type="page"/>
      </w:r>
      <w:bookmarkStart w:id="56" w:name="_Toc515908209"/>
      <w:r>
        <w:rPr>
          <w:rFonts w:hint="eastAsia" w:asciiTheme="minorEastAsia" w:hAnsiTheme="minorEastAsia" w:eastAsiaTheme="minorEastAsia" w:cstheme="minorEastAsia"/>
          <w:color w:val="auto"/>
          <w:sz w:val="30"/>
          <w:szCs w:val="30"/>
          <w:highlight w:val="none"/>
        </w:rPr>
        <w:t>（1）</w:t>
      </w:r>
      <w:r>
        <w:rPr>
          <w:rFonts w:hint="eastAsia" w:asciiTheme="minorEastAsia" w:hAnsiTheme="minorEastAsia" w:eastAsiaTheme="minorEastAsia" w:cstheme="minorEastAsia"/>
          <w:color w:val="auto"/>
          <w:sz w:val="30"/>
          <w:szCs w:val="30"/>
          <w:highlight w:val="none"/>
          <w:lang w:val="zh-CN"/>
        </w:rPr>
        <w:t>投标函</w:t>
      </w:r>
      <w:bookmarkEnd w:id="55"/>
      <w:bookmarkEnd w:id="56"/>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投标函</w:t>
      </w:r>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我们收到</w:t>
      </w:r>
      <w:r>
        <w:rPr>
          <w:rFonts w:hint="eastAsia" w:asciiTheme="minorEastAsia" w:hAnsiTheme="minorEastAsia" w:eastAsiaTheme="minorEastAsia" w:cstheme="minorEastAsia"/>
          <w:color w:val="auto"/>
          <w:kern w:val="0"/>
          <w:highlight w:val="none"/>
          <w:u w:val="single"/>
          <w:lang w:val="zh-CN"/>
        </w:rPr>
        <w:t>采购项目名称（采购项目编号）</w:t>
      </w:r>
      <w:r>
        <w:rPr>
          <w:rFonts w:hint="eastAsia" w:asciiTheme="minorEastAsia" w:hAnsiTheme="minorEastAsia" w:eastAsiaTheme="minorEastAsia" w:cstheme="minorEastAsia"/>
          <w:color w:val="auto"/>
          <w:kern w:val="0"/>
          <w:highlight w:val="none"/>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据此函，签字代表宣布同意如下：</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1.我方已详阅招标文件的全部内容，包括澄清、修改条款等有关附件，承诺对其完全理解并接受。</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2.投标有效期：</w:t>
      </w:r>
      <w:r>
        <w:rPr>
          <w:rFonts w:hint="eastAsia" w:asciiTheme="minorEastAsia" w:hAnsiTheme="minorEastAsia" w:eastAsiaTheme="minorEastAsia" w:cstheme="minorEastAsia"/>
          <w:color w:val="auto"/>
          <w:highlight w:val="none"/>
          <w:shd w:val="clear" w:color="auto" w:fill="FFFFFF"/>
        </w:rPr>
        <w:t>从提交投标文件的截止之日起</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4.与本投标有关的一切正式往来通讯请寄：</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地址：_______________          邮编：______________</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电话：_______________          传真：______________</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法定代表人姓名： ___________   职务：____________</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val="0"/>
          <w:bCs w:val="0"/>
          <w:color w:val="auto"/>
          <w:kern w:val="0"/>
          <w:sz w:val="24"/>
          <w:highlight w:val="none"/>
          <w:lang w:val="zh-CN"/>
        </w:rPr>
        <w:br w:type="page"/>
      </w:r>
      <w:bookmarkStart w:id="57" w:name="_Toc515908210"/>
      <w:bookmarkStart w:id="58" w:name="_Toc29944"/>
      <w:r>
        <w:rPr>
          <w:rFonts w:hint="eastAsia" w:asciiTheme="minorEastAsia" w:hAnsiTheme="minorEastAsia" w:eastAsiaTheme="minorEastAsia" w:cstheme="minorEastAsia"/>
          <w:color w:val="auto"/>
          <w:kern w:val="0"/>
          <w:sz w:val="30"/>
          <w:szCs w:val="30"/>
          <w:highlight w:val="none"/>
          <w:lang w:val="zh-CN"/>
        </w:rPr>
        <w:t>（</w:t>
      </w:r>
      <w:r>
        <w:rPr>
          <w:rFonts w:hint="eastAsia" w:asciiTheme="minorEastAsia" w:hAnsiTheme="minorEastAsia" w:eastAsiaTheme="minorEastAsia" w:cstheme="minorEastAsia"/>
          <w:color w:val="auto"/>
          <w:kern w:val="0"/>
          <w:sz w:val="30"/>
          <w:szCs w:val="30"/>
          <w:highlight w:val="none"/>
        </w:rPr>
        <w:t>2</w:t>
      </w:r>
      <w:r>
        <w:rPr>
          <w:rFonts w:hint="eastAsia" w:asciiTheme="minorEastAsia" w:hAnsiTheme="minorEastAsia" w:eastAsiaTheme="minorEastAsia" w:cstheme="minorEastAsia"/>
          <w:color w:val="auto"/>
          <w:kern w:val="0"/>
          <w:sz w:val="30"/>
          <w:szCs w:val="30"/>
          <w:highlight w:val="none"/>
          <w:lang w:val="zh-CN"/>
        </w:rPr>
        <w:t>）</w:t>
      </w:r>
      <w:r>
        <w:rPr>
          <w:rFonts w:hint="eastAsia" w:asciiTheme="minorEastAsia" w:hAnsiTheme="minorEastAsia" w:eastAsiaTheme="minorEastAsia" w:cstheme="minorEastAsia"/>
          <w:color w:val="auto"/>
          <w:sz w:val="30"/>
          <w:szCs w:val="30"/>
          <w:highlight w:val="none"/>
        </w:rPr>
        <w:t>法定代表人证明书</w:t>
      </w:r>
      <w:bookmarkEnd w:id="57"/>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法定代表人证明书</w:t>
      </w:r>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    </w:t>
      </w:r>
      <w:r>
        <w:rPr>
          <w:rFonts w:hint="eastAsia" w:asciiTheme="minorEastAsia" w:hAnsiTheme="minorEastAsia" w:eastAsiaTheme="minorEastAsia" w:cstheme="minorEastAsia"/>
          <w:color w:val="auto"/>
          <w:kern w:val="0"/>
          <w:highlight w:val="none"/>
          <w:u w:val="single"/>
          <w:lang w:val="zh-CN"/>
        </w:rPr>
        <w:t>（法定代表人姓名）</w:t>
      </w:r>
      <w:r>
        <w:rPr>
          <w:rFonts w:hint="eastAsia" w:asciiTheme="minorEastAsia" w:hAnsiTheme="minorEastAsia" w:eastAsiaTheme="minorEastAsia" w:cstheme="minorEastAsia"/>
          <w:color w:val="auto"/>
          <w:kern w:val="0"/>
          <w:highlight w:val="none"/>
          <w:lang w:val="zh-CN"/>
        </w:rPr>
        <w:t>现任我单位</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职务，为法定代表人，特此证明。</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法定代表人基本情况：</w:t>
      </w:r>
    </w:p>
    <w:p>
      <w:pPr>
        <w:autoSpaceDE w:val="0"/>
        <w:autoSpaceDN w:val="0"/>
        <w:spacing w:line="360" w:lineRule="auto"/>
        <w:rPr>
          <w:rFonts w:hint="eastAsia" w:asciiTheme="minorEastAsia" w:hAnsiTheme="minorEastAsia" w:eastAsiaTheme="minorEastAsia" w:cstheme="minorEastAsia"/>
          <w:color w:val="auto"/>
          <w:kern w:val="0"/>
          <w:highlight w:val="none"/>
          <w:u w:val="single"/>
          <w:lang w:val="zh-CN"/>
        </w:rPr>
      </w:pPr>
      <w:r>
        <w:rPr>
          <w:rFonts w:hint="eastAsia" w:asciiTheme="minorEastAsia" w:hAnsiTheme="minorEastAsia" w:eastAsiaTheme="minorEastAsia" w:cstheme="minorEastAsia"/>
          <w:color w:val="auto"/>
          <w:kern w:val="0"/>
          <w:highlight w:val="none"/>
          <w:lang w:val="zh-CN"/>
        </w:rPr>
        <w:t>性别：</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年龄：</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 xml:space="preserve"> 民族：</w:t>
      </w:r>
      <w:r>
        <w:rPr>
          <w:rFonts w:hint="eastAsia" w:asciiTheme="minorEastAsia" w:hAnsiTheme="minorEastAsia" w:eastAsiaTheme="minorEastAsia" w:cstheme="minorEastAsia"/>
          <w:color w:val="auto"/>
          <w:kern w:val="0"/>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highlight w:val="none"/>
          <w:u w:val="single"/>
          <w:lang w:val="zh-CN"/>
        </w:rPr>
      </w:pPr>
      <w:r>
        <w:rPr>
          <w:rFonts w:hint="eastAsia" w:asciiTheme="minorEastAsia" w:hAnsiTheme="minorEastAsia" w:eastAsiaTheme="minorEastAsia" w:cstheme="minorEastAsia"/>
          <w:color w:val="auto"/>
          <w:kern w:val="0"/>
          <w:highlight w:val="none"/>
          <w:lang w:val="zh-CN"/>
        </w:rPr>
        <w:t>地址：</w:t>
      </w:r>
      <w:r>
        <w:rPr>
          <w:rFonts w:hint="eastAsia" w:asciiTheme="minorEastAsia" w:hAnsiTheme="minorEastAsia" w:eastAsiaTheme="minorEastAsia" w:cstheme="minorEastAsia"/>
          <w:color w:val="auto"/>
          <w:kern w:val="0"/>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身份证号码：</w:t>
      </w:r>
      <w:r>
        <w:rPr>
          <w:rFonts w:hint="eastAsia" w:asciiTheme="minorEastAsia" w:hAnsiTheme="minorEastAsia" w:eastAsiaTheme="minorEastAsia" w:cstheme="minorEastAsia"/>
          <w:color w:val="auto"/>
          <w:kern w:val="0"/>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附法定代表人第二代身份证双面扫描（或复印）件</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br w:type="page"/>
      </w:r>
      <w:bookmarkEnd w:id="58"/>
      <w:bookmarkStart w:id="59" w:name="_Toc515908211"/>
      <w:bookmarkStart w:id="60" w:name="_Toc17284"/>
      <w:r>
        <w:rPr>
          <w:rFonts w:hint="eastAsia" w:asciiTheme="minorEastAsia" w:hAnsiTheme="minorEastAsia" w:eastAsiaTheme="minorEastAsia" w:cstheme="minorEastAsia"/>
          <w:color w:val="auto"/>
          <w:sz w:val="30"/>
          <w:szCs w:val="30"/>
          <w:highlight w:val="none"/>
        </w:rPr>
        <w:t>（3）</w:t>
      </w:r>
      <w:r>
        <w:rPr>
          <w:rFonts w:hint="eastAsia" w:asciiTheme="minorEastAsia" w:hAnsiTheme="minorEastAsia" w:eastAsiaTheme="minorEastAsia" w:cstheme="minorEastAsia"/>
          <w:color w:val="auto"/>
          <w:sz w:val="30"/>
          <w:szCs w:val="30"/>
          <w:highlight w:val="none"/>
          <w:lang w:val="zh-CN"/>
        </w:rPr>
        <w:t>法定代表人授权书</w:t>
      </w:r>
      <w:bookmarkEnd w:id="59"/>
    </w:p>
    <w:p>
      <w:pPr>
        <w:spacing w:line="360" w:lineRule="auto"/>
        <w:rPr>
          <w:rFonts w:hint="eastAsia" w:asciiTheme="minorEastAsia" w:hAnsiTheme="minorEastAsia" w:eastAsiaTheme="minorEastAsia" w:cstheme="minorEastAsia"/>
          <w:color w:val="auto"/>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法定代表人授权书</w:t>
      </w:r>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    </w:t>
      </w:r>
      <w:r>
        <w:rPr>
          <w:rFonts w:hint="eastAsia" w:asciiTheme="minorEastAsia" w:hAnsiTheme="minorEastAsia" w:eastAsiaTheme="minorEastAsia" w:cstheme="minorEastAsia"/>
          <w:color w:val="auto"/>
          <w:kern w:val="0"/>
          <w:highlight w:val="none"/>
          <w:u w:val="single"/>
          <w:lang w:val="zh-CN"/>
        </w:rPr>
        <w:t>（投标人名称）</w:t>
      </w:r>
      <w:r>
        <w:rPr>
          <w:rFonts w:hint="eastAsia" w:asciiTheme="minorEastAsia" w:hAnsiTheme="minorEastAsia" w:eastAsiaTheme="minorEastAsia" w:cstheme="minorEastAsia"/>
          <w:color w:val="auto"/>
          <w:kern w:val="0"/>
          <w:highlight w:val="none"/>
          <w:lang w:val="zh-CN"/>
        </w:rPr>
        <w:t>系中华人民共和国合法企业，法定地址</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u w:val="single"/>
          <w:lang w:val="zh-CN"/>
        </w:rPr>
        <w:t>（法定代表人姓名）</w:t>
      </w:r>
      <w:r>
        <w:rPr>
          <w:rFonts w:hint="eastAsia" w:asciiTheme="minorEastAsia" w:hAnsiTheme="minorEastAsia" w:eastAsiaTheme="minorEastAsia" w:cstheme="minorEastAsia"/>
          <w:color w:val="auto"/>
          <w:kern w:val="0"/>
          <w:highlight w:val="none"/>
          <w:lang w:val="zh-CN"/>
        </w:rPr>
        <w:t>特授权</w:t>
      </w:r>
      <w:r>
        <w:rPr>
          <w:rFonts w:hint="eastAsia" w:asciiTheme="minorEastAsia" w:hAnsiTheme="minorEastAsia" w:eastAsiaTheme="minorEastAsia" w:cstheme="minorEastAsia"/>
          <w:color w:val="auto"/>
          <w:kern w:val="0"/>
          <w:highlight w:val="none"/>
          <w:u w:val="single"/>
          <w:lang w:val="zh-CN"/>
        </w:rPr>
        <w:t>（委托代理人姓名）</w:t>
      </w:r>
      <w:r>
        <w:rPr>
          <w:rFonts w:hint="eastAsia" w:asciiTheme="minorEastAsia" w:hAnsiTheme="minorEastAsia" w:eastAsiaTheme="minorEastAsia" w:cstheme="minorEastAsia"/>
          <w:color w:val="auto"/>
          <w:kern w:val="0"/>
          <w:highlight w:val="none"/>
          <w:lang w:val="zh-CN"/>
        </w:rPr>
        <w:t>代表我单位全权办理</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项目的投标、答疑等具体工作，并签署全部有关的文件、资料。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我单位对被授权人的签名负全部责任。</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被授权人联系电话：</w:t>
      </w:r>
    </w:p>
    <w:p>
      <w:pPr>
        <w:autoSpaceDE w:val="0"/>
        <w:autoSpaceDN w:val="0"/>
        <w:spacing w:line="360" w:lineRule="auto"/>
        <w:rPr>
          <w:rFonts w:hint="eastAsia" w:asciiTheme="minorEastAsia" w:hAnsiTheme="minorEastAsia" w:eastAsiaTheme="minorEastAsia" w:cstheme="minorEastAsia"/>
          <w:color w:val="auto"/>
          <w:kern w:val="0"/>
          <w:highlight w:val="none"/>
          <w:u w:val="single"/>
          <w:lang w:val="zh-CN"/>
        </w:rPr>
      </w:pPr>
      <w:r>
        <w:rPr>
          <w:rFonts w:hint="eastAsia" w:asciiTheme="minorEastAsia" w:hAnsiTheme="minorEastAsia" w:eastAsiaTheme="minorEastAsia" w:cstheme="minorEastAsia"/>
          <w:color w:val="auto"/>
          <w:kern w:val="0"/>
          <w:highlight w:val="none"/>
          <w:lang w:val="zh-CN"/>
        </w:rPr>
        <w:t xml:space="preserve">被授权人（委托代理人）签字：       授权人（法定代表人）签字及签章：   </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 xml:space="preserve"> </w:t>
      </w:r>
      <w:r>
        <w:rPr>
          <w:rFonts w:hint="eastAsia" w:asciiTheme="minorEastAsia" w:hAnsiTheme="minorEastAsia" w:eastAsiaTheme="minorEastAsia" w:cstheme="minorEastAsia"/>
          <w:color w:val="auto"/>
          <w:kern w:val="0"/>
          <w:highlight w:val="none"/>
          <w:u w:val="singl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职务：                             职务：</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 xml:space="preserve">  </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附被授权人第二代身份证双面扫描（或复印）件</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pStyle w:val="17"/>
        <w:spacing w:before="0" w:after="0" w:line="360" w:lineRule="auto"/>
        <w:jc w:val="left"/>
        <w:outlineLvl w:val="1"/>
        <w:rPr>
          <w:rFonts w:hint="eastAsia" w:asciiTheme="minorEastAsia" w:hAnsiTheme="minorEastAsia" w:eastAsiaTheme="minorEastAsia" w:cstheme="minorEastAsia"/>
          <w:color w:val="auto"/>
          <w:kern w:val="0"/>
          <w:sz w:val="28"/>
          <w:szCs w:val="28"/>
          <w:highlight w:val="none"/>
          <w:lang w:val="zh-CN"/>
        </w:rPr>
      </w:pPr>
      <w:r>
        <w:rPr>
          <w:rFonts w:hint="eastAsia" w:asciiTheme="minorEastAsia" w:hAnsiTheme="minorEastAsia" w:eastAsiaTheme="minorEastAsia" w:cstheme="minorEastAsia"/>
          <w:color w:val="auto"/>
          <w:highlight w:val="none"/>
          <w:lang w:val="zh-CN"/>
        </w:rPr>
        <w:br w:type="page"/>
      </w:r>
      <w:bookmarkStart w:id="61" w:name="_Toc515908212"/>
      <w:r>
        <w:rPr>
          <w:rFonts w:hint="eastAsia" w:asciiTheme="minorEastAsia" w:hAnsiTheme="minorEastAsia" w:eastAsiaTheme="minorEastAsia" w:cstheme="minorEastAsia"/>
          <w:color w:val="auto"/>
          <w:sz w:val="30"/>
          <w:szCs w:val="30"/>
          <w:highlight w:val="none"/>
        </w:rPr>
        <w:t>（4）</w:t>
      </w:r>
      <w:r>
        <w:rPr>
          <w:rFonts w:hint="eastAsia" w:asciiTheme="minorEastAsia" w:hAnsiTheme="minorEastAsia" w:eastAsiaTheme="minorEastAsia" w:cstheme="minorEastAsia"/>
          <w:color w:val="auto"/>
          <w:sz w:val="30"/>
          <w:szCs w:val="30"/>
          <w:highlight w:val="none"/>
          <w:lang w:val="zh-CN"/>
        </w:rPr>
        <w:t>投标人承诺函</w:t>
      </w:r>
      <w:bookmarkEnd w:id="61"/>
    </w:p>
    <w:p>
      <w:pPr>
        <w:autoSpaceDE w:val="0"/>
        <w:autoSpaceDN w:val="0"/>
        <w:spacing w:line="360" w:lineRule="auto"/>
        <w:jc w:val="center"/>
        <w:rPr>
          <w:rFonts w:hint="eastAsia" w:asciiTheme="minorEastAsia" w:hAnsiTheme="minorEastAsia" w:eastAsiaTheme="minorEastAsia" w:cstheme="minorEastAsia"/>
          <w:b/>
          <w:bCs/>
          <w:color w:val="auto"/>
          <w:kern w:val="0"/>
          <w:sz w:val="28"/>
          <w:szCs w:val="28"/>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投标人承诺函</w:t>
      </w:r>
    </w:p>
    <w:p>
      <w:pPr>
        <w:autoSpaceDE w:val="0"/>
        <w:autoSpaceDN w:val="0"/>
        <w:spacing w:line="360" w:lineRule="auto"/>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关于贵方20</w:t>
      </w:r>
      <w:r>
        <w:rPr>
          <w:rFonts w:hint="eastAsia" w:asciiTheme="minorEastAsia" w:hAnsiTheme="minorEastAsia" w:eastAsiaTheme="minorEastAsia" w:cstheme="minorEastAsia"/>
          <w:color w:val="auto"/>
          <w:kern w:val="0"/>
          <w:highlight w:val="none"/>
          <w:lang w:val="en-US" w:eastAsia="zh-CN"/>
        </w:rPr>
        <w:t>20</w:t>
      </w:r>
      <w:r>
        <w:rPr>
          <w:rFonts w:hint="eastAsia" w:asciiTheme="minorEastAsia" w:hAnsiTheme="minorEastAsia" w:eastAsiaTheme="minorEastAsia" w:cstheme="minorEastAsia"/>
          <w:color w:val="auto"/>
          <w:kern w:val="0"/>
          <w:highlight w:val="none"/>
          <w:lang w:val="zh-CN"/>
        </w:rPr>
        <w:t>年</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月</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日</w:t>
      </w:r>
      <w:r>
        <w:rPr>
          <w:rFonts w:hint="eastAsia" w:asciiTheme="minorEastAsia" w:hAnsiTheme="minorEastAsia" w:eastAsiaTheme="minorEastAsia" w:cstheme="minorEastAsia"/>
          <w:color w:val="auto"/>
          <w:kern w:val="0"/>
          <w:highlight w:val="none"/>
          <w:u w:val="single"/>
          <w:lang w:val="zh-CN"/>
        </w:rPr>
        <w:t xml:space="preserve">          (项目名称)</w:t>
      </w:r>
      <w:r>
        <w:rPr>
          <w:rFonts w:hint="eastAsia" w:asciiTheme="minorEastAsia" w:hAnsiTheme="minorEastAsia" w:eastAsiaTheme="minorEastAsia" w:cstheme="minorEastAsia"/>
          <w:color w:val="auto"/>
          <w:kern w:val="0"/>
          <w:highlight w:val="none"/>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 xml:space="preserve">   </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1.完全理解和接受招标文件的一切规定和要求；</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6、若中标，本承诺将成为合同不可分割的一部分，与合同具有同等的法律效力。</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24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br w:type="page"/>
      </w:r>
      <w:bookmarkStart w:id="62" w:name="_Toc515908213"/>
      <w:r>
        <w:rPr>
          <w:rFonts w:hint="eastAsia" w:asciiTheme="minorEastAsia" w:hAnsiTheme="minorEastAsia" w:eastAsiaTheme="minorEastAsia" w:cstheme="minorEastAsia"/>
          <w:color w:val="auto"/>
          <w:sz w:val="30"/>
          <w:szCs w:val="30"/>
          <w:highlight w:val="none"/>
        </w:rPr>
        <w:t>（5）</w:t>
      </w:r>
      <w:r>
        <w:rPr>
          <w:rFonts w:hint="eastAsia" w:asciiTheme="minorEastAsia" w:hAnsiTheme="minorEastAsia" w:eastAsiaTheme="minorEastAsia" w:cstheme="minorEastAsia"/>
          <w:color w:val="auto"/>
          <w:sz w:val="30"/>
          <w:szCs w:val="30"/>
          <w:highlight w:val="none"/>
          <w:lang w:val="zh-CN"/>
        </w:rPr>
        <w:t>投标人诚信承诺书</w:t>
      </w:r>
      <w:bookmarkEnd w:id="62"/>
    </w:p>
    <w:p>
      <w:pPr>
        <w:spacing w:line="240" w:lineRule="auto"/>
        <w:rPr>
          <w:rFonts w:hint="eastAsia" w:asciiTheme="minorEastAsia" w:hAnsiTheme="minorEastAsia" w:eastAsiaTheme="minorEastAsia" w:cstheme="minorEastAsia"/>
          <w:color w:val="auto"/>
          <w:sz w:val="28"/>
          <w:szCs w:val="28"/>
          <w:highlight w:val="none"/>
          <w:lang w:val="zh-CN"/>
        </w:rPr>
      </w:pPr>
    </w:p>
    <w:p>
      <w:pPr>
        <w:autoSpaceDE w:val="0"/>
        <w:autoSpaceDN w:val="0"/>
        <w:spacing w:line="24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投标人诚信承诺书</w:t>
      </w:r>
    </w:p>
    <w:p>
      <w:pPr>
        <w:autoSpaceDE w:val="0"/>
        <w:autoSpaceDN w:val="0"/>
        <w:spacing w:line="24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为了诚实、客观、有序地参与青海省政府采购活动，愿就以下内容作出承诺：</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一、自觉遵守各项法律、法规、规章、制度以及社会公德，维护廉洁环境，与同场竞争的其他投标人平等参加政府采购活动。</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三、尊重参与政府采购活动各相关方的合法行为，接受政府采购活动依法形成的意见、结果。</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四、依法参加政府采购活动，不围标、串标，维护市场秩序，不提供“三无”产品、以次充好。</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六、认真履行中标人应承担的责任和义务，全面执行采购合同规定的各项内容，保质保量地按时提供采购物品。</w:t>
      </w:r>
    </w:p>
    <w:p>
      <w:pPr>
        <w:autoSpaceDE w:val="0"/>
        <w:autoSpaceDN w:val="0"/>
        <w:spacing w:line="24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若本企业（单位）发生有悖于上述承诺的行为，愿意接受《中华人民共和国政府采购法》和《政府采购法实施条例》中对投标人的相关处理。</w:t>
      </w:r>
    </w:p>
    <w:p>
      <w:pPr>
        <w:autoSpaceDE w:val="0"/>
        <w:autoSpaceDN w:val="0"/>
        <w:spacing w:line="24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本承诺是采购项目投标文件的组成部分。</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kern w:val="0"/>
          <w:sz w:val="24"/>
          <w:highlight w:val="none"/>
          <w:lang w:val="zh-CN"/>
        </w:rPr>
        <w:br w:type="page"/>
      </w:r>
      <w:bookmarkEnd w:id="60"/>
      <w:bookmarkStart w:id="63" w:name="_Toc515908214"/>
      <w:bookmarkStart w:id="64" w:name="_Toc8344"/>
      <w:r>
        <w:rPr>
          <w:rFonts w:hint="eastAsia" w:asciiTheme="minorEastAsia" w:hAnsiTheme="minorEastAsia" w:eastAsiaTheme="minorEastAsia" w:cstheme="minorEastAsia"/>
          <w:color w:val="auto"/>
          <w:sz w:val="30"/>
          <w:szCs w:val="30"/>
          <w:highlight w:val="none"/>
        </w:rPr>
        <w:t>（6）</w:t>
      </w:r>
      <w:r>
        <w:rPr>
          <w:rFonts w:hint="eastAsia" w:asciiTheme="minorEastAsia" w:hAnsiTheme="minorEastAsia" w:eastAsiaTheme="minorEastAsia" w:cstheme="minorEastAsia"/>
          <w:color w:val="auto"/>
          <w:sz w:val="30"/>
          <w:szCs w:val="30"/>
          <w:highlight w:val="none"/>
          <w:lang w:val="zh-CN"/>
        </w:rPr>
        <w:t>资格证明材料</w:t>
      </w:r>
      <w:bookmarkEnd w:id="63"/>
    </w:p>
    <w:p>
      <w:pPr>
        <w:spacing w:line="360" w:lineRule="auto"/>
        <w:rPr>
          <w:rFonts w:hint="eastAsia" w:asciiTheme="minorEastAsia" w:hAnsiTheme="minorEastAsia" w:eastAsiaTheme="minorEastAsia" w:cstheme="minorEastAsia"/>
          <w:color w:val="auto"/>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资格证明材料</w:t>
      </w:r>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资格证明材料包括：</w:t>
      </w:r>
    </w:p>
    <w:p>
      <w:pPr>
        <w:numPr>
          <w:ilvl w:val="0"/>
          <w:numId w:val="9"/>
        </w:num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提供有效的营业执照、税务登记证、机构代码证或三证（五证）合一统一社会代码证及其他资格证明文件（扫描或复印件）；</w:t>
      </w: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（2）招标文件规定的有关资格证书、许可证书、认证等；</w:t>
      </w: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（3）投标人认为有必要提供的其他资格证明文件。</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br w:type="page"/>
      </w:r>
      <w:bookmarkStart w:id="65" w:name="_Toc515908215"/>
      <w:r>
        <w:rPr>
          <w:rFonts w:hint="eastAsia" w:asciiTheme="minorEastAsia" w:hAnsiTheme="minorEastAsia" w:eastAsiaTheme="minorEastAsia" w:cstheme="minorEastAsia"/>
          <w:color w:val="auto"/>
          <w:sz w:val="30"/>
          <w:szCs w:val="30"/>
          <w:highlight w:val="none"/>
        </w:rPr>
        <w:t>（7）</w:t>
      </w:r>
      <w:r>
        <w:rPr>
          <w:rFonts w:hint="eastAsia" w:asciiTheme="minorEastAsia" w:hAnsiTheme="minorEastAsia" w:eastAsiaTheme="minorEastAsia" w:cstheme="minorEastAsia"/>
          <w:color w:val="auto"/>
          <w:sz w:val="30"/>
          <w:szCs w:val="30"/>
          <w:highlight w:val="none"/>
          <w:lang w:val="zh-CN"/>
        </w:rPr>
        <w:t>财务状况报告，依法缴纳税收和社会保障资金的相关材料</w:t>
      </w:r>
      <w:bookmarkEnd w:id="65"/>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财务状况报告，依法缴纳税收和社会保障资金的相关材料</w:t>
      </w:r>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按照招标文件第2.2款（1）中第&lt;2&gt;条规定提供以下相关材料。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1、投标人是法人的，提供基本开户银行近三个月内出具的资信证明（同时提供基本存款账户开户许可证）或</w:t>
      </w:r>
      <w:r>
        <w:rPr>
          <w:rFonts w:hint="eastAsia" w:asciiTheme="minorEastAsia" w:hAnsiTheme="minorEastAsia" w:eastAsiaTheme="minorEastAsia" w:cstheme="minorEastAsia"/>
          <w:color w:val="auto"/>
          <w:kern w:val="0"/>
          <w:highlight w:val="none"/>
          <w:u w:val="dashDotDotHeavy"/>
          <w:lang w:val="zh-CN"/>
        </w:rPr>
        <w:t>（</w:t>
      </w:r>
      <w:r>
        <w:rPr>
          <w:rFonts w:hint="eastAsia" w:asciiTheme="minorEastAsia" w:hAnsiTheme="minorEastAsia" w:eastAsiaTheme="minorEastAsia" w:cstheme="minorEastAsia"/>
          <w:color w:val="auto"/>
          <w:kern w:val="0"/>
          <w:highlight w:val="none"/>
          <w:u w:val="dashDotDotHeavy"/>
        </w:rPr>
        <w:t>2018年度</w:t>
      </w:r>
      <w:r>
        <w:rPr>
          <w:rFonts w:hint="eastAsia" w:asciiTheme="minorEastAsia" w:hAnsiTheme="minorEastAsia" w:eastAsiaTheme="minorEastAsia" w:cstheme="minorEastAsia"/>
          <w:color w:val="auto"/>
          <w:kern w:val="0"/>
          <w:highlight w:val="none"/>
          <w:u w:val="dashDotDotHeavy"/>
          <w:lang w:eastAsia="zh-CN"/>
        </w:rPr>
        <w:t>或</w:t>
      </w:r>
      <w:r>
        <w:rPr>
          <w:rFonts w:hint="eastAsia" w:asciiTheme="minorEastAsia" w:hAnsiTheme="minorEastAsia" w:eastAsiaTheme="minorEastAsia" w:cstheme="minorEastAsia"/>
          <w:color w:val="auto"/>
          <w:kern w:val="0"/>
          <w:highlight w:val="none"/>
          <w:u w:val="dashDotDotHeavy"/>
          <w:lang w:val="en-US" w:eastAsia="zh-CN"/>
        </w:rPr>
        <w:t>2019年度</w:t>
      </w:r>
      <w:r>
        <w:rPr>
          <w:rFonts w:hint="eastAsia" w:asciiTheme="minorEastAsia" w:hAnsiTheme="minorEastAsia" w:eastAsiaTheme="minorEastAsia" w:cstheme="minorEastAsia"/>
          <w:color w:val="auto"/>
          <w:kern w:val="0"/>
          <w:highlight w:val="none"/>
          <w:u w:val="dashDotDotHeavy"/>
          <w:lang w:val="zh-CN"/>
        </w:rPr>
        <w:t>）</w:t>
      </w:r>
      <w:r>
        <w:rPr>
          <w:rFonts w:hint="eastAsia" w:asciiTheme="minorEastAsia" w:hAnsiTheme="minorEastAsia" w:eastAsiaTheme="minorEastAsia" w:cstheme="minorEastAsia"/>
          <w:color w:val="auto"/>
          <w:highlight w:val="none"/>
        </w:rPr>
        <w:t>经第三方审计的财务状况报告</w:t>
      </w:r>
      <w:r>
        <w:rPr>
          <w:rFonts w:hint="eastAsia" w:asciiTheme="minorEastAsia" w:hAnsiTheme="minorEastAsia" w:eastAsiaTheme="minorEastAsia" w:cstheme="minorEastAsia"/>
          <w:color w:val="auto"/>
          <w:kern w:val="0"/>
          <w:highlight w:val="none"/>
          <w:lang w:val="zh-CN"/>
        </w:rPr>
        <w:t>（扫描或复印件应全面、完整、清晰），包括资产负债表、现金流量表、利润表和财务（会计）报表附注</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zh-CN"/>
        </w:rPr>
        <w:t>并提供第三方机构的营业执照、执业证书。</w:t>
      </w:r>
      <w:r>
        <w:rPr>
          <w:rFonts w:hint="eastAsia" w:asciiTheme="minorEastAsia" w:hAnsiTheme="minorEastAsia" w:eastAsiaTheme="minorEastAsia" w:cstheme="minorEastAsia"/>
          <w:color w:val="auto"/>
          <w:highlight w:val="none"/>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lang w:val="en-US" w:eastAsia="zh-CN"/>
        </w:rPr>
        <w:t>2020年1月至今</w:t>
      </w:r>
      <w:r>
        <w:rPr>
          <w:rFonts w:hint="eastAsia" w:asciiTheme="minorEastAsia" w:hAnsiTheme="minorEastAsia" w:eastAsiaTheme="minorEastAsia" w:cstheme="minorEastAsia"/>
          <w:color w:val="auto"/>
          <w:kern w:val="0"/>
          <w:highlight w:val="none"/>
          <w:lang w:val="zh-CN"/>
        </w:rPr>
        <w:t>任意三个月的依法缴纳税收和社会保障资金记录的证明材料；依法免税或不需要缴纳社会保障资金的投标人须提供相应文件证明其依法免税或不需要缴纳社会保障资金。</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br w:type="page"/>
      </w:r>
      <w:bookmarkEnd w:id="64"/>
      <w:bookmarkStart w:id="66" w:name="_Toc515908216"/>
      <w:bookmarkStart w:id="67" w:name="_Toc21530"/>
      <w:r>
        <w:rPr>
          <w:rFonts w:hint="eastAsia" w:asciiTheme="minorEastAsia" w:hAnsiTheme="minorEastAsia" w:eastAsiaTheme="minorEastAsia" w:cstheme="minorEastAsia"/>
          <w:color w:val="auto"/>
          <w:sz w:val="30"/>
          <w:szCs w:val="30"/>
          <w:highlight w:val="none"/>
        </w:rPr>
        <w:t>（8）</w:t>
      </w:r>
      <w:r>
        <w:rPr>
          <w:rFonts w:hint="eastAsia" w:asciiTheme="minorEastAsia" w:hAnsiTheme="minorEastAsia" w:eastAsiaTheme="minorEastAsia" w:cstheme="minorEastAsia"/>
          <w:color w:val="auto"/>
          <w:sz w:val="30"/>
          <w:szCs w:val="30"/>
          <w:highlight w:val="none"/>
          <w:lang w:val="zh-CN"/>
        </w:rPr>
        <w:t>具备履行合同所必需的设备和专业技术能力的证明材料</w:t>
      </w:r>
      <w:bookmarkEnd w:id="66"/>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具备履行合同所必需的设备和专业技术能力的证明材料</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br w:type="page"/>
      </w:r>
      <w:bookmarkStart w:id="68" w:name="_Toc515908217"/>
      <w:r>
        <w:rPr>
          <w:rFonts w:hint="eastAsia" w:asciiTheme="minorEastAsia" w:hAnsiTheme="minorEastAsia" w:eastAsiaTheme="minorEastAsia" w:cstheme="minorEastAsia"/>
          <w:color w:val="auto"/>
          <w:sz w:val="30"/>
          <w:szCs w:val="30"/>
          <w:highlight w:val="none"/>
        </w:rPr>
        <w:t>（9）</w:t>
      </w:r>
      <w:r>
        <w:rPr>
          <w:rFonts w:hint="eastAsia" w:asciiTheme="minorEastAsia" w:hAnsiTheme="minorEastAsia" w:eastAsiaTheme="minorEastAsia" w:cstheme="minorEastAsia"/>
          <w:color w:val="auto"/>
          <w:sz w:val="30"/>
          <w:szCs w:val="30"/>
          <w:highlight w:val="none"/>
          <w:lang w:val="zh-CN"/>
        </w:rPr>
        <w:t>无重大违法记录声明</w:t>
      </w:r>
      <w:bookmarkEnd w:id="68"/>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无重大违法记录声明</w:t>
      </w:r>
    </w:p>
    <w:p>
      <w:pPr>
        <w:spacing w:line="360" w:lineRule="auto"/>
        <w:rPr>
          <w:rFonts w:hint="eastAsia" w:asciiTheme="minorEastAsia" w:hAnsiTheme="minorEastAsia" w:eastAsiaTheme="minorEastAsia" w:cstheme="minorEastAsia"/>
          <w:b/>
          <w:bCs/>
          <w:color w:val="auto"/>
          <w:sz w:val="28"/>
          <w:szCs w:val="28"/>
          <w:highlight w:val="none"/>
        </w:rPr>
      </w:pPr>
    </w:p>
    <w:p>
      <w:pPr>
        <w:spacing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致：</w:t>
      </w:r>
      <w:r>
        <w:rPr>
          <w:rFonts w:hint="eastAsia" w:asciiTheme="minorEastAsia" w:hAnsiTheme="minorEastAsia" w:eastAsiaTheme="minorEastAsia" w:cstheme="minorEastAsia"/>
          <w:b/>
          <w:bCs/>
          <w:color w:val="auto"/>
          <w:kern w:val="0"/>
          <w:highlight w:val="none"/>
          <w:lang w:val="zh-CN"/>
        </w:rPr>
        <w:t>兰州众信招标有限公司</w:t>
      </w:r>
    </w:p>
    <w:p>
      <w:pPr>
        <w:spacing w:line="360" w:lineRule="auto"/>
        <w:ind w:firstLine="480" w:firstLineChars="200"/>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rPr>
        <w:t>我单位参加本次政府采购项目活动前三年内，在经营活动中无重大违法活动记录，符合《政府采购法》规定的供应商资格条</w:t>
      </w:r>
      <w:r>
        <w:rPr>
          <w:rFonts w:hint="eastAsia" w:asciiTheme="minorEastAsia" w:hAnsiTheme="minorEastAsia" w:eastAsiaTheme="minorEastAsia" w:cstheme="minorEastAsia"/>
          <w:color w:val="auto"/>
          <w:highlight w:val="none"/>
          <w:shd w:val="clear" w:color="auto" w:fill="FFFFFF"/>
        </w:rPr>
        <w:t>件。我方对此声明负全部法律责任。</w:t>
      </w: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特此声明。</w:t>
      </w: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附“信用中国”网站查询截图，时间为投标截止时间前20天内。</w:t>
      </w: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left"/>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br w:type="page"/>
      </w:r>
      <w:bookmarkStart w:id="69" w:name="_Toc29764"/>
      <w:bookmarkStart w:id="70" w:name="_Toc515908218"/>
      <w:r>
        <w:rPr>
          <w:rFonts w:hint="eastAsia" w:asciiTheme="minorEastAsia" w:hAnsiTheme="minorEastAsia" w:eastAsiaTheme="minorEastAsia" w:cstheme="minorEastAsia"/>
          <w:color w:val="auto"/>
          <w:sz w:val="30"/>
          <w:szCs w:val="30"/>
          <w:highlight w:val="none"/>
        </w:rPr>
        <w:t>（10）</w:t>
      </w:r>
      <w:r>
        <w:rPr>
          <w:rFonts w:hint="eastAsia" w:asciiTheme="minorEastAsia" w:hAnsiTheme="minorEastAsia" w:eastAsiaTheme="minorEastAsia" w:cstheme="minorEastAsia"/>
          <w:color w:val="auto"/>
          <w:sz w:val="30"/>
          <w:szCs w:val="30"/>
          <w:highlight w:val="none"/>
          <w:lang w:val="zh-CN"/>
        </w:rPr>
        <w:t>投标保证金证明</w:t>
      </w:r>
      <w:bookmarkEnd w:id="69"/>
      <w:bookmarkEnd w:id="70"/>
    </w:p>
    <w:p>
      <w:pPr>
        <w:spacing w:line="360" w:lineRule="auto"/>
        <w:rPr>
          <w:rFonts w:hint="eastAsia" w:asciiTheme="minorEastAsia" w:hAnsiTheme="minorEastAsia" w:eastAsiaTheme="minorEastAsia" w:cstheme="minorEastAsia"/>
          <w:color w:val="auto"/>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投标保证金证明</w:t>
      </w:r>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附件：保证金交款证明复印件（加盖财务专用章）</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户    名：</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开户银行：</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开户帐号：</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银行行号：</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autoSpaceDE w:val="0"/>
        <w:autoSpaceDN w:val="0"/>
        <w:spacing w:line="360" w:lineRule="auto"/>
        <w:rPr>
          <w:rFonts w:hint="eastAsia" w:asciiTheme="minorEastAsia" w:hAnsiTheme="minorEastAsia" w:eastAsiaTheme="minorEastAsia" w:cstheme="minorEastAsia"/>
          <w:b/>
          <w:bCs/>
          <w:color w:val="auto"/>
          <w:kern w:val="0"/>
          <w:highlight w:val="none"/>
          <w:lang w:val="zh-CN"/>
        </w:rPr>
      </w:pPr>
    </w:p>
    <w:bookmarkEnd w:id="67"/>
    <w:p>
      <w:pP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kern w:val="0"/>
          <w:highlight w:val="none"/>
          <w:lang w:val="zh-CN"/>
        </w:rPr>
        <w:br w:type="page"/>
      </w:r>
      <w:r>
        <w:rPr>
          <w:rFonts w:hint="eastAsia" w:asciiTheme="minorEastAsia" w:hAnsiTheme="minorEastAsia" w:eastAsiaTheme="minorEastAsia" w:cstheme="minorEastAsia"/>
          <w:b/>
          <w:color w:val="auto"/>
          <w:sz w:val="36"/>
          <w:szCs w:val="36"/>
          <w:highlight w:val="none"/>
          <w:lang w:val="zh-CN"/>
        </w:rPr>
        <w:t>（下册）</w:t>
      </w:r>
    </w:p>
    <w:p>
      <w:pPr>
        <w:autoSpaceDE w:val="0"/>
        <w:autoSpaceDN w:val="0"/>
        <w:spacing w:line="360" w:lineRule="auto"/>
        <w:jc w:val="right"/>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正本/副本</w:t>
      </w:r>
    </w:p>
    <w:p>
      <w:pPr>
        <w:autoSpaceDE w:val="0"/>
        <w:autoSpaceDN w:val="0"/>
        <w:spacing w:line="360" w:lineRule="auto"/>
        <w:jc w:val="center"/>
        <w:rPr>
          <w:rFonts w:hint="eastAsia" w:asciiTheme="minorEastAsia" w:hAnsiTheme="minorEastAsia" w:eastAsiaTheme="minorEastAsia" w:cstheme="minorEastAsia"/>
          <w:b/>
          <w:bCs/>
          <w:color w:val="auto"/>
          <w:kern w:val="0"/>
          <w:sz w:val="52"/>
          <w:szCs w:val="52"/>
          <w:highlight w:val="none"/>
          <w:lang w:val="zh-CN"/>
        </w:rPr>
      </w:pPr>
      <w:r>
        <w:rPr>
          <w:rFonts w:hint="eastAsia" w:asciiTheme="minorEastAsia" w:hAnsiTheme="minorEastAsia" w:eastAsiaTheme="minorEastAsia" w:cstheme="minorEastAsia"/>
          <w:b/>
          <w:bCs/>
          <w:color w:val="auto"/>
          <w:kern w:val="0"/>
          <w:sz w:val="52"/>
          <w:szCs w:val="52"/>
          <w:highlight w:val="none"/>
          <w:lang w:val="zh-CN"/>
        </w:rPr>
        <w:t>青海省政府采购项目</w:t>
      </w:r>
    </w:p>
    <w:p>
      <w:pPr>
        <w:autoSpaceDE w:val="0"/>
        <w:autoSpaceDN w:val="0"/>
        <w:spacing w:line="360" w:lineRule="auto"/>
        <w:rPr>
          <w:rFonts w:hint="eastAsia" w:asciiTheme="minorEastAsia" w:hAnsiTheme="minorEastAsia" w:eastAsiaTheme="minorEastAsia" w:cstheme="minorEastAsia"/>
          <w:color w:val="auto"/>
          <w:kern w:val="0"/>
          <w:sz w:val="36"/>
          <w:szCs w:val="36"/>
          <w:highlight w:val="none"/>
        </w:rPr>
      </w:pPr>
    </w:p>
    <w:p>
      <w:pPr>
        <w:autoSpaceDE w:val="0"/>
        <w:autoSpaceDN w:val="0"/>
        <w:spacing w:line="360" w:lineRule="auto"/>
        <w:jc w:val="center"/>
        <w:rPr>
          <w:rFonts w:hint="eastAsia" w:asciiTheme="minorEastAsia" w:hAnsiTheme="minorEastAsia" w:eastAsiaTheme="minorEastAsia" w:cstheme="minorEastAsia"/>
          <w:b/>
          <w:bCs/>
          <w:color w:val="auto"/>
          <w:kern w:val="0"/>
          <w:sz w:val="72"/>
          <w:szCs w:val="72"/>
          <w:highlight w:val="none"/>
        </w:rPr>
      </w:pPr>
      <w:r>
        <w:rPr>
          <w:rFonts w:hint="eastAsia" w:asciiTheme="minorEastAsia" w:hAnsiTheme="minorEastAsia" w:eastAsiaTheme="minorEastAsia" w:cstheme="minorEastAsia"/>
          <w:b/>
          <w:bCs/>
          <w:color w:val="auto"/>
          <w:kern w:val="0"/>
          <w:sz w:val="72"/>
          <w:szCs w:val="72"/>
          <w:highlight w:val="none"/>
          <w:lang w:val="zh-CN"/>
        </w:rPr>
        <w:t>投</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标</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文</w:t>
      </w:r>
      <w:r>
        <w:rPr>
          <w:rFonts w:hint="eastAsia" w:asciiTheme="minorEastAsia" w:hAnsiTheme="minorEastAsia" w:eastAsiaTheme="minorEastAsia" w:cstheme="minorEastAsia"/>
          <w:b/>
          <w:bCs/>
          <w:color w:val="auto"/>
          <w:kern w:val="0"/>
          <w:sz w:val="72"/>
          <w:szCs w:val="72"/>
          <w:highlight w:val="none"/>
        </w:rPr>
        <w:t xml:space="preserve"> </w:t>
      </w:r>
      <w:r>
        <w:rPr>
          <w:rFonts w:hint="eastAsia" w:asciiTheme="minorEastAsia" w:hAnsiTheme="minorEastAsia" w:eastAsiaTheme="minorEastAsia" w:cstheme="minorEastAsia"/>
          <w:b/>
          <w:bCs/>
          <w:color w:val="auto"/>
          <w:kern w:val="0"/>
          <w:sz w:val="72"/>
          <w:szCs w:val="72"/>
          <w:highlight w:val="none"/>
          <w:lang w:val="zh-CN"/>
        </w:rPr>
        <w:t>件</w:t>
      </w:r>
    </w:p>
    <w:p>
      <w:pPr>
        <w:autoSpaceDE w:val="0"/>
        <w:autoSpaceDN w:val="0"/>
        <w:spacing w:line="360" w:lineRule="auto"/>
        <w:jc w:val="center"/>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b/>
          <w:bCs/>
          <w:color w:val="auto"/>
          <w:sz w:val="44"/>
          <w:szCs w:val="44"/>
          <w:highlight w:val="none"/>
          <w:lang w:val="zh-CN"/>
        </w:rPr>
        <w:t>（下册）</w:t>
      </w:r>
    </w:p>
    <w:p>
      <w:pPr>
        <w:autoSpaceDE w:val="0"/>
        <w:autoSpaceDN w:val="0"/>
        <w:spacing w:line="360" w:lineRule="auto"/>
        <w:rPr>
          <w:rFonts w:hint="eastAsia" w:asciiTheme="minorEastAsia" w:hAnsiTheme="minorEastAsia" w:eastAsiaTheme="minorEastAsia" w:cstheme="minorEastAsia"/>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zh-CN"/>
        </w:rPr>
        <w:t>采购项目编号：</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zh-CN"/>
        </w:rPr>
        <w:t>采购项目名称</w:t>
      </w:r>
      <w:r>
        <w:rPr>
          <w:rFonts w:hint="eastAsia" w:asciiTheme="minorEastAsia" w:hAnsiTheme="minorEastAsia" w:eastAsiaTheme="minorEastAsia" w:cstheme="minorEastAsia"/>
          <w:b/>
          <w:bCs/>
          <w:color w:val="auto"/>
          <w:kern w:val="0"/>
          <w:sz w:val="36"/>
          <w:szCs w:val="36"/>
          <w:highlight w:val="none"/>
        </w:rPr>
        <w:t>：</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lang w:val="zh-CN"/>
        </w:rPr>
        <w:t>采购项目包号：</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lang w:val="zh-CN"/>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投标人：</w:t>
      </w:r>
      <w:r>
        <w:rPr>
          <w:rFonts w:hint="eastAsia" w:asciiTheme="minorEastAsia" w:hAnsiTheme="minorEastAsia" w:eastAsiaTheme="minorEastAsia" w:cstheme="minorEastAsia"/>
          <w:b/>
          <w:bCs/>
          <w:color w:val="auto"/>
          <w:kern w:val="0"/>
          <w:sz w:val="36"/>
          <w:szCs w:val="36"/>
          <w:highlight w:val="none"/>
          <w:u w:val="single"/>
        </w:rPr>
        <w:t xml:space="preserve">                          </w:t>
      </w:r>
      <w:r>
        <w:rPr>
          <w:rFonts w:hint="eastAsia" w:asciiTheme="minorEastAsia" w:hAnsiTheme="minorEastAsia" w:eastAsiaTheme="minorEastAsia" w:cstheme="minorEastAsia"/>
          <w:b/>
          <w:bCs/>
          <w:color w:val="auto"/>
          <w:kern w:val="0"/>
          <w:sz w:val="36"/>
          <w:szCs w:val="36"/>
          <w:highlight w:val="none"/>
        </w:rPr>
        <w:t>（</w:t>
      </w:r>
      <w:r>
        <w:rPr>
          <w:rFonts w:hint="eastAsia" w:asciiTheme="minorEastAsia" w:hAnsiTheme="minorEastAsia" w:eastAsiaTheme="minorEastAsia" w:cstheme="minorEastAsia"/>
          <w:b/>
          <w:bCs/>
          <w:color w:val="auto"/>
          <w:kern w:val="0"/>
          <w:sz w:val="36"/>
          <w:szCs w:val="36"/>
          <w:highlight w:val="none"/>
          <w:lang w:val="zh-CN"/>
        </w:rPr>
        <w:t>公章）</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法定代表人或委托代理人：</w:t>
      </w:r>
      <w:r>
        <w:rPr>
          <w:rFonts w:hint="eastAsia" w:asciiTheme="minorEastAsia" w:hAnsiTheme="minorEastAsia" w:eastAsiaTheme="minorEastAsia" w:cstheme="minorEastAsia"/>
          <w:b/>
          <w:bCs/>
          <w:color w:val="auto"/>
          <w:kern w:val="0"/>
          <w:sz w:val="36"/>
          <w:szCs w:val="36"/>
          <w:highlight w:val="none"/>
          <w:u w:val="single"/>
        </w:rPr>
        <w:t xml:space="preserve">     </w:t>
      </w:r>
      <w:r>
        <w:rPr>
          <w:rFonts w:hint="eastAsia" w:asciiTheme="minorEastAsia" w:hAnsiTheme="minorEastAsia" w:eastAsiaTheme="minorEastAsia" w:cstheme="minorEastAsia"/>
          <w:b/>
          <w:bCs/>
          <w:color w:val="auto"/>
          <w:kern w:val="0"/>
          <w:sz w:val="36"/>
          <w:szCs w:val="36"/>
          <w:highlight w:val="none"/>
          <w:lang w:val="zh-CN"/>
        </w:rPr>
        <w:t>（签字或盖章）</w:t>
      </w:r>
    </w:p>
    <w:p>
      <w:pPr>
        <w:autoSpaceDE w:val="0"/>
        <w:autoSpaceDN w:val="0"/>
        <w:spacing w:line="360" w:lineRule="auto"/>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年</w:t>
      </w: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月</w:t>
      </w:r>
      <w:r>
        <w:rPr>
          <w:rFonts w:hint="eastAsia" w:asciiTheme="minorEastAsia" w:hAnsiTheme="minorEastAsia" w:eastAsiaTheme="minorEastAsia" w:cstheme="minorEastAsia"/>
          <w:b/>
          <w:bCs/>
          <w:color w:val="auto"/>
          <w:kern w:val="0"/>
          <w:sz w:val="36"/>
          <w:szCs w:val="36"/>
          <w:highlight w:val="none"/>
        </w:rPr>
        <w:t xml:space="preserve">    </w:t>
      </w:r>
      <w:r>
        <w:rPr>
          <w:rFonts w:hint="eastAsia" w:asciiTheme="minorEastAsia" w:hAnsiTheme="minorEastAsia" w:eastAsiaTheme="minorEastAsia" w:cstheme="minorEastAsia"/>
          <w:b/>
          <w:bCs/>
          <w:color w:val="auto"/>
          <w:kern w:val="0"/>
          <w:sz w:val="36"/>
          <w:szCs w:val="36"/>
          <w:highlight w:val="none"/>
          <w:lang w:val="zh-CN"/>
        </w:rPr>
        <w:t>日</w:t>
      </w:r>
    </w:p>
    <w:p>
      <w:pPr>
        <w:pStyle w:val="17"/>
        <w:spacing w:before="0" w:after="0" w:line="360" w:lineRule="auto"/>
        <w:jc w:val="left"/>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b w:val="0"/>
          <w:bCs w:val="0"/>
          <w:color w:val="auto"/>
          <w:kern w:val="0"/>
          <w:highlight w:val="none"/>
          <w:lang w:val="zh-CN"/>
        </w:rPr>
        <w:br w:type="page"/>
      </w:r>
      <w:bookmarkStart w:id="71" w:name="_Toc515908219"/>
      <w:r>
        <w:rPr>
          <w:rFonts w:hint="eastAsia" w:asciiTheme="minorEastAsia" w:hAnsiTheme="minorEastAsia" w:eastAsiaTheme="minorEastAsia" w:cstheme="minorEastAsia"/>
          <w:color w:val="auto"/>
          <w:sz w:val="30"/>
          <w:szCs w:val="30"/>
          <w:highlight w:val="none"/>
          <w:lang w:val="zh-CN"/>
        </w:rPr>
        <w:t>目录（下册）</w:t>
      </w:r>
      <w:bookmarkEnd w:id="71"/>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评分对照表</w:t>
      </w:r>
      <w:r>
        <w:rPr>
          <w:rFonts w:hint="eastAsia" w:asciiTheme="minorEastAsia" w:hAnsiTheme="minorEastAsia" w:eastAsiaTheme="minorEastAsia" w:cstheme="minorEastAsia"/>
          <w:color w:val="auto"/>
          <w:kern w:val="0"/>
          <w:highlight w:val="none"/>
          <w:lang w:val="zh-CN"/>
        </w:rPr>
        <w:t>………………………………………………………所在页码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开标一览表（报价表）…………………………………………所在页码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分项报价表………………………………………………………所在页码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技术规格响应表…………………………………………………所在页码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投标产品相关资料………………………………………………所在页码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投标人的类似业绩证明材料……………………………………所在页码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kern w:val="0"/>
          <w:highlight w:val="none"/>
          <w:lang w:val="zh-CN"/>
        </w:rPr>
        <w:t>制造（生产）企业小型微型企业声明函、从业人员声明函…所在页码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残疾人福利性单位声明函………………………………………所在页码</w:t>
      </w:r>
    </w:p>
    <w:p>
      <w:pPr>
        <w:numPr>
          <w:ilvl w:val="0"/>
          <w:numId w:val="10"/>
        </w:num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kern w:val="0"/>
          <w:highlight w:val="none"/>
          <w:lang w:val="zh-CN"/>
        </w:rPr>
        <w:t>投标人认为在其他方面有必要说明的事项……………………所在页码</w:t>
      </w:r>
    </w:p>
    <w:p>
      <w:pPr>
        <w:pStyle w:val="17"/>
        <w:spacing w:before="0" w:after="0" w:line="360" w:lineRule="auto"/>
        <w:jc w:val="left"/>
        <w:outlineLvl w:val="1"/>
        <w:rPr>
          <w:rFonts w:hint="eastAsia" w:asciiTheme="minorEastAsia" w:hAnsiTheme="minorEastAsia" w:eastAsiaTheme="minorEastAsia" w:cstheme="minorEastAsia"/>
          <w:color w:val="auto"/>
          <w:sz w:val="30"/>
          <w:szCs w:val="30"/>
          <w:highlight w:val="none"/>
          <w:lang w:val="zh-CN"/>
        </w:rPr>
      </w:pPr>
      <w:r>
        <w:rPr>
          <w:rFonts w:hint="eastAsia" w:asciiTheme="minorEastAsia" w:hAnsiTheme="minorEastAsia" w:eastAsiaTheme="minorEastAsia" w:cstheme="minorEastAsia"/>
          <w:color w:val="auto"/>
          <w:highlight w:val="none"/>
          <w:lang w:val="zh-CN"/>
        </w:rPr>
        <w:br w:type="page"/>
      </w:r>
      <w:bookmarkStart w:id="72" w:name="_Toc515908220"/>
      <w:r>
        <w:rPr>
          <w:rFonts w:hint="eastAsia" w:asciiTheme="minorEastAsia" w:hAnsiTheme="minorEastAsia" w:eastAsiaTheme="minorEastAsia" w:cstheme="minorEastAsia"/>
          <w:color w:val="auto"/>
          <w:sz w:val="30"/>
          <w:szCs w:val="30"/>
          <w:highlight w:val="none"/>
        </w:rPr>
        <w:t>（11）</w:t>
      </w:r>
      <w:r>
        <w:rPr>
          <w:rFonts w:hint="eastAsia" w:asciiTheme="minorEastAsia" w:hAnsiTheme="minorEastAsia" w:eastAsiaTheme="minorEastAsia" w:cstheme="minorEastAsia"/>
          <w:color w:val="auto"/>
          <w:sz w:val="30"/>
          <w:szCs w:val="30"/>
          <w:highlight w:val="none"/>
          <w:lang w:val="zh-CN"/>
        </w:rPr>
        <w:t>评分对照表</w:t>
      </w:r>
      <w:bookmarkEnd w:id="72"/>
    </w:p>
    <w:p>
      <w:pPr>
        <w:spacing w:line="360" w:lineRule="auto"/>
        <w:rPr>
          <w:rFonts w:hint="eastAsia" w:asciiTheme="minorEastAsia" w:hAnsiTheme="minorEastAsia" w:eastAsiaTheme="minorEastAsia" w:cstheme="minorEastAsia"/>
          <w:color w:val="auto"/>
          <w:sz w:val="28"/>
          <w:szCs w:val="28"/>
          <w:highlight w:val="none"/>
        </w:rPr>
      </w:pPr>
    </w:p>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sz w:val="28"/>
          <w:szCs w:val="28"/>
          <w:highlight w:val="none"/>
        </w:rPr>
        <w:t>评分对照表</w:t>
      </w:r>
    </w:p>
    <w:p>
      <w:pPr>
        <w:spacing w:line="360" w:lineRule="auto"/>
        <w:rPr>
          <w:rFonts w:hint="eastAsia" w:asciiTheme="minorEastAsia" w:hAnsiTheme="minorEastAsia" w:eastAsiaTheme="minorEastAsia" w:cstheme="minorEastAsia"/>
          <w:color w:val="auto"/>
          <w:sz w:val="28"/>
          <w:szCs w:val="28"/>
          <w:highlight w:val="none"/>
        </w:rPr>
      </w:pPr>
    </w:p>
    <w:tbl>
      <w:tblPr>
        <w:tblStyle w:val="1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序号</w:t>
            </w: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招标文件评分标准</w:t>
            </w: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投标响应部分</w:t>
            </w: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514"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2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c>
          <w:tcPr>
            <w:tcW w:w="2966"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p>
        </w:tc>
      </w:tr>
    </w:tbl>
    <w:p>
      <w:pPr>
        <w:spacing w:line="360" w:lineRule="auto"/>
        <w:rPr>
          <w:rFonts w:hint="eastAsia" w:asciiTheme="minorEastAsia" w:hAnsiTheme="minorEastAsia" w:eastAsiaTheme="minorEastAsia" w:cstheme="minorEastAsia"/>
          <w:color w:val="auto"/>
          <w:highlight w:val="none"/>
          <w:lang w:val="zh-CN"/>
        </w:rPr>
      </w:pP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bookmarkStart w:id="73" w:name="_Toc28963"/>
      <w:r>
        <w:rPr>
          <w:rFonts w:hint="eastAsia" w:asciiTheme="minorEastAsia" w:hAnsiTheme="minorEastAsia" w:eastAsiaTheme="minorEastAsia" w:cstheme="minorEastAsia"/>
          <w:color w:val="auto"/>
          <w:sz w:val="30"/>
          <w:szCs w:val="30"/>
          <w:highlight w:val="none"/>
          <w:lang w:val="zh-CN"/>
        </w:rPr>
        <w:br w:type="page"/>
      </w:r>
      <w:bookmarkStart w:id="74" w:name="_Toc515908221"/>
      <w:bookmarkStart w:id="75" w:name="_Toc26451"/>
      <w:r>
        <w:rPr>
          <w:rFonts w:hint="eastAsia" w:asciiTheme="minorEastAsia" w:hAnsiTheme="minorEastAsia" w:eastAsiaTheme="minorEastAsia" w:cstheme="minorEastAsia"/>
          <w:color w:val="auto"/>
          <w:sz w:val="30"/>
          <w:szCs w:val="30"/>
          <w:highlight w:val="none"/>
        </w:rPr>
        <w:t>（12）</w:t>
      </w:r>
      <w:r>
        <w:rPr>
          <w:rFonts w:hint="eastAsia" w:asciiTheme="minorEastAsia" w:hAnsiTheme="minorEastAsia" w:eastAsiaTheme="minorEastAsia" w:cstheme="minorEastAsia"/>
          <w:color w:val="auto"/>
          <w:sz w:val="30"/>
          <w:szCs w:val="30"/>
          <w:highlight w:val="none"/>
          <w:lang w:val="zh-CN"/>
        </w:rPr>
        <w:t>开标一览表（报价表）</w:t>
      </w:r>
      <w:bookmarkEnd w:id="74"/>
      <w:bookmarkEnd w:id="75"/>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28"/>
          <w:szCs w:val="28"/>
          <w:highlight w:val="none"/>
          <w:lang w:val="zh-CN"/>
        </w:rPr>
        <w:t>开标一览表（报价表）</w:t>
      </w:r>
      <w:r>
        <w:rPr>
          <w:rFonts w:hint="eastAsia" w:asciiTheme="minorEastAsia" w:hAnsiTheme="minorEastAsia" w:eastAsiaTheme="minorEastAsia" w:cstheme="minorEastAsia"/>
          <w:b/>
          <w:bCs/>
          <w:color w:val="auto"/>
          <w:kern w:val="0"/>
          <w:sz w:val="28"/>
          <w:szCs w:val="28"/>
          <w:highlight w:val="none"/>
        </w:rPr>
        <w:t xml:space="preserve">            </w:t>
      </w:r>
    </w:p>
    <w:tbl>
      <w:tblPr>
        <w:tblStyle w:val="1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632"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投标人名称</w:t>
            </w:r>
          </w:p>
        </w:tc>
        <w:tc>
          <w:tcPr>
            <w:tcW w:w="5985" w:type="dxa"/>
            <w:vAlign w:val="center"/>
          </w:tcPr>
          <w:p>
            <w:pPr>
              <w:pStyle w:val="5"/>
              <w:spacing w:line="360" w:lineRule="auto"/>
              <w:ind w:firstLine="0"/>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投标报价</w:t>
            </w:r>
          </w:p>
        </w:tc>
        <w:tc>
          <w:tcPr>
            <w:tcW w:w="5985" w:type="dxa"/>
            <w:vAlign w:val="center"/>
          </w:tcPr>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大写：</w:t>
            </w:r>
          </w:p>
          <w:p>
            <w:pPr>
              <w:pStyle w:val="5"/>
              <w:spacing w:line="360" w:lineRule="auto"/>
              <w:ind w:firstLine="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kern w:val="0"/>
                <w:szCs w:val="24"/>
                <w:highlight w:val="none"/>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交货时间</w:t>
            </w:r>
          </w:p>
        </w:tc>
        <w:tc>
          <w:tcPr>
            <w:tcW w:w="5985" w:type="dxa"/>
            <w:vAlign w:val="center"/>
          </w:tcPr>
          <w:p>
            <w:pPr>
              <w:pStyle w:val="5"/>
              <w:spacing w:line="360" w:lineRule="auto"/>
              <w:ind w:firstLine="0"/>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质保期</w:t>
            </w:r>
          </w:p>
        </w:tc>
        <w:tc>
          <w:tcPr>
            <w:tcW w:w="5985" w:type="dxa"/>
            <w:vAlign w:val="center"/>
          </w:tcPr>
          <w:p>
            <w:pPr>
              <w:pStyle w:val="5"/>
              <w:spacing w:line="360" w:lineRule="auto"/>
              <w:ind w:firstLine="0"/>
              <w:rPr>
                <w:rFonts w:hint="eastAsia" w:asciiTheme="minorEastAsia" w:hAnsiTheme="minorEastAsia" w:eastAsiaTheme="minorEastAsia" w:cstheme="minorEastAsia"/>
                <w:color w:val="auto"/>
                <w:szCs w:val="24"/>
                <w:highlight w:val="none"/>
              </w:rPr>
            </w:pPr>
          </w:p>
        </w:tc>
      </w:tr>
    </w:tbl>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注：</w:t>
      </w:r>
      <w:r>
        <w:rPr>
          <w:rFonts w:hint="eastAsia" w:asciiTheme="minorEastAsia" w:hAnsiTheme="minorEastAsia" w:eastAsiaTheme="minorEastAsia" w:cstheme="minorEastAsia"/>
          <w:color w:val="auto"/>
          <w:kern w:val="0"/>
          <w:highlight w:val="none"/>
          <w:lang w:val="zh-CN"/>
        </w:rPr>
        <w:t>1.填写此表时不得改变表格形式。</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3.“交货时间”是指产品能够交付使用的具体时间（工作日）。</w:t>
      </w: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4.投标报价不能有两个或两个以上的报价方案，</w:t>
      </w:r>
      <w:r>
        <w:rPr>
          <w:rFonts w:hint="eastAsia" w:asciiTheme="minorEastAsia" w:hAnsiTheme="minorEastAsia" w:eastAsiaTheme="minorEastAsia" w:cstheme="minorEastAsia"/>
          <w:color w:val="auto"/>
          <w:kern w:val="0"/>
          <w:highlight w:val="none"/>
        </w:rPr>
        <w:t>否则投标无效</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30"/>
          <w:szCs w:val="30"/>
          <w:highlight w:val="none"/>
          <w:lang w:val="zh-CN"/>
        </w:rPr>
        <w:br w:type="page"/>
      </w:r>
      <w:bookmarkStart w:id="76" w:name="_Toc515908222"/>
      <w:r>
        <w:rPr>
          <w:rFonts w:hint="eastAsia" w:asciiTheme="minorEastAsia" w:hAnsiTheme="minorEastAsia" w:eastAsiaTheme="minorEastAsia" w:cstheme="minorEastAsia"/>
          <w:color w:val="auto"/>
          <w:sz w:val="30"/>
          <w:szCs w:val="30"/>
          <w:highlight w:val="none"/>
        </w:rPr>
        <w:t>（13）</w:t>
      </w:r>
      <w:r>
        <w:rPr>
          <w:rFonts w:hint="eastAsia" w:asciiTheme="minorEastAsia" w:hAnsiTheme="minorEastAsia" w:eastAsiaTheme="minorEastAsia" w:cstheme="minorEastAsia"/>
          <w:color w:val="auto"/>
          <w:sz w:val="30"/>
          <w:szCs w:val="30"/>
          <w:highlight w:val="none"/>
          <w:lang w:val="zh-CN"/>
        </w:rPr>
        <w:t>分项报价表</w:t>
      </w:r>
      <w:bookmarkEnd w:id="73"/>
      <w:bookmarkEnd w:id="76"/>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分项报价表</w:t>
      </w:r>
    </w:p>
    <w:p>
      <w:pPr>
        <w:autoSpaceDE w:val="0"/>
        <w:autoSpaceDN w:val="0"/>
        <w:spacing w:line="360" w:lineRule="auto"/>
        <w:rPr>
          <w:rFonts w:hint="eastAsia" w:asciiTheme="minorEastAsia" w:hAnsiTheme="minorEastAsia" w:eastAsiaTheme="minorEastAsia" w:cstheme="minorEastAsia"/>
          <w:b/>
          <w:bCs/>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投标人名称</w:t>
      </w:r>
      <w:r>
        <w:rPr>
          <w:rFonts w:hint="eastAsia" w:asciiTheme="minorEastAsia" w:hAnsiTheme="minorEastAsia" w:eastAsiaTheme="minorEastAsia" w:cstheme="minorEastAsia"/>
          <w:b/>
          <w:bCs/>
          <w:color w:val="auto"/>
          <w:kern w:val="0"/>
          <w:highlight w:val="none"/>
        </w:rPr>
        <w:t xml:space="preserve">：                                                </w:t>
      </w:r>
    </w:p>
    <w:tbl>
      <w:tblPr>
        <w:tblStyle w:val="18"/>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大写：</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小写：</w:t>
            </w:r>
          </w:p>
        </w:tc>
      </w:tr>
    </w:tbl>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注：</w:t>
      </w:r>
      <w:r>
        <w:rPr>
          <w:rFonts w:hint="eastAsia" w:asciiTheme="minorEastAsia" w:hAnsiTheme="minorEastAsia" w:eastAsiaTheme="minorEastAsia" w:cstheme="minorEastAsia"/>
          <w:color w:val="auto"/>
          <w:kern w:val="0"/>
          <w:highlight w:val="none"/>
        </w:rPr>
        <w:t>1.</w:t>
      </w:r>
      <w:r>
        <w:rPr>
          <w:rFonts w:hint="eastAsia" w:asciiTheme="minorEastAsia" w:hAnsiTheme="minorEastAsia" w:eastAsiaTheme="minorEastAsia" w:cstheme="minorEastAsia"/>
          <w:color w:val="auto"/>
          <w:kern w:val="0"/>
          <w:highlight w:val="none"/>
          <w:lang w:val="zh-CN"/>
        </w:rPr>
        <w:t>本表应依照采购一览表中的产品序号按顺序逐项填写，不得遗漏，</w:t>
      </w:r>
      <w:r>
        <w:rPr>
          <w:rFonts w:hint="eastAsia" w:asciiTheme="minorEastAsia" w:hAnsiTheme="minorEastAsia" w:eastAsiaTheme="minorEastAsia" w:cstheme="minorEastAsia"/>
          <w:color w:val="auto"/>
          <w:highlight w:val="none"/>
        </w:rPr>
        <w:t>否则</w:t>
      </w:r>
      <w:r>
        <w:rPr>
          <w:rFonts w:hint="eastAsia" w:asciiTheme="minorEastAsia" w:hAnsiTheme="minorEastAsia" w:eastAsiaTheme="minorEastAsia" w:cstheme="minorEastAsia"/>
          <w:color w:val="auto"/>
          <w:kern w:val="0"/>
          <w:szCs w:val="20"/>
          <w:highlight w:val="none"/>
        </w:rPr>
        <w:t>，按无效投标处理</w:t>
      </w:r>
      <w:r>
        <w:rPr>
          <w:rFonts w:hint="eastAsia" w:asciiTheme="minorEastAsia" w:hAnsiTheme="minorEastAsia" w:eastAsiaTheme="minorEastAsia" w:cstheme="minorEastAsia"/>
          <w:color w:val="auto"/>
          <w:kern w:val="0"/>
          <w:highlight w:val="none"/>
          <w:lang w:val="zh-CN"/>
        </w:rPr>
        <w:t>。</w:t>
      </w:r>
    </w:p>
    <w:p>
      <w:pPr>
        <w:autoSpaceDE w:val="0"/>
        <w:autoSpaceDN w:val="0"/>
        <w:spacing w:line="360" w:lineRule="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2.</w:t>
      </w:r>
      <w:r>
        <w:rPr>
          <w:rFonts w:hint="eastAsia" w:asciiTheme="minorEastAsia" w:hAnsiTheme="minorEastAsia" w:eastAsiaTheme="minorEastAsia" w:cstheme="minorEastAsia"/>
          <w:color w:val="auto"/>
          <w:kern w:val="0"/>
          <w:highlight w:val="none"/>
          <w:lang w:val="zh-CN"/>
        </w:rPr>
        <w:t>投标报价不能有两个或两个以上的报价方案。</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rPr>
          <w:rFonts w:hint="eastAsia" w:asciiTheme="minorEastAsia" w:hAnsiTheme="minorEastAsia" w:eastAsiaTheme="minorEastAsia" w:cstheme="minorEastAsia"/>
          <w:b/>
          <w:bCs/>
          <w:color w:val="auto"/>
          <w:kern w:val="0"/>
          <w:highlight w:val="none"/>
          <w:lang w:val="zh-CN"/>
        </w:rPr>
      </w:pPr>
    </w:p>
    <w:p>
      <w:pPr>
        <w:pStyle w:val="17"/>
        <w:spacing w:before="0" w:after="0" w:line="360" w:lineRule="auto"/>
        <w:jc w:val="both"/>
        <w:outlineLvl w:val="1"/>
        <w:rPr>
          <w:rFonts w:hint="eastAsia" w:asciiTheme="minorEastAsia" w:hAnsiTheme="minorEastAsia" w:eastAsiaTheme="minorEastAsia" w:cstheme="minorEastAsia"/>
          <w:color w:val="auto"/>
          <w:kern w:val="0"/>
          <w:sz w:val="28"/>
          <w:szCs w:val="28"/>
          <w:highlight w:val="none"/>
          <w:lang w:val="zh-CN"/>
        </w:rPr>
      </w:pPr>
      <w:r>
        <w:rPr>
          <w:rFonts w:hint="eastAsia" w:asciiTheme="minorEastAsia" w:hAnsiTheme="minorEastAsia" w:eastAsiaTheme="minorEastAsia" w:cstheme="minorEastAsia"/>
          <w:color w:val="auto"/>
          <w:sz w:val="30"/>
          <w:szCs w:val="30"/>
          <w:highlight w:val="none"/>
          <w:lang w:val="zh-CN"/>
        </w:rPr>
        <w:br w:type="page"/>
      </w:r>
      <w:bookmarkStart w:id="77" w:name="_Toc515908223"/>
      <w:r>
        <w:rPr>
          <w:rFonts w:hint="eastAsia" w:asciiTheme="minorEastAsia" w:hAnsiTheme="minorEastAsia" w:eastAsiaTheme="minorEastAsia" w:cstheme="minorEastAsia"/>
          <w:color w:val="auto"/>
          <w:sz w:val="30"/>
          <w:szCs w:val="30"/>
          <w:highlight w:val="none"/>
        </w:rPr>
        <w:t>（14）</w:t>
      </w:r>
      <w:r>
        <w:rPr>
          <w:rFonts w:hint="eastAsia" w:asciiTheme="minorEastAsia" w:hAnsiTheme="minorEastAsia" w:eastAsiaTheme="minorEastAsia" w:cstheme="minorEastAsia"/>
          <w:color w:val="auto"/>
          <w:sz w:val="30"/>
          <w:szCs w:val="30"/>
          <w:highlight w:val="none"/>
          <w:lang w:val="zh-CN"/>
        </w:rPr>
        <w:t>技术规格响应表</w:t>
      </w:r>
      <w:bookmarkEnd w:id="77"/>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技术规格响应表</w:t>
      </w:r>
    </w:p>
    <w:p>
      <w:pPr>
        <w:autoSpaceDE w:val="0"/>
        <w:autoSpaceDN w:val="0"/>
        <w:spacing w:line="360" w:lineRule="auto"/>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投标人名称</w:t>
      </w:r>
      <w:r>
        <w:rPr>
          <w:rFonts w:hint="eastAsia" w:asciiTheme="minorEastAsia" w:hAnsiTheme="minorEastAsia" w:eastAsiaTheme="minorEastAsia" w:cstheme="minorEastAsia"/>
          <w:b/>
          <w:bCs/>
          <w:color w:val="auto"/>
          <w:kern w:val="0"/>
          <w:highlight w:val="none"/>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p>
        </w:tc>
      </w:tr>
    </w:tbl>
    <w:p>
      <w:pPr>
        <w:autoSpaceDE w:val="0"/>
        <w:autoSpaceDN w:val="0"/>
        <w:spacing w:line="24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注：1.本表应按照“项目概况及技术参数”中产品序号的指标逐项填写，不得遗漏，</w:t>
      </w:r>
      <w:r>
        <w:rPr>
          <w:rFonts w:hint="eastAsia" w:asciiTheme="minorEastAsia" w:hAnsiTheme="minorEastAsia" w:eastAsiaTheme="minorEastAsia" w:cstheme="minorEastAsia"/>
          <w:color w:val="auto"/>
          <w:highlight w:val="none"/>
        </w:rPr>
        <w:t>否则</w:t>
      </w:r>
      <w:r>
        <w:rPr>
          <w:rFonts w:hint="eastAsia" w:asciiTheme="minorEastAsia" w:hAnsiTheme="minorEastAsia" w:eastAsiaTheme="minorEastAsia" w:cstheme="minorEastAsia"/>
          <w:color w:val="auto"/>
          <w:kern w:val="0"/>
          <w:szCs w:val="20"/>
          <w:highlight w:val="none"/>
        </w:rPr>
        <w:t>，按无效投标处理</w:t>
      </w:r>
      <w:r>
        <w:rPr>
          <w:rFonts w:hint="eastAsia" w:asciiTheme="minorEastAsia" w:hAnsiTheme="minorEastAsia" w:eastAsiaTheme="minorEastAsia" w:cstheme="minorEastAsia"/>
          <w:color w:val="auto"/>
          <w:highlight w:val="none"/>
        </w:rPr>
        <w:t>。</w:t>
      </w:r>
    </w:p>
    <w:p>
      <w:pPr>
        <w:numPr>
          <w:ilvl w:val="0"/>
          <w:numId w:val="11"/>
        </w:num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11"/>
        </w:num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填写此表时以招标项目参数要求为基本投标要求，满足招标项目参数要求的指标需列出“</w:t>
      </w:r>
      <w:r>
        <w:rPr>
          <w:rFonts w:hint="eastAsia" w:asciiTheme="minorEastAsia" w:hAnsiTheme="minorEastAsia" w:eastAsiaTheme="minorEastAsia" w:cstheme="minorEastAsia"/>
          <w:color w:val="auto"/>
          <w:kern w:val="0"/>
          <w:highlight w:val="none"/>
        </w:rPr>
        <w:t>0</w:t>
      </w:r>
      <w:r>
        <w:rPr>
          <w:rFonts w:hint="eastAsia" w:asciiTheme="minorEastAsia" w:hAnsiTheme="minorEastAsia" w:eastAsiaTheme="minorEastAsia" w:cstheme="minorEastAsia"/>
          <w:color w:val="auto"/>
          <w:kern w:val="0"/>
          <w:highlight w:val="none"/>
          <w:lang w:val="zh-CN"/>
        </w:rPr>
        <w:t>”；超出、不满足招标项目参数要求的指标需列出“+”、“-”偏差，并做出详细说明；如果只注明“+”、“-”或未填写，将视为该项指标不响应。</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4</w:t>
      </w:r>
      <w:r>
        <w:rPr>
          <w:rFonts w:hint="eastAsia" w:asciiTheme="minorEastAsia" w:hAnsiTheme="minorEastAsia" w:eastAsiaTheme="minorEastAsia" w:cstheme="minorEastAsia"/>
          <w:color w:val="auto"/>
          <w:kern w:val="0"/>
          <w:highlight w:val="none"/>
          <w:lang w:val="zh-CN"/>
        </w:rPr>
        <w:t>.投标人响应采购需求应具体、明确，含糊不清、不确切或伪造、编造证明材料的，按照实质性不响应处理。对伪造、编造证明材料的，将报告本级财政部门。</w:t>
      </w:r>
    </w:p>
    <w:p>
      <w:pPr>
        <w:autoSpaceDE w:val="0"/>
        <w:autoSpaceDN w:val="0"/>
        <w:spacing w:line="240" w:lineRule="auto"/>
        <w:ind w:firstLine="48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投标人：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法定代表人或委托代理人：        （签字或盖章）</w:t>
      </w:r>
    </w:p>
    <w:p>
      <w:pPr>
        <w:autoSpaceDE w:val="0"/>
        <w:autoSpaceDN w:val="0"/>
        <w:spacing w:line="360" w:lineRule="auto"/>
        <w:ind w:firstLine="3253"/>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zh-CN"/>
        </w:rPr>
        <w:br w:type="page"/>
      </w:r>
      <w:bookmarkStart w:id="78" w:name="_Toc515908224"/>
      <w:bookmarkStart w:id="79" w:name="_Toc14290"/>
      <w:r>
        <w:rPr>
          <w:rFonts w:hint="eastAsia" w:asciiTheme="minorEastAsia" w:hAnsiTheme="minorEastAsia" w:eastAsiaTheme="minorEastAsia" w:cstheme="minorEastAsia"/>
          <w:color w:val="auto"/>
          <w:sz w:val="30"/>
          <w:szCs w:val="30"/>
          <w:highlight w:val="none"/>
        </w:rPr>
        <w:t>（15）</w:t>
      </w:r>
      <w:r>
        <w:rPr>
          <w:rFonts w:hint="eastAsia" w:asciiTheme="minorEastAsia" w:hAnsiTheme="minorEastAsia" w:eastAsiaTheme="minorEastAsia" w:cstheme="minorEastAsia"/>
          <w:color w:val="auto"/>
          <w:sz w:val="30"/>
          <w:szCs w:val="30"/>
          <w:highlight w:val="none"/>
          <w:lang w:val="zh-CN"/>
        </w:rPr>
        <w:t>投标产品相关资料</w:t>
      </w:r>
      <w:bookmarkEnd w:id="78"/>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投标产品相关资料</w:t>
      </w:r>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ind w:firstLine="480" w:firstLineChars="200"/>
        <w:rPr>
          <w:rFonts w:hint="eastAsia" w:asciiTheme="minorEastAsia" w:hAnsiTheme="minorEastAsia" w:eastAsiaTheme="minorEastAsia" w:cstheme="minorEastAsia"/>
          <w:color w:val="auto"/>
          <w:sz w:val="32"/>
          <w:highlight w:val="none"/>
          <w:lang w:val="zh-CN"/>
        </w:rPr>
      </w:pPr>
      <w:r>
        <w:rPr>
          <w:rFonts w:hint="eastAsia" w:asciiTheme="minorEastAsia" w:hAnsiTheme="minorEastAsia" w:eastAsiaTheme="minorEastAsia" w:cstheme="minorEastAsia"/>
          <w:color w:val="auto"/>
          <w:kern w:val="0"/>
          <w:highlight w:val="none"/>
          <w:lang w:val="zh-CN"/>
        </w:rPr>
        <w:t>根据采购项目内容，投标时提供国家认可的质监机构出具的投标产品的产品检验报告、证明技术参数响应的相关资料、彩页（或厂家公开发布的资料参数）、相关认证等资料。</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zh-CN"/>
        </w:rPr>
        <w:br w:type="page"/>
      </w:r>
      <w:bookmarkStart w:id="80" w:name="_Toc515908225"/>
      <w:r>
        <w:rPr>
          <w:rFonts w:hint="eastAsia" w:asciiTheme="minorEastAsia" w:hAnsiTheme="minorEastAsia" w:eastAsiaTheme="minorEastAsia" w:cstheme="minorEastAsia"/>
          <w:color w:val="auto"/>
          <w:sz w:val="30"/>
          <w:szCs w:val="30"/>
          <w:highlight w:val="none"/>
        </w:rPr>
        <w:t>（16）</w:t>
      </w:r>
      <w:r>
        <w:rPr>
          <w:rFonts w:hint="eastAsia" w:asciiTheme="minorEastAsia" w:hAnsiTheme="minorEastAsia" w:eastAsiaTheme="minorEastAsia" w:cstheme="minorEastAsia"/>
          <w:color w:val="auto"/>
          <w:sz w:val="30"/>
          <w:szCs w:val="30"/>
          <w:highlight w:val="none"/>
          <w:lang w:val="zh-CN"/>
        </w:rPr>
        <w:t>投标人的类似业绩证明材料</w:t>
      </w:r>
      <w:bookmarkEnd w:id="79"/>
      <w:bookmarkEnd w:id="80"/>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投标人的类似业绩证明材料</w:t>
      </w:r>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ind w:firstLine="48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提供自</w:t>
      </w:r>
      <w:r>
        <w:rPr>
          <w:rFonts w:hint="eastAsia" w:asciiTheme="minorEastAsia" w:hAnsiTheme="minorEastAsia" w:eastAsiaTheme="minorEastAsia" w:cstheme="minorEastAsia"/>
          <w:color w:val="auto"/>
          <w:kern w:val="0"/>
          <w:highlight w:val="none"/>
          <w:u w:val="single"/>
          <w:lang w:val="zh-CN"/>
        </w:rPr>
        <w:t xml:space="preserve"> 201</w:t>
      </w:r>
      <w:r>
        <w:rPr>
          <w:rFonts w:hint="eastAsia" w:asciiTheme="minorEastAsia" w:hAnsiTheme="minorEastAsia" w:eastAsiaTheme="minorEastAsia" w:cstheme="minorEastAsia"/>
          <w:color w:val="auto"/>
          <w:kern w:val="0"/>
          <w:highlight w:val="none"/>
          <w:u w:val="single"/>
          <w:lang w:val="en-US" w:eastAsia="zh-CN"/>
        </w:rPr>
        <w:t>7</w:t>
      </w:r>
      <w:r>
        <w:rPr>
          <w:rFonts w:hint="eastAsia" w:asciiTheme="minorEastAsia" w:hAnsiTheme="minorEastAsia" w:eastAsiaTheme="minorEastAsia" w:cstheme="minorEastAsia"/>
          <w:color w:val="auto"/>
          <w:kern w:val="0"/>
          <w:highlight w:val="none"/>
          <w:u w:val="single"/>
          <w:lang w:val="zh-CN"/>
        </w:rPr>
        <w:t xml:space="preserve"> </w:t>
      </w:r>
      <w:r>
        <w:rPr>
          <w:rFonts w:hint="eastAsia" w:asciiTheme="minorEastAsia" w:hAnsiTheme="minorEastAsia" w:eastAsiaTheme="minorEastAsia" w:cstheme="minorEastAsia"/>
          <w:color w:val="auto"/>
          <w:kern w:val="0"/>
          <w:highlight w:val="none"/>
          <w:lang w:val="zh-CN"/>
        </w:rPr>
        <w:t>年以来的类似业绩证明材料。类似业绩是指与采购项目在产品类型、使用功能、合同规模等方面相同或相近的项目。</w:t>
      </w:r>
      <w:r>
        <w:rPr>
          <w:rFonts w:hint="eastAsia" w:asciiTheme="minorEastAsia" w:hAnsiTheme="minorEastAsia" w:eastAsiaTheme="minorEastAsia" w:cstheme="minorEastAsia"/>
          <w:color w:val="auto"/>
          <w:highlight w:val="none"/>
        </w:rPr>
        <w:t>需提供包含合同首页、标的及金额所在页、供货合同签字盖章页的扫描（或复印）件。</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br w:type="page"/>
      </w:r>
      <w:bookmarkStart w:id="81" w:name="_Toc515908226"/>
      <w:bookmarkStart w:id="82" w:name="_Toc10010"/>
      <w:r>
        <w:rPr>
          <w:rFonts w:hint="eastAsia" w:asciiTheme="minorEastAsia" w:hAnsiTheme="minorEastAsia" w:eastAsiaTheme="minorEastAsia" w:cstheme="minorEastAsia"/>
          <w:color w:val="auto"/>
          <w:sz w:val="30"/>
          <w:szCs w:val="30"/>
          <w:highlight w:val="none"/>
        </w:rPr>
        <w:t>（17.1）</w:t>
      </w:r>
      <w:r>
        <w:rPr>
          <w:rFonts w:hint="eastAsia" w:asciiTheme="minorEastAsia" w:hAnsiTheme="minorEastAsia" w:eastAsiaTheme="minorEastAsia" w:cstheme="minorEastAsia"/>
          <w:color w:val="auto"/>
          <w:sz w:val="30"/>
          <w:szCs w:val="30"/>
          <w:highlight w:val="none"/>
          <w:lang w:val="zh-CN"/>
        </w:rPr>
        <w:t>制造（生产）企业小型、微型企业声明函</w:t>
      </w:r>
      <w:bookmarkEnd w:id="81"/>
      <w:bookmarkEnd w:id="82"/>
    </w:p>
    <w:p>
      <w:pPr>
        <w:spacing w:line="360" w:lineRule="auto"/>
        <w:rPr>
          <w:rFonts w:hint="eastAsia" w:asciiTheme="minorEastAsia" w:hAnsiTheme="minorEastAsia" w:eastAsiaTheme="minorEastAsia" w:cstheme="minorEastAsia"/>
          <w:color w:val="auto"/>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rPr>
        <w:t>制造（生产）企业</w:t>
      </w:r>
      <w:r>
        <w:rPr>
          <w:rFonts w:hint="eastAsia" w:asciiTheme="minorEastAsia" w:hAnsiTheme="minorEastAsia" w:eastAsiaTheme="minorEastAsia" w:cstheme="minorEastAsia"/>
          <w:b/>
          <w:bCs/>
          <w:color w:val="auto"/>
          <w:kern w:val="0"/>
          <w:sz w:val="28"/>
          <w:szCs w:val="28"/>
          <w:highlight w:val="none"/>
          <w:lang w:val="zh-CN"/>
        </w:rPr>
        <w:t>小型、微型企业声明函</w:t>
      </w:r>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致：兰州众信招标有限公司</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本公司对上述声明的真实性负责。如有虚假，将依法承担相应责任。</w:t>
      </w: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注：1、此函需声明参与本次投标的货物（产品）名称、规格、型号等相关资料；   </w:t>
      </w:r>
    </w:p>
    <w:p>
      <w:pPr>
        <w:spacing w:line="360" w:lineRule="auto"/>
        <w:ind w:firstLine="360" w:firstLineChars="1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2、此函须由投标产品的制造（生产）企业提供并声明，且加盖投标人公章。同时附制造（生产）企业上一年度的财务状况审计报告；</w:t>
      </w:r>
    </w:p>
    <w:p>
      <w:pPr>
        <w:spacing w:line="360" w:lineRule="auto"/>
        <w:ind w:firstLine="360" w:firstLineChars="1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3、此函若出现多家制造（生产）企业的货物（产品）投标时，可按制造（生产）</w:t>
      </w:r>
    </w:p>
    <w:p>
      <w:pPr>
        <w:spacing w:line="360" w:lineRule="auto"/>
        <w:ind w:left="1320" w:leftChars="200" w:hanging="840" w:hangingChars="3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企业分别声明，一家制造（生产）企业填写一张。</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highlight w:val="none"/>
        </w:rPr>
        <w:t>4、若无此项内容，可不提供此函。</w:t>
      </w:r>
    </w:p>
    <w:p>
      <w:pPr>
        <w:autoSpaceDE w:val="0"/>
        <w:autoSpaceDN w:val="0"/>
        <w:spacing w:line="360" w:lineRule="auto"/>
        <w:rPr>
          <w:rFonts w:hint="eastAsia" w:asciiTheme="minorEastAsia" w:hAnsiTheme="minorEastAsia" w:eastAsiaTheme="minorEastAsia" w:cstheme="minorEastAsia"/>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制造（生产）企业名称：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制造（生产）企业法定代表人：       （签字或盖章）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kern w:val="0"/>
          <w:highlight w:val="none"/>
          <w:lang w:val="zh-CN"/>
        </w:rPr>
        <w:br w:type="page"/>
      </w:r>
      <w:bookmarkStart w:id="83" w:name="_Toc515908227"/>
      <w:r>
        <w:rPr>
          <w:rFonts w:hint="eastAsia" w:asciiTheme="minorEastAsia" w:hAnsiTheme="minorEastAsia" w:eastAsiaTheme="minorEastAsia" w:cstheme="minorEastAsia"/>
          <w:color w:val="auto"/>
          <w:sz w:val="30"/>
          <w:szCs w:val="30"/>
          <w:highlight w:val="none"/>
        </w:rPr>
        <w:t>（17.2）</w:t>
      </w:r>
      <w:r>
        <w:rPr>
          <w:rFonts w:hint="eastAsia" w:asciiTheme="minorEastAsia" w:hAnsiTheme="minorEastAsia" w:eastAsiaTheme="minorEastAsia" w:cstheme="minorEastAsia"/>
          <w:color w:val="auto"/>
          <w:sz w:val="30"/>
          <w:szCs w:val="30"/>
          <w:highlight w:val="none"/>
          <w:lang w:val="zh-CN"/>
        </w:rPr>
        <w:t>从业人员声明函</w:t>
      </w:r>
      <w:bookmarkEnd w:id="83"/>
    </w:p>
    <w:p>
      <w:pPr>
        <w:adjustRightInd w:val="0"/>
        <w:snapToGrid w:val="0"/>
        <w:spacing w:line="440" w:lineRule="exact"/>
        <w:ind w:left="6987" w:hanging="6987" w:hangingChars="2900"/>
        <w:jc w:val="center"/>
        <w:rPr>
          <w:rFonts w:hint="eastAsia" w:asciiTheme="minorEastAsia" w:hAnsiTheme="minorEastAsia" w:eastAsiaTheme="minorEastAsia" w:cstheme="minorEastAsia"/>
          <w:b/>
          <w:bCs/>
          <w:color w:val="auto"/>
          <w:kern w:val="0"/>
          <w:highlight w:val="none"/>
          <w:lang w:val="zh-CN"/>
        </w:rPr>
      </w:pPr>
    </w:p>
    <w:p>
      <w:pPr>
        <w:adjustRightInd w:val="0"/>
        <w:snapToGrid w:val="0"/>
        <w:spacing w:line="440" w:lineRule="exact"/>
        <w:ind w:left="8152" w:hanging="8152" w:hangingChars="2900"/>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sz w:val="28"/>
          <w:szCs w:val="28"/>
          <w:highlight w:val="none"/>
        </w:rPr>
        <w:t>从业人员声明函</w:t>
      </w:r>
    </w:p>
    <w:p>
      <w:pPr>
        <w:adjustRightInd w:val="0"/>
        <w:snapToGrid w:val="0"/>
        <w:spacing w:line="440" w:lineRule="exact"/>
        <w:ind w:left="6987" w:hanging="6987" w:hangingChars="2900"/>
        <w:rPr>
          <w:rFonts w:hint="eastAsia" w:asciiTheme="minorEastAsia" w:hAnsiTheme="minorEastAsia" w:eastAsiaTheme="minorEastAsia" w:cstheme="minorEastAsia"/>
          <w:b/>
          <w:bCs/>
          <w:color w:val="auto"/>
          <w:kern w:val="0"/>
          <w:highlight w:val="none"/>
          <w:lang w:val="zh-CN"/>
        </w:rPr>
      </w:pPr>
    </w:p>
    <w:p>
      <w:pPr>
        <w:adjustRightInd w:val="0"/>
        <w:snapToGrid w:val="0"/>
        <w:spacing w:line="440" w:lineRule="exact"/>
        <w:ind w:left="6987" w:hanging="6987" w:hangingChars="29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kern w:val="0"/>
          <w:highlight w:val="none"/>
          <w:lang w:val="zh-CN"/>
        </w:rPr>
        <w:t>致：兰州众信招标有限公司</w:t>
      </w:r>
    </w:p>
    <w:p>
      <w:pPr>
        <w:adjustRightInd w:val="0"/>
        <w:snapToGrid w:val="0"/>
        <w:spacing w:line="440" w:lineRule="exact"/>
        <w:ind w:left="-5" w:leftChars="-2"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w:t>
      </w:r>
    </w:p>
    <w:p>
      <w:pPr>
        <w:adjustRightInd w:val="0"/>
        <w:snapToGrid w:val="0"/>
        <w:spacing w:line="440" w:lineRule="exact"/>
        <w:ind w:left="-2" w:leftChars="-1"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本公司对上述声明的真实性负责，如有虚假，将依法承担相应责任。</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制造（生产）企业名称：       （公章）</w:t>
      </w:r>
    </w:p>
    <w:p>
      <w:pPr>
        <w:autoSpaceDE w:val="0"/>
        <w:autoSpaceDN w:val="0"/>
        <w:spacing w:line="360" w:lineRule="auto"/>
        <w:jc w:val="center"/>
        <w:rPr>
          <w:rFonts w:hint="eastAsia" w:asciiTheme="minorEastAsia" w:hAnsiTheme="minorEastAsia" w:eastAsiaTheme="minorEastAsia" w:cstheme="minorEastAsia"/>
          <w:b/>
          <w:bCs/>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制造（生产）企业法定代表人：       （签字或盖章）</w:t>
      </w:r>
    </w:p>
    <w:p>
      <w:pPr>
        <w:autoSpaceDE w:val="0"/>
        <w:autoSpaceDN w:val="0"/>
        <w:spacing w:line="360" w:lineRule="auto"/>
        <w:jc w:val="center"/>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b/>
          <w:bCs/>
          <w:color w:val="auto"/>
          <w:kern w:val="0"/>
          <w:highlight w:val="none"/>
          <w:lang w:val="zh-CN"/>
        </w:rPr>
        <w:t xml:space="preserve">年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月 </w:t>
      </w:r>
      <w:r>
        <w:rPr>
          <w:rFonts w:hint="eastAsia" w:asciiTheme="minorEastAsia" w:hAnsiTheme="minorEastAsia" w:eastAsiaTheme="minorEastAsia" w:cstheme="minorEastAsia"/>
          <w:b/>
          <w:bCs/>
          <w:color w:val="auto"/>
          <w:kern w:val="0"/>
          <w:highlight w:val="none"/>
        </w:rPr>
        <w:t xml:space="preserve">  </w:t>
      </w:r>
      <w:r>
        <w:rPr>
          <w:rFonts w:hint="eastAsia" w:asciiTheme="minorEastAsia" w:hAnsiTheme="minorEastAsia" w:eastAsiaTheme="minorEastAsia" w:cstheme="minorEastAsia"/>
          <w:b/>
          <w:bCs/>
          <w:color w:val="auto"/>
          <w:kern w:val="0"/>
          <w:highlight w:val="none"/>
          <w:lang w:val="zh-CN"/>
        </w:rPr>
        <w:t xml:space="preserve"> 日</w:t>
      </w:r>
    </w:p>
    <w:p>
      <w:pPr>
        <w:pStyle w:val="17"/>
        <w:spacing w:before="0" w:after="0" w:line="360" w:lineRule="auto"/>
        <w:jc w:val="left"/>
        <w:outlineLvl w:val="1"/>
        <w:rPr>
          <w:rFonts w:hint="eastAsia" w:asciiTheme="minorEastAsia" w:hAnsiTheme="minorEastAsia" w:eastAsiaTheme="minorEastAsia" w:cstheme="minorEastAsia"/>
          <w:b w:val="0"/>
          <w:color w:val="auto"/>
          <w:sz w:val="28"/>
          <w:szCs w:val="28"/>
          <w:highlight w:val="none"/>
        </w:rPr>
      </w:pPr>
      <w:r>
        <w:rPr>
          <w:rFonts w:hint="eastAsia" w:asciiTheme="minorEastAsia" w:hAnsiTheme="minorEastAsia" w:eastAsiaTheme="minorEastAsia" w:cstheme="minorEastAsia"/>
          <w:color w:val="auto"/>
          <w:highlight w:val="none"/>
          <w:lang w:val="zh-CN"/>
        </w:rPr>
        <w:br w:type="page"/>
      </w:r>
      <w:bookmarkStart w:id="84" w:name="_Toc515908228"/>
      <w:bookmarkStart w:id="85" w:name="_Toc743"/>
      <w:r>
        <w:rPr>
          <w:rFonts w:hint="eastAsia" w:asciiTheme="minorEastAsia" w:hAnsiTheme="minorEastAsia" w:eastAsiaTheme="minorEastAsia" w:cstheme="minorEastAsia"/>
          <w:bCs w:val="0"/>
          <w:color w:val="auto"/>
          <w:sz w:val="28"/>
          <w:szCs w:val="28"/>
          <w:highlight w:val="none"/>
          <w:lang w:val="zh-CN"/>
        </w:rPr>
        <w:t>（</w:t>
      </w:r>
      <w:r>
        <w:rPr>
          <w:rFonts w:hint="eastAsia" w:asciiTheme="minorEastAsia" w:hAnsiTheme="minorEastAsia" w:eastAsiaTheme="minorEastAsia" w:cstheme="minorEastAsia"/>
          <w:bCs w:val="0"/>
          <w:color w:val="auto"/>
          <w:sz w:val="28"/>
          <w:szCs w:val="28"/>
          <w:highlight w:val="none"/>
        </w:rPr>
        <w:t>18</w:t>
      </w:r>
      <w:r>
        <w:rPr>
          <w:rFonts w:hint="eastAsia" w:asciiTheme="minorEastAsia" w:hAnsiTheme="minorEastAsia" w:eastAsiaTheme="minorEastAsia" w:cstheme="minorEastAsia"/>
          <w:bCs w:val="0"/>
          <w:color w:val="auto"/>
          <w:sz w:val="28"/>
          <w:szCs w:val="28"/>
          <w:highlight w:val="none"/>
          <w:lang w:val="zh-CN"/>
        </w:rPr>
        <w:t>）</w:t>
      </w:r>
      <w:r>
        <w:rPr>
          <w:rFonts w:hint="eastAsia" w:asciiTheme="minorEastAsia" w:hAnsiTheme="minorEastAsia" w:eastAsiaTheme="minorEastAsia" w:cstheme="minorEastAsia"/>
          <w:bCs w:val="0"/>
          <w:color w:val="auto"/>
          <w:sz w:val="30"/>
          <w:szCs w:val="30"/>
          <w:highlight w:val="none"/>
          <w:lang w:val="zh-CN"/>
        </w:rPr>
        <w:t>残疾人</w:t>
      </w:r>
      <w:r>
        <w:rPr>
          <w:rFonts w:hint="eastAsia" w:asciiTheme="minorEastAsia" w:hAnsiTheme="minorEastAsia" w:eastAsiaTheme="minorEastAsia" w:cstheme="minorEastAsia"/>
          <w:bCs w:val="0"/>
          <w:color w:val="auto"/>
          <w:sz w:val="28"/>
          <w:szCs w:val="28"/>
          <w:highlight w:val="none"/>
        </w:rPr>
        <w:t>福利性单位声明函</w:t>
      </w:r>
      <w:bookmarkEnd w:id="84"/>
    </w:p>
    <w:p>
      <w:pPr>
        <w:jc w:val="center"/>
        <w:rPr>
          <w:rFonts w:hint="eastAsia" w:asciiTheme="minorEastAsia" w:hAnsiTheme="minorEastAsia" w:eastAsiaTheme="minorEastAsia" w:cstheme="minorEastAsia"/>
          <w:b/>
          <w:color w:val="auto"/>
          <w:sz w:val="36"/>
          <w:szCs w:val="36"/>
          <w:highlight w:val="none"/>
        </w:rPr>
      </w:pPr>
      <w:bookmarkStart w:id="86" w:name="OLE_LINK14"/>
      <w:bookmarkStart w:id="87" w:name="OLE_LINK13"/>
    </w:p>
    <w:p>
      <w:pPr>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残疾人福利性单位声明函</w:t>
      </w:r>
    </w:p>
    <w:bookmarkEnd w:id="86"/>
    <w:bookmarkEnd w:id="87"/>
    <w:p>
      <w:pPr>
        <w:spacing w:afterLines="50"/>
        <w:rPr>
          <w:rFonts w:hint="eastAsia" w:asciiTheme="minorEastAsia" w:hAnsiTheme="minorEastAsia" w:eastAsiaTheme="minorEastAsia" w:cstheme="minorEastAsia"/>
          <w:bCs/>
          <w:color w:val="auto"/>
          <w:highlight w:val="none"/>
        </w:rPr>
      </w:pPr>
    </w:p>
    <w:p>
      <w:pPr>
        <w:spacing w:afterLines="5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致：</w:t>
      </w:r>
      <w:r>
        <w:rPr>
          <w:rFonts w:hint="eastAsia" w:asciiTheme="minorEastAsia" w:hAnsiTheme="minorEastAsia" w:eastAsiaTheme="minorEastAsia" w:cstheme="minorEastAsia"/>
          <w:b/>
          <w:bCs/>
          <w:color w:val="auto"/>
          <w:kern w:val="0"/>
          <w:highlight w:val="none"/>
          <w:lang w:val="zh-CN"/>
        </w:rPr>
        <w:t>兰州众信招标有限公司</w:t>
      </w: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本单位郑重声明，根据《财政部、民政部、中国残疾人联合会关于促进残疾人就业政府采购政策的通知》（财库〔2017〕141号）的规定，本单位为符合条件的残疾人福利性单位，本单位在职职工人数为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人，安置的残疾人人数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本单位对上述声明的真实性负责。如有虚假，将依法承担相应责任。</w:t>
      </w: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注：若无此项内容，可不提供此函。</w:t>
      </w:r>
    </w:p>
    <w:p>
      <w:pPr>
        <w:spacing w:line="360" w:lineRule="auto"/>
        <w:rPr>
          <w:rFonts w:hint="eastAsia" w:asciiTheme="minorEastAsia" w:hAnsiTheme="minorEastAsia" w:eastAsiaTheme="minorEastAsia" w:cstheme="minorEastAsia"/>
          <w:color w:val="auto"/>
          <w:highlight w:val="none"/>
        </w:rPr>
      </w:pP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ind w:firstLine="480"/>
        <w:rPr>
          <w:rFonts w:hint="eastAsia" w:asciiTheme="minorEastAsia" w:hAnsiTheme="minorEastAsia" w:eastAsiaTheme="minorEastAsia" w:cstheme="minorEastAsia"/>
          <w:color w:val="auto"/>
          <w:highlight w:val="none"/>
        </w:rPr>
      </w:pPr>
    </w:p>
    <w:p>
      <w:pPr>
        <w:spacing w:line="360" w:lineRule="auto"/>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 xml:space="preserve">                                企业名称：</w:t>
      </w:r>
      <w:r>
        <w:rPr>
          <w:rFonts w:hint="eastAsia" w:asciiTheme="minorEastAsia" w:hAnsiTheme="minorEastAsia" w:eastAsiaTheme="minorEastAsia" w:cstheme="minorEastAsia"/>
          <w:color w:val="auto"/>
          <w:kern w:val="0"/>
          <w:sz w:val="28"/>
          <w:szCs w:val="28"/>
          <w:highlight w:val="none"/>
          <w:u w:val="single"/>
        </w:rPr>
        <w:t xml:space="preserve">       </w:t>
      </w:r>
      <w:r>
        <w:rPr>
          <w:rFonts w:hint="eastAsia" w:asciiTheme="minorEastAsia" w:hAnsiTheme="minorEastAsia" w:eastAsiaTheme="minorEastAsia" w:cstheme="minorEastAsia"/>
          <w:b/>
          <w:color w:val="auto"/>
          <w:highlight w:val="none"/>
        </w:rPr>
        <w:t>（公章）</w:t>
      </w:r>
    </w:p>
    <w:p>
      <w:pPr>
        <w:spacing w:line="360" w:lineRule="auto"/>
        <w:ind w:firstLine="482"/>
        <w:jc w:val="righ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 xml:space="preserve">       企业法定代表人：</w:t>
      </w:r>
      <w:r>
        <w:rPr>
          <w:rFonts w:hint="eastAsia" w:asciiTheme="minorEastAsia" w:hAnsiTheme="minorEastAsia" w:eastAsiaTheme="minorEastAsia" w:cstheme="minorEastAsia"/>
          <w:color w:val="auto"/>
          <w:kern w:val="0"/>
          <w:sz w:val="28"/>
          <w:szCs w:val="28"/>
          <w:highlight w:val="none"/>
          <w:u w:val="single"/>
        </w:rPr>
        <w:t xml:space="preserve">       </w:t>
      </w:r>
      <w:r>
        <w:rPr>
          <w:rFonts w:hint="eastAsia" w:asciiTheme="minorEastAsia" w:hAnsiTheme="minorEastAsia" w:eastAsiaTheme="minorEastAsia" w:cstheme="minorEastAsia"/>
          <w:b/>
          <w:color w:val="auto"/>
          <w:highlight w:val="none"/>
        </w:rPr>
        <w:t>（签字或盖章）</w:t>
      </w:r>
    </w:p>
    <w:p>
      <w:pPr>
        <w:ind w:firstLine="482"/>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 xml:space="preserve">              年   月  日</w:t>
      </w:r>
    </w:p>
    <w:p>
      <w:pPr>
        <w:pStyle w:val="17"/>
        <w:spacing w:before="0" w:after="0" w:line="360" w:lineRule="auto"/>
        <w:jc w:val="left"/>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zh-CN"/>
        </w:rPr>
        <w:br w:type="page"/>
      </w:r>
      <w:bookmarkStart w:id="88" w:name="_Toc515908229"/>
      <w:r>
        <w:rPr>
          <w:rFonts w:hint="eastAsia" w:asciiTheme="minorEastAsia" w:hAnsiTheme="minorEastAsia" w:eastAsiaTheme="minorEastAsia" w:cstheme="minorEastAsia"/>
          <w:color w:val="auto"/>
          <w:sz w:val="30"/>
          <w:szCs w:val="30"/>
          <w:highlight w:val="none"/>
        </w:rPr>
        <w:t>（19）</w:t>
      </w:r>
      <w:r>
        <w:rPr>
          <w:rFonts w:hint="eastAsia" w:asciiTheme="minorEastAsia" w:hAnsiTheme="minorEastAsia" w:eastAsiaTheme="minorEastAsia" w:cstheme="minorEastAsia"/>
          <w:color w:val="auto"/>
          <w:sz w:val="30"/>
          <w:szCs w:val="30"/>
          <w:highlight w:val="none"/>
          <w:lang w:val="zh-CN"/>
        </w:rPr>
        <w:t>投标人认为在其他方面有必要说明的事项</w:t>
      </w:r>
      <w:bookmarkEnd w:id="85"/>
      <w:bookmarkEnd w:id="88"/>
    </w:p>
    <w:p>
      <w:pPr>
        <w:autoSpaceDE w:val="0"/>
        <w:autoSpaceDN w:val="0"/>
        <w:spacing w:line="360" w:lineRule="auto"/>
        <w:rPr>
          <w:rFonts w:hint="eastAsia" w:asciiTheme="minorEastAsia" w:hAnsiTheme="minorEastAsia" w:eastAsiaTheme="minorEastAsia" w:cstheme="minorEastAsia"/>
          <w:color w:val="auto"/>
          <w:kern w:val="0"/>
          <w:sz w:val="28"/>
          <w:szCs w:val="28"/>
          <w:highlight w:val="none"/>
          <w:lang w:val="zh-CN"/>
        </w:rPr>
      </w:pPr>
    </w:p>
    <w:p>
      <w:pPr>
        <w:autoSpaceDE w:val="0"/>
        <w:autoSpaceDN w:val="0"/>
        <w:spacing w:line="360" w:lineRule="auto"/>
        <w:jc w:val="center"/>
        <w:rPr>
          <w:rFonts w:hint="eastAsia" w:asciiTheme="minorEastAsia" w:hAnsiTheme="minorEastAsia" w:eastAsiaTheme="minorEastAsia" w:cstheme="minorEastAsia"/>
          <w:b/>
          <w:bCs/>
          <w:color w:val="auto"/>
          <w:kern w:val="0"/>
          <w:sz w:val="36"/>
          <w:szCs w:val="36"/>
          <w:highlight w:val="none"/>
          <w:lang w:val="zh-CN"/>
        </w:rPr>
      </w:pPr>
      <w:r>
        <w:rPr>
          <w:rFonts w:hint="eastAsia" w:asciiTheme="minorEastAsia" w:hAnsiTheme="minorEastAsia" w:eastAsiaTheme="minorEastAsia" w:cstheme="minorEastAsia"/>
          <w:b/>
          <w:bCs/>
          <w:color w:val="auto"/>
          <w:kern w:val="0"/>
          <w:sz w:val="28"/>
          <w:szCs w:val="28"/>
          <w:highlight w:val="none"/>
          <w:lang w:val="zh-CN"/>
        </w:rPr>
        <w:t>投标人认为在其他方面有必要说明的事项</w:t>
      </w:r>
    </w:p>
    <w:p>
      <w:pPr>
        <w:autoSpaceDE w:val="0"/>
        <w:autoSpaceDN w:val="0"/>
        <w:spacing w:line="360" w:lineRule="auto"/>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格式自定</w:t>
      </w:r>
    </w:p>
    <w:p>
      <w:pPr>
        <w:pStyle w:val="17"/>
        <w:numPr>
          <w:ilvl w:val="0"/>
          <w:numId w:val="12"/>
        </w:numPr>
        <w:spacing w:before="0" w:after="0" w:line="360" w:lineRule="auto"/>
        <w:rPr>
          <w:rFonts w:hint="eastAsia" w:asciiTheme="minorEastAsia" w:hAnsiTheme="minorEastAsia" w:eastAsiaTheme="minorEastAsia" w:cstheme="minorEastAsia"/>
          <w:color w:val="auto"/>
          <w:szCs w:val="36"/>
          <w:highlight w:val="none"/>
          <w:lang w:val="zh-CN"/>
        </w:rPr>
      </w:pPr>
      <w:r>
        <w:rPr>
          <w:rFonts w:hint="eastAsia" w:asciiTheme="minorEastAsia" w:hAnsiTheme="minorEastAsia" w:eastAsiaTheme="minorEastAsia" w:cstheme="minorEastAsia"/>
          <w:color w:val="auto"/>
          <w:highlight w:val="none"/>
          <w:lang w:val="zh-CN"/>
        </w:rPr>
        <w:br w:type="page"/>
      </w:r>
      <w:bookmarkStart w:id="89" w:name="_Toc18752"/>
      <w:bookmarkStart w:id="90" w:name="_Toc515908230"/>
      <w:r>
        <w:rPr>
          <w:rFonts w:hint="eastAsia" w:asciiTheme="minorEastAsia" w:hAnsiTheme="minorEastAsia" w:eastAsiaTheme="minorEastAsia" w:cstheme="minorEastAsia"/>
          <w:color w:val="auto"/>
          <w:szCs w:val="36"/>
          <w:highlight w:val="none"/>
          <w:lang w:val="zh-CN"/>
        </w:rPr>
        <w:t xml:space="preserve"> 采购项目要求及技术参数</w:t>
      </w:r>
      <w:bookmarkEnd w:id="89"/>
      <w:bookmarkEnd w:id="90"/>
    </w:p>
    <w:p>
      <w:pPr>
        <w:pStyle w:val="17"/>
        <w:spacing w:before="0" w:after="0" w:line="360" w:lineRule="auto"/>
        <w:outlineLvl w:val="1"/>
        <w:rPr>
          <w:rFonts w:hint="eastAsia" w:asciiTheme="minorEastAsia" w:hAnsiTheme="minorEastAsia" w:eastAsiaTheme="minorEastAsia" w:cstheme="minorEastAsia"/>
          <w:color w:val="auto"/>
          <w:szCs w:val="36"/>
          <w:highlight w:val="none"/>
        </w:rPr>
      </w:pPr>
      <w:bookmarkStart w:id="91" w:name="_Toc9451"/>
      <w:bookmarkStart w:id="92" w:name="_Toc1540"/>
      <w:r>
        <w:rPr>
          <w:rFonts w:hint="eastAsia" w:asciiTheme="minorEastAsia" w:hAnsiTheme="minorEastAsia" w:eastAsiaTheme="minorEastAsia" w:cstheme="minorEastAsia"/>
          <w:color w:val="auto"/>
          <w:highlight w:val="none"/>
          <w:lang w:val="zh-CN"/>
        </w:rPr>
        <w:t>（一）投标要求</w:t>
      </w:r>
      <w:bookmarkEnd w:id="91"/>
      <w:bookmarkEnd w:id="92"/>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bookmarkStart w:id="93" w:name="_Toc20332"/>
      <w:bookmarkStart w:id="94" w:name="_Toc4601"/>
      <w:r>
        <w:rPr>
          <w:rFonts w:hint="eastAsia" w:asciiTheme="minorEastAsia" w:hAnsiTheme="minorEastAsia" w:eastAsiaTheme="minorEastAsia" w:cstheme="minorEastAsia"/>
          <w:color w:val="auto"/>
          <w:sz w:val="28"/>
          <w:szCs w:val="28"/>
          <w:highlight w:val="none"/>
          <w:lang w:val="zh-CN"/>
        </w:rPr>
        <w:t>1.投标说明</w:t>
      </w:r>
      <w:bookmarkEnd w:id="93"/>
      <w:bookmarkEnd w:id="94"/>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1.1</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1.2</w:t>
      </w:r>
      <w:r>
        <w:rPr>
          <w:rFonts w:hint="eastAsia" w:asciiTheme="minorEastAsia" w:hAnsiTheme="minorEastAsia" w:eastAsiaTheme="minorEastAsia" w:cstheme="minorEastAsia"/>
          <w:color w:val="auto"/>
          <w:kern w:val="0"/>
          <w:highlight w:val="none"/>
        </w:rPr>
        <w:t xml:space="preserve"> </w:t>
      </w:r>
      <w:r>
        <w:rPr>
          <w:rFonts w:hint="eastAsia" w:asciiTheme="minorEastAsia" w:hAnsiTheme="minorEastAsia" w:eastAsiaTheme="minorEastAsia" w:cstheme="minorEastAsia"/>
          <w:color w:val="auto"/>
          <w:kern w:val="0"/>
          <w:highlight w:val="none"/>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lang w:val="zh-CN"/>
        </w:rPr>
        <w:t>1.</w:t>
      </w: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kern w:val="0"/>
          <w:highlight w:val="none"/>
          <w:lang w:val="zh-CN"/>
        </w:rPr>
        <w:t>招标内容中未特别标注为“原装进口”字样的产品，投标人必须投国产产品；标注为“原装进口”字样的产品，投标人可以投进口产品，但如果仍有满足采购需求的国内产品要求参与采购竞争的，可以投国产产品，并且按照公平竞争原则实施采购。</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 xml:space="preserve">1.4 </w:t>
      </w:r>
      <w:r>
        <w:rPr>
          <w:rFonts w:hint="eastAsia" w:asciiTheme="minorEastAsia" w:hAnsiTheme="minorEastAsia" w:eastAsiaTheme="minorEastAsia" w:cstheme="minorEastAsia"/>
          <w:color w:val="auto"/>
          <w:highlight w:val="none"/>
        </w:rPr>
        <w:t>所投产品或其任何一部分不得侵犯专利权、著作权、商标权和工业设计权等知识产权。</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1.5 项目中标后分包情况：</w:t>
      </w:r>
      <w:r>
        <w:rPr>
          <w:rFonts w:hint="eastAsia" w:asciiTheme="minorEastAsia" w:hAnsiTheme="minorEastAsia" w:eastAsiaTheme="minorEastAsia" w:cstheme="minorEastAsia"/>
          <w:color w:val="auto"/>
          <w:kern w:val="0"/>
          <w:highlight w:val="none"/>
          <w:u w:val="dashDotHeavy"/>
        </w:rPr>
        <w:t>不允许</w:t>
      </w:r>
      <w:r>
        <w:rPr>
          <w:rFonts w:hint="eastAsia" w:asciiTheme="minorEastAsia" w:hAnsiTheme="minorEastAsia" w:eastAsiaTheme="minorEastAsia" w:cstheme="minorEastAsia"/>
          <w:color w:val="auto"/>
          <w:kern w:val="0"/>
          <w:highlight w:val="none"/>
        </w:rPr>
        <w:t>。（允许，投标人拟在中标后将中标项目的非主体、非关键性工作分包的，应当在投标文件中载明分包承担主体，分包承担主体应当具备相应资质条件且不得再次分包）</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bookmarkStart w:id="95" w:name="_Toc26125"/>
      <w:bookmarkStart w:id="96" w:name="_Toc8251"/>
      <w:r>
        <w:rPr>
          <w:rFonts w:hint="eastAsia" w:asciiTheme="minorEastAsia" w:hAnsiTheme="minorEastAsia" w:eastAsiaTheme="minorEastAsia" w:cstheme="minorEastAsia"/>
          <w:color w:val="auto"/>
          <w:sz w:val="28"/>
          <w:szCs w:val="28"/>
          <w:highlight w:val="none"/>
        </w:rPr>
        <w:t>2.</w:t>
      </w:r>
      <w:bookmarkEnd w:id="95"/>
      <w:bookmarkStart w:id="97" w:name="_Toc1475"/>
      <w:r>
        <w:rPr>
          <w:rFonts w:hint="eastAsia" w:asciiTheme="minorEastAsia" w:hAnsiTheme="minorEastAsia" w:eastAsiaTheme="minorEastAsia" w:cstheme="minorEastAsia"/>
          <w:color w:val="auto"/>
          <w:sz w:val="28"/>
          <w:szCs w:val="28"/>
          <w:highlight w:val="none"/>
          <w:lang w:val="zh-CN"/>
        </w:rPr>
        <w:t>重要指标</w:t>
      </w:r>
      <w:bookmarkEnd w:id="96"/>
      <w:bookmarkEnd w:id="97"/>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bookmarkStart w:id="98" w:name="_Toc18880"/>
      <w:r>
        <w:rPr>
          <w:rFonts w:hint="eastAsia" w:asciiTheme="minorEastAsia" w:hAnsiTheme="minorEastAsia" w:eastAsiaTheme="minorEastAsia" w:cstheme="minorEastAsia"/>
          <w:color w:val="auto"/>
          <w:kern w:val="0"/>
          <w:highlight w:val="none"/>
        </w:rPr>
        <w:t>2</w:t>
      </w:r>
      <w:r>
        <w:rPr>
          <w:rFonts w:hint="eastAsia" w:asciiTheme="minorEastAsia" w:hAnsiTheme="minorEastAsia" w:eastAsiaTheme="minorEastAsia" w:cstheme="minorEastAsia"/>
          <w:color w:val="auto"/>
          <w:kern w:val="0"/>
          <w:highlight w:val="none"/>
          <w:lang w:val="zh-CN"/>
        </w:rPr>
        <w:t>.</w:t>
      </w:r>
      <w:r>
        <w:rPr>
          <w:rFonts w:hint="eastAsia" w:asciiTheme="minorEastAsia" w:hAnsiTheme="minorEastAsia" w:eastAsiaTheme="minorEastAsia" w:cstheme="minorEastAsia"/>
          <w:color w:val="auto"/>
          <w:kern w:val="0"/>
          <w:highlight w:val="none"/>
        </w:rPr>
        <w:t xml:space="preserve">1 </w:t>
      </w:r>
      <w:r>
        <w:rPr>
          <w:rFonts w:hint="eastAsia" w:asciiTheme="minorEastAsia" w:hAnsiTheme="minorEastAsia" w:eastAsiaTheme="minorEastAsia" w:cstheme="minorEastAsia"/>
          <w:color w:val="auto"/>
          <w:kern w:val="0"/>
          <w:highlight w:val="none"/>
          <w:lang w:val="zh-CN"/>
        </w:rPr>
        <w:t>招标文件中凡需与原有设备、系统并机、兼容、匹配等要求的，请主动和采购人联系，取得原有设备、系统相关资料。若有招标文件未提及或变更内容的，请及时与</w:t>
      </w:r>
      <w:r>
        <w:rPr>
          <w:rFonts w:hint="eastAsia" w:asciiTheme="minorEastAsia" w:hAnsiTheme="minorEastAsia" w:eastAsiaTheme="minorEastAsia" w:cstheme="minorEastAsia"/>
          <w:color w:val="auto"/>
          <w:kern w:val="0"/>
          <w:highlight w:val="none"/>
          <w:u w:val="dashDotHeavy"/>
          <w:lang w:val="zh-CN"/>
        </w:rPr>
        <w:t>采购人或者采购代理机构</w:t>
      </w:r>
      <w:r>
        <w:rPr>
          <w:rFonts w:hint="eastAsia" w:asciiTheme="minorEastAsia" w:hAnsiTheme="minorEastAsia" w:eastAsiaTheme="minorEastAsia" w:cstheme="minorEastAsia"/>
          <w:color w:val="auto"/>
          <w:kern w:val="0"/>
          <w:highlight w:val="none"/>
          <w:lang w:val="zh-CN"/>
        </w:rPr>
        <w:t>联系。</w:t>
      </w:r>
    </w:p>
    <w:p>
      <w:pPr>
        <w:pStyle w:val="17"/>
        <w:spacing w:before="0" w:after="0" w:line="360" w:lineRule="auto"/>
        <w:jc w:val="left"/>
        <w:outlineLvl w:val="1"/>
        <w:rPr>
          <w:rFonts w:hint="eastAsia" w:asciiTheme="minorEastAsia" w:hAnsiTheme="minorEastAsia" w:eastAsiaTheme="minorEastAsia" w:cstheme="minorEastAsia"/>
          <w:color w:val="auto"/>
          <w:highlight w:val="none"/>
          <w:lang w:val="zh-CN"/>
        </w:rPr>
      </w:pPr>
      <w:bookmarkStart w:id="99" w:name="_Toc16744"/>
      <w:r>
        <w:rPr>
          <w:rFonts w:hint="eastAsia"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cstheme="minorEastAsia"/>
          <w:color w:val="auto"/>
          <w:sz w:val="28"/>
          <w:szCs w:val="28"/>
          <w:highlight w:val="none"/>
          <w:lang w:val="zh-CN"/>
        </w:rPr>
        <w:t>.商务要求</w:t>
      </w:r>
      <w:bookmarkEnd w:id="98"/>
      <w:bookmarkEnd w:id="99"/>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.1.交货时间：国产产品自合同签订之日起</w:t>
      </w:r>
      <w:r>
        <w:rPr>
          <w:rFonts w:hint="eastAsia" w:asciiTheme="minorEastAsia" w:hAnsiTheme="minorEastAsia" w:eastAsiaTheme="minorEastAsia" w:cstheme="minorEastAsia"/>
          <w:color w:val="auto"/>
          <w:kern w:val="0"/>
          <w:highlight w:val="none"/>
          <w:lang w:val="en-US" w:eastAsia="zh-CN"/>
        </w:rPr>
        <w:t>30</w:t>
      </w:r>
      <w:r>
        <w:rPr>
          <w:rFonts w:hint="eastAsia" w:asciiTheme="minorEastAsia" w:hAnsiTheme="minorEastAsia" w:eastAsiaTheme="minorEastAsia" w:cstheme="minorEastAsia"/>
          <w:color w:val="auto"/>
          <w:kern w:val="0"/>
          <w:highlight w:val="none"/>
          <w:lang w:val="zh-CN"/>
        </w:rPr>
        <w:t>个日历日内；进口产品自合同签订之日起</w:t>
      </w:r>
      <w:r>
        <w:rPr>
          <w:rFonts w:hint="eastAsia" w:asciiTheme="minorEastAsia" w:hAnsiTheme="minorEastAsia" w:eastAsiaTheme="minorEastAsia" w:cstheme="minorEastAsia"/>
          <w:color w:val="auto"/>
          <w:kern w:val="0"/>
          <w:highlight w:val="none"/>
          <w:lang w:val="en-US" w:eastAsia="zh-CN"/>
        </w:rPr>
        <w:t>60</w:t>
      </w:r>
      <w:r>
        <w:rPr>
          <w:rFonts w:hint="eastAsia" w:asciiTheme="minorEastAsia" w:hAnsiTheme="minorEastAsia" w:eastAsiaTheme="minorEastAsia" w:cstheme="minorEastAsia"/>
          <w:color w:val="auto"/>
          <w:kern w:val="0"/>
          <w:highlight w:val="none"/>
          <w:lang w:val="zh-CN"/>
        </w:rPr>
        <w:t>个日历日内；</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.2.交货地点：西宁市疾病预防控制中心  </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zh-CN"/>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.3.付款方式：</w:t>
      </w:r>
      <w:r>
        <w:rPr>
          <w:rFonts w:hint="eastAsia" w:asciiTheme="minorEastAsia" w:hAnsiTheme="minorEastAsia" w:eastAsiaTheme="minorEastAsia" w:cstheme="minorEastAsia"/>
          <w:color w:val="auto"/>
          <w:kern w:val="0"/>
          <w:highlight w:val="none"/>
        </w:rPr>
        <w:t>详见“第三部分  青海省政府采购项目合同书范本”中“四、付款方式”的规定</w:t>
      </w:r>
    </w:p>
    <w:p>
      <w:pPr>
        <w:autoSpaceDE w:val="0"/>
        <w:autoSpaceDN w:val="0"/>
        <w:spacing w:line="360" w:lineRule="auto"/>
        <w:ind w:firstLine="480" w:firstLineChars="200"/>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rPr>
        <w:t>3</w:t>
      </w:r>
      <w:r>
        <w:rPr>
          <w:rFonts w:hint="eastAsia" w:asciiTheme="minorEastAsia" w:hAnsiTheme="minorEastAsia" w:eastAsiaTheme="minorEastAsia" w:cstheme="minorEastAsia"/>
          <w:color w:val="auto"/>
          <w:kern w:val="0"/>
          <w:highlight w:val="none"/>
          <w:lang w:val="zh-CN"/>
        </w:rPr>
        <w:t>.4.质保期：</w:t>
      </w:r>
      <w:r>
        <w:rPr>
          <w:rFonts w:hint="eastAsia" w:asciiTheme="minorEastAsia" w:hAnsiTheme="minorEastAsia" w:eastAsiaTheme="minorEastAsia" w:cstheme="minorEastAsia"/>
          <w:color w:val="auto"/>
          <w:kern w:val="0"/>
          <w:highlight w:val="none"/>
          <w:lang w:val="en-US" w:eastAsia="zh-CN"/>
        </w:rPr>
        <w:t>1年</w:t>
      </w: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2"/>
        <w:rPr>
          <w:rFonts w:hint="eastAsia" w:asciiTheme="minorEastAsia" w:hAnsiTheme="minorEastAsia" w:eastAsiaTheme="minorEastAsia" w:cstheme="minorEastAsia"/>
          <w:color w:val="auto"/>
          <w:highlight w:val="none"/>
          <w:lang w:val="en-US" w:eastAsia="zh-CN"/>
        </w:rPr>
      </w:pPr>
    </w:p>
    <w:p>
      <w:pPr>
        <w:pStyle w:val="17"/>
        <w:numPr>
          <w:ilvl w:val="0"/>
          <w:numId w:val="13"/>
        </w:numPr>
        <w:spacing w:before="0" w:after="0" w:line="360" w:lineRule="auto"/>
        <w:outlineLvl w:val="1"/>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项目概况及技术参数</w:t>
      </w:r>
    </w:p>
    <w:tbl>
      <w:tblPr>
        <w:tblStyle w:val="18"/>
        <w:tblW w:w="5000" w:type="pct"/>
        <w:tblInd w:w="0" w:type="dxa"/>
        <w:tblLayout w:type="autofit"/>
        <w:tblCellMar>
          <w:top w:w="0" w:type="dxa"/>
          <w:left w:w="108" w:type="dxa"/>
          <w:bottom w:w="0" w:type="dxa"/>
          <w:right w:w="108" w:type="dxa"/>
        </w:tblCellMar>
      </w:tblPr>
      <w:tblGrid>
        <w:gridCol w:w="435"/>
        <w:gridCol w:w="4603"/>
        <w:gridCol w:w="765"/>
        <w:gridCol w:w="1012"/>
        <w:gridCol w:w="1644"/>
      </w:tblGrid>
      <w:tr>
        <w:tblPrEx>
          <w:tblCellMar>
            <w:top w:w="0" w:type="dxa"/>
            <w:left w:w="108" w:type="dxa"/>
            <w:bottom w:w="0" w:type="dxa"/>
            <w:right w:w="108" w:type="dxa"/>
          </w:tblCellMar>
        </w:tblPrEx>
        <w:trPr>
          <w:trHeight w:val="48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实验室检验检测设备清单 包一</w:t>
            </w:r>
          </w:p>
        </w:tc>
      </w:tr>
      <w:tr>
        <w:tblPrEx>
          <w:tblCellMar>
            <w:top w:w="0" w:type="dxa"/>
            <w:left w:w="108" w:type="dxa"/>
            <w:bottom w:w="0" w:type="dxa"/>
            <w:right w:w="108" w:type="dxa"/>
          </w:tblCellMar>
        </w:tblPrEx>
        <w:trPr>
          <w:trHeight w:val="588" w:hRule="atLeast"/>
        </w:trPr>
        <w:tc>
          <w:tcPr>
            <w:tcW w:w="25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仪器名称</w:t>
            </w:r>
          </w:p>
        </w:tc>
        <w:tc>
          <w:tcPr>
            <w:tcW w:w="452"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598"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969"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 w:val="20"/>
                <w:szCs w:val="20"/>
                <w:highlight w:val="none"/>
                <w:lang w:eastAsia="zh-CN"/>
              </w:rPr>
            </w:pPr>
            <w:r>
              <w:rPr>
                <w:rFonts w:hint="eastAsia" w:asciiTheme="minorEastAsia" w:hAnsiTheme="minorEastAsia" w:eastAsiaTheme="minorEastAsia" w:cstheme="minorEastAsia"/>
                <w:b/>
                <w:bCs/>
                <w:color w:val="auto"/>
                <w:kern w:val="0"/>
                <w:sz w:val="20"/>
                <w:szCs w:val="20"/>
                <w:highlight w:val="none"/>
                <w:lang w:eastAsia="zh-CN"/>
              </w:rPr>
              <w:t>备注</w:t>
            </w:r>
          </w:p>
        </w:tc>
      </w:tr>
      <w:tr>
        <w:tblPrEx>
          <w:tblCellMar>
            <w:top w:w="0" w:type="dxa"/>
            <w:left w:w="108" w:type="dxa"/>
            <w:bottom w:w="0" w:type="dxa"/>
            <w:right w:w="108" w:type="dxa"/>
          </w:tblCellMar>
        </w:tblPrEx>
        <w:trPr>
          <w:trHeight w:val="468" w:hRule="atLeast"/>
        </w:trPr>
        <w:tc>
          <w:tcPr>
            <w:tcW w:w="25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w:t>
            </w:r>
          </w:p>
        </w:tc>
        <w:tc>
          <w:tcPr>
            <w:tcW w:w="2721"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动力送风过滤式呼吸器</w:t>
            </w:r>
          </w:p>
        </w:tc>
        <w:tc>
          <w:tcPr>
            <w:tcW w:w="452"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598"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套</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5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w:t>
            </w:r>
          </w:p>
        </w:tc>
        <w:tc>
          <w:tcPr>
            <w:tcW w:w="2721"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全自动药敏检测仪（含加样仪）</w:t>
            </w:r>
          </w:p>
        </w:tc>
        <w:tc>
          <w:tcPr>
            <w:tcW w:w="452"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598"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台 </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5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w:t>
            </w:r>
          </w:p>
        </w:tc>
        <w:tc>
          <w:tcPr>
            <w:tcW w:w="2721"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集成式纳米芯片数字PCR仪</w:t>
            </w:r>
          </w:p>
        </w:tc>
        <w:tc>
          <w:tcPr>
            <w:tcW w:w="452"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598"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57"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w:t>
            </w:r>
          </w:p>
        </w:tc>
        <w:tc>
          <w:tcPr>
            <w:tcW w:w="2721"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活细胞荧光显微成像系统</w:t>
            </w:r>
          </w:p>
        </w:tc>
        <w:tc>
          <w:tcPr>
            <w:tcW w:w="452"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598"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969"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bl>
    <w:p>
      <w:pPr>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1、动力送风过滤式呼吸器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品目：动力送风过滤式呼吸器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一、功能与适用范围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电动送风过滤式呼吸防护系统是使用电机将过滤后的新鲜空气输送到头罩供使用者呼吸的系统，达到防尘或防毒的作用。用于个人生物安全3级防护。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二、组成构建：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电动送风式呼吸防护系统由头罩/头盔、呼吸管、滤尘装置组成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三、滤尘装置：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外形简洁，使用方便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扁轮廓设计能在更小更紧空间工作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使用镍氢（NiMH）电池（电池需另配），重量轻，适合长时间佩戴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低流量，低电量报警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有衬垫的腰带，配戴舒适稳定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大流量：150升/分钟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安全性：电动气流控制，提供安全的清洁空气；当电池或气流不足时，电子控制报警器提供声光报警；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滤棉盖设计防止滤棉变形或火花溅入，可喷淋便于冲洗；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整个丘比特（JUPITER）电动送风滤尘装置只有3个可更换模块——无易碎易丢小部件，使用维修方便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电池技术：可充电锂聚合物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风量（低/高）：129/240 lpm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警报：低电量报警，低流量报警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EVA主动流技术：独特的反馈控制回路，直接通过传感器测量流量来改变流速。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防护等级：为用户提供最好的保护，经第三方检测，APF达1000。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过滤类型：机械；过滤：0.3微米的颗粒；过滤效率：过滤效率为99.99%；</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配置：滤毒盒：A2P3、头罩：S-533头罩，（易于消毒）、呼吸管：BT-40呼吸管、电池：Jupiter 8小时电池（52000043803）、充电器：Jupiter 充电器 、每套含100个滤棉</w:t>
      </w:r>
      <w:r>
        <w:rPr>
          <w:rFonts w:hint="eastAsia" w:asciiTheme="minorEastAsia" w:hAnsiTheme="minorEastAsia" w:eastAsiaTheme="minorEastAsia" w:cstheme="minorEastAsia"/>
          <w:color w:val="auto"/>
          <w:highlight w:val="none"/>
          <w:lang w:eastAsia="zh-CN"/>
        </w:rPr>
        <w:t>。</w:t>
      </w:r>
    </w:p>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2、</w:t>
      </w:r>
      <w:bookmarkStart w:id="100" w:name="_Hlk21355022"/>
      <w:r>
        <w:rPr>
          <w:rFonts w:hint="eastAsia" w:asciiTheme="minorEastAsia" w:hAnsiTheme="minorEastAsia" w:eastAsiaTheme="minorEastAsia" w:cstheme="minorEastAsia"/>
          <w:b/>
          <w:bCs/>
          <w:color w:val="auto"/>
          <w:sz w:val="28"/>
          <w:szCs w:val="28"/>
          <w:highlight w:val="none"/>
        </w:rPr>
        <w:t>全自动药敏检测仪（含加样仪）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品目：全自动药敏检测仪（含加样仪）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一、工作环境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 工作条件：电压220V，输入频率50Hz</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 温度20℃～35℃，湿度20%-80%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二、适用范围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适用于微生物实验室常见致病菌的全自动鉴定及药敏分析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三、技术指标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原理：该系统为全自动细菌鉴定的检测系统，细菌鉴定采用比色和荧光法原理，药敏采用比浊和氧化还原原理。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具有CFDA和FDA 国际认证。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仪器技术指标：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3.1生化鉴定细菌450种以上，鉴定的准确度在95～99%以上。鉴定菌种包括：革兰氏阴性杆菌、革兰氏阳性菌、酵母菌、志贺氏菌、需氧芽胞杆菌、棒状杆菌。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3.2能对革兰阳性菌和阴性菌进行药敏/MIC检测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3.3培养温度范围：34.5~36.5℃</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3.4上样通量：每批≥50个样品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3.5生化鉴定时间3-8小时，药敏实验在7小时内完成。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3.6光学系统：至少两种波长系统和透光度光学系统进行试剂卡样本孔中细菌生长的分析。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3.7 配有电子菌液比浊器,快速确认样品浊度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3.8 可进行资料管理及统计分析，储存标本至少8000例。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3.9能统计各种细菌对常用抗生素的敏感率，并且能作出细菌对抗生素敏感性的趋势报告。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3.10自动系统：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3.10.1自动加样系统：通过重力加样仓，把样品自动加入到鉴定试剂中，无需手工操作，避免感染操作人员和污染环境。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3.10.2能够具有完全密封的实验耗材，保证生物安全性。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3.10.3自动化数据读取系统:光学系统，包含两套光学组件。每20分钟自动扫描并读取所有鉴定卡数据； 系统内置条码扫描器。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3.10.4细菌培养、生化鉴定和药敏试验在检测过程中处于同一密闭状态，减少样品污染的风险。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3.11药敏试验根据需要可提供至少20种药物的多种浓度的单独测试卡，能检测各种革兰氏阴性菌、非发酵菌、葡萄球菌、链球菌、酵母菌等。药敏试验能简易地检出MRSA、PRP、VRSA、VRE、HLAR等耐药菌株及ESBL（超广谱β-内酰胺酶）阳性菌，配有专家系统软件，能对药敏试验结果进行把关，对多重耐药菌如何选用药物有提示。系统涵盖美国（CLSI）、德国（DIN）、法国（AFNOR）等标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3.12用户在任何时间进入系统进行样品的装载和卸载时不会影响到其它仍在进程中的样品。检测完成后，可以再将新的样品放入立刻检测，各个样品结果和检测相互不影响。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3.13鉴定试剂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3.13.1 生化鉴定卡具有50个以上带有生化试剂的生化反应孔,卡片所含底物在测试过程中可产生不同的颜色和浊度的变化，无需额外附加试剂。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3.13.2鉴定试剂带有条形码，可通过扫描仪扫描识别。</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3.13.3可以提供鉴定和药敏复合板条，及单独的鉴定板条、药敏板条，并具有中国适用的136孔药敏板。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3.14软件系统：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3.14.1更直观易学的图像界面，节省使用者培训时间，从而提高生产力。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3.14.2所有的检测卡的状况在屏幕上一目了然，更快获得实验数据。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3.14.3使用windows操作平台，全屏图文操作系统，具有详细的数据获取、处理、汇总及归档功能。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3.14.4具有鉴定和药敏功能的专家系统及耐药表型智能分析功能，有用于药敏有效性判断的专用报告程序。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3.14.5具有对外部LIS软件或网络的接口能力, 厂家免费提供软件升级。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 数据管理系统性能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 实现与众多微生物仪器的连接及通讯，实现仪器时时监测功能；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3.15.2实现复杂多样化的流行病学和统计学分析功能，提供上百种相关流行病学及统计学分析报告；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3.15.3无纸工作流程为所有连接的平台，提高了效率；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3.15.4完整的信息跟踪，支持实验室认证工作；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3.15.5支持流行病学预警功能，可以用短信或邮件方式对阳性结果进行即时报告；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3.15.6支持远程访问功能；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3.15.7持有按照用户分级的安全登录系统；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3.15.8实现与LIS系统的双向通讯功能；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3.15.9实现按照样本类型报告不同菌属的药敏结果；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3.15.10为防止抗生素滥用实现药物分组报告；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3.15.11细菌鉴定结果可以报告生物编码信息；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3.15.12微生物鉴定结果有生物学特性说明，方便微生物实验室人员对微生物知识的学习和经验的增长。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3.15.13满足CLSI M39A指导原则要求，实现多样化的流行病学统计和分析功能；使用者根据需要可自行编辑专家系统；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3.15.14可存储过往十万份以上检测数据，并可进行统计分析；系统内所使用计算机平台为DELL T3610大型工作站平台或类似服务器型计算机。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3.16配置微生物手工鉴定系统一套，可以对厌氧菌、奈瑟氏菌等做生化鉴定，并给出对应生化反应的阴阳性。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四、配置清单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4.1 全自动微生物鉴定及药敏分析系统主机一套（包括主机、启动包、条码扫描器、触摸屏电脑）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4.2 自动电子比浊仪一台：液晶显示，浊度范围0-4.5麦氏单位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4.3 电源稳压器一台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4.4 激光打印机一台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4.5 微生物手工鉴定操作判读系统一套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4.6 革兰氏阴性136孔药敏板50套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4.7 药敏肉汤100支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4.8 鉴定肉汤管 100支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4.9 药敏指示剂1盒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4.10 中英文说明书各一套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4.11 中央数据管理系统一套（含工作站电脑一套、笔记本电脑一套和软件一套）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5.1 测试试验合格后，整机保修12个月，保修期内，若有质量问题，厂家应免费给予更换；如果客户需要维修，通知维修中心后，12小时内有响应，48小时内赶到现场。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5.2 技术服务和培训：卖方须到买方提供的现场免费安装调试，并进行操作试验，直到运转正常，为买方的使用操作人员提供免费的操作及维护培训。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 xml:space="preserve"> 生产厂家或国内一级代理商的有效产品授权。</w:t>
      </w:r>
    </w:p>
    <w:bookmarkEnd w:id="100"/>
    <w:p>
      <w:pPr>
        <w:spacing w:line="240"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val="nb-NO"/>
        </w:rPr>
        <w:t>3、集成式纳米芯片数字PCR仪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nb-NO"/>
        </w:rPr>
        <w:t>品目：集成式纳米芯片数字PCR仪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一、设备用途：基因的表达分析，基因拷贝数变异分析，罕见突变检测，液体活检，微生物检测，基因编辑，转基因生物检测，二代测序文库定量。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二、主要技术指标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bookmarkStart w:id="101" w:name="OLE_LINK3"/>
      <w:bookmarkStart w:id="102" w:name="OLE_LINK4"/>
      <w:bookmarkStart w:id="103" w:name="OLE_LINK5"/>
      <w:bookmarkStart w:id="104" w:name="OLE_LINK6"/>
      <w:bookmarkStart w:id="105" w:name="OLE_LINK8"/>
      <w:bookmarkStart w:id="106" w:name="OLE_LINK7"/>
      <w:r>
        <w:rPr>
          <w:rFonts w:hint="eastAsia" w:asciiTheme="minorEastAsia" w:hAnsiTheme="minorEastAsia" w:eastAsiaTheme="minorEastAsia" w:cstheme="minorEastAsia"/>
          <w:color w:val="auto"/>
          <w:highlight w:val="none"/>
        </w:rPr>
        <w:t>1、原理：PCR反应体系被分配到大量的反应单元中，每个反应单元包含或不包含一个或几个拷贝的目标分子，进行独立扩增，含有目标分子的反应单元会产生荧光信号，成像后仪器自动读取荧光信号的有无，并根据泊松分布原理，计算出目标基因的拷贝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2、无需制定标准曲线，即可进行精确定量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3、通量：一次上机最多可连续分析96个样本</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4、扩展性：最多可同时 1 块板上机运行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5、运行时间：96 个样本 1.5 小时内完成检测分析，后续每30min分析96个样本</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6、通道：不少于5个通道，</w:t>
      </w:r>
      <w:bookmarkStart w:id="107" w:name="_Hlk25250743"/>
      <w:r>
        <w:rPr>
          <w:rFonts w:hint="eastAsia" w:asciiTheme="minorEastAsia" w:hAnsiTheme="minorEastAsia" w:eastAsiaTheme="minorEastAsia" w:cstheme="minorEastAsia"/>
          <w:color w:val="auto"/>
          <w:highlight w:val="none"/>
        </w:rPr>
        <w:t>至少可检测5个靶标基因</w:t>
      </w:r>
      <w:bookmarkEnd w:id="107"/>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7、适用于多种荧光染料和探针，包括Eva Green、FAM、VIC、HEX、TAMRA、ROX、Cy5等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8、反应单元数：最高&gt;25,000个，最低&lt;10,000个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9、灵活的测定设置，可通过扩展实现高度的灵敏性或较大的通量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10、反应体系体积：低至10 μl</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11、全自动封闭式检测，实验过程中无需手工介入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12、一台仪器完成核酸分区、扩增、成像分析、数据读取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13、全自动软件分析，可输出像素分布图、热图、直方图、散点图等多种分析结果</w:t>
      </w:r>
    </w:p>
    <w:bookmarkEnd w:id="101"/>
    <w:bookmarkEnd w:id="102"/>
    <w:bookmarkEnd w:id="103"/>
    <w:bookmarkEnd w:id="104"/>
    <w:bookmarkEnd w:id="105"/>
    <w:bookmarkEnd w:id="106"/>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三、基本配置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1、主机一套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2、品牌电脑打印机各一套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3、提供各种试剂盒一套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四、技术资料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详细的英文操作指南，可提供中文操作指南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测试试验合格后，整机保修12个月，保修期内，若有质量问题，厂家应免费给予更换；如果客户需要维修，通知维修中心后，12小时内有响应，48小时内赶到现场，终身负责维护。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技术服务和培训：卖方须到买方提供的现场免费安装调试，并进行操作试验，直到运转正常，为买方的使用操作人员提供免费的操作及维护培训。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 xml:space="preserve"> 生产厂家或国内一级代理商的有效产品授权。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技术服务和培训：卖方须到买方提供的现场免费安装、调试设备，进行操作试验，直至运行正常，为仪器操作人员提供免费的操作及维护培训。</w:t>
      </w:r>
    </w:p>
    <w:p>
      <w:pPr>
        <w:spacing w:line="240" w:lineRule="auto"/>
        <w:jc w:val="center"/>
        <w:rPr>
          <w:rFonts w:hint="eastAsia" w:asciiTheme="minorEastAsia" w:hAnsiTheme="minorEastAsia" w:eastAsiaTheme="minorEastAsia" w:cstheme="minorEastAsia"/>
          <w:b/>
          <w:bCs/>
          <w:color w:val="auto"/>
          <w:sz w:val="28"/>
          <w:szCs w:val="28"/>
          <w:highlight w:val="none"/>
          <w:lang w:val="nb-NO"/>
        </w:rPr>
      </w:pPr>
      <w:r>
        <w:rPr>
          <w:rFonts w:hint="eastAsia" w:asciiTheme="minorEastAsia" w:hAnsiTheme="minorEastAsia" w:eastAsiaTheme="minorEastAsia" w:cstheme="minorEastAsia"/>
          <w:b/>
          <w:bCs/>
          <w:color w:val="auto"/>
          <w:sz w:val="28"/>
          <w:szCs w:val="28"/>
          <w:highlight w:val="none"/>
          <w:lang w:val="nb-NO"/>
        </w:rPr>
        <w:t>4、活细胞荧光显微成像系统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品目：活细胞荧光显微成像系统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一、系统功能：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可用于复杂的多荧光通道条件下对细胞、组织样本进行观察和研究。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二、技术指标：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2.1主机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人机工程学倒置荧光显微镜主机，具备优良的光学性能高稳定性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光学系统：最优化无限远校正光学系统，保证最好的光学性能，45mm等焦距离的RMS螺纹物镜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不低于4种观察方式，包括彩色明场、荧光明场、相差和荧光观察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可在暗室或非暗室条件下进行荧光样本的观察和图片采集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2.1.5</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可通过高清屏幕直接控制仪器和操作成像软件,无时间延迟，观察倾斜度可调节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2.1.6</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自动功能：可实现Z轴电动扫描，荧光模块电动切换和基于软件的自动对焦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2.1.7</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 xml:space="preserve">可整体放置于超净台或安全柜中进行观察和拍照等操作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光学部件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物镜：4×、10×、20×、40×物镜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聚光镜：高分辨率长工作距离聚光镜，至少3孔转轮， WD≥60mm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透射光光源：LED高能固态冷光源，使用寿命不低于5万个小时，即开即用，可自由调节光源强度和曝光时间，调节后可自动记忆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荧光装置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2.3.1采用消色差荧光系统，高通透性硬质荧光滤片，三组荧光激发块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a激发波带宽 340-370， 发射波带宽410-470  带通紫外（U）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b. 激发波带宽460-480，发射波带宽 490-530  带通绿色（G）</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c. 激发波带宽510-550， 发射波带宽570-610  带通红色（R）</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新型LED荧光光源完美呈现荧光图像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2.3.2.1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LED荧光激发光源，使用寿命不低于5万个小时。亮度高、色温恒定、照明均匀、不产生热量，避免“杂光”漂白和光毒性，可瞬间开启或关闭，无须预热或冷却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2.3.2.2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每个LED 荧光光源可独立操控开启关闭，激发光强线性化能量调节0%-100%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2.3.2.3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宽范围光谱成像，激发波长光谱范围：340nm-700nm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2.3.2.4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不少于23种荧光激发模块可选择，每一种荧光激发模块的光源和滤光片都是独立的，兼容DAPI、CFP、GFP/FITC/AF488、RFP/AF568、Texas Red/AF594/mCherry、Cy5/AF647、Cy7和Qdot等染料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不少于4位荧光模块槽，支持荧光模块在线更换，载物台后侧有窗口可以轻松更换荧光模块，安装方便。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绝对零漂移功能：不同颜色荧光激发零漂移功能, 保证拍摄多色荧光照片没有位移和变形；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相机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高灵敏度单色CMOS检测器，物理像素不低于320万，分辨率≥2000x1500像素；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2.4.2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速度：120幅/s( 1920 x 1670)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载物台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专业大面积载物台，XY轴精确定位控制，行程大于60 x 60 mm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双聚焦机制：自动对焦，快速找到关心的靶标区域；同时具备精细的同轴粗、微调焦旋钮，进行手动对焦。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  显微图像控制及分析软件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2.6.1</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LCD显示器：18英寸彩色触摸屏；显示分辨率≥ 1024 × 1080像素；倾斜度可调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2.6.2</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图像采集：界面直观，操作简便，使用户更加容易的集中精力关注生物试验过程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2.6.3</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采集方式：通过鼠标或触摸屏控制内置软件，操作完成单通道和/或多通道图像采集、图像编辑和图像存储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2.6.4</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内置成像分析软件可对采集图像直接进行不少于6类细胞的分类和计数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2.6.5</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可延时成像生成视频文件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2.6.6</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调节亮度和对比度显示范围，并可以单独调节RGB各通道的亮度，方便地对图像添加伪彩色和改变色彩模式等功能，使图像关注点和各荧光通道获得最佳的显示效果；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2.6.7</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可添加或取消标尺功能，从而显示图像的放大比例关系；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2.6.8</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获取的图像：16位单色TIFF和PNG格式（12位动态范围），8位彩色TIFF, PNG, BMP和JPG，普通图像分析软件即可打开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1、免费安装调试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2、安装调试经用户验收合格当天起，质量保证期1年。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3、维修响应时间一般情况≤24小时，到现场时间48小时。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4、免费现场培训，直至能完全独立操作。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5、软件免费升级。</w:t>
      </w:r>
    </w:p>
    <w:tbl>
      <w:tblPr>
        <w:tblStyle w:val="18"/>
        <w:tblW w:w="7880" w:type="dxa"/>
        <w:tblInd w:w="93" w:type="dxa"/>
        <w:tblLayout w:type="autofit"/>
        <w:tblCellMar>
          <w:top w:w="0" w:type="dxa"/>
          <w:left w:w="108" w:type="dxa"/>
          <w:bottom w:w="0" w:type="dxa"/>
          <w:right w:w="108" w:type="dxa"/>
        </w:tblCellMar>
      </w:tblPr>
      <w:tblGrid>
        <w:gridCol w:w="458"/>
        <w:gridCol w:w="3920"/>
        <w:gridCol w:w="1067"/>
        <w:gridCol w:w="983"/>
        <w:gridCol w:w="1452"/>
      </w:tblGrid>
      <w:tr>
        <w:tblPrEx>
          <w:tblCellMar>
            <w:top w:w="0" w:type="dxa"/>
            <w:left w:w="108" w:type="dxa"/>
            <w:bottom w:w="0" w:type="dxa"/>
            <w:right w:w="108" w:type="dxa"/>
          </w:tblCellMar>
        </w:tblPrEx>
        <w:trPr>
          <w:trHeight w:val="420" w:hRule="atLeast"/>
        </w:trPr>
        <w:tc>
          <w:tcPr>
            <w:tcW w:w="7880"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实验室检验检测设备清单 包二</w:t>
            </w:r>
          </w:p>
        </w:tc>
      </w:tr>
      <w:tr>
        <w:tblPrEx>
          <w:tblCellMar>
            <w:top w:w="0" w:type="dxa"/>
            <w:left w:w="108" w:type="dxa"/>
            <w:bottom w:w="0" w:type="dxa"/>
            <w:right w:w="108" w:type="dxa"/>
          </w:tblCellMar>
        </w:tblPrEx>
        <w:trPr>
          <w:trHeight w:val="576"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39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仪器名称</w:t>
            </w:r>
          </w:p>
        </w:tc>
        <w:tc>
          <w:tcPr>
            <w:tcW w:w="106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98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145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eastAsia="zh-CN"/>
              </w:rPr>
            </w:pPr>
            <w:r>
              <w:rPr>
                <w:rFonts w:hint="eastAsia" w:asciiTheme="minorEastAsia" w:hAnsiTheme="minorEastAsia" w:eastAsiaTheme="minorEastAsia" w:cstheme="minorEastAsia"/>
                <w:b/>
                <w:bCs/>
                <w:color w:val="auto"/>
                <w:kern w:val="0"/>
                <w:sz w:val="20"/>
                <w:szCs w:val="20"/>
                <w:highlight w:val="none"/>
                <w:lang w:eastAsia="zh-CN"/>
              </w:rPr>
              <w:t>备注</w:t>
            </w:r>
          </w:p>
        </w:tc>
      </w:tr>
      <w:tr>
        <w:tblPrEx>
          <w:tblCellMar>
            <w:top w:w="0" w:type="dxa"/>
            <w:left w:w="108" w:type="dxa"/>
            <w:bottom w:w="0" w:type="dxa"/>
            <w:right w:w="108" w:type="dxa"/>
          </w:tblCellMar>
        </w:tblPrEx>
        <w:trPr>
          <w:trHeight w:val="588"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10ul微量移液器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个 </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20ul微量移液器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个 </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200ul微量移液器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个 </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1000ul微量移液器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个 </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5</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10ul八通道微量移液器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个</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6</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台式冷冻离心机</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7</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全自动分子检测工作站</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8</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干雾过氧化氢空气消毒器</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9</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全自动高压灭菌锅</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7</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10</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二氧化碳培养箱</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11</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酶标仪</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国产</w:t>
            </w:r>
          </w:p>
        </w:tc>
      </w:tr>
      <w:tr>
        <w:tblPrEx>
          <w:tblCellMar>
            <w:top w:w="0" w:type="dxa"/>
            <w:left w:w="108" w:type="dxa"/>
            <w:bottom w:w="0" w:type="dxa"/>
            <w:right w:w="108" w:type="dxa"/>
          </w:tblCellMar>
        </w:tblPrEx>
        <w:trPr>
          <w:trHeight w:val="312" w:hRule="atLeast"/>
        </w:trPr>
        <w:tc>
          <w:tcPr>
            <w:tcW w:w="4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12</w:t>
            </w:r>
          </w:p>
        </w:tc>
        <w:tc>
          <w:tcPr>
            <w:tcW w:w="39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洗板机</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9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452"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国产</w:t>
            </w:r>
          </w:p>
        </w:tc>
      </w:tr>
    </w:tbl>
    <w:p>
      <w:pPr>
        <w:keepNext w:val="0"/>
        <w:keepLines w:val="0"/>
        <w:pageBreakBefore w:val="0"/>
        <w:widowControl w:val="0"/>
        <w:kinsoku/>
        <w:wordWrap/>
        <w:overflowPunct/>
        <w:topLinePunct w:val="0"/>
        <w:autoSpaceDE/>
        <w:autoSpaceDN/>
        <w:bidi w:val="0"/>
        <w:adjustRightInd/>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1、2、3、4、5微量移液器参数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品目：微量移液器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一、用途</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用于微量或少量液体的手动移液。</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二、主要技术指标</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PysioCare concept人体工程学设计：操作用力小，使用更加轻松；</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2.2采用PerfectPiston™系统的高科技材质，坚固耐用，耐高温抗腐蚀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2.3可整支高温高压灭菌和紫外线灭菌，操作更安全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2.4四位数字体积显示，位置合理，便于移液时观察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2.5伸缩式弹性吸嘴设计，防止吸头安装高高低低，确保移液气密性和均一性</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2.6密度调节功能，适用于不同密度的液体，通用性更广泛</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2.7卓越人体工程学设计，重量轻，显著减少操作用力，避免发生手部重复性劳损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 不准确度和不精确度：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单道可调移液器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0.5-10 µl最大量程的不准确度≤±1.4%，不精确度≤0.5 %；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2-20µl最大量程的不准确度≤±1.4%，不精确度≤0.3 %；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20-200µl最大量程的不准确度≤±0.7%，不精确度≤0.2 %；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100-1000µl最大量程的不准确度≤±0.6%，不精确度≤0.20 %；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0.5-10 µl八通道最大量程的不准确度≤±1.4%，不精确度≤0.5 %；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三、售后服务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1、详细的中英文操作指南，仪器维护的有关资料及质量认证书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2、质量保证：测试验收合格后1年</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6、台式冷冻离心机参数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品目：台式</w:t>
      </w:r>
      <w:r>
        <w:rPr>
          <w:rFonts w:hint="eastAsia" w:asciiTheme="minorEastAsia" w:hAnsiTheme="minorEastAsia" w:eastAsiaTheme="minorEastAsia" w:cstheme="minorEastAsia"/>
          <w:color w:val="auto"/>
          <w:sz w:val="24"/>
          <w:szCs w:val="24"/>
          <w:highlight w:val="none"/>
          <w:lang w:eastAsia="zh-CN"/>
        </w:rPr>
        <w:t>高速</w:t>
      </w:r>
      <w:r>
        <w:rPr>
          <w:rFonts w:hint="eastAsia" w:asciiTheme="minorEastAsia" w:hAnsiTheme="minorEastAsia" w:eastAsiaTheme="minorEastAsia" w:cstheme="minorEastAsia"/>
          <w:color w:val="auto"/>
          <w:sz w:val="24"/>
          <w:szCs w:val="24"/>
          <w:highlight w:val="none"/>
        </w:rPr>
        <w:t>冷冻离心机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一、用途</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主要用于DNA，蛋白等生物活性物质离心分离。</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二、主要技术指标</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1加 / 减速时间不大于15秒。</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 大型背光液晶显示屏，便于操作，.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 独立程序按键，可存储50个常用程序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 关盖时自动锁盖，自动识别转子失衡，保护操作人员安全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5最大转速不小于17500rpm, 最大离心力不小于30000x g</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6转子和附件可高温高压灭菌(121 °C, 20 分钟)，保护操作人员安全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7 自动识别转子和转子转速，操作更加安全、简便</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8具备缓慢加 / 减速离心功能，适用于敏感样品的分离</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9单独的“Short Spin”瞬时离心按键，方便操作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10 单独的离心力/转速转换按键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11 噪音水平，小于55dB(A)</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12 所有转子在最高速运行时,均能维持4°C</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13  离心结束后,可继续制冷,以保持样品.</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14 具备快速制冷功能: 可在无样品情况下,将转子和整个腔体迅速降到设定温度.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15 具有快速制冷编程功能:可从设定时间开始快速制冷.</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16 离心设定时间为30秒至99分钟，可连续离心</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三、基本配置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  主机1套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固定角转，容量：30x 1.5/2.0 ml，最大转速不小于：14000rpm, 最大离心力不小于:20000x g</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  固定角转，容量：6x 15/50ml，最大转速不小于7800rpm, 最大离心力不小于:7700x g；</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四、售后服务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测试试验合格后，整机保修12个月，保修期内，若有质量问题，厂家应免费给予更换； 终身负责维护。</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技术服务和培训：卖方须到买方提供的现场免费安装调试，并进行操作试验，直到运转正常，为买方的使用操作人员提供免费的操作及维护培训。</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 生产厂家或国内一级代理商的有效产品授权。</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技术服务和培训：卖方须到买方提供的现场免费安装、调试设备，进行操作试验，直至运行正常，为仪器操作人员提供免费的操作及维护培训。</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7、全自动分子检测工作站参数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w:t>
      </w:r>
      <w:bookmarkStart w:id="108" w:name="_Hlk31832792"/>
      <w:r>
        <w:rPr>
          <w:rFonts w:hint="eastAsia" w:asciiTheme="minorEastAsia" w:hAnsiTheme="minorEastAsia" w:eastAsiaTheme="minorEastAsia" w:cstheme="minorEastAsia"/>
          <w:color w:val="auto"/>
          <w:sz w:val="24"/>
          <w:szCs w:val="24"/>
          <w:highlight w:val="none"/>
        </w:rPr>
        <w:t>全自动分子检测工作站</w:t>
      </w:r>
      <w:bookmarkEnd w:id="108"/>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一、主要用途</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适用于微生物/分子生物学实验室全自动化，可开展对病毒、细菌、细胞、动植物组分等多种样本类型中的核酸进行提取纯化，并对目标核酸序列进行荧光PCR扩增和分析。可全自动实现样本裂解、核酸提取、PCR体系构建、荧光定量PCR、结果分析等全流程分析，且可根据检测需求自定义流程，最快1.5h即可得到结果。一次提取可进行两孔独立的5通道荧光定量PCR，可同步检测DNA及RNA样本。基于全自动分子工作站可建立致病菌和病毒等的分子检测标准方法，减少人工操作，提高生物安全，可与市售大多数的荧光试剂盒兼容。</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二、工作条件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环境温度：15℃－30℃；环境相对湿度：20％－80％；电源：100/120V或者220/240V，50-60Hz。</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三、技术指标</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设备功能：为保证检测效率及检测准确性，要求在一台设备上完成样本裂解、核酸提取、PCR体系配制、荧光定量PCR及结果分析，原始样本（血液、粪便、拭子等）直接上样，中间无需样本转移及人工操作，避免污染。PCR分析利用微流体PCR进行检测，升降温速度不低于8℃/S。</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产品通量：每次运行可同时处理不少于24个标本，系统可7天24小时不间断检测。</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运行模式：同时具备多种模式，全流程IVD模式（成熟商品化试剂，所有配套试剂均为预置好的冻干粉末）、全流程科研模式（开放体系，允许第三方PCR试剂在平台上发展标准化、自动化检测方案）；核酸提取模式，可单独进行核酸抽提，得到核酸产物，可同时提取DNA及RNA；PCR模式，可单独进行PCR扩增，得到检测结果；还可进行溶解度曲线检测。</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仪器硬件：包含不少于24个独立的PCR加热元件，每道架子都能运行独立的加热程序。各架子都可以设定各自独立的PCR退火、扩增温度，可调温度范围51℃-110℃，温度精度±0.1℃。能进行波长分别为475/520,530/565,585/630,630/665,680/715的5通道多重检测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3.5污染控制，仪器可在扩增产物产生前石蜡阀门自动封住反应室，使其与外界环境隔离。检测过程中，主机舱门必须是加锁封闭的，防止检测过程中的意外打开导致实验失败。</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 仪器需通过CFDA注册认证，支持LIS连接。</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 仪器可支持多种PCR化合物，包括TaqMan 探针Scorpion/Molecular Beacon探针/分子信标，MGB探针，SYBR Green染料。</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 PCR检测过程中，可实时查看扩增曲线，检测结束后，原始荧光值数据可以以Excel的形式导出，方便后期的数据分析处理。</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 可进行相邻通道的荧光补偿参数设置。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3.10 可以在同一次运行中可进行多种分析，包含不同的标本类型和用户自定义检测程序，各分析互相独立。</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3.11允许实验室独立编程，并自动化完成用户定义的热循环和分析程序。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3.12包含2个光学读数器，每个读数器都有一个顶端行、一个底端行。</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3.13 三级管理权限：管理者权限，IT使用权限和使用者权限。</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3.14 UDP(用户自定义方法)：允许不同平台间核酸提取与荧光定量PCR方法的导入与导出。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3.15 仪器具备自检功能，如检测到错误，需及时通过报警信息给出具体提示。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3.16 仪器可通过外部扫码枪扫描PCR反应卡与样本管条码，快速录入样本及耗材信息， 并可通过内部读码器二次验证，确保整个实验流程的可追踪性，电脑屏上实时显示实验进度。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四、配置要求</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 主机系统1套 包括：用于条形码或二维码的识别器，液体转移的机械臂，加热模块，温度传感器和荧光检测系统；</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 样本上样架 4支</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 数据分析工作站1套（液晶触摸显示屏）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 启动工具包 1套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 电脑（液晶触摸显示屏）1套 打印机一套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4.6 配套试剂一套（供培训使用）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五、售后服务与培训</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5.1在用户所在地对用户进行3人次的培训，培训内容包括仪器的技术原理、操作、数据处理、基本维护等。</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5.2卖方应提供技术支持，在接到买方仪器报修通知后，在24小时内予以应答，并在48小时内进行维修，保证仪器的正常工作。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5.3设备安装、调试和验收：卖方应在合同生效后的1个月内向用户提供详细的安装要求并提供技术咨询；仪器到达用户所在地，在接到用户通知后一周内进行安装调试，直至通过验收。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5.4质保期：1年，保修期自仪器测试验收合格之日起计算。保修期间维修及零件更换费用由厂家负担。除硬件更换外终身免费上门服务，终身免费提供上门培训服务。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5.5交货地点及交货期：用户指定地点，交货期为合同签订后3个月内。</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提供生产厂家或国内一级代理商的有效产品授权。</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8、干雾过氧化氢空气消毒器参数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品目：干雾过氧化氢空气消毒器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一、工作用途</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原装进口产品，适用于生物安全实验室、层流净化室消毒灭菌，提供设备的报关单等原产地证明。</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二、技术参数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1、作用原理：文丘里效应，干雾技术为原理。</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2、产品可进行全方位无死角消毒，有喷射颗粒直径≤5μm，不发生雾状凝结，喷射速度≥80m/秒  喷射量1l/h，消毒液消耗量1ml/m³空间，处理能力：10-1000m³。</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3、产品配备高纯过氧化氢消毒剂，浓度≤10%时仍具有高效的消毒灭菌性能，消毒液无毒，无腐蚀性，消毒液过氧化氢作用浓度不超过130Ppm，以达到迅速分解和不产生腐蚀性的目的。</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4、产品的消毒效力：设备达到对枯草芽孢达到6个对数的杀灭效果。</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5、设备具备定时开关机功能，能延时启动，保证使用安全，保证人员安全撤离。6、材料兼容性：提供符合ASTM标准的材料兼容性检测报告，并提供材料兼容性测试</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7、产品体积小巧，便携，便于疫情处理现场封闭空间消毒灭菌。重量5.9kg，主机功率1千瓦，产品尺寸：49.4cm×30cm×34.2cm(长×宽×高)，便于实验室内传递窗生物安全柜的消毒处理。</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8、将来可增加电池模块，不需要电源线插座</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9、开始运行前，检查机器3米范围内没有障碍物。</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三、配置清单</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1、主机一台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2、1L消毒液2瓶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四、售后服务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1、详细的中文操作指南。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2、技术服务和培训：原厂工程师为用户提供现场免费安装、调试设备，进行操作试验，直至运行正常，为仪器操作人员提供免费的操作及维护培训。</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3、质量保证：测试验收合格后保修期1年，终生负责维修。</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9、全自动高压灭菌锅参数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全自动高压灭菌锅（进口）</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腔体容量：有效腔体容积: 50L 内部容积: 58L。</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电导法全自动低水位传感器，水位低于传感器时自动报警停机，无需从外部人工观察。海拔2000-3000米使用。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3分离式温度传感器：位于腔体中部，与加热圈分离，实时探测腔体中部实际温度。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4开盖方式: 脚踏开关，上掀盖，单手单脚，可手提灭菌篮直接操作。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5开盖防护系统，防止开盖时蒸汽释放喷溅伤人。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 标配带有2级可调风扇制冷（容器冷却风扇），135度降温到60度可缩短大约37分钟。</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7双孔平衡式压力控制系统：可做样品消解等试验，保证样品压力均匀。</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 灭菌：105℃-135℃(0.019-0.212MPa)。</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加热：45-104℃(0-0.015MPa)</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10保温：45－ 95℃。</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  最大操作压力：0.263MPa。</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  温度显示方法：数字式。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  压力显示：压力表，独立于电子系统的压力表，客观显示实际腔体内部压力。</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  加热功率：2.0 kW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  安全装置：液位传感器, 漏电保护,盖子互锁,过热保护,在超压保护, 温度传感器监测, 安全阀</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 时间显示范围：灭菌、加热1-99 小时, 1-999 分钟 (可设置: 0:01 to 9:59/10 到 99)保温：可设置1-99小时/默认设置4小时。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17温度数据，压力数据输出，监控系统。外部数据采集器连接后，温度可被记录。温度传感器和记录仪独立于灭菌器。腔内温度有可追溯性。</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 明亮指示灯设置在操作面板的上部。根据压力状态（正常压力/实际工作压力）.指示灯光颜色变化。</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 多种灭菌模式：温度设定多样化，温度设定范围可以从45℃到135℃分级设定或者设定一个温度，包括培养基保温模式，液体灭菌模式，正常灭菌，灭菌保温，加热保温等。</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20主体尺寸：410W x 477 Dx 970H（mm）。</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21自重：60kg。</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原装进口，带中华人民共和国特种设备制造许可证（压力容器。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可选配特有的生物安全灭菌盒。</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基本配置：主机一台，附件：2个不锈钢篮子(直径300 x 181mm)，1个腔体底板，4个脚轮制动器，1本操作说明书，1个文件夹（为存放操作手册），1个螺钉（为装订文件夹用），1张保修卡，1张客户卡，1张检查单。</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售后服务说明</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技术资料：详细的中文说明书和操作指南，以及仪器维护的有关资料</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质量保证：负责安装、调试及培训， 测试试验合格后，整机保修1年；如果客户需要维修，通知维修中心后，24小时内有响应，48小时内赶到现场，终身负责维护。</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10、二氧化碳培养箱参数</w:t>
      </w:r>
    </w:p>
    <w:p>
      <w:pPr>
        <w:keepNext w:val="0"/>
        <w:keepLines w:val="0"/>
        <w:pageBreakBefore w:val="0"/>
        <w:widowControl w:val="0"/>
        <w:kinsoku/>
        <w:wordWrap/>
        <w:overflowPunct/>
        <w:topLinePunct w:val="0"/>
        <w:autoSpaceDE/>
        <w:autoSpaceDN/>
        <w:bidi w:val="0"/>
        <w:adjustRightInd/>
        <w:snapToGrid w:val="0"/>
        <w:ind w:firstLine="482" w:firstLineChars="200"/>
        <w:textAlignment w:val="auto"/>
        <w:rPr>
          <w:rFonts w:hint="eastAsia" w:asciiTheme="minorEastAsia" w:hAnsiTheme="minorEastAsia" w:eastAsiaTheme="minorEastAsia" w:cstheme="minorEastAsia"/>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品目：二氧化碳培养箱</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 一、用途</w:t>
      </w:r>
    </w:p>
    <w:p>
      <w:pPr>
        <w:pStyle w:val="51"/>
        <w:keepNext w:val="0"/>
        <w:keepLines w:val="0"/>
        <w:pageBreakBefore w:val="0"/>
        <w:widowControl w:val="0"/>
        <w:kinsoku/>
        <w:wordWrap/>
        <w:overflowPunct/>
        <w:topLinePunct w:val="0"/>
        <w:autoSpaceDE/>
        <w:autoSpaceDN/>
        <w:bidi w:val="0"/>
        <w:adjustRightInd/>
        <w:snapToGrid w:val="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主要用于细胞培养。</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二、主要技术指标</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 内部容积：170升。</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2.2 产品获得中国CFDA的进口产品II类医疗器械注册证，通过CE认证、CB认证和UL认证。</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2.3 灭菌功能：具有90℃高温湿热循环灭菌，并带排气泵在灭菌后程具有干燥和冷却功能，无需人工擦拭，避免污染。</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2.4 灭菌认证：通过HPA灭菌效果认证。</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2.5 灭菌全程时间：≤15小时。</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2.6 温度控制范围（℃）：环境温度+3~60℃，温度控制精度（℃）：&lt;±0.1℃。</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2.7 内腔设计为强制空气对流，8个加热单元，6面加热模式，保证温度均一性，温度均一性&lt;±0.3℃。</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2.8 开门1min后，37℃温度恢复时间（min）：≤5min，5%浓度时CO</w:t>
      </w:r>
      <w:r>
        <w:rPr>
          <w:rFonts w:hint="eastAsia" w:asciiTheme="minorEastAsia" w:hAnsiTheme="minorEastAsia" w:eastAsiaTheme="minorEastAsia" w:cstheme="minorEastAsia"/>
          <w:bCs/>
          <w:color w:val="auto"/>
          <w:sz w:val="24"/>
          <w:szCs w:val="24"/>
          <w:highlight w:val="none"/>
          <w:vertAlign w:val="subscript"/>
        </w:rPr>
        <w:t>2</w:t>
      </w:r>
      <w:r>
        <w:rPr>
          <w:rFonts w:hint="eastAsia" w:asciiTheme="minorEastAsia" w:hAnsiTheme="minorEastAsia" w:eastAsiaTheme="minorEastAsia" w:cstheme="minorEastAsia"/>
          <w:bCs/>
          <w:color w:val="auto"/>
          <w:sz w:val="24"/>
          <w:szCs w:val="24"/>
          <w:highlight w:val="none"/>
        </w:rPr>
        <w:t>恢复时间：≤4min。</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2.9  CO2控制范围：0~20％，CO</w:t>
      </w:r>
      <w:r>
        <w:rPr>
          <w:rFonts w:hint="eastAsia" w:asciiTheme="minorEastAsia" w:hAnsiTheme="minorEastAsia" w:eastAsiaTheme="minorEastAsia" w:cstheme="minorEastAsia"/>
          <w:bCs/>
          <w:color w:val="auto"/>
          <w:sz w:val="24"/>
          <w:szCs w:val="24"/>
          <w:highlight w:val="none"/>
          <w:vertAlign w:val="subscript"/>
        </w:rPr>
        <w:t>2</w:t>
      </w:r>
      <w:r>
        <w:rPr>
          <w:rFonts w:hint="eastAsia" w:asciiTheme="minorEastAsia" w:hAnsiTheme="minorEastAsia" w:eastAsiaTheme="minorEastAsia" w:cstheme="minorEastAsia"/>
          <w:bCs/>
          <w:color w:val="auto"/>
          <w:sz w:val="24"/>
          <w:szCs w:val="24"/>
          <w:highlight w:val="none"/>
        </w:rPr>
        <w:t>控制精度：±0.1%。</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2.10 二氧化碳检测系统采用NDIR单束双波红外式二氧化碳浓度传感器，并具有CO</w:t>
      </w:r>
      <w:r>
        <w:rPr>
          <w:rFonts w:hint="eastAsia" w:asciiTheme="minorEastAsia" w:hAnsiTheme="minorEastAsia" w:eastAsiaTheme="minorEastAsia" w:cstheme="minorEastAsia"/>
          <w:bCs/>
          <w:color w:val="auto"/>
          <w:sz w:val="24"/>
          <w:szCs w:val="24"/>
          <w:highlight w:val="none"/>
          <w:vertAlign w:val="subscript"/>
        </w:rPr>
        <w:t>2</w:t>
      </w:r>
      <w:r>
        <w:rPr>
          <w:rFonts w:hint="eastAsia" w:asciiTheme="minorEastAsia" w:hAnsiTheme="minorEastAsia" w:eastAsiaTheme="minorEastAsia" w:cstheme="minorEastAsia"/>
          <w:bCs/>
          <w:color w:val="auto"/>
          <w:sz w:val="24"/>
          <w:szCs w:val="24"/>
          <w:highlight w:val="none"/>
        </w:rPr>
        <w:t>浓度自校准功能，保证CO</w:t>
      </w:r>
      <w:r>
        <w:rPr>
          <w:rFonts w:hint="eastAsia" w:asciiTheme="minorEastAsia" w:hAnsiTheme="minorEastAsia" w:eastAsiaTheme="minorEastAsia" w:cstheme="minorEastAsia"/>
          <w:bCs/>
          <w:color w:val="auto"/>
          <w:sz w:val="24"/>
          <w:szCs w:val="24"/>
          <w:highlight w:val="none"/>
          <w:vertAlign w:val="subscript"/>
        </w:rPr>
        <w:t>2</w:t>
      </w:r>
      <w:r>
        <w:rPr>
          <w:rFonts w:hint="eastAsia" w:asciiTheme="minorEastAsia" w:hAnsiTheme="minorEastAsia" w:eastAsiaTheme="minorEastAsia" w:cstheme="minorEastAsia"/>
          <w:bCs/>
          <w:color w:val="auto"/>
          <w:sz w:val="24"/>
          <w:szCs w:val="24"/>
          <w:highlight w:val="none"/>
        </w:rPr>
        <w:t>浓度的高精确性。</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2.11 标准搁板数量：4块，最大搁板数量：≥13块；搁板尺寸：465x 470mm。</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2.12 一体式不锈钢内胆，光滑内壁，大圆弧角设计，清洁无死角。</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2.13 箱体涂层：箱体外部Isocide含银离子抗菌涂层，抑制细菌、微生物在柜体表面滋生。</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2.14 箱内气体循环配备ULPA超高效空气滤器，空气洁净度达到ISO 5级洁净度水平。</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2.15 采用气流流经水盘表面设计，湿度可达到环境湿度～95%RH。</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三、基本配置</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3.1 主机</w:t>
      </w:r>
      <w:r>
        <w:rPr>
          <w:rFonts w:hint="eastAsia" w:asciiTheme="minorEastAsia" w:hAnsiTheme="minorEastAsia" w:eastAsiaTheme="minorEastAsia" w:cstheme="minorEastAsia"/>
          <w:bCs/>
          <w:color w:val="auto"/>
          <w:sz w:val="24"/>
          <w:szCs w:val="24"/>
          <w:highlight w:val="none"/>
        </w:rPr>
        <w:tab/>
      </w:r>
      <w:r>
        <w:rPr>
          <w:rFonts w:hint="eastAsia" w:asciiTheme="minorEastAsia" w:hAnsiTheme="minorEastAsia" w:eastAsiaTheme="minorEastAsia" w:cstheme="minorEastAsia"/>
          <w:bCs/>
          <w:color w:val="auto"/>
          <w:sz w:val="24"/>
          <w:szCs w:val="24"/>
          <w:highlight w:val="none"/>
        </w:rPr>
        <w:t>1 套</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3.2 隔板</w:t>
      </w:r>
      <w:r>
        <w:rPr>
          <w:rFonts w:hint="eastAsia" w:asciiTheme="minorEastAsia" w:hAnsiTheme="minorEastAsia" w:eastAsiaTheme="minorEastAsia" w:cstheme="minorEastAsia"/>
          <w:bCs/>
          <w:color w:val="auto"/>
          <w:sz w:val="24"/>
          <w:szCs w:val="24"/>
          <w:highlight w:val="none"/>
        </w:rPr>
        <w:tab/>
      </w:r>
      <w:r>
        <w:rPr>
          <w:rFonts w:hint="eastAsia" w:asciiTheme="minorEastAsia" w:hAnsiTheme="minorEastAsia" w:eastAsiaTheme="minorEastAsia" w:cstheme="minorEastAsia"/>
          <w:bCs/>
          <w:color w:val="auto"/>
          <w:sz w:val="24"/>
          <w:szCs w:val="24"/>
          <w:highlight w:val="none"/>
        </w:rPr>
        <w:t>4个</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3.3 加湿水盘</w:t>
      </w:r>
      <w:r>
        <w:rPr>
          <w:rFonts w:hint="eastAsia" w:asciiTheme="minorEastAsia" w:hAnsiTheme="minorEastAsia" w:eastAsiaTheme="minorEastAsia" w:cstheme="minorEastAsia"/>
          <w:bCs/>
          <w:color w:val="auto"/>
          <w:sz w:val="24"/>
          <w:szCs w:val="24"/>
          <w:highlight w:val="none"/>
        </w:rPr>
        <w:tab/>
      </w:r>
      <w:r>
        <w:rPr>
          <w:rFonts w:hint="eastAsia" w:asciiTheme="minorEastAsia" w:hAnsiTheme="minorEastAsia" w:eastAsiaTheme="minorEastAsia" w:cstheme="minorEastAsia"/>
          <w:bCs/>
          <w:color w:val="auto"/>
          <w:sz w:val="24"/>
          <w:szCs w:val="24"/>
          <w:highlight w:val="none"/>
        </w:rPr>
        <w:t>1个</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四、售后服务</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4.1 详细的中英文操作指南，仪器维护的有关资料及质量认证书</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4.2 质量保证：测试验收合格后1年</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11 、酶标仪参数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品名：酶标仪</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一、结构组成：</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本产品由检测系统、打印系统、显示系统、控制和处理系统和光系统组成。八个检测通道，滤光片式单色器，ARM微处理器系统，彩色触摸屏，配制外置打印机或内置打印机。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二、要求</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1.工作波长范围（nm）：400-800；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2.检测范围（A）：0.000～4.000；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3.滤光片配置：标准配置405nm、450nm、492nm、630nm，在400-800范围内最多同时配置10个滤光片；</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读板速度：5秒/96孔（单波长）；:10秒/96孔（双波长）；</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5.波长特性：仪器配置的滤光片的正确度是±2.0nm，半宽度是8nm±1nm。</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6.吸光度准确度（A）： ±0.01（当测量范围在0.000-2.000之间）；</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7.线性误差：±1.0%（当测量范围在0.000-2.000之间）；</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8.仪器的测量重复性：≤0.5%</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9.仪器的稳定性（A）：≤±0.005A；</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10.分辨率（A）：0.001。</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三、主要功能</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1.操作界面：具有开机自检功能；自动选取滤光片，振板和通讯功能，振板强度和时间可调；</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2.操作方式：仪器有触摸屏和鼠标两种操作方式；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3.仪器可以存储200个检测程序、200组定标参数和曲线及其能存储105组整板检测数据；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4.检测功能：仪器具有单波长和双波长、单孔和双孔两种检测方式选择功能；</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5.检测方法：仪器具有吸光度检测、定性检测、定量检测三种方法。</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6.打印和输出：仪器可以打印、输出以下结果：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a)仪器根据不同的检测方法可以分别打印输出吸光度值、临界值、阴阳性结果、半定量值、浓度结果、参考值判断结果、定标曲线、质控数据、L-J质控图；</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b)可以打印病人的综合报告；</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7.质控功能：</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a)仪器可以存储、查询和打印全月质控数据和质控图；</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b)室内质控功能：同时对6个项目质控，每个项目1-2个浓度，有即刻法，L-J质控图法，可进行Westgrad多规则判定；</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8.通讯功能：仪器具有RS-232通讯接口，有两种通讯协议可供用户选择；</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9.仪器具有延时检测功能；</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10.光源信号监测功能：可即时监测8通道光源信号。</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 售后服务与培训</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11.1安装、校准与试运行：应对仪器设备的质量、规格、性能、数量进行详细和全面的检查，并出具检验证明，如有缺失，应负责赔偿。</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11.2为用户培训使用仪器的工作人员。其培训内容指的是仪器设备的基本原理、安装、调试、操作使用和日常保养维修等。培训时间不少于一个工作日。</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11.3仪器设备安装后，使用正常保修期为一年。在保修期内，供货厂商在接到用户要求对所购仪器设备进行维修时，应在24小时之内给予答复，并派出维修人员在三日内到达用户现场进行维修服务，终身负责维护。</w:t>
      </w:r>
    </w:p>
    <w:p>
      <w:pPr>
        <w:keepNext w:val="0"/>
        <w:keepLines w:val="0"/>
        <w:pageBreakBefore w:val="0"/>
        <w:widowControl w:val="0"/>
        <w:kinsoku/>
        <w:wordWrap/>
        <w:overflowPunct/>
        <w:topLinePunct w:val="0"/>
        <w:autoSpaceDE/>
        <w:autoSpaceDN/>
        <w:bidi w:val="0"/>
        <w:adjustRightIn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12、洗板机参数</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技术参数：</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1.清洗排数设置：可以在1排—12排任意设置；</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2.浸泡时间可调功能：在1秒-24小时范围内可任意设置；</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3.平均注液量：酶标板中各孔之间清洗液平均注液量≤±3％；</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4.洗液残余量：洗板后酶标板中各孔洗液的平均残余量≤1ul/孔；</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5.注液量可调功能：每孔的注液量在0µl-10000µl范围内连续可调，步进10ul；</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6.洗板循环次数可调功能：1次—99次范围内设置；</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7.洗板选择：可以按照每排8孔或每排12孔的方式清洗96孔（或48孔）酶标板；</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8.储存用户程序：仪器具有预先存储程序的功能，最多可储存100个洗板程序；</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9.管路冲洗功能：仪器具有对管路冲洗的功能，冲洗时间可在0秒-600秒内设置，步进1秒；</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10.振板功能：振板时间可在0秒-600秒（10分钟）内设置，步进1秒；</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11.防溢液功能：当设置防溢液功能时，过量注入的多余洗液会自动被吸走；</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12.两点吸液功能：仪器具有两点吸液功能，两点间距可在0-255范围内设置，步进1；</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13.孔底漂洗功能：漂洗时间在0ms-600ms范围内可调，步进10ms；</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14.换液（预洗）功能：换液（预洗）时间在0秒-600秒范围内设置，步进1秒；</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15.洗板过程提示功能：洗板过程中可以显示剩余清洗次数、排数以及漂洗剩余时间；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16.洗板注液速度：一块整板（96孔）注液时间不大于45秒；</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17.适用板型：平底、V型底、U型底酶标板；</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18.单吸液功能：仪器具有单吸液（不注液）功能，吸液排数1-12排任选，吸液时间在1ms-1500ms范围内可调，进步10ms；</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19.洗液通道选择功能：仪器具有三种洗液通道和蒸馏水清洗通道可供选择；</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20.最后吸液时间可调：可以在0ms-1500ms范围内设置，步进10ms；</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21.采用国际上最先进的无正、负压技术开发的新型洗板机，避免了正负压带给您的麻烦，使您干干净净、轻轻松松地使用。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22.售后服务与培训</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22.1安装、校准与试运行：应对仪器设备的质量、规格、性能、数量进行详细和全面的检查，并出具检验证明，如有缺失，应负责赔偿。</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22.2为用户培训使用仪器的工作人员。其培训内容指的是仪器设备的基本原理、安装、调试、操作使用和日常保养维修等。培训时间不少于一个工作日。</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22.3仪器设备安装后，使用正常保修期为一年。在保修期内，供货厂商在接到用户要求对所购仪器设备进行维修时，应在24小时之内给予答复，并派出维修人员在三日内到达用户现场进行维修服务，终身负责维护。</w:t>
      </w:r>
    </w:p>
    <w:tbl>
      <w:tblPr>
        <w:tblStyle w:val="18"/>
        <w:tblW w:w="7880" w:type="dxa"/>
        <w:tblInd w:w="93" w:type="dxa"/>
        <w:tblLayout w:type="autofit"/>
        <w:tblCellMar>
          <w:top w:w="0" w:type="dxa"/>
          <w:left w:w="108" w:type="dxa"/>
          <w:bottom w:w="0" w:type="dxa"/>
          <w:right w:w="108" w:type="dxa"/>
        </w:tblCellMar>
      </w:tblPr>
      <w:tblGrid>
        <w:gridCol w:w="417"/>
        <w:gridCol w:w="3544"/>
        <w:gridCol w:w="1200"/>
        <w:gridCol w:w="1167"/>
        <w:gridCol w:w="1552"/>
      </w:tblGrid>
      <w:tr>
        <w:tblPrEx>
          <w:tblCellMar>
            <w:top w:w="0" w:type="dxa"/>
            <w:left w:w="108" w:type="dxa"/>
            <w:bottom w:w="0" w:type="dxa"/>
            <w:right w:w="108" w:type="dxa"/>
          </w:tblCellMar>
        </w:tblPrEx>
        <w:trPr>
          <w:trHeight w:val="348" w:hRule="atLeast"/>
        </w:trPr>
        <w:tc>
          <w:tcPr>
            <w:tcW w:w="7880"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实验室检验检测设备清单 包三</w:t>
            </w:r>
          </w:p>
        </w:tc>
      </w:tr>
      <w:tr>
        <w:tblPrEx>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仪器名称</w:t>
            </w:r>
          </w:p>
        </w:tc>
        <w:tc>
          <w:tcPr>
            <w:tcW w:w="12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116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155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eastAsia="zh-CN"/>
              </w:rPr>
            </w:pPr>
            <w:r>
              <w:rPr>
                <w:rFonts w:hint="eastAsia" w:asciiTheme="minorEastAsia" w:hAnsiTheme="minorEastAsia" w:eastAsiaTheme="minorEastAsia" w:cstheme="minorEastAsia"/>
                <w:b/>
                <w:bCs/>
                <w:color w:val="auto"/>
                <w:kern w:val="0"/>
                <w:sz w:val="20"/>
                <w:szCs w:val="20"/>
                <w:highlight w:val="none"/>
                <w:lang w:eastAsia="zh-CN"/>
              </w:rPr>
              <w:t>备注</w:t>
            </w:r>
          </w:p>
        </w:tc>
      </w:tr>
      <w:tr>
        <w:tblPrEx>
          <w:tblCellMar>
            <w:top w:w="0" w:type="dxa"/>
            <w:left w:w="108" w:type="dxa"/>
            <w:bottom w:w="0" w:type="dxa"/>
            <w:right w:w="108" w:type="dxa"/>
          </w:tblCellMar>
        </w:tblPrEx>
        <w:trPr>
          <w:trHeight w:val="588" w:hRule="atLeast"/>
        </w:trPr>
        <w:tc>
          <w:tcPr>
            <w:tcW w:w="41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液相色谱质谱仪</w:t>
            </w:r>
          </w:p>
        </w:tc>
        <w:tc>
          <w:tcPr>
            <w:tcW w:w="120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1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55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1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全自动在线消解碘元素分析仪</w:t>
            </w:r>
          </w:p>
        </w:tc>
        <w:tc>
          <w:tcPr>
            <w:tcW w:w="120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1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55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国产</w:t>
            </w:r>
          </w:p>
        </w:tc>
      </w:tr>
      <w:tr>
        <w:tblPrEx>
          <w:tblCellMar>
            <w:top w:w="0" w:type="dxa"/>
            <w:left w:w="108" w:type="dxa"/>
            <w:bottom w:w="0" w:type="dxa"/>
            <w:right w:w="108" w:type="dxa"/>
          </w:tblCellMar>
        </w:tblPrEx>
        <w:trPr>
          <w:trHeight w:val="312" w:hRule="atLeast"/>
        </w:trPr>
        <w:tc>
          <w:tcPr>
            <w:tcW w:w="41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111位顶空进样器</w:t>
            </w:r>
          </w:p>
        </w:tc>
        <w:tc>
          <w:tcPr>
            <w:tcW w:w="120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1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55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国产</w:t>
            </w:r>
          </w:p>
        </w:tc>
      </w:tr>
    </w:tbl>
    <w:p>
      <w:pPr>
        <w:keepNext w:val="0"/>
        <w:keepLines w:val="0"/>
        <w:pageBreakBefore w:val="0"/>
        <w:widowControl w:val="0"/>
        <w:kinsoku/>
        <w:wordWrap/>
        <w:overflowPunct/>
        <w:topLinePunct w:val="0"/>
        <w:autoSpaceDE/>
        <w:autoSpaceDN/>
        <w:bidi w:val="0"/>
        <w:adjustRightInd/>
        <w:ind w:firstLine="482" w:firstLineChars="200"/>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1、液相色谱质谱仪参数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品目：</w:t>
      </w:r>
      <w:r>
        <w:rPr>
          <w:rFonts w:hint="eastAsia" w:asciiTheme="minorEastAsia" w:hAnsiTheme="minorEastAsia" w:eastAsiaTheme="minorEastAsia" w:cstheme="minorEastAsia"/>
          <w:b w:val="0"/>
          <w:bCs/>
          <w:color w:val="auto"/>
          <w:sz w:val="24"/>
          <w:szCs w:val="24"/>
          <w:highlight w:val="none"/>
        </w:rPr>
        <w:t>超高效液相色谱-三重四极杆质谱联用仪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 工作条件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1.1 电源：220V，50Hz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1.2 操作环境 15˚C-28˚C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1.3 湿度：20-80%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2.技术参数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 基本要求：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  LC-MS/MS系统组成：超高效液相色谱、三重四极杆质谱检测器等主要组成部分，要求由同一厂家生产，且厂家有15年以上三重四极杆液质产品生产经验，以保证整套设备的兼容性与成熟性。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2.1.2离子源：配置复合离子源（同时具备电喷雾离子源和大气压化学电离源的功能），单次进样可同时自动完成ESI与APCI模式的极性切换。须提供厂家英文官方原版指标及应用证明文件，并加盖仪器制造商公章。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2.1.3可自动进行 MS 和 MS/MS 切换。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2.1.4 质量范围：最小质量范围≤5amu；最大质量范围≥2,000amu 须提供厂家英文官方原版指标及应用证明文件，并加盖仪器制造商公章。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2.1.5 分辨率：≥2.5M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2.1.6质量数稳定性: ≤0.1Da /24Hr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2.1.7 灵敏度：1pg利血平柱上进样，原始数据或无平滑数据，大气压电喷雾源，正离子， 信噪比≥150000:1 （m/z609-195）；重现性RSD&lt;5%(n≧6)  (须提供投标同型号仪器实验检测文件，并加盖仪器制造商公章)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2.1.8  极性切换</w:t>
      </w:r>
      <w:bookmarkStart w:id="109" w:name="_Hlk513478098"/>
      <w:r>
        <w:rPr>
          <w:rFonts w:hint="eastAsia" w:asciiTheme="minorEastAsia" w:hAnsiTheme="minorEastAsia" w:eastAsiaTheme="minorEastAsia" w:cstheme="minorEastAsia"/>
          <w:color w:val="auto"/>
          <w:sz w:val="24"/>
          <w:szCs w:val="24"/>
          <w:highlight w:val="none"/>
        </w:rPr>
        <w:t>：须提供厂家英文官方原版指标及应用证明文件，并加盖仪器制造商公章</w:t>
      </w:r>
      <w:bookmarkEnd w:id="10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2.1.8.1 单次进样中涵盖所有正负离子化合物测试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2.1.8.2 正负极性切换时间≤20 ms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2.1.9  MS到MS/MS切换时间：＜5 ms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2.1.10 MRM最短驻留时间: 1 ms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2.1.11 MRM通道间交叉污染小于0.01%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2.1.12 一次MRM离子采集对数&gt;14500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2.1.13扫描速率：≥18000amu/s  ,须提供厂家英文官方原版指标及应用证明文件，并加盖仪器制造商公章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2.1.14线性范围：4x10</w:t>
      </w:r>
      <w:r>
        <w:rPr>
          <w:rFonts w:hint="eastAsia" w:asciiTheme="minorEastAsia" w:hAnsiTheme="minorEastAsia" w:eastAsiaTheme="minorEastAsia" w:cstheme="minorEastAsia"/>
          <w:color w:val="auto"/>
          <w:sz w:val="24"/>
          <w:szCs w:val="24"/>
          <w:highlight w:val="none"/>
          <w:vertAlign w:val="superscript"/>
        </w:rPr>
        <w:t>6</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2.1.15 定量功能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2.1.15.1双重扫描MRM模式：一针进样同时得到MRM和Full Scan数据，用于评估检测过程中的样品背景基质情况，避免假阴性的产生。须提供一针进样同时得到甲胺磷、灭多威、乙酰甲胺磷、去乙基阿特拉津、去乙基西马嗪、绿麦隆、 单宁、阿特拉津、甲氧隆、布洛芬等≥20化合物的特征MRM和Full Scan（50-550Da）数据证明文件。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2.1.15.2切换时间＜5 ms</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2.1.16子离子确定功能: 一针进样同时得到MRM和子离子全扫描数据，用于评估检测过程中的样品基质干扰情况，自动同标准品二级全扫描谱图实现比对、确证，在定量分析的同时实现定性功能，避免复杂痕量样品假阳性的产生。须提供应用证明文件，并加盖生产厂家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2.1.17待机和维护过程时，不消耗氮气，作为验收指标之一。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2.1.17.1 待机过程不消耗氮气。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2.1.17.2 离子源日常维护(清洗离子导入接口)无需卸真空，减少宕机时间。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离子源及真空系统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2.2.1 离子源传输结构：锥孔结构，而无毛细管及离子传输管（半径&lt;2mm）设计装置。提供结构图证明，并加盖仪器制造商公章。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2.2.2离子源具有控温区域，脱溶剂气温度设置≥640℃，须提供控温区域温度设置截图证明文件，加盖仪器制造商公章，并作为验收指标。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 电喷雾源/大气压化学源正负离子四通道切换时间&lt;25ms 须提供厂家应用证明文件，并加盖生产厂家公章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2.2.4 离子源扩展性：满足不同样品基质中各种化合物的分析需求，可扩展离子源种类≥5。可扩展类型包含大气压化学电离源-做低极性化合物；</w:t>
      </w:r>
      <w:bookmarkStart w:id="110" w:name="_Hlk42815866"/>
      <w:r>
        <w:rPr>
          <w:rFonts w:hint="eastAsia" w:asciiTheme="minorEastAsia" w:hAnsiTheme="minorEastAsia" w:eastAsiaTheme="minorEastAsia" w:cstheme="minorEastAsia"/>
          <w:color w:val="auto"/>
          <w:sz w:val="24"/>
          <w:szCs w:val="24"/>
          <w:highlight w:val="none"/>
        </w:rPr>
        <w:t>气相大气压化学电离源</w:t>
      </w:r>
      <w:bookmarkEnd w:id="110"/>
      <w:r>
        <w:rPr>
          <w:rFonts w:hint="eastAsia" w:asciiTheme="minorEastAsia" w:hAnsiTheme="minorEastAsia" w:eastAsiaTheme="minorEastAsia" w:cstheme="minorEastAsia"/>
          <w:color w:val="auto"/>
          <w:sz w:val="24"/>
          <w:szCs w:val="24"/>
          <w:highlight w:val="none"/>
        </w:rPr>
        <w:t>-做二噁英、溴代阻燃剂；大气压固体分析电离源-做固体和半固体样品的直接进样分析；微流离子源-极少量珍贵样品的分析；增强型电喷雾电离源-提升离子化效率；纳升级电喷雾电离源-多肽和蛋白的分析；实时直接分析离子源-液体、固体、半固体样品的直接进样分析。须至少提供气相大气压化学电离源及大气压固体分析电离源的相关应用文献作为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2.2.5离子传输单元：可独立加热控温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2.2.6 真空系统: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2.2.6.1真空系统构成：一个机械泵加一个涡轮分子泵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2.2.6.2抽真空时间：≦5小时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2.2.6.3真空度：10-5mbar</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2.2.6.4 质谱真空保护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2.2.6.4.1离子源和质谱间有隔断阀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2.2.6.4.2具停电故障自动保护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碰撞池：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2.3.1碰撞方式：气体碰撞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2.3.2加速方式：直流电压加速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2.3.3结构设计：片状透镜组或180度弯曲结构。提供结构图证明文件，并加盖仪器制造商公章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质量分析器: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2.4.1由一级、二级四极杆和碰撞池组成的三重四极杆质量分析器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2.4.2 带有前后预四极杆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 检测器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2.5.1采用光电倍增器或电子倍增器。若为电子倍增器，由于其一般只有2-3年使用寿命，需共配置5套电子倍增器，以满足10年的使用寿命。须提供检测器结构示意图证明检测器的类型，加盖仪器制造商公章。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2.5.2检测器质保期最少为10年，须提供制造厂商针对检测器的售后服务承诺书，加盖仪器制造商公章。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2.6 氮气发生器(原装进口)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2.6.1 氮气：35 L/min @ 6.9 bar / 1.13 CFM @ 100 psi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2.6.2 最小/最大工作温度：5ºC - 35ºC / 41ºF - 95ºF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2.6.3 最大相对湿度：80% 非冷凝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2.6.4 颗粒：&lt; 0.01µm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 软件：用于控制液质联用系统，包括色谱检测器的软件和相应接口，LC-MS/MS 的仪器调节、数据采集、数据处理、分析和报告。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2.7.1仪器参数的检测及校正功能：系统参数的检测及其预警；自动调谐参数（质谱分辨率、质谱校准、离子源优化）；自动生成SIR/MRM方法等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2.7.2目标化合物分析软件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2.7.3符合法规的定量软件，实现自动MRM离子丰度比确认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2.7.4 方法数据库：提供1500种以上食品安全残留检测等方法，并具有自建立数据库功能和谱库快速检索功能。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2.7.5 硬件要求：i7以上处理器，16G 内存，1T以上硬盘，21 寸液晶显示屏，DVD-RW，激光快速打印机。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2.8 超高效液相技术指标：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 色谱泵</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2.8.1.1 高压泵结构：双压力传感器，数控直线驱动色谱单泵。双压力传感器能够准确的监控泵系统的压力，并对泵做出相应调整，保证流量精度的重复性和稳定性。（需在投标文件中提供泵结构示意图予以证明并加盖仪器制造商公章，并标明双压力传感器示意图位置和真实位置）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2.8.1.2 泵输出压力：≥20000 psi</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2.8.1.3 泵驱动马达：≥2 </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2.8.1.4 柱塞杆与马达联接方式：刚性直连</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2.8.1.5压力传感器数量：≥2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2.8.1.6溶剂通道：最多可升级至9路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2.8.1.7 真空脱气:五通道在线真空脱气机</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2.8.1.8 柱塞清洗：自动，可编程</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2.8.1.9 流量：最小流量范围≥0.0100，最大流量范围≤2.000mL/min，以 0.001mL/min 为增量 </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2.8.1.11最大操作压力：14,800psi</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2.8.1.12 流量精度：+/-0.02min SD，（全流速范围内），不随反压变化</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2.8.1.13 流速准确度：±1.0% </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2.8.1.14 溶剂混合梯度模式：线性、步进、凹线、凸线四种类型</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2.8.1.15 梯度准确度：± 0.5%，不随反压变化</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2.8.1.16 梯度精度：±0.15%RSD，不随反压变化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 自动进样器系统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2.8.2.1密封在线针进样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2.8.2.2进样器工作方式: 针动</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2.8.2.3进样模式：非定量环，任意体积直接注射进样</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2.8.2.4样品盘：≥90 位 </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2.8.2.5 进样精度：&lt;0.3%RSD</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2.8.2.6 样品交叉污染度：&lt;0.001% </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2.8.2.7进样体积：0.1-50μL，以 0.1μL 为增量</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xml:space="preserve">2.8.2.8 进样线性度：&gt;0.999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2.8.2.9 自动进样循环时间：&lt;30 秒</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2.8.2.10温度范围：4℃-40℃，增量：0.1℃</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2.8.3 柱温箱 及色谱柱</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2.8.3.1 温度范围：室温以上 5℃-90℃，增量：0.1℃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2.8.3.2 加热方式:低体积柱加热器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2.8.3.3 预热方式：主动式溶剂预热器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2.8.3.4 色谱柱颗粒度：≤1.7μm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2.8.3.5 扩展性：色谱柱与柱温箱上带有使用信息记录装置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 配置：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2.9.1 三重四极杆质谱主机配置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2.9.1.1 机械泵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2.9.1.2 离子源：ESI/APCI的复合离子源；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2.9.1.3三重四极杆质量分析器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2.9.1.4真空系统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2.9.1.5碰撞室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2.9.1.6光电倍增检测器1套或电子倍增检测器5套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2.9.1.7氮气发生器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2.9.2 超高效液相主机配置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2.9.2.1 超高效液相色谱高压泵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2.9.2.2 在线脱气机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2.9.2.3 自动进样器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2.9.2.4 柱温箱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2.9.2.5色谱柱 2 根（1.7μm）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2.9.3 软件：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2.9.3.1 系统控制软件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2.9.3.2目标化合物分析软件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2.9.3.3定量分析软件：可进行自动MRM离子丰度比确认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2.9.3.4方法数据库</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3.技术资料</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仪器操作手册（中、英文） ；维护手册(中、英文)等资料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保修期后，保证长期供应零备件和正常的售后服务. 在国内的技术服务中心（包括维修中心）或消耗品代理商应当提供所有的服务,包括备用零配件及消耗品。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安装验收期间，免费对用户进行仪器的基本操作和日常维护的现场培训，内容包括仪器原理，使用方法和维护方法等。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针对本项目生产厂商需要根据用户要求分批次安排仪器安装调试工程进行仪器的安装和使用培训，再次安排仪器应用工程师配合用户需求完成仪器应用方法的完全实现。在后期还需要根据用户要求安排4人次为期一周的北京、上海、广州（三地任选其一）分析中心的仪器维护应用学习培训，学习培训以及食宿全部免费。</w:t>
      </w:r>
    </w:p>
    <w:p>
      <w:pPr>
        <w:keepNext w:val="0"/>
        <w:keepLines w:val="0"/>
        <w:pageBreakBefore w:val="0"/>
        <w:widowControl w:val="0"/>
        <w:kinsoku/>
        <w:wordWrap/>
        <w:overflowPunct/>
        <w:topLinePunct w:val="0"/>
        <w:autoSpaceDE/>
        <w:autoSpaceDN/>
        <w:bidi w:val="0"/>
        <w:adjustRightInd/>
        <w:snapToGrid/>
        <w:spacing w:line="240" w:lineRule="auto"/>
        <w:ind w:left="480" w:leftChars="20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 质保期：验收合格后，质量保证期一年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 故障服务：仪器设备出现故障时，供货方得到通知 3 日内派维修人员到达用户现场维修。</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4.3技术资料：免费提供该设备全套技术资料。</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4.4 验收：仪器设备到达最终用户后，由用户提供验收条件，供应商应即时派维修人员前往验收。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Theme="minorEastAsia" w:hAnsiTheme="minorEastAsia" w:eastAsiaTheme="minorEastAsia" w:cstheme="minorEastAsia"/>
          <w:b/>
          <w:bCs/>
          <w:color w:val="auto"/>
          <w:sz w:val="24"/>
          <w:szCs w:val="24"/>
          <w:highlight w:val="none"/>
        </w:rPr>
      </w:pPr>
      <w:r>
        <w:rPr>
          <w:rFonts w:hint="eastAsia" w:ascii="仿宋" w:hAnsi="仿宋" w:eastAsia="仿宋" w:cs="仿宋"/>
          <w:color w:val="auto"/>
          <w:sz w:val="28"/>
          <w:szCs w:val="28"/>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2、全自动在线消解碘元素分析仪技术参数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品目：全自动在线消解碘元素分析仪</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功能与原理</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1.1功能：全自动在线消解尿碘分析（消解与测定在线进行，不用手动转移样品），可以检测尿中的碘元素含量。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1.2测试原理：尿碘检测严格按照国家卫生行业标准方法《W S/T 107.1-2016 尿中碘的测定 第1部分砷铈催化分光光度法》要求的步骤进行检测，可实现向样品中自动添加试剂，1mL过硫酸铵进行消解，消解完成后自动加入2.5mL亚砷酸，连续地间隔30s添加硫酸铈铵（低浓度0.3mL，高浓度0.5mL），自动混匀，待反应结束后导入光度计检测并分析数据。（投标人必须提供所投产品符合国标方法的仪器实验动作细节包括试剂添加量，并附实验流程细节示意图，供评委评估是否符合国标，也作为采购人验收的依据之一）</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工作环境与条件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环境温度：20-35℃</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相对湿度：20-85%</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电源供应：200-240V (AC)</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主要技术参数及要求</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在线流通式比色皿分析技术</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 自动吸取样品到光度计，直接读取样品的吸光度。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3.1.2 采用流通式比色皿技术，体积小，清洗方便；所有样品都只经过一个比色皿避免了不同比色皿之间差异所带来的系统误差。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3.1.2 两个独立光度计，每个光度计为单波长，灵敏度高，稳定。</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3.1.3 LED光源。</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3.1.4 吸光度范围：0-4，吸光度分辨率：0.00001。</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3.1.5尿碘检测范围：可检测最小值≤2μg/L，可检测最大值1200μg/L。</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3.1.6线性范围：≥0.999。</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3.1.7相对标准偏差：RSD(低浓度)≤3%,，RSD(高浓度)≤2%。</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3.1.8准确度：低浓度±1.8%，高浓度±1.2%。</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样品盘和试剂位</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3.2.2超级恒温水浴锅：温度控制+/- 0.3度。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3.2.3 恒温消解装置，孔间温差≤1℃。</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3.2.3 样品管：16mm*150mm规格的玻璃试管。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3.2.4 试剂瓶：棕色500mL玻璃试剂瓶。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3.2.5 仪器一次性可以同时摆放120个样品。</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3.2.6 可在线搅拌、混合。</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清洗站</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3.3.1 自动清洗取样针，使用新鲜纯水清洗。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3.3.2 检测不同样品之间，自动清洗管路，避免交叉污染。</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3.3.3 实验结束后，根据预设程序一键清洗仪器。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软件控制与数据输出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3.4.1 采用PC软件控制，使用人员只需要摆放样品，并勾选测试项目，即可一键运行。</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3.4.2 自动拟合工作曲线计算结果。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3.4.3 在线消解与测试无缝连接，无需转移样品，可实现全程无人值守。</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3.4.4 内置调试软件，自动校准取样针、加液口位置。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3.4.5 数据表格可直接连接打印机打印。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主要配置要求：</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1.PC主机1台 （包括  高精度注射泵×2、蠕动泵×3 、高精度光度计、三轴机械臂、独立的取样针、120位样品盘、自动恒温消解装置、超级恒温水浴、自动加水排水系统、低残留清洗位均与主机一体）</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2.200根16mm*150mm样品管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3.塑料储水桶（2个，15L）、</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4.纯水桶（1个，10L）</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5.低浓度试剂盒 流酸铵、亚砷酸、硫酸铈铵4盒（0-300ug/L，1盒可做样80支）</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6.迪分德专用数据分析软件 1套</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7.配套电脑、打印机各1台（选配）</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5.售后服务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 安装：仪器到达后，仪器制造厂商应在一周内（或在商定的时间）派遣专职工程师到达现场，在使用方技术人员在场的情况下开箱清点货物，进行安装、调试。仪器技术指标经验收合格，附验收报告，并承担所有发生的费用。由用户签字确认验收合格。</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 培训：安装验收期间，在用户所在地对用户进行仪器的基本操作和日常维护的现场培训，内容包括仪器原理，使用方法和维护方法等。</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 仪器出现故障，需要协助用户在48小时内排除故障，如在48小时内无法排除故障，可在48小时内提供备用机。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 4测试培训验收合格后，质保期：1年</w:t>
      </w:r>
    </w:p>
    <w:p>
      <w:pPr>
        <w:keepNext w:val="0"/>
        <w:keepLines w:val="0"/>
        <w:pageBreakBefore w:val="0"/>
        <w:widowControl w:val="0"/>
        <w:kinsoku/>
        <w:wordWrap/>
        <w:overflowPunct/>
        <w:topLinePunct w:val="0"/>
        <w:autoSpaceDE/>
        <w:autoSpaceDN/>
        <w:bidi w:val="0"/>
        <w:adjustRightInd/>
        <w:ind w:firstLine="482" w:firstLineChars="200"/>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3、111位顶空进样器参数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品名：12位顶空进样器升级为111位顶空进样器；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一、升级后参数指标：</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1、样品容量：样品盘：可容纳111个样品瓶，和12个的加热位炉，在整个平衡时间里对每个样品进行精确温度控制。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2、样品瓶：标准的钳口或螺纹口的10ml,20ml或22ml样品瓶，不需要的适配器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3、操作模式：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3.1方法开发模式，增加下列任何一个参数用于优化顶空平衡：平衡时间、加热炉温度、或样品瓶摇动。</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恒定加热时间(CHT)模式,可使12个样品瓶重叠进样，在最短的时间内获得最大的样品通量</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多次顶空萃取(MHE)模式, 可进行多次穿刺萃取，每瓶高达 100 次萃取,适用于方法开发和确认,或用于特殊基质中的样品分析</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3.4多次顶空萃取浓缩(MHC)模式,可对每一样品瓶中的样品连续100次萃取,提高灵敏度</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4、加热区：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4.1加热区温度:环境温度+5℃-300℃，以1℃递增；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4.2定量环/阀的温度：环境温度+5℃-300℃；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4.3传输线温度：环境温度+5℃-300℃；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4.4进样通道：从进样针到传输线无活性的惰性进样通道；</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5、气路控制：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5.1电子气路控制（EPC）气压和室温变化补偿功能为其标准特性压力设定点可以调节的增量为0.001 psi；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 流量的设定点可调节的增量为0.01 mL/min，在0.0 到200 mL/min之间的控制精度为±0.01；</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 压力传感器准确度：＜±2%全量程，重复性＜±0.05psi，温度系数＜±0.01psi/℃，漂移＜±0.1psi/6个月；</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6、面积重复性:&lt;1% RSD；</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 、时间控制：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7.1样品平衡时间从0-999.990min,增量为0.001 min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7.2进样持续时间从0到999.990min，增量为0.001 min ；</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8、系统控制: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 控制软件通过LAN 接口进行连接并可通过GC 和MSD 数据系统进行综合控制: 顶空参数通过配置和方法对话框进行控制系统的实际状态与GC 和GC/MS状态联合显示。</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8.2强大的仪器时序参数控制功能；</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9、环境条件：</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 操作温度：10℃到40℃；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9.2 储存温度：-40℃到70℃；</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9.3 湿度：5%到95%（不冷凝）；</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4、配置</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4.1升级后111位顶空进样器1台；</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二、售后服务</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安装：仪器到达后，仪器制造厂商应在一周内（或在商定的时间）派遣专职工程师到达现场，在使用方技术人员在场的情况下开箱清点货物，进行安装、调试。仪器技术指标经验收合格，附验收报告，并承担所有发生的费用。由用户签字确认验收合格。</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2、培训：安装验收期间，在用户所在地对用户进行仪器的基本操作和日常维护的现场培训，内容包括仪器原理，使用方法和维护方法等。</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3、仪器出现故障，需要协助用户在48小时内排除故障，如在48小时内无法排除故障。</w:t>
      </w:r>
    </w:p>
    <w:p>
      <w:pPr>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4、测试培训验收合格后，质保期：1年</w:t>
      </w:r>
    </w:p>
    <w:tbl>
      <w:tblPr>
        <w:tblStyle w:val="18"/>
        <w:tblW w:w="4998" w:type="pct"/>
        <w:tblInd w:w="0" w:type="dxa"/>
        <w:tblLayout w:type="autofit"/>
        <w:tblCellMar>
          <w:top w:w="0" w:type="dxa"/>
          <w:left w:w="108" w:type="dxa"/>
          <w:bottom w:w="0" w:type="dxa"/>
          <w:right w:w="108" w:type="dxa"/>
        </w:tblCellMar>
      </w:tblPr>
      <w:tblGrid>
        <w:gridCol w:w="417"/>
        <w:gridCol w:w="3620"/>
        <w:gridCol w:w="1032"/>
        <w:gridCol w:w="1503"/>
        <w:gridCol w:w="1884"/>
      </w:tblGrid>
      <w:tr>
        <w:tblPrEx>
          <w:tblCellMar>
            <w:top w:w="0" w:type="dxa"/>
            <w:left w:w="108" w:type="dxa"/>
            <w:bottom w:w="0" w:type="dxa"/>
            <w:right w:w="108" w:type="dxa"/>
          </w:tblCellMar>
        </w:tblPrEx>
        <w:trPr>
          <w:trHeight w:val="348"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实验室检验检测设备清单 包四</w:t>
            </w:r>
          </w:p>
        </w:tc>
      </w:tr>
      <w:tr>
        <w:tblPrEx>
          <w:tblCellMar>
            <w:top w:w="0" w:type="dxa"/>
            <w:left w:w="108" w:type="dxa"/>
            <w:bottom w:w="0" w:type="dxa"/>
            <w:right w:w="108" w:type="dxa"/>
          </w:tblCellMar>
        </w:tblPrEx>
        <w:trPr>
          <w:trHeight w:val="480"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214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仪器名称</w:t>
            </w:r>
          </w:p>
        </w:tc>
        <w:tc>
          <w:tcPr>
            <w:tcW w:w="61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88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111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eastAsia="zh-CN"/>
              </w:rPr>
            </w:pPr>
            <w:r>
              <w:rPr>
                <w:rFonts w:hint="eastAsia" w:asciiTheme="minorEastAsia" w:hAnsiTheme="minorEastAsia" w:eastAsiaTheme="minorEastAsia" w:cstheme="minorEastAsia"/>
                <w:b/>
                <w:bCs/>
                <w:color w:val="auto"/>
                <w:kern w:val="0"/>
                <w:sz w:val="20"/>
                <w:szCs w:val="20"/>
                <w:highlight w:val="none"/>
                <w:lang w:eastAsia="zh-CN"/>
              </w:rPr>
              <w:t>备注</w:t>
            </w:r>
          </w:p>
        </w:tc>
      </w:tr>
      <w:tr>
        <w:tblPrEx>
          <w:tblCellMar>
            <w:top w:w="0" w:type="dxa"/>
            <w:left w:w="108" w:type="dxa"/>
            <w:bottom w:w="0" w:type="dxa"/>
            <w:right w:w="108" w:type="dxa"/>
          </w:tblCellMar>
        </w:tblPrEx>
        <w:trPr>
          <w:trHeight w:val="528"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w:t>
            </w:r>
          </w:p>
        </w:tc>
        <w:tc>
          <w:tcPr>
            <w:tcW w:w="214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气相色谱质谱联用仪</w:t>
            </w:r>
          </w:p>
        </w:tc>
        <w:tc>
          <w:tcPr>
            <w:tcW w:w="6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88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11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w:t>
            </w:r>
          </w:p>
        </w:tc>
        <w:tc>
          <w:tcPr>
            <w:tcW w:w="214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机器人全自动电位滴定仪</w:t>
            </w:r>
          </w:p>
        </w:tc>
        <w:tc>
          <w:tcPr>
            <w:tcW w:w="6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88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11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w:t>
            </w:r>
          </w:p>
        </w:tc>
        <w:tc>
          <w:tcPr>
            <w:tcW w:w="214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全自动高锰酸盐指数分析仪</w:t>
            </w:r>
          </w:p>
        </w:tc>
        <w:tc>
          <w:tcPr>
            <w:tcW w:w="6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88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11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国产</w:t>
            </w:r>
          </w:p>
        </w:tc>
      </w:tr>
      <w:tr>
        <w:tblPrEx>
          <w:tblCellMar>
            <w:top w:w="0" w:type="dxa"/>
            <w:left w:w="108" w:type="dxa"/>
            <w:bottom w:w="0" w:type="dxa"/>
            <w:right w:w="108" w:type="dxa"/>
          </w:tblCellMar>
        </w:tblPrEx>
        <w:trPr>
          <w:trHeight w:val="312"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w:t>
            </w:r>
          </w:p>
        </w:tc>
        <w:tc>
          <w:tcPr>
            <w:tcW w:w="214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多功能大容量冷冻离心机</w:t>
            </w:r>
          </w:p>
        </w:tc>
        <w:tc>
          <w:tcPr>
            <w:tcW w:w="6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88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11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24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5</w:t>
            </w:r>
          </w:p>
        </w:tc>
        <w:tc>
          <w:tcPr>
            <w:tcW w:w="2141"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恒温混匀仪</w:t>
            </w:r>
          </w:p>
        </w:tc>
        <w:tc>
          <w:tcPr>
            <w:tcW w:w="6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88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111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bl>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1、气相色谱质谱联用仪参数</w:t>
      </w:r>
    </w:p>
    <w:p>
      <w:pPr>
        <w:keepNext w:val="0"/>
        <w:keepLines w:val="0"/>
        <w:pageBreakBefore w:val="0"/>
        <w:kinsoku/>
        <w:wordWrap/>
        <w:topLinePunct w:val="0"/>
        <w:bidi w:val="0"/>
        <w:snapToGrid/>
        <w:spacing w:line="240" w:lineRule="auto"/>
        <w:ind w:firstLine="480" w:firstLineChars="200"/>
        <w:jc w:val="both"/>
        <w:rPr>
          <w:rFonts w:ascii="宋体" w:hAnsi="宋体" w:cs="宋体"/>
          <w:b/>
          <w:bCs/>
          <w:color w:val="auto"/>
          <w:sz w:val="24"/>
          <w:szCs w:val="24"/>
          <w:highlight w:val="none"/>
        </w:rPr>
      </w:pPr>
      <w:r>
        <w:rPr>
          <w:rFonts w:hint="eastAsia" w:asciiTheme="minorEastAsia" w:hAnsiTheme="minorEastAsia" w:eastAsiaTheme="minorEastAsia" w:cstheme="minorEastAsia"/>
          <w:color w:val="auto"/>
          <w:sz w:val="24"/>
          <w:szCs w:val="24"/>
          <w:highlight w:val="none"/>
        </w:rPr>
        <w:t>品目：</w:t>
      </w:r>
      <w:r>
        <w:rPr>
          <w:rFonts w:hint="eastAsia" w:ascii="宋体" w:hAnsi="宋体" w:cs="宋体"/>
          <w:b/>
          <w:bCs/>
          <w:color w:val="auto"/>
          <w:sz w:val="24"/>
          <w:szCs w:val="24"/>
          <w:highlight w:val="none"/>
        </w:rPr>
        <w:t>三重串联四极杆气质联用仪性能指标</w:t>
      </w:r>
    </w:p>
    <w:p>
      <w:pPr>
        <w:keepNext w:val="0"/>
        <w:keepLines w:val="0"/>
        <w:pageBreakBefore w:val="0"/>
        <w:kinsoku/>
        <w:wordWrap/>
        <w:topLinePunct w:val="0"/>
        <w:bidi w:val="0"/>
        <w:snapToGrid/>
        <w:spacing w:before="156" w:beforeLines="50" w:line="24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一、具体用途： 用于农残分析检测；</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二、技术规格和性能要求</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工作条件</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w:t>
      </w:r>
      <w:r>
        <w:rPr>
          <w:rFonts w:ascii="宋体" w:hAnsi="宋体" w:cs="宋体"/>
          <w:color w:val="auto"/>
          <w:sz w:val="24"/>
          <w:szCs w:val="24"/>
          <w:highlight w:val="none"/>
        </w:rPr>
        <w:t>电源:220V，50Hz</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w:t>
      </w:r>
      <w:r>
        <w:rPr>
          <w:rFonts w:ascii="宋体" w:hAnsi="宋体" w:cs="宋体"/>
          <w:color w:val="auto"/>
          <w:sz w:val="24"/>
          <w:szCs w:val="24"/>
          <w:highlight w:val="none"/>
        </w:rPr>
        <w:t>温度:操作环境</w:t>
      </w:r>
      <w:r>
        <w:rPr>
          <w:rFonts w:hint="eastAsia" w:ascii="宋体" w:hAnsi="宋体" w:cs="宋体"/>
          <w:color w:val="auto"/>
          <w:sz w:val="24"/>
          <w:szCs w:val="24"/>
          <w:highlight w:val="none"/>
        </w:rPr>
        <w:t>20</w:t>
      </w:r>
      <w:r>
        <w:rPr>
          <w:rFonts w:hint="eastAsia" w:ascii="微软雅黑" w:hAnsi="微软雅黑" w:eastAsia="微软雅黑" w:cs="微软雅黑"/>
          <w:color w:val="auto"/>
          <w:sz w:val="24"/>
          <w:szCs w:val="24"/>
          <w:highlight w:val="none"/>
        </w:rPr>
        <w:t>˚</w:t>
      </w:r>
      <w:r>
        <w:rPr>
          <w:rFonts w:hint="eastAsia" w:ascii="宋体" w:hAnsi="宋体" w:cs="宋体"/>
          <w:color w:val="auto"/>
          <w:sz w:val="24"/>
          <w:szCs w:val="24"/>
          <w:highlight w:val="none"/>
        </w:rPr>
        <w:t>C</w:t>
      </w:r>
      <w:r>
        <w:rPr>
          <w:rFonts w:ascii="宋体" w:hAnsi="宋体" w:cs="宋体"/>
          <w:color w:val="auto"/>
          <w:sz w:val="24"/>
          <w:szCs w:val="24"/>
          <w:highlight w:val="none"/>
        </w:rPr>
        <w:t xml:space="preserve"> -35</w:t>
      </w:r>
      <w:r>
        <w:rPr>
          <w:rFonts w:hint="eastAsia" w:ascii="微软雅黑" w:hAnsi="微软雅黑" w:eastAsia="微软雅黑" w:cs="微软雅黑"/>
          <w:color w:val="auto"/>
          <w:sz w:val="24"/>
          <w:szCs w:val="24"/>
          <w:highlight w:val="none"/>
        </w:rPr>
        <w:t>˚</w:t>
      </w:r>
      <w:r>
        <w:rPr>
          <w:rFonts w:hint="eastAsia" w:ascii="宋体" w:hAnsi="宋体" w:cs="宋体"/>
          <w:color w:val="auto"/>
          <w:sz w:val="24"/>
          <w:szCs w:val="24"/>
          <w:highlight w:val="none"/>
        </w:rPr>
        <w:t>C</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w:t>
      </w:r>
      <w:r>
        <w:rPr>
          <w:rFonts w:ascii="宋体" w:hAnsi="宋体" w:cs="宋体"/>
          <w:color w:val="auto"/>
          <w:sz w:val="24"/>
          <w:szCs w:val="24"/>
          <w:highlight w:val="none"/>
        </w:rPr>
        <w:t>湿度:</w:t>
      </w:r>
      <w:r>
        <w:rPr>
          <w:rFonts w:hint="eastAsia" w:ascii="宋体" w:hAnsi="宋体" w:cs="宋体"/>
          <w:color w:val="auto"/>
          <w:sz w:val="24"/>
          <w:szCs w:val="24"/>
          <w:highlight w:val="none"/>
        </w:rPr>
        <w:t xml:space="preserve"> 操作状态25-50%，非操作状态20-80% </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性能指标</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w:t>
      </w:r>
      <w:r>
        <w:rPr>
          <w:rFonts w:ascii="宋体" w:hAnsi="宋体" w:cs="宋体"/>
          <w:color w:val="auto"/>
          <w:sz w:val="24"/>
          <w:szCs w:val="24"/>
          <w:highlight w:val="none"/>
        </w:rPr>
        <w:t>气相色谱仪</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w:t>
      </w:r>
      <w:r>
        <w:rPr>
          <w:rFonts w:ascii="宋体" w:hAnsi="宋体"/>
          <w:color w:val="auto"/>
          <w:sz w:val="24"/>
          <w:szCs w:val="24"/>
          <w:highlight w:val="none"/>
        </w:rPr>
        <w:t>1柱箱</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1.</w:t>
      </w:r>
      <w:r>
        <w:rPr>
          <w:rFonts w:ascii="宋体" w:hAnsi="宋体"/>
          <w:color w:val="auto"/>
          <w:sz w:val="24"/>
          <w:szCs w:val="24"/>
          <w:highlight w:val="none"/>
        </w:rPr>
        <w:t>1操作温度：室温以上</w:t>
      </w:r>
      <w:r>
        <w:rPr>
          <w:rFonts w:ascii="宋体" w:hAnsi="宋体" w:cs="Arial"/>
          <w:color w:val="auto"/>
          <w:sz w:val="24"/>
          <w:szCs w:val="24"/>
          <w:highlight w:val="none"/>
        </w:rPr>
        <w:t>4</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hint="eastAsia" w:ascii="宋体" w:hAnsi="宋体"/>
          <w:color w:val="auto"/>
          <w:sz w:val="24"/>
          <w:szCs w:val="24"/>
          <w:highlight w:val="none"/>
        </w:rPr>
        <w:t xml:space="preserve"> </w:t>
      </w:r>
      <w:r>
        <w:rPr>
          <w:rFonts w:ascii="宋体" w:hAnsi="宋体" w:cs="Arial"/>
          <w:color w:val="auto"/>
          <w:sz w:val="24"/>
          <w:szCs w:val="24"/>
          <w:highlight w:val="none"/>
        </w:rPr>
        <w:t>-450</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1.</w:t>
      </w:r>
      <w:r>
        <w:rPr>
          <w:rFonts w:ascii="宋体" w:hAnsi="宋体"/>
          <w:color w:val="auto"/>
          <w:sz w:val="24"/>
          <w:szCs w:val="24"/>
          <w:highlight w:val="none"/>
        </w:rPr>
        <w:t>2温度分辨：</w:t>
      </w:r>
      <w:r>
        <w:rPr>
          <w:rFonts w:ascii="宋体" w:hAnsi="宋体" w:cs="Arial"/>
          <w:color w:val="auto"/>
          <w:sz w:val="24"/>
          <w:szCs w:val="24"/>
          <w:highlight w:val="none"/>
        </w:rPr>
        <w:t>1</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ascii="宋体" w:hAnsi="宋体"/>
          <w:color w:val="auto"/>
          <w:sz w:val="24"/>
          <w:szCs w:val="24"/>
          <w:highlight w:val="none"/>
        </w:rPr>
        <w:t>温度设定，</w:t>
      </w:r>
      <w:r>
        <w:rPr>
          <w:rFonts w:ascii="宋体" w:hAnsi="宋体" w:cs="Arial"/>
          <w:color w:val="auto"/>
          <w:sz w:val="24"/>
          <w:szCs w:val="24"/>
          <w:highlight w:val="none"/>
        </w:rPr>
        <w:t>0.1</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ascii="宋体" w:hAnsi="宋体"/>
          <w:color w:val="auto"/>
          <w:sz w:val="24"/>
          <w:szCs w:val="24"/>
          <w:highlight w:val="none"/>
        </w:rPr>
        <w:t>程序设定</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1.</w:t>
      </w:r>
      <w:r>
        <w:rPr>
          <w:rFonts w:ascii="宋体" w:hAnsi="宋体"/>
          <w:color w:val="auto"/>
          <w:sz w:val="24"/>
          <w:szCs w:val="24"/>
          <w:highlight w:val="none"/>
        </w:rPr>
        <w:t>3</w:t>
      </w:r>
      <w:r>
        <w:rPr>
          <w:rFonts w:hint="eastAsia" w:ascii="宋体" w:hAnsi="宋体"/>
          <w:color w:val="auto"/>
          <w:sz w:val="24"/>
          <w:szCs w:val="24"/>
          <w:highlight w:val="none"/>
        </w:rPr>
        <w:t>降温速率：从</w:t>
      </w:r>
      <w:r>
        <w:rPr>
          <w:rFonts w:hint="eastAsia" w:ascii="宋体" w:hAnsi="宋体" w:cs="Arial"/>
          <w:color w:val="auto"/>
          <w:sz w:val="24"/>
          <w:szCs w:val="24"/>
          <w:highlight w:val="none"/>
        </w:rPr>
        <w:t>450</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hint="eastAsia" w:ascii="宋体" w:hAnsi="宋体"/>
          <w:color w:val="auto"/>
          <w:sz w:val="24"/>
          <w:szCs w:val="24"/>
          <w:highlight w:val="none"/>
        </w:rPr>
        <w:t>降至</w:t>
      </w:r>
      <w:r>
        <w:rPr>
          <w:rFonts w:hint="eastAsia" w:ascii="宋体" w:hAnsi="宋体" w:cs="Arial"/>
          <w:color w:val="auto"/>
          <w:sz w:val="24"/>
          <w:szCs w:val="24"/>
          <w:highlight w:val="none"/>
        </w:rPr>
        <w:t>50</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ascii="宋体" w:hAnsi="宋体" w:cs="Arial"/>
          <w:color w:val="auto"/>
          <w:sz w:val="24"/>
          <w:szCs w:val="24"/>
          <w:highlight w:val="none"/>
        </w:rPr>
        <w:t>&lt;250</w:t>
      </w:r>
      <w:r>
        <w:rPr>
          <w:rFonts w:hint="eastAsia" w:ascii="宋体" w:hAnsi="宋体"/>
          <w:color w:val="auto"/>
          <w:sz w:val="24"/>
          <w:szCs w:val="24"/>
          <w:highlight w:val="none"/>
        </w:rPr>
        <w:t>秒（室温22℃）</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1.</w:t>
      </w:r>
      <w:r>
        <w:rPr>
          <w:rFonts w:ascii="宋体" w:hAnsi="宋体"/>
          <w:color w:val="auto"/>
          <w:sz w:val="24"/>
          <w:szCs w:val="24"/>
          <w:highlight w:val="none"/>
        </w:rPr>
        <w:t>4最大运行时间：</w:t>
      </w:r>
      <w:r>
        <w:rPr>
          <w:rFonts w:hint="eastAsia" w:ascii="宋体" w:hAnsi="宋体" w:cs="Arial"/>
          <w:color w:val="auto"/>
          <w:sz w:val="24"/>
          <w:szCs w:val="24"/>
          <w:highlight w:val="none"/>
        </w:rPr>
        <w:t>900</w:t>
      </w:r>
      <w:r>
        <w:rPr>
          <w:rFonts w:ascii="宋体" w:hAnsi="宋体"/>
          <w:color w:val="auto"/>
          <w:sz w:val="24"/>
          <w:szCs w:val="24"/>
          <w:highlight w:val="none"/>
        </w:rPr>
        <w:t>分钟</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 xml:space="preserve">1.1.5 </w:t>
      </w:r>
      <w:r>
        <w:rPr>
          <w:rFonts w:hint="eastAsia" w:ascii="宋体" w:hAnsi="宋体"/>
          <w:color w:val="auto"/>
          <w:sz w:val="24"/>
          <w:szCs w:val="24"/>
          <w:highlight w:val="none"/>
        </w:rPr>
        <w:t>17</w:t>
      </w:r>
      <w:r>
        <w:rPr>
          <w:rFonts w:ascii="宋体" w:hAnsi="宋体"/>
          <w:color w:val="auto"/>
          <w:sz w:val="24"/>
          <w:szCs w:val="24"/>
          <w:highlight w:val="none"/>
        </w:rPr>
        <w:t>梯度/</w:t>
      </w:r>
      <w:r>
        <w:rPr>
          <w:rFonts w:hint="eastAsia" w:ascii="宋体" w:hAnsi="宋体"/>
          <w:color w:val="auto"/>
          <w:sz w:val="24"/>
          <w:szCs w:val="24"/>
          <w:highlight w:val="none"/>
        </w:rPr>
        <w:t>18</w:t>
      </w:r>
      <w:r>
        <w:rPr>
          <w:rFonts w:ascii="宋体" w:hAnsi="宋体"/>
          <w:color w:val="auto"/>
          <w:sz w:val="24"/>
          <w:szCs w:val="24"/>
          <w:highlight w:val="none"/>
        </w:rPr>
        <w:t>平台程序升温</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1.1.6 温度稳定性:</w:t>
      </w:r>
      <w:r>
        <w:rPr>
          <w:rFonts w:hint="eastAsia" w:ascii="宋体" w:hAnsi="宋体"/>
          <w:color w:val="auto"/>
          <w:sz w:val="24"/>
          <w:szCs w:val="24"/>
          <w:highlight w:val="none"/>
        </w:rPr>
        <w:t xml:space="preserve"> ＜</w:t>
      </w:r>
      <w:r>
        <w:rPr>
          <w:rFonts w:ascii="宋体" w:hAnsi="宋体" w:cs="Arial"/>
          <w:color w:val="auto"/>
          <w:sz w:val="24"/>
          <w:szCs w:val="24"/>
          <w:highlight w:val="none"/>
        </w:rPr>
        <w:t>0.0</w:t>
      </w:r>
      <w:r>
        <w:rPr>
          <w:rFonts w:hint="eastAsia" w:ascii="宋体" w:hAnsi="宋体" w:cs="Arial"/>
          <w:color w:val="auto"/>
          <w:sz w:val="24"/>
          <w:szCs w:val="24"/>
          <w:highlight w:val="none"/>
        </w:rPr>
        <w:t>1</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hint="eastAsia" w:ascii="宋体" w:hAnsi="宋体"/>
          <w:color w:val="auto"/>
          <w:sz w:val="24"/>
          <w:szCs w:val="24"/>
          <w:highlight w:val="none"/>
        </w:rPr>
        <w:t xml:space="preserve"> </w:t>
      </w:r>
      <w:r>
        <w:rPr>
          <w:rFonts w:ascii="宋体" w:hAnsi="宋体" w:cs="Arial"/>
          <w:color w:val="auto"/>
          <w:sz w:val="24"/>
          <w:szCs w:val="24"/>
          <w:highlight w:val="none"/>
        </w:rPr>
        <w:t>/</w:t>
      </w:r>
      <w:r>
        <w:rPr>
          <w:rFonts w:hint="eastAsia" w:ascii="宋体" w:hAnsi="宋体" w:cs="Arial"/>
          <w:color w:val="auto"/>
          <w:sz w:val="24"/>
          <w:szCs w:val="24"/>
          <w:highlight w:val="none"/>
        </w:rPr>
        <w:t>1</w:t>
      </w:r>
      <w:r>
        <w:rPr>
          <w:rFonts w:hint="eastAsia" w:ascii="微软雅黑" w:hAnsi="微软雅黑" w:eastAsia="微软雅黑" w:cs="微软雅黑"/>
          <w:color w:val="auto"/>
          <w:sz w:val="24"/>
          <w:szCs w:val="24"/>
          <w:highlight w:val="none"/>
        </w:rPr>
        <w:t>˚</w:t>
      </w:r>
      <w:r>
        <w:rPr>
          <w:rFonts w:hint="eastAsia" w:ascii="宋体" w:hAnsi="宋体" w:cs="Arial"/>
          <w:color w:val="auto"/>
          <w:sz w:val="24"/>
          <w:szCs w:val="24"/>
          <w:highlight w:val="none"/>
        </w:rPr>
        <w:t>C</w:t>
      </w:r>
      <w:r>
        <w:rPr>
          <w:rFonts w:ascii="宋体" w:hAnsi="宋体"/>
          <w:color w:val="auto"/>
          <w:sz w:val="24"/>
          <w:szCs w:val="24"/>
          <w:highlight w:val="none"/>
        </w:rPr>
        <w:t>环境</w:t>
      </w:r>
      <w:r>
        <w:rPr>
          <w:rFonts w:hint="eastAsia" w:ascii="宋体" w:hAnsi="宋体"/>
          <w:color w:val="auto"/>
          <w:sz w:val="24"/>
          <w:szCs w:val="24"/>
          <w:highlight w:val="none"/>
        </w:rPr>
        <w:t>变化</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w:t>
      </w:r>
      <w:r>
        <w:rPr>
          <w:rFonts w:ascii="宋体" w:hAnsi="宋体"/>
          <w:color w:val="auto"/>
          <w:sz w:val="24"/>
          <w:szCs w:val="24"/>
          <w:highlight w:val="none"/>
        </w:rPr>
        <w:t>1.</w:t>
      </w:r>
      <w:r>
        <w:rPr>
          <w:rFonts w:hint="eastAsia" w:ascii="宋体" w:hAnsi="宋体"/>
          <w:color w:val="auto"/>
          <w:sz w:val="24"/>
          <w:szCs w:val="24"/>
          <w:highlight w:val="none"/>
        </w:rPr>
        <w:t>7升温速率：升温速度0.1-</w:t>
      </w:r>
      <w:r>
        <w:rPr>
          <w:rFonts w:ascii="宋体" w:hAnsi="宋体"/>
          <w:color w:val="auto"/>
          <w:sz w:val="24"/>
          <w:szCs w:val="24"/>
          <w:highlight w:val="none"/>
        </w:rPr>
        <w:t>1</w:t>
      </w:r>
      <w:r>
        <w:rPr>
          <w:rFonts w:hint="eastAsia" w:ascii="宋体" w:hAnsi="宋体"/>
          <w:color w:val="auto"/>
          <w:sz w:val="24"/>
          <w:szCs w:val="24"/>
          <w:highlight w:val="none"/>
        </w:rPr>
        <w:t>2</w:t>
      </w:r>
      <w:r>
        <w:rPr>
          <w:rFonts w:ascii="宋体" w:hAnsi="宋体"/>
          <w:color w:val="auto"/>
          <w:sz w:val="24"/>
          <w:szCs w:val="24"/>
          <w:highlight w:val="none"/>
        </w:rPr>
        <w:t>0</w:t>
      </w:r>
      <w:r>
        <w:rPr>
          <w:rFonts w:hint="eastAsia" w:ascii="微软雅黑" w:hAnsi="微软雅黑" w:eastAsia="微软雅黑" w:cs="微软雅黑"/>
          <w:color w:val="auto"/>
          <w:sz w:val="24"/>
          <w:szCs w:val="24"/>
          <w:highlight w:val="none"/>
        </w:rPr>
        <w:t>˚</w:t>
      </w:r>
      <w:r>
        <w:rPr>
          <w:rFonts w:hint="eastAsia" w:ascii="宋体" w:hAnsi="宋体"/>
          <w:color w:val="auto"/>
          <w:sz w:val="24"/>
          <w:szCs w:val="24"/>
          <w:highlight w:val="none"/>
        </w:rPr>
        <w:t>C/min</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2.1.1.8气相色谱需有7英寸以上彩色触摸屏。为更好的通过彩色屏幕对质谱端进行状态监测，以气相色谱触摸屏可以显示质谱真空度更优。</w:t>
      </w:r>
    </w:p>
    <w:p>
      <w:pPr>
        <w:keepNext w:val="0"/>
        <w:keepLines w:val="0"/>
        <w:pageBreakBefore w:val="0"/>
        <w:widowControl/>
        <w:kinsoku/>
        <w:wordWrap/>
        <w:topLinePunct w:val="0"/>
        <w:bidi w:val="0"/>
        <w:snapToGrid/>
        <w:spacing w:line="240" w:lineRule="auto"/>
        <w:ind w:firstLine="480" w:firstLineChars="200"/>
        <w:jc w:val="left"/>
        <w:rPr>
          <w:rFonts w:ascii="宋体" w:hAnsi="宋体"/>
          <w:color w:val="auto"/>
          <w:kern w:val="0"/>
          <w:sz w:val="24"/>
          <w:szCs w:val="24"/>
          <w:highlight w:val="none"/>
        </w:rPr>
      </w:pPr>
      <w:r>
        <w:rPr>
          <w:rFonts w:hint="eastAsia" w:ascii="宋体" w:hAnsi="宋体"/>
          <w:color w:val="auto"/>
          <w:kern w:val="0"/>
          <w:sz w:val="24"/>
          <w:szCs w:val="24"/>
          <w:highlight w:val="none"/>
        </w:rPr>
        <w:t>2.</w:t>
      </w:r>
      <w:r>
        <w:rPr>
          <w:rFonts w:ascii="宋体" w:hAnsi="宋体"/>
          <w:color w:val="auto"/>
          <w:kern w:val="0"/>
          <w:sz w:val="24"/>
          <w:szCs w:val="24"/>
          <w:highlight w:val="none"/>
        </w:rPr>
        <w:t>1.</w:t>
      </w:r>
      <w:r>
        <w:rPr>
          <w:rFonts w:hint="eastAsia" w:ascii="宋体" w:hAnsi="宋体"/>
          <w:color w:val="auto"/>
          <w:kern w:val="0"/>
          <w:sz w:val="24"/>
          <w:szCs w:val="24"/>
          <w:highlight w:val="none"/>
        </w:rPr>
        <w:t>2多模式进样口</w:t>
      </w:r>
      <w:r>
        <w:rPr>
          <w:rFonts w:ascii="宋体" w:hAnsi="宋体"/>
          <w:color w:val="auto"/>
          <w:kern w:val="0"/>
          <w:sz w:val="24"/>
          <w:szCs w:val="24"/>
          <w:highlight w:val="none"/>
        </w:rPr>
        <w:t xml:space="preserve"> (</w:t>
      </w:r>
      <w:r>
        <w:rPr>
          <w:rFonts w:hint="eastAsia" w:ascii="宋体" w:hAnsi="宋体"/>
          <w:color w:val="auto"/>
          <w:kern w:val="0"/>
          <w:sz w:val="24"/>
          <w:szCs w:val="24"/>
          <w:highlight w:val="none"/>
        </w:rPr>
        <w:t>带电子气路控制)</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w:t>
      </w:r>
      <w:r>
        <w:rPr>
          <w:rFonts w:ascii="宋体" w:hAnsi="宋体" w:cs="宋体"/>
          <w:color w:val="auto"/>
          <w:sz w:val="24"/>
          <w:szCs w:val="24"/>
          <w:highlight w:val="none"/>
        </w:rPr>
        <w:t>.2.1</w:t>
      </w:r>
      <w:r>
        <w:rPr>
          <w:rFonts w:hint="eastAsia" w:ascii="宋体" w:hAnsi="宋体" w:cs="宋体"/>
          <w:color w:val="auto"/>
          <w:sz w:val="24"/>
          <w:szCs w:val="24"/>
          <w:highlight w:val="none"/>
        </w:rPr>
        <w:t>可编程电子参数设定压力、流速、分流比，电子流量控制隔垫吹扫，最大压力可到100psi</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1.</w:t>
      </w:r>
      <w:r>
        <w:rPr>
          <w:rFonts w:hint="eastAsia" w:ascii="宋体" w:hAnsi="宋体" w:cs="宋体"/>
          <w:color w:val="auto"/>
          <w:sz w:val="24"/>
          <w:szCs w:val="24"/>
          <w:highlight w:val="none"/>
        </w:rPr>
        <w:t>2</w:t>
      </w:r>
      <w:r>
        <w:rPr>
          <w:rFonts w:ascii="宋体" w:hAnsi="宋体" w:cs="宋体"/>
          <w:color w:val="auto"/>
          <w:sz w:val="24"/>
          <w:szCs w:val="24"/>
          <w:highlight w:val="none"/>
        </w:rPr>
        <w:t>.2</w:t>
      </w:r>
      <w:r>
        <w:rPr>
          <w:rFonts w:hint="eastAsia" w:ascii="宋体" w:hAnsi="宋体" w:cs="宋体"/>
          <w:color w:val="auto"/>
          <w:sz w:val="24"/>
          <w:szCs w:val="24"/>
          <w:highlight w:val="none"/>
        </w:rPr>
        <w:t>最高使用温度450</w:t>
      </w:r>
      <w:r>
        <w:rPr>
          <w:rFonts w:hint="eastAsia" w:ascii="微软雅黑" w:hAnsi="微软雅黑" w:eastAsia="微软雅黑" w:cs="微软雅黑"/>
          <w:color w:val="auto"/>
          <w:sz w:val="24"/>
          <w:szCs w:val="24"/>
          <w:highlight w:val="none"/>
        </w:rPr>
        <w:t>˚</w:t>
      </w:r>
      <w:r>
        <w:rPr>
          <w:rFonts w:ascii="宋体" w:hAnsi="宋体" w:cs="宋体"/>
          <w:color w:val="auto"/>
          <w:sz w:val="24"/>
          <w:szCs w:val="24"/>
          <w:highlight w:val="none"/>
        </w:rPr>
        <w:t>C</w:t>
      </w:r>
      <w:r>
        <w:rPr>
          <w:rFonts w:hint="eastAsia" w:ascii="宋体" w:hAnsi="宋体" w:cs="宋体"/>
          <w:color w:val="auto"/>
          <w:sz w:val="24"/>
          <w:szCs w:val="24"/>
          <w:highlight w:val="none"/>
        </w:rPr>
        <w:t>, 采用液氮 (可冷却至-160</w:t>
      </w:r>
      <w:r>
        <w:rPr>
          <w:rFonts w:hint="eastAsia" w:ascii="微软雅黑" w:hAnsi="微软雅黑" w:eastAsia="微软雅黑" w:cs="微软雅黑"/>
          <w:color w:val="auto"/>
          <w:sz w:val="24"/>
          <w:szCs w:val="24"/>
          <w:highlight w:val="none"/>
        </w:rPr>
        <w:t>˚</w:t>
      </w:r>
      <w:r>
        <w:rPr>
          <w:rFonts w:ascii="宋体" w:hAnsi="宋体" w:cs="宋体"/>
          <w:color w:val="auto"/>
          <w:sz w:val="24"/>
          <w:szCs w:val="24"/>
          <w:highlight w:val="none"/>
        </w:rPr>
        <w:t>C</w:t>
      </w:r>
      <w:r>
        <w:rPr>
          <w:rFonts w:hint="eastAsia" w:ascii="宋体" w:hAnsi="宋体" w:cs="宋体"/>
          <w:color w:val="auto"/>
          <w:sz w:val="24"/>
          <w:szCs w:val="24"/>
          <w:highlight w:val="none"/>
        </w:rPr>
        <w:t>) 或干冰冷却 (可冷却至-70</w:t>
      </w:r>
      <w:r>
        <w:rPr>
          <w:rFonts w:hint="eastAsia" w:ascii="微软雅黑" w:hAnsi="微软雅黑" w:eastAsia="微软雅黑" w:cs="微软雅黑"/>
          <w:color w:val="auto"/>
          <w:sz w:val="24"/>
          <w:szCs w:val="24"/>
          <w:highlight w:val="none"/>
        </w:rPr>
        <w:t>˚</w:t>
      </w:r>
      <w:r>
        <w:rPr>
          <w:rFonts w:ascii="宋体" w:hAnsi="宋体" w:cs="宋体"/>
          <w:color w:val="auto"/>
          <w:sz w:val="24"/>
          <w:szCs w:val="24"/>
          <w:highlight w:val="none"/>
        </w:rPr>
        <w:t>C</w:t>
      </w:r>
      <w:r>
        <w:rPr>
          <w:rFonts w:hint="eastAsia" w:ascii="宋体" w:hAnsi="宋体" w:cs="宋体"/>
          <w:color w:val="auto"/>
          <w:sz w:val="24"/>
          <w:szCs w:val="24"/>
          <w:highlight w:val="none"/>
        </w:rPr>
        <w:t>)</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1.</w:t>
      </w:r>
      <w:r>
        <w:rPr>
          <w:rFonts w:hint="eastAsia" w:ascii="宋体" w:hAnsi="宋体" w:cs="宋体"/>
          <w:color w:val="auto"/>
          <w:sz w:val="24"/>
          <w:szCs w:val="24"/>
          <w:highlight w:val="none"/>
        </w:rPr>
        <w:t>2.</w:t>
      </w:r>
      <w:r>
        <w:rPr>
          <w:rFonts w:ascii="宋体" w:hAnsi="宋体" w:cs="宋体"/>
          <w:color w:val="auto"/>
          <w:sz w:val="24"/>
          <w:szCs w:val="24"/>
          <w:highlight w:val="none"/>
        </w:rPr>
        <w:t>3</w:t>
      </w:r>
      <w:r>
        <w:rPr>
          <w:rFonts w:hint="eastAsia" w:ascii="宋体" w:hAnsi="宋体" w:cs="宋体"/>
          <w:color w:val="auto"/>
          <w:sz w:val="24"/>
          <w:szCs w:val="24"/>
          <w:highlight w:val="none"/>
        </w:rPr>
        <w:t>进样口可以程序升温阶数不少于10阶</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1.</w:t>
      </w: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4最大升温速率：最大升温速率不小于400</w:t>
      </w:r>
      <w:r>
        <w:rPr>
          <w:rFonts w:hint="eastAsia" w:ascii="微软雅黑" w:hAnsi="微软雅黑" w:eastAsia="微软雅黑" w:cs="微软雅黑"/>
          <w:color w:val="auto"/>
          <w:sz w:val="24"/>
          <w:szCs w:val="24"/>
          <w:highlight w:val="none"/>
        </w:rPr>
        <w:t>˚</w:t>
      </w:r>
      <w:r>
        <w:rPr>
          <w:rFonts w:ascii="宋体" w:hAnsi="宋体" w:cs="宋体"/>
          <w:color w:val="auto"/>
          <w:sz w:val="24"/>
          <w:szCs w:val="24"/>
          <w:highlight w:val="none"/>
        </w:rPr>
        <w:t>C/</w:t>
      </w:r>
      <w:r>
        <w:rPr>
          <w:rFonts w:hint="eastAsia" w:ascii="宋体" w:hAnsi="宋体" w:cs="宋体"/>
          <w:color w:val="auto"/>
          <w:sz w:val="24"/>
          <w:szCs w:val="24"/>
          <w:highlight w:val="none"/>
        </w:rPr>
        <w:t>min。</w:t>
      </w:r>
    </w:p>
    <w:p>
      <w:pPr>
        <w:keepNext w:val="0"/>
        <w:keepLines w:val="0"/>
        <w:pageBreakBefore w:val="0"/>
        <w:kinsoku/>
        <w:wordWrap/>
        <w:topLinePunct w:val="0"/>
        <w:bidi w:val="0"/>
        <w:snapToGrid/>
        <w:spacing w:line="24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1.</w:t>
      </w:r>
      <w:r>
        <w:rPr>
          <w:rFonts w:hint="eastAsia" w:ascii="宋体" w:hAnsi="宋体" w:cs="宋体"/>
          <w:color w:val="auto"/>
          <w:sz w:val="24"/>
          <w:szCs w:val="24"/>
          <w:highlight w:val="none"/>
        </w:rPr>
        <w:t>2.5 进样模式：热不</w:t>
      </w:r>
      <w:r>
        <w:rPr>
          <w:rFonts w:ascii="宋体" w:hAnsi="宋体" w:cs="宋体"/>
          <w:color w:val="auto"/>
          <w:sz w:val="24"/>
          <w:szCs w:val="24"/>
          <w:highlight w:val="none"/>
        </w:rPr>
        <w:t>分流模式、冷不分流模式、溶剂放空模式（</w:t>
      </w:r>
      <w:r>
        <w:rPr>
          <w:rFonts w:hint="eastAsia" w:ascii="宋体" w:hAnsi="宋体" w:cs="宋体"/>
          <w:color w:val="auto"/>
          <w:sz w:val="24"/>
          <w:szCs w:val="24"/>
          <w:highlight w:val="none"/>
        </w:rPr>
        <w:t>提供操作</w:t>
      </w:r>
      <w:r>
        <w:rPr>
          <w:rFonts w:ascii="宋体" w:hAnsi="宋体" w:cs="宋体"/>
          <w:color w:val="auto"/>
          <w:sz w:val="24"/>
          <w:szCs w:val="24"/>
          <w:highlight w:val="none"/>
        </w:rPr>
        <w:t>文件证明）</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3反吹和保留时间锁定功能</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3.1可以实现柱中和柱后反吹,大大缩短运行时间,确保系统的稳定性和增加柱寿命。为了更方便使用，且降低操作人员掌握反吹的难度，以不用独立软件，在原有软件上直接操作更优。</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3.2 具有更换色谱柱不泄真空的功能</w:t>
      </w:r>
    </w:p>
    <w:p>
      <w:pPr>
        <w:keepNext w:val="0"/>
        <w:keepLines w:val="0"/>
        <w:pageBreakBefore w:val="0"/>
        <w:kinsoku/>
        <w:wordWrap/>
        <w:topLinePunct w:val="0"/>
        <w:bidi w:val="0"/>
        <w:snapToGrid/>
        <w:spacing w:line="24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3.3</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具有保留时间锁定功能。为使方法可以在不同实验室气质产品当中做更佳的方法复制和数据重现，以及相关标准数据重现的需要，仪器需具有使待测物保留时间完全一致的保留时间锁定功能，如只能提供使用正构烷烃等混标进行保留时间自动调整功能等类似功能，厂家应免费派遣全职驻场应用工程师1年以上配合仪器方法调整工作（应用工程师需在仪器生产厂家入职一年以上，由人事部门提供正式文件证明身份）。</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4</w:t>
      </w:r>
      <w:r>
        <w:rPr>
          <w:rFonts w:ascii="宋体" w:hAnsi="宋体"/>
          <w:color w:val="auto"/>
          <w:sz w:val="24"/>
          <w:szCs w:val="24"/>
          <w:highlight w:val="none"/>
        </w:rPr>
        <w:t>液体自动进样器</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4</w:t>
      </w:r>
      <w:r>
        <w:rPr>
          <w:rFonts w:ascii="宋体" w:hAnsi="宋体"/>
          <w:color w:val="auto"/>
          <w:sz w:val="24"/>
          <w:szCs w:val="24"/>
          <w:highlight w:val="none"/>
        </w:rPr>
        <w:t>.1 液体进样量范围：</w:t>
      </w:r>
      <w:r>
        <w:rPr>
          <w:rFonts w:hint="eastAsia" w:ascii="宋体" w:hAnsi="宋体"/>
          <w:color w:val="auto"/>
          <w:sz w:val="24"/>
          <w:szCs w:val="24"/>
          <w:highlight w:val="none"/>
        </w:rPr>
        <w:t>通常</w:t>
      </w:r>
      <w:r>
        <w:rPr>
          <w:rFonts w:ascii="宋体" w:hAnsi="宋体"/>
          <w:color w:val="auto"/>
          <w:sz w:val="24"/>
          <w:szCs w:val="24"/>
          <w:highlight w:val="none"/>
        </w:rPr>
        <w:t>介于</w:t>
      </w:r>
      <w:r>
        <w:rPr>
          <w:rFonts w:ascii="宋体" w:hAnsi="宋体" w:cs="Arial"/>
          <w:color w:val="auto"/>
          <w:sz w:val="24"/>
          <w:szCs w:val="24"/>
          <w:highlight w:val="none"/>
        </w:rPr>
        <w:t>0.1-50μL</w:t>
      </w:r>
      <w:r>
        <w:rPr>
          <w:rFonts w:ascii="宋体" w:hAnsi="宋体"/>
          <w:color w:val="auto"/>
          <w:sz w:val="24"/>
          <w:szCs w:val="24"/>
          <w:highlight w:val="none"/>
        </w:rPr>
        <w:t>之间</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4</w:t>
      </w:r>
      <w:r>
        <w:rPr>
          <w:rFonts w:ascii="宋体" w:hAnsi="宋体"/>
          <w:color w:val="auto"/>
          <w:sz w:val="24"/>
          <w:szCs w:val="24"/>
          <w:highlight w:val="none"/>
        </w:rPr>
        <w:t>.2 样品瓶位数：</w:t>
      </w:r>
      <w:r>
        <w:rPr>
          <w:rFonts w:hint="eastAsia" w:ascii="宋体" w:hAnsi="宋体"/>
          <w:color w:val="auto"/>
          <w:sz w:val="24"/>
          <w:szCs w:val="24"/>
          <w:highlight w:val="none"/>
        </w:rPr>
        <w:t>同时安装并同时使用样品瓶位数不少于165</w:t>
      </w:r>
      <w:r>
        <w:rPr>
          <w:rFonts w:ascii="宋体" w:hAnsi="宋体"/>
          <w:color w:val="auto"/>
          <w:sz w:val="24"/>
          <w:szCs w:val="24"/>
          <w:highlight w:val="none"/>
        </w:rPr>
        <w:t>位</w:t>
      </w:r>
    </w:p>
    <w:p>
      <w:pPr>
        <w:keepNext w:val="0"/>
        <w:keepLines w:val="0"/>
        <w:pageBreakBefore w:val="0"/>
        <w:kinsoku/>
        <w:wordWrap/>
        <w:topLinePunct w:val="0"/>
        <w:bidi w:val="0"/>
        <w:snapToGrid/>
        <w:spacing w:line="24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4</w:t>
      </w:r>
      <w:r>
        <w:rPr>
          <w:rFonts w:ascii="宋体" w:hAnsi="宋体"/>
          <w:color w:val="auto"/>
          <w:sz w:val="24"/>
          <w:szCs w:val="24"/>
          <w:highlight w:val="none"/>
        </w:rPr>
        <w:t>.3 进样量线性</w:t>
      </w:r>
      <w:r>
        <w:rPr>
          <w:rFonts w:hint="eastAsia" w:ascii="宋体" w:hAnsi="宋体"/>
          <w:color w:val="auto"/>
          <w:sz w:val="24"/>
          <w:szCs w:val="24"/>
          <w:highlight w:val="none"/>
        </w:rPr>
        <w:t>：</w:t>
      </w:r>
      <w:r>
        <w:rPr>
          <w:rFonts w:ascii="宋体" w:hAnsi="宋体" w:cs="Arial"/>
          <w:color w:val="auto"/>
          <w:sz w:val="24"/>
          <w:szCs w:val="24"/>
          <w:highlight w:val="none"/>
        </w:rPr>
        <w:t>≥</w:t>
      </w:r>
      <w:r>
        <w:rPr>
          <w:rFonts w:hint="eastAsia" w:ascii="宋体" w:hAnsi="宋体" w:cs="Arial"/>
          <w:color w:val="auto"/>
          <w:sz w:val="24"/>
          <w:szCs w:val="24"/>
          <w:highlight w:val="none"/>
        </w:rPr>
        <w:t>99%</w:t>
      </w:r>
      <w:r>
        <w:rPr>
          <w:rFonts w:ascii="宋体" w:hAnsi="宋体"/>
          <w:color w:val="auto"/>
          <w:sz w:val="24"/>
          <w:szCs w:val="24"/>
          <w:highlight w:val="none"/>
        </w:rPr>
        <w:t xml:space="preserve">  </w:t>
      </w:r>
    </w:p>
    <w:p>
      <w:pPr>
        <w:keepNext w:val="0"/>
        <w:keepLines w:val="0"/>
        <w:pageBreakBefore w:val="0"/>
        <w:kinsoku/>
        <w:wordWrap/>
        <w:topLinePunct w:val="0"/>
        <w:bidi w:val="0"/>
        <w:snapToGrid/>
        <w:spacing w:line="240" w:lineRule="auto"/>
        <w:ind w:firstLine="480" w:firstLineChars="200"/>
        <w:rPr>
          <w:rFonts w:ascii="宋体" w:hAnsi="宋体" w:cs="AgilentCond-Regular"/>
          <w:color w:val="auto"/>
          <w:kern w:val="0"/>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olor w:val="auto"/>
          <w:sz w:val="24"/>
          <w:szCs w:val="24"/>
          <w:highlight w:val="none"/>
        </w:rPr>
        <w:t>4.4 面积重现性：小于</w:t>
      </w:r>
      <w:r>
        <w:rPr>
          <w:rFonts w:ascii="宋体" w:hAnsi="宋体" w:cs="AgilentCond-Regular"/>
          <w:color w:val="auto"/>
          <w:kern w:val="0"/>
          <w:sz w:val="24"/>
          <w:szCs w:val="24"/>
          <w:highlight w:val="none"/>
        </w:rPr>
        <w:t>0.3% RSD</w:t>
      </w:r>
    </w:p>
    <w:p>
      <w:pPr>
        <w:keepNext w:val="0"/>
        <w:keepLines w:val="0"/>
        <w:pageBreakBefore w:val="0"/>
        <w:kinsoku/>
        <w:wordWrap/>
        <w:topLinePunct w:val="0"/>
        <w:bidi w:val="0"/>
        <w:snapToGrid/>
        <w:spacing w:line="240" w:lineRule="auto"/>
        <w:ind w:firstLine="480" w:firstLineChars="200"/>
        <w:rPr>
          <w:rFonts w:ascii="宋体" w:hAnsi="宋体" w:cs="AgilentCond-Regular"/>
          <w:color w:val="auto"/>
          <w:kern w:val="0"/>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1.</w:t>
      </w:r>
      <w:r>
        <w:rPr>
          <w:rFonts w:hint="eastAsia" w:ascii="宋体" w:hAnsi="宋体" w:cs="AgilentCond-Regular"/>
          <w:color w:val="auto"/>
          <w:kern w:val="0"/>
          <w:sz w:val="24"/>
          <w:szCs w:val="24"/>
          <w:highlight w:val="none"/>
        </w:rPr>
        <w:t>4.5</w:t>
      </w:r>
      <w:r>
        <w:rPr>
          <w:rFonts w:ascii="宋体" w:hAnsi="宋体" w:cs="AgilentCond-Regular"/>
          <w:color w:val="auto"/>
          <w:kern w:val="0"/>
          <w:sz w:val="24"/>
          <w:szCs w:val="24"/>
          <w:highlight w:val="none"/>
        </w:rPr>
        <w:t xml:space="preserve"> </w:t>
      </w:r>
      <w:r>
        <w:rPr>
          <w:rFonts w:hint="eastAsia" w:ascii="宋体" w:hAnsi="宋体" w:cs="AgilentCond-Regular"/>
          <w:color w:val="auto"/>
          <w:kern w:val="0"/>
          <w:sz w:val="24"/>
          <w:szCs w:val="24"/>
          <w:highlight w:val="none"/>
        </w:rPr>
        <w:t>液体自动进样器可实现在线自动配置标准曲线，自动添加内标物，自动稀释样品等相关功能。</w:t>
      </w:r>
    </w:p>
    <w:p>
      <w:pPr>
        <w:pStyle w:val="51"/>
        <w:keepNext w:val="0"/>
        <w:keepLines w:val="0"/>
        <w:pageBreakBefore w:val="0"/>
        <w:numPr>
          <w:ilvl w:val="3"/>
          <w:numId w:val="14"/>
        </w:numPr>
        <w:kinsoku/>
        <w:wordWrap/>
        <w:topLinePunct w:val="0"/>
        <w:bidi w:val="0"/>
        <w:snapToGrid/>
        <w:spacing w:line="240" w:lineRule="auto"/>
        <w:ind w:firstLine="480" w:firstLineChars="200"/>
        <w:jc w:val="left"/>
        <w:rPr>
          <w:rFonts w:ascii="宋体" w:hAnsi="宋体" w:cs="AgilentCond-Regular"/>
          <w:color w:val="auto"/>
          <w:kern w:val="0"/>
          <w:sz w:val="24"/>
          <w:szCs w:val="24"/>
          <w:highlight w:val="none"/>
        </w:rPr>
      </w:pPr>
      <w:r>
        <w:rPr>
          <w:rFonts w:hint="eastAsia" w:ascii="宋体" w:hAnsi="宋体" w:cs="AgilentCond-Regular"/>
          <w:color w:val="auto"/>
          <w:kern w:val="0"/>
          <w:sz w:val="24"/>
          <w:szCs w:val="24"/>
          <w:highlight w:val="none"/>
        </w:rPr>
        <w:t>进样位数</w:t>
      </w:r>
      <w:r>
        <w:rPr>
          <w:rFonts w:ascii="宋体" w:hAnsi="宋体" w:cs="Arial"/>
          <w:color w:val="auto"/>
          <w:sz w:val="24"/>
          <w:szCs w:val="24"/>
          <w:highlight w:val="none"/>
        </w:rPr>
        <w:t>≥</w:t>
      </w:r>
      <w:r>
        <w:rPr>
          <w:rFonts w:hint="eastAsia" w:ascii="宋体" w:hAnsi="宋体" w:cs="Arial"/>
          <w:color w:val="auto"/>
          <w:sz w:val="24"/>
          <w:szCs w:val="24"/>
          <w:highlight w:val="none"/>
        </w:rPr>
        <w:t>150位；</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w:t>
      </w:r>
      <w:r>
        <w:rPr>
          <w:rFonts w:ascii="宋体" w:hAnsi="宋体" w:cs="宋体"/>
          <w:color w:val="auto"/>
          <w:sz w:val="24"/>
          <w:szCs w:val="24"/>
          <w:highlight w:val="none"/>
        </w:rPr>
        <w:t>质谱</w:t>
      </w:r>
      <w:r>
        <w:rPr>
          <w:rFonts w:hint="eastAsia" w:ascii="宋体" w:hAnsi="宋体" w:cs="宋体"/>
          <w:color w:val="auto"/>
          <w:sz w:val="24"/>
          <w:szCs w:val="24"/>
          <w:highlight w:val="none"/>
        </w:rPr>
        <w:t>部分</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w:t>
      </w:r>
      <w:r>
        <w:rPr>
          <w:rFonts w:ascii="宋体" w:hAnsi="宋体" w:cs="宋体"/>
          <w:color w:val="auto"/>
          <w:sz w:val="24"/>
          <w:szCs w:val="24"/>
          <w:highlight w:val="none"/>
        </w:rPr>
        <w:t>质量数范围</w:t>
      </w:r>
      <w:r>
        <w:rPr>
          <w:rFonts w:hint="eastAsia" w:ascii="宋体" w:hAnsi="宋体" w:cs="宋体"/>
          <w:color w:val="auto"/>
          <w:sz w:val="24"/>
          <w:szCs w:val="24"/>
          <w:highlight w:val="none"/>
        </w:rPr>
        <w:t>：10-1050</w:t>
      </w:r>
      <w:r>
        <w:rPr>
          <w:rFonts w:ascii="宋体" w:hAnsi="宋体" w:cs="宋体"/>
          <w:color w:val="auto"/>
          <w:sz w:val="24"/>
          <w:szCs w:val="24"/>
          <w:highlight w:val="none"/>
        </w:rPr>
        <w:t xml:space="preserve"> m/z              </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2.2.2仪器检测限指标及灵敏度（验收指标）：</w:t>
      </w:r>
    </w:p>
    <w:p>
      <w:pPr>
        <w:keepNext w:val="0"/>
        <w:keepLines w:val="0"/>
        <w:pageBreakBefore w:val="0"/>
        <w:widowControl/>
        <w:kinsoku/>
        <w:wordWrap/>
        <w:overflowPunct w:val="0"/>
        <w:topLinePunct w:val="0"/>
        <w:autoSpaceDE w:val="0"/>
        <w:autoSpaceDN w:val="0"/>
        <w:bidi w:val="0"/>
        <w:adjustRightInd w:val="0"/>
        <w:snapToGrid/>
        <w:spacing w:line="240" w:lineRule="auto"/>
        <w:ind w:firstLine="480" w:firstLineChars="200"/>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2.2.3IDL(MRM): ≤4.0fg ，10fg OFN 连续8次进样，峰面积RSD≤15%。为保证仪器为成熟产品，可以提供15份以上安装验收报告中体现IDL值为更优。</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2.2.4</w:t>
      </w:r>
      <w:r>
        <w:rPr>
          <w:rFonts w:ascii="宋体" w:hAnsi="宋体" w:cs="宋体"/>
          <w:color w:val="auto"/>
          <w:sz w:val="24"/>
          <w:szCs w:val="24"/>
          <w:highlight w:val="none"/>
        </w:rPr>
        <w:t>分辨率：</w:t>
      </w:r>
      <w:r>
        <w:rPr>
          <w:rFonts w:hint="eastAsia" w:ascii="宋体" w:hAnsi="宋体" w:cs="宋体"/>
          <w:color w:val="auto"/>
          <w:sz w:val="24"/>
          <w:szCs w:val="24"/>
          <w:highlight w:val="none"/>
        </w:rPr>
        <w:t>0.4~3 amu分辨可调 。</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2.2.5碰撞池具有氦气消除功能，可有效消除</w:t>
      </w:r>
      <w:bookmarkStart w:id="111" w:name="OLE_LINK20"/>
      <w:r>
        <w:rPr>
          <w:rFonts w:hint="eastAsia" w:ascii="宋体" w:hAnsi="宋体" w:cs="宋体"/>
          <w:color w:val="auto"/>
          <w:sz w:val="24"/>
          <w:szCs w:val="24"/>
          <w:highlight w:val="none"/>
        </w:rPr>
        <w:t>载气氦气所带来的背景噪音干扰，氦气消除气体流量范围在0~5.0 ml/min</w:t>
      </w:r>
      <w:bookmarkEnd w:id="111"/>
      <w:r>
        <w:rPr>
          <w:rFonts w:hint="eastAsia" w:ascii="宋体" w:hAnsi="宋体" w:cs="宋体"/>
          <w:color w:val="auto"/>
          <w:sz w:val="24"/>
          <w:szCs w:val="24"/>
          <w:highlight w:val="none"/>
        </w:rPr>
        <w:t>可调。或具备类似可消除交叉污染的专利技术。</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2.2.6</w:t>
      </w:r>
      <w:r>
        <w:rPr>
          <w:rFonts w:ascii="宋体" w:hAnsi="宋体" w:cs="宋体"/>
          <w:color w:val="auto"/>
          <w:sz w:val="24"/>
          <w:szCs w:val="24"/>
          <w:highlight w:val="none"/>
        </w:rPr>
        <w:t>扫描</w:t>
      </w:r>
      <w:r>
        <w:rPr>
          <w:rFonts w:hint="eastAsia" w:ascii="宋体" w:hAnsi="宋体" w:cs="宋体"/>
          <w:color w:val="auto"/>
          <w:sz w:val="24"/>
          <w:szCs w:val="24"/>
          <w:highlight w:val="none"/>
        </w:rPr>
        <w:t>速率</w:t>
      </w:r>
      <w:r>
        <w:rPr>
          <w:rFonts w:ascii="宋体" w:hAnsi="宋体" w:cs="宋体"/>
          <w:color w:val="auto"/>
          <w:sz w:val="24"/>
          <w:szCs w:val="24"/>
          <w:highlight w:val="none"/>
        </w:rPr>
        <w:t>：</w:t>
      </w:r>
      <w:r>
        <w:rPr>
          <w:rFonts w:hint="eastAsia" w:ascii="宋体" w:hAnsi="宋体" w:cs="宋体"/>
          <w:color w:val="auto"/>
          <w:sz w:val="24"/>
          <w:szCs w:val="24"/>
          <w:highlight w:val="none"/>
        </w:rPr>
        <w:t>最大</w:t>
      </w:r>
      <w:r>
        <w:rPr>
          <w:rFonts w:ascii="宋体" w:hAnsi="宋体" w:cs="宋体"/>
          <w:color w:val="auto"/>
          <w:sz w:val="24"/>
          <w:szCs w:val="24"/>
          <w:highlight w:val="none"/>
        </w:rPr>
        <w:t>8</w:t>
      </w:r>
      <w:r>
        <w:rPr>
          <w:rFonts w:hint="eastAsia" w:ascii="宋体" w:hAnsi="宋体" w:cs="宋体"/>
          <w:color w:val="auto"/>
          <w:sz w:val="24"/>
          <w:szCs w:val="24"/>
          <w:highlight w:val="none"/>
        </w:rPr>
        <w:t>00</w:t>
      </w:r>
      <w:bookmarkStart w:id="112" w:name="OLE_LINK33"/>
      <w:bookmarkStart w:id="113" w:name="OLE_LINK32"/>
      <w:r>
        <w:rPr>
          <w:rFonts w:hint="eastAsia" w:ascii="宋体" w:hAnsi="宋体" w:cs="宋体"/>
          <w:color w:val="auto"/>
          <w:sz w:val="24"/>
          <w:szCs w:val="24"/>
          <w:highlight w:val="none"/>
        </w:rPr>
        <w:t>个MRM/秒</w:t>
      </w:r>
      <w:bookmarkEnd w:id="112"/>
      <w:bookmarkEnd w:id="113"/>
      <w:r>
        <w:rPr>
          <w:rFonts w:hint="eastAsia" w:ascii="宋体" w:hAnsi="宋体" w:cs="宋体"/>
          <w:color w:val="auto"/>
          <w:sz w:val="24"/>
          <w:szCs w:val="24"/>
          <w:highlight w:val="none"/>
        </w:rPr>
        <w:t>，</w:t>
      </w:r>
      <w:r>
        <w:rPr>
          <w:rFonts w:ascii="宋体" w:hAnsi="宋体" w:cs="宋体"/>
          <w:color w:val="auto"/>
          <w:sz w:val="24"/>
          <w:szCs w:val="24"/>
          <w:highlight w:val="none"/>
        </w:rPr>
        <w:t>最小SRM扫描时间：</w:t>
      </w:r>
      <w:r>
        <w:rPr>
          <w:rFonts w:hint="eastAsia" w:ascii="宋体" w:hAnsi="宋体" w:cs="宋体"/>
          <w:color w:val="auto"/>
          <w:sz w:val="24"/>
          <w:szCs w:val="24"/>
          <w:highlight w:val="none"/>
        </w:rPr>
        <w:t>0.8</w:t>
      </w:r>
      <w:r>
        <w:rPr>
          <w:rFonts w:ascii="宋体" w:hAnsi="宋体" w:cs="宋体"/>
          <w:color w:val="auto"/>
          <w:sz w:val="24"/>
          <w:szCs w:val="24"/>
          <w:highlight w:val="none"/>
        </w:rPr>
        <w:t>ms</w:t>
      </w:r>
      <w:r>
        <w:rPr>
          <w:rFonts w:hint="eastAsia" w:ascii="宋体" w:hAnsi="宋体" w:cs="宋体"/>
          <w:color w:val="auto"/>
          <w:sz w:val="24"/>
          <w:szCs w:val="24"/>
          <w:highlight w:val="none"/>
        </w:rPr>
        <w:t xml:space="preserve"> </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2.2.7</w:t>
      </w:r>
      <w:r>
        <w:rPr>
          <w:rFonts w:ascii="宋体" w:hAnsi="宋体" w:cs="宋体"/>
          <w:color w:val="auto"/>
          <w:sz w:val="24"/>
          <w:szCs w:val="24"/>
          <w:highlight w:val="none"/>
        </w:rPr>
        <w:t>无损双灯丝设计，灯丝</w:t>
      </w:r>
      <w:r>
        <w:rPr>
          <w:rFonts w:hint="eastAsia" w:ascii="宋体" w:hAnsi="宋体" w:cs="宋体"/>
          <w:color w:val="auto"/>
          <w:sz w:val="24"/>
          <w:szCs w:val="24"/>
          <w:highlight w:val="none"/>
        </w:rPr>
        <w:t>受长效</w:t>
      </w:r>
      <w:r>
        <w:rPr>
          <w:rFonts w:ascii="宋体" w:hAnsi="宋体" w:cs="宋体"/>
          <w:color w:val="auto"/>
          <w:sz w:val="24"/>
          <w:szCs w:val="24"/>
          <w:highlight w:val="none"/>
        </w:rPr>
        <w:t>保护，提高灯丝寿命，灯丝电流：0-280uA</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2.2.8最大离子化能量：280</w:t>
      </w:r>
      <w:r>
        <w:rPr>
          <w:rFonts w:ascii="宋体" w:hAnsi="宋体" w:cs="宋体"/>
          <w:color w:val="auto"/>
          <w:sz w:val="24"/>
          <w:szCs w:val="24"/>
          <w:highlight w:val="none"/>
        </w:rPr>
        <w:t>eV</w:t>
      </w:r>
      <w:r>
        <w:rPr>
          <w:rFonts w:hint="eastAsia" w:ascii="宋体" w:hAnsi="宋体" w:cs="宋体"/>
          <w:color w:val="auto"/>
          <w:sz w:val="24"/>
          <w:szCs w:val="24"/>
          <w:highlight w:val="none"/>
        </w:rPr>
        <w:t xml:space="preserve">  （如不能达到，需配置两套离子源）</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2.2.9离子源:配置EI源，独立控温，最高温度可到350</w:t>
      </w:r>
      <w:bookmarkStart w:id="114" w:name="OLE_LINK35"/>
      <w:bookmarkStart w:id="115" w:name="OLE_LINK34"/>
      <w:r>
        <w:rPr>
          <w:rFonts w:hint="eastAsia" w:ascii="微软雅黑" w:hAnsi="微软雅黑" w:eastAsia="微软雅黑" w:cs="微软雅黑"/>
          <w:color w:val="auto"/>
          <w:sz w:val="24"/>
          <w:szCs w:val="24"/>
          <w:highlight w:val="none"/>
        </w:rPr>
        <w:t>˚</w:t>
      </w:r>
      <w:r>
        <w:rPr>
          <w:rFonts w:hint="eastAsia" w:ascii="宋体" w:hAnsi="宋体" w:cs="宋体"/>
          <w:color w:val="auto"/>
          <w:sz w:val="24"/>
          <w:szCs w:val="24"/>
          <w:highlight w:val="none"/>
        </w:rPr>
        <w:t>C</w:t>
      </w:r>
      <w:bookmarkEnd w:id="114"/>
      <w:bookmarkEnd w:id="115"/>
      <w:r>
        <w:rPr>
          <w:rFonts w:hint="eastAsia" w:ascii="宋体" w:hAnsi="宋体" w:cs="宋体"/>
          <w:color w:val="auto"/>
          <w:sz w:val="24"/>
          <w:szCs w:val="24"/>
          <w:highlight w:val="none"/>
        </w:rPr>
        <w:t xml:space="preserve">  </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2.2.10四极杆质量分析器：石英镀金共轭双曲面四极杆，或配备预四极的金属钼四极杆。为减少四极杆因人为维护出现意外损坏的风险，包括主四极和预四极在内的四极杆任何部位需终身免维护（如能独立控温的免维护石英镀金四极杆或预四极可加热的金属钼四极杆）。如不能达到，需配置三套（四根为一套）四极杆备用，且签订采购合同15年内，每半年仪器厂家需有维修工程师免费上门进行四极杆免费维护。（维修工程师需在仪器生产厂家入职一年以上，由人事部门提供正式文件证明身份）。</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2.2.11气质接口温度: 独立控温，最高温度可到350</w:t>
      </w:r>
      <w:bookmarkStart w:id="116" w:name="OLE_LINK11"/>
      <w:r>
        <w:rPr>
          <w:rFonts w:hint="eastAsia" w:ascii="微软雅黑" w:hAnsi="微软雅黑" w:eastAsia="微软雅黑" w:cs="微软雅黑"/>
          <w:color w:val="auto"/>
          <w:sz w:val="24"/>
          <w:szCs w:val="24"/>
          <w:highlight w:val="none"/>
        </w:rPr>
        <w:t>˚</w:t>
      </w:r>
      <w:r>
        <w:rPr>
          <w:rFonts w:hint="eastAsia" w:ascii="宋体" w:hAnsi="宋体" w:cs="宋体"/>
          <w:color w:val="auto"/>
          <w:sz w:val="24"/>
          <w:szCs w:val="24"/>
          <w:highlight w:val="none"/>
        </w:rPr>
        <w:t>C</w:t>
      </w:r>
      <w:bookmarkEnd w:id="116"/>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2.2.12质谱端单独</w:t>
      </w:r>
      <w:r>
        <w:rPr>
          <w:rFonts w:ascii="宋体" w:hAnsi="宋体" w:cs="宋体"/>
          <w:color w:val="auto"/>
          <w:sz w:val="24"/>
          <w:szCs w:val="24"/>
          <w:highlight w:val="none"/>
        </w:rPr>
        <w:t>氢气传输通道</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除氦气</w:t>
      </w:r>
      <w:r>
        <w:rPr>
          <w:rFonts w:ascii="宋体" w:hAnsi="宋体" w:cs="宋体"/>
          <w:color w:val="auto"/>
          <w:sz w:val="24"/>
          <w:szCs w:val="24"/>
          <w:highlight w:val="none"/>
        </w:rPr>
        <w:t>载气外，</w:t>
      </w:r>
      <w:r>
        <w:rPr>
          <w:rFonts w:hint="eastAsia" w:ascii="宋体" w:hAnsi="宋体" w:cs="宋体"/>
          <w:color w:val="auto"/>
          <w:sz w:val="24"/>
          <w:szCs w:val="24"/>
          <w:highlight w:val="none"/>
        </w:rPr>
        <w:t>可额外</w:t>
      </w:r>
      <w:r>
        <w:rPr>
          <w:rFonts w:ascii="宋体" w:hAnsi="宋体" w:cs="宋体"/>
          <w:color w:val="auto"/>
          <w:sz w:val="24"/>
          <w:szCs w:val="24"/>
          <w:highlight w:val="none"/>
        </w:rPr>
        <w:t>配备单独的质谱端安装的氢气传输通道</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2.2.13如升级单独</w:t>
      </w:r>
      <w:r>
        <w:rPr>
          <w:rFonts w:ascii="宋体" w:hAnsi="宋体" w:cs="宋体"/>
          <w:color w:val="auto"/>
          <w:sz w:val="24"/>
          <w:szCs w:val="24"/>
          <w:highlight w:val="none"/>
        </w:rPr>
        <w:t>氢气传输通道氢气</w:t>
      </w:r>
      <w:r>
        <w:rPr>
          <w:rFonts w:hint="eastAsia" w:ascii="宋体" w:hAnsi="宋体" w:cs="宋体"/>
          <w:color w:val="auto"/>
          <w:sz w:val="24"/>
          <w:szCs w:val="24"/>
          <w:highlight w:val="none"/>
        </w:rPr>
        <w:t>，</w:t>
      </w:r>
      <w:r>
        <w:rPr>
          <w:rFonts w:ascii="宋体" w:hAnsi="宋体" w:cs="宋体"/>
          <w:color w:val="auto"/>
          <w:sz w:val="24"/>
          <w:szCs w:val="24"/>
          <w:highlight w:val="none"/>
        </w:rPr>
        <w:t>流量控制精度</w:t>
      </w:r>
      <w:r>
        <w:rPr>
          <w:rFonts w:hint="eastAsia" w:ascii="宋体" w:hAnsi="宋体" w:cs="宋体"/>
          <w:color w:val="auto"/>
          <w:sz w:val="24"/>
          <w:szCs w:val="24"/>
          <w:highlight w:val="none"/>
        </w:rPr>
        <w:t>需达到:</w:t>
      </w:r>
      <w:r>
        <w:rPr>
          <w:rFonts w:ascii="宋体" w:hAnsi="宋体" w:cs="宋体"/>
          <w:color w:val="auto"/>
          <w:sz w:val="24"/>
          <w:szCs w:val="24"/>
          <w:highlight w:val="none"/>
        </w:rPr>
        <w:t xml:space="preserve"> 0.07 </w:t>
      </w:r>
      <w:r>
        <w:rPr>
          <w:rFonts w:hint="eastAsia" w:ascii="宋体" w:hAnsi="宋体" w:cs="宋体"/>
          <w:color w:val="auto"/>
          <w:sz w:val="24"/>
          <w:szCs w:val="24"/>
          <w:highlight w:val="none"/>
        </w:rPr>
        <w:t>ml/min</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2.2.14为检测物质对质谱离子源带来污染，需提供惰性材质的离子源。为进一步降低仪器维护频率，质谱离子源可升级免于人工维护工作的</w:t>
      </w:r>
      <w:r>
        <w:rPr>
          <w:rFonts w:ascii="宋体" w:hAnsi="宋体" w:cs="宋体"/>
          <w:color w:val="auto"/>
          <w:sz w:val="24"/>
          <w:szCs w:val="24"/>
          <w:highlight w:val="none"/>
        </w:rPr>
        <w:t>自清洁功能</w:t>
      </w:r>
      <w:r>
        <w:rPr>
          <w:rFonts w:hint="eastAsia" w:ascii="宋体" w:hAnsi="宋体" w:cs="宋体"/>
          <w:color w:val="auto"/>
          <w:sz w:val="24"/>
          <w:szCs w:val="24"/>
          <w:highlight w:val="none"/>
        </w:rPr>
        <w:t>功能为更优。如不能提供相关功能的升级，需额外提供两套离子源备用。</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2.2.15</w:t>
      </w:r>
      <w:r>
        <w:rPr>
          <w:rFonts w:ascii="宋体" w:hAnsi="宋体" w:cs="宋体"/>
          <w:color w:val="auto"/>
          <w:sz w:val="24"/>
          <w:szCs w:val="24"/>
          <w:highlight w:val="none"/>
        </w:rPr>
        <w:t>扫描功能:全扫描(Full Scan)、子离子扫描( Product Ion Scan)、母离子扫描(Precursor Ion Scan)、中性丢失扫描(Neutral Loss Scan)、选择离子扫描模式(SIM)、多反应扫描模式（</w:t>
      </w:r>
      <w:r>
        <w:rPr>
          <w:rFonts w:hint="eastAsia" w:ascii="宋体" w:hAnsi="宋体" w:cs="宋体"/>
          <w:color w:val="auto"/>
          <w:sz w:val="24"/>
          <w:szCs w:val="24"/>
          <w:highlight w:val="none"/>
        </w:rPr>
        <w:t>S</w:t>
      </w:r>
      <w:r>
        <w:rPr>
          <w:rFonts w:ascii="宋体" w:hAnsi="宋体" w:cs="宋体"/>
          <w:color w:val="auto"/>
          <w:sz w:val="24"/>
          <w:szCs w:val="24"/>
          <w:highlight w:val="none"/>
        </w:rPr>
        <w:t>RM）</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2.2.16质谱工作</w:t>
      </w:r>
      <w:r>
        <w:rPr>
          <w:rFonts w:ascii="宋体" w:hAnsi="宋体" w:cs="宋体"/>
          <w:color w:val="auto"/>
          <w:sz w:val="24"/>
          <w:szCs w:val="24"/>
          <w:highlight w:val="none"/>
        </w:rPr>
        <w:t>站同时具有分段扫描功能和dMRM</w:t>
      </w:r>
      <w:r>
        <w:rPr>
          <w:rFonts w:hint="eastAsia" w:ascii="宋体" w:hAnsi="宋体" w:cs="宋体"/>
          <w:color w:val="auto"/>
          <w:sz w:val="24"/>
          <w:szCs w:val="24"/>
          <w:highlight w:val="none"/>
        </w:rPr>
        <w:t>功能，</w:t>
      </w:r>
      <w:r>
        <w:rPr>
          <w:rFonts w:ascii="宋体" w:hAnsi="宋体" w:cs="宋体"/>
          <w:color w:val="auto"/>
          <w:sz w:val="24"/>
          <w:szCs w:val="24"/>
          <w:highlight w:val="none"/>
        </w:rPr>
        <w:t>提供软件截图证明。</w:t>
      </w:r>
      <w:r>
        <w:rPr>
          <w:rFonts w:hint="eastAsia" w:ascii="宋体" w:hAnsi="宋体" w:cs="宋体"/>
          <w:color w:val="auto"/>
          <w:sz w:val="24"/>
          <w:szCs w:val="24"/>
          <w:highlight w:val="none"/>
        </w:rPr>
        <w:t>为满足未来三重四极杆进行科研工作的具体需要，以普通MRM和动态d</w:t>
      </w:r>
      <w:r>
        <w:rPr>
          <w:rFonts w:ascii="宋体" w:hAnsi="宋体" w:cs="宋体"/>
          <w:color w:val="auto"/>
          <w:sz w:val="24"/>
          <w:szCs w:val="24"/>
          <w:highlight w:val="none"/>
        </w:rPr>
        <w:t>MRM</w:t>
      </w:r>
      <w:r>
        <w:rPr>
          <w:rFonts w:hint="eastAsia" w:ascii="宋体" w:hAnsi="宋体" w:cs="宋体"/>
          <w:color w:val="auto"/>
          <w:sz w:val="24"/>
          <w:szCs w:val="24"/>
          <w:highlight w:val="none"/>
        </w:rPr>
        <w:t>功能手动可进行人为选择为更优。</w:t>
      </w:r>
    </w:p>
    <w:p>
      <w:pPr>
        <w:keepNext w:val="0"/>
        <w:keepLines w:val="0"/>
        <w:pageBreakBefore w:val="0"/>
        <w:tabs>
          <w:tab w:val="left" w:pos="851"/>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2.2.17为应对未来二恶英检测的需要，</w:t>
      </w:r>
      <w:r>
        <w:rPr>
          <w:rFonts w:ascii="宋体" w:hAnsi="宋体" w:cs="宋体"/>
          <w:color w:val="auto"/>
          <w:sz w:val="24"/>
          <w:szCs w:val="24"/>
          <w:highlight w:val="none"/>
        </w:rPr>
        <w:t>离子源可升级至：灯丝及其发射出来的电子束与四极杆同轴，从而提高离子化效率。</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w:t>
      </w:r>
      <w:r>
        <w:rPr>
          <w:rFonts w:ascii="宋体" w:hAnsi="宋体" w:cs="宋体"/>
          <w:color w:val="auto"/>
          <w:sz w:val="24"/>
          <w:szCs w:val="24"/>
          <w:highlight w:val="none"/>
        </w:rPr>
        <w:t>数据处理系统</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2.3.1</w:t>
      </w:r>
      <w:r>
        <w:rPr>
          <w:rFonts w:ascii="宋体" w:hAnsi="宋体" w:cs="宋体"/>
          <w:color w:val="auto"/>
          <w:sz w:val="24"/>
          <w:szCs w:val="24"/>
          <w:highlight w:val="none"/>
        </w:rPr>
        <w:t>软件：</w:t>
      </w:r>
      <w:r>
        <w:rPr>
          <w:rFonts w:hint="eastAsia" w:ascii="宋体" w:hAnsi="宋体" w:cs="宋体"/>
          <w:color w:val="auto"/>
          <w:sz w:val="24"/>
          <w:szCs w:val="24"/>
          <w:highlight w:val="none"/>
        </w:rPr>
        <w:t>气质串接软件应该同时包含</w:t>
      </w:r>
      <w:r>
        <w:rPr>
          <w:rFonts w:ascii="宋体" w:hAnsi="宋体" w:cs="宋体"/>
          <w:color w:val="auto"/>
          <w:sz w:val="24"/>
          <w:szCs w:val="24"/>
          <w:highlight w:val="none"/>
        </w:rPr>
        <w:t>中</w:t>
      </w:r>
      <w:r>
        <w:rPr>
          <w:rFonts w:hint="eastAsia" w:ascii="宋体" w:hAnsi="宋体" w:cs="宋体"/>
          <w:color w:val="auto"/>
          <w:sz w:val="24"/>
          <w:szCs w:val="24"/>
          <w:highlight w:val="none"/>
        </w:rPr>
        <w:t>文和</w:t>
      </w:r>
      <w:r>
        <w:rPr>
          <w:rFonts w:ascii="宋体" w:hAnsi="宋体" w:cs="宋体"/>
          <w:color w:val="auto"/>
          <w:sz w:val="24"/>
          <w:szCs w:val="24"/>
          <w:highlight w:val="none"/>
        </w:rPr>
        <w:t>英文</w:t>
      </w:r>
      <w:r>
        <w:rPr>
          <w:rFonts w:hint="eastAsia" w:ascii="宋体" w:hAnsi="宋体" w:cs="宋体"/>
          <w:color w:val="auto"/>
          <w:sz w:val="24"/>
          <w:szCs w:val="24"/>
          <w:highlight w:val="none"/>
        </w:rPr>
        <w:t>两种软件 (需于投标文件中提供中文界面截屏证明文件，且作为验收条款)</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2.3.2通用</w:t>
      </w:r>
      <w:r>
        <w:rPr>
          <w:rFonts w:ascii="宋体" w:hAnsi="宋体" w:cs="宋体"/>
          <w:color w:val="auto"/>
          <w:sz w:val="24"/>
          <w:szCs w:val="24"/>
          <w:highlight w:val="none"/>
        </w:rPr>
        <w:t>谱库: NIST</w:t>
      </w:r>
      <w:r>
        <w:rPr>
          <w:rFonts w:hint="eastAsia" w:ascii="宋体" w:hAnsi="宋体" w:cs="宋体"/>
          <w:color w:val="auto"/>
          <w:sz w:val="24"/>
          <w:szCs w:val="24"/>
          <w:highlight w:val="none"/>
        </w:rPr>
        <w:t>17谱库和化学结构式库</w:t>
      </w:r>
      <w:r>
        <w:rPr>
          <w:rFonts w:ascii="宋体" w:hAnsi="宋体" w:cs="宋体"/>
          <w:color w:val="auto"/>
          <w:sz w:val="24"/>
          <w:szCs w:val="24"/>
          <w:highlight w:val="none"/>
        </w:rPr>
        <w:t xml:space="preserve"> (不少于2</w:t>
      </w:r>
      <w:r>
        <w:rPr>
          <w:rFonts w:hint="eastAsia" w:ascii="宋体" w:hAnsi="宋体" w:cs="宋体"/>
          <w:color w:val="auto"/>
          <w:sz w:val="24"/>
          <w:szCs w:val="24"/>
          <w:highlight w:val="none"/>
        </w:rPr>
        <w:t>7</w:t>
      </w:r>
      <w:r>
        <w:rPr>
          <w:rFonts w:ascii="宋体" w:hAnsi="宋体" w:cs="宋体"/>
          <w:color w:val="auto"/>
          <w:sz w:val="24"/>
          <w:szCs w:val="24"/>
          <w:highlight w:val="none"/>
        </w:rPr>
        <w:t>万张)</w:t>
      </w:r>
      <w:r>
        <w:rPr>
          <w:rFonts w:hint="eastAsia" w:ascii="宋体" w:hAnsi="宋体" w:cs="宋体"/>
          <w:color w:val="auto"/>
          <w:sz w:val="24"/>
          <w:szCs w:val="24"/>
          <w:highlight w:val="none"/>
        </w:rPr>
        <w:t xml:space="preserve"> </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2.3.2需提供投标系列型号中国大陆用户名单，用户不少于400名。</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2.4计算机</w:t>
      </w:r>
      <w:r>
        <w:rPr>
          <w:rFonts w:ascii="宋体" w:hAnsi="宋体" w:cs="宋体"/>
          <w:color w:val="auto"/>
          <w:sz w:val="24"/>
          <w:szCs w:val="24"/>
          <w:highlight w:val="none"/>
        </w:rPr>
        <w:t>:</w:t>
      </w:r>
    </w:p>
    <w:p>
      <w:pPr>
        <w:keepNext w:val="0"/>
        <w:keepLines w:val="0"/>
        <w:pageBreakBefore w:val="0"/>
        <w:tabs>
          <w:tab w:val="left" w:pos="375"/>
        </w:tabs>
        <w:kinsoku/>
        <w:wordWrap/>
        <w:topLinePunct w:val="0"/>
        <w:bidi w:val="0"/>
        <w:snapToGrid/>
        <w:spacing w:line="24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CPU</w:t>
      </w:r>
      <w:r>
        <w:rPr>
          <w:rFonts w:hint="eastAsia" w:ascii="宋体" w:hAnsi="宋体" w:cs="宋体"/>
          <w:color w:val="auto"/>
          <w:sz w:val="24"/>
          <w:szCs w:val="24"/>
          <w:highlight w:val="none"/>
        </w:rPr>
        <w:t xml:space="preserve"> 四</w:t>
      </w:r>
      <w:r>
        <w:rPr>
          <w:rFonts w:ascii="宋体" w:hAnsi="宋体" w:cs="宋体"/>
          <w:color w:val="auto"/>
          <w:sz w:val="24"/>
          <w:szCs w:val="24"/>
          <w:highlight w:val="none"/>
        </w:rPr>
        <w:t>核，单主频不低于</w:t>
      </w:r>
      <w:r>
        <w:rPr>
          <w:rFonts w:hint="eastAsia" w:ascii="宋体" w:hAnsi="宋体" w:cs="宋体"/>
          <w:color w:val="auto"/>
          <w:sz w:val="24"/>
          <w:szCs w:val="24"/>
          <w:highlight w:val="none"/>
        </w:rPr>
        <w:t>3.2</w:t>
      </w:r>
      <w:r>
        <w:rPr>
          <w:rFonts w:ascii="宋体" w:hAnsi="宋体" w:cs="宋体"/>
          <w:color w:val="auto"/>
          <w:sz w:val="24"/>
          <w:szCs w:val="24"/>
          <w:highlight w:val="none"/>
        </w:rPr>
        <w:t>G/</w:t>
      </w:r>
      <w:r>
        <w:rPr>
          <w:rFonts w:hint="eastAsia" w:ascii="宋体" w:hAnsi="宋体" w:cs="宋体"/>
          <w:color w:val="auto"/>
          <w:sz w:val="24"/>
          <w:szCs w:val="24"/>
          <w:highlight w:val="none"/>
        </w:rPr>
        <w:t>8</w:t>
      </w:r>
      <w:r>
        <w:rPr>
          <w:rFonts w:ascii="宋体" w:hAnsi="宋体" w:cs="宋体"/>
          <w:color w:val="auto"/>
          <w:sz w:val="24"/>
          <w:szCs w:val="24"/>
          <w:highlight w:val="none"/>
        </w:rPr>
        <w:t>G内存或以上/</w:t>
      </w:r>
      <w:r>
        <w:rPr>
          <w:rFonts w:hint="eastAsia" w:ascii="宋体" w:hAnsi="宋体" w:cs="宋体"/>
          <w:color w:val="auto"/>
          <w:sz w:val="24"/>
          <w:szCs w:val="24"/>
          <w:highlight w:val="none"/>
        </w:rPr>
        <w:t>50</w:t>
      </w:r>
      <w:r>
        <w:rPr>
          <w:rFonts w:ascii="宋体" w:hAnsi="宋体" w:cs="宋体"/>
          <w:color w:val="auto"/>
          <w:sz w:val="24"/>
          <w:szCs w:val="24"/>
          <w:highlight w:val="none"/>
        </w:rPr>
        <w:t>0G</w:t>
      </w:r>
      <w:r>
        <w:rPr>
          <w:rFonts w:hint="eastAsia" w:ascii="宋体" w:hAnsi="宋体" w:cs="宋体"/>
          <w:color w:val="auto"/>
          <w:sz w:val="24"/>
          <w:szCs w:val="24"/>
          <w:highlight w:val="none"/>
        </w:rPr>
        <w:t>硬盘</w:t>
      </w:r>
      <w:r>
        <w:rPr>
          <w:rFonts w:ascii="宋体" w:hAnsi="宋体" w:cs="宋体"/>
          <w:color w:val="auto"/>
          <w:sz w:val="24"/>
          <w:szCs w:val="24"/>
          <w:highlight w:val="none"/>
        </w:rPr>
        <w:t>或以上/DVD-RW/19”LCD /激光打印机</w:t>
      </w:r>
      <w:r>
        <w:rPr>
          <w:rFonts w:hint="eastAsia" w:ascii="宋体" w:hAnsi="宋体" w:cs="宋体"/>
          <w:color w:val="auto"/>
          <w:sz w:val="24"/>
          <w:szCs w:val="24"/>
          <w:highlight w:val="none"/>
        </w:rPr>
        <w:t xml:space="preserve"> </w:t>
      </w:r>
    </w:p>
    <w:p>
      <w:pPr>
        <w:pStyle w:val="51"/>
        <w:keepNext w:val="0"/>
        <w:keepLines w:val="0"/>
        <w:pageBreakBefore w:val="0"/>
        <w:widowControl/>
        <w:kinsoku/>
        <w:wordWrap/>
        <w:topLinePunct w:val="0"/>
        <w:bidi w:val="0"/>
        <w:snapToGrid/>
        <w:spacing w:line="240" w:lineRule="auto"/>
        <w:ind w:firstLine="480" w:firstLineChars="200"/>
        <w:jc w:val="left"/>
        <w:rPr>
          <w:rFonts w:ascii="宋体" w:hAnsi="宋体" w:cs="Arial"/>
          <w:bCs/>
          <w:color w:val="auto"/>
          <w:sz w:val="24"/>
          <w:szCs w:val="24"/>
          <w:highlight w:val="none"/>
          <w:lang w:val="de-DE"/>
        </w:rPr>
      </w:pPr>
      <w:r>
        <w:rPr>
          <w:rFonts w:hint="eastAsia" w:ascii="宋体" w:hAnsi="宋体" w:cs="Arial"/>
          <w:bCs/>
          <w:color w:val="auto"/>
          <w:sz w:val="24"/>
          <w:szCs w:val="24"/>
          <w:highlight w:val="none"/>
          <w:lang w:val="de-DE"/>
        </w:rPr>
        <w:t>3</w:t>
      </w:r>
      <w:r>
        <w:rPr>
          <w:rFonts w:hint="eastAsia" w:ascii="宋体" w:hAnsi="宋体" w:cs="Arial"/>
          <w:bCs/>
          <w:color w:val="auto"/>
          <w:sz w:val="24"/>
          <w:szCs w:val="24"/>
          <w:highlight w:val="none"/>
        </w:rPr>
        <w:t>售后服务</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3.1厂家售后服务通过ISO质量体系认证，需提供证书.</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供应商提供仪器的现场安装调试并达到投标书指标要求的技术性能，并同时在现场对用户进行操作培训。如果现场安装测试指标未通过，用户有权要求退货并要求赔偿损失。仪器保修期自验收合格日期起为12个月</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3.3仪器在调试通过后提供保修服务，在保修期内，所有服务及配件全部免费。供应商在中国需设有保税库，能更及时地为用户提供备品备件。</w:t>
      </w:r>
    </w:p>
    <w:p>
      <w:pPr>
        <w:keepNext w:val="0"/>
        <w:keepLines w:val="0"/>
        <w:pageBreakBefore w:val="0"/>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厂商在国内应设有专业的维修站，具备非常完善的售后服务体系，具备培训中心和厂家应用实验室,有专职的维修工程师及应用工程师有效保证售后维修的及时、快捷，并负责提供技术支持，保证仪器的正常操作，并协助用户进行方法开发</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4配置</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4.1气相色谱仪主机1套；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w:t>
      </w:r>
      <w:r>
        <w:rPr>
          <w:rFonts w:hint="eastAsia" w:ascii="宋体" w:hAnsi="宋体"/>
          <w:color w:val="auto"/>
          <w:kern w:val="0"/>
          <w:sz w:val="24"/>
          <w:szCs w:val="24"/>
          <w:highlight w:val="none"/>
        </w:rPr>
        <w:t>多模式</w:t>
      </w:r>
      <w:r>
        <w:rPr>
          <w:rFonts w:hint="eastAsia" w:ascii="宋体" w:hAnsi="宋体" w:cs="宋体"/>
          <w:color w:val="auto"/>
          <w:sz w:val="24"/>
          <w:szCs w:val="24"/>
          <w:highlight w:val="none"/>
        </w:rPr>
        <w:t>进样口1套；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4.3质谱接口1套；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4.4气动反吹装置1套；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4.5串联四极杆质谱主机1套；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150位液体自动进样器1套；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w:t>
      </w:r>
      <w:r>
        <w:rPr>
          <w:rFonts w:ascii="宋体" w:hAnsi="宋体" w:cs="宋体"/>
          <w:color w:val="auto"/>
          <w:sz w:val="24"/>
          <w:szCs w:val="24"/>
          <w:highlight w:val="none"/>
        </w:rPr>
        <w:t xml:space="preserve"> NIST</w:t>
      </w:r>
      <w:r>
        <w:rPr>
          <w:rFonts w:hint="eastAsia" w:ascii="宋体" w:hAnsi="宋体" w:cs="宋体"/>
          <w:color w:val="auto"/>
          <w:sz w:val="24"/>
          <w:szCs w:val="24"/>
          <w:highlight w:val="none"/>
        </w:rPr>
        <w:t>谱库1套；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4.8</w:t>
      </w:r>
      <w:r>
        <w:rPr>
          <w:rFonts w:ascii="宋体" w:hAnsi="宋体"/>
          <w:color w:val="auto"/>
          <w:sz w:val="24"/>
          <w:szCs w:val="24"/>
          <w:highlight w:val="none"/>
        </w:rPr>
        <w:t xml:space="preserve"> </w:t>
      </w:r>
      <w:r>
        <w:rPr>
          <w:rFonts w:hint="eastAsia" w:ascii="宋体" w:hAnsi="宋体"/>
          <w:color w:val="auto"/>
          <w:sz w:val="24"/>
          <w:szCs w:val="24"/>
          <w:highlight w:val="none"/>
        </w:rPr>
        <w:t>耗材：</w:t>
      </w:r>
      <w:r>
        <w:rPr>
          <w:rFonts w:ascii="宋体" w:hAnsi="宋体" w:cs="宋体"/>
          <w:color w:val="auto"/>
          <w:sz w:val="24"/>
          <w:szCs w:val="24"/>
          <w:highlight w:val="none"/>
        </w:rPr>
        <w:t>HP-5MS, 30m, 0.25mm, 0.25u</w:t>
      </w:r>
      <w:r>
        <w:rPr>
          <w:rFonts w:hint="eastAsia" w:ascii="宋体" w:hAnsi="宋体" w:cs="宋体"/>
          <w:color w:val="auto"/>
          <w:sz w:val="24"/>
          <w:szCs w:val="24"/>
          <w:highlight w:val="none"/>
        </w:rPr>
        <w:t>色谱柱1支；</w:t>
      </w:r>
      <w:r>
        <w:rPr>
          <w:rFonts w:ascii="宋体" w:hAnsi="宋体" w:cs="宋体"/>
          <w:color w:val="auto"/>
          <w:sz w:val="24"/>
          <w:szCs w:val="24"/>
          <w:highlight w:val="none"/>
        </w:rPr>
        <w:t>HP-INNOWa, 30m, 0.32mm, 0.25u</w:t>
      </w:r>
      <w:r>
        <w:rPr>
          <w:rFonts w:hint="eastAsia" w:ascii="宋体" w:hAnsi="宋体" w:cs="宋体"/>
          <w:color w:val="auto"/>
          <w:sz w:val="24"/>
          <w:szCs w:val="24"/>
          <w:highlight w:val="none"/>
        </w:rPr>
        <w:t>色谱柱1支；</w:t>
      </w:r>
      <w:r>
        <w:rPr>
          <w:rFonts w:ascii="宋体" w:hAnsi="宋体" w:cs="宋体"/>
          <w:color w:val="auto"/>
          <w:sz w:val="24"/>
          <w:szCs w:val="24"/>
          <w:highlight w:val="none"/>
        </w:rPr>
        <w:t>DB-1701, 30m, 0.25mm, 0.25u</w:t>
      </w:r>
      <w:r>
        <w:rPr>
          <w:rFonts w:hint="eastAsia" w:ascii="宋体" w:hAnsi="宋体" w:cs="宋体"/>
          <w:color w:val="auto"/>
          <w:sz w:val="24"/>
          <w:szCs w:val="24"/>
          <w:highlight w:val="none"/>
        </w:rPr>
        <w:t>色谱柱1支；</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4.9</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离子源灯丝1根；</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4.10</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泵油1加仑；</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4.11安装工具包1套；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氦气过滤器1套；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4.13分流不分流衬管5支；</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4.14色谱柱端石墨垫10个；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4.15质谱端石墨垫10个；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4.16色谱柱柱螺帽2个；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4.17质谱端柱螺帽1个；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4.18</w:t>
      </w:r>
      <w:r>
        <w:rPr>
          <w:rFonts w:ascii="宋体" w:hAnsi="宋体" w:cs="宋体"/>
          <w:color w:val="auto"/>
          <w:sz w:val="24"/>
          <w:szCs w:val="24"/>
          <w:highlight w:val="none"/>
        </w:rPr>
        <w:t xml:space="preserve"> O</w:t>
      </w:r>
      <w:r>
        <w:rPr>
          <w:rFonts w:hint="eastAsia" w:ascii="宋体" w:hAnsi="宋体" w:cs="宋体"/>
          <w:color w:val="auto"/>
          <w:sz w:val="24"/>
          <w:szCs w:val="24"/>
          <w:highlight w:val="none"/>
        </w:rPr>
        <w:t>型圈10个；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4.19隔垫50个；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4.20</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调谐液1瓶；</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w:t>
      </w:r>
      <w:r>
        <w:rPr>
          <w:rFonts w:ascii="宋体" w:hAnsi="宋体" w:cs="宋体"/>
          <w:color w:val="auto"/>
          <w:sz w:val="24"/>
          <w:szCs w:val="24"/>
          <w:highlight w:val="none"/>
        </w:rPr>
        <w:t>UL</w:t>
      </w:r>
      <w:r>
        <w:rPr>
          <w:rFonts w:hint="eastAsia" w:ascii="宋体" w:hAnsi="宋体" w:cs="宋体"/>
          <w:color w:val="auto"/>
          <w:sz w:val="24"/>
          <w:szCs w:val="24"/>
          <w:highlight w:val="none"/>
        </w:rPr>
        <w:t>进样针2支；</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2</w:t>
      </w:r>
      <w:r>
        <w:rPr>
          <w:rFonts w:ascii="宋体" w:hAnsi="宋体" w:cs="宋体"/>
          <w:color w:val="auto"/>
          <w:sz w:val="24"/>
          <w:szCs w:val="24"/>
          <w:highlight w:val="none"/>
        </w:rPr>
        <w:t>mL</w:t>
      </w:r>
      <w:r>
        <w:rPr>
          <w:rFonts w:hint="eastAsia" w:ascii="宋体" w:hAnsi="宋体" w:cs="宋体"/>
          <w:color w:val="auto"/>
          <w:sz w:val="24"/>
          <w:szCs w:val="24"/>
          <w:highlight w:val="none"/>
        </w:rPr>
        <w:t>样品瓶100个；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4.23</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2</w:t>
      </w:r>
      <w:r>
        <w:rPr>
          <w:rFonts w:ascii="宋体" w:hAnsi="宋体" w:cs="宋体"/>
          <w:color w:val="auto"/>
          <w:sz w:val="24"/>
          <w:szCs w:val="24"/>
          <w:highlight w:val="none"/>
        </w:rPr>
        <w:t>ml</w:t>
      </w:r>
      <w:r>
        <w:rPr>
          <w:rFonts w:hint="eastAsia" w:ascii="宋体" w:hAnsi="宋体" w:cs="宋体"/>
          <w:color w:val="auto"/>
          <w:sz w:val="24"/>
          <w:szCs w:val="24"/>
          <w:highlight w:val="none"/>
        </w:rPr>
        <w:t>棕色样品瓶100个；</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4.24</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电脑打印机各1套；</w:t>
      </w:r>
    </w:p>
    <w:p>
      <w:pPr>
        <w:keepNext w:val="0"/>
        <w:keepLines w:val="0"/>
        <w:pageBreakBefore w:val="0"/>
        <w:tabs>
          <w:tab w:val="left" w:pos="585"/>
        </w:tabs>
        <w:kinsoku/>
        <w:wordWrap/>
        <w:topLinePunct w:val="0"/>
        <w:bidi w:val="0"/>
        <w:snapToGrid/>
        <w:spacing w:line="24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氦气钢瓶含减压阀1套；</w:t>
      </w:r>
    </w:p>
    <w:p>
      <w:pPr>
        <w:keepNext w:val="0"/>
        <w:keepLines w:val="0"/>
        <w:pageBreakBefore w:val="0"/>
        <w:tabs>
          <w:tab w:val="left" w:pos="585"/>
        </w:tabs>
        <w:kinsoku/>
        <w:wordWrap/>
        <w:topLinePunct w:val="0"/>
        <w:bidi w:val="0"/>
        <w:snapToGrid/>
        <w:spacing w:line="24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氮气钢瓶含加压阀1套；</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bookmarkStart w:id="117" w:name="_Hlk16879534"/>
      <w:r>
        <w:rPr>
          <w:rFonts w:hint="eastAsia" w:asciiTheme="minorEastAsia" w:hAnsiTheme="minorEastAsia" w:eastAsiaTheme="minorEastAsia" w:cstheme="minorEastAsia"/>
          <w:b/>
          <w:bCs/>
          <w:color w:val="auto"/>
          <w:sz w:val="28"/>
          <w:szCs w:val="28"/>
          <w:highlight w:val="none"/>
        </w:rPr>
        <w:t>2、机器人全自动</w:t>
      </w:r>
      <w:r>
        <w:rPr>
          <w:rFonts w:hint="eastAsia" w:asciiTheme="minorEastAsia" w:hAnsiTheme="minorEastAsia" w:eastAsiaTheme="minorEastAsia" w:cstheme="minorEastAsia"/>
          <w:b/>
          <w:bCs/>
          <w:color w:val="auto"/>
          <w:sz w:val="28"/>
          <w:szCs w:val="28"/>
          <w:highlight w:val="none"/>
          <w:lang w:eastAsia="zh-CN"/>
        </w:rPr>
        <w:t>电</w:t>
      </w:r>
      <w:r>
        <w:rPr>
          <w:rFonts w:hint="eastAsia" w:asciiTheme="minorEastAsia" w:hAnsiTheme="minorEastAsia" w:eastAsiaTheme="minorEastAsia" w:cstheme="minorEastAsia"/>
          <w:b/>
          <w:bCs/>
          <w:color w:val="auto"/>
          <w:sz w:val="28"/>
          <w:szCs w:val="28"/>
          <w:highlight w:val="none"/>
        </w:rPr>
        <w:t>位滴定仪参数与配置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品目：机器人自动进样全自动电位滴定仪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一、技术参数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该设备用于各种水样品中硬度滴定、盐碘等的全自动滴定实验，并能直接测量pH值、温度、电导率值。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1．通用滴定平台：可支持电位滴定、极化滴定、光度滴定、电导滴定、光度滴定、温度滴定。可直接测定温度、电压、pH值、极化电流、极化电压。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1.1工作模式：具备动态滴定、等量滴定、终点设定滴定、测量、校正、标准加入、手工滴定、不间断连续加液和手工加液等模式。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1.2每个方法中内部循环可执行具有8个以上。（提供实现此功能的控制软件方法截图）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1.3方法中有If ... then ...条件判断功能。（提供实现此功能的控制软件方法截图）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滴定管驱动器及滴定管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2.1具有滴定和加液功能，滴定管驱动器不少于2个，并可扩展为12个滴定管驱动器；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2.2瓶顶式滴定管活塞驱动器，配合四通阀，实现滴定管无死体积（需要提供无死体积的结构图及原理说明，提供制造厂家官方证明材料）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2.3滴定管容积：2，5，10，20，50 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2.4加液精度满足ISO/DIN Standard 8655-3关于活塞式滴定管加液精度的相关要求。滴定管最大加液误差（滴定管驱动器配合计量管使用的整体误差）：10ml为0.2%，20ml为0.15%，50ml为0.1%。（提供制造厂家官方证明材料，不能只提供滴定管驱动器或者计量管的精度数据，需要提供滴定管驱动器配合计量管使用的整体加液误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3.6测量输入：具有极化接口，可进行极化滴定，包括扩展卡氏水分测定功能。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3.7电位测量：范围：-1200…+1200 mV，分辨率： 0.1mv，准确度：± 0.2 mV</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 PH测量：范围：0…14，分辨率：0.001pH，准确度: ± pH 0.003（提供制造厂家官方证明材并加盖原厂公章）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 极化电极接口（Upol），极化电压：≥0-1000mV；测量范围：≥0-120μA；分辨率：≤0.01μA；误差范围：≤0.2μA；（提供制造厂家官方证明材料并加盖原厂公章）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3.10 极化电极接口（Ipol），极化电流：≥0-120μA；测量范围：≤0-1000mV；分辨率：≤0.1mV；误差范围：≤0.2mV；（提供制造厂家官方证明材料并加盖原厂公章）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3.11温度测量：范围：–170…+150°C，分辨率：0.1°C，准确度：±0.2°C（提供制造厂家官方证明材料并加盖原厂公章）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4.搅拌器：磁力或螺旋搅拌任选，搅拌速度控制根据模糊逻辑概念设计，搅拌力矩随溶液粘度的变化自动调整，正反双向搅拌控制，15档变速。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5.全自动仪器内置自动进样器：可按工作需求选择14、16、24、48个样品位数的样品架</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5.1主机可以自动识别可换式样品盘的种类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5.2带光学样品杯识别探头：当某样品位没有放置滴定杯或样品杯时，主机自动识别并跳过，寻找下一个样品位</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5.3单工作塔，需选配二个输液泵，可选择实现多种方式的电极和滴定头的清洗工作</w:t>
      </w:r>
    </w:p>
    <w:p>
      <w:pPr>
        <w:keepNext w:val="0"/>
        <w:keepLines w:val="0"/>
        <w:pageBreakBefore w:val="0"/>
        <w:widowControl w:val="0"/>
        <w:kinsoku/>
        <w:wordWrap/>
        <w:overflowPunct/>
        <w:topLinePunct w:val="0"/>
        <w:autoSpaceDE/>
        <w:autoSpaceDN/>
        <w:bidi w:val="0"/>
        <w:adjustRightInd/>
        <w:snapToGrid/>
        <w:ind w:left="720" w:leftChars="200" w:hanging="240" w:hanging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5.4可安置单移动臂（左向或右向）和单外置滴定位</w:t>
      </w:r>
    </w:p>
    <w:p>
      <w:pPr>
        <w:keepNext w:val="0"/>
        <w:keepLines w:val="0"/>
        <w:pageBreakBefore w:val="0"/>
        <w:widowControl w:val="0"/>
        <w:kinsoku/>
        <w:wordWrap/>
        <w:overflowPunct/>
        <w:topLinePunct w:val="0"/>
        <w:autoSpaceDE/>
        <w:autoSpaceDN/>
        <w:bidi w:val="0"/>
        <w:adjustRightInd/>
        <w:snapToGrid/>
        <w:ind w:left="720" w:leftChars="200" w:hanging="240" w:hanging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5.5预置方法程序，可随意编程和储存999个方法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5.6每个方法含开始、样品测定和结束三个程序，每个程序可编制99个 操作步骤</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5.7 USB通用接口，可连接打印机、U盘、实验室网络等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  3个 MSB专用接口，可选配额外的瓶顶式配液器、滴定管单元、搅拌器和其他辅助设备，辅助完成更加复杂的液体处理、定量吸液、定量移液、自动卡氏微量水份测定等功能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5.9可选择漏液保护架托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6.工作站：计算机软件工作站 ，支持中文。软件可以自动识别已经连接的软硬件设备，具有完备的电极管理、滴定剂管理、文件管理、用户分级管理和电子签名等功能，可自动记录日志化文件，且仪器登陆操作受密码保护；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二、仪器配置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1.主机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外置瓶顶式滴定管驱动器          2套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20毫升四通阀智能滴定管：        2套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50毫升四通阀智能滴定管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 10毫升四通阀智能滴定管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 复合钙离子选择电极(络合硬度滴定)       1支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 复合铂电极（氧化还原盐碘滴定）         1支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8.电极电缆：                              1根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9.仪器控制线：                            1根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10.电脑工作站（含中英文操作软件）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11．螺旋桨搅拌器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12.内置自动样品处理器（150mL样品盘）      1套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 150mL样品杯                           100个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 滴定头支架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15.温度电极                               1支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16.原厂清洗泵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17.原厂排液泵                             1套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18.原厂试剂瓶                             5个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19.PEEK滴定连接管：                       4根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20.电脑工作站：配套工作站软件、电脑（国内采购）（四核,硬盘1T，内存4Ｇ，21寸液晶显示屏）、激光打印机（国内采购）及正版专业版操作系统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三、售后服务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 测试培训验收合格后，整机保修期为一年</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保修期内：24小时作出相应的问题答复；如电话不能解决问题，维修人员将在3个工作日内到达现场（视用户地理位置而定）如果仍未解决问题的，厂家需要提供一台相同性能仪器，在维修期内供用户免费使用。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保修期外：提供24个月的维护保养服务合约。买方在签订此合约后，即可享受卖方提供的定期仪器维护保养服务，同时又可以获得12个月保修期届满后自动延长24个月的优惠政策。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4.技术资料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详细的英文操作指南（公司义务提供中文操作手册），仪器维护的有关资料及质量认证书。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5.技术服务和培训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卖方须到买方提供现场免费安装、调试设备，进行操作试验，直至运行正常，为仪器操作人员提供必须的免费的操作及维护培训。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注：以上配置除电脑及打印机及消解器外全为原厂原装进口</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3、全自动高锰酸盐指数分析仪</w:t>
      </w:r>
      <w:bookmarkEnd w:id="117"/>
      <w:r>
        <w:rPr>
          <w:rFonts w:hint="eastAsia" w:asciiTheme="minorEastAsia" w:hAnsiTheme="minorEastAsia" w:eastAsiaTheme="minorEastAsia" w:cstheme="minorEastAsia"/>
          <w:b/>
          <w:bCs/>
          <w:color w:val="auto"/>
          <w:sz w:val="28"/>
          <w:szCs w:val="28"/>
          <w:highlight w:val="none"/>
        </w:rPr>
        <w:t>技术参数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品目：全自动高锰酸盐指数分析仪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1.用途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用于全自动测定样品中的高锰酸盐指数。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标准要求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仪器操作完全依照国家标准《GB/T 5750.7-2006 水质 生活饮用水标准检验方法有机物综合指标》中规定的操作步骤进行设计，测量全过程完全符合标准方法要求。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样品转移系统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注射进样系统，非蠕动摇臂阀孔系统。实时精确控制进样量，无进样量数据修正设置及后门，有效保障数据结果真实性与可靠性；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配备不少于48孔位样品盘，单次测定取样量不少于100mL；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高精度机械臂，自动抓取样品，多通道自动进样系统，单进样臂即可完成所有试剂的添加，结构简洁可靠，维护成本更低；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自适应电动夹爪，加持力软件自适配，无需额外气源设备，无高压风险，无气路泄露风险，实现样品转移静音运行，夹爪能够自动判断是否抓取样品成功，防止测量过程中出现意外情况。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滴定系统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 滴定系统各管路注射泵独立控制；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最终滴定过程采用人眼视觉模拟判定，根据人眼光谱光视效率，优化复合光强变化算法，模拟人眼感光响应曲线，高精度模拟还原人眼颜色识别，滴定过程实时记录显示传感器数据，非电压、电流及光度比色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 可调恒温滴定设计，用户可自行设定滴定温度，40-100℃范围内可调滴定过量时，仪器可以自动扣除过量部分；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 仪器具备“一键检测”功能，无人值守，在不同的实验阶段，自动完成试剂添加、水浴加热、颜色滴定、自动分析并计算结果；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 样品消解采用微沸水浴氧化设计，减少爆沸导致的水体蒸发，通过水汽防溢结构设计最大限度地降低实验区域的蒸气逸散，即使在空旷的实验平台也无明显的蒸气逸散，无须额外配备通风橱系统，大功率高效水浴系统，水浴系统能够极快速到达稳态，并通过PWM闭环控温技术实现温度精确恒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4.6 多重水位监测及自动给水系统可根据水浴箱液面自动补水，补给用水缺水时系统预警提示并停止后续检测；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 试剂液位辅助监测功能，实时显示试剂液面，试剂即将使用完毕的情况下系统自动报警提示并停止测定；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4.8 微液滴悬挂设计，可极大降低试剂添加过程中的液滴悬挂，提高加液精度，降低加液臂移动过程中试剂液滴低落引入的飞溅腐蚀；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4.9 系统配备滴定分析视频溯源功能，滴定过程实时记录显示样品杯内样品试剂颜色变化，具备滴定视频存储查阅功能。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 仪器指标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 全程控设计方案。所有参数及配置全部通过软件控制，用户只需点击鼠标即可全程操作，既安全又高效；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 环境温湿度、环境大气压监测功能，有效记录实验环境条件，对于异常海拔、气压、温湿度情况及时提醒操作人员，提高数据溯源的有效性和真实性，针对高海拔低气压低温等恶劣环境具备方法优化设计；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 可视化液路流路设计，全流路采用透明氟塑料管路，所有液路接头采用快速手拧扭矩翻边接头，连接可靠维护便捷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 整机安全防护设计，具备漏电防护、加热过温防护、电源EMI防护、漏液防护等多项专利防护技术，确保整机运行过程中对于操作人员的安全保护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 整机通讯支持TCP/IP协议，支持WIFI通讯连接，支持实验室LIMS系统数据上传对接；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 系统开机自检功能，对于水浴液位、环境温湿度、环境大气压、运动系统、多通道自动加样系统等进行运行状态核减，具备故障诊断能力；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5.7 据报告系统，支持数据自动存储、数据溯源查阅、支持PDF/Word/excel等格式报表输出与报表打印，支持报告个性化定制；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 精密度：RSD≤2.0% （高锰酸钾值为4.0mg/L的葡萄糖标准溶液，n=5）。消解位温度示值误差≤0.1℃，重复性≤0.1℃，加液泵示值误差≤0.4%，重复性≤0.2%（需提供校准或测试证书等证明文件）；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5.9 测定范围：0～5.0mg/L（不稀释，取样量100mL）；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5.10 测定速度：≤5.5min/样品（连续测定）；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5.11 样品量：100ml；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5.12 注射泵精度：0.2% FS；</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5.13 滴定最小体积：0.02ml；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5.14 滴定分辨率：1μL；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5.15 水浴通道数：9通道；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5.16 恒温滴定温控范围：40-100℃；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5.17 恒温滴定温控精度：±0.1℃；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5.18 整机长度:&lt;1米；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5.19设备技术成熟，数据准确可靠，需取得中国环境监测总站（或与之同等级的国家级权威机构）出具的产品监测比对报告验证（投标时需提供报告复印件并加盖制造商公章）。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6.系统配置要求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6.1主机（含多功能杯架模块；四通道自动进样模块；免维护三轴运动系统；水浴滴定分析模块等）1套；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6.5 高锰酸盐指数分析仪软件系统1套；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6.6 耗材配件（含石英样品杯50个；磁力搅拌子；透明试剂瓶；棕色试剂瓶；纯水桶废液管路；进样管路等）1套；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6.7 品牌电脑及打印机1套（支持工作站正常运转）；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 其他要求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7.1 交货地点：用户指定地；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7.2 质保期：仪器免费保修1年；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7.3 售后服务：仪器出现故障时，供货方得到通知3日内派维修人员到达用户现场维修；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7.4 培训：免费提供该仪器相关培训；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7.5 验收：仪器到达最终用户后，由用户提供验收条件，供应商应即时派维修人员前往验收；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7.6 生产商需具备生产制造资质，生产厂家需通过ISO9001质量管理体系认证、ISO14001环境管理体系认证、ISO45001职业健康安全管理体系认证，该三项体系认证必须为ISO标准体系。</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4、多功能大容量冷冻离心机参数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品目：多功能大容量冷冻离心机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一、工作条件：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电压：230 V ± 10%, 50-60 Hz，电流：10.5 A, 1650 W（最大），环境温度：10 ℃-35 ℃，最大湿度： 10 % - 75 %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二、主要技术指标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2.1最大容量：4 x 750 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2.2最大相对离心力大于：20,000 x g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2.3温控范围：-11 °C to 40 °C</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99 个自定义程序数；5 个快捷程序按键，快速运行常用程序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2.5自动转子识别和自动转子失衡检测功能，离心更安全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2.6转子在最高转速下，仍可以保持4 °C</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2.7转子及附件可高温高压灭菌（121 °C，20 分钟），保护人员安全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2.8具备定速计时功能，达到设定转速后开始计时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  10 档可调的软加速和软刹车功能，防止样品重悬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2.10可同时离心工作板和离心管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 最高转速运行时噪音水平低 &lt; 55db(A)</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2.12具备瞬时离心按键，方便操作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2.13离心计时10 s to 99 小时 59 分钟，可连续离心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2.14转速范围：100 rpm – 14000 rpm (10 rpm 调整精度)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2.15具备通用组合适配器，一个适配器可实现多种离心耗材的离心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三、基本配置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主机</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1 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4* 750ml的水平转子一个；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50ml 离心管适配器4个,  可一次离心不少于28个50ml/离心管；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15ml离心管适配器4个,  可一次离心不少于64个15ml/的离心管；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不拆卸转子即可以离心酶标板，不引起二次污染；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  适配的气密性吊篮盖4套，离心完毕后放置于生物安全柜内开盖，有效防止气溶胶污染，保护实验人员安全；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  6*50ml 气密性角转子一个，转速不低于12000rpm；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  15ml 角转子适配器6套；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  必配的附件、配件、专用工具、消耗品等。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四、售后服务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1、详细的中英文操作指南，仪器维护的有关资料及质量认证书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2、质量保证：测试验收合格后1年</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5、恒温混匀仪参数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品目：恒温混匀仪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一、用途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具备卓越的混匀和温控性能，确保完整、可靠和可重复的实验结果。可同时混匀和孵育样品，也有助于提高实验结果。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二、主要技术指标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1、基本应用 ： 加热／混匀／制冷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2、温控范围：最低：室温以下 15 ℃ 1)，最高：100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3、最低和最高温度设定: 1 ℃ / 100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4、最大温控精确性: ± 0.5 ℃， 在 20–45℃ 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5、温度均一性：最大± 0.5 ℃，在 20–45 ℃下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6、最大加热速率：5.5 ℃/分钟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7、最大制冷速率：2.2 ℃/分钟， 100 ℃ 至室温之间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8、混匀速率：300–2,500 rpm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9、计时： 15 秒至 99:30 小时，可连续运行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10、可编辑 20 个程序；5 个快速程序按键（预设、可重写）；可编程：最多 4 个编程等级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11、电源： 220 V–240 V ±10 %, 50 Hz–60 Hz</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12、功率：200 W</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三、基本配置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1、主机 一台（带有加热／混匀／制冷功能）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2、1.5 mL SmartBlocks™ 加热模块，可以孵育 24×1.5 mL 样品管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四、售后服务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1、详细的中英文操作指南，仪器维护的有关资料及质量认证书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2、质量保证：测试验收合格后1年</w:t>
      </w:r>
    </w:p>
    <w:tbl>
      <w:tblPr>
        <w:tblStyle w:val="18"/>
        <w:tblW w:w="7880" w:type="dxa"/>
        <w:tblInd w:w="93" w:type="dxa"/>
        <w:tblLayout w:type="autofit"/>
        <w:tblCellMar>
          <w:top w:w="0" w:type="dxa"/>
          <w:left w:w="108" w:type="dxa"/>
          <w:bottom w:w="0" w:type="dxa"/>
          <w:right w:w="108" w:type="dxa"/>
        </w:tblCellMar>
      </w:tblPr>
      <w:tblGrid>
        <w:gridCol w:w="417"/>
        <w:gridCol w:w="2674"/>
        <w:gridCol w:w="958"/>
        <w:gridCol w:w="958"/>
        <w:gridCol w:w="2873"/>
      </w:tblGrid>
      <w:tr>
        <w:tblPrEx>
          <w:tblCellMar>
            <w:top w:w="0" w:type="dxa"/>
            <w:left w:w="108" w:type="dxa"/>
            <w:bottom w:w="0" w:type="dxa"/>
            <w:right w:w="108" w:type="dxa"/>
          </w:tblCellMar>
        </w:tblPrEx>
        <w:trPr>
          <w:trHeight w:val="348" w:hRule="atLeast"/>
        </w:trPr>
        <w:tc>
          <w:tcPr>
            <w:tcW w:w="788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实验室检验检测设备清单 包五</w:t>
            </w:r>
          </w:p>
        </w:tc>
      </w:tr>
      <w:tr>
        <w:tblPrEx>
          <w:tblCellMar>
            <w:top w:w="0" w:type="dxa"/>
            <w:left w:w="108" w:type="dxa"/>
            <w:bottom w:w="0" w:type="dxa"/>
            <w:right w:w="108" w:type="dxa"/>
          </w:tblCellMar>
        </w:tblPrEx>
        <w:trPr>
          <w:trHeight w:val="312" w:hRule="atLeast"/>
        </w:trPr>
        <w:tc>
          <w:tcPr>
            <w:tcW w:w="4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val="en-US" w:eastAsia="zh-CN" w:bidi="ar-SA"/>
              </w:rPr>
            </w:pPr>
            <w:r>
              <w:rPr>
                <w:rFonts w:hint="eastAsia" w:asciiTheme="minorEastAsia" w:hAnsiTheme="minorEastAsia" w:eastAsiaTheme="minorEastAsia" w:cstheme="minorEastAsia"/>
                <w:b/>
                <w:bCs/>
                <w:color w:val="auto"/>
                <w:kern w:val="0"/>
                <w:sz w:val="20"/>
                <w:szCs w:val="20"/>
                <w:highlight w:val="none"/>
              </w:rPr>
              <w:t>序号</w:t>
            </w:r>
          </w:p>
        </w:tc>
        <w:tc>
          <w:tcPr>
            <w:tcW w:w="26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val="en-US" w:eastAsia="zh-CN" w:bidi="ar-SA"/>
              </w:rPr>
            </w:pPr>
            <w:r>
              <w:rPr>
                <w:rFonts w:hint="eastAsia" w:asciiTheme="minorEastAsia" w:hAnsiTheme="minorEastAsia" w:eastAsiaTheme="minorEastAsia" w:cstheme="minorEastAsia"/>
                <w:b/>
                <w:bCs/>
                <w:color w:val="auto"/>
                <w:kern w:val="0"/>
                <w:sz w:val="20"/>
                <w:szCs w:val="20"/>
                <w:highlight w:val="none"/>
              </w:rPr>
              <w:t>仪器名称</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val="en-US" w:eastAsia="zh-CN" w:bidi="ar-SA"/>
              </w:rPr>
            </w:pPr>
            <w:r>
              <w:rPr>
                <w:rFonts w:hint="eastAsia" w:asciiTheme="minorEastAsia" w:hAnsiTheme="minorEastAsia" w:eastAsiaTheme="minorEastAsia" w:cstheme="minorEastAsia"/>
                <w:b/>
                <w:bCs/>
                <w:color w:val="auto"/>
                <w:kern w:val="0"/>
                <w:sz w:val="20"/>
                <w:szCs w:val="20"/>
                <w:highlight w:val="none"/>
              </w:rPr>
              <w:t>数量</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val="en-US" w:eastAsia="zh-CN" w:bidi="ar-SA"/>
              </w:rPr>
            </w:pPr>
            <w:r>
              <w:rPr>
                <w:rFonts w:hint="eastAsia" w:asciiTheme="minorEastAsia" w:hAnsiTheme="minorEastAsia" w:eastAsiaTheme="minorEastAsia" w:cstheme="minorEastAsia"/>
                <w:b/>
                <w:bCs/>
                <w:color w:val="auto"/>
                <w:kern w:val="0"/>
                <w:sz w:val="20"/>
                <w:szCs w:val="20"/>
                <w:highlight w:val="none"/>
              </w:rPr>
              <w:t>单位</w:t>
            </w:r>
          </w:p>
        </w:tc>
        <w:tc>
          <w:tcPr>
            <w:tcW w:w="288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auto"/>
                <w:kern w:val="0"/>
                <w:sz w:val="20"/>
                <w:szCs w:val="20"/>
                <w:highlight w:val="none"/>
                <w:lang w:val="en-US" w:eastAsia="zh-CN" w:bidi="ar-SA"/>
              </w:rPr>
            </w:pPr>
            <w:r>
              <w:rPr>
                <w:rFonts w:hint="eastAsia" w:asciiTheme="minorEastAsia" w:hAnsiTheme="minorEastAsia" w:eastAsiaTheme="minorEastAsia" w:cstheme="minorEastAsia"/>
                <w:b/>
                <w:bCs/>
                <w:color w:val="auto"/>
                <w:kern w:val="0"/>
                <w:sz w:val="20"/>
                <w:szCs w:val="20"/>
                <w:highlight w:val="none"/>
                <w:lang w:eastAsia="zh-CN"/>
              </w:rPr>
              <w:t>备注</w:t>
            </w:r>
          </w:p>
        </w:tc>
      </w:tr>
      <w:tr>
        <w:tblPrEx>
          <w:tblCellMar>
            <w:top w:w="0" w:type="dxa"/>
            <w:left w:w="108" w:type="dxa"/>
            <w:bottom w:w="0" w:type="dxa"/>
            <w:right w:w="108" w:type="dxa"/>
          </w:tblCellMar>
        </w:tblPrEx>
        <w:trPr>
          <w:trHeight w:val="312" w:hRule="atLeast"/>
        </w:trPr>
        <w:tc>
          <w:tcPr>
            <w:tcW w:w="4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 w:val="24"/>
                <w:szCs w:val="21"/>
                <w:highlight w:val="none"/>
                <w:lang w:val="en-US" w:eastAsia="zh-CN" w:bidi="ar-SA"/>
              </w:rPr>
            </w:pPr>
            <w:r>
              <w:rPr>
                <w:rFonts w:hint="eastAsia" w:asciiTheme="minorEastAsia" w:hAnsiTheme="minorEastAsia" w:eastAsiaTheme="minorEastAsia" w:cstheme="minorEastAsia"/>
                <w:b/>
                <w:bCs/>
                <w:color w:val="auto"/>
                <w:kern w:val="0"/>
                <w:szCs w:val="21"/>
                <w:highlight w:val="none"/>
              </w:rPr>
              <w:t>1</w:t>
            </w:r>
          </w:p>
        </w:tc>
        <w:tc>
          <w:tcPr>
            <w:tcW w:w="26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实时荧光定量PCR仪</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3</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台</w:t>
            </w:r>
          </w:p>
        </w:tc>
        <w:tc>
          <w:tcPr>
            <w:tcW w:w="288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47" w:hRule="atLeast"/>
        </w:trPr>
        <w:tc>
          <w:tcPr>
            <w:tcW w:w="4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2</w:t>
            </w:r>
          </w:p>
        </w:tc>
        <w:tc>
          <w:tcPr>
            <w:tcW w:w="26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超纯水系统</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288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原装进口</w:t>
            </w:r>
          </w:p>
        </w:tc>
      </w:tr>
      <w:tr>
        <w:tblPrEx>
          <w:tblCellMar>
            <w:top w:w="0" w:type="dxa"/>
            <w:left w:w="108" w:type="dxa"/>
            <w:bottom w:w="0" w:type="dxa"/>
            <w:right w:w="108" w:type="dxa"/>
          </w:tblCellMar>
        </w:tblPrEx>
        <w:trPr>
          <w:trHeight w:val="312" w:hRule="atLeast"/>
        </w:trPr>
        <w:tc>
          <w:tcPr>
            <w:tcW w:w="4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p>
        </w:tc>
        <w:tc>
          <w:tcPr>
            <w:tcW w:w="26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全自动核酸工作站</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9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台</w:t>
            </w:r>
          </w:p>
        </w:tc>
        <w:tc>
          <w:tcPr>
            <w:tcW w:w="288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eastAsia="zh-CN"/>
              </w:rPr>
              <w:t>国产</w:t>
            </w:r>
          </w:p>
        </w:tc>
      </w:tr>
    </w:tbl>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1、实时荧光定量PCR仪参数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品目：实时荧光定量PCR</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1工件条件：电源：AC 220V±10%  50-60 Hz，环境温度：10-30℃，相对湿度：≤80%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2仪器性能与技术指标：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2.1热循环系统：96孔珀耳帖效应系统；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2.2通道数：至少具有6色激发光通道和6色检测光通道，并且每一孔可同时检测6种不同的目标基因；6色激发光通道和6色检测光通道互相组合，可在一次实验运行中采集多达 20 种不同的荧光波长组合，用于进行多重分析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2.3加热模块具有至少6个独立数码控温模块组成，每个控温模块可独立手工精确设置运行温度；同一个板上可同时进行6个不同运行温度的PCR检测，相邻两个模块之间的温度差可达5℃，每个温度孵育时间相同；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2.4试剂开放，各种国产及进口试剂均适用；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2.5耗材开放，可使用0.2mL单管、八联管、96孔板等；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 PCR主机具有触摸屏，可独立运行，离线操作，无需连接电脑即可实时监控PCR荧光扩增曲线；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2.7荧光定量PCR仪主机自带存储功能，可备份还原超过1000次的定量运行文件；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2.8激发光源：高亮度白光半导体光源（工作寿命&gt;4年）；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2.9检测系统：CCD或CMOS成像系统，所有孔同时采集荧光数据，不同检测孔之间没有时间差；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2.10支持的荧光染料： FAM™，SYBR®，VIC®，JOE™，TET™，HEX™，TAMRA™，NED™，Texas Red®，Cy®3，ABY，JUN，LIZ™，Cy®5，Cy®5.5等；必须能同时检测FAM、VIC、TAMRA、ROX四种荧光染料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2.11温控模块最高升温速率：至少6℃/秒；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2.12温控模块在实验运行前及实验运行后，均可保持 4 ℃恒温，防止试剂常温降解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2.13温控范围：4℃～99.9℃；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2.14温度准确性：≤±0.25℃；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2.15温度均一性：≤±0.4℃；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2.16灵敏度：单拷贝检测/反应体系；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2.17精密度：最低可分辨1.5倍拷贝数差异，置信度99.7%；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2.18线性动态范围：10个数量级；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2.19提供仪器厂家正版的引物与探针设计软件，可进行Taqman、TaqmanMGB等常用探针的设计和自动测评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2.20具有USB、Wifi和云服务平台接口，可单机运行，可连接电脑运行，或通过云服务平台运行，使用户直接登录网络浏览器，随时随地查看和分析、分享实验数据。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3配 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3.1荧光定量PCR仪主机1台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3.2原装进口电脑1台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3.3定量分析软件1套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3.4引物探针设计软件1套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4技术服务：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4.1仪器安装、验收：必须由厂家授权的技术人员到现场安装仪器，并在用户实验室人员在场的情况下进行操作试验，直至运行正常，确保仪器技术指标验收合格。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4.2用户培训：厂家提供现场免费操作及维护培训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4.3厂家提供快速响应的维修服务体系，有专职的维修工程师有效保证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4.4质保期：测试培训验收合格后，质保期1年，4小时内响应，48小时内到达现场提供技术服务。</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2、超纯水系统参数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品目：纯水超纯水一体化智能系统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主要用途：纯水应用：微生物培养基制备、缓冲液配置、水栽培、实验室前处理设备供水（灭菌锅、自动滴定仪）、CO2培养箱、老化机等，超纯水应用：HPLC/LC-MS/TOF有机物分析仪器及试剂用水、ICP-MS/AAS/ICP/无机分析仪器及试剂用水、IC离子色谱仪器及试剂用水、TOC测量仪器及试剂用水、洁净间仪器及实验用具清洗、凝胶电泳/脉冲场电泳/2D蛋白电泳试剂用水、Ion Torrent等第二代测序仪清洗及试剂用水。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二、工作条件：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环境温度 ： 5-35℃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相对湿度 ： 20%-80%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电源 ： AC220V ± 10%, 50HZ</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三、技术指标: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3.1从自来水直接生产II级纯水和I级超纯水的一体化智能系统 ，然后由独立的带显示屏的POD 取水器取水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纯水产水：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3.2.1电阻率 ＞ 5 MΩ·cm＠25℃ 典型值为10-15 MΩ·cm＠25℃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3.2.2总有机碳含量(TOC) ＜ 30ppb；</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3.2.3直径大于0.2μm的颗粒物数量: ＜1/ml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3.2.4细菌：＜ 0.1 CFU/ml；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3.2.5产水流速：3 L/H</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3.2.6产水储存于外置同品牌30L非压力水箱，HDPE材质, 圆锥形可完全排空, 配空气过滤器、全量程液位传感器、漏水监测器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3.3超纯水产水：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3.3.1电阻率：18.2 MΩ.cm@25℃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3.3.2 配置液相色谱、质谱分析专用终端精制器，连续生产TOC &lt; 1ppb 的超纯水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3.3.3直径大于0.2μm的颗粒物数量: ＜1/ml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3.3.4细菌：＜ 0.1 cfu/ml；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3.3.5产水流速：0.05 - 2.0 L/min</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3.4系统监控及主要纯化部件：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3.4.1 系统内置高精度电阻率检测仪，电极常数为0.01cm-1，温度灵敏度达到0.1℃, 采用同轴电极专利设计，准确检测和显示温度补偿的电阻率，符合ASTM® D 1125-95(2009)及USP(§645)电阻率系统适应性测试要求，可溯源到NIST。要求在产品公开印刷资料可以见到相关描述。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3.4.2  内置独立集成式TOC检测仪，包含0.5ml石英样品池、185/254nm双波长紫外灯、钛电极、电磁阀及温度补偿单元，检测范围: 1 - 500 ppb，符合USP(§643)TOC系统适应性测试对500ppb测试标准溶液的要求，在产品公开印刷资料可见到相关描述。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3.4.3 内置与主机品牌相同的独立式连续电流去离子模块, 采用连续电场、离子选择性透过膜和混床树脂有效去除微量离子，具备专利阴极防结垢技术和连续电流抑菌技术，EDI模块前端无需增加软化柱或防毒柱，模块自动维护，无需化学再生或更换树脂,节约耗材,降低成本. 要求在产品公开印刷资料可以见到相关描述。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3.4.4内置具备温度反馈功能的恒流泵，保证水温7℃-35℃间均可达到系统标称产水速率.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3.4.5 内置高回收率反渗透模块前后各配备电导率计有效监控进水、显示反渗透膜截留率、保障产水水质，具备三种清洗模式，自动提示氯洗，通过毛细管弃水回收系统实现节水与保护反渗透膜的双重功能.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3.4.6产品公开印刷资料的流路图中显示主机内置1个185/254nm双波长紫外灯及1个独立TOC检测仪.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 操作功能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3.5.1 系统为中文操作界面，并提供三级登录管理系统菜单，包括正常使用、维护、系统管理；实时显示出水关键信息包括水质，系统状态和警告。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3.5.2 系统具有自动再循环功能，可在使用间歇保持水质恒定，在电阻率检测异常时自动报警，并设置有自动停水、进水缺水保护装置.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3.5.3 纯化柱具有RFID芯片，实现自动识别安装日期，防伪防错、耗材产水量实时监控，确保最佳可追溯性，保证系统安全.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3.5.4 主机与取水器分离,每台主机配置两个取水器,纯水、超纯水取水器可360˚旋转及上下调整高度，适合所有的实验室器皿取水。取水器可配置并口针式打印机，实时打印水质报告（A4幅面），取水器有全图形彩色显示实时水质,出水质量, 水箱水位及维护和故障。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3.5.5 为确保产品质量及使用安全，该产品需提供生产厂商在ISO9001和ISO14001注册生产基地的注册证书，及产品经过安全和电磁兼容性认证的CE和cUL证书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3.5.6 主机内置芯片，配置RS232接口和网线接口，可记录长达1年的水质报告，水质报告信息包括：进水电导率、压力、温度；RO/二级水产水电导率；截流率；超纯水产水电导率及TOC值。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3.5.7 系统配置网络化管理软件，通过网页对设备进行监控，图文动态指示信息，可实现主机运行全程监控，分级管理，远程诊断，电子签名，全面符合21 CFR part 11的数据管理要求。要求在产品公开印刷资料可以见到相关描述。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四、配置内容：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1．纯水超纯水一体化主机                                    1台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2．超纯水智能取水手臂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3．纯水智能取水手臂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4．30L PE水箱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5．水箱空气过滤器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6．RO膜清洗药片                                            1盒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7．自来水预处理组件                                        1套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8．带芯片预处理柱                                          2个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9．带芯片精纯化柱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10．漏水检测器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11．0.22um除菌终端过滤器                                   2个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12．LC-PAK终端过滤器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13．LC-PAK终端过滤器连接组件                              1个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 互联网+解决方案                                        1套      五、技术服务：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5.1仪器安装、验收：必须由厂家授权的技术人员到现场安装仪器，并在用户实验室人员在场的情况下进行操作试验，直至运行正常，确保仪器技术指标验收合格。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5.2用户培训：厂家提供现场免费操作及维护培训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5.3厂家提供快速响应的维修服务体系，有专职的维修工程师有效保证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5.4质保期：测试培训验收合格后，质保期1年，终身维护。</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3、全自动核酸工作站参数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品名：全自动核酸工作站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产品功能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1.1全自动信息识别（样品、试剂、耗材全信息识别）</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1.2全自动核酸提取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1.3全自动PCR反应体系构建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1.4提取产物留样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1.5紫外消毒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通量</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1~96个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检测能力</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多个独立的PCR反应体系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试剂仓技术</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PCR试剂仓，避光设计，开机自动制冷（4℃~15℃冷藏），可实现试剂预混功能，当测试量大于单管试剂量时，可多管试剂载机连用，无需人工换管或补充。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处理时间</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45分钟完成96份样本的核酸提取；70分钟完成96人份的自动加样、核酸提取及PCR反应体系构建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样品类型</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血浆、血清、全血、拭子洗液等样本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加样通道数</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1-4个加样通道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移液范围</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5~5000 μl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Tip类型</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5-50ul；50-1000ul</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移液性能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10.1  15μl以下：准确性：A≦2.0%，CV≦3.0%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10.2  15ul-50ul:准确性：A≦1.5%，CV≦1.5%</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10.3</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50μl准确性：偏差A≦1.0%，CV ≦1.2%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液面检测</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电容感应液面检测，气压感应液面检测；可随液面吸排，非均质样本预混匀功能，保证检测精度。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样本管规格</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兼容各种规格的采血管，1.5ml和2.0ml的离心管、冻存管及加样杯等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核酸提取原理</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磁珠法（磁珠-核酸分子混合物共转移）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核酸提取方式</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旋转混匀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功能转换提示音</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15.1开仓、异常警告；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15.2耗材错误或缺量警告及补充提示；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15.3实验步骤切换操作提示及确认；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15.4实验结束蜂鸣提示。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提取试剂配套</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提取孔位4-6孔，支持多规格提取试剂（包含单人份提取），避免试剂浪费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提取温控模块</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自带加热系统，裂解/洗脱两步骤“35~120℃”精确控温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防污染设计</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18.1    封闭独立的核酸提取区域，底部定向排风HEPA过滤。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18.2   独立分区、气压调节，定向排风形成内部负压系统。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18.3   气密性防滴落设计，电容及电压感应，外接液滴捕获全程监控。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18.4   根据需求定制外排风系统，满足不同需求。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18.5   实验仓、提取仓、废料区紫外灯消毒装置自动执行处理。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18.6   消毒配件自动倒计时，更换提醒，避免过渡使用或浪费。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18.7  可定制核酸提取定向室外排风系统。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PCR配套耗材</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兼容0.1ml /0.2 ml八连管、96孔板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自动化信息传递</w:t>
      </w:r>
      <w:r>
        <w:rPr>
          <w:rFonts w:hint="eastAsia" w:asciiTheme="minorEastAsia" w:hAnsiTheme="minorEastAsia" w:eastAsiaTheme="minorEastAsia" w:cstheme="minorEastAsia"/>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20.1  样品架载入时，对多个样品条码逐个扫描。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  提取样本条码信息一键式传递LIS系统。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20.3  自动识别提取试剂条码，解析提取程序信息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20.4  自动识别PCR扩增试剂各组份信息，仪器解析信息运行程序。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20.5  具有核酸提取→PCR样品信息传递功能，可将样品条码信息一键式传递到PCR仪的设置，进而实现LIS信息接入。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操作软件</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全中文/英文双语操作界面，可切换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视觉技术</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先进的视觉检测技术，实时进行耗材、试剂库存状态自动检测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信息接口</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支持HL7协议连接LIS系统；USB、RS232端口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软件系统</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Windows10专业版等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运行噪音</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&lt;65分贝，静音工作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整机尺寸</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1400mm(L) ×810mm (W) ×890mm (H)</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仪器重量</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260 kg</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运行环境</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温度：10℃~35℃；湿度：≤70%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储运环境</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温度：-20℃~55℃；湿度：≤90%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大气压力：86.0kPa~106.0 kPa</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工作电源</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AC 220V±22V，50±1Hz</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售后服务与培训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1、安装、校准与试运行：应对仪器设备的质量、规格、性能、数量进行详细和全面的检查，并出具检验证明，如有缺失，应负责赔偿。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2、为用户培训使用仪器的工作人员。其培训内容指的是仪器设备的基本原理、安装、调试、提供试剂盒一套、操作使用和日常保养维修等。培训时间不少于一个工作日。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3、仪器设备安装后，使用正常保修期为一年。在保修期内，供货厂商在接到用户要求对所购仪器设备进行维修时，应在24小时之内给予答复，并派出维修人员在三日内到达用户现场进行维修服务，终身负责维护。</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Cs/>
          <w:color w:val="auto"/>
          <w:szCs w:val="21"/>
          <w:highlight w:val="none"/>
        </w:rPr>
      </w:pPr>
    </w:p>
    <w:p>
      <w:pPr>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color w:val="auto"/>
          <w:sz w:val="28"/>
          <w:szCs w:val="28"/>
          <w:highlight w:val="none"/>
        </w:rPr>
      </w:pPr>
    </w:p>
    <w:sectPr>
      <w:footerReference r:id="rId6" w:type="default"/>
      <w:pgSz w:w="11849" w:h="16781"/>
      <w:pgMar w:top="1440" w:right="1803" w:bottom="1440" w:left="1803" w:header="851" w:footer="992" w:gutter="0"/>
      <w:pgNumType w:start="5"/>
      <w:cols w:space="720" w:num="1"/>
      <w:docGrid w:type="lines"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AgilentCond-Regular">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path/>
          <v:fill on="f" focussize="0,0"/>
          <v:stroke on="f"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7"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mvub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6ske5XvSX24QkCrdc&#10;4Qh7KoxDK+pOC5a34s97yXr5DV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ea+5sQEA&#10;AE4DAAAOAAAAAAAAAAEAIAAAAB4BAABkcnMvZTJvRG9jLnhtbFBLBQYAAAAABgAGAFkBAABBBQAA&#10;AAA=&#10;">
          <v:path/>
          <v:fill on="f" focussize="0,0"/>
          <v:stroke on="f"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31</w:t>
                </w:r>
                <w: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466C"/>
    <w:multiLevelType w:val="multilevel"/>
    <w:tmpl w:val="3C4E466C"/>
    <w:lvl w:ilvl="0" w:tentative="0">
      <w:start w:val="2"/>
      <w:numFmt w:val="decimal"/>
      <w:lvlText w:val="%1"/>
      <w:lvlJc w:val="left"/>
      <w:pPr>
        <w:ind w:left="735" w:hanging="735"/>
      </w:pPr>
      <w:rPr>
        <w:rFonts w:hint="default"/>
      </w:rPr>
    </w:lvl>
    <w:lvl w:ilvl="1" w:tentative="0">
      <w:start w:val="1"/>
      <w:numFmt w:val="decimal"/>
      <w:lvlText w:val="%1.%2"/>
      <w:lvlJc w:val="left"/>
      <w:pPr>
        <w:ind w:left="735" w:hanging="735"/>
      </w:pPr>
      <w:rPr>
        <w:rFonts w:hint="default"/>
      </w:rPr>
    </w:lvl>
    <w:lvl w:ilvl="2" w:tentative="0">
      <w:start w:val="4"/>
      <w:numFmt w:val="decimal"/>
      <w:lvlText w:val="%1.%2.%3"/>
      <w:lvlJc w:val="left"/>
      <w:pPr>
        <w:ind w:left="735" w:hanging="735"/>
      </w:pPr>
      <w:rPr>
        <w:rFonts w:hint="default"/>
      </w:rPr>
    </w:lvl>
    <w:lvl w:ilvl="3" w:tentative="0">
      <w:start w:val="6"/>
      <w:numFmt w:val="decimal"/>
      <w:lvlText w:val="%1.%2.%3.%4"/>
      <w:lvlJc w:val="left"/>
      <w:pPr>
        <w:ind w:left="735" w:hanging="735"/>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534C8926"/>
    <w:multiLevelType w:val="singleLevel"/>
    <w:tmpl w:val="534C8926"/>
    <w:lvl w:ilvl="0" w:tentative="0">
      <w:start w:val="5"/>
      <w:numFmt w:val="chineseCounting"/>
      <w:suff w:val="space"/>
      <w:lvlText w:val="第%1部分"/>
      <w:lvlJc w:val="left"/>
      <w:rPr>
        <w:rFonts w:hint="eastAsia"/>
      </w:r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891F51"/>
    <w:multiLevelType w:val="singleLevel"/>
    <w:tmpl w:val="59891F51"/>
    <w:lvl w:ilvl="0" w:tentative="0">
      <w:start w:val="1"/>
      <w:numFmt w:val="decimal"/>
      <w:suff w:val="nothing"/>
      <w:lvlText w:val="（%1）"/>
      <w:lvlJc w:val="left"/>
    </w:lvl>
  </w:abstractNum>
  <w:abstractNum w:abstractNumId="4">
    <w:nsid w:val="598963E4"/>
    <w:multiLevelType w:val="singleLevel"/>
    <w:tmpl w:val="598963E4"/>
    <w:lvl w:ilvl="0" w:tentative="0">
      <w:start w:val="1"/>
      <w:numFmt w:val="decimal"/>
      <w:suff w:val="nothing"/>
      <w:lvlText w:val="(%1)"/>
      <w:lvlJc w:val="left"/>
    </w:lvl>
  </w:abstractNum>
  <w:abstractNum w:abstractNumId="5">
    <w:nsid w:val="59896F69"/>
    <w:multiLevelType w:val="singleLevel"/>
    <w:tmpl w:val="59896F69"/>
    <w:lvl w:ilvl="0" w:tentative="0">
      <w:start w:val="1"/>
      <w:numFmt w:val="decimal"/>
      <w:suff w:val="nothing"/>
      <w:lvlText w:val="（%1）"/>
      <w:lvlJc w:val="left"/>
    </w:lvl>
  </w:abstractNum>
  <w:abstractNum w:abstractNumId="6">
    <w:nsid w:val="59B11739"/>
    <w:multiLevelType w:val="singleLevel"/>
    <w:tmpl w:val="59B11739"/>
    <w:lvl w:ilvl="0" w:tentative="0">
      <w:start w:val="1"/>
      <w:numFmt w:val="decimal"/>
      <w:suff w:val="nothing"/>
      <w:lvlText w:val="（%1）"/>
      <w:lvlJc w:val="left"/>
    </w:lvl>
  </w:abstractNum>
  <w:abstractNum w:abstractNumId="7">
    <w:nsid w:val="59FC3CC6"/>
    <w:multiLevelType w:val="singleLevel"/>
    <w:tmpl w:val="59FC3CC6"/>
    <w:lvl w:ilvl="0" w:tentative="0">
      <w:start w:val="1"/>
      <w:numFmt w:val="decimal"/>
      <w:suff w:val="nothing"/>
      <w:lvlText w:val="（%1）"/>
      <w:lvlJc w:val="left"/>
    </w:lvl>
  </w:abstractNum>
  <w:abstractNum w:abstractNumId="8">
    <w:nsid w:val="59FC3E95"/>
    <w:multiLevelType w:val="singleLevel"/>
    <w:tmpl w:val="59FC3E95"/>
    <w:lvl w:ilvl="0" w:tentative="0">
      <w:start w:val="1"/>
      <w:numFmt w:val="decimal"/>
      <w:lvlText w:val="(%1)"/>
      <w:lvlJc w:val="left"/>
      <w:pPr>
        <w:tabs>
          <w:tab w:val="left" w:pos="312"/>
        </w:tabs>
      </w:pPr>
    </w:lvl>
  </w:abstractNum>
  <w:abstractNum w:abstractNumId="9">
    <w:nsid w:val="59FC4271"/>
    <w:multiLevelType w:val="singleLevel"/>
    <w:tmpl w:val="59FC4271"/>
    <w:lvl w:ilvl="0" w:tentative="0">
      <w:start w:val="1"/>
      <w:numFmt w:val="decimal"/>
      <w:suff w:val="nothing"/>
      <w:lvlText w:val="（%1）"/>
      <w:lvlJc w:val="left"/>
    </w:lvl>
  </w:abstractNum>
  <w:abstractNum w:abstractNumId="10">
    <w:nsid w:val="59FC4698"/>
    <w:multiLevelType w:val="singleLevel"/>
    <w:tmpl w:val="59FC4698"/>
    <w:lvl w:ilvl="0" w:tentative="0">
      <w:start w:val="1"/>
      <w:numFmt w:val="decimal"/>
      <w:suff w:val="nothing"/>
      <w:lvlText w:val="（%1）"/>
      <w:lvlJc w:val="left"/>
    </w:lvl>
  </w:abstractNum>
  <w:abstractNum w:abstractNumId="11">
    <w:nsid w:val="59FC4CCC"/>
    <w:multiLevelType w:val="singleLevel"/>
    <w:tmpl w:val="59FC4CCC"/>
    <w:lvl w:ilvl="0" w:tentative="0">
      <w:start w:val="1"/>
      <w:numFmt w:val="decimal"/>
      <w:suff w:val="nothing"/>
      <w:lvlText w:val="（%1）"/>
      <w:lvlJc w:val="left"/>
    </w:lvl>
  </w:abstractNum>
  <w:abstractNum w:abstractNumId="12">
    <w:nsid w:val="59FC4D84"/>
    <w:multiLevelType w:val="singleLevel"/>
    <w:tmpl w:val="59FC4D84"/>
    <w:lvl w:ilvl="0" w:tentative="0">
      <w:start w:val="11"/>
      <w:numFmt w:val="decimal"/>
      <w:suff w:val="nothing"/>
      <w:lvlText w:val="（%1）"/>
      <w:lvlJc w:val="left"/>
    </w:lvl>
  </w:abstractNum>
  <w:abstractNum w:abstractNumId="13">
    <w:nsid w:val="6EEC58F6"/>
    <w:multiLevelType w:val="singleLevel"/>
    <w:tmpl w:val="6EEC58F6"/>
    <w:lvl w:ilvl="0" w:tentative="0">
      <w:start w:val="2"/>
      <w:numFmt w:val="chineseCounting"/>
      <w:suff w:val="nothing"/>
      <w:lvlText w:val="（%1）"/>
      <w:lvlJc w:val="left"/>
      <w:rPr>
        <w:rFonts w:hint="eastAsia"/>
      </w:rPr>
    </w:lvl>
  </w:abstractNum>
  <w:num w:numId="1">
    <w:abstractNumId w:val="7"/>
  </w:num>
  <w:num w:numId="2">
    <w:abstractNumId w:val="8"/>
  </w:num>
  <w:num w:numId="3">
    <w:abstractNumId w:val="9"/>
  </w:num>
  <w:num w:numId="4">
    <w:abstractNumId w:val="10"/>
  </w:num>
  <w:num w:numId="5">
    <w:abstractNumId w:val="3"/>
  </w:num>
  <w:num w:numId="6">
    <w:abstractNumId w:val="4"/>
  </w:num>
  <w:num w:numId="7">
    <w:abstractNumId w:val="5"/>
  </w:num>
  <w:num w:numId="8">
    <w:abstractNumId w:val="11"/>
  </w:num>
  <w:num w:numId="9">
    <w:abstractNumId w:val="6"/>
  </w:num>
  <w:num w:numId="10">
    <w:abstractNumId w:val="12"/>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935"/>
    <w:rsid w:val="00010F33"/>
    <w:rsid w:val="0001401E"/>
    <w:rsid w:val="000220D4"/>
    <w:rsid w:val="0002777A"/>
    <w:rsid w:val="000342A6"/>
    <w:rsid w:val="000427C9"/>
    <w:rsid w:val="00044045"/>
    <w:rsid w:val="000510F7"/>
    <w:rsid w:val="00053F84"/>
    <w:rsid w:val="000660B4"/>
    <w:rsid w:val="0006704C"/>
    <w:rsid w:val="0007570E"/>
    <w:rsid w:val="00077E02"/>
    <w:rsid w:val="0008011C"/>
    <w:rsid w:val="000875EB"/>
    <w:rsid w:val="000A3592"/>
    <w:rsid w:val="000B652B"/>
    <w:rsid w:val="000C0D8F"/>
    <w:rsid w:val="000C2C06"/>
    <w:rsid w:val="000C38E9"/>
    <w:rsid w:val="000C4C04"/>
    <w:rsid w:val="000C66FC"/>
    <w:rsid w:val="000D0864"/>
    <w:rsid w:val="000D2AAD"/>
    <w:rsid w:val="000D5A34"/>
    <w:rsid w:val="000E019B"/>
    <w:rsid w:val="000E1191"/>
    <w:rsid w:val="000F2F5A"/>
    <w:rsid w:val="000F51BE"/>
    <w:rsid w:val="000F67CF"/>
    <w:rsid w:val="001027E2"/>
    <w:rsid w:val="00102BAF"/>
    <w:rsid w:val="00106D98"/>
    <w:rsid w:val="00110696"/>
    <w:rsid w:val="00111DA2"/>
    <w:rsid w:val="00114E9A"/>
    <w:rsid w:val="001172C1"/>
    <w:rsid w:val="0012270C"/>
    <w:rsid w:val="00123982"/>
    <w:rsid w:val="00131FA6"/>
    <w:rsid w:val="001344B2"/>
    <w:rsid w:val="0013546C"/>
    <w:rsid w:val="00136E0A"/>
    <w:rsid w:val="00144655"/>
    <w:rsid w:val="00150ABF"/>
    <w:rsid w:val="00151137"/>
    <w:rsid w:val="00151A00"/>
    <w:rsid w:val="001617DB"/>
    <w:rsid w:val="00162333"/>
    <w:rsid w:val="0016296C"/>
    <w:rsid w:val="00172CCF"/>
    <w:rsid w:val="001825A0"/>
    <w:rsid w:val="0018361B"/>
    <w:rsid w:val="00193189"/>
    <w:rsid w:val="00193F2A"/>
    <w:rsid w:val="001B1EBE"/>
    <w:rsid w:val="001B3699"/>
    <w:rsid w:val="001B603E"/>
    <w:rsid w:val="001C0EFC"/>
    <w:rsid w:val="001C2819"/>
    <w:rsid w:val="001D1E21"/>
    <w:rsid w:val="001D2934"/>
    <w:rsid w:val="001D5F96"/>
    <w:rsid w:val="001D7B12"/>
    <w:rsid w:val="001E0B12"/>
    <w:rsid w:val="001F2C75"/>
    <w:rsid w:val="001F5C10"/>
    <w:rsid w:val="001F67C5"/>
    <w:rsid w:val="00201F11"/>
    <w:rsid w:val="00203DB2"/>
    <w:rsid w:val="00211C86"/>
    <w:rsid w:val="002133D4"/>
    <w:rsid w:val="002160A3"/>
    <w:rsid w:val="0021731A"/>
    <w:rsid w:val="00217950"/>
    <w:rsid w:val="002278F0"/>
    <w:rsid w:val="00240473"/>
    <w:rsid w:val="00241B6A"/>
    <w:rsid w:val="00242AAF"/>
    <w:rsid w:val="002505DF"/>
    <w:rsid w:val="00255D41"/>
    <w:rsid w:val="00267527"/>
    <w:rsid w:val="00267A65"/>
    <w:rsid w:val="002708EC"/>
    <w:rsid w:val="00271C7E"/>
    <w:rsid w:val="00273207"/>
    <w:rsid w:val="00275A5D"/>
    <w:rsid w:val="00276BBF"/>
    <w:rsid w:val="002835A9"/>
    <w:rsid w:val="002837D2"/>
    <w:rsid w:val="00283FF2"/>
    <w:rsid w:val="00286755"/>
    <w:rsid w:val="0028733C"/>
    <w:rsid w:val="00294AD4"/>
    <w:rsid w:val="002A1E88"/>
    <w:rsid w:val="002A263C"/>
    <w:rsid w:val="002A6A11"/>
    <w:rsid w:val="002B00EE"/>
    <w:rsid w:val="002C243B"/>
    <w:rsid w:val="002C5D73"/>
    <w:rsid w:val="002D1EFF"/>
    <w:rsid w:val="002D2150"/>
    <w:rsid w:val="002D5DE1"/>
    <w:rsid w:val="002E03FB"/>
    <w:rsid w:val="002E1A66"/>
    <w:rsid w:val="002E4BCC"/>
    <w:rsid w:val="002F0369"/>
    <w:rsid w:val="003017A5"/>
    <w:rsid w:val="00302B52"/>
    <w:rsid w:val="003046DB"/>
    <w:rsid w:val="003128B8"/>
    <w:rsid w:val="003359A7"/>
    <w:rsid w:val="003423C3"/>
    <w:rsid w:val="00342E0E"/>
    <w:rsid w:val="003504BF"/>
    <w:rsid w:val="00360C4F"/>
    <w:rsid w:val="0036431D"/>
    <w:rsid w:val="00367933"/>
    <w:rsid w:val="0037158E"/>
    <w:rsid w:val="00371DED"/>
    <w:rsid w:val="00372213"/>
    <w:rsid w:val="00372DD8"/>
    <w:rsid w:val="00373F0A"/>
    <w:rsid w:val="00374FE3"/>
    <w:rsid w:val="00375CF6"/>
    <w:rsid w:val="0038064F"/>
    <w:rsid w:val="003850AB"/>
    <w:rsid w:val="003858CF"/>
    <w:rsid w:val="003A0ED3"/>
    <w:rsid w:val="003A3A9C"/>
    <w:rsid w:val="003B44FA"/>
    <w:rsid w:val="003B748F"/>
    <w:rsid w:val="003C010A"/>
    <w:rsid w:val="003C3997"/>
    <w:rsid w:val="003C62D8"/>
    <w:rsid w:val="003D0560"/>
    <w:rsid w:val="003D1097"/>
    <w:rsid w:val="003D3BFB"/>
    <w:rsid w:val="003E52C7"/>
    <w:rsid w:val="003E72E0"/>
    <w:rsid w:val="003F320D"/>
    <w:rsid w:val="00403131"/>
    <w:rsid w:val="00406972"/>
    <w:rsid w:val="0041505E"/>
    <w:rsid w:val="004173C4"/>
    <w:rsid w:val="00424EAA"/>
    <w:rsid w:val="00430396"/>
    <w:rsid w:val="00430D9C"/>
    <w:rsid w:val="00432D90"/>
    <w:rsid w:val="00436B98"/>
    <w:rsid w:val="00456BAD"/>
    <w:rsid w:val="00467377"/>
    <w:rsid w:val="004676B6"/>
    <w:rsid w:val="00474E1D"/>
    <w:rsid w:val="00481F1B"/>
    <w:rsid w:val="004827FE"/>
    <w:rsid w:val="0048410D"/>
    <w:rsid w:val="0048778F"/>
    <w:rsid w:val="004919C2"/>
    <w:rsid w:val="00492CD5"/>
    <w:rsid w:val="004945F3"/>
    <w:rsid w:val="004A1525"/>
    <w:rsid w:val="004A1CBF"/>
    <w:rsid w:val="004A312D"/>
    <w:rsid w:val="004A7315"/>
    <w:rsid w:val="004B26A0"/>
    <w:rsid w:val="004B2930"/>
    <w:rsid w:val="004B35C8"/>
    <w:rsid w:val="004B4BBC"/>
    <w:rsid w:val="004D0A7C"/>
    <w:rsid w:val="004D44FB"/>
    <w:rsid w:val="004D7535"/>
    <w:rsid w:val="004E296C"/>
    <w:rsid w:val="004E4013"/>
    <w:rsid w:val="004E5EDB"/>
    <w:rsid w:val="004E6FEC"/>
    <w:rsid w:val="004E71AC"/>
    <w:rsid w:val="004F3792"/>
    <w:rsid w:val="004F59FC"/>
    <w:rsid w:val="004F7D2B"/>
    <w:rsid w:val="00500473"/>
    <w:rsid w:val="00502500"/>
    <w:rsid w:val="0050337C"/>
    <w:rsid w:val="00516ED1"/>
    <w:rsid w:val="005210CD"/>
    <w:rsid w:val="005231DF"/>
    <w:rsid w:val="00523CB4"/>
    <w:rsid w:val="0055204B"/>
    <w:rsid w:val="00565505"/>
    <w:rsid w:val="00565A69"/>
    <w:rsid w:val="00571E62"/>
    <w:rsid w:val="00574DC8"/>
    <w:rsid w:val="00580E9F"/>
    <w:rsid w:val="005839CA"/>
    <w:rsid w:val="00585952"/>
    <w:rsid w:val="005911E0"/>
    <w:rsid w:val="00597B5A"/>
    <w:rsid w:val="005A724E"/>
    <w:rsid w:val="005B1CF5"/>
    <w:rsid w:val="005B2163"/>
    <w:rsid w:val="005B5287"/>
    <w:rsid w:val="005C0882"/>
    <w:rsid w:val="005C0ECE"/>
    <w:rsid w:val="005C2BFE"/>
    <w:rsid w:val="005C73F5"/>
    <w:rsid w:val="005D0014"/>
    <w:rsid w:val="005D13DE"/>
    <w:rsid w:val="005D2C4C"/>
    <w:rsid w:val="005D3588"/>
    <w:rsid w:val="005D629E"/>
    <w:rsid w:val="005F4AEF"/>
    <w:rsid w:val="005F660E"/>
    <w:rsid w:val="0061486C"/>
    <w:rsid w:val="006212AD"/>
    <w:rsid w:val="0062142A"/>
    <w:rsid w:val="00621B85"/>
    <w:rsid w:val="00622D2E"/>
    <w:rsid w:val="00626722"/>
    <w:rsid w:val="00632483"/>
    <w:rsid w:val="00632C23"/>
    <w:rsid w:val="00634666"/>
    <w:rsid w:val="00635526"/>
    <w:rsid w:val="00637CDC"/>
    <w:rsid w:val="00640473"/>
    <w:rsid w:val="006462A1"/>
    <w:rsid w:val="00646A2E"/>
    <w:rsid w:val="0065456E"/>
    <w:rsid w:val="006557C8"/>
    <w:rsid w:val="006610D8"/>
    <w:rsid w:val="00664B73"/>
    <w:rsid w:val="0066549F"/>
    <w:rsid w:val="00665C0C"/>
    <w:rsid w:val="00666473"/>
    <w:rsid w:val="00673963"/>
    <w:rsid w:val="00677D6B"/>
    <w:rsid w:val="006825AC"/>
    <w:rsid w:val="0068589C"/>
    <w:rsid w:val="00686935"/>
    <w:rsid w:val="0068775F"/>
    <w:rsid w:val="00694657"/>
    <w:rsid w:val="006948EB"/>
    <w:rsid w:val="006949F5"/>
    <w:rsid w:val="006A5595"/>
    <w:rsid w:val="006A7721"/>
    <w:rsid w:val="006B069B"/>
    <w:rsid w:val="006B59AE"/>
    <w:rsid w:val="006C3373"/>
    <w:rsid w:val="006C5978"/>
    <w:rsid w:val="006D1168"/>
    <w:rsid w:val="006D2B28"/>
    <w:rsid w:val="006E2D5A"/>
    <w:rsid w:val="006E2FB6"/>
    <w:rsid w:val="006E48ED"/>
    <w:rsid w:val="006F1381"/>
    <w:rsid w:val="00700845"/>
    <w:rsid w:val="00723C48"/>
    <w:rsid w:val="0072568D"/>
    <w:rsid w:val="00725A21"/>
    <w:rsid w:val="007262EE"/>
    <w:rsid w:val="00737CDD"/>
    <w:rsid w:val="0074176E"/>
    <w:rsid w:val="007457CE"/>
    <w:rsid w:val="0075045E"/>
    <w:rsid w:val="00775D26"/>
    <w:rsid w:val="00776220"/>
    <w:rsid w:val="00777958"/>
    <w:rsid w:val="007804DE"/>
    <w:rsid w:val="00785565"/>
    <w:rsid w:val="00785F1E"/>
    <w:rsid w:val="007978CE"/>
    <w:rsid w:val="007A2093"/>
    <w:rsid w:val="007C049C"/>
    <w:rsid w:val="007C3638"/>
    <w:rsid w:val="007D18ED"/>
    <w:rsid w:val="007D1DFF"/>
    <w:rsid w:val="007D4F9E"/>
    <w:rsid w:val="007D66DC"/>
    <w:rsid w:val="007E11C3"/>
    <w:rsid w:val="007E46E5"/>
    <w:rsid w:val="007E790F"/>
    <w:rsid w:val="007E7B76"/>
    <w:rsid w:val="007F0307"/>
    <w:rsid w:val="007F221C"/>
    <w:rsid w:val="007F5E2E"/>
    <w:rsid w:val="008004A5"/>
    <w:rsid w:val="00803880"/>
    <w:rsid w:val="008058ED"/>
    <w:rsid w:val="00810774"/>
    <w:rsid w:val="00813000"/>
    <w:rsid w:val="00813C65"/>
    <w:rsid w:val="00816D7C"/>
    <w:rsid w:val="00823282"/>
    <w:rsid w:val="008232E1"/>
    <w:rsid w:val="00826D51"/>
    <w:rsid w:val="00833C40"/>
    <w:rsid w:val="00841D11"/>
    <w:rsid w:val="0084291C"/>
    <w:rsid w:val="0084544C"/>
    <w:rsid w:val="008461ED"/>
    <w:rsid w:val="0085062D"/>
    <w:rsid w:val="00850D00"/>
    <w:rsid w:val="00857398"/>
    <w:rsid w:val="008610DE"/>
    <w:rsid w:val="008614FB"/>
    <w:rsid w:val="008631DB"/>
    <w:rsid w:val="00863600"/>
    <w:rsid w:val="008671E4"/>
    <w:rsid w:val="00871646"/>
    <w:rsid w:val="00871ED0"/>
    <w:rsid w:val="008730FE"/>
    <w:rsid w:val="0087505A"/>
    <w:rsid w:val="00881079"/>
    <w:rsid w:val="0088679E"/>
    <w:rsid w:val="00894E70"/>
    <w:rsid w:val="00897563"/>
    <w:rsid w:val="008A2BA3"/>
    <w:rsid w:val="008A41C0"/>
    <w:rsid w:val="008A504B"/>
    <w:rsid w:val="008C0ACD"/>
    <w:rsid w:val="008C4B94"/>
    <w:rsid w:val="008D128B"/>
    <w:rsid w:val="008D16B3"/>
    <w:rsid w:val="008D390A"/>
    <w:rsid w:val="008D4AA8"/>
    <w:rsid w:val="008D6341"/>
    <w:rsid w:val="008D6DEB"/>
    <w:rsid w:val="008E3140"/>
    <w:rsid w:val="008E3650"/>
    <w:rsid w:val="008F4105"/>
    <w:rsid w:val="008F5081"/>
    <w:rsid w:val="008F6B95"/>
    <w:rsid w:val="0090105F"/>
    <w:rsid w:val="0091340C"/>
    <w:rsid w:val="009141FD"/>
    <w:rsid w:val="00915D8E"/>
    <w:rsid w:val="00917A93"/>
    <w:rsid w:val="00917C59"/>
    <w:rsid w:val="009304CE"/>
    <w:rsid w:val="009341AB"/>
    <w:rsid w:val="009370DF"/>
    <w:rsid w:val="00942454"/>
    <w:rsid w:val="00947FE0"/>
    <w:rsid w:val="009518EC"/>
    <w:rsid w:val="00951EF9"/>
    <w:rsid w:val="00956E94"/>
    <w:rsid w:val="009614D2"/>
    <w:rsid w:val="0096647B"/>
    <w:rsid w:val="00972DDE"/>
    <w:rsid w:val="00975B12"/>
    <w:rsid w:val="0097673F"/>
    <w:rsid w:val="00977126"/>
    <w:rsid w:val="00981AE6"/>
    <w:rsid w:val="0099074C"/>
    <w:rsid w:val="00990E7B"/>
    <w:rsid w:val="009933CF"/>
    <w:rsid w:val="00995BCD"/>
    <w:rsid w:val="009B1754"/>
    <w:rsid w:val="009C0FDE"/>
    <w:rsid w:val="009C1D80"/>
    <w:rsid w:val="009D34B4"/>
    <w:rsid w:val="009D76C6"/>
    <w:rsid w:val="009E614F"/>
    <w:rsid w:val="009E685A"/>
    <w:rsid w:val="009F3927"/>
    <w:rsid w:val="009F412D"/>
    <w:rsid w:val="009F4649"/>
    <w:rsid w:val="009F4C02"/>
    <w:rsid w:val="009F4D00"/>
    <w:rsid w:val="009F7D4B"/>
    <w:rsid w:val="00A05497"/>
    <w:rsid w:val="00A12C48"/>
    <w:rsid w:val="00A23F6F"/>
    <w:rsid w:val="00A25F46"/>
    <w:rsid w:val="00A2722E"/>
    <w:rsid w:val="00A27B25"/>
    <w:rsid w:val="00A30A2D"/>
    <w:rsid w:val="00A338E3"/>
    <w:rsid w:val="00A33E99"/>
    <w:rsid w:val="00A35CC8"/>
    <w:rsid w:val="00A37D9E"/>
    <w:rsid w:val="00A37DAA"/>
    <w:rsid w:val="00A41442"/>
    <w:rsid w:val="00A45FF3"/>
    <w:rsid w:val="00A513E3"/>
    <w:rsid w:val="00A51F53"/>
    <w:rsid w:val="00A5425B"/>
    <w:rsid w:val="00A55CA7"/>
    <w:rsid w:val="00A60305"/>
    <w:rsid w:val="00A70BE1"/>
    <w:rsid w:val="00A73F74"/>
    <w:rsid w:val="00A80820"/>
    <w:rsid w:val="00A80A3F"/>
    <w:rsid w:val="00A86F79"/>
    <w:rsid w:val="00A878D5"/>
    <w:rsid w:val="00A93D71"/>
    <w:rsid w:val="00A95B30"/>
    <w:rsid w:val="00AA07F7"/>
    <w:rsid w:val="00AB2CA9"/>
    <w:rsid w:val="00AC6F74"/>
    <w:rsid w:val="00AD10BD"/>
    <w:rsid w:val="00AD39F5"/>
    <w:rsid w:val="00AD71F4"/>
    <w:rsid w:val="00AE5429"/>
    <w:rsid w:val="00AE7838"/>
    <w:rsid w:val="00B04ABF"/>
    <w:rsid w:val="00B055EE"/>
    <w:rsid w:val="00B13061"/>
    <w:rsid w:val="00B13323"/>
    <w:rsid w:val="00B26540"/>
    <w:rsid w:val="00B270AA"/>
    <w:rsid w:val="00B3410A"/>
    <w:rsid w:val="00B35E1E"/>
    <w:rsid w:val="00B41C7E"/>
    <w:rsid w:val="00B46F91"/>
    <w:rsid w:val="00B514DF"/>
    <w:rsid w:val="00B602F3"/>
    <w:rsid w:val="00B60E48"/>
    <w:rsid w:val="00B644DE"/>
    <w:rsid w:val="00B65E27"/>
    <w:rsid w:val="00B67257"/>
    <w:rsid w:val="00B7018A"/>
    <w:rsid w:val="00B733A3"/>
    <w:rsid w:val="00B80DED"/>
    <w:rsid w:val="00B81C5A"/>
    <w:rsid w:val="00B84075"/>
    <w:rsid w:val="00B85494"/>
    <w:rsid w:val="00B97187"/>
    <w:rsid w:val="00BA3C0D"/>
    <w:rsid w:val="00BA4936"/>
    <w:rsid w:val="00BB4903"/>
    <w:rsid w:val="00BC0429"/>
    <w:rsid w:val="00BC486C"/>
    <w:rsid w:val="00BC59E0"/>
    <w:rsid w:val="00BC7E76"/>
    <w:rsid w:val="00BD405C"/>
    <w:rsid w:val="00BD585A"/>
    <w:rsid w:val="00BD6FB8"/>
    <w:rsid w:val="00BE18A1"/>
    <w:rsid w:val="00BE6400"/>
    <w:rsid w:val="00BF0E15"/>
    <w:rsid w:val="00BF1378"/>
    <w:rsid w:val="00BF57E1"/>
    <w:rsid w:val="00C00458"/>
    <w:rsid w:val="00C02A98"/>
    <w:rsid w:val="00C07EA4"/>
    <w:rsid w:val="00C11BDB"/>
    <w:rsid w:val="00C25FC9"/>
    <w:rsid w:val="00C41BC3"/>
    <w:rsid w:val="00C4339E"/>
    <w:rsid w:val="00C44013"/>
    <w:rsid w:val="00C4571B"/>
    <w:rsid w:val="00C47C2A"/>
    <w:rsid w:val="00C5388F"/>
    <w:rsid w:val="00C548CA"/>
    <w:rsid w:val="00C569E9"/>
    <w:rsid w:val="00C61801"/>
    <w:rsid w:val="00C65A11"/>
    <w:rsid w:val="00C65FD3"/>
    <w:rsid w:val="00C713FA"/>
    <w:rsid w:val="00C82BEA"/>
    <w:rsid w:val="00C84863"/>
    <w:rsid w:val="00C90927"/>
    <w:rsid w:val="00C91EC9"/>
    <w:rsid w:val="00C93C01"/>
    <w:rsid w:val="00C93E31"/>
    <w:rsid w:val="00C93F6C"/>
    <w:rsid w:val="00CA048F"/>
    <w:rsid w:val="00CA45D8"/>
    <w:rsid w:val="00CA471A"/>
    <w:rsid w:val="00CB2243"/>
    <w:rsid w:val="00CC611F"/>
    <w:rsid w:val="00CC74BE"/>
    <w:rsid w:val="00CD21CC"/>
    <w:rsid w:val="00CD2D66"/>
    <w:rsid w:val="00CD49F0"/>
    <w:rsid w:val="00CE1056"/>
    <w:rsid w:val="00CE3147"/>
    <w:rsid w:val="00CE323C"/>
    <w:rsid w:val="00CF10EC"/>
    <w:rsid w:val="00CF1C12"/>
    <w:rsid w:val="00D04E26"/>
    <w:rsid w:val="00D05C71"/>
    <w:rsid w:val="00D07F69"/>
    <w:rsid w:val="00D13F4F"/>
    <w:rsid w:val="00D16528"/>
    <w:rsid w:val="00D167A0"/>
    <w:rsid w:val="00D22FFF"/>
    <w:rsid w:val="00D27E89"/>
    <w:rsid w:val="00D350E6"/>
    <w:rsid w:val="00D36D0D"/>
    <w:rsid w:val="00D411F6"/>
    <w:rsid w:val="00D450B7"/>
    <w:rsid w:val="00D45D77"/>
    <w:rsid w:val="00D53DE6"/>
    <w:rsid w:val="00D6512E"/>
    <w:rsid w:val="00D77C2A"/>
    <w:rsid w:val="00D80A6B"/>
    <w:rsid w:val="00D83E1B"/>
    <w:rsid w:val="00D868BD"/>
    <w:rsid w:val="00D8740D"/>
    <w:rsid w:val="00D91D98"/>
    <w:rsid w:val="00D970F6"/>
    <w:rsid w:val="00D97406"/>
    <w:rsid w:val="00DA2304"/>
    <w:rsid w:val="00DA389F"/>
    <w:rsid w:val="00DA4DAC"/>
    <w:rsid w:val="00DA4E41"/>
    <w:rsid w:val="00DA7B8E"/>
    <w:rsid w:val="00DB2C4B"/>
    <w:rsid w:val="00DB32B0"/>
    <w:rsid w:val="00DB57FA"/>
    <w:rsid w:val="00DB7E79"/>
    <w:rsid w:val="00DC180B"/>
    <w:rsid w:val="00DC22C7"/>
    <w:rsid w:val="00DC43B9"/>
    <w:rsid w:val="00DD46B8"/>
    <w:rsid w:val="00DD4EED"/>
    <w:rsid w:val="00DD7581"/>
    <w:rsid w:val="00DD7C2D"/>
    <w:rsid w:val="00DE02D0"/>
    <w:rsid w:val="00DE181E"/>
    <w:rsid w:val="00DE3203"/>
    <w:rsid w:val="00DE3403"/>
    <w:rsid w:val="00DE415F"/>
    <w:rsid w:val="00DE427A"/>
    <w:rsid w:val="00DE7035"/>
    <w:rsid w:val="00DF0CC5"/>
    <w:rsid w:val="00DF5D3B"/>
    <w:rsid w:val="00DF65EB"/>
    <w:rsid w:val="00E2268D"/>
    <w:rsid w:val="00E2413D"/>
    <w:rsid w:val="00E25C10"/>
    <w:rsid w:val="00E275AE"/>
    <w:rsid w:val="00E278EC"/>
    <w:rsid w:val="00E32A0E"/>
    <w:rsid w:val="00E35DF5"/>
    <w:rsid w:val="00E41BE4"/>
    <w:rsid w:val="00E46A72"/>
    <w:rsid w:val="00E47B94"/>
    <w:rsid w:val="00E56294"/>
    <w:rsid w:val="00E57914"/>
    <w:rsid w:val="00E6089D"/>
    <w:rsid w:val="00E63A36"/>
    <w:rsid w:val="00E657AC"/>
    <w:rsid w:val="00E679BF"/>
    <w:rsid w:val="00E748C7"/>
    <w:rsid w:val="00E76349"/>
    <w:rsid w:val="00E82575"/>
    <w:rsid w:val="00E9249E"/>
    <w:rsid w:val="00E92E18"/>
    <w:rsid w:val="00E944C6"/>
    <w:rsid w:val="00EB2F6D"/>
    <w:rsid w:val="00EB62D1"/>
    <w:rsid w:val="00EC34CA"/>
    <w:rsid w:val="00EC46D9"/>
    <w:rsid w:val="00EC5226"/>
    <w:rsid w:val="00ED2A3A"/>
    <w:rsid w:val="00ED333E"/>
    <w:rsid w:val="00ED7415"/>
    <w:rsid w:val="00EE4B74"/>
    <w:rsid w:val="00EE5C4C"/>
    <w:rsid w:val="00EF1C3C"/>
    <w:rsid w:val="00F03A51"/>
    <w:rsid w:val="00F03ADF"/>
    <w:rsid w:val="00F25081"/>
    <w:rsid w:val="00F33751"/>
    <w:rsid w:val="00F3453D"/>
    <w:rsid w:val="00F35272"/>
    <w:rsid w:val="00F47FFD"/>
    <w:rsid w:val="00F53183"/>
    <w:rsid w:val="00F54415"/>
    <w:rsid w:val="00F71035"/>
    <w:rsid w:val="00F73B4B"/>
    <w:rsid w:val="00F7498F"/>
    <w:rsid w:val="00F7613F"/>
    <w:rsid w:val="00F7799A"/>
    <w:rsid w:val="00F77FD6"/>
    <w:rsid w:val="00F87FB6"/>
    <w:rsid w:val="00FA52F9"/>
    <w:rsid w:val="00FB0E39"/>
    <w:rsid w:val="00FB102E"/>
    <w:rsid w:val="00FB2AB2"/>
    <w:rsid w:val="00FB484C"/>
    <w:rsid w:val="00FD00B1"/>
    <w:rsid w:val="00FD03DA"/>
    <w:rsid w:val="00FD36C4"/>
    <w:rsid w:val="00FD6FAC"/>
    <w:rsid w:val="00FE07EF"/>
    <w:rsid w:val="00FE6864"/>
    <w:rsid w:val="00FE6885"/>
    <w:rsid w:val="00FF10DA"/>
    <w:rsid w:val="00FF3EB9"/>
    <w:rsid w:val="00FF639A"/>
    <w:rsid w:val="00FF6476"/>
    <w:rsid w:val="00FF7027"/>
    <w:rsid w:val="00FF7B3D"/>
    <w:rsid w:val="018117C1"/>
    <w:rsid w:val="01CF32DE"/>
    <w:rsid w:val="01DF6AA8"/>
    <w:rsid w:val="03083283"/>
    <w:rsid w:val="03200158"/>
    <w:rsid w:val="039D426C"/>
    <w:rsid w:val="041F6892"/>
    <w:rsid w:val="04345C83"/>
    <w:rsid w:val="04372349"/>
    <w:rsid w:val="047D770D"/>
    <w:rsid w:val="0583332C"/>
    <w:rsid w:val="06560E89"/>
    <w:rsid w:val="06B05DC1"/>
    <w:rsid w:val="070243AD"/>
    <w:rsid w:val="074D4254"/>
    <w:rsid w:val="07876864"/>
    <w:rsid w:val="082E6D53"/>
    <w:rsid w:val="08C12513"/>
    <w:rsid w:val="08CB50A1"/>
    <w:rsid w:val="09511F43"/>
    <w:rsid w:val="09A71A68"/>
    <w:rsid w:val="09BA2D44"/>
    <w:rsid w:val="09BA5A44"/>
    <w:rsid w:val="09C35858"/>
    <w:rsid w:val="0A7918D8"/>
    <w:rsid w:val="0A832395"/>
    <w:rsid w:val="0AA52EBD"/>
    <w:rsid w:val="0B034714"/>
    <w:rsid w:val="0B8D57E7"/>
    <w:rsid w:val="0BC81B4A"/>
    <w:rsid w:val="0C7E19BD"/>
    <w:rsid w:val="0CE5083E"/>
    <w:rsid w:val="0CE82781"/>
    <w:rsid w:val="0DF21A4D"/>
    <w:rsid w:val="0E606FDF"/>
    <w:rsid w:val="0EE90606"/>
    <w:rsid w:val="0F682DDA"/>
    <w:rsid w:val="0F9D28CF"/>
    <w:rsid w:val="0FCF3B52"/>
    <w:rsid w:val="0FD81EB4"/>
    <w:rsid w:val="0FE316BD"/>
    <w:rsid w:val="1003412F"/>
    <w:rsid w:val="101B24C4"/>
    <w:rsid w:val="10516791"/>
    <w:rsid w:val="10954393"/>
    <w:rsid w:val="10A85E6D"/>
    <w:rsid w:val="10D613E0"/>
    <w:rsid w:val="11CF15E9"/>
    <w:rsid w:val="127E25EE"/>
    <w:rsid w:val="12AD19F7"/>
    <w:rsid w:val="15113F51"/>
    <w:rsid w:val="1519109A"/>
    <w:rsid w:val="152C7DA8"/>
    <w:rsid w:val="153A3C2D"/>
    <w:rsid w:val="16A11B59"/>
    <w:rsid w:val="16DD2010"/>
    <w:rsid w:val="172047BD"/>
    <w:rsid w:val="178E45C0"/>
    <w:rsid w:val="17F45E20"/>
    <w:rsid w:val="187964E9"/>
    <w:rsid w:val="18A93F49"/>
    <w:rsid w:val="18DB020A"/>
    <w:rsid w:val="18E30889"/>
    <w:rsid w:val="194F2F33"/>
    <w:rsid w:val="19F839A8"/>
    <w:rsid w:val="1A5728CE"/>
    <w:rsid w:val="1A662AF4"/>
    <w:rsid w:val="1AB21051"/>
    <w:rsid w:val="1AF11788"/>
    <w:rsid w:val="1B242C55"/>
    <w:rsid w:val="1B400E56"/>
    <w:rsid w:val="1B41141D"/>
    <w:rsid w:val="1B472FEC"/>
    <w:rsid w:val="1B7104CB"/>
    <w:rsid w:val="1BDD0528"/>
    <w:rsid w:val="1BF40F97"/>
    <w:rsid w:val="1C5865BF"/>
    <w:rsid w:val="1C7B0250"/>
    <w:rsid w:val="1D3166EE"/>
    <w:rsid w:val="1D43154A"/>
    <w:rsid w:val="1D73442E"/>
    <w:rsid w:val="1D9059D5"/>
    <w:rsid w:val="1DC97854"/>
    <w:rsid w:val="1DDB2360"/>
    <w:rsid w:val="1E0052A2"/>
    <w:rsid w:val="1E85319E"/>
    <w:rsid w:val="1E920021"/>
    <w:rsid w:val="1EBF7890"/>
    <w:rsid w:val="1ECD061A"/>
    <w:rsid w:val="1FA3644A"/>
    <w:rsid w:val="20797ABA"/>
    <w:rsid w:val="20B96E25"/>
    <w:rsid w:val="213B497A"/>
    <w:rsid w:val="216F43F7"/>
    <w:rsid w:val="21CF7DBD"/>
    <w:rsid w:val="21D01A69"/>
    <w:rsid w:val="21E26745"/>
    <w:rsid w:val="22370CAF"/>
    <w:rsid w:val="229C130C"/>
    <w:rsid w:val="22C24E3F"/>
    <w:rsid w:val="22CE75FA"/>
    <w:rsid w:val="23B03722"/>
    <w:rsid w:val="243F3A9D"/>
    <w:rsid w:val="244F62E2"/>
    <w:rsid w:val="24820D28"/>
    <w:rsid w:val="248B7749"/>
    <w:rsid w:val="24CE0163"/>
    <w:rsid w:val="24EC02EE"/>
    <w:rsid w:val="24F62910"/>
    <w:rsid w:val="253966D0"/>
    <w:rsid w:val="262031CD"/>
    <w:rsid w:val="26A42448"/>
    <w:rsid w:val="26D260FE"/>
    <w:rsid w:val="2898217B"/>
    <w:rsid w:val="29690152"/>
    <w:rsid w:val="29CB3C83"/>
    <w:rsid w:val="2A3125FA"/>
    <w:rsid w:val="2A44472B"/>
    <w:rsid w:val="2A873141"/>
    <w:rsid w:val="2A8E2D23"/>
    <w:rsid w:val="2AEB4A25"/>
    <w:rsid w:val="2B67441B"/>
    <w:rsid w:val="2BC212A5"/>
    <w:rsid w:val="2C0A7AFF"/>
    <w:rsid w:val="2C660DD4"/>
    <w:rsid w:val="2C762324"/>
    <w:rsid w:val="2D082AC1"/>
    <w:rsid w:val="2D2F6528"/>
    <w:rsid w:val="2D717AB7"/>
    <w:rsid w:val="2DBF75BC"/>
    <w:rsid w:val="2DCC7FC6"/>
    <w:rsid w:val="2ECC2A51"/>
    <w:rsid w:val="2EDF3C92"/>
    <w:rsid w:val="2EF5503E"/>
    <w:rsid w:val="2F082BC5"/>
    <w:rsid w:val="2F3926C8"/>
    <w:rsid w:val="2F425739"/>
    <w:rsid w:val="2F5E12D9"/>
    <w:rsid w:val="2FF53AAF"/>
    <w:rsid w:val="300F7460"/>
    <w:rsid w:val="30397661"/>
    <w:rsid w:val="305F259A"/>
    <w:rsid w:val="308670A2"/>
    <w:rsid w:val="3088192D"/>
    <w:rsid w:val="30914BF5"/>
    <w:rsid w:val="311350AC"/>
    <w:rsid w:val="315064C8"/>
    <w:rsid w:val="31525E29"/>
    <w:rsid w:val="321064A0"/>
    <w:rsid w:val="32E21EBD"/>
    <w:rsid w:val="32FD2735"/>
    <w:rsid w:val="331A2236"/>
    <w:rsid w:val="33662243"/>
    <w:rsid w:val="33814BD7"/>
    <w:rsid w:val="33F17F05"/>
    <w:rsid w:val="33F66676"/>
    <w:rsid w:val="33FF13EE"/>
    <w:rsid w:val="34EF2A8C"/>
    <w:rsid w:val="35372D57"/>
    <w:rsid w:val="357D5B81"/>
    <w:rsid w:val="358A5731"/>
    <w:rsid w:val="36626C16"/>
    <w:rsid w:val="373759DA"/>
    <w:rsid w:val="37811C7F"/>
    <w:rsid w:val="37D470DF"/>
    <w:rsid w:val="37EE2DDF"/>
    <w:rsid w:val="38332B4B"/>
    <w:rsid w:val="385D2D8A"/>
    <w:rsid w:val="38AB473A"/>
    <w:rsid w:val="39795660"/>
    <w:rsid w:val="39BB7CA8"/>
    <w:rsid w:val="39C51EF2"/>
    <w:rsid w:val="39CB2099"/>
    <w:rsid w:val="3A072C82"/>
    <w:rsid w:val="3A0F229E"/>
    <w:rsid w:val="3A190F52"/>
    <w:rsid w:val="3A5E7654"/>
    <w:rsid w:val="3A8372CE"/>
    <w:rsid w:val="3ADF04C4"/>
    <w:rsid w:val="3AEC6C22"/>
    <w:rsid w:val="3AF708E3"/>
    <w:rsid w:val="3B3010BF"/>
    <w:rsid w:val="3B6130D4"/>
    <w:rsid w:val="3B793594"/>
    <w:rsid w:val="3B943027"/>
    <w:rsid w:val="3C0256F9"/>
    <w:rsid w:val="3C385593"/>
    <w:rsid w:val="3C493E09"/>
    <w:rsid w:val="3D470619"/>
    <w:rsid w:val="3D603015"/>
    <w:rsid w:val="3DA55128"/>
    <w:rsid w:val="3DC21AB7"/>
    <w:rsid w:val="3E040887"/>
    <w:rsid w:val="3E0E7EDD"/>
    <w:rsid w:val="3E1750DF"/>
    <w:rsid w:val="3E3F5F78"/>
    <w:rsid w:val="3F8C11CB"/>
    <w:rsid w:val="3FA0000A"/>
    <w:rsid w:val="40391CF5"/>
    <w:rsid w:val="41170EED"/>
    <w:rsid w:val="41852126"/>
    <w:rsid w:val="41E15EC3"/>
    <w:rsid w:val="421161DA"/>
    <w:rsid w:val="425625C8"/>
    <w:rsid w:val="42A53B81"/>
    <w:rsid w:val="42F666F5"/>
    <w:rsid w:val="444161B0"/>
    <w:rsid w:val="444E62AC"/>
    <w:rsid w:val="44753DC3"/>
    <w:rsid w:val="45AE1BE6"/>
    <w:rsid w:val="46207391"/>
    <w:rsid w:val="463E26A5"/>
    <w:rsid w:val="465C5994"/>
    <w:rsid w:val="46D91F9D"/>
    <w:rsid w:val="47706720"/>
    <w:rsid w:val="478E35DD"/>
    <w:rsid w:val="47C1359F"/>
    <w:rsid w:val="47D143BA"/>
    <w:rsid w:val="48545366"/>
    <w:rsid w:val="48931989"/>
    <w:rsid w:val="48946326"/>
    <w:rsid w:val="48972E18"/>
    <w:rsid w:val="48BF1CF0"/>
    <w:rsid w:val="48CE34F2"/>
    <w:rsid w:val="49215727"/>
    <w:rsid w:val="49761875"/>
    <w:rsid w:val="498D5A32"/>
    <w:rsid w:val="4A5534BE"/>
    <w:rsid w:val="4A6414A5"/>
    <w:rsid w:val="4ACE0DFB"/>
    <w:rsid w:val="4AFE29C3"/>
    <w:rsid w:val="4B8D69D6"/>
    <w:rsid w:val="4BAE0EE3"/>
    <w:rsid w:val="4BEC5A69"/>
    <w:rsid w:val="4C0E0C90"/>
    <w:rsid w:val="4C3D1A3B"/>
    <w:rsid w:val="4C4C5C21"/>
    <w:rsid w:val="4C7821AA"/>
    <w:rsid w:val="4CB66A1F"/>
    <w:rsid w:val="4CCE19F5"/>
    <w:rsid w:val="4CDA1D3F"/>
    <w:rsid w:val="4DB05BF7"/>
    <w:rsid w:val="4DD077C4"/>
    <w:rsid w:val="4E6612D3"/>
    <w:rsid w:val="4F134C6A"/>
    <w:rsid w:val="4F2B6157"/>
    <w:rsid w:val="4FDC3992"/>
    <w:rsid w:val="4FFA21FF"/>
    <w:rsid w:val="500C5A52"/>
    <w:rsid w:val="506145E7"/>
    <w:rsid w:val="506208E5"/>
    <w:rsid w:val="50AA1A16"/>
    <w:rsid w:val="50BA1BDA"/>
    <w:rsid w:val="50BC774A"/>
    <w:rsid w:val="50D4451E"/>
    <w:rsid w:val="519A2A2F"/>
    <w:rsid w:val="522D2622"/>
    <w:rsid w:val="52352C8C"/>
    <w:rsid w:val="5270249A"/>
    <w:rsid w:val="527161A6"/>
    <w:rsid w:val="537056DE"/>
    <w:rsid w:val="540107D6"/>
    <w:rsid w:val="540A4437"/>
    <w:rsid w:val="54477B9B"/>
    <w:rsid w:val="54562C35"/>
    <w:rsid w:val="54BF44CF"/>
    <w:rsid w:val="552C0A96"/>
    <w:rsid w:val="55347F1B"/>
    <w:rsid w:val="554A28A3"/>
    <w:rsid w:val="55FA4474"/>
    <w:rsid w:val="5641498E"/>
    <w:rsid w:val="57923FAD"/>
    <w:rsid w:val="57F011AD"/>
    <w:rsid w:val="581970B6"/>
    <w:rsid w:val="581E6EFC"/>
    <w:rsid w:val="58237B93"/>
    <w:rsid w:val="582545DF"/>
    <w:rsid w:val="59AA1D17"/>
    <w:rsid w:val="59AB0EA0"/>
    <w:rsid w:val="59BB496A"/>
    <w:rsid w:val="5A782068"/>
    <w:rsid w:val="5A975865"/>
    <w:rsid w:val="5AB93F1D"/>
    <w:rsid w:val="5B71145A"/>
    <w:rsid w:val="5B904618"/>
    <w:rsid w:val="5BA96DEE"/>
    <w:rsid w:val="5BC40E46"/>
    <w:rsid w:val="5BC91427"/>
    <w:rsid w:val="5CCD7251"/>
    <w:rsid w:val="5CF25757"/>
    <w:rsid w:val="5D771F1C"/>
    <w:rsid w:val="5D962CB8"/>
    <w:rsid w:val="5DC1598F"/>
    <w:rsid w:val="5E55087F"/>
    <w:rsid w:val="5E6554CB"/>
    <w:rsid w:val="5E726164"/>
    <w:rsid w:val="5E8A0C1E"/>
    <w:rsid w:val="5E905176"/>
    <w:rsid w:val="5F76632D"/>
    <w:rsid w:val="5F850860"/>
    <w:rsid w:val="5F956D61"/>
    <w:rsid w:val="5F9B2FA5"/>
    <w:rsid w:val="6003385F"/>
    <w:rsid w:val="60083FB3"/>
    <w:rsid w:val="602B63D7"/>
    <w:rsid w:val="605306DF"/>
    <w:rsid w:val="60AA550B"/>
    <w:rsid w:val="60BE475A"/>
    <w:rsid w:val="61285BD1"/>
    <w:rsid w:val="618E4FDA"/>
    <w:rsid w:val="61FA073F"/>
    <w:rsid w:val="62251205"/>
    <w:rsid w:val="629264D2"/>
    <w:rsid w:val="62DC75DB"/>
    <w:rsid w:val="63005A0A"/>
    <w:rsid w:val="6355592E"/>
    <w:rsid w:val="63776E7B"/>
    <w:rsid w:val="639F3B8F"/>
    <w:rsid w:val="63BD47B5"/>
    <w:rsid w:val="64556B0E"/>
    <w:rsid w:val="649E2A71"/>
    <w:rsid w:val="64E52966"/>
    <w:rsid w:val="64EB7C9D"/>
    <w:rsid w:val="65390105"/>
    <w:rsid w:val="6563632E"/>
    <w:rsid w:val="65A53B1C"/>
    <w:rsid w:val="660878B1"/>
    <w:rsid w:val="664030E9"/>
    <w:rsid w:val="666D47EE"/>
    <w:rsid w:val="66A302D7"/>
    <w:rsid w:val="66B50E81"/>
    <w:rsid w:val="66C22D3A"/>
    <w:rsid w:val="66E42DE2"/>
    <w:rsid w:val="670F2B99"/>
    <w:rsid w:val="67D36494"/>
    <w:rsid w:val="67DD3829"/>
    <w:rsid w:val="67E7103C"/>
    <w:rsid w:val="681716FD"/>
    <w:rsid w:val="68A13251"/>
    <w:rsid w:val="68C1382C"/>
    <w:rsid w:val="68C734E6"/>
    <w:rsid w:val="690A4AA4"/>
    <w:rsid w:val="693606CA"/>
    <w:rsid w:val="69F95746"/>
    <w:rsid w:val="6A462CC6"/>
    <w:rsid w:val="6AB447C3"/>
    <w:rsid w:val="6AF01164"/>
    <w:rsid w:val="6B31337C"/>
    <w:rsid w:val="6BA94C8E"/>
    <w:rsid w:val="6BBC1336"/>
    <w:rsid w:val="6C15441B"/>
    <w:rsid w:val="6C421B88"/>
    <w:rsid w:val="6CAB64C0"/>
    <w:rsid w:val="6D0540BF"/>
    <w:rsid w:val="6D2F0485"/>
    <w:rsid w:val="6DBD0123"/>
    <w:rsid w:val="6E15441A"/>
    <w:rsid w:val="6E5B7FC9"/>
    <w:rsid w:val="6EE6527B"/>
    <w:rsid w:val="6F626853"/>
    <w:rsid w:val="6FA145A1"/>
    <w:rsid w:val="6FB25CB1"/>
    <w:rsid w:val="6FF7413A"/>
    <w:rsid w:val="70783D6C"/>
    <w:rsid w:val="70BD6D33"/>
    <w:rsid w:val="70BF306D"/>
    <w:rsid w:val="70C346EA"/>
    <w:rsid w:val="7107511F"/>
    <w:rsid w:val="714325E3"/>
    <w:rsid w:val="714571EE"/>
    <w:rsid w:val="718B6F38"/>
    <w:rsid w:val="719C580C"/>
    <w:rsid w:val="71C4488E"/>
    <w:rsid w:val="72070EEF"/>
    <w:rsid w:val="721744FC"/>
    <w:rsid w:val="72B259AE"/>
    <w:rsid w:val="72F46018"/>
    <w:rsid w:val="733B17D0"/>
    <w:rsid w:val="73683F57"/>
    <w:rsid w:val="73877081"/>
    <w:rsid w:val="755002C7"/>
    <w:rsid w:val="75572054"/>
    <w:rsid w:val="75EB36D0"/>
    <w:rsid w:val="76760B74"/>
    <w:rsid w:val="769B55BF"/>
    <w:rsid w:val="76B35000"/>
    <w:rsid w:val="76CC2178"/>
    <w:rsid w:val="76EA5C02"/>
    <w:rsid w:val="76ED5310"/>
    <w:rsid w:val="76F5187C"/>
    <w:rsid w:val="770671F4"/>
    <w:rsid w:val="77AD08D9"/>
    <w:rsid w:val="77AD596D"/>
    <w:rsid w:val="7801004C"/>
    <w:rsid w:val="78387B7F"/>
    <w:rsid w:val="785B2D9E"/>
    <w:rsid w:val="7878508A"/>
    <w:rsid w:val="78887081"/>
    <w:rsid w:val="78B22CFF"/>
    <w:rsid w:val="78D1131C"/>
    <w:rsid w:val="78F17976"/>
    <w:rsid w:val="79985632"/>
    <w:rsid w:val="79A15275"/>
    <w:rsid w:val="7A561BA8"/>
    <w:rsid w:val="7AB278B6"/>
    <w:rsid w:val="7AC52F03"/>
    <w:rsid w:val="7AC92B4F"/>
    <w:rsid w:val="7B103FB9"/>
    <w:rsid w:val="7B781913"/>
    <w:rsid w:val="7B9A0265"/>
    <w:rsid w:val="7C1539D7"/>
    <w:rsid w:val="7C396B93"/>
    <w:rsid w:val="7C423C6B"/>
    <w:rsid w:val="7CCC6E9D"/>
    <w:rsid w:val="7DFB4006"/>
    <w:rsid w:val="7E8A3F3F"/>
    <w:rsid w:val="7EB0162C"/>
    <w:rsid w:val="7EBE4073"/>
    <w:rsid w:val="7EE37ABF"/>
    <w:rsid w:val="7F282754"/>
    <w:rsid w:val="7F5F09B5"/>
    <w:rsid w:val="7FC4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7"/>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6"/>
    <w:qFormat/>
    <w:uiPriority w:val="0"/>
    <w:pPr>
      <w:keepNext/>
      <w:keepLines/>
      <w:spacing w:before="260" w:after="260" w:line="415" w:lineRule="auto"/>
      <w:outlineLvl w:val="1"/>
    </w:pPr>
    <w:rPr>
      <w:rFonts w:ascii="Cambria" w:hAnsi="Cambr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37"/>
    <w:qFormat/>
    <w:uiPriority w:val="0"/>
    <w:rPr>
      <w:rFonts w:ascii="宋体" w:hAnsi="Courier New"/>
      <w:sz w:val="21"/>
      <w:szCs w:val="21"/>
    </w:rPr>
  </w:style>
  <w:style w:type="paragraph" w:styleId="5">
    <w:name w:val="Normal Indent"/>
    <w:basedOn w:val="1"/>
    <w:qFormat/>
    <w:uiPriority w:val="0"/>
    <w:pPr>
      <w:ind w:firstLine="420"/>
    </w:pPr>
    <w:rPr>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Calibri" w:hAnsi="Calibri"/>
    </w:rPr>
  </w:style>
  <w:style w:type="paragraph" w:styleId="9">
    <w:name w:val="Body Text Indent"/>
    <w:basedOn w:val="1"/>
    <w:link w:val="38"/>
    <w:qFormat/>
    <w:uiPriority w:val="0"/>
    <w:pPr>
      <w:spacing w:after="120"/>
      <w:ind w:left="420" w:leftChars="200"/>
    </w:pPr>
    <w:rPr>
      <w:sz w:val="21"/>
    </w:rPr>
  </w:style>
  <w:style w:type="paragraph" w:styleId="10">
    <w:name w:val="Date"/>
    <w:basedOn w:val="1"/>
    <w:next w:val="1"/>
    <w:qFormat/>
    <w:uiPriority w:val="0"/>
    <w:pPr>
      <w:ind w:left="100" w:leftChars="2500"/>
    </w:pPr>
    <w:rPr>
      <w:rFonts w:eastAsia="仿宋_GB2312"/>
      <w:sz w:val="32"/>
    </w:rPr>
  </w:style>
  <w:style w:type="paragraph" w:styleId="11">
    <w:name w:val="Balloon Text"/>
    <w:basedOn w:val="1"/>
    <w:qFormat/>
    <w:uiPriority w:val="0"/>
    <w:rPr>
      <w:sz w:val="18"/>
      <w:szCs w:val="18"/>
    </w:rPr>
  </w:style>
  <w:style w:type="paragraph" w:styleId="12">
    <w:name w:val="footer"/>
    <w:basedOn w:val="1"/>
    <w:link w:val="41"/>
    <w:qFormat/>
    <w:uiPriority w:val="0"/>
    <w:pPr>
      <w:tabs>
        <w:tab w:val="center" w:pos="4153"/>
        <w:tab w:val="right" w:pos="8306"/>
      </w:tabs>
      <w:snapToGrid w:val="0"/>
      <w:jc w:val="left"/>
    </w:pPr>
    <w:rPr>
      <w:sz w:val="18"/>
      <w:szCs w:val="18"/>
    </w:rPr>
  </w:style>
  <w:style w:type="paragraph" w:styleId="13">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5">
    <w:name w:val="Subtitle"/>
    <w:basedOn w:val="1"/>
    <w:next w:val="1"/>
    <w:link w:val="35"/>
    <w:qFormat/>
    <w:uiPriority w:val="0"/>
    <w:pPr>
      <w:spacing w:before="240" w:after="60" w:line="312" w:lineRule="auto"/>
      <w:jc w:val="center"/>
      <w:outlineLvl w:val="1"/>
    </w:pPr>
    <w:rPr>
      <w:rFonts w:ascii="Cambria" w:hAnsi="Cambria"/>
      <w:b/>
      <w:bCs/>
      <w:kern w:val="28"/>
      <w:sz w:val="32"/>
      <w:szCs w:val="32"/>
    </w:rPr>
  </w:style>
  <w:style w:type="paragraph" w:styleId="16">
    <w:name w:val="Normal (Web)"/>
    <w:basedOn w:val="1"/>
    <w:qFormat/>
    <w:uiPriority w:val="0"/>
    <w:pPr>
      <w:spacing w:before="100" w:beforeAutospacing="1" w:after="100" w:afterAutospacing="1"/>
      <w:jc w:val="left"/>
    </w:pPr>
    <w:rPr>
      <w:kern w:val="0"/>
    </w:rPr>
  </w:style>
  <w:style w:type="paragraph" w:styleId="17">
    <w:name w:val="Title"/>
    <w:basedOn w:val="1"/>
    <w:next w:val="1"/>
    <w:link w:val="36"/>
    <w:qFormat/>
    <w:uiPriority w:val="0"/>
    <w:pPr>
      <w:spacing w:before="240" w:after="60"/>
      <w:jc w:val="center"/>
      <w:outlineLvl w:val="0"/>
    </w:pPr>
    <w:rPr>
      <w:rFonts w:ascii="Cambria" w:hAnsi="Cambria"/>
      <w:b/>
      <w:bCs/>
      <w:sz w:val="36"/>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000000"/>
      <w:u w:val="none"/>
    </w:rPr>
  </w:style>
  <w:style w:type="character" w:styleId="24">
    <w:name w:val="Emphasis"/>
    <w:qFormat/>
    <w:uiPriority w:val="0"/>
  </w:style>
  <w:style w:type="character" w:styleId="25">
    <w:name w:val="Hyperlink"/>
    <w:qFormat/>
    <w:uiPriority w:val="99"/>
    <w:rPr>
      <w:color w:val="000000"/>
      <w:u w:val="none"/>
    </w:rPr>
  </w:style>
  <w:style w:type="paragraph" w:customStyle="1" w:styleId="26">
    <w:name w:val="Char"/>
    <w:basedOn w:val="1"/>
    <w:qFormat/>
    <w:uiPriority w:val="0"/>
    <w:rPr>
      <w:szCs w:val="21"/>
    </w:rPr>
  </w:style>
  <w:style w:type="paragraph" w:customStyle="1" w:styleId="27">
    <w:name w:val="_Style 31"/>
    <w:basedOn w:val="6"/>
    <w:qFormat/>
    <w:uiPriority w:val="0"/>
    <w:rPr>
      <w:szCs w:val="20"/>
      <w:shd w:val="clear" w:color="auto" w:fill="000080"/>
    </w:rPr>
  </w:style>
  <w:style w:type="paragraph" w:customStyle="1" w:styleId="28">
    <w:name w:val="样式3"/>
    <w:basedOn w:val="29"/>
    <w:qFormat/>
    <w:uiPriority w:val="0"/>
    <w:pPr>
      <w:jc w:val="center"/>
    </w:pPr>
  </w:style>
  <w:style w:type="paragraph" w:customStyle="1" w:styleId="29">
    <w:name w:val="样式2"/>
    <w:basedOn w:val="1"/>
    <w:qFormat/>
    <w:uiPriority w:val="0"/>
    <w:rPr>
      <w:rFonts w:eastAsia="华文中宋"/>
      <w:sz w:val="44"/>
    </w:rPr>
  </w:style>
  <w:style w:type="paragraph" w:customStyle="1" w:styleId="30">
    <w:name w:val="List Paragraph1"/>
    <w:basedOn w:val="1"/>
    <w:qFormat/>
    <w:uiPriority w:val="0"/>
    <w:pPr>
      <w:ind w:firstLine="420" w:firstLineChars="200"/>
    </w:pPr>
    <w:rPr>
      <w:sz w:val="21"/>
    </w:rPr>
  </w:style>
  <w:style w:type="paragraph" w:customStyle="1" w:styleId="31">
    <w:name w:val="p0"/>
    <w:basedOn w:val="1"/>
    <w:qFormat/>
    <w:uiPriority w:val="0"/>
    <w:pPr>
      <w:widowControl/>
    </w:pPr>
    <w:rPr>
      <w:kern w:val="0"/>
      <w:szCs w:val="21"/>
    </w:rPr>
  </w:style>
  <w:style w:type="paragraph" w:customStyle="1" w:styleId="32">
    <w:name w:val="列出段落1"/>
    <w:basedOn w:val="1"/>
    <w:qFormat/>
    <w:uiPriority w:val="0"/>
    <w:pPr>
      <w:ind w:firstLine="420" w:firstLineChars="200"/>
    </w:pPr>
    <w:rPr>
      <w:rFonts w:ascii="Calibri" w:hAnsi="Calibri"/>
      <w:sz w:val="21"/>
      <w:szCs w:val="22"/>
    </w:rPr>
  </w:style>
  <w:style w:type="paragraph" w:customStyle="1" w:styleId="33">
    <w:name w:val="样式1"/>
    <w:basedOn w:val="1"/>
    <w:qFormat/>
    <w:uiPriority w:val="0"/>
    <w:rPr>
      <w:rFonts w:eastAsia="仿宋_GB2312"/>
      <w:sz w:val="32"/>
    </w:rPr>
  </w:style>
  <w:style w:type="paragraph" w:customStyle="1" w:styleId="34">
    <w:name w:val="列出段落11"/>
    <w:basedOn w:val="1"/>
    <w:qFormat/>
    <w:uiPriority w:val="0"/>
    <w:pPr>
      <w:ind w:firstLine="420" w:firstLineChars="200"/>
    </w:pPr>
    <w:rPr>
      <w:sz w:val="21"/>
    </w:rPr>
  </w:style>
  <w:style w:type="character" w:customStyle="1" w:styleId="35">
    <w:name w:val="副标题 Char"/>
    <w:link w:val="15"/>
    <w:qFormat/>
    <w:uiPriority w:val="0"/>
    <w:rPr>
      <w:rFonts w:ascii="Cambria" w:hAnsi="Cambria"/>
      <w:b/>
      <w:bCs/>
      <w:kern w:val="28"/>
      <w:sz w:val="32"/>
      <w:szCs w:val="32"/>
    </w:rPr>
  </w:style>
  <w:style w:type="character" w:customStyle="1" w:styleId="36">
    <w:name w:val="标题 Char"/>
    <w:link w:val="17"/>
    <w:qFormat/>
    <w:uiPriority w:val="0"/>
    <w:rPr>
      <w:rFonts w:ascii="Cambria" w:hAnsi="Cambria"/>
      <w:b/>
      <w:bCs/>
      <w:kern w:val="2"/>
      <w:sz w:val="36"/>
      <w:szCs w:val="32"/>
    </w:rPr>
  </w:style>
  <w:style w:type="character" w:customStyle="1" w:styleId="37">
    <w:name w:val="纯文本 Char"/>
    <w:link w:val="2"/>
    <w:qFormat/>
    <w:uiPriority w:val="0"/>
    <w:rPr>
      <w:rFonts w:ascii="宋体" w:hAnsi="Courier New" w:cs="Courier New"/>
      <w:kern w:val="2"/>
      <w:sz w:val="21"/>
      <w:szCs w:val="21"/>
    </w:rPr>
  </w:style>
  <w:style w:type="character" w:customStyle="1" w:styleId="38">
    <w:name w:val="正文文本缩进 Char"/>
    <w:link w:val="9"/>
    <w:qFormat/>
    <w:uiPriority w:val="0"/>
    <w:rPr>
      <w:kern w:val="2"/>
      <w:sz w:val="21"/>
      <w:szCs w:val="24"/>
    </w:rPr>
  </w:style>
  <w:style w:type="character" w:customStyle="1" w:styleId="39">
    <w:name w:val="bg01"/>
    <w:basedOn w:val="20"/>
    <w:qFormat/>
    <w:uiPriority w:val="0"/>
  </w:style>
  <w:style w:type="character" w:customStyle="1" w:styleId="40">
    <w:name w:val="页眉 Char"/>
    <w:link w:val="13"/>
    <w:qFormat/>
    <w:uiPriority w:val="0"/>
    <w:rPr>
      <w:kern w:val="2"/>
      <w:sz w:val="18"/>
      <w:szCs w:val="18"/>
    </w:rPr>
  </w:style>
  <w:style w:type="character" w:customStyle="1" w:styleId="41">
    <w:name w:val="页脚 Char"/>
    <w:link w:val="12"/>
    <w:qFormat/>
    <w:uiPriority w:val="0"/>
    <w:rPr>
      <w:kern w:val="2"/>
      <w:sz w:val="18"/>
      <w:szCs w:val="18"/>
    </w:rPr>
  </w:style>
  <w:style w:type="character" w:customStyle="1" w:styleId="42">
    <w:name w:val="标题 Char1"/>
    <w:qFormat/>
    <w:uiPriority w:val="0"/>
    <w:rPr>
      <w:rFonts w:ascii="Cambria" w:hAnsi="Cambria" w:cs="Times New Roman"/>
      <w:b/>
      <w:bCs/>
      <w:kern w:val="2"/>
      <w:sz w:val="32"/>
      <w:szCs w:val="32"/>
    </w:rPr>
  </w:style>
  <w:style w:type="character" w:customStyle="1" w:styleId="43">
    <w:name w:val="font31"/>
    <w:basedOn w:val="20"/>
    <w:qFormat/>
    <w:uiPriority w:val="0"/>
    <w:rPr>
      <w:rFonts w:ascii="Arial" w:hAnsi="Arial" w:cs="Arial"/>
      <w:b/>
      <w:color w:val="000000"/>
      <w:sz w:val="32"/>
      <w:szCs w:val="32"/>
      <w:u w:val="none"/>
    </w:rPr>
  </w:style>
  <w:style w:type="character" w:customStyle="1" w:styleId="44">
    <w:name w:val="more"/>
    <w:qFormat/>
    <w:uiPriority w:val="0"/>
    <w:rPr>
      <w:color w:val="666666"/>
      <w:sz w:val="18"/>
      <w:szCs w:val="18"/>
    </w:rPr>
  </w:style>
  <w:style w:type="character" w:customStyle="1" w:styleId="45">
    <w:name w:val="bg02"/>
    <w:basedOn w:val="20"/>
    <w:qFormat/>
    <w:uiPriority w:val="0"/>
  </w:style>
  <w:style w:type="character" w:customStyle="1" w:styleId="46">
    <w:name w:val="标题 2 Char"/>
    <w:link w:val="4"/>
    <w:qFormat/>
    <w:uiPriority w:val="0"/>
    <w:rPr>
      <w:rFonts w:ascii="Cambria" w:hAnsi="Cambria"/>
      <w:b/>
      <w:bCs/>
      <w:kern w:val="2"/>
      <w:sz w:val="32"/>
      <w:szCs w:val="32"/>
    </w:rPr>
  </w:style>
  <w:style w:type="character" w:customStyle="1" w:styleId="47">
    <w:name w:val="标题 1 Char"/>
    <w:link w:val="3"/>
    <w:qFormat/>
    <w:uiPriority w:val="0"/>
    <w:rPr>
      <w:b/>
      <w:bCs/>
      <w:kern w:val="44"/>
      <w:sz w:val="30"/>
      <w:szCs w:val="44"/>
    </w:rPr>
  </w:style>
  <w:style w:type="character" w:customStyle="1" w:styleId="48">
    <w:name w:val="font01"/>
    <w:basedOn w:val="20"/>
    <w:qFormat/>
    <w:uiPriority w:val="0"/>
    <w:rPr>
      <w:rFonts w:hint="eastAsia" w:ascii="宋体" w:hAnsi="宋体" w:eastAsia="宋体" w:cs="宋体"/>
      <w:color w:val="000000"/>
      <w:sz w:val="16"/>
      <w:szCs w:val="16"/>
      <w:u w:val="none"/>
    </w:rPr>
  </w:style>
  <w:style w:type="character" w:customStyle="1" w:styleId="49">
    <w:name w:val="副标题 Char1"/>
    <w:qFormat/>
    <w:uiPriority w:val="0"/>
    <w:rPr>
      <w:rFonts w:ascii="Cambria" w:hAnsi="Cambria" w:cs="Times New Roman"/>
      <w:b/>
      <w:bCs/>
      <w:kern w:val="28"/>
      <w:sz w:val="32"/>
      <w:szCs w:val="32"/>
    </w:rPr>
  </w:style>
  <w:style w:type="character" w:customStyle="1" w:styleId="50">
    <w:name w:val="tabg"/>
    <w:qFormat/>
    <w:uiPriority w:val="0"/>
    <w:rPr>
      <w:rFonts w:ascii="微软雅黑" w:hAnsi="微软雅黑" w:eastAsia="微软雅黑" w:cs="微软雅黑"/>
      <w:color w:val="FFFFFF"/>
      <w:sz w:val="27"/>
      <w:szCs w:val="27"/>
    </w:rPr>
  </w:style>
  <w:style w:type="paragraph" w:styleId="51">
    <w:name w:val="List Paragraph"/>
    <w:basedOn w:val="1"/>
    <w:qFormat/>
    <w:uiPriority w:val="34"/>
    <w:pPr>
      <w:ind w:firstLine="420" w:firstLineChars="200"/>
    </w:pPr>
  </w:style>
  <w:style w:type="paragraph" w:customStyle="1" w:styleId="52">
    <w:name w:val="正文1"/>
    <w:basedOn w:val="1"/>
    <w:qFormat/>
    <w:uiPriority w:val="0"/>
    <w:pPr>
      <w:widowControl/>
      <w:spacing w:after="200" w:line="300" w:lineRule="atLeast"/>
      <w:jc w:val="left"/>
    </w:pPr>
    <w:rPr>
      <w:rFonts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EBE2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81</Pages>
  <Words>5728</Words>
  <Characters>32650</Characters>
  <Lines>272</Lines>
  <Paragraphs>76</Paragraphs>
  <TotalTime>19</TotalTime>
  <ScaleCrop>false</ScaleCrop>
  <LinksUpToDate>false</LinksUpToDate>
  <CharactersWithSpaces>38302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2019-10-16T03:20:00Z</dcterms:created>
  <dc:creator>太子弹琴</dc:creator>
  <cp:lastModifiedBy>婧丶</cp:lastModifiedBy>
  <cp:lastPrinted>2018-07-30T08:15:00Z</cp:lastPrinted>
  <dcterms:modified xsi:type="dcterms:W3CDTF">2020-10-29T09:04:39Z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