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ind w:left="-142" w:leftChars="0"/>
        <w:jc w:val="center"/>
      </w:pPr>
      <w:bookmarkStart w:id="0" w:name="_Toc217446093"/>
      <w:bookmarkStart w:id="1" w:name="_Toc495312686"/>
      <w:bookmarkStart w:id="2" w:name="_Toc321382057"/>
      <w:bookmarkStart w:id="3" w:name="_Toc316292231"/>
      <w:r>
        <w:rPr>
          <w:rFonts w:hint="eastAsia"/>
          <w:lang w:eastAsia="zh-CN"/>
        </w:rPr>
        <w:t>第五章、</w:t>
      </w:r>
      <w:r>
        <w:rPr>
          <w:rFonts w:hint="eastAsia"/>
        </w:rPr>
        <w:t>技术、商务及其他要求</w:t>
      </w:r>
      <w:bookmarkEnd w:id="0"/>
      <w:bookmarkEnd w:id="1"/>
      <w:bookmarkStart w:id="4" w:name="_Toc477248550"/>
      <w:bookmarkStart w:id="5" w:name="_Toc414347857"/>
      <w:bookmarkStart w:id="6" w:name="_Toc417566432"/>
      <w:bookmarkStart w:id="27" w:name="_GoBack"/>
      <w:bookmarkEnd w:id="27"/>
    </w:p>
    <w:p>
      <w:pPr>
        <w:tabs>
          <w:tab w:val="left" w:pos="862"/>
          <w:tab w:val="left" w:pos="993"/>
        </w:tabs>
        <w:adjustRightInd w:val="0"/>
        <w:snapToGrid w:val="0"/>
        <w:spacing w:before="100" w:beforeAutospacing="1" w:after="100" w:afterAutospacing="1" w:line="360" w:lineRule="auto"/>
        <w:ind w:left="425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5.1采购清单</w:t>
      </w:r>
    </w:p>
    <w:tbl>
      <w:tblPr>
        <w:tblStyle w:val="4"/>
        <w:tblW w:w="97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2937"/>
        <w:gridCol w:w="466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93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设备名称</w:t>
            </w:r>
          </w:p>
        </w:tc>
        <w:tc>
          <w:tcPr>
            <w:tcW w:w="466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93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bCs/>
                <w:szCs w:val="21"/>
              </w:rPr>
              <w:t>激光共聚焦显微拉曼光谱仪</w:t>
            </w:r>
          </w:p>
        </w:tc>
        <w:tc>
          <w:tcPr>
            <w:tcW w:w="466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</w:tr>
    </w:tbl>
    <w:p>
      <w:pPr>
        <w:tabs>
          <w:tab w:val="left" w:pos="862"/>
          <w:tab w:val="left" w:pos="993"/>
        </w:tabs>
        <w:adjustRightInd w:val="0"/>
        <w:snapToGrid w:val="0"/>
        <w:spacing w:before="100" w:beforeAutospacing="1" w:after="100" w:afterAutospacing="1" w:line="360" w:lineRule="auto"/>
        <w:ind w:left="425"/>
        <w:rPr>
          <w:rFonts w:ascii="宋体" w:hAnsi="宋体"/>
          <w:b/>
          <w:bCs/>
          <w:sz w:val="24"/>
          <w:szCs w:val="24"/>
        </w:rPr>
      </w:pPr>
    </w:p>
    <w:bookmarkEnd w:id="4"/>
    <w:bookmarkEnd w:id="5"/>
    <w:bookmarkEnd w:id="6"/>
    <w:p>
      <w:pPr>
        <w:tabs>
          <w:tab w:val="left" w:pos="862"/>
          <w:tab w:val="left" w:pos="993"/>
        </w:tabs>
        <w:adjustRightInd w:val="0"/>
        <w:snapToGrid w:val="0"/>
        <w:spacing w:before="100" w:beforeAutospacing="1" w:after="100" w:afterAutospacing="1" w:line="360" w:lineRule="auto"/>
        <w:ind w:left="425"/>
        <w:rPr>
          <w:rFonts w:ascii="宋体" w:hAnsi="宋体"/>
          <w:b/>
          <w:bCs/>
          <w:sz w:val="24"/>
          <w:szCs w:val="24"/>
        </w:rPr>
      </w:pPr>
      <w:bookmarkStart w:id="7" w:name="_Toc417566433"/>
      <w:bookmarkStart w:id="8" w:name="_Toc477248551"/>
      <w:bookmarkStart w:id="9" w:name="_Toc414347862"/>
      <w:bookmarkStart w:id="10" w:name="_Toc405470380"/>
      <w:bookmarkStart w:id="11" w:name="_Toc249194650"/>
      <w:bookmarkStart w:id="12" w:name="_Toc276718522"/>
      <w:bookmarkStart w:id="13" w:name="_Toc295392031"/>
      <w:bookmarkStart w:id="14" w:name="_Toc273336187"/>
      <w:bookmarkStart w:id="15" w:name="_Toc301782789"/>
      <w:bookmarkStart w:id="16" w:name="_Toc301782771"/>
      <w:bookmarkStart w:id="17" w:name="_Toc303150932"/>
      <w:bookmarkStart w:id="18" w:name="_Toc308116285"/>
      <w:bookmarkStart w:id="19" w:name="_Toc249366050"/>
      <w:bookmarkStart w:id="20" w:name="_Toc343513803"/>
      <w:bookmarkStart w:id="21" w:name="_Toc217446094"/>
      <w:r>
        <w:rPr>
          <w:rFonts w:hint="eastAsia" w:ascii="宋体" w:hAnsi="宋体"/>
          <w:b/>
          <w:bCs/>
          <w:sz w:val="24"/>
          <w:szCs w:val="24"/>
        </w:rPr>
        <w:t>5.2技术参数及要求</w:t>
      </w:r>
      <w:bookmarkEnd w:id="7"/>
      <w:bookmarkEnd w:id="8"/>
      <w:bookmarkEnd w:id="9"/>
    </w:p>
    <w:tbl>
      <w:tblPr>
        <w:tblStyle w:val="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1"/>
        <w:gridCol w:w="637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before="217" w:beforeLines="50" w:after="217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before="217" w:beforeLines="50" w:after="217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设备名称</w:t>
            </w:r>
          </w:p>
        </w:tc>
        <w:tc>
          <w:tcPr>
            <w:tcW w:w="6379" w:type="dxa"/>
            <w:vAlign w:val="center"/>
          </w:tcPr>
          <w:p>
            <w:pPr>
              <w:spacing w:before="217" w:beforeLines="50" w:after="217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详细技术指标及功能需求</w:t>
            </w:r>
          </w:p>
        </w:tc>
        <w:tc>
          <w:tcPr>
            <w:tcW w:w="709" w:type="dxa"/>
            <w:vAlign w:val="center"/>
          </w:tcPr>
          <w:p>
            <w:pPr>
              <w:spacing w:before="217" w:beforeLines="50" w:after="217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Cs w:val="21"/>
              </w:rPr>
              <w:t>激光共聚焦显微拉曼光谱仪</w:t>
            </w:r>
          </w:p>
        </w:tc>
        <w:tc>
          <w:tcPr>
            <w:tcW w:w="6379" w:type="dxa"/>
            <w:vAlign w:val="center"/>
          </w:tcPr>
          <w:p>
            <w:pPr>
              <w:numPr>
                <w:ilvl w:val="0"/>
                <w:numId w:val="2"/>
              </w:num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主机</w:t>
            </w:r>
          </w:p>
          <w:p>
            <w:pPr>
              <w:numPr>
                <w:ilvl w:val="1"/>
                <w:numId w:val="2"/>
              </w:numPr>
              <w:rPr>
                <w:szCs w:val="21"/>
              </w:rPr>
            </w:pPr>
            <w:r>
              <w:rPr>
                <w:szCs w:val="21"/>
              </w:rPr>
              <w:t>要求仪器具有高度整体性，完全自动化操作，所有部件（激光器、滤光片等）均内置在同一主机内。</w:t>
            </w:r>
          </w:p>
          <w:p>
            <w:pPr>
              <w:numPr>
                <w:ilvl w:val="1"/>
                <w:numId w:val="2"/>
              </w:numPr>
              <w:rPr>
                <w:szCs w:val="21"/>
              </w:rPr>
            </w:pPr>
            <w:r>
              <w:rPr>
                <w:szCs w:val="21"/>
              </w:rPr>
              <w:t>仪器采用全反射式</w:t>
            </w:r>
            <w:r>
              <w:rPr>
                <w:rFonts w:hint="eastAsia"/>
                <w:szCs w:val="21"/>
              </w:rPr>
              <w:t>消像散</w:t>
            </w:r>
            <w:r>
              <w:rPr>
                <w:szCs w:val="21"/>
              </w:rPr>
              <w:t>单级光谱仪</w:t>
            </w:r>
            <w:r>
              <w:rPr>
                <w:rFonts w:hint="eastAsia"/>
                <w:szCs w:val="21"/>
              </w:rPr>
              <w:t>，避免透镜聚焦造成色差而影响拉曼采谱效率</w:t>
            </w:r>
            <w:r>
              <w:rPr>
                <w:szCs w:val="21"/>
              </w:rPr>
              <w:t>。</w:t>
            </w:r>
          </w:p>
          <w:p>
            <w:pPr>
              <w:numPr>
                <w:ilvl w:val="1"/>
                <w:numId w:val="2"/>
              </w:numPr>
              <w:rPr>
                <w:szCs w:val="21"/>
              </w:rPr>
            </w:pPr>
            <w:r>
              <w:rPr>
                <w:szCs w:val="21"/>
              </w:rPr>
              <w:t>仪器采用针孔共聚焦方式</w:t>
            </w:r>
            <w:r>
              <w:rPr>
                <w:rFonts w:hint="eastAsia"/>
                <w:szCs w:val="21"/>
              </w:rPr>
              <w:t>，以获得最优的三维滤波效果</w:t>
            </w:r>
            <w:r>
              <w:rPr>
                <w:szCs w:val="21"/>
              </w:rPr>
              <w:t>。</w:t>
            </w:r>
          </w:p>
          <w:p>
            <w:pPr>
              <w:ind w:left="425"/>
              <w:rPr>
                <w:szCs w:val="21"/>
              </w:rPr>
            </w:pPr>
          </w:p>
          <w:p>
            <w:pPr>
              <w:numPr>
                <w:ilvl w:val="0"/>
                <w:numId w:val="2"/>
              </w:num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激光器、光学元件及滤光片</w:t>
            </w:r>
          </w:p>
          <w:p>
            <w:pPr>
              <w:numPr>
                <w:ilvl w:val="1"/>
                <w:numId w:val="2"/>
              </w:numPr>
              <w:rPr>
                <w:szCs w:val="21"/>
              </w:rPr>
            </w:pPr>
            <w:r>
              <w:rPr>
                <w:szCs w:val="21"/>
              </w:rPr>
              <w:t>532nm</w:t>
            </w:r>
            <w:r>
              <w:rPr>
                <w:rFonts w:hint="eastAsia"/>
                <w:szCs w:val="21"/>
              </w:rPr>
              <w:t>激光器</w:t>
            </w:r>
            <w:r>
              <w:rPr>
                <w:szCs w:val="21"/>
              </w:rPr>
              <w:t xml:space="preserve">，激光输出功率≥90mW, </w:t>
            </w:r>
            <w:bookmarkStart w:id="22" w:name="OLE_LINK1"/>
            <w:r>
              <w:rPr>
                <w:szCs w:val="21"/>
              </w:rPr>
              <w:t>TEM</w:t>
            </w:r>
            <w:r>
              <w:rPr>
                <w:szCs w:val="21"/>
                <w:vertAlign w:val="subscript"/>
              </w:rPr>
              <w:t>00</w:t>
            </w:r>
            <w:r>
              <w:rPr>
                <w:szCs w:val="21"/>
              </w:rPr>
              <w:t>空间模式</w:t>
            </w:r>
            <w:bookmarkEnd w:id="22"/>
            <w:r>
              <w:rPr>
                <w:kern w:val="0"/>
                <w:szCs w:val="21"/>
              </w:rPr>
              <w:t>。</w:t>
            </w:r>
          </w:p>
          <w:p>
            <w:pPr>
              <w:numPr>
                <w:ilvl w:val="1"/>
                <w:numId w:val="2"/>
              </w:numPr>
              <w:rPr>
                <w:szCs w:val="21"/>
              </w:rPr>
            </w:pPr>
            <w:r>
              <w:rPr>
                <w:szCs w:val="21"/>
              </w:rPr>
              <w:t>638nm</w:t>
            </w:r>
            <w:r>
              <w:rPr>
                <w:rFonts w:hint="eastAsia"/>
                <w:szCs w:val="21"/>
              </w:rPr>
              <w:t>激光器</w:t>
            </w:r>
            <w:r>
              <w:rPr>
                <w:szCs w:val="21"/>
              </w:rPr>
              <w:t>，激光输出功率≥30mW, TEM</w:t>
            </w:r>
            <w:r>
              <w:rPr>
                <w:szCs w:val="21"/>
                <w:vertAlign w:val="subscript"/>
              </w:rPr>
              <w:t>00</w:t>
            </w:r>
            <w:r>
              <w:rPr>
                <w:szCs w:val="21"/>
              </w:rPr>
              <w:t>空间模式</w:t>
            </w:r>
            <w:r>
              <w:rPr>
                <w:kern w:val="0"/>
                <w:szCs w:val="21"/>
              </w:rPr>
              <w:t>。</w:t>
            </w:r>
          </w:p>
          <w:p>
            <w:pPr>
              <w:numPr>
                <w:ilvl w:val="1"/>
                <w:numId w:val="2"/>
              </w:numPr>
              <w:rPr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# </w:t>
            </w:r>
            <w:r>
              <w:rPr>
                <w:rFonts w:hint="eastAsia"/>
                <w:szCs w:val="21"/>
              </w:rPr>
              <w:t>以上均采用长寿命固体激光器，激光器线宽小于0.05cm</w:t>
            </w:r>
            <w:r>
              <w:rPr>
                <w:rFonts w:hint="eastAsia"/>
                <w:szCs w:val="21"/>
                <w:vertAlign w:val="superscript"/>
              </w:rPr>
              <w:t>-1</w:t>
            </w:r>
            <w:r>
              <w:rPr>
                <w:rFonts w:hint="eastAsia"/>
                <w:szCs w:val="21"/>
              </w:rPr>
              <w:t>;</w:t>
            </w:r>
          </w:p>
          <w:p>
            <w:pPr>
              <w:numPr>
                <w:ilvl w:val="1"/>
                <w:numId w:val="2"/>
              </w:numPr>
              <w:rPr>
                <w:szCs w:val="21"/>
              </w:rPr>
            </w:pPr>
            <w:r>
              <w:rPr>
                <w:szCs w:val="21"/>
              </w:rPr>
              <w:t>使用高性能Edge瑞利滤光片，2片，达到优惠低波数效果。</w:t>
            </w:r>
          </w:p>
          <w:p>
            <w:pPr>
              <w:numPr>
                <w:ilvl w:val="1"/>
                <w:numId w:val="2"/>
              </w:numPr>
              <w:rPr>
                <w:szCs w:val="21"/>
              </w:rPr>
            </w:pPr>
            <w:r>
              <w:rPr>
                <w:szCs w:val="21"/>
              </w:rPr>
              <w:t>激光器均内置在主机内，独立激光光路优化配置</w:t>
            </w:r>
            <w:r>
              <w:rPr>
                <w:rFonts w:hint="eastAsia"/>
                <w:szCs w:val="21"/>
              </w:rPr>
              <w:t>，保证高通光效率</w:t>
            </w:r>
            <w:r>
              <w:rPr>
                <w:szCs w:val="21"/>
              </w:rPr>
              <w:t>。</w:t>
            </w:r>
          </w:p>
          <w:p>
            <w:pPr>
              <w:numPr>
                <w:ilvl w:val="1"/>
                <w:numId w:val="2"/>
              </w:numPr>
              <w:rPr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# </w:t>
            </w:r>
            <w:r>
              <w:rPr>
                <w:szCs w:val="21"/>
              </w:rPr>
              <w:t>软件控制自动切换激发波长，无需手动滤光片，激光器，光栅等光学元件。</w:t>
            </w:r>
          </w:p>
          <w:p>
            <w:pPr>
              <w:ind w:left="425"/>
              <w:rPr>
                <w:b/>
                <w:bCs/>
                <w:szCs w:val="21"/>
              </w:rPr>
            </w:pPr>
          </w:p>
          <w:p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b/>
                <w:bCs/>
                <w:szCs w:val="21"/>
              </w:rPr>
              <w:t xml:space="preserve">针孔共焦技术  </w:t>
            </w:r>
            <w:r>
              <w:rPr>
                <w:szCs w:val="21"/>
              </w:rPr>
              <w:t xml:space="preserve">    </w:t>
            </w:r>
          </w:p>
          <w:p>
            <w:pPr>
              <w:numPr>
                <w:ilvl w:val="1"/>
                <w:numId w:val="2"/>
              </w:numPr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★</w:t>
            </w:r>
            <w:r>
              <w:rPr>
                <w:szCs w:val="21"/>
              </w:rPr>
              <w:t xml:space="preserve"> 采用软件控制针孔共焦技术，存在一真实</w:t>
            </w:r>
            <w:r>
              <w:rPr>
                <w:rFonts w:hint="eastAsia"/>
                <w:szCs w:val="21"/>
              </w:rPr>
              <w:t>物理</w:t>
            </w:r>
            <w:r>
              <w:rPr>
                <w:szCs w:val="21"/>
              </w:rPr>
              <w:t>针孔，非狭缝虚拟</w:t>
            </w:r>
            <w:r>
              <w:rPr>
                <w:rFonts w:hint="eastAsia"/>
                <w:szCs w:val="21"/>
              </w:rPr>
              <w:t>模式</w:t>
            </w:r>
            <w:r>
              <w:rPr>
                <w:szCs w:val="21"/>
              </w:rPr>
              <w:t>或光纤模式。</w:t>
            </w:r>
          </w:p>
          <w:p>
            <w:pPr>
              <w:numPr>
                <w:ilvl w:val="1"/>
                <w:numId w:val="2"/>
              </w:numPr>
              <w:rPr>
                <w:szCs w:val="21"/>
              </w:rPr>
            </w:pPr>
            <w:r>
              <w:rPr>
                <w:szCs w:val="21"/>
              </w:rPr>
              <w:t>软件控制共焦孔径尺寸，共焦比大于60%(验收方法：使用单晶硅片，激发波长532 nm ，曝光时间1秒，累加次数1次，显微物镜为X100倍，要求100μm与500μm时硅一阶峰的强度比值≥60%）。</w:t>
            </w:r>
          </w:p>
          <w:p>
            <w:pPr>
              <w:numPr>
                <w:ilvl w:val="1"/>
                <w:numId w:val="2"/>
              </w:numPr>
              <w:rPr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# </w:t>
            </w:r>
            <w:r>
              <w:rPr>
                <w:szCs w:val="21"/>
              </w:rPr>
              <w:t xml:space="preserve">实际空间分辨率：采用≥532nm激发时，横向≤0.5 </w:t>
            </w:r>
            <w:r>
              <w:rPr>
                <w:szCs w:val="21"/>
              </w:rPr>
              <w:sym w:font="Symbol" w:char="F06D"/>
            </w:r>
            <w:r>
              <w:rPr>
                <w:szCs w:val="21"/>
              </w:rPr>
              <w:t xml:space="preserve">m（需提供该品牌拉曼用户公开发表文献作为证明材料，横向分辨率≤0.5 </w:t>
            </w:r>
            <w:r>
              <w:rPr>
                <w:szCs w:val="21"/>
              </w:rPr>
              <w:sym w:font="Symbol" w:char="F06D"/>
            </w:r>
            <w:r>
              <w:rPr>
                <w:szCs w:val="21"/>
              </w:rPr>
              <w:t>m，并作为验收指标），纵向好于</w:t>
            </w:r>
            <w:r>
              <w:rPr>
                <w:rFonts w:hint="eastAsia"/>
                <w:szCs w:val="21"/>
              </w:rPr>
              <w:t>1.5</w:t>
            </w:r>
            <w:r>
              <w:rPr>
                <w:szCs w:val="21"/>
              </w:rPr>
              <w:sym w:font="Symbol" w:char="F06D"/>
            </w:r>
            <w:r>
              <w:rPr>
                <w:szCs w:val="21"/>
              </w:rPr>
              <w:t>m。</w:t>
            </w:r>
          </w:p>
          <w:p>
            <w:pPr>
              <w:ind w:left="425"/>
              <w:rPr>
                <w:szCs w:val="21"/>
              </w:rPr>
            </w:pPr>
          </w:p>
          <w:p>
            <w:pPr>
              <w:numPr>
                <w:ilvl w:val="0"/>
                <w:numId w:val="2"/>
              </w:num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光谱仪</w:t>
            </w:r>
          </w:p>
          <w:p>
            <w:pPr>
              <w:numPr>
                <w:ilvl w:val="1"/>
                <w:numId w:val="2"/>
              </w:numPr>
              <w:rPr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# </w:t>
            </w:r>
            <w:r>
              <w:rPr>
                <w:szCs w:val="21"/>
              </w:rPr>
              <w:t>拉曼频移范围：60-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000cm</w:t>
            </w:r>
            <w:r>
              <w:rPr>
                <w:szCs w:val="21"/>
                <w:vertAlign w:val="superscript"/>
              </w:rPr>
              <w:t>-1</w:t>
            </w:r>
            <w:r>
              <w:rPr>
                <w:szCs w:val="21"/>
              </w:rPr>
              <w:t>（532nm激发）；50-6000cm</w:t>
            </w:r>
            <w:r>
              <w:rPr>
                <w:szCs w:val="21"/>
                <w:vertAlign w:val="superscript"/>
              </w:rPr>
              <w:t>-1</w:t>
            </w:r>
            <w:r>
              <w:rPr>
                <w:szCs w:val="21"/>
              </w:rPr>
              <w:t>（638nm激发）。</w:t>
            </w:r>
          </w:p>
          <w:p>
            <w:pPr>
              <w:numPr>
                <w:ilvl w:val="1"/>
                <w:numId w:val="2"/>
              </w:numPr>
              <w:rPr>
                <w:szCs w:val="21"/>
              </w:rPr>
            </w:pPr>
            <w:r>
              <w:rPr>
                <w:szCs w:val="21"/>
              </w:rPr>
              <w:t>光谱采集模式：至少包含单窗口信号采集、多窗口连续信号采集、多窗口断续信号采集三种采集模式。</w:t>
            </w:r>
          </w:p>
          <w:p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# </w:t>
            </w:r>
            <w:r>
              <w:rPr>
                <w:szCs w:val="21"/>
              </w:rPr>
              <w:t>光谱分辨率：≤1.5cm</w:t>
            </w:r>
            <w:r>
              <w:rPr>
                <w:szCs w:val="21"/>
                <w:vertAlign w:val="superscript"/>
              </w:rPr>
              <w:t>-1</w:t>
            </w:r>
            <w:r>
              <w:rPr>
                <w:szCs w:val="21"/>
              </w:rPr>
              <w:t>（采用氖灯，狭缝≥50µm，≥1800刻线光栅，一次性连续扫描550nm-700nm光谱范围，测量585nm和638nm处等离子线半高宽）。</w:t>
            </w:r>
          </w:p>
          <w:p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t>灵敏度：硅三阶峰的信噪比好于30 :1，并能观察到四阶峰。(检测条件：使用单晶硅片，波长532nm，总曝光时间300秒，binning=1，100×显微物镜)</w:t>
            </w:r>
          </w:p>
          <w:p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# </w:t>
            </w:r>
            <w:r>
              <w:rPr>
                <w:szCs w:val="21"/>
              </w:rPr>
              <w:t>光谱重复性：≤±0.05cm</w:t>
            </w:r>
            <w:r>
              <w:rPr>
                <w:szCs w:val="21"/>
                <w:vertAlign w:val="superscript"/>
              </w:rPr>
              <w:t>-1</w:t>
            </w:r>
            <w:r>
              <w:rPr>
                <w:szCs w:val="21"/>
              </w:rPr>
              <w:t>(检验方法：使用表面抛光的单晶硅样品，100×物镜，重复20次。观测硅一阶拉曼峰（520cm</w:t>
            </w:r>
            <w:r>
              <w:rPr>
                <w:szCs w:val="21"/>
                <w:vertAlign w:val="superscript"/>
              </w:rPr>
              <w:t>-1</w:t>
            </w:r>
            <w:r>
              <w:rPr>
                <w:szCs w:val="21"/>
              </w:rPr>
              <w:t>），520峰中心位置重复性≤±0.05cm</w:t>
            </w:r>
            <w:r>
              <w:rPr>
                <w:szCs w:val="21"/>
                <w:vertAlign w:val="superscript"/>
              </w:rPr>
              <w:t>-1</w:t>
            </w:r>
            <w:r>
              <w:rPr>
                <w:szCs w:val="21"/>
              </w:rPr>
              <w:t>)。</w:t>
            </w:r>
          </w:p>
          <w:p>
            <w:pPr>
              <w:numPr>
                <w:ilvl w:val="1"/>
                <w:numId w:val="2"/>
              </w:numPr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★</w:t>
            </w:r>
            <w:r>
              <w:rPr>
                <w:szCs w:val="21"/>
              </w:rPr>
              <w:t xml:space="preserve"> 独立优化拉曼光路，配置全自动切换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4块光栅，无需手动更换，无需重新调整仪器和准直光路:</w:t>
            </w:r>
          </w:p>
          <w:p>
            <w:pPr>
              <w:ind w:firstLine="1260" w:firstLineChars="600"/>
              <w:rPr>
                <w:szCs w:val="21"/>
              </w:rPr>
            </w:pPr>
            <w:r>
              <w:rPr>
                <w:szCs w:val="21"/>
              </w:rPr>
              <w:t>1）2400gr/mm：用于高分辨率拉曼光谱测量，光谱分辨率≤1cm</w:t>
            </w:r>
            <w:r>
              <w:rPr>
                <w:szCs w:val="21"/>
                <w:vertAlign w:val="superscript"/>
              </w:rPr>
              <w:t>-1</w:t>
            </w:r>
            <w:r>
              <w:rPr>
                <w:szCs w:val="21"/>
              </w:rPr>
              <w:t>；</w:t>
            </w:r>
          </w:p>
          <w:p>
            <w:pPr>
              <w:ind w:left="425" w:firstLine="840" w:firstLineChars="400"/>
              <w:rPr>
                <w:szCs w:val="21"/>
              </w:rPr>
            </w:pPr>
            <w:r>
              <w:rPr>
                <w:szCs w:val="21"/>
              </w:rPr>
              <w:t>2）1800gr/mm：独立优化用于532nm常规测量；</w:t>
            </w:r>
          </w:p>
          <w:p>
            <w:pPr>
              <w:ind w:left="425" w:firstLine="840" w:firstLineChars="400"/>
              <w:rPr>
                <w:szCs w:val="21"/>
              </w:rPr>
            </w:pPr>
            <w:r>
              <w:rPr>
                <w:szCs w:val="21"/>
              </w:rPr>
              <w:t>3）1200gr/mm：独立优化用于638nm常规测量</w:t>
            </w:r>
          </w:p>
          <w:p>
            <w:pPr>
              <w:ind w:left="425" w:firstLine="840" w:firstLineChars="400"/>
              <w:rPr>
                <w:szCs w:val="21"/>
              </w:rPr>
            </w:pPr>
            <w:r>
              <w:rPr>
                <w:szCs w:val="21"/>
              </w:rPr>
              <w:t>4）600gr/mm：用于超快光谱采集，532nm激发时一次至少可采集60-4000cm-1，所需时间短于10ms，用于实时监控样品整体光谱变化。</w:t>
            </w:r>
          </w:p>
          <w:p>
            <w:pPr>
              <w:numPr>
                <w:ilvl w:val="1"/>
                <w:numId w:val="2"/>
              </w:numPr>
              <w:rPr>
                <w:szCs w:val="21"/>
              </w:rPr>
            </w:pPr>
            <w:r>
              <w:rPr>
                <w:szCs w:val="21"/>
              </w:rPr>
              <w:t>采用Czerny Turner反射式光路设计，整个光谱范围内无色差，切换波长时无需更换光谱仪内的光学元件，无需重新调整仪器。</w:t>
            </w:r>
          </w:p>
          <w:p>
            <w:pPr>
              <w:numPr>
                <w:ilvl w:val="1"/>
                <w:numId w:val="2"/>
              </w:numPr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★</w:t>
            </w:r>
            <w:r>
              <w:rPr>
                <w:szCs w:val="21"/>
              </w:rPr>
              <w:t xml:space="preserve"> TE制冷EMCCD探测器：</w:t>
            </w:r>
          </w:p>
          <w:p>
            <w:pPr>
              <w:numPr>
                <w:ilvl w:val="0"/>
                <w:numId w:val="3"/>
              </w:numPr>
              <w:ind w:left="630" w:leftChars="300" w:firstLine="630" w:firstLineChars="300"/>
              <w:rPr>
                <w:szCs w:val="21"/>
              </w:rPr>
            </w:pPr>
            <w:r>
              <w:rPr>
                <w:szCs w:val="21"/>
              </w:rPr>
              <w:t>分辨率：≥1600×200像元，像素尺寸：≤16 μm×16μm，,暗噪声：≤0.002 e-/pixel/s（16um像素相对值），制冷温度≤-60℃；</w:t>
            </w:r>
          </w:p>
          <w:p>
            <w:pPr>
              <w:numPr>
                <w:ilvl w:val="0"/>
                <w:numId w:val="3"/>
              </w:numPr>
              <w:ind w:left="630" w:leftChars="300" w:firstLine="630" w:firstLineChars="300"/>
              <w:rPr>
                <w:szCs w:val="21"/>
              </w:rPr>
            </w:pPr>
            <w:r>
              <w:rPr>
                <w:szCs w:val="21"/>
              </w:rPr>
              <w:t>软件自动控制常规和EM增强模式，EM增强模式时信号1-1000倍放大连续可调；</w:t>
            </w:r>
          </w:p>
          <w:p>
            <w:pPr>
              <w:numPr>
                <w:ilvl w:val="0"/>
                <w:numId w:val="3"/>
              </w:numPr>
              <w:ind w:left="630" w:leftChars="300" w:firstLine="630" w:firstLineChars="300"/>
              <w:rPr>
                <w:szCs w:val="21"/>
              </w:rPr>
            </w:pPr>
            <w:r>
              <w:rPr>
                <w:szCs w:val="21"/>
              </w:rPr>
              <w:t>探测器采谱速度：≥1000张/秒；</w:t>
            </w:r>
          </w:p>
          <w:p>
            <w:pPr>
              <w:ind w:left="1260" w:leftChars="600"/>
              <w:rPr>
                <w:szCs w:val="21"/>
              </w:rPr>
            </w:pPr>
          </w:p>
          <w:p>
            <w:pPr>
              <w:numPr>
                <w:ilvl w:val="0"/>
                <w:numId w:val="2"/>
              </w:num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研究级显微镜 </w:t>
            </w:r>
          </w:p>
          <w:p>
            <w:pPr>
              <w:numPr>
                <w:ilvl w:val="1"/>
                <w:numId w:val="2"/>
              </w:numPr>
              <w:rPr>
                <w:szCs w:val="21"/>
              </w:rPr>
            </w:pPr>
            <w:r>
              <w:rPr>
                <w:szCs w:val="21"/>
              </w:rPr>
              <w:t>彩色摄像头，用于清晰观察样品及拍照录像，可在计算机上显示存储图像。</w:t>
            </w:r>
          </w:p>
          <w:p>
            <w:pPr>
              <w:numPr>
                <w:ilvl w:val="1"/>
                <w:numId w:val="2"/>
              </w:numPr>
              <w:rPr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# </w:t>
            </w:r>
            <w:r>
              <w:rPr>
                <w:szCs w:val="21"/>
              </w:rPr>
              <w:t>同时观察样品和激光光斑，以精确定位激光激发样品点和聚焦界面。</w:t>
            </w:r>
          </w:p>
          <w:p>
            <w:pPr>
              <w:numPr>
                <w:ilvl w:val="1"/>
                <w:numId w:val="2"/>
              </w:numPr>
              <w:rPr>
                <w:szCs w:val="21"/>
              </w:rPr>
            </w:pPr>
            <w:r>
              <w:rPr>
                <w:szCs w:val="21"/>
              </w:rPr>
              <w:t>反射及透射明场科勒白光照明。</w:t>
            </w:r>
          </w:p>
          <w:p>
            <w:pPr>
              <w:numPr>
                <w:ilvl w:val="1"/>
                <w:numId w:val="2"/>
              </w:numPr>
              <w:rPr>
                <w:szCs w:val="21"/>
              </w:rPr>
            </w:pPr>
            <w:r>
              <w:rPr>
                <w:szCs w:val="21"/>
              </w:rPr>
              <w:t>物镜：5X、10X、100X 和50X长焦物镜 (工作距离大于10mm)。</w:t>
            </w:r>
          </w:p>
          <w:p>
            <w:pPr>
              <w:ind w:left="425"/>
              <w:rPr>
                <w:szCs w:val="21"/>
              </w:rPr>
            </w:pPr>
          </w:p>
          <w:p>
            <w:pPr>
              <w:numPr>
                <w:ilvl w:val="0"/>
                <w:numId w:val="2"/>
              </w:num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XYZ机械自动平台</w:t>
            </w:r>
          </w:p>
          <w:p>
            <w:pPr>
              <w:numPr>
                <w:ilvl w:val="1"/>
                <w:numId w:val="2"/>
              </w:numPr>
              <w:rPr>
                <w:szCs w:val="21"/>
              </w:rPr>
            </w:pPr>
            <w:r>
              <w:rPr>
                <w:szCs w:val="21"/>
              </w:rPr>
              <w:t>XY机械平移：X≥75mm；Y≥50mm，Z自动；</w:t>
            </w:r>
          </w:p>
          <w:p>
            <w:pPr>
              <w:numPr>
                <w:ilvl w:val="1"/>
                <w:numId w:val="2"/>
              </w:numPr>
              <w:rPr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# </w:t>
            </w:r>
            <w:r>
              <w:rPr>
                <w:szCs w:val="21"/>
              </w:rPr>
              <w:t xml:space="preserve"> XYZ最小步进≤50nm；</w:t>
            </w:r>
          </w:p>
          <w:p>
            <w:pPr>
              <w:numPr>
                <w:ilvl w:val="1"/>
                <w:numId w:val="2"/>
              </w:numPr>
              <w:rPr>
                <w:szCs w:val="21"/>
              </w:rPr>
            </w:pPr>
            <w:r>
              <w:rPr>
                <w:szCs w:val="21"/>
              </w:rPr>
              <w:t>自动定位测量点和进行光谱成像；</w:t>
            </w:r>
          </w:p>
          <w:p>
            <w:pPr>
              <w:numPr>
                <w:ilvl w:val="1"/>
                <w:numId w:val="2"/>
              </w:numPr>
              <w:rPr>
                <w:szCs w:val="21"/>
              </w:rPr>
            </w:pPr>
            <w:r>
              <w:rPr>
                <w:szCs w:val="21"/>
              </w:rPr>
              <w:t>自动拉曼信号聚焦；</w:t>
            </w:r>
          </w:p>
          <w:p>
            <w:pPr>
              <w:ind w:left="425"/>
              <w:rPr>
                <w:szCs w:val="21"/>
              </w:rPr>
            </w:pPr>
          </w:p>
          <w:p>
            <w:pPr>
              <w:numPr>
                <w:ilvl w:val="0"/>
                <w:numId w:val="2"/>
              </w:num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拉曼</w:t>
            </w:r>
            <w:r>
              <w:rPr>
                <w:rFonts w:hint="eastAsia"/>
                <w:b/>
                <w:bCs/>
                <w:szCs w:val="21"/>
              </w:rPr>
              <w:t>快速</w:t>
            </w:r>
            <w:r>
              <w:rPr>
                <w:b/>
                <w:bCs/>
                <w:szCs w:val="21"/>
              </w:rPr>
              <w:t>扫描成像附件</w:t>
            </w:r>
          </w:p>
          <w:p>
            <w:pPr>
              <w:numPr>
                <w:ilvl w:val="1"/>
                <w:numId w:val="2"/>
              </w:numPr>
              <w:rPr>
                <w:szCs w:val="21"/>
              </w:rPr>
            </w:pPr>
            <w:r>
              <w:rPr>
                <w:szCs w:val="21"/>
              </w:rPr>
              <w:t>软件控制对材料进行拉曼二维或三维扫描成像，获得样品的空间化学分布信息；</w:t>
            </w:r>
          </w:p>
          <w:p>
            <w:pPr>
              <w:numPr>
                <w:ilvl w:val="1"/>
                <w:numId w:val="2"/>
              </w:numPr>
              <w:rPr>
                <w:szCs w:val="21"/>
              </w:rPr>
            </w:pPr>
            <w:r>
              <w:rPr>
                <w:szCs w:val="21"/>
              </w:rPr>
              <w:t>集成拉曼软件包，包括实时数据采集，处理，显示等功能，可针对特定拉曼峰位，半高宽，强度，峰面积，全谱modeling分析等进行成像；</w:t>
            </w:r>
          </w:p>
          <w:p>
            <w:pPr>
              <w:numPr>
                <w:ilvl w:val="1"/>
                <w:numId w:val="2"/>
              </w:numPr>
              <w:rPr>
                <w:szCs w:val="21"/>
              </w:rPr>
            </w:pPr>
            <w:r>
              <w:rPr>
                <w:szCs w:val="21"/>
              </w:rPr>
              <w:t>可对透明或半透明体材料进行3D扫描成像，观察样品内部空间的化学分布信息；</w:t>
            </w:r>
          </w:p>
          <w:p>
            <w:pPr>
              <w:numPr>
                <w:ilvl w:val="1"/>
                <w:numId w:val="2"/>
              </w:numPr>
              <w:rPr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# </w:t>
            </w:r>
            <w:r>
              <w:rPr>
                <w:szCs w:val="21"/>
              </w:rPr>
              <w:t>自动选择普通模式和超快速成像模式，无需更换光学元件和调整仪器，超快扫描成像速度≥500张光谱/秒。</w:t>
            </w:r>
          </w:p>
          <w:p>
            <w:pPr>
              <w:numPr>
                <w:ilvl w:val="1"/>
                <w:numId w:val="2"/>
              </w:numPr>
              <w:rPr>
                <w:szCs w:val="21"/>
              </w:rPr>
            </w:pPr>
            <w:r>
              <w:rPr>
                <w:szCs w:val="21"/>
              </w:rPr>
              <w:t>适用于532nm，638nm激发波长；</w:t>
            </w:r>
          </w:p>
          <w:p>
            <w:pPr>
              <w:ind w:left="425"/>
              <w:rPr>
                <w:szCs w:val="21"/>
              </w:rPr>
            </w:pPr>
          </w:p>
          <w:p>
            <w:pPr>
              <w:numPr>
                <w:ilvl w:val="0"/>
                <w:numId w:val="2"/>
              </w:num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拉曼偏振附件</w:t>
            </w:r>
          </w:p>
          <w:p>
            <w:pPr>
              <w:numPr>
                <w:ilvl w:val="1"/>
                <w:numId w:val="2"/>
              </w:numPr>
              <w:rPr>
                <w:szCs w:val="21"/>
              </w:rPr>
            </w:pPr>
            <w:r>
              <w:rPr>
                <w:szCs w:val="21"/>
              </w:rPr>
              <w:t>激光光路偏振片，可选择水平，垂直两种偏振方向，软件自动切换。</w:t>
            </w:r>
          </w:p>
          <w:p>
            <w:pPr>
              <w:numPr>
                <w:ilvl w:val="1"/>
                <w:numId w:val="2"/>
              </w:numPr>
              <w:rPr>
                <w:szCs w:val="21"/>
              </w:rPr>
            </w:pPr>
            <w:r>
              <w:rPr>
                <w:szCs w:val="21"/>
              </w:rPr>
              <w:t>拉曼光路偏振片，可选择水平，垂直两种偏振方向，软件自动切换。</w:t>
            </w:r>
          </w:p>
          <w:p>
            <w:pPr>
              <w:ind w:left="425"/>
              <w:rPr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9   拉曼数据库软件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9.1提供数据库软件，并有建库功能，带有常见颜料、高分子有机、无机材料、药物以及矿物的标准谱图。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9.2可创建自定义数据库、光谱搜索、指认官能团。</w:t>
            </w:r>
          </w:p>
          <w:p>
            <w:pPr>
              <w:ind w:left="425"/>
              <w:rPr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10  计算机及软件包：</w:t>
            </w:r>
            <w:r>
              <w:rPr>
                <w:b/>
                <w:bCs/>
                <w:szCs w:val="21"/>
              </w:rPr>
              <w:tab/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10.1  主流机型，Windows操作系统。Windows下光谱专业软件包 - 包括仪器控制，数据采集、计算和处理及曲线拟合等各项功能。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10.2  数据采集：包括单点光谱采集；自动多点光谱采集，多维度mapping成像：1D（线，时间，温度，压力等）；2D（XY表面，XZ/YZ切片等）；3D（XYZ立体），超快速成像等。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10.3  数据处理：包括实时荧光校正，降噪，去背景，平滑等。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10.4  光谱软件权限控制：可建立多用户权限，如管理员，专家，实验员等，保证后台操作不被轻易篡改。</w:t>
            </w:r>
          </w:p>
          <w:p>
            <w:pPr>
              <w:ind w:left="425"/>
              <w:rPr>
                <w:szCs w:val="21"/>
              </w:rPr>
            </w:pPr>
            <w:r>
              <w:rPr>
                <w:szCs w:val="21"/>
              </w:rPr>
              <w:t>10.5  自动编程功能：具有用户自动化编程方法，可保存实验条件等，一键调用实验条件。</w:t>
            </w:r>
          </w:p>
          <w:p>
            <w:pPr>
              <w:ind w:left="425"/>
              <w:rPr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11  仪器扩展性：</w:t>
            </w:r>
          </w:p>
          <w:p>
            <w:pPr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11.1 能够扩展实现拉曼与原子力显微镜（AFM）联用，获得针尖增强拉曼(TERS)成像结果；</w:t>
            </w:r>
          </w:p>
          <w:p>
            <w:pPr>
              <w:ind w:firstLine="420"/>
              <w:rPr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# </w:t>
            </w:r>
            <w:r>
              <w:rPr>
                <w:rFonts w:hint="eastAsia"/>
                <w:szCs w:val="21"/>
              </w:rPr>
              <w:t>11.2 需提供至少一篇文献报道的TERS成像文献，以证实所提供仪器的TERS成像功能扩展的可能性；</w:t>
            </w:r>
          </w:p>
          <w:p>
            <w:pPr>
              <w:ind w:firstLine="420"/>
              <w:rPr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12  配套设备：</w:t>
            </w:r>
          </w:p>
          <w:p>
            <w:pPr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12.1  光学平台：尺寸不小于1.5*0.9米，气浮减震台，适合拉曼光谱仪；</w:t>
            </w:r>
          </w:p>
          <w:p>
            <w:pPr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12.2  UPS电源：适合拉曼光谱仪，不小于3KVA，断电续航时间不少于20分钟；</w:t>
            </w:r>
          </w:p>
          <w:p>
            <w:pPr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12.3  除湿机：适用于不少于40m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面积，可常年连续工作。</w:t>
            </w:r>
          </w:p>
          <w:p>
            <w:pPr>
              <w:ind w:firstLine="420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 配置：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13.1  激光共焦显微拉曼光谱仪主机  1套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13.2  EMCCD检测器              1套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13.3  532nm激发波长              1套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13.4  638nm激发波长              1套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13.5  高精度 XYZ自动平台         1套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13.6  拉曼快速扫描成像附件        1套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13.7  偏振拉曼附件                1套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13.8  拉曼数据库                  1套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13.9  计算机                      1套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13.10 配套光学平台                1套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13.11 配套UPS电源               1套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13.12 配套除湿机                  1台</w:t>
            </w:r>
          </w:p>
          <w:p>
            <w:pPr>
              <w:ind w:firstLine="420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</w:tbl>
    <w:p>
      <w:pPr>
        <w:tabs>
          <w:tab w:val="left" w:pos="862"/>
          <w:tab w:val="left" w:pos="993"/>
        </w:tabs>
        <w:adjustRightInd w:val="0"/>
        <w:snapToGrid w:val="0"/>
        <w:spacing w:before="100" w:beforeAutospacing="1" w:after="100" w:afterAutospacing="1" w:line="360" w:lineRule="auto"/>
        <w:ind w:left="425"/>
        <w:rPr>
          <w:rFonts w:ascii="宋体" w:hAnsi="宋体"/>
          <w:b/>
          <w:bCs/>
          <w:sz w:val="24"/>
          <w:szCs w:val="24"/>
        </w:rPr>
      </w:pPr>
    </w:p>
    <w:bookmarkEnd w:id="10"/>
    <w:p>
      <w:pPr>
        <w:tabs>
          <w:tab w:val="left" w:pos="862"/>
          <w:tab w:val="left" w:pos="993"/>
        </w:tabs>
        <w:adjustRightInd w:val="0"/>
        <w:snapToGrid w:val="0"/>
        <w:spacing w:before="100" w:beforeAutospacing="1" w:after="100" w:afterAutospacing="1" w:line="360" w:lineRule="auto"/>
        <w:ind w:left="425"/>
        <w:rPr>
          <w:rFonts w:ascii="宋体" w:hAnsi="宋体"/>
          <w:b/>
          <w:bCs/>
          <w:sz w:val="24"/>
          <w:szCs w:val="24"/>
        </w:rPr>
      </w:pPr>
      <w:bookmarkStart w:id="23" w:name="_Toc477248552"/>
      <w:r>
        <w:rPr>
          <w:rFonts w:hint="eastAsia" w:ascii="宋体" w:hAnsi="宋体"/>
          <w:b/>
          <w:bCs/>
          <w:sz w:val="24"/>
          <w:szCs w:val="24"/>
        </w:rPr>
        <w:t>5.3</w:t>
      </w:r>
      <w:r>
        <w:rPr>
          <w:rFonts w:ascii="宋体" w:hAnsi="宋体"/>
          <w:b/>
          <w:bCs/>
          <w:sz w:val="24"/>
          <w:szCs w:val="24"/>
        </w:rPr>
        <w:t>项目履约时间</w:t>
      </w:r>
      <w:r>
        <w:rPr>
          <w:rFonts w:hint="eastAsia" w:ascii="宋体" w:hAnsi="宋体"/>
          <w:b/>
          <w:bCs/>
          <w:sz w:val="24"/>
          <w:szCs w:val="24"/>
        </w:rPr>
        <w:t>、</w:t>
      </w:r>
      <w:r>
        <w:rPr>
          <w:rFonts w:ascii="宋体" w:hAnsi="宋体"/>
          <w:b/>
          <w:bCs/>
          <w:sz w:val="24"/>
          <w:szCs w:val="24"/>
        </w:rPr>
        <w:t>地点</w:t>
      </w:r>
      <w:bookmarkEnd w:id="23"/>
    </w:p>
    <w:p>
      <w:pPr>
        <w:tabs>
          <w:tab w:val="left" w:pos="862"/>
          <w:tab w:val="left" w:pos="993"/>
        </w:tabs>
        <w:adjustRightInd w:val="0"/>
        <w:snapToGrid w:val="0"/>
        <w:spacing w:before="100" w:beforeAutospacing="1" w:after="100" w:afterAutospacing="1" w:line="360" w:lineRule="auto"/>
        <w:rPr>
          <w:rFonts w:asciiTheme="minorEastAsia" w:hAnsiTheme="minorEastAsia" w:eastAsiaTheme="minorEastAsia"/>
          <w:szCs w:val="21"/>
        </w:rPr>
      </w:pPr>
      <w:bookmarkStart w:id="24" w:name="_Toc477248553"/>
      <w:bookmarkStart w:id="25" w:name="_Toc417566437"/>
      <w:r>
        <w:rPr>
          <w:rFonts w:hint="eastAsia" w:asciiTheme="minorEastAsia" w:hAnsiTheme="minorEastAsia" w:eastAsiaTheme="minorEastAsia"/>
          <w:szCs w:val="21"/>
        </w:rPr>
        <w:t>履约时间：国产产品：合同签订后90天交货 ；进口产品：</w:t>
      </w:r>
      <w:r>
        <w:rPr>
          <w:rFonts w:hint="eastAsia" w:ascii="宋体" w:hAnsi="宋体"/>
          <w:szCs w:val="21"/>
        </w:rPr>
        <w:t>开具信用证后120日内交货</w:t>
      </w:r>
      <w:r>
        <w:rPr>
          <w:rFonts w:hint="eastAsia" w:asciiTheme="minorEastAsia" w:hAnsiTheme="minorEastAsia" w:eastAsiaTheme="minorEastAsia"/>
          <w:szCs w:val="21"/>
        </w:rPr>
        <w:t>；</w:t>
      </w:r>
    </w:p>
    <w:p>
      <w:pPr>
        <w:tabs>
          <w:tab w:val="left" w:pos="862"/>
          <w:tab w:val="left" w:pos="993"/>
        </w:tabs>
        <w:adjustRightInd w:val="0"/>
        <w:snapToGrid w:val="0"/>
        <w:spacing w:before="100" w:beforeAutospacing="1" w:after="100" w:afterAutospacing="1"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履约地点：西南交通大学犀浦校区6号教学楼6406实验室。</w:t>
      </w:r>
    </w:p>
    <w:p>
      <w:pPr>
        <w:tabs>
          <w:tab w:val="left" w:pos="862"/>
          <w:tab w:val="left" w:pos="993"/>
        </w:tabs>
        <w:adjustRightInd w:val="0"/>
        <w:snapToGrid w:val="0"/>
        <w:spacing w:before="100" w:beforeAutospacing="1" w:after="100" w:afterAutospacing="1" w:line="360" w:lineRule="auto"/>
        <w:ind w:left="425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5.4付款方式</w:t>
      </w:r>
      <w:bookmarkEnd w:id="24"/>
      <w:bookmarkEnd w:id="25"/>
    </w:p>
    <w:p>
      <w:pPr>
        <w:spacing w:before="217" w:beforeLines="50" w:after="217" w:afterLines="50"/>
        <w:ind w:left="142"/>
        <w:rPr>
          <w:b/>
          <w:szCs w:val="21"/>
        </w:rPr>
      </w:pPr>
      <w:bookmarkStart w:id="26" w:name="_Toc477248554"/>
      <w:r>
        <w:rPr>
          <w:rFonts w:hint="eastAsia"/>
          <w:b/>
          <w:szCs w:val="21"/>
        </w:rPr>
        <w:t>国产设备：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1、分期付款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第一期</w:t>
      </w:r>
      <w:r>
        <w:rPr>
          <w:rFonts w:hint="eastAsia" w:ascii="宋体" w:hAnsi="宋体"/>
          <w:szCs w:val="21"/>
        </w:rPr>
        <w:t>：合同生效且供应商提交履约保证金后，预付合同金额的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0%；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</w:t>
      </w:r>
      <w:r>
        <w:rPr>
          <w:rFonts w:hint="eastAsia" w:ascii="宋体" w:hAnsi="宋体"/>
          <w:szCs w:val="21"/>
        </w:rPr>
        <w:t>二</w:t>
      </w:r>
      <w:r>
        <w:rPr>
          <w:rFonts w:ascii="宋体" w:hAnsi="宋体"/>
          <w:szCs w:val="21"/>
        </w:rPr>
        <w:t>期</w:t>
      </w:r>
      <w:r>
        <w:rPr>
          <w:rFonts w:hint="eastAsia" w:ascii="宋体" w:hAnsi="宋体"/>
          <w:szCs w:val="21"/>
        </w:rPr>
        <w:t>：项目</w:t>
      </w:r>
      <w:r>
        <w:rPr>
          <w:rFonts w:ascii="宋体" w:hAnsi="宋体"/>
          <w:szCs w:val="21"/>
        </w:rPr>
        <w:t>验收合格并收取合同金额</w:t>
      </w:r>
      <w:r>
        <w:rPr>
          <w:rFonts w:hint="eastAsia" w:ascii="宋体" w:hAnsi="宋体"/>
          <w:szCs w:val="21"/>
        </w:rPr>
        <w:t>5%的质保金后，支付合同金额的</w:t>
      </w: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0%；质保金由履约保证金转入（不足部分需由中标人重新提交补足。履约保证金采用保函形式的，需重新提交质保金）；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第三期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>正常运行</w:t>
      </w:r>
      <w:r>
        <w:rPr>
          <w:rFonts w:hint="eastAsia" w:ascii="宋体" w:hAnsi="宋体"/>
          <w:szCs w:val="21"/>
        </w:rPr>
        <w:t>一</w:t>
      </w:r>
      <w:r>
        <w:rPr>
          <w:rFonts w:ascii="宋体" w:hAnsi="宋体"/>
          <w:szCs w:val="21"/>
        </w:rPr>
        <w:t>年后</w:t>
      </w:r>
      <w:r>
        <w:rPr>
          <w:rFonts w:hint="eastAsia" w:ascii="宋体" w:hAnsi="宋体"/>
          <w:szCs w:val="21"/>
        </w:rPr>
        <w:t>无息退还</w:t>
      </w:r>
      <w:r>
        <w:rPr>
          <w:rFonts w:ascii="宋体" w:hAnsi="宋体"/>
          <w:szCs w:val="21"/>
        </w:rPr>
        <w:t>质保金</w:t>
      </w:r>
      <w:r>
        <w:rPr>
          <w:rFonts w:hint="eastAsia" w:ascii="宋体" w:hAnsi="宋体"/>
          <w:szCs w:val="21"/>
        </w:rPr>
        <w:t>。</w:t>
      </w:r>
    </w:p>
    <w:p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中标人</w:t>
      </w:r>
      <w:r>
        <w:rPr>
          <w:rFonts w:ascii="宋体" w:hAnsi="宋体"/>
          <w:szCs w:val="21"/>
        </w:rPr>
        <w:t>需提供增值税普通发票。</w:t>
      </w:r>
    </w:p>
    <w:p>
      <w:pPr>
        <w:spacing w:before="217" w:beforeLines="50" w:after="217" w:afterLines="50"/>
        <w:ind w:left="142"/>
        <w:rPr>
          <w:b/>
          <w:szCs w:val="21"/>
        </w:rPr>
      </w:pPr>
      <w:r>
        <w:rPr>
          <w:rFonts w:hint="eastAsia"/>
          <w:b/>
          <w:szCs w:val="21"/>
        </w:rPr>
        <w:t>进口产品：</w:t>
      </w:r>
    </w:p>
    <w:p>
      <w:pPr>
        <w:tabs>
          <w:tab w:val="left" w:pos="862"/>
          <w:tab w:val="left" w:pos="993"/>
        </w:tabs>
        <w:adjustRightInd w:val="0"/>
        <w:snapToGrid w:val="0"/>
        <w:spacing w:before="100" w:beforeAutospacing="1" w:after="100" w:afterAutospacing="1" w:line="360" w:lineRule="auto"/>
        <w:ind w:left="425" w:firstLine="315" w:firstLineChars="150"/>
        <w:rPr>
          <w:rFonts w:hAnsi="宋体"/>
          <w:szCs w:val="21"/>
          <w:lang w:val="en-GB"/>
        </w:rPr>
      </w:pPr>
      <w:r>
        <w:rPr>
          <w:rFonts w:hAnsi="宋体"/>
          <w:szCs w:val="21"/>
          <w:lang w:val="en-GB"/>
        </w:rPr>
        <w:t>采用信用证L</w:t>
      </w:r>
      <w:r>
        <w:rPr>
          <w:rFonts w:hint="eastAsia" w:hAnsi="宋体"/>
          <w:szCs w:val="21"/>
          <w:lang w:val="en-GB"/>
        </w:rPr>
        <w:t>/</w:t>
      </w:r>
      <w:r>
        <w:rPr>
          <w:rFonts w:hAnsi="宋体"/>
          <w:szCs w:val="21"/>
          <w:lang w:val="en-GB"/>
        </w:rPr>
        <w:t>C方式支付，不迟于装运前</w:t>
      </w:r>
      <w:r>
        <w:rPr>
          <w:rFonts w:hint="eastAsia" w:hAnsi="宋体"/>
          <w:szCs w:val="21"/>
          <w:lang w:val="en-GB"/>
        </w:rPr>
        <w:t>90</w:t>
      </w:r>
      <w:r>
        <w:rPr>
          <w:rFonts w:hAnsi="宋体"/>
          <w:szCs w:val="21"/>
          <w:lang w:val="en-GB"/>
        </w:rPr>
        <w:t>天开具以卖方为受益人</w:t>
      </w:r>
      <w:r>
        <w:rPr>
          <w:rFonts w:hint="eastAsia" w:hAnsi="宋体"/>
          <w:szCs w:val="21"/>
          <w:lang w:val="en-GB"/>
        </w:rPr>
        <w:t>、</w:t>
      </w:r>
      <w:r>
        <w:rPr>
          <w:rFonts w:hAnsi="宋体"/>
          <w:szCs w:val="21"/>
          <w:lang w:val="en-GB"/>
        </w:rPr>
        <w:t>金额为装运货物全额的不可撤销不可转让信用证</w:t>
      </w:r>
      <w:r>
        <w:rPr>
          <w:rFonts w:hint="eastAsia" w:hAnsi="宋体"/>
          <w:szCs w:val="21"/>
          <w:lang w:val="en-GB"/>
        </w:rPr>
        <w:t>（</w:t>
      </w:r>
      <w:r>
        <w:rPr>
          <w:rFonts w:hAnsi="宋体"/>
          <w:szCs w:val="21"/>
          <w:lang w:val="en-GB"/>
        </w:rPr>
        <w:t>中标人</w:t>
      </w:r>
      <w:r>
        <w:rPr>
          <w:rFonts w:hint="eastAsia" w:hAnsi="宋体"/>
          <w:szCs w:val="21"/>
          <w:lang w:val="en-GB"/>
        </w:rPr>
        <w:t>/成交人需在此之前提交履约保证金）</w:t>
      </w:r>
      <w:r>
        <w:rPr>
          <w:rFonts w:hAnsi="宋体"/>
          <w:szCs w:val="21"/>
          <w:lang w:val="en-GB"/>
        </w:rPr>
        <w:t>。第一期</w:t>
      </w:r>
      <w:r>
        <w:rPr>
          <w:rFonts w:hint="eastAsia" w:hAnsi="宋体"/>
          <w:szCs w:val="21"/>
          <w:lang w:val="en-GB"/>
        </w:rPr>
        <w:t>，</w:t>
      </w:r>
      <w:r>
        <w:rPr>
          <w:rFonts w:hAnsi="宋体"/>
          <w:szCs w:val="21"/>
          <w:lang w:val="en-GB"/>
        </w:rPr>
        <w:t>凭运单</w:t>
      </w:r>
      <w:r>
        <w:rPr>
          <w:rFonts w:hint="eastAsia" w:hAnsi="宋体"/>
          <w:szCs w:val="21"/>
          <w:lang w:val="en-GB"/>
        </w:rPr>
        <w:t>支付</w:t>
      </w:r>
      <w:r>
        <w:rPr>
          <w:rFonts w:hAnsi="宋体"/>
          <w:szCs w:val="21"/>
          <w:lang w:val="en-GB"/>
        </w:rPr>
        <w:t>货款的90%</w:t>
      </w:r>
      <w:r>
        <w:rPr>
          <w:rFonts w:hint="eastAsia" w:hAnsi="宋体"/>
          <w:szCs w:val="21"/>
          <w:lang w:val="en-GB"/>
        </w:rPr>
        <w:t>；</w:t>
      </w:r>
      <w:r>
        <w:rPr>
          <w:rFonts w:hAnsi="宋体"/>
          <w:szCs w:val="21"/>
          <w:lang w:val="en-GB"/>
        </w:rPr>
        <w:t>第二期</w:t>
      </w:r>
      <w:r>
        <w:rPr>
          <w:rFonts w:hint="eastAsia" w:hAnsi="宋体"/>
          <w:szCs w:val="21"/>
          <w:lang w:val="en-GB"/>
        </w:rPr>
        <w:t>，</w:t>
      </w:r>
      <w:r>
        <w:rPr>
          <w:rFonts w:hAnsi="宋体"/>
          <w:szCs w:val="21"/>
          <w:lang w:val="en-GB"/>
        </w:rPr>
        <w:t>凭</w:t>
      </w:r>
      <w:r>
        <w:rPr>
          <w:rFonts w:hint="eastAsia" w:hAnsi="宋体"/>
          <w:szCs w:val="21"/>
          <w:lang w:val="en-GB"/>
        </w:rPr>
        <w:t>甲方</w:t>
      </w:r>
      <w:r>
        <w:rPr>
          <w:rFonts w:hAnsi="宋体"/>
          <w:szCs w:val="21"/>
          <w:lang w:val="en-GB"/>
        </w:rPr>
        <w:t>签字</w:t>
      </w:r>
      <w:r>
        <w:rPr>
          <w:rFonts w:hint="eastAsia" w:hAnsi="宋体"/>
          <w:szCs w:val="21"/>
          <w:lang w:val="en-GB"/>
        </w:rPr>
        <w:t>盖章</w:t>
      </w:r>
      <w:r>
        <w:rPr>
          <w:rFonts w:hAnsi="宋体"/>
          <w:szCs w:val="21"/>
          <w:lang w:val="en-GB"/>
        </w:rPr>
        <w:t>的验收报告</w:t>
      </w:r>
      <w:r>
        <w:rPr>
          <w:rFonts w:hint="eastAsia" w:hAnsi="宋体"/>
          <w:szCs w:val="21"/>
          <w:lang w:val="en-GB"/>
        </w:rPr>
        <w:t>支付</w:t>
      </w:r>
      <w:r>
        <w:rPr>
          <w:rFonts w:hAnsi="宋体"/>
          <w:szCs w:val="21"/>
          <w:lang w:val="en-GB"/>
        </w:rPr>
        <w:t>余款</w:t>
      </w:r>
      <w:r>
        <w:rPr>
          <w:rFonts w:hint="eastAsia" w:hAnsi="宋体"/>
          <w:szCs w:val="21"/>
          <w:lang w:val="en-GB"/>
        </w:rPr>
        <w:t>，并无息退还履约保证金。</w:t>
      </w:r>
    </w:p>
    <w:p>
      <w:pPr>
        <w:tabs>
          <w:tab w:val="left" w:pos="862"/>
          <w:tab w:val="left" w:pos="993"/>
        </w:tabs>
        <w:adjustRightInd w:val="0"/>
        <w:snapToGrid w:val="0"/>
        <w:spacing w:before="100" w:beforeAutospacing="1" w:after="100" w:afterAutospacing="1" w:line="360" w:lineRule="auto"/>
        <w:ind w:left="425" w:firstLine="361" w:firstLineChars="15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5.5服务要求</w:t>
      </w:r>
      <w:bookmarkEnd w:id="26"/>
    </w:p>
    <w:tbl>
      <w:tblPr>
        <w:tblStyle w:val="4"/>
        <w:tblW w:w="93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561"/>
        <w:gridCol w:w="71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</w:rPr>
              <w:t>服务要求项目</w:t>
            </w: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</w:rPr>
              <w:t>服务要求标准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</w:rPr>
              <w:t>技术文件</w:t>
            </w: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</w:rPr>
              <w:t>应提供全套、完整的书面技术资料，包括仪器说明书、操作手册、简单维修说明等。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设备安装、调试</w:t>
            </w: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合同生效后应向用户提供详细的安装要求并提供技术咨询；在仪器到达前，供应商应通知用户水、电、气及其他仪器等必备辅助设施的具体要求，从而让用户提前做好仪器安装准备。仪器到达用户所在地，在接到用户通知后一周内进行安装调试，直至通过验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技术培训</w:t>
            </w: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在用户所在地对仪器使用者2-3人进行仪器操作和维护进行培训，使被培训人员达到能够熟练使用。培训内容包括仪器的技术原理、操作、数据处理、基本维护等。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质保期</w:t>
            </w: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设备硬件质保期为1年，软件系统维护期为6年。</w:t>
            </w:r>
            <w:r>
              <w:rPr>
                <w:rFonts w:hint="eastAsia" w:ascii="宋体" w:hAnsi="宋体"/>
              </w:rPr>
              <w:t>质保期自仪器验收签字之日起计算。质保期内维修及零件更换费用由供应商负担。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维修响应时间</w:t>
            </w: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szCs w:val="21"/>
              </w:rPr>
              <w:t>制造商在成都有售后服务点和常驻专业售后服务人员，提供本地化售后服务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 w:ascii="宋体" w:hAnsi="宋体"/>
              </w:rPr>
              <w:t>保期内，在收到用户的维修服务要求后4小时内做出回应，48小时内到达用户现场进行维修，</w:t>
            </w:r>
            <w:r>
              <w:rPr>
                <w:rFonts w:hint="eastAsia" w:ascii="宋体" w:hAnsi="宋体"/>
                <w:kern w:val="0"/>
              </w:rPr>
              <w:t>服务现场4小时内解决技术故障，24小时内提供备品备件服务。</w:t>
            </w:r>
            <w:r>
              <w:rPr>
                <w:rFonts w:hint="eastAsia" w:ascii="宋体" w:hAnsi="宋体"/>
              </w:rPr>
              <w:t>除需进口仪器配件外，应使仪器恢复正常使用。</w:t>
            </w:r>
            <w:r>
              <w:rPr>
                <w:szCs w:val="21"/>
              </w:rPr>
              <w:t>供应商每年至少提供一次免费回访服务，为用户现场提供应用技巧指导。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软件升级</w:t>
            </w: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软件系统维护期为6年，维护期内应免费向用户提供在硬件许可条件下的软件升级服务。</w:t>
            </w:r>
          </w:p>
        </w:tc>
      </w:tr>
      <w:bookmarkEnd w:id="2"/>
      <w:bookmarkEnd w:id="3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tbl>
    <w:p>
      <w:pPr>
        <w:tabs>
          <w:tab w:val="left" w:pos="862"/>
          <w:tab w:val="left" w:pos="993"/>
        </w:tabs>
        <w:adjustRightInd w:val="0"/>
        <w:snapToGrid w:val="0"/>
        <w:spacing w:before="100" w:beforeAutospacing="1" w:after="100" w:afterAutospacing="1" w:line="360" w:lineRule="auto"/>
        <w:ind w:left="425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5.6验收标准和方法</w:t>
      </w:r>
    </w:p>
    <w:p>
      <w:pPr>
        <w:numPr>
          <w:ilvl w:val="0"/>
          <w:numId w:val="5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货物到达现场后，供应商应在采购人在场情况下当面开包，共同清点、检查外观，作出验货记录，双方签字确认后开始安装调试。</w:t>
      </w:r>
    </w:p>
    <w:p>
      <w:pPr>
        <w:numPr>
          <w:ilvl w:val="0"/>
          <w:numId w:val="5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成交供应商应保证货物到达采购人所在地完好无损，如有缺漏、损坏，由供应商负责调换、补齐或赔偿。</w:t>
      </w:r>
    </w:p>
    <w:p>
      <w:pPr>
        <w:numPr>
          <w:ilvl w:val="0"/>
          <w:numId w:val="5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成交供应商应提供完备的技术资料、装箱单、授权文件和生产厂商提供的原厂正品出货证明材料（非装箱清单组成材料）等，并派遣专业技术人员进行现场部署调试。验收合格条件如下：</w:t>
      </w:r>
    </w:p>
    <w:p>
      <w:pPr>
        <w:numPr>
          <w:ilvl w:val="0"/>
          <w:numId w:val="6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产品技术参数与采购合同一致，性能指标达到规定的标准；</w:t>
      </w:r>
    </w:p>
    <w:p>
      <w:pPr>
        <w:numPr>
          <w:ilvl w:val="0"/>
          <w:numId w:val="6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产品技术资料、装箱单、授权文件等资料齐全；</w:t>
      </w:r>
    </w:p>
    <w:p>
      <w:pPr>
        <w:numPr>
          <w:ilvl w:val="0"/>
          <w:numId w:val="6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在产品（系统）试运行期间所出现的问题得到解决，并运行正常；</w:t>
      </w:r>
    </w:p>
    <w:p>
      <w:pPr>
        <w:numPr>
          <w:ilvl w:val="0"/>
          <w:numId w:val="6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在规定时间内完成交货并验收，并经采购人确认。</w:t>
      </w:r>
    </w:p>
    <w:p>
      <w:pPr>
        <w:numPr>
          <w:ilvl w:val="0"/>
          <w:numId w:val="5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szCs w:val="21"/>
        </w:rPr>
      </w:pPr>
      <w:r>
        <w:rPr>
          <w:rFonts w:hint="eastAsia" w:ascii="宋体" w:hAnsi="宋体"/>
          <w:szCs w:val="21"/>
        </w:rPr>
        <w:t>产品在部署调试并试运行符合要求后，才作为最终验收。</w:t>
      </w:r>
    </w:p>
    <w:p>
      <w:r>
        <w:rPr>
          <w:rFonts w:hint="eastAsia" w:ascii="宋体" w:hAnsi="宋体"/>
          <w:szCs w:val="21"/>
        </w:rPr>
        <w:t>五、采购人对供应商交付的产品（包括质量、技术参数等）进行确认，并出具书面验收意见。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1696E9"/>
    <w:multiLevelType w:val="singleLevel"/>
    <w:tmpl w:val="C21696E9"/>
    <w:lvl w:ilvl="0" w:tentative="0">
      <w:start w:val="1"/>
      <w:numFmt w:val="decimal"/>
      <w:suff w:val="space"/>
      <w:lvlText w:val="%1）"/>
      <w:lvlJc w:val="left"/>
    </w:lvl>
  </w:abstractNum>
  <w:abstractNum w:abstractNumId="1">
    <w:nsid w:val="0000002E"/>
    <w:multiLevelType w:val="multilevel"/>
    <w:tmpl w:val="0000002E"/>
    <w:lvl w:ilvl="0" w:tentative="0">
      <w:start w:val="1"/>
      <w:numFmt w:val="decimal"/>
      <w:pStyle w:val="2"/>
      <w:lvlText w:val="第%1章"/>
      <w:lvlJc w:val="left"/>
      <w:pPr>
        <w:ind w:left="283" w:hanging="425"/>
      </w:pPr>
      <w:rPr>
        <w:rFonts w:hint="default" w:ascii="Times New Roman" w:hAnsi="Times New Roman" w:eastAsia="宋体"/>
        <w:b/>
        <w:i w:val="0"/>
        <w:sz w:val="32"/>
        <w:szCs w:val="32"/>
      </w:rPr>
    </w:lvl>
    <w:lvl w:ilvl="1" w:tentative="0">
      <w:start w:val="1"/>
      <w:numFmt w:val="decimal"/>
      <w:suff w:val="nothing"/>
      <w:lvlText w:val="%1.%2"/>
      <w:lvlJc w:val="left"/>
      <w:pPr>
        <w:ind w:left="567" w:hanging="567"/>
      </w:pPr>
      <w:rPr>
        <w:rFonts w:hint="default" w:ascii="Times New Roman" w:hAnsi="Times New Roman" w:eastAsia="宋体" w:cs="Times New Roman"/>
        <w:b/>
        <w:i w:val="0"/>
        <w:color w:val="auto"/>
        <w:sz w:val="28"/>
        <w:szCs w:val="28"/>
      </w:rPr>
    </w:lvl>
    <w:lvl w:ilvl="2" w:tentative="0">
      <w:start w:val="1"/>
      <w:numFmt w:val="decimal"/>
      <w:lvlText w:val="%3."/>
      <w:lvlJc w:val="left"/>
      <w:pPr>
        <w:ind w:left="567" w:hanging="567"/>
      </w:pPr>
      <w:rPr>
        <w:rFonts w:hint="default"/>
        <w:b/>
        <w:i w:val="0"/>
        <w:sz w:val="28"/>
      </w:rPr>
    </w:lvl>
    <w:lvl w:ilvl="3" w:tentative="0">
      <w:start w:val="1"/>
      <w:numFmt w:val="decimal"/>
      <w:suff w:val="nothing"/>
      <w:lvlText w:val="%1.%2.%3.%4"/>
      <w:lvlJc w:val="left"/>
      <w:pPr>
        <w:ind w:left="992" w:hanging="708"/>
      </w:pPr>
      <w:rPr>
        <w:rFonts w:hint="default" w:ascii="Times New Roman" w:hAnsi="Times New Roman" w:eastAsia="宋体" w:cs="Times New Roman"/>
        <w:b/>
        <w:i w:val="0"/>
        <w:sz w:val="28"/>
      </w:rPr>
    </w:lvl>
    <w:lvl w:ilvl="4" w:tentative="0">
      <w:start w:val="1"/>
      <w:numFmt w:val="decimal"/>
      <w:lvlText w:val="%1.%2.%3.%4.%5"/>
      <w:lvlJc w:val="left"/>
      <w:pPr>
        <w:ind w:left="2409" w:hanging="85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2">
    <w:nsid w:val="13DD3135"/>
    <w:multiLevelType w:val="multilevel"/>
    <w:tmpl w:val="13DD3135"/>
    <w:lvl w:ilvl="0" w:tentative="0">
      <w:start w:val="1"/>
      <w:numFmt w:val="chineseCountingThousand"/>
      <w:lvlText w:val="(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B3338F9"/>
    <w:multiLevelType w:val="multilevel"/>
    <w:tmpl w:val="1B3338F9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4">
    <w:nsid w:val="58226B81"/>
    <w:multiLevelType w:val="multilevel"/>
    <w:tmpl w:val="58226B81"/>
    <w:lvl w:ilvl="0" w:tentative="0">
      <w:start w:val="1"/>
      <w:numFmt w:val="chineseCountingThousand"/>
      <w:lvlText w:val="%1、"/>
      <w:lvlJc w:val="left"/>
      <w:pPr>
        <w:ind w:left="846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6BF6179"/>
    <w:multiLevelType w:val="multilevel"/>
    <w:tmpl w:val="76BF6179"/>
    <w:lvl w:ilvl="0" w:tentative="0">
      <w:start w:val="1"/>
      <w:numFmt w:val="decimal"/>
      <w:lvlText w:val="%1."/>
      <w:lvlJc w:val="left"/>
      <w:pPr>
        <w:ind w:left="608" w:hanging="420"/>
      </w:pPr>
    </w:lvl>
    <w:lvl w:ilvl="1" w:tentative="0">
      <w:start w:val="1"/>
      <w:numFmt w:val="lowerLetter"/>
      <w:lvlText w:val="%2)"/>
      <w:lvlJc w:val="left"/>
      <w:pPr>
        <w:ind w:left="1028" w:hanging="420"/>
      </w:pPr>
    </w:lvl>
    <w:lvl w:ilvl="2" w:tentative="0">
      <w:start w:val="1"/>
      <w:numFmt w:val="lowerRoman"/>
      <w:lvlText w:val="%3."/>
      <w:lvlJc w:val="right"/>
      <w:pPr>
        <w:ind w:left="1448" w:hanging="420"/>
      </w:pPr>
    </w:lvl>
    <w:lvl w:ilvl="3" w:tentative="0">
      <w:start w:val="1"/>
      <w:numFmt w:val="decimal"/>
      <w:lvlText w:val="%4."/>
      <w:lvlJc w:val="left"/>
      <w:pPr>
        <w:ind w:left="1868" w:hanging="420"/>
      </w:pPr>
    </w:lvl>
    <w:lvl w:ilvl="4" w:tentative="0">
      <w:start w:val="1"/>
      <w:numFmt w:val="lowerLetter"/>
      <w:lvlText w:val="%5)"/>
      <w:lvlJc w:val="left"/>
      <w:pPr>
        <w:ind w:left="2288" w:hanging="420"/>
      </w:pPr>
    </w:lvl>
    <w:lvl w:ilvl="5" w:tentative="0">
      <w:start w:val="1"/>
      <w:numFmt w:val="lowerRoman"/>
      <w:lvlText w:val="%6."/>
      <w:lvlJc w:val="right"/>
      <w:pPr>
        <w:ind w:left="2708" w:hanging="420"/>
      </w:pPr>
    </w:lvl>
    <w:lvl w:ilvl="6" w:tentative="0">
      <w:start w:val="1"/>
      <w:numFmt w:val="decimal"/>
      <w:lvlText w:val="%7."/>
      <w:lvlJc w:val="left"/>
      <w:pPr>
        <w:ind w:left="3128" w:hanging="420"/>
      </w:pPr>
    </w:lvl>
    <w:lvl w:ilvl="7" w:tentative="0">
      <w:start w:val="1"/>
      <w:numFmt w:val="lowerLetter"/>
      <w:lvlText w:val="%8)"/>
      <w:lvlJc w:val="left"/>
      <w:pPr>
        <w:ind w:left="3548" w:hanging="420"/>
      </w:pPr>
    </w:lvl>
    <w:lvl w:ilvl="8" w:tentative="0">
      <w:start w:val="1"/>
      <w:numFmt w:val="lowerRoman"/>
      <w:lvlText w:val="%9."/>
      <w:lvlJc w:val="right"/>
      <w:pPr>
        <w:ind w:left="3968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646A5"/>
    <w:rsid w:val="65E6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400" w:lineRule="exact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2019-06-26T07:17:00Z</dcterms:created>
  <dc:creator>温江怀客健身   13982120718</dc:creator>
  <cp:lastModifiedBy>温江怀客健身   13982120718</cp:lastModifiedBy>
  <dcterms:modified xsi:type="dcterms:W3CDTF">2019-06-26T07:18:05Z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