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_GB2312" w:hAnsi="仿宋_GB2312" w:eastAsia="仿宋_GB2312" w:cs="仿宋_GB2312"/>
          <w:b/>
          <w:sz w:val="32"/>
          <w:szCs w:val="32"/>
        </w:rPr>
      </w:pPr>
    </w:p>
    <w:p>
      <w:pPr>
        <w:spacing w:line="360" w:lineRule="auto"/>
        <w:ind w:firstLine="260" w:firstLineChars="50"/>
        <w:jc w:val="center"/>
        <w:rPr>
          <w:rFonts w:ascii="仿宋_GB2312" w:hAnsi="仿宋_GB2312" w:eastAsia="仿宋_GB2312" w:cs="仿宋_GB2312"/>
          <w:b/>
          <w:sz w:val="52"/>
          <w:szCs w:val="52"/>
        </w:rPr>
      </w:pPr>
    </w:p>
    <w:p>
      <w:pPr>
        <w:spacing w:line="360" w:lineRule="auto"/>
        <w:ind w:firstLine="260" w:firstLineChars="50"/>
        <w:jc w:val="center"/>
        <w:rPr>
          <w:rFonts w:ascii="仿宋_GB2312" w:hAnsi="仿宋_GB2312" w:eastAsia="仿宋_GB2312" w:cs="仿宋_GB2312"/>
          <w:b/>
          <w:sz w:val="52"/>
          <w:szCs w:val="52"/>
        </w:rPr>
      </w:pPr>
    </w:p>
    <w:p>
      <w:pPr>
        <w:spacing w:line="360" w:lineRule="auto"/>
        <w:ind w:firstLine="260" w:firstLineChars="50"/>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辽宁省政府采购项目</w:t>
      </w:r>
    </w:p>
    <w:p>
      <w:pPr>
        <w:spacing w:line="360" w:lineRule="auto"/>
        <w:ind w:firstLine="120" w:firstLineChars="50"/>
        <w:jc w:val="center"/>
        <w:rPr>
          <w:rFonts w:ascii="仿宋_GB2312" w:hAnsi="仿宋_GB2312" w:eastAsia="仿宋_GB2312" w:cs="仿宋_GB2312"/>
          <w:b/>
          <w:sz w:val="24"/>
        </w:rPr>
      </w:pPr>
    </w:p>
    <w:p>
      <w:pPr>
        <w:spacing w:line="360" w:lineRule="auto"/>
        <w:ind w:firstLine="240"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货物类公开招标</w:t>
      </w:r>
    </w:p>
    <w:p>
      <w:pPr>
        <w:spacing w:line="360" w:lineRule="auto"/>
        <w:ind w:firstLine="120" w:firstLineChars="50"/>
        <w:jc w:val="center"/>
        <w:rPr>
          <w:rFonts w:ascii="仿宋_GB2312" w:hAnsi="仿宋_GB2312" w:eastAsia="仿宋_GB2312" w:cs="仿宋_GB2312"/>
          <w:b/>
          <w:sz w:val="24"/>
        </w:rPr>
      </w:pPr>
    </w:p>
    <w:p>
      <w:pPr>
        <w:spacing w:line="360" w:lineRule="auto"/>
        <w:ind w:firstLine="240"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招标文件</w:t>
      </w: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pStyle w:val="2"/>
        <w:ind w:firstLine="482"/>
        <w:rPr>
          <w:rFonts w:ascii="仿宋_GB2312" w:hAnsi="仿宋_GB2312" w:eastAsia="仿宋_GB2312" w:cs="仿宋_GB2312"/>
          <w:b/>
        </w:rPr>
      </w:pPr>
    </w:p>
    <w:p>
      <w:pPr>
        <w:pStyle w:val="2"/>
        <w:ind w:firstLine="482"/>
        <w:rPr>
          <w:rFonts w:ascii="仿宋_GB2312" w:hAnsi="仿宋_GB2312" w:eastAsia="仿宋_GB2312" w:cs="仿宋_GB2312"/>
          <w:b/>
        </w:rPr>
      </w:pPr>
    </w:p>
    <w:p>
      <w:pPr>
        <w:spacing w:line="480" w:lineRule="exact"/>
        <w:jc w:val="center"/>
        <w:rPr>
          <w:rFonts w:ascii="仿宋_GB2312" w:hAnsi="仿宋_GB2312" w:eastAsia="仿宋_GB2312" w:cs="仿宋_GB2312"/>
          <w:b/>
          <w:sz w:val="24"/>
        </w:rPr>
      </w:pPr>
    </w:p>
    <w:p>
      <w:pPr>
        <w:spacing w:line="600" w:lineRule="exact"/>
        <w:ind w:firstLine="360" w:firstLineChars="100"/>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项目名称：沈阳工业大学材料</w:t>
      </w:r>
      <w:r>
        <w:rPr>
          <w:rFonts w:hint="eastAsia" w:ascii="仿宋_GB2312" w:hAnsi="仿宋_GB2312" w:eastAsia="仿宋_GB2312" w:cs="仿宋_GB2312"/>
          <w:b/>
          <w:sz w:val="36"/>
          <w:szCs w:val="36"/>
          <w:lang w:eastAsia="zh-CN"/>
        </w:rPr>
        <w:t>科学与工程</w:t>
      </w:r>
      <w:r>
        <w:rPr>
          <w:rFonts w:hint="eastAsia" w:ascii="仿宋_GB2312" w:hAnsi="仿宋_GB2312" w:eastAsia="仿宋_GB2312" w:cs="仿宋_GB2312"/>
          <w:b/>
          <w:sz w:val="36"/>
          <w:szCs w:val="36"/>
        </w:rPr>
        <w:t>学院</w:t>
      </w:r>
    </w:p>
    <w:p>
      <w:pPr>
        <w:spacing w:line="600" w:lineRule="exact"/>
        <w:ind w:firstLine="2160" w:firstLineChars="600"/>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高温同步热分析仪采购项目</w:t>
      </w:r>
    </w:p>
    <w:p>
      <w:pPr>
        <w:spacing w:line="600" w:lineRule="exact"/>
        <w:ind w:firstLine="360" w:firstLineChars="100"/>
        <w:rPr>
          <w:rFonts w:hint="eastAsia" w:ascii="仿宋_GB2312" w:hAnsi="仿宋_GB2312" w:eastAsia="仿宋_GB2312" w:cs="仿宋_GB2312"/>
          <w:b/>
          <w:sz w:val="36"/>
          <w:szCs w:val="36"/>
          <w:lang w:eastAsia="zh-CN"/>
        </w:rPr>
      </w:pPr>
      <w:r>
        <w:rPr>
          <w:rFonts w:hint="eastAsia" w:ascii="仿宋_GB2312" w:hAnsi="仿宋_GB2312" w:eastAsia="仿宋_GB2312" w:cs="仿宋_GB2312"/>
          <w:b/>
          <w:sz w:val="36"/>
          <w:szCs w:val="36"/>
        </w:rPr>
        <w:t>项目编号：</w:t>
      </w:r>
      <w:r>
        <w:rPr>
          <w:rFonts w:hint="eastAsia" w:ascii="仿宋_GB2312" w:hAnsi="仿宋_GB2312" w:eastAsia="仿宋_GB2312" w:cs="仿宋_GB2312"/>
          <w:b/>
          <w:sz w:val="36"/>
          <w:szCs w:val="36"/>
          <w:lang w:eastAsia="zh-CN"/>
        </w:rPr>
        <w:t>JH20-210000-82910</w:t>
      </w:r>
    </w:p>
    <w:p>
      <w:pPr>
        <w:spacing w:line="360" w:lineRule="auto"/>
        <w:ind w:firstLine="360" w:firstLineChars="100"/>
        <w:rPr>
          <w:rFonts w:ascii="仿宋_GB2312" w:hAnsi="仿宋_GB2312" w:eastAsia="仿宋_GB2312" w:cs="仿宋_GB2312"/>
          <w:b/>
          <w:sz w:val="36"/>
          <w:szCs w:val="36"/>
        </w:rPr>
      </w:pPr>
      <w:r>
        <w:rPr>
          <w:rFonts w:hint="eastAsia" w:ascii="仿宋_GB2312" w:hAnsi="仿宋_GB2312" w:eastAsia="仿宋_GB2312" w:cs="仿宋_GB2312"/>
          <w:b/>
          <w:sz w:val="36"/>
          <w:szCs w:val="36"/>
        </w:rPr>
        <w:t xml:space="preserve">编制单位：辽宁承明招投标有限公司 </w:t>
      </w:r>
    </w:p>
    <w:p>
      <w:pPr>
        <w:ind w:firstLine="846" w:firstLineChars="235"/>
        <w:jc w:val="center"/>
        <w:rPr>
          <w:rFonts w:ascii="仿宋_GB2312" w:hAnsi="仿宋_GB2312" w:eastAsia="仿宋_GB2312" w:cs="仿宋_GB2312"/>
          <w:b/>
          <w:bCs/>
          <w:sz w:val="36"/>
          <w:szCs w:val="44"/>
        </w:rPr>
        <w:sectPr>
          <w:pgSz w:w="11906" w:h="16838"/>
          <w:pgMar w:top="1440" w:right="1800" w:bottom="1440" w:left="1800" w:header="851" w:footer="992" w:gutter="0"/>
          <w:cols w:space="720" w:num="1"/>
          <w:docGrid w:type="linesAndChars" w:linePitch="312" w:charSpace="0"/>
        </w:sectPr>
      </w:pPr>
    </w:p>
    <w:p>
      <w:pPr>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目  录</w:t>
      </w:r>
    </w:p>
    <w:p>
      <w:pPr>
        <w:jc w:val="center"/>
        <w:rPr>
          <w:rFonts w:ascii="仿宋_GB2312" w:hAnsi="仿宋_GB2312" w:eastAsia="仿宋_GB2312" w:cs="仿宋_GB2312"/>
          <w:b/>
          <w:bCs/>
          <w:sz w:val="44"/>
          <w:szCs w:val="44"/>
        </w:rPr>
      </w:pPr>
    </w:p>
    <w:p>
      <w:pPr>
        <w:pStyle w:val="14"/>
        <w:tabs>
          <w:tab w:val="right" w:leader="dot" w:pos="8306"/>
        </w:tabs>
        <w:spacing w:line="480" w:lineRule="auto"/>
        <w:rPr>
          <w:b/>
          <w:bCs/>
          <w:sz w:val="24"/>
        </w:rPr>
      </w:pPr>
      <w:r>
        <w:rPr>
          <w:b/>
          <w:bCs/>
          <w:sz w:val="24"/>
        </w:rPr>
        <w:fldChar w:fldCharType="begin"/>
      </w:r>
      <w:r>
        <w:rPr>
          <w:b/>
          <w:bCs/>
          <w:sz w:val="24"/>
        </w:rPr>
        <w:instrText xml:space="preserve">TOC \o "1-1" \h \u </w:instrText>
      </w:r>
      <w:r>
        <w:rPr>
          <w:b/>
          <w:bCs/>
          <w:sz w:val="24"/>
        </w:rPr>
        <w:fldChar w:fldCharType="separate"/>
      </w:r>
      <w:r>
        <w:fldChar w:fldCharType="begin"/>
      </w:r>
      <w:r>
        <w:instrText xml:space="preserve"> HYPERLINK \l "_Toc7381" </w:instrText>
      </w:r>
      <w:r>
        <w:fldChar w:fldCharType="separate"/>
      </w:r>
      <w:r>
        <w:rPr>
          <w:rFonts w:hint="eastAsia" w:ascii="仿宋_GB2312" w:hAnsi="仿宋_GB2312" w:eastAsia="仿宋_GB2312" w:cs="仿宋_GB2312"/>
          <w:b/>
          <w:bCs/>
          <w:sz w:val="24"/>
        </w:rPr>
        <w:t>采购公告</w:t>
      </w:r>
      <w:r>
        <w:rPr>
          <w:b/>
          <w:bCs/>
          <w:sz w:val="24"/>
        </w:rPr>
        <w:tab/>
      </w:r>
      <w:r>
        <w:rPr>
          <w:b/>
          <w:bCs/>
          <w:sz w:val="24"/>
        </w:rPr>
        <w:fldChar w:fldCharType="begin"/>
      </w:r>
      <w:r>
        <w:rPr>
          <w:b/>
          <w:bCs/>
          <w:sz w:val="24"/>
        </w:rPr>
        <w:instrText xml:space="preserve"> PAGEREF _Toc7381 </w:instrText>
      </w:r>
      <w:r>
        <w:rPr>
          <w:b/>
          <w:bCs/>
          <w:sz w:val="24"/>
        </w:rPr>
        <w:fldChar w:fldCharType="separate"/>
      </w:r>
      <w:r>
        <w:rPr>
          <w:b/>
          <w:bCs/>
          <w:sz w:val="24"/>
        </w:rPr>
        <w:t>1</w:t>
      </w:r>
      <w:r>
        <w:rPr>
          <w:b/>
          <w:bCs/>
          <w:sz w:val="24"/>
        </w:rPr>
        <w:fldChar w:fldCharType="end"/>
      </w:r>
      <w:r>
        <w:rPr>
          <w:b/>
          <w:bCs/>
          <w:sz w:val="24"/>
        </w:rPr>
        <w:fldChar w:fldCharType="end"/>
      </w:r>
    </w:p>
    <w:p>
      <w:pPr>
        <w:pStyle w:val="14"/>
        <w:tabs>
          <w:tab w:val="right" w:leader="dot" w:pos="8306"/>
        </w:tabs>
        <w:spacing w:line="480" w:lineRule="auto"/>
        <w:rPr>
          <w:b/>
          <w:bCs/>
          <w:sz w:val="24"/>
        </w:rPr>
      </w:pPr>
      <w:r>
        <w:fldChar w:fldCharType="begin"/>
      </w:r>
      <w:r>
        <w:instrText xml:space="preserve"> HYPERLINK \l "_Toc9614" </w:instrText>
      </w:r>
      <w:r>
        <w:fldChar w:fldCharType="separate"/>
      </w:r>
      <w:r>
        <w:rPr>
          <w:rFonts w:hint="eastAsia" w:ascii="仿宋_GB2312" w:hAnsi="仿宋_GB2312" w:eastAsia="仿宋_GB2312" w:cs="仿宋_GB2312"/>
          <w:b/>
          <w:bCs/>
          <w:sz w:val="24"/>
        </w:rPr>
        <w:t>第一章 投标人须知</w:t>
      </w:r>
      <w:r>
        <w:rPr>
          <w:b/>
          <w:bCs/>
          <w:sz w:val="24"/>
        </w:rPr>
        <w:tab/>
      </w:r>
      <w:r>
        <w:rPr>
          <w:rFonts w:hint="eastAsia"/>
          <w:b/>
          <w:bCs/>
          <w:sz w:val="24"/>
        </w:rPr>
        <w:t>5</w:t>
      </w:r>
      <w:r>
        <w:rPr>
          <w:rFonts w:hint="eastAsia"/>
          <w:b/>
          <w:bCs/>
          <w:sz w:val="24"/>
        </w:rPr>
        <w:fldChar w:fldCharType="end"/>
      </w:r>
    </w:p>
    <w:p>
      <w:pPr>
        <w:pStyle w:val="14"/>
        <w:tabs>
          <w:tab w:val="right" w:leader="dot" w:pos="8306"/>
        </w:tabs>
        <w:spacing w:line="480" w:lineRule="auto"/>
        <w:rPr>
          <w:b/>
          <w:bCs/>
          <w:sz w:val="24"/>
        </w:rPr>
      </w:pPr>
      <w:r>
        <w:fldChar w:fldCharType="begin"/>
      </w:r>
      <w:r>
        <w:instrText xml:space="preserve"> HYPERLINK \l "_Toc6403" </w:instrText>
      </w:r>
      <w:r>
        <w:fldChar w:fldCharType="separate"/>
      </w:r>
      <w:r>
        <w:rPr>
          <w:rFonts w:hint="eastAsia" w:ascii="仿宋_GB2312" w:hAnsi="仿宋_GB2312" w:eastAsia="仿宋_GB2312" w:cs="仿宋_GB2312"/>
          <w:b/>
          <w:bCs/>
          <w:sz w:val="24"/>
        </w:rPr>
        <w:t>第二章 投标文件内容及格式</w:t>
      </w:r>
      <w:r>
        <w:rPr>
          <w:b/>
          <w:bCs/>
          <w:sz w:val="24"/>
        </w:rPr>
        <w:tab/>
      </w:r>
      <w:r>
        <w:rPr>
          <w:rFonts w:hint="eastAsia"/>
          <w:b/>
          <w:bCs/>
          <w:sz w:val="24"/>
        </w:rPr>
        <w:t>2</w:t>
      </w:r>
      <w:r>
        <w:rPr>
          <w:rFonts w:hint="eastAsia"/>
          <w:b/>
          <w:bCs/>
          <w:sz w:val="24"/>
        </w:rPr>
        <w:fldChar w:fldCharType="end"/>
      </w:r>
      <w:r>
        <w:rPr>
          <w:rFonts w:hint="eastAsia"/>
          <w:b/>
          <w:bCs/>
          <w:sz w:val="24"/>
        </w:rPr>
        <w:t>2</w:t>
      </w:r>
    </w:p>
    <w:p>
      <w:pPr>
        <w:pStyle w:val="14"/>
        <w:tabs>
          <w:tab w:val="right" w:leader="dot" w:pos="8306"/>
        </w:tabs>
        <w:spacing w:line="480" w:lineRule="auto"/>
        <w:rPr>
          <w:rFonts w:hint="eastAsia" w:eastAsia="仿宋"/>
          <w:b/>
          <w:bCs/>
          <w:sz w:val="24"/>
          <w:lang w:val="en-US" w:eastAsia="zh-CN"/>
        </w:rPr>
      </w:pPr>
      <w:r>
        <w:fldChar w:fldCharType="begin"/>
      </w:r>
      <w:r>
        <w:instrText xml:space="preserve"> HYPERLINK \l "_Toc17590" </w:instrText>
      </w:r>
      <w:r>
        <w:fldChar w:fldCharType="separate"/>
      </w:r>
      <w:r>
        <w:rPr>
          <w:rFonts w:hint="eastAsia" w:ascii="仿宋_GB2312" w:hAnsi="仿宋_GB2312" w:eastAsia="仿宋_GB2312" w:cs="仿宋_GB2312"/>
          <w:b/>
          <w:bCs/>
          <w:sz w:val="24"/>
        </w:rPr>
        <w:t>第三章 货物需求</w:t>
      </w:r>
      <w:r>
        <w:rPr>
          <w:b/>
          <w:bCs/>
          <w:sz w:val="24"/>
        </w:rPr>
        <w:tab/>
      </w:r>
      <w:r>
        <w:rPr>
          <w:rFonts w:hint="eastAsia"/>
          <w:b/>
          <w:bCs/>
          <w:sz w:val="24"/>
          <w:lang w:val="en-US" w:eastAsia="zh-CN"/>
        </w:rPr>
        <w:t>5</w:t>
      </w:r>
      <w:r>
        <w:rPr>
          <w:rFonts w:hint="eastAsia"/>
          <w:b/>
          <w:bCs/>
          <w:sz w:val="24"/>
        </w:rPr>
        <w:fldChar w:fldCharType="end"/>
      </w:r>
      <w:r>
        <w:rPr>
          <w:rFonts w:hint="eastAsia"/>
          <w:b/>
          <w:bCs/>
          <w:sz w:val="24"/>
          <w:lang w:val="en-US" w:eastAsia="zh-CN"/>
        </w:rPr>
        <w:t>0</w:t>
      </w:r>
    </w:p>
    <w:p>
      <w:pPr>
        <w:pStyle w:val="14"/>
        <w:tabs>
          <w:tab w:val="right" w:leader="dot" w:pos="8306"/>
        </w:tabs>
        <w:spacing w:line="480" w:lineRule="auto"/>
        <w:rPr>
          <w:rFonts w:hint="eastAsia" w:eastAsia="仿宋"/>
          <w:b/>
          <w:bCs/>
          <w:sz w:val="24"/>
          <w:lang w:val="en-US" w:eastAsia="zh-CN"/>
        </w:rPr>
      </w:pPr>
      <w:r>
        <w:fldChar w:fldCharType="begin"/>
      </w:r>
      <w:r>
        <w:instrText xml:space="preserve"> HYPERLINK \l "_Toc25237" </w:instrText>
      </w:r>
      <w:r>
        <w:fldChar w:fldCharType="separate"/>
      </w:r>
      <w:r>
        <w:rPr>
          <w:rFonts w:hint="eastAsia" w:ascii="仿宋_GB2312" w:hAnsi="仿宋_GB2312" w:eastAsia="仿宋_GB2312" w:cs="仿宋_GB2312"/>
          <w:b/>
          <w:bCs/>
          <w:sz w:val="24"/>
        </w:rPr>
        <w:t>第四章 评标方法</w:t>
      </w:r>
      <w:r>
        <w:rPr>
          <w:b/>
          <w:bCs/>
          <w:sz w:val="24"/>
        </w:rPr>
        <w:tab/>
      </w:r>
      <w:r>
        <w:rPr>
          <w:rFonts w:hint="eastAsia"/>
          <w:b/>
          <w:bCs/>
          <w:sz w:val="24"/>
          <w:lang w:val="en-US" w:eastAsia="zh-CN"/>
        </w:rPr>
        <w:t>5</w:t>
      </w:r>
      <w:r>
        <w:rPr>
          <w:rFonts w:hint="eastAsia"/>
          <w:b/>
          <w:bCs/>
          <w:sz w:val="24"/>
        </w:rPr>
        <w:fldChar w:fldCharType="end"/>
      </w:r>
      <w:r>
        <w:rPr>
          <w:rFonts w:hint="eastAsia"/>
          <w:b/>
          <w:bCs/>
          <w:sz w:val="24"/>
          <w:lang w:val="en-US" w:eastAsia="zh-CN"/>
        </w:rPr>
        <w:t>1</w:t>
      </w:r>
    </w:p>
    <w:p>
      <w:pPr>
        <w:pStyle w:val="14"/>
        <w:tabs>
          <w:tab w:val="right" w:leader="dot" w:pos="8306"/>
        </w:tabs>
        <w:spacing w:line="480" w:lineRule="auto"/>
        <w:rPr>
          <w:rFonts w:hint="eastAsia" w:eastAsia="仿宋"/>
          <w:b/>
          <w:bCs/>
          <w:sz w:val="24"/>
          <w:lang w:eastAsia="zh-CN"/>
        </w:rPr>
      </w:pPr>
      <w:r>
        <w:fldChar w:fldCharType="begin"/>
      </w:r>
      <w:r>
        <w:instrText xml:space="preserve"> HYPERLINK \l "_Toc19588" </w:instrText>
      </w:r>
      <w:r>
        <w:fldChar w:fldCharType="separate"/>
      </w:r>
      <w:r>
        <w:rPr>
          <w:rFonts w:hint="eastAsia" w:ascii="仿宋_GB2312" w:hAnsi="仿宋_GB2312" w:eastAsia="仿宋_GB2312" w:cs="仿宋_GB2312"/>
          <w:b/>
          <w:bCs/>
          <w:sz w:val="24"/>
        </w:rPr>
        <w:t>第五章 政府采购合同条款及格式</w:t>
      </w:r>
      <w:r>
        <w:rPr>
          <w:b/>
          <w:bCs/>
          <w:sz w:val="24"/>
        </w:rPr>
        <w:tab/>
      </w:r>
      <w:r>
        <w:rPr>
          <w:rFonts w:hint="eastAsia"/>
          <w:b/>
          <w:bCs/>
          <w:sz w:val="24"/>
        </w:rPr>
        <w:t>5</w:t>
      </w:r>
      <w:r>
        <w:rPr>
          <w:rFonts w:hint="eastAsia"/>
          <w:b/>
          <w:bCs/>
          <w:sz w:val="24"/>
        </w:rPr>
        <w:fldChar w:fldCharType="end"/>
      </w:r>
      <w:r>
        <w:rPr>
          <w:rFonts w:hint="eastAsia"/>
          <w:b/>
          <w:bCs/>
          <w:sz w:val="24"/>
          <w:lang w:val="en-US" w:eastAsia="zh-CN"/>
        </w:rPr>
        <w:t>9</w:t>
      </w:r>
    </w:p>
    <w:p>
      <w:pPr>
        <w:spacing w:line="480" w:lineRule="auto"/>
      </w:pPr>
      <w:r>
        <w:rPr>
          <w:b/>
          <w:bCs/>
          <w:sz w:val="24"/>
        </w:rPr>
        <w:fldChar w:fldCharType="end"/>
      </w:r>
    </w:p>
    <w:p>
      <w:pPr>
        <w:pStyle w:val="4"/>
        <w:rPr>
          <w:rFonts w:ascii="仿宋_GB2312" w:hAnsi="仿宋_GB2312" w:eastAsia="仿宋_GB2312" w:cs="仿宋_GB2312"/>
        </w:rPr>
        <w:sectPr>
          <w:footerReference r:id="rId3" w:type="default"/>
          <w:pgSz w:w="11906" w:h="16838"/>
          <w:pgMar w:top="1440" w:right="1800" w:bottom="1440" w:left="1800" w:header="851" w:footer="992" w:gutter="0"/>
          <w:pgNumType w:start="1"/>
          <w:cols w:space="720" w:num="1"/>
          <w:docGrid w:type="linesAndChars" w:linePitch="312" w:charSpace="0"/>
        </w:sectPr>
      </w:pPr>
      <w:bookmarkStart w:id="0" w:name="_Toc7381"/>
      <w:bookmarkStart w:id="1" w:name="_Toc1124_WPSOffice_Level1"/>
    </w:p>
    <w:p>
      <w:pPr>
        <w:spacing w:line="600" w:lineRule="exact"/>
        <w:ind w:left="3240" w:hanging="3240" w:hangingChars="900"/>
        <w:jc w:val="center"/>
        <w:rPr>
          <w:rFonts w:hint="eastAsia" w:ascii="仿宋_GB2312" w:hAnsi="仿宋_GB2312" w:eastAsia="仿宋_GB2312" w:cs="仿宋_GB2312"/>
          <w:b/>
          <w:kern w:val="44"/>
          <w:sz w:val="36"/>
          <w:szCs w:val="36"/>
          <w:lang w:eastAsia="zh-CN"/>
        </w:rPr>
      </w:pPr>
      <w:r>
        <w:rPr>
          <w:rFonts w:hint="eastAsia" w:ascii="仿宋_GB2312" w:hAnsi="仿宋_GB2312" w:eastAsia="仿宋_GB2312" w:cs="仿宋_GB2312"/>
          <w:b/>
          <w:kern w:val="44"/>
          <w:sz w:val="36"/>
          <w:szCs w:val="36"/>
          <w:lang w:eastAsia="zh-CN"/>
        </w:rPr>
        <w:t>沈阳工业大学材料科学与工程学院高温同步热分析</w:t>
      </w:r>
    </w:p>
    <w:p>
      <w:pPr>
        <w:spacing w:line="600" w:lineRule="exact"/>
        <w:ind w:left="3240" w:hanging="3240" w:hangingChars="900"/>
        <w:jc w:val="center"/>
        <w:rPr>
          <w:rFonts w:ascii="仿宋_GB2312" w:hAnsi="仿宋_GB2312" w:eastAsia="仿宋_GB2312" w:cs="仿宋_GB2312"/>
          <w:b/>
          <w:kern w:val="44"/>
          <w:sz w:val="36"/>
          <w:szCs w:val="36"/>
        </w:rPr>
      </w:pPr>
      <w:r>
        <w:rPr>
          <w:rFonts w:hint="eastAsia" w:ascii="仿宋_GB2312" w:hAnsi="仿宋_GB2312" w:eastAsia="仿宋_GB2312" w:cs="仿宋_GB2312"/>
          <w:b/>
          <w:kern w:val="44"/>
          <w:sz w:val="36"/>
          <w:szCs w:val="36"/>
          <w:lang w:eastAsia="zh-CN"/>
        </w:rPr>
        <w:t>仪采购项目</w:t>
      </w:r>
      <w:r>
        <w:rPr>
          <w:rFonts w:hint="eastAsia" w:ascii="仿宋_GB2312" w:hAnsi="仿宋_GB2312" w:eastAsia="仿宋_GB2312" w:cs="仿宋_GB2312"/>
          <w:b/>
          <w:kern w:val="44"/>
          <w:sz w:val="36"/>
          <w:szCs w:val="36"/>
        </w:rPr>
        <w:t>的招标公告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20" w:firstLineChars="200"/>
        <w:rPr>
          <w:rFonts w:ascii="仿宋" w:hAnsi="仿宋"/>
          <w:szCs w:val="21"/>
        </w:rPr>
      </w:pPr>
      <w:r>
        <w:rPr>
          <w:rFonts w:hint="eastAsia" w:ascii="仿宋" w:hAnsi="仿宋"/>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仿宋" w:hAnsi="仿宋"/>
          <w:szCs w:val="21"/>
          <w:shd w:val="clear" w:color="auto" w:fill="FFFFFF"/>
        </w:rPr>
      </w:pPr>
      <w:r>
        <w:rPr>
          <w:rFonts w:hint="eastAsia" w:ascii="仿宋" w:hAnsi="仿宋"/>
          <w:szCs w:val="21"/>
          <w:u w:val="single"/>
          <w:lang w:eastAsia="zh-CN"/>
        </w:rPr>
        <w:t>沈阳工业大学材料科学与工程学院高温同步热分析仪采购项目</w:t>
      </w:r>
      <w:r>
        <w:rPr>
          <w:rFonts w:hint="eastAsia" w:ascii="仿宋" w:hAnsi="仿宋"/>
          <w:szCs w:val="21"/>
          <w:u w:val="single"/>
        </w:rPr>
        <w:t>(项目编号：</w:t>
      </w:r>
      <w:r>
        <w:rPr>
          <w:rFonts w:hint="eastAsia" w:ascii="仿宋" w:hAnsi="仿宋"/>
          <w:szCs w:val="21"/>
          <w:u w:val="single"/>
          <w:lang w:eastAsia="zh-CN"/>
        </w:rPr>
        <w:t>JH20-210000-82910</w:t>
      </w:r>
      <w:r>
        <w:rPr>
          <w:rFonts w:hint="eastAsia" w:ascii="仿宋" w:hAnsi="仿宋"/>
          <w:szCs w:val="21"/>
          <w:u w:val="single"/>
        </w:rPr>
        <w:t>)</w:t>
      </w:r>
      <w:r>
        <w:rPr>
          <w:rFonts w:hint="eastAsia" w:ascii="仿宋" w:hAnsi="仿宋"/>
          <w:szCs w:val="21"/>
        </w:rPr>
        <w:t>招标项目的潜在供应商应在</w:t>
      </w:r>
      <w:r>
        <w:rPr>
          <w:rFonts w:hint="eastAsia" w:ascii="仿宋_GB2312" w:hAnsi="仿宋_GB2312" w:eastAsia="仿宋_GB2312" w:cs="仿宋_GB2312"/>
          <w:kern w:val="0"/>
          <w:szCs w:val="21"/>
          <w:u w:val="single"/>
        </w:rPr>
        <w:t>辽宁政府采购网</w:t>
      </w:r>
      <w:r>
        <w:rPr>
          <w:rFonts w:hint="eastAsia" w:ascii="仿宋" w:hAnsi="仿宋"/>
          <w:szCs w:val="21"/>
        </w:rPr>
        <w:t>获取招标文件，</w:t>
      </w:r>
      <w:r>
        <w:rPr>
          <w:rFonts w:hint="eastAsia" w:ascii="仿宋" w:hAnsi="仿宋"/>
          <w:szCs w:val="21"/>
          <w:shd w:val="clear" w:color="auto" w:fill="FFFFFF"/>
        </w:rPr>
        <w:t>并于</w:t>
      </w:r>
      <w:r>
        <w:rPr>
          <w:rFonts w:hint="eastAsia" w:ascii="仿宋" w:hAnsi="仿宋"/>
          <w:szCs w:val="21"/>
          <w:u w:val="single"/>
          <w:shd w:val="clear" w:color="auto" w:fill="FFFFFF"/>
        </w:rPr>
        <w:t>202</w:t>
      </w:r>
      <w:r>
        <w:rPr>
          <w:rFonts w:hint="eastAsia" w:ascii="仿宋" w:hAnsi="仿宋"/>
          <w:szCs w:val="21"/>
          <w:u w:val="single"/>
          <w:shd w:val="clear" w:color="auto" w:fill="FFFFFF"/>
          <w:lang w:val="en-US" w:eastAsia="zh-CN"/>
        </w:rPr>
        <w:t>1</w:t>
      </w:r>
      <w:r>
        <w:rPr>
          <w:rFonts w:hint="eastAsia" w:ascii="仿宋" w:hAnsi="仿宋"/>
          <w:bCs/>
          <w:szCs w:val="21"/>
          <w:u w:val="single"/>
          <w:shd w:val="clear" w:color="auto" w:fill="FFFFFF"/>
        </w:rPr>
        <w:t>年</w:t>
      </w:r>
      <w:r>
        <w:rPr>
          <w:rFonts w:hint="eastAsia" w:ascii="仿宋" w:hAnsi="仿宋"/>
          <w:bCs/>
          <w:szCs w:val="21"/>
          <w:u w:val="single"/>
          <w:shd w:val="clear" w:color="auto" w:fill="FFFFFF"/>
          <w:lang w:val="en-US" w:eastAsia="zh-CN"/>
        </w:rPr>
        <w:t>2</w:t>
      </w:r>
      <w:r>
        <w:rPr>
          <w:rFonts w:hint="eastAsia" w:ascii="仿宋" w:hAnsi="仿宋"/>
          <w:bCs/>
          <w:szCs w:val="21"/>
          <w:u w:val="single"/>
          <w:shd w:val="clear" w:color="auto" w:fill="FFFFFF"/>
        </w:rPr>
        <w:t>月</w:t>
      </w:r>
      <w:r>
        <w:rPr>
          <w:rFonts w:hint="eastAsia" w:ascii="仿宋" w:hAnsi="仿宋"/>
          <w:bCs/>
          <w:szCs w:val="21"/>
          <w:u w:val="single"/>
          <w:shd w:val="clear" w:color="auto" w:fill="FFFFFF"/>
          <w:lang w:val="en-US" w:eastAsia="zh-CN"/>
        </w:rPr>
        <w:t>26</w:t>
      </w:r>
      <w:r>
        <w:rPr>
          <w:rFonts w:hint="eastAsia" w:ascii="仿宋" w:hAnsi="仿宋"/>
          <w:bCs/>
          <w:szCs w:val="21"/>
          <w:u w:val="single"/>
          <w:shd w:val="clear" w:color="auto" w:fill="FFFFFF"/>
        </w:rPr>
        <w:t>日</w:t>
      </w:r>
      <w:r>
        <w:rPr>
          <w:rFonts w:hint="eastAsia" w:ascii="仿宋" w:hAnsi="仿宋"/>
          <w:bCs/>
          <w:szCs w:val="21"/>
          <w:u w:val="single"/>
          <w:shd w:val="clear" w:color="auto" w:fill="FFFFFF"/>
          <w:lang w:val="en-US" w:eastAsia="zh-CN"/>
        </w:rPr>
        <w:t>13</w:t>
      </w:r>
      <w:r>
        <w:rPr>
          <w:rFonts w:hint="eastAsia" w:ascii="仿宋" w:hAnsi="仿宋"/>
          <w:bCs/>
          <w:szCs w:val="21"/>
          <w:u w:val="single"/>
          <w:shd w:val="clear" w:color="auto" w:fill="FFFFFF"/>
        </w:rPr>
        <w:t>点30分（</w:t>
      </w:r>
      <w:r>
        <w:rPr>
          <w:rFonts w:hint="eastAsia" w:ascii="仿宋" w:hAnsi="仿宋"/>
          <w:bCs/>
          <w:szCs w:val="21"/>
          <w:shd w:val="clear" w:color="auto" w:fill="FFFFFF"/>
        </w:rPr>
        <w:t>北京时间）前递交投标</w:t>
      </w:r>
      <w:r>
        <w:rPr>
          <w:rFonts w:ascii="仿宋" w:hAnsi="仿宋"/>
          <w:bCs/>
          <w:szCs w:val="21"/>
          <w:shd w:val="clear" w:color="auto" w:fill="FFFFFF"/>
        </w:rPr>
        <w:t>文件</w:t>
      </w:r>
      <w:r>
        <w:rPr>
          <w:rFonts w:hint="eastAsia" w:ascii="仿宋" w:hAnsi="仿宋"/>
          <w:szCs w:val="21"/>
          <w:shd w:val="clear" w:color="auto" w:fill="FFFFFF"/>
        </w:rPr>
        <w:t>。</w:t>
      </w:r>
    </w:p>
    <w:p>
      <w:pPr>
        <w:widowControl/>
        <w:adjustRightInd w:val="0"/>
        <w:snapToGrid w:val="0"/>
        <w:spacing w:line="360" w:lineRule="auto"/>
        <w:ind w:firstLine="420" w:firstLineChars="200"/>
        <w:jc w:val="left"/>
        <w:rPr>
          <w:rFonts w:ascii="仿宋_GB2312" w:hAnsi="仿宋_GB2312" w:eastAsia="仿宋_GB2312" w:cs="仿宋_GB2312"/>
          <w:b/>
          <w:bCs/>
          <w:kern w:val="0"/>
          <w:szCs w:val="21"/>
        </w:rPr>
      </w:pPr>
      <w:r>
        <w:rPr>
          <w:rFonts w:hint="eastAsia" w:ascii="仿宋_GB2312" w:hAnsi="仿宋_GB2312" w:eastAsia="仿宋_GB2312" w:cs="仿宋_GB2312"/>
          <w:kern w:val="0"/>
          <w:szCs w:val="21"/>
        </w:rPr>
        <w:t xml:space="preserve"> </w:t>
      </w:r>
    </w:p>
    <w:p>
      <w:pPr>
        <w:adjustRightInd w:val="0"/>
        <w:snapToGrid w:val="0"/>
        <w:spacing w:line="360" w:lineRule="auto"/>
        <w:rPr>
          <w:rFonts w:ascii="仿宋_GB2312" w:hAnsi="仿宋_GB2312" w:eastAsia="仿宋_GB2312" w:cs="仿宋_GB2312"/>
          <w:b/>
          <w:bCs/>
          <w:szCs w:val="21"/>
        </w:rPr>
      </w:pPr>
      <w:bookmarkStart w:id="2" w:name="_Toc28359002"/>
      <w:bookmarkStart w:id="3" w:name="_Toc35393621"/>
      <w:bookmarkStart w:id="4" w:name="_Toc35393790"/>
      <w:bookmarkStart w:id="5" w:name="_Toc28359079"/>
      <w:bookmarkStart w:id="6" w:name="_Hlk24379207"/>
      <w:r>
        <w:rPr>
          <w:rFonts w:hint="eastAsia" w:ascii="仿宋_GB2312" w:hAnsi="仿宋_GB2312" w:eastAsia="仿宋_GB2312" w:cs="仿宋_GB2312"/>
          <w:b/>
          <w:bCs/>
          <w:szCs w:val="21"/>
        </w:rPr>
        <w:t>一、项目基本情况</w:t>
      </w:r>
      <w:bookmarkEnd w:id="2"/>
      <w:bookmarkEnd w:id="3"/>
      <w:bookmarkEnd w:id="4"/>
      <w:bookmarkEnd w:id="5"/>
    </w:p>
    <w:p>
      <w:pPr>
        <w:adjustRightInd w:val="0"/>
        <w:snapToGrid w:val="0"/>
        <w:spacing w:line="360" w:lineRule="auto"/>
        <w:ind w:firstLine="420" w:firstLineChars="200"/>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项目编号：</w:t>
      </w:r>
      <w:r>
        <w:rPr>
          <w:rFonts w:hint="eastAsia" w:ascii="仿宋_GB2312" w:hAnsi="仿宋_GB2312" w:eastAsia="仿宋_GB2312" w:cs="仿宋_GB2312"/>
          <w:color w:val="000000" w:themeColor="text1"/>
          <w:szCs w:val="21"/>
          <w:lang w:eastAsia="zh-CN"/>
          <w14:textFill>
            <w14:solidFill>
              <w14:schemeClr w14:val="tx1"/>
            </w14:solidFill>
          </w14:textFill>
        </w:rPr>
        <w:t>JH20-210000-82910</w:t>
      </w:r>
    </w:p>
    <w:p>
      <w:pPr>
        <w:adjustRightInd w:val="0"/>
        <w:snapToGrid w:val="0"/>
        <w:spacing w:line="360" w:lineRule="auto"/>
        <w:ind w:firstLine="420" w:firstLineChars="200"/>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项目名称：</w:t>
      </w:r>
      <w:bookmarkEnd w:id="6"/>
      <w:r>
        <w:rPr>
          <w:rFonts w:hint="eastAsia" w:ascii="仿宋_GB2312" w:hAnsi="仿宋_GB2312" w:eastAsia="仿宋_GB2312" w:cs="仿宋_GB2312"/>
          <w:color w:val="000000" w:themeColor="text1"/>
          <w:szCs w:val="21"/>
          <w:lang w:eastAsia="zh-CN"/>
          <w14:textFill>
            <w14:solidFill>
              <w14:schemeClr w14:val="tx1"/>
            </w14:solidFill>
          </w14:textFill>
        </w:rPr>
        <w:t>沈阳工业大学材料科学与工程学院高温同步热分析仪采购项目</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预算金额：</w:t>
      </w:r>
      <w:r>
        <w:rPr>
          <w:rFonts w:hint="eastAsia" w:ascii="仿宋_GB2312" w:hAnsi="仿宋_GB2312" w:eastAsia="仿宋_GB2312" w:cs="仿宋_GB2312"/>
          <w:color w:val="000000" w:themeColor="text1"/>
          <w:kern w:val="0"/>
          <w:szCs w:val="21"/>
          <w14:textFill>
            <w14:solidFill>
              <w14:schemeClr w14:val="tx1"/>
            </w14:solidFill>
          </w14:textFill>
        </w:rPr>
        <w:t>人民币</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750,000.00 </w:t>
      </w:r>
      <w:r>
        <w:rPr>
          <w:rFonts w:hint="eastAsia" w:ascii="仿宋_GB2312" w:hAnsi="仿宋_GB2312" w:eastAsia="仿宋_GB2312" w:cs="仿宋_GB2312"/>
          <w:color w:val="000000" w:themeColor="text1"/>
          <w:kern w:val="0"/>
          <w:szCs w:val="21"/>
          <w14:textFill>
            <w14:solidFill>
              <w14:schemeClr w14:val="tx1"/>
            </w14:solidFill>
          </w14:textFill>
        </w:rPr>
        <w:t>元。</w:t>
      </w:r>
    </w:p>
    <w:p>
      <w:pPr>
        <w:adjustRightInd w:val="0"/>
        <w:snapToGrid w:val="0"/>
        <w:spacing w:line="360" w:lineRule="auto"/>
        <w:ind w:firstLine="420" w:firstLineChars="2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最高限价：人民币</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750,000.00 </w:t>
      </w:r>
      <w:r>
        <w:rPr>
          <w:rFonts w:hint="eastAsia" w:ascii="仿宋_GB2312" w:hAnsi="仿宋_GB2312" w:eastAsia="仿宋_GB2312" w:cs="仿宋_GB2312"/>
          <w:color w:val="000000" w:themeColor="text1"/>
          <w:kern w:val="0"/>
          <w:szCs w:val="21"/>
          <w14:textFill>
            <w14:solidFill>
              <w14:schemeClr w14:val="tx1"/>
            </w14:solidFill>
          </w14:textFill>
        </w:rPr>
        <w:t xml:space="preserve">元. </w:t>
      </w:r>
    </w:p>
    <w:p>
      <w:pPr>
        <w:adjustRightInd w:val="0"/>
        <w:snapToGrid w:val="0"/>
        <w:spacing w:line="360" w:lineRule="auto"/>
        <w:ind w:firstLine="420" w:firstLineChars="2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采购需求：</w:t>
      </w:r>
    </w:p>
    <w:p>
      <w:pPr>
        <w:adjustRightInd w:val="0"/>
        <w:snapToGrid w:val="0"/>
        <w:spacing w:line="360" w:lineRule="auto"/>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品目1：高温</w:t>
      </w:r>
      <w:r>
        <w:rPr>
          <w:rFonts w:hint="eastAsia" w:ascii="仿宋_GB2312" w:hAnsi="仿宋_GB2312" w:eastAsia="仿宋_GB2312" w:cs="仿宋_GB2312"/>
          <w:color w:val="000000" w:themeColor="text1"/>
          <w:szCs w:val="21"/>
          <w:lang w:val="en-US" w:eastAsia="zh-CN"/>
          <w14:textFill>
            <w14:solidFill>
              <w14:schemeClr w14:val="tx1"/>
            </w14:solidFill>
          </w14:textFill>
        </w:rPr>
        <w:t>DSC</w:t>
      </w:r>
      <w:r>
        <w:rPr>
          <w:rFonts w:hint="eastAsia" w:ascii="仿宋_GB2312" w:hAnsi="仿宋_GB2312" w:eastAsia="仿宋_GB2312" w:cs="仿宋_GB2312"/>
          <w:color w:val="000000" w:themeColor="text1"/>
          <w:szCs w:val="21"/>
          <w14:textFill>
            <w14:solidFill>
              <w14:schemeClr w14:val="tx1"/>
            </w14:solidFill>
          </w14:textFill>
        </w:rPr>
        <w:t xml:space="preserve"> 1台 进口</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bookmarkStart w:id="7" w:name="OLE_LINK54"/>
      <w:bookmarkStart w:id="8" w:name="OLE_LINK55"/>
      <w:bookmarkStart w:id="9" w:name="OLE_LINK53"/>
      <w:bookmarkStart w:id="10" w:name="OLE_LINK43"/>
      <w:bookmarkStart w:id="11" w:name="OLE_LINK44"/>
      <w:r>
        <w:rPr>
          <w:rFonts w:hint="eastAsia" w:ascii="仿宋_GB2312" w:hAnsi="仿宋_GB2312" w:eastAsia="仿宋_GB2312" w:cs="仿宋_GB2312"/>
          <w:color w:val="000000" w:themeColor="text1"/>
          <w:szCs w:val="21"/>
          <w14:textFill>
            <w14:solidFill>
              <w14:schemeClr w14:val="tx1"/>
            </w14:solidFill>
          </w14:textFill>
        </w:rPr>
        <w:t xml:space="preserve">1. </w:t>
      </w:r>
      <w:bookmarkStart w:id="12" w:name="_Hlk55997427"/>
      <w:r>
        <w:rPr>
          <w:rFonts w:hint="eastAsia" w:ascii="仿宋_GB2312" w:hAnsi="仿宋_GB2312" w:eastAsia="仿宋_GB2312" w:cs="仿宋_GB2312"/>
          <w:color w:val="000000" w:themeColor="text1"/>
          <w:szCs w:val="21"/>
          <w14:textFill>
            <w14:solidFill>
              <w14:schemeClr w14:val="tx1"/>
            </w14:solidFill>
          </w14:textFill>
        </w:rPr>
        <w:t>采购标的需实现的功能或者目标</w:t>
      </w:r>
      <w:bookmarkEnd w:id="12"/>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ind w:firstLine="420" w:firstLineChars="200"/>
        <w:rPr>
          <w:rFonts w:eastAsia="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（1）全量程具有精</w:t>
      </w:r>
      <w:r>
        <w:rPr>
          <w:rFonts w:eastAsia="仿宋_GB2312"/>
          <w:color w:val="000000" w:themeColor="text1"/>
          <w:szCs w:val="21"/>
          <w14:textFill>
            <w14:solidFill>
              <w14:schemeClr w14:val="tx1"/>
            </w14:solidFill>
          </w14:textFill>
        </w:rPr>
        <w:t>确的DSC校正和测试功能，样品加热温度不小于1600℃。</w:t>
      </w:r>
    </w:p>
    <w:p>
      <w:pPr>
        <w:adjustRightInd w:val="0"/>
        <w:snapToGrid w:val="0"/>
        <w:spacing w:line="360" w:lineRule="auto"/>
        <w:ind w:firstLine="420" w:firstLineChars="200"/>
        <w:rPr>
          <w:rFonts w:eastAsia="仿宋_GB2312"/>
          <w:color w:val="000000" w:themeColor="text1"/>
          <w:szCs w:val="21"/>
          <w14:textFill>
            <w14:solidFill>
              <w14:schemeClr w14:val="tx1"/>
            </w14:solidFill>
          </w14:textFill>
        </w:rPr>
      </w:pPr>
      <w:bookmarkStart w:id="13" w:name="_Hlk56000441"/>
      <w:r>
        <w:rPr>
          <w:rFonts w:hint="eastAsia" w:ascii="仿宋" w:hAnsi="仿宋" w:cs="仿宋_GB2312"/>
          <w:color w:val="000000" w:themeColor="text1"/>
          <w:szCs w:val="21"/>
          <w14:textFill>
            <w14:solidFill>
              <w14:schemeClr w14:val="tx1"/>
            </w14:solidFill>
          </w14:textFill>
        </w:rPr>
        <w:t>▲</w:t>
      </w:r>
      <w:bookmarkEnd w:id="13"/>
      <w:r>
        <w:rPr>
          <w:rFonts w:eastAsia="仿宋_GB2312"/>
          <w:color w:val="000000" w:themeColor="text1"/>
          <w:szCs w:val="21"/>
          <w14:textFill>
            <w14:solidFill>
              <w14:schemeClr w14:val="tx1"/>
            </w14:solidFill>
          </w14:textFill>
        </w:rPr>
        <w:t>（2）全量程具有精确的比热测量和校正功能，样品加热温度不小于1300℃。</w:t>
      </w:r>
    </w:p>
    <w:p>
      <w:pPr>
        <w:adjustRightInd w:val="0"/>
        <w:snapToGrid w:val="0"/>
        <w:spacing w:line="360" w:lineRule="auto"/>
        <w:ind w:firstLine="630" w:firstLineChars="300"/>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（3）可以额外有DTA功能，且样品加热温度不小于1750℃</w:t>
      </w:r>
    </w:p>
    <w:p>
      <w:pPr>
        <w:adjustRightInd w:val="0"/>
        <w:snapToGrid w:val="0"/>
        <w:spacing w:line="360" w:lineRule="auto"/>
        <w:ind w:firstLine="420" w:firstLineChars="200"/>
        <w:rPr>
          <w:rFonts w:eastAsia="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eastAsia="仿宋_GB2312"/>
          <w:color w:val="000000" w:themeColor="text1"/>
          <w:szCs w:val="21"/>
          <w14:textFill>
            <w14:solidFill>
              <w14:schemeClr w14:val="tx1"/>
            </w14:solidFill>
          </w14:textFill>
        </w:rPr>
        <w:t>（4）具有TG功能，样品加热气氛可控，样品加热温度不小于1600℃</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 技术参数</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（1）加热炉体：纯铑加热炉或石墨加热炉；</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（2）</w:t>
      </w:r>
      <w:bookmarkStart w:id="14" w:name="OLE_LINK25"/>
      <w:bookmarkStart w:id="15" w:name="OLE_LINK24"/>
      <w:r>
        <w:rPr>
          <w:rFonts w:hint="eastAsia" w:ascii="仿宋_GB2312" w:hAnsi="仿宋_GB2312" w:eastAsia="仿宋_GB2312" w:cs="仿宋_GB2312"/>
          <w:color w:val="000000" w:themeColor="text1"/>
          <w:szCs w:val="21"/>
          <w14:textFill>
            <w14:solidFill>
              <w14:schemeClr w14:val="tx1"/>
            </w14:solidFill>
          </w14:textFill>
        </w:rPr>
        <w:t>温度准确度</w:t>
      </w:r>
      <w:bookmarkEnd w:id="14"/>
      <w:bookmarkEnd w:id="15"/>
      <w:r>
        <w:rPr>
          <w:rFonts w:hint="eastAsia" w:ascii="仿宋_GB2312" w:hAnsi="仿宋_GB2312" w:eastAsia="仿宋_GB2312" w:cs="仿宋_GB2312"/>
          <w:color w:val="000000" w:themeColor="text1"/>
          <w:szCs w:val="21"/>
          <w14:textFill>
            <w14:solidFill>
              <w14:schemeClr w14:val="tx1"/>
            </w14:solidFill>
          </w14:textFill>
        </w:rPr>
        <w:t>：</w:t>
      </w:r>
      <w:bookmarkStart w:id="16" w:name="OLE_LINK40"/>
      <w:bookmarkStart w:id="17" w:name="OLE_LINK39"/>
      <w:r>
        <w:rPr>
          <w:rFonts w:hint="eastAsia" w:ascii="仿宋_GB2312" w:hAnsi="仿宋_GB2312" w:eastAsia="仿宋_GB2312" w:cs="仿宋_GB2312"/>
          <w:color w:val="000000" w:themeColor="text1"/>
          <w:szCs w:val="21"/>
          <w14:textFill>
            <w14:solidFill>
              <w14:schemeClr w14:val="tx1"/>
            </w14:solidFill>
          </w14:textFill>
        </w:rPr>
        <w:t>≤±0.1℃</w:t>
      </w:r>
      <w:bookmarkEnd w:id="16"/>
      <w:bookmarkEnd w:id="17"/>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（3）热焓准确度：</w:t>
      </w:r>
      <w:bookmarkStart w:id="18" w:name="OLE_LINK37"/>
      <w:bookmarkStart w:id="19" w:name="OLE_LINK38"/>
      <w:r>
        <w:rPr>
          <w:rFonts w:hint="eastAsia" w:ascii="仿宋_GB2312" w:hAnsi="仿宋_GB2312" w:eastAsia="仿宋_GB2312" w:cs="仿宋_GB2312"/>
          <w:color w:val="000000" w:themeColor="text1"/>
          <w:szCs w:val="21"/>
          <w14:textFill>
            <w14:solidFill>
              <w14:schemeClr w14:val="tx1"/>
            </w14:solidFill>
          </w14:textFill>
        </w:rPr>
        <w:t>≤±1%</w:t>
      </w:r>
      <w:bookmarkEnd w:id="18"/>
      <w:bookmarkEnd w:id="19"/>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★（4）比热精度（RT-1300℃）&lt;3%；</w:t>
      </w:r>
      <w:r>
        <w:rPr>
          <w:rFonts w:ascii="仿宋_GB2312" w:hAnsi="仿宋_GB2312" w:eastAsia="仿宋_GB2312" w:cs="仿宋_GB2312"/>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 xml:space="preserve">（5）样品称量范围：≥20g </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★（6）升降温速率：全范围0.001～50℃/min或0</w:t>
      </w:r>
      <w:r>
        <w:rPr>
          <w:rFonts w:ascii="仿宋_GB2312" w:hAnsi="仿宋_GB2312" w:eastAsia="仿宋_GB2312" w:cs="仿宋_GB2312"/>
          <w:color w:val="000000" w:themeColor="text1"/>
          <w:szCs w:val="21"/>
          <w14:textFill>
            <w14:solidFill>
              <w14:schemeClr w14:val="tx1"/>
            </w14:solidFill>
          </w14:textFill>
        </w:rPr>
        <w:t>.001</w:t>
      </w:r>
      <w:r>
        <w:rPr>
          <w:rFonts w:hint="eastAsia" w:ascii="仿宋_GB2312" w:hAnsi="仿宋_GB2312" w:eastAsia="仿宋_GB2312" w:cs="仿宋_GB2312"/>
          <w:color w:val="000000" w:themeColor="text1"/>
          <w:szCs w:val="21"/>
          <w14:textFill>
            <w14:solidFill>
              <w14:schemeClr w14:val="tx1"/>
            </w14:solidFill>
          </w14:textFill>
        </w:rPr>
        <w:t>～1</w:t>
      </w:r>
      <w:r>
        <w:rPr>
          <w:rFonts w:ascii="仿宋_GB2312" w:hAnsi="仿宋_GB2312" w:eastAsia="仿宋_GB2312" w:cs="仿宋_GB2312"/>
          <w:color w:val="000000" w:themeColor="text1"/>
          <w:szCs w:val="21"/>
          <w14:textFill>
            <w14:solidFill>
              <w14:schemeClr w14:val="tx1"/>
            </w14:solidFill>
          </w14:textFill>
        </w:rPr>
        <w:t>00</w:t>
      </w:r>
      <w:r>
        <w:rPr>
          <w:rFonts w:hint="eastAsia" w:ascii="仿宋_GB2312" w:hAnsi="仿宋_GB2312" w:eastAsia="仿宋_GB2312" w:cs="仿宋_GB2312"/>
          <w:color w:val="000000" w:themeColor="text1"/>
          <w:szCs w:val="21"/>
          <w14:textFill>
            <w14:solidFill>
              <w14:schemeClr w14:val="tx1"/>
            </w14:solidFill>
          </w14:textFill>
        </w:rPr>
        <w:t>℃/min；</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（7）真空密闭结构，真空度：10E-4mbar；</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（8）</w:t>
      </w:r>
      <w:bookmarkStart w:id="20" w:name="OLE_LINK26"/>
      <w:bookmarkStart w:id="21" w:name="OLE_LINK27"/>
      <w:r>
        <w:rPr>
          <w:rFonts w:hint="eastAsia" w:ascii="仿宋_GB2312" w:hAnsi="仿宋_GB2312" w:eastAsia="仿宋_GB2312" w:cs="仿宋_GB2312"/>
          <w:color w:val="000000" w:themeColor="text1"/>
          <w:szCs w:val="21"/>
          <w14:textFill>
            <w14:solidFill>
              <w14:schemeClr w14:val="tx1"/>
            </w14:solidFill>
          </w14:textFill>
        </w:rPr>
        <w:t>天平分辨率：</w:t>
      </w:r>
      <w:bookmarkStart w:id="22" w:name="OLE_LINK36"/>
      <w:bookmarkStart w:id="23" w:name="OLE_LINK35"/>
      <w:r>
        <w:rPr>
          <w:rFonts w:hint="eastAsia" w:ascii="仿宋_GB2312" w:hAnsi="仿宋_GB2312" w:eastAsia="仿宋_GB2312" w:cs="仿宋_GB2312"/>
          <w:color w:val="000000" w:themeColor="text1"/>
          <w:szCs w:val="21"/>
          <w14:textFill>
            <w14:solidFill>
              <w14:schemeClr w14:val="tx1"/>
            </w14:solidFill>
          </w14:textFill>
        </w:rPr>
        <w:t>&lt; 0.1μg</w:t>
      </w:r>
      <w:bookmarkEnd w:id="20"/>
      <w:bookmarkEnd w:id="21"/>
      <w:bookmarkEnd w:id="22"/>
      <w:bookmarkEnd w:id="23"/>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★（9）天平飘移：&lt;10</w:t>
      </w:r>
      <w:r>
        <w:rPr>
          <w:rFonts w:hint="eastAsia" w:ascii="仿宋_GB2312" w:hAnsi="仿宋_GB2312" w:eastAsia="仿宋_GB2312" w:cs="仿宋_GB2312"/>
          <w:color w:val="000000" w:themeColor="text1"/>
          <w:szCs w:val="21"/>
          <w14:textFill>
            <w14:solidFill>
              <w14:schemeClr w14:val="tx1"/>
            </w14:solidFill>
          </w14:textFill>
        </w:rPr>
        <w:sym w:font="Symbol" w:char="F06D"/>
      </w:r>
      <w:r>
        <w:rPr>
          <w:rFonts w:hint="eastAsia" w:ascii="仿宋_GB2312" w:hAnsi="仿宋_GB2312" w:eastAsia="仿宋_GB2312" w:cs="仿宋_GB2312"/>
          <w:color w:val="000000" w:themeColor="text1"/>
          <w:szCs w:val="21"/>
          <w14:textFill>
            <w14:solidFill>
              <w14:schemeClr w14:val="tx1"/>
            </w14:solidFill>
          </w14:textFill>
        </w:rPr>
        <w:t>g/h(恒温)；</w:t>
      </w:r>
      <w:r>
        <w:rPr>
          <w:rFonts w:ascii="仿宋_GB2312" w:hAnsi="仿宋_GB2312" w:eastAsia="仿宋_GB2312" w:cs="仿宋_GB2312"/>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w:t>
      </w:r>
      <w:bookmarkStart w:id="24" w:name="OLE_LINK31"/>
      <w:bookmarkStart w:id="25" w:name="OLE_LINK30"/>
      <w:r>
        <w:rPr>
          <w:rFonts w:hint="eastAsia" w:ascii="仿宋_GB2312" w:hAnsi="仿宋_GB2312" w:eastAsia="仿宋_GB2312" w:cs="仿宋_GB2312"/>
          <w:color w:val="000000" w:themeColor="text1"/>
          <w:szCs w:val="21"/>
          <w14:textFill>
            <w14:solidFill>
              <w14:schemeClr w14:val="tx1"/>
            </w14:solidFill>
          </w14:textFill>
        </w:rPr>
        <w:t>DSC 灵敏度：1uw</w:t>
      </w:r>
      <w:bookmarkEnd w:id="24"/>
      <w:bookmarkEnd w:id="25"/>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w:t>
      </w:r>
      <w:bookmarkStart w:id="26" w:name="OLE_LINK29"/>
      <w:bookmarkStart w:id="27" w:name="OLE_LINK28"/>
      <w:r>
        <w:rPr>
          <w:rFonts w:hint="eastAsia" w:ascii="仿宋_GB2312" w:hAnsi="仿宋_GB2312" w:eastAsia="仿宋_GB2312" w:cs="仿宋_GB2312"/>
          <w:color w:val="000000" w:themeColor="text1"/>
          <w:szCs w:val="21"/>
          <w14:textFill>
            <w14:solidFill>
              <w14:schemeClr w14:val="tx1"/>
            </w14:solidFill>
          </w14:textFill>
        </w:rPr>
        <w:t>测量范围内原始基线漂移</w:t>
      </w:r>
      <w:bookmarkEnd w:id="26"/>
      <w:bookmarkEnd w:id="27"/>
      <w:r>
        <w:rPr>
          <w:rFonts w:hint="eastAsia" w:ascii="仿宋_GB2312" w:hAnsi="仿宋_GB2312" w:eastAsia="仿宋_GB2312" w:cs="仿宋_GB2312"/>
          <w:color w:val="000000" w:themeColor="text1"/>
          <w:szCs w:val="21"/>
          <w14:textFill>
            <w14:solidFill>
              <w14:schemeClr w14:val="tx1"/>
            </w14:solidFill>
          </w14:textFill>
        </w:rPr>
        <w:t>：</w:t>
      </w:r>
      <w:bookmarkStart w:id="28" w:name="OLE_LINK33"/>
      <w:bookmarkStart w:id="29" w:name="OLE_LINK32"/>
      <w:bookmarkStart w:id="30" w:name="OLE_LINK34"/>
      <w:r>
        <w:rPr>
          <w:rFonts w:hint="eastAsia" w:ascii="仿宋_GB2312" w:hAnsi="仿宋_GB2312" w:eastAsia="仿宋_GB2312" w:cs="仿宋_GB2312"/>
          <w:color w:val="000000" w:themeColor="text1"/>
          <w:szCs w:val="21"/>
          <w14:textFill>
            <w14:solidFill>
              <w14:schemeClr w14:val="tx1"/>
            </w14:solidFill>
          </w14:textFill>
        </w:rPr>
        <w:t>&lt;5uV</w:t>
      </w:r>
      <w:bookmarkEnd w:id="28"/>
      <w:bookmarkEnd w:id="29"/>
      <w:bookmarkEnd w:id="30"/>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r>
        <w:rPr>
          <w:rFonts w:ascii="仿宋_GB2312" w:hAnsi="仿宋_GB2312" w:eastAsia="仿宋_GB2312" w:cs="仿宋_GB2312"/>
          <w:color w:val="000000" w:themeColor="text1"/>
          <w:szCs w:val="21"/>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）样品种类:固/液材料</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r>
        <w:rPr>
          <w:rFonts w:ascii="仿宋_GB2312" w:hAnsi="仿宋_GB2312" w:eastAsia="仿宋_GB2312" w:cs="仿宋_GB2312"/>
          <w:color w:val="000000" w:themeColor="text1"/>
          <w:szCs w:val="21"/>
          <w14:textFill>
            <w14:solidFill>
              <w14:schemeClr w14:val="tx1"/>
            </w14:solidFill>
          </w14:textFill>
        </w:rPr>
        <w:t>3</w:t>
      </w:r>
      <w:r>
        <w:rPr>
          <w:rFonts w:hint="eastAsia" w:ascii="仿宋_GB2312" w:hAnsi="仿宋_GB2312" w:eastAsia="仿宋_GB2312" w:cs="仿宋_GB2312"/>
          <w:color w:val="000000" w:themeColor="text1"/>
          <w:szCs w:val="21"/>
          <w14:textFill>
            <w14:solidFill>
              <w14:schemeClr w14:val="tx1"/>
            </w14:solidFill>
          </w14:textFill>
        </w:rPr>
        <w:t>）炉体真空密封，能够在高纯气氛和真空条件下进行实验；</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r>
        <w:rPr>
          <w:rFonts w:ascii="仿宋_GB2312" w:hAnsi="仿宋_GB2312" w:eastAsia="仿宋_GB2312" w:cs="仿宋_GB2312"/>
          <w:color w:val="000000" w:themeColor="text1"/>
          <w:szCs w:val="21"/>
          <w14:textFill>
            <w14:solidFill>
              <w14:schemeClr w14:val="tx1"/>
            </w14:solidFill>
          </w14:textFill>
        </w:rPr>
        <w:t>4</w:t>
      </w:r>
      <w:r>
        <w:rPr>
          <w:rFonts w:hint="eastAsia" w:ascii="仿宋_GB2312" w:hAnsi="仿宋_GB2312" w:eastAsia="仿宋_GB2312" w:cs="仿宋_GB2312"/>
          <w:color w:val="000000" w:themeColor="text1"/>
          <w:szCs w:val="21"/>
          <w14:textFill>
            <w14:solidFill>
              <w14:schemeClr w14:val="tx1"/>
            </w14:solidFill>
          </w14:textFill>
        </w:rPr>
        <w:t>）配备三路质量流量计，气流量的数字化精确控制；</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（1</w:t>
      </w:r>
      <w:r>
        <w:rPr>
          <w:rFonts w:ascii="仿宋_GB2312" w:hAnsi="仿宋_GB2312" w:eastAsia="仿宋_GB2312" w:cs="仿宋_GB2312"/>
          <w:color w:val="000000" w:themeColor="text1"/>
          <w:szCs w:val="21"/>
          <w14:textFill>
            <w14:solidFill>
              <w14:schemeClr w14:val="tx1"/>
            </w14:solidFill>
          </w14:textFill>
        </w:rPr>
        <w:t>5</w:t>
      </w:r>
      <w:r>
        <w:rPr>
          <w:rFonts w:hint="eastAsia" w:ascii="仿宋_GB2312" w:hAnsi="仿宋_GB2312" w:eastAsia="仿宋_GB2312" w:cs="仿宋_GB2312"/>
          <w:color w:val="000000" w:themeColor="text1"/>
          <w:szCs w:val="21"/>
          <w14:textFill>
            <w14:solidFill>
              <w14:schemeClr w14:val="tx1"/>
            </w14:solidFill>
          </w14:textFill>
        </w:rPr>
        <w:t>）配备样品温控系统，使样品实际温度与程序设定温度程序保持一致</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r>
        <w:rPr>
          <w:rFonts w:ascii="仿宋_GB2312" w:hAnsi="仿宋_GB2312" w:eastAsia="仿宋_GB2312" w:cs="仿宋_GB2312"/>
          <w:color w:val="000000" w:themeColor="text1"/>
          <w:szCs w:val="21"/>
          <w14:textFill>
            <w14:solidFill>
              <w14:schemeClr w14:val="tx1"/>
            </w14:solidFill>
          </w14:textFill>
        </w:rPr>
        <w:t>6</w:t>
      </w:r>
      <w:r>
        <w:rPr>
          <w:rFonts w:hint="eastAsia" w:ascii="仿宋_GB2312" w:hAnsi="仿宋_GB2312" w:eastAsia="仿宋_GB2312" w:cs="仿宋_GB2312"/>
          <w:color w:val="000000" w:themeColor="text1"/>
          <w:szCs w:val="21"/>
          <w14:textFill>
            <w14:solidFill>
              <w14:schemeClr w14:val="tx1"/>
            </w14:solidFill>
          </w14:textFill>
        </w:rPr>
        <w:t>）输出方式：USB和光盘；</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（1</w:t>
      </w:r>
      <w:r>
        <w:rPr>
          <w:rFonts w:ascii="仿宋_GB2312" w:hAnsi="仿宋_GB2312" w:eastAsia="仿宋_GB2312" w:cs="仿宋_GB2312"/>
          <w:color w:val="000000" w:themeColor="text1"/>
          <w:szCs w:val="21"/>
          <w14:textFill>
            <w14:solidFill>
              <w14:schemeClr w14:val="tx1"/>
            </w14:solidFill>
          </w14:textFill>
        </w:rPr>
        <w:t>7</w:t>
      </w:r>
      <w:r>
        <w:rPr>
          <w:rFonts w:hint="eastAsia" w:ascii="仿宋_GB2312" w:hAnsi="仿宋_GB2312" w:eastAsia="仿宋_GB2312" w:cs="仿宋_GB2312"/>
          <w:color w:val="000000" w:themeColor="text1"/>
          <w:szCs w:val="21"/>
          <w14:textFill>
            <w14:solidFill>
              <w14:schemeClr w14:val="tx1"/>
            </w14:solidFill>
          </w14:textFill>
        </w:rPr>
        <w:t>）基本软件包：</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① 峰的标注：可确定起始点，峰值，拐点和终止点温度，可进行自动峰搜索。</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② 峰面积/热焓计算：可选多种不同类型基线，可进行部分面积分析。可选择以哪一温度下的当前质量作为热焓计算的基准。</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③ 峰的综合分析：在一次标注中可同时得到温度、面积、峰高与峰宽等各种信息。</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④ 全面的玻璃化转变分析。</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⑤ 自动基线扣除功能。</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⑥ 结晶度计算功能。</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⑦ 氧化诱导期分析功能。</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⑧ 比热测试与分析功能。</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⑨ 具有优化 DSC 基线的功能。</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⑩ 具有获取更尖锐的 DSC 峰形的功能：将仪器的时间常数与热阻纳入计算, 以获取更尖锐的 DSC 峰形</w:t>
      </w:r>
      <w:bookmarkEnd w:id="7"/>
      <w:bookmarkEnd w:id="8"/>
      <w:bookmarkEnd w:id="9"/>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bookmarkStart w:id="31" w:name="OLE_LINK57"/>
      <w:bookmarkStart w:id="32" w:name="OLE_LINK56"/>
      <w:r>
        <w:rPr>
          <w:rFonts w:hint="eastAsia" w:ascii="仿宋_GB2312" w:hAnsi="仿宋_GB2312" w:eastAsia="仿宋_GB2312" w:cs="仿宋_GB2312"/>
          <w:color w:val="000000" w:themeColor="text1"/>
          <w:szCs w:val="21"/>
          <w14:textFill>
            <w14:solidFill>
              <w14:schemeClr w14:val="tx1"/>
            </w14:solidFill>
          </w14:textFill>
        </w:rPr>
        <w:t>⑪ DSC 峰形修正功能：对吸／放热峰的峰形进行修正，将体系的热阻与时间常数因素纳入计算。</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r>
        <w:rPr>
          <w:rFonts w:ascii="仿宋_GB2312" w:hAnsi="仿宋_GB2312" w:eastAsia="仿宋_GB2312" w:cs="仿宋_GB2312"/>
          <w:color w:val="000000" w:themeColor="text1"/>
          <w:szCs w:val="21"/>
          <w14:textFill>
            <w14:solidFill>
              <w14:schemeClr w14:val="tx1"/>
            </w14:solidFill>
          </w14:textFill>
        </w:rPr>
        <w:t>8</w:t>
      </w:r>
      <w:r>
        <w:rPr>
          <w:rFonts w:hint="eastAsia" w:ascii="仿宋_GB2312" w:hAnsi="仿宋_GB2312" w:eastAsia="仿宋_GB2312" w:cs="仿宋_GB2312"/>
          <w:color w:val="000000" w:themeColor="text1"/>
          <w:szCs w:val="21"/>
          <w14:textFill>
            <w14:solidFill>
              <w14:schemeClr w14:val="tx1"/>
            </w14:solidFill>
          </w14:textFill>
        </w:rPr>
        <w:t>）附件</w:t>
      </w:r>
    </w:p>
    <w:p>
      <w:pPr>
        <w:pStyle w:val="25"/>
        <w:adjustRightInd w:val="0"/>
        <w:snapToGrid w:val="0"/>
        <w:spacing w:line="360" w:lineRule="auto"/>
        <w:ind w:left="210"/>
        <w:rPr>
          <w:rFonts w:eastAsia="仿宋_GB2312"/>
          <w:color w:val="000000" w:themeColor="text1"/>
          <w:szCs w:val="21"/>
          <w14:textFill>
            <w14:solidFill>
              <w14:schemeClr w14:val="tx1"/>
            </w14:solidFill>
          </w14:textFill>
        </w:rPr>
      </w:pPr>
      <w:bookmarkStart w:id="33" w:name="_Hlk49952774"/>
      <w:bookmarkStart w:id="34" w:name="_Hlk55758803"/>
      <w:r>
        <w:rPr>
          <w:rFonts w:hint="eastAsia" w:ascii="仿宋_GB2312" w:hAnsi="仿宋_GB2312" w:eastAsia="仿宋_GB2312" w:cs="仿宋_GB2312"/>
          <w:color w:val="000000" w:themeColor="text1"/>
          <w:szCs w:val="21"/>
          <w14:textFill>
            <w14:solidFill>
              <w14:schemeClr w14:val="tx1"/>
            </w14:solidFill>
          </w14:textFill>
        </w:rPr>
        <w:t xml:space="preserve">★① </w:t>
      </w:r>
      <w:r>
        <w:rPr>
          <w:rFonts w:eastAsia="仿宋_GB2312"/>
          <w:color w:val="000000" w:themeColor="text1"/>
          <w:szCs w:val="21"/>
          <w14:textFill>
            <w14:solidFill>
              <w14:schemeClr w14:val="tx1"/>
            </w14:solidFill>
          </w14:textFill>
        </w:rPr>
        <w:t>校准标样：1套用于标定热焓、温度和比热容标样(全量程，包括DSC标样和比热标样，不低于 8个)；</w:t>
      </w:r>
    </w:p>
    <w:p>
      <w:pPr>
        <w:pStyle w:val="25"/>
        <w:adjustRightInd w:val="0"/>
        <w:snapToGrid w:val="0"/>
        <w:spacing w:line="360" w:lineRule="auto"/>
        <w:ind w:left="210"/>
        <w:rPr>
          <w:rFonts w:eastAsia="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★② </w:t>
      </w:r>
      <w:r>
        <w:rPr>
          <w:rFonts w:eastAsia="仿宋_GB2312"/>
          <w:color w:val="000000" w:themeColor="text1"/>
          <w:szCs w:val="21"/>
          <w14:textFill>
            <w14:solidFill>
              <w14:schemeClr w14:val="tx1"/>
            </w14:solidFill>
          </w14:textFill>
        </w:rPr>
        <w:t>进口氧化铝坩埚10套带盖</w:t>
      </w:r>
      <w:r>
        <w:rPr>
          <w:rFonts w:hint="eastAsia" w:eastAsia="仿宋_GB2312"/>
          <w:color w:val="000000" w:themeColor="text1"/>
          <w:szCs w:val="21"/>
          <w14:textFill>
            <w14:solidFill>
              <w14:schemeClr w14:val="tx1"/>
            </w14:solidFill>
          </w14:textFill>
        </w:rPr>
        <w:t>；</w:t>
      </w:r>
      <w:r>
        <w:rPr>
          <w:rFonts w:eastAsia="仿宋_GB2312"/>
          <w:color w:val="000000" w:themeColor="text1"/>
          <w:szCs w:val="21"/>
          <w14:textFill>
            <w14:solidFill>
              <w14:schemeClr w14:val="tx1"/>
            </w14:solidFill>
          </w14:textFill>
        </w:rPr>
        <w:t>进口铂铑坩埚4套带盖；</w:t>
      </w:r>
      <w:bookmarkEnd w:id="10"/>
      <w:bookmarkEnd w:id="11"/>
      <w:bookmarkEnd w:id="31"/>
      <w:bookmarkEnd w:id="32"/>
    </w:p>
    <w:p>
      <w:pPr>
        <w:pStyle w:val="25"/>
        <w:adjustRightInd w:val="0"/>
        <w:snapToGrid w:val="0"/>
        <w:spacing w:line="360" w:lineRule="auto"/>
        <w:ind w:left="210"/>
        <w:rPr>
          <w:rFonts w:eastAsia="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★③ </w:t>
      </w:r>
      <w:r>
        <w:rPr>
          <w:rFonts w:eastAsia="仿宋_GB2312"/>
          <w:color w:val="000000" w:themeColor="text1"/>
          <w:szCs w:val="21"/>
          <w14:textFill>
            <w14:solidFill>
              <w14:schemeClr w14:val="tx1"/>
            </w14:solidFill>
          </w14:textFill>
        </w:rPr>
        <w:t>防辐射片一套，降低高温热辐射；</w:t>
      </w:r>
      <w:bookmarkEnd w:id="33"/>
      <w:r>
        <w:rPr>
          <w:rFonts w:eastAsia="仿宋_GB2312"/>
          <w:color w:val="000000" w:themeColor="text1"/>
          <w:szCs w:val="21"/>
          <w14:textFill>
            <w14:solidFill>
              <w14:schemeClr w14:val="tx1"/>
            </w14:solidFill>
          </w14:textFill>
        </w:rPr>
        <w:t>主流配置（I7）计算机(带刻录机)和打印机系统一套</w:t>
      </w:r>
      <w:r>
        <w:rPr>
          <w:rFonts w:hint="eastAsia" w:eastAsia="仿宋_GB2312"/>
          <w:color w:val="000000" w:themeColor="text1"/>
          <w:szCs w:val="21"/>
          <w14:textFill>
            <w14:solidFill>
              <w14:schemeClr w14:val="tx1"/>
            </w14:solidFill>
          </w14:textFill>
        </w:rPr>
        <w:t>；</w:t>
      </w:r>
      <w:r>
        <w:rPr>
          <w:rFonts w:eastAsia="仿宋_GB2312"/>
          <w:color w:val="000000" w:themeColor="text1"/>
          <w:szCs w:val="21"/>
          <w14:textFill>
            <w14:solidFill>
              <w14:schemeClr w14:val="tx1"/>
            </w14:solidFill>
          </w14:textFill>
        </w:rPr>
        <w:t>真空系统一套</w:t>
      </w:r>
      <w:r>
        <w:rPr>
          <w:rFonts w:hint="eastAsia" w:eastAsia="仿宋_GB2312"/>
          <w:color w:val="000000" w:themeColor="text1"/>
          <w:szCs w:val="21"/>
          <w14:textFill>
            <w14:solidFill>
              <w14:schemeClr w14:val="tx1"/>
            </w14:solidFill>
          </w14:textFill>
        </w:rPr>
        <w:t>；</w:t>
      </w:r>
      <w:r>
        <w:rPr>
          <w:rFonts w:eastAsia="仿宋_GB2312"/>
          <w:color w:val="000000" w:themeColor="text1"/>
          <w:szCs w:val="21"/>
          <w14:textFill>
            <w14:solidFill>
              <w14:schemeClr w14:val="tx1"/>
            </w14:solidFill>
          </w14:textFill>
        </w:rPr>
        <w:t>冷却系统一套</w:t>
      </w:r>
      <w:r>
        <w:rPr>
          <w:rFonts w:hint="eastAsia" w:eastAsia="仿宋_GB2312"/>
          <w:color w:val="000000" w:themeColor="text1"/>
          <w:szCs w:val="21"/>
          <w14:textFill>
            <w14:solidFill>
              <w14:schemeClr w14:val="tx1"/>
            </w14:solidFill>
          </w14:textFill>
        </w:rPr>
        <w:t>；</w:t>
      </w:r>
    </w:p>
    <w:p>
      <w:pPr>
        <w:pStyle w:val="25"/>
        <w:adjustRightInd w:val="0"/>
        <w:snapToGrid w:val="0"/>
        <w:spacing w:line="360" w:lineRule="auto"/>
        <w:ind w:left="210"/>
        <w:rPr>
          <w:rFonts w:eastAsia="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 xml:space="preserve">④ </w:t>
      </w:r>
      <w:r>
        <w:rPr>
          <w:rFonts w:hint="eastAsia" w:eastAsia="仿宋_GB2312"/>
          <w:color w:val="000000" w:themeColor="text1"/>
          <w:szCs w:val="21"/>
          <w14:textFill>
            <w14:solidFill>
              <w14:schemeClr w14:val="tx1"/>
            </w14:solidFill>
          </w14:textFill>
        </w:rPr>
        <w:t>测量样品</w:t>
      </w:r>
      <w:r>
        <w:rPr>
          <w:rFonts w:eastAsia="仿宋_GB2312"/>
          <w:color w:val="000000" w:themeColor="text1"/>
          <w:szCs w:val="21"/>
          <w14:textFill>
            <w14:solidFill>
              <w14:schemeClr w14:val="tx1"/>
            </w14:solidFill>
          </w14:textFill>
        </w:rPr>
        <w:t>感应加热系统（</w:t>
      </w:r>
      <w:r>
        <w:rPr>
          <w:rFonts w:hint="eastAsia" w:eastAsia="仿宋_GB2312"/>
          <w:color w:val="000000" w:themeColor="text1"/>
          <w:szCs w:val="21"/>
          <w14:textFill>
            <w14:solidFill>
              <w14:schemeClr w14:val="tx1"/>
            </w14:solidFill>
          </w14:textFill>
        </w:rPr>
        <w:t>不小于</w:t>
      </w:r>
      <w:r>
        <w:rPr>
          <w:rFonts w:eastAsia="仿宋_GB2312"/>
          <w:color w:val="000000" w:themeColor="text1"/>
          <w:szCs w:val="21"/>
          <w14:textFill>
            <w14:solidFill>
              <w14:schemeClr w14:val="tx1"/>
            </w14:solidFill>
          </w14:textFill>
        </w:rPr>
        <w:t>35kW）一套</w:t>
      </w:r>
      <w:r>
        <w:rPr>
          <w:rFonts w:hint="eastAsia" w:eastAsia="仿宋_GB2312"/>
          <w:color w:val="000000" w:themeColor="text1"/>
          <w:szCs w:val="21"/>
          <w14:textFill>
            <w14:solidFill>
              <w14:schemeClr w14:val="tx1"/>
            </w14:solidFill>
          </w14:textFill>
        </w:rPr>
        <w:t>；不低于2</w:t>
      </w:r>
      <w:r>
        <w:rPr>
          <w:rFonts w:eastAsia="仿宋_GB2312"/>
          <w:color w:val="000000" w:themeColor="text1"/>
          <w:szCs w:val="21"/>
          <w14:textFill>
            <w14:solidFill>
              <w14:schemeClr w14:val="tx1"/>
            </w14:solidFill>
          </w14:textFill>
        </w:rPr>
        <w:t>0T</w:t>
      </w:r>
      <w:r>
        <w:rPr>
          <w:rFonts w:hint="eastAsia" w:eastAsia="仿宋_GB2312"/>
          <w:color w:val="000000" w:themeColor="text1"/>
          <w:szCs w:val="21"/>
          <w14:textFill>
            <w14:solidFill>
              <w14:schemeClr w14:val="tx1"/>
            </w14:solidFill>
          </w14:textFill>
        </w:rPr>
        <w:t>测量数据存储系统一套；</w:t>
      </w:r>
    </w:p>
    <w:p>
      <w:pPr>
        <w:pStyle w:val="25"/>
        <w:adjustRightInd w:val="0"/>
        <w:snapToGrid w:val="0"/>
        <w:spacing w:line="360" w:lineRule="auto"/>
        <w:ind w:left="210"/>
        <w:rPr>
          <w:rFonts w:eastAsia="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 xml:space="preserve">⑤ </w:t>
      </w:r>
      <w:r>
        <w:rPr>
          <w:rFonts w:eastAsia="仿宋_GB2312"/>
          <w:color w:val="000000" w:themeColor="text1"/>
          <w:szCs w:val="21"/>
          <w14:textFill>
            <w14:solidFill>
              <w14:schemeClr w14:val="tx1"/>
            </w14:solidFill>
          </w14:textFill>
        </w:rPr>
        <w:t>满足DSC、比热容、TG和DTA测量的相关配件和耗材价格表；</w:t>
      </w:r>
    </w:p>
    <w:p>
      <w:pPr>
        <w:pStyle w:val="25"/>
        <w:adjustRightInd w:val="0"/>
        <w:snapToGrid w:val="0"/>
        <w:spacing w:line="360" w:lineRule="auto"/>
        <w:ind w:left="210"/>
        <w:rPr>
          <w:rFonts w:eastAsia="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 xml:space="preserve">⑥ </w:t>
      </w:r>
      <w:r>
        <w:rPr>
          <w:rFonts w:eastAsia="仿宋_GB2312"/>
          <w:color w:val="000000" w:themeColor="text1"/>
          <w:szCs w:val="21"/>
          <w14:textFill>
            <w14:solidFill>
              <w14:schemeClr w14:val="tx1"/>
            </w14:solidFill>
          </w14:textFill>
        </w:rPr>
        <w:t>用于DSC和DTA分析的</w:t>
      </w:r>
      <w:r>
        <w:rPr>
          <w:rFonts w:hint="eastAsia" w:eastAsia="仿宋_GB2312"/>
          <w:color w:val="000000" w:themeColor="text1"/>
          <w:szCs w:val="21"/>
          <w14:textFill>
            <w14:solidFill>
              <w14:schemeClr w14:val="tx1"/>
            </w14:solidFill>
          </w14:textFill>
        </w:rPr>
        <w:t>普通</w:t>
      </w:r>
      <w:r>
        <w:rPr>
          <w:rFonts w:eastAsia="仿宋_GB2312"/>
          <w:color w:val="000000" w:themeColor="text1"/>
          <w:szCs w:val="21"/>
          <w14:textFill>
            <w14:solidFill>
              <w14:schemeClr w14:val="tx1"/>
            </w14:solidFill>
          </w14:textFill>
        </w:rPr>
        <w:t>坩埚不少于300只；</w:t>
      </w:r>
    </w:p>
    <w:p>
      <w:pPr>
        <w:pStyle w:val="25"/>
        <w:adjustRightInd w:val="0"/>
        <w:snapToGrid w:val="0"/>
        <w:spacing w:line="360" w:lineRule="auto"/>
        <w:ind w:left="210"/>
        <w:rPr>
          <w:rFonts w:eastAsia="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⑦ </w:t>
      </w:r>
      <w:r>
        <w:rPr>
          <w:rFonts w:eastAsia="仿宋_GB2312"/>
          <w:color w:val="000000" w:themeColor="text1"/>
          <w:szCs w:val="21"/>
          <w14:textFill>
            <w14:solidFill>
              <w14:schemeClr w14:val="tx1"/>
            </w14:solidFill>
          </w14:textFill>
        </w:rPr>
        <w:t>配备能有效降低样品氧化的系统；</w:t>
      </w:r>
    </w:p>
    <w:p>
      <w:pPr>
        <w:pStyle w:val="25"/>
        <w:adjustRightInd w:val="0"/>
        <w:snapToGrid w:val="0"/>
        <w:spacing w:line="360" w:lineRule="auto"/>
        <w:ind w:left="210"/>
        <w:rPr>
          <w:rFonts w:eastAsia="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⑧ </w:t>
      </w:r>
      <w:r>
        <w:rPr>
          <w:rFonts w:eastAsia="仿宋_GB2312"/>
          <w:color w:val="000000" w:themeColor="text1"/>
          <w:szCs w:val="21"/>
          <w14:textFill>
            <w14:solidFill>
              <w14:schemeClr w14:val="tx1"/>
            </w14:solidFill>
          </w14:textFill>
        </w:rPr>
        <w:t>软件光盘版</w:t>
      </w:r>
      <w:r>
        <w:rPr>
          <w:rFonts w:hint="eastAsia" w:eastAsia="仿宋_GB2312"/>
          <w:color w:val="000000" w:themeColor="text1"/>
          <w:szCs w:val="21"/>
          <w14:textFill>
            <w14:solidFill>
              <w14:schemeClr w14:val="tx1"/>
            </w14:solidFill>
          </w14:textFill>
        </w:rPr>
        <w:t>。</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（19）提供中文和英文技术资料及使用操作手册各两套。</w:t>
      </w:r>
    </w:p>
    <w:bookmarkEnd w:id="34"/>
    <w:p>
      <w:pPr>
        <w:shd w:val="clear" w:color="auto" w:fill="FFFFFF"/>
        <w:adjustRightInd w:val="0"/>
        <w:snapToGrid w:val="0"/>
        <w:spacing w:line="360" w:lineRule="auto"/>
        <w:ind w:firstLine="420" w:firstLineChars="200"/>
        <w:rPr>
          <w:rFonts w:ascii="仿宋" w:hAnsi="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合同履行期</w:t>
      </w:r>
      <w:r>
        <w:rPr>
          <w:rFonts w:hint="eastAsia" w:ascii="仿宋_GB2312" w:hAnsi="仿宋_GB2312" w:eastAsia="仿宋_GB2312" w:cs="仿宋_GB2312"/>
          <w:color w:val="000000" w:themeColor="text1"/>
          <w:kern w:val="0"/>
          <w:szCs w:val="21"/>
          <w14:textFill>
            <w14:solidFill>
              <w14:schemeClr w14:val="tx1"/>
            </w14:solidFill>
          </w14:textFill>
        </w:rPr>
        <w:t>限</w:t>
      </w:r>
      <w:r>
        <w:rPr>
          <w:rFonts w:hint="eastAsia" w:ascii="仿宋_GB2312" w:hAnsi="仿宋_GB2312" w:eastAsia="仿宋_GB2312" w:cs="仿宋_GB2312"/>
          <w:color w:val="000000" w:themeColor="text1"/>
          <w:szCs w:val="21"/>
          <w14:textFill>
            <w14:solidFill>
              <w14:schemeClr w14:val="tx1"/>
            </w14:solidFill>
          </w14:textFill>
        </w:rPr>
        <w:t>：合同签订后120日内。</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需落实的政府采购政策内容：</w:t>
      </w:r>
      <w:r>
        <w:rPr>
          <w:rFonts w:hint="eastAsia" w:ascii="仿宋_GB2312" w:hAnsi="仿宋_GB2312" w:eastAsia="仿宋_GB2312" w:cs="仿宋_GB2312"/>
          <w:color w:val="000000" w:themeColor="text1"/>
          <w:kern w:val="0"/>
          <w:szCs w:val="21"/>
          <w14:textFill>
            <w14:solidFill>
              <w14:schemeClr w14:val="tx1"/>
            </w14:solidFill>
          </w14:textFill>
        </w:rPr>
        <w:t>中小微企业（含监狱企业）的规定；对于促进残疾人就业政府采购政策的规定、对于节能产品、环境标志产品的相</w:t>
      </w:r>
      <w:r>
        <w:rPr>
          <w:rFonts w:hint="eastAsia" w:ascii="仿宋_GB2312" w:hAnsi="仿宋_GB2312" w:eastAsia="仿宋_GB2312" w:cs="仿宋_GB2312"/>
          <w:color w:val="000000" w:themeColor="text1"/>
          <w:szCs w:val="21"/>
          <w14:textFill>
            <w14:solidFill>
              <w14:schemeClr w14:val="tx1"/>
            </w14:solidFill>
          </w14:textFill>
        </w:rPr>
        <w:t>关规定等</w:t>
      </w:r>
      <w:r>
        <w:rPr>
          <w:rFonts w:hint="eastAsia" w:ascii="仿宋_GB2312" w:hAnsi="仿宋_GB2312" w:eastAsia="仿宋_GB2312" w:cs="仿宋_GB2312"/>
          <w:color w:val="000000" w:themeColor="text1"/>
          <w:kern w:val="0"/>
          <w:szCs w:val="21"/>
          <w14:textFill>
            <w14:solidFill>
              <w14:schemeClr w14:val="tx1"/>
            </w14:solidFill>
          </w14:textFill>
        </w:rPr>
        <w:t>。</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本包组本项目不接受联合体投标。</w:t>
      </w:r>
    </w:p>
    <w:p>
      <w:pPr>
        <w:adjustRightInd w:val="0"/>
        <w:snapToGrid w:val="0"/>
        <w:spacing w:line="360" w:lineRule="auto"/>
        <w:rPr>
          <w:rFonts w:ascii="仿宋_GB2312" w:hAnsi="仿宋_GB2312" w:eastAsia="仿宋_GB2312" w:cs="仿宋_GB2312"/>
          <w:b/>
          <w:bCs/>
          <w:szCs w:val="21"/>
        </w:rPr>
      </w:pPr>
      <w:bookmarkStart w:id="35" w:name="_Toc28359080"/>
      <w:bookmarkStart w:id="36" w:name="_Toc28359003"/>
      <w:bookmarkStart w:id="37" w:name="_Toc35393791"/>
      <w:bookmarkStart w:id="38" w:name="_Toc35393622"/>
      <w:r>
        <w:rPr>
          <w:rFonts w:hint="eastAsia" w:ascii="仿宋_GB2312" w:hAnsi="仿宋_GB2312" w:eastAsia="仿宋_GB2312" w:cs="仿宋_GB2312"/>
          <w:b/>
          <w:bCs/>
          <w:szCs w:val="21"/>
        </w:rPr>
        <w:t>二、供应商的资格要求：</w:t>
      </w:r>
      <w:bookmarkEnd w:id="35"/>
      <w:bookmarkEnd w:id="36"/>
      <w:bookmarkEnd w:id="37"/>
      <w:bookmarkEnd w:id="38"/>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1.满足《中华人民共和国政府采购法》第二十二条规定；</w:t>
      </w:r>
    </w:p>
    <w:p>
      <w:pPr>
        <w:adjustRightInd w:val="0"/>
        <w:snapToGrid w:val="0"/>
        <w:spacing w:line="360" w:lineRule="auto"/>
        <w:ind w:firstLine="420" w:firstLineChars="200"/>
        <w:rPr>
          <w:rFonts w:ascii="仿宋_GB2312" w:hAnsi="仿宋_GB2312" w:eastAsia="仿宋_GB2312" w:cs="仿宋_GB2312"/>
          <w:szCs w:val="21"/>
        </w:rPr>
      </w:pPr>
      <w:bookmarkStart w:id="39" w:name="_Toc28359004"/>
      <w:bookmarkStart w:id="40" w:name="_Toc28359081"/>
      <w:r>
        <w:rPr>
          <w:rFonts w:hint="eastAsia" w:ascii="仿宋_GB2312" w:hAnsi="仿宋_GB2312" w:eastAsia="仿宋_GB2312" w:cs="仿宋_GB2312"/>
          <w:szCs w:val="21"/>
        </w:rPr>
        <w:t>2.落实政府采购政策需满足的资格要求：无</w:t>
      </w:r>
    </w:p>
    <w:p>
      <w:pPr>
        <w:adjustRightInd w:val="0"/>
        <w:snapToGrid w:val="0"/>
        <w:spacing w:line="360" w:lineRule="auto"/>
        <w:ind w:firstLine="420" w:firstLineChars="200"/>
        <w:rPr>
          <w:rFonts w:ascii="仿宋_GB2312" w:hAnsi="仿宋_GB2312" w:eastAsia="仿宋_GB2312" w:cs="仿宋_GB2312"/>
          <w:i/>
          <w:iCs/>
          <w:szCs w:val="21"/>
          <w:u w:val="single"/>
        </w:rPr>
      </w:pPr>
      <w:r>
        <w:rPr>
          <w:rFonts w:hint="eastAsia" w:ascii="仿宋_GB2312" w:hAnsi="仿宋_GB2312" w:eastAsia="仿宋_GB2312" w:cs="仿宋_GB2312"/>
          <w:szCs w:val="21"/>
        </w:rPr>
        <w:t>3.本项目的特定资格要求：无</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三、政府采购供应商入库须知</w:t>
      </w:r>
    </w:p>
    <w:p>
      <w:pPr>
        <w:adjustRightInd w:val="0"/>
        <w:snapToGrid w:val="0"/>
        <w:spacing w:line="360" w:lineRule="auto"/>
        <w:ind w:firstLine="420" w:firstLineChars="200"/>
        <w:rPr>
          <w:rFonts w:ascii="仿宋_GB2312" w:hAnsi="仿宋_GB2312" w:eastAsia="仿宋_GB2312" w:cs="仿宋_GB2312"/>
          <w:szCs w:val="21"/>
        </w:rPr>
      </w:pPr>
      <w:bookmarkStart w:id="41" w:name="_Toc35393792"/>
      <w:bookmarkStart w:id="42" w:name="_Toc35393623"/>
      <w:r>
        <w:rPr>
          <w:rFonts w:hint="eastAsia" w:ascii="仿宋_GB2312" w:hAnsi="仿宋_GB2312" w:eastAsia="仿宋_GB2312" w:cs="仿宋_GB2312"/>
          <w:szCs w:val="21"/>
        </w:rPr>
        <w:t>参加辽宁省政府采购活动的供应商未进入辽宁省政府采购供应商库的，请详阅辽宁省政府采购网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四、获取招标文件</w:t>
      </w:r>
      <w:bookmarkEnd w:id="39"/>
      <w:bookmarkEnd w:id="40"/>
      <w:bookmarkEnd w:id="41"/>
      <w:bookmarkEnd w:id="42"/>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时间：202</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年</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日至202</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年</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日，每天上午08:30至11：30，下午13：00至16:00（北京时间，法定节假日除外）</w:t>
      </w:r>
    </w:p>
    <w:p>
      <w:pPr>
        <w:adjustRightInd w:val="0"/>
        <w:snapToGrid w:val="0"/>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地点：辽宁政府采购网</w:t>
      </w:r>
    </w:p>
    <w:p>
      <w:pPr>
        <w:adjustRightInd w:val="0"/>
        <w:snapToGrid w:val="0"/>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方式：线上</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售价：免费</w:t>
      </w:r>
    </w:p>
    <w:p>
      <w:pPr>
        <w:adjustRightInd w:val="0"/>
        <w:snapToGrid w:val="0"/>
        <w:spacing w:line="360" w:lineRule="auto"/>
        <w:rPr>
          <w:rFonts w:ascii="仿宋_GB2312" w:hAnsi="仿宋_GB2312" w:eastAsia="仿宋_GB2312" w:cs="仿宋_GB2312"/>
          <w:b/>
          <w:bCs/>
          <w:szCs w:val="21"/>
        </w:rPr>
      </w:pPr>
      <w:bookmarkStart w:id="43" w:name="_Toc28359082"/>
      <w:bookmarkStart w:id="44" w:name="_Toc28359005"/>
      <w:bookmarkStart w:id="45" w:name="_Toc35393793"/>
      <w:bookmarkStart w:id="46" w:name="_Toc35393624"/>
      <w:r>
        <w:rPr>
          <w:rFonts w:hint="eastAsia" w:ascii="仿宋_GB2312" w:hAnsi="仿宋_GB2312" w:eastAsia="仿宋_GB2312" w:cs="仿宋_GB2312"/>
          <w:b/>
          <w:bCs/>
          <w:szCs w:val="21"/>
        </w:rPr>
        <w:t>五、提交投标文件</w:t>
      </w:r>
      <w:bookmarkEnd w:id="43"/>
      <w:bookmarkEnd w:id="44"/>
      <w:r>
        <w:rPr>
          <w:rFonts w:hint="eastAsia" w:ascii="仿宋_GB2312" w:hAnsi="仿宋_GB2312" w:eastAsia="仿宋_GB2312" w:cs="仿宋_GB2312"/>
          <w:b/>
          <w:bCs/>
          <w:szCs w:val="21"/>
        </w:rPr>
        <w:t>截止时间、开标时间和地点</w:t>
      </w:r>
      <w:bookmarkEnd w:id="45"/>
      <w:bookmarkEnd w:id="46"/>
    </w:p>
    <w:p>
      <w:pPr>
        <w:adjustRightInd w:val="0"/>
        <w:snapToGrid w:val="0"/>
        <w:spacing w:line="360" w:lineRule="auto"/>
        <w:ind w:firstLine="420" w:firstLineChars="200"/>
        <w:rPr>
          <w:rFonts w:ascii="仿宋_GB2312" w:hAnsi="仿宋_GB2312" w:eastAsia="仿宋_GB2312" w:cs="仿宋_GB2312"/>
          <w:bCs/>
          <w:szCs w:val="21"/>
          <w:u w:val="single"/>
        </w:rPr>
      </w:pPr>
      <w:r>
        <w:rPr>
          <w:rFonts w:hint="eastAsia" w:ascii="仿宋_GB2312" w:hAnsi="仿宋_GB2312" w:eastAsia="仿宋_GB2312" w:cs="仿宋_GB2312"/>
          <w:bCs/>
          <w:szCs w:val="21"/>
        </w:rPr>
        <w:t>时间：202</w:t>
      </w:r>
      <w:r>
        <w:rPr>
          <w:rFonts w:hint="eastAsia" w:ascii="仿宋_GB2312" w:hAnsi="仿宋_GB2312" w:eastAsia="仿宋_GB2312" w:cs="仿宋_GB2312"/>
          <w:bCs/>
          <w:szCs w:val="21"/>
          <w:lang w:val="en-US" w:eastAsia="zh-CN"/>
        </w:rPr>
        <w:t>1</w:t>
      </w:r>
      <w:r>
        <w:rPr>
          <w:rFonts w:hint="eastAsia" w:ascii="仿宋_GB2312" w:hAnsi="仿宋_GB2312" w:eastAsia="仿宋_GB2312" w:cs="仿宋_GB2312"/>
          <w:bCs/>
          <w:szCs w:val="21"/>
        </w:rPr>
        <w:t>年</w:t>
      </w:r>
      <w:r>
        <w:rPr>
          <w:rFonts w:hint="eastAsia" w:ascii="仿宋_GB2312" w:hAnsi="仿宋_GB2312" w:eastAsia="仿宋_GB2312" w:cs="仿宋_GB2312"/>
          <w:bCs/>
          <w:szCs w:val="21"/>
          <w:lang w:val="en-US" w:eastAsia="zh-CN"/>
        </w:rPr>
        <w:t>2</w:t>
      </w:r>
      <w:r>
        <w:rPr>
          <w:rFonts w:hint="eastAsia" w:ascii="仿宋_GB2312" w:hAnsi="仿宋_GB2312" w:eastAsia="仿宋_GB2312" w:cs="仿宋_GB2312"/>
          <w:bCs/>
          <w:szCs w:val="21"/>
        </w:rPr>
        <w:t>月</w:t>
      </w:r>
      <w:r>
        <w:rPr>
          <w:rFonts w:hint="eastAsia" w:ascii="仿宋_GB2312" w:hAnsi="仿宋_GB2312" w:eastAsia="仿宋_GB2312" w:cs="仿宋_GB2312"/>
          <w:bCs/>
          <w:szCs w:val="21"/>
          <w:lang w:val="en-US" w:eastAsia="zh-CN"/>
        </w:rPr>
        <w:t>26</w:t>
      </w:r>
      <w:r>
        <w:rPr>
          <w:rFonts w:hint="eastAsia" w:ascii="仿宋_GB2312" w:hAnsi="仿宋_GB2312" w:eastAsia="仿宋_GB2312" w:cs="仿宋_GB2312"/>
          <w:bCs/>
          <w:szCs w:val="21"/>
        </w:rPr>
        <w:t>日</w:t>
      </w:r>
      <w:r>
        <w:rPr>
          <w:rFonts w:hint="eastAsia" w:ascii="仿宋_GB2312" w:hAnsi="仿宋_GB2312" w:eastAsia="仿宋_GB2312" w:cs="仿宋_GB2312"/>
          <w:bCs/>
          <w:szCs w:val="21"/>
          <w:lang w:val="en-US" w:eastAsia="zh-CN"/>
        </w:rPr>
        <w:t>13</w:t>
      </w:r>
      <w:r>
        <w:rPr>
          <w:rFonts w:hint="eastAsia" w:ascii="仿宋_GB2312" w:hAnsi="仿宋_GB2312" w:eastAsia="仿宋_GB2312" w:cs="仿宋_GB2312"/>
          <w:bCs/>
          <w:szCs w:val="21"/>
        </w:rPr>
        <w:t>点30分（北京时间） </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地点：</w:t>
      </w:r>
      <w:r>
        <w:rPr>
          <w:rFonts w:hint="eastAsia" w:ascii="仿宋_GB2312" w:hAnsi="仿宋_GB2312" w:eastAsia="仿宋_GB2312" w:cs="仿宋_GB2312"/>
          <w:kern w:val="0"/>
          <w:szCs w:val="21"/>
        </w:rPr>
        <w:t>辽宁承明招投标有限公司（沈阳市皇姑区黄河南大街106号丽阳商务大厦A座16层1602室）。</w:t>
      </w:r>
    </w:p>
    <w:p>
      <w:pPr>
        <w:adjustRightInd w:val="0"/>
        <w:snapToGrid w:val="0"/>
        <w:spacing w:line="360" w:lineRule="auto"/>
        <w:rPr>
          <w:rFonts w:ascii="仿宋_GB2312" w:hAnsi="仿宋_GB2312" w:eastAsia="仿宋_GB2312" w:cs="仿宋_GB2312"/>
          <w:b/>
          <w:bCs/>
          <w:szCs w:val="21"/>
        </w:rPr>
      </w:pPr>
      <w:bookmarkStart w:id="47" w:name="_Toc28359084"/>
      <w:bookmarkStart w:id="48" w:name="_Toc28359007"/>
      <w:bookmarkStart w:id="49" w:name="_Toc35393625"/>
      <w:bookmarkStart w:id="50" w:name="_Toc35393794"/>
      <w:r>
        <w:rPr>
          <w:rFonts w:hint="eastAsia" w:ascii="仿宋_GB2312" w:hAnsi="仿宋_GB2312" w:eastAsia="仿宋_GB2312" w:cs="仿宋_GB2312"/>
          <w:b/>
          <w:bCs/>
          <w:szCs w:val="21"/>
        </w:rPr>
        <w:t>六、公告期限</w:t>
      </w:r>
      <w:bookmarkEnd w:id="47"/>
      <w:bookmarkEnd w:id="48"/>
      <w:bookmarkEnd w:id="49"/>
      <w:bookmarkEnd w:id="50"/>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自本公告发布之日起5个工作日。</w:t>
      </w:r>
    </w:p>
    <w:p>
      <w:pPr>
        <w:keepNext/>
        <w:keepLines/>
        <w:adjustRightInd w:val="0"/>
        <w:snapToGrid w:val="0"/>
        <w:spacing w:line="360" w:lineRule="auto"/>
        <w:rPr>
          <w:rFonts w:ascii="仿宋_GB2312" w:hAnsi="仿宋_GB2312" w:eastAsia="仿宋_GB2312" w:cs="仿宋_GB2312"/>
          <w:b/>
          <w:szCs w:val="21"/>
        </w:rPr>
      </w:pPr>
      <w:r>
        <w:rPr>
          <w:rFonts w:hint="eastAsia" w:ascii="仿宋_GB2312" w:hAnsi="仿宋_GB2312" w:eastAsia="仿宋_GB2312" w:cs="仿宋_GB2312"/>
          <w:b/>
          <w:szCs w:val="21"/>
        </w:rPr>
        <w:t>七、质疑与投诉</w:t>
      </w:r>
    </w:p>
    <w:p>
      <w:pPr>
        <w:widowControl/>
        <w:adjustRightInd w:val="0"/>
        <w:snapToGrid w:val="0"/>
        <w:spacing w:line="360" w:lineRule="auto"/>
        <w:ind w:firstLine="539"/>
        <w:jc w:val="left"/>
        <w:rPr>
          <w:rFonts w:ascii="仿宋_GB2312" w:hAnsi="仿宋_GB2312" w:eastAsia="仿宋_GB2312" w:cs="仿宋_GB2312"/>
          <w:szCs w:val="21"/>
        </w:rPr>
      </w:pPr>
      <w:r>
        <w:rPr>
          <w:rFonts w:hint="eastAsia" w:ascii="仿宋_GB2312" w:hAnsi="仿宋_GB2312" w:eastAsia="仿宋_GB2312" w:cs="仿宋_GB2312"/>
          <w:szCs w:val="21"/>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80"/>
        <w:jc w:val="left"/>
        <w:rPr>
          <w:rFonts w:ascii="仿宋_GB2312" w:hAnsi="仿宋_GB2312" w:eastAsia="仿宋_GB2312" w:cs="仿宋_GB2312"/>
          <w:szCs w:val="21"/>
        </w:rPr>
      </w:pPr>
      <w:r>
        <w:rPr>
          <w:rFonts w:hint="eastAsia" w:ascii="仿宋_GB2312" w:hAnsi="仿宋_GB2312" w:eastAsia="仿宋_GB2312" w:cs="仿宋_GB2312"/>
          <w:szCs w:val="21"/>
        </w:rPr>
        <w:t>1、接收质疑函方式：书面纸质质疑函</w:t>
      </w:r>
    </w:p>
    <w:p>
      <w:pPr>
        <w:widowControl/>
        <w:adjustRightInd w:val="0"/>
        <w:snapToGrid w:val="0"/>
        <w:spacing w:line="360" w:lineRule="auto"/>
        <w:ind w:firstLine="480"/>
        <w:jc w:val="left"/>
        <w:rPr>
          <w:rFonts w:ascii="仿宋_GB2312" w:hAnsi="仿宋_GB2312" w:eastAsia="仿宋_GB2312" w:cs="仿宋_GB2312"/>
          <w:szCs w:val="21"/>
        </w:rPr>
      </w:pPr>
      <w:r>
        <w:rPr>
          <w:rFonts w:hint="eastAsia" w:ascii="仿宋_GB2312" w:hAnsi="仿宋_GB2312" w:eastAsia="仿宋_GB2312" w:cs="仿宋_GB2312"/>
          <w:szCs w:val="21"/>
        </w:rPr>
        <w:t>2、质疑函内容、格式：应符合《政府采购质疑和投诉办法》相关规定和财政部制定的《政府采购质疑函范本》格式，详见辽宁政府采购网。</w:t>
      </w:r>
    </w:p>
    <w:p>
      <w:pPr>
        <w:widowControl/>
        <w:adjustRightInd w:val="0"/>
        <w:snapToGrid w:val="0"/>
        <w:spacing w:line="360" w:lineRule="auto"/>
        <w:ind w:firstLine="480"/>
        <w:jc w:val="left"/>
        <w:rPr>
          <w:rFonts w:ascii="仿宋_GB2312" w:hAnsi="仿宋_GB2312" w:eastAsia="仿宋_GB2312" w:cs="仿宋_GB2312"/>
          <w:szCs w:val="21"/>
        </w:rPr>
      </w:pPr>
      <w:r>
        <w:rPr>
          <w:rFonts w:hint="eastAsia" w:ascii="仿宋_GB2312" w:hAnsi="仿宋_GB2312" w:eastAsia="仿宋_GB2312" w:cs="仿宋_GB2312"/>
          <w:szCs w:val="21"/>
        </w:rPr>
        <w:t>质疑供应商对采购人、采购代理机构的答复不满意，或者采购人、采购代理机构未在规定时间内作出答复的，可以在答复期满后15个工作日内向本级财政部门提起投诉。</w:t>
      </w:r>
    </w:p>
    <w:p>
      <w:pPr>
        <w:keepNext/>
        <w:keepLines/>
        <w:adjustRightInd w:val="0"/>
        <w:snapToGrid w:val="0"/>
        <w:spacing w:line="360" w:lineRule="auto"/>
        <w:rPr>
          <w:rFonts w:ascii="仿宋_GB2312" w:hAnsi="仿宋_GB2312" w:eastAsia="仿宋_GB2312" w:cs="仿宋_GB2312"/>
          <w:b/>
          <w:szCs w:val="21"/>
        </w:rPr>
      </w:pPr>
      <w:bookmarkStart w:id="51" w:name="_Toc35393626"/>
      <w:bookmarkStart w:id="52" w:name="_Toc35393795"/>
      <w:r>
        <w:rPr>
          <w:rFonts w:hint="eastAsia" w:ascii="仿宋_GB2312" w:hAnsi="仿宋_GB2312" w:eastAsia="仿宋_GB2312" w:cs="仿宋_GB2312"/>
          <w:b/>
          <w:szCs w:val="21"/>
        </w:rPr>
        <w:t>八、其他补充事宜</w:t>
      </w:r>
      <w:bookmarkEnd w:id="51"/>
      <w:bookmarkEnd w:id="52"/>
    </w:p>
    <w:p>
      <w:pPr>
        <w:pStyle w:val="25"/>
        <w:adjustRightInd w:val="0"/>
        <w:snapToGrid w:val="0"/>
        <w:spacing w:line="360" w:lineRule="auto"/>
        <w:ind w:left="0" w:leftChars="0" w:firstLine="420" w:firstLineChars="200"/>
        <w:rPr>
          <w:rFonts w:hint="eastAsia" w:ascii="仿宋_GB2312" w:hAnsi="仿宋_GB2312" w:eastAsia="仿宋_GB2312" w:cs="仿宋_GB2312"/>
          <w:szCs w:val="21"/>
        </w:rPr>
      </w:pPr>
      <w:bookmarkStart w:id="53" w:name="_Toc28359008"/>
      <w:bookmarkStart w:id="54" w:name="_Toc35393627"/>
      <w:bookmarkStart w:id="55" w:name="_Toc35393796"/>
      <w:bookmarkStart w:id="56" w:name="_Toc28359085"/>
      <w:r>
        <w:rPr>
          <w:rFonts w:hint="eastAsia" w:ascii="仿宋_GB2312" w:hAnsi="仿宋_GB2312" w:eastAsia="仿宋_GB2312" w:cs="仿宋_GB2312"/>
          <w:szCs w:val="21"/>
        </w:rPr>
        <w:t>本项目采用全流程电子招投标</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参与本项目的供应商须自行办理好CA锁</w:t>
      </w:r>
      <w:r>
        <w:rPr>
          <w:rFonts w:hint="eastAsia" w:ascii="仿宋_GB2312" w:hAnsi="仿宋_GB2312" w:eastAsia="仿宋_GB2312" w:cs="仿宋_GB2312"/>
          <w:szCs w:val="21"/>
          <w:lang w:eastAsia="zh-CN"/>
        </w:rPr>
        <w:t>，投标</w:t>
      </w:r>
      <w:r>
        <w:rPr>
          <w:rFonts w:hint="eastAsia" w:ascii="仿宋_GB2312" w:hAnsi="仿宋_GB2312" w:eastAsia="仿宋_GB2312" w:cs="仿宋_GB2312"/>
          <w:szCs w:val="21"/>
        </w:rPr>
        <w:t>文件递交方式采用线上递交及现场纸质递交同时执行并保持一致，如因供应商自身原因导致未递交</w:t>
      </w:r>
      <w:r>
        <w:rPr>
          <w:rFonts w:hint="eastAsia" w:ascii="仿宋_GB2312" w:hAnsi="仿宋_GB2312" w:eastAsia="仿宋_GB2312" w:cs="仿宋_GB2312"/>
          <w:szCs w:val="21"/>
          <w:lang w:eastAsia="zh-CN"/>
        </w:rPr>
        <w:t>投标</w:t>
      </w:r>
      <w:r>
        <w:rPr>
          <w:rFonts w:hint="eastAsia" w:ascii="仿宋_GB2312" w:hAnsi="仿宋_GB2312" w:eastAsia="仿宋_GB2312" w:cs="仿宋_GB2312"/>
          <w:szCs w:val="21"/>
        </w:rPr>
        <w:t>文件的按照无效</w:t>
      </w:r>
      <w:r>
        <w:rPr>
          <w:rFonts w:hint="eastAsia" w:ascii="仿宋_GB2312" w:hAnsi="仿宋_GB2312" w:eastAsia="仿宋_GB2312" w:cs="仿宋_GB2312"/>
          <w:szCs w:val="21"/>
          <w:lang w:eastAsia="zh-CN"/>
        </w:rPr>
        <w:t>投标</w:t>
      </w:r>
      <w:r>
        <w:rPr>
          <w:rFonts w:hint="eastAsia" w:ascii="仿宋_GB2312" w:hAnsi="仿宋_GB2312" w:eastAsia="仿宋_GB2312" w:cs="仿宋_GB2312"/>
          <w:szCs w:val="21"/>
        </w:rPr>
        <w:t>文件处理。具体操作流程详见辽宁政府采购相关通知。</w:t>
      </w:r>
    </w:p>
    <w:p>
      <w:pPr>
        <w:keepNext/>
        <w:keepLines/>
        <w:adjustRightInd w:val="0"/>
        <w:snapToGrid w:val="0"/>
        <w:spacing w:line="360" w:lineRule="auto"/>
        <w:rPr>
          <w:rFonts w:ascii="仿宋_GB2312" w:hAnsi="仿宋_GB2312" w:eastAsia="仿宋_GB2312" w:cs="仿宋_GB2312"/>
          <w:b/>
          <w:szCs w:val="21"/>
        </w:rPr>
      </w:pPr>
      <w:r>
        <w:rPr>
          <w:rFonts w:hint="eastAsia" w:ascii="仿宋_GB2312" w:hAnsi="仿宋_GB2312" w:eastAsia="仿宋_GB2312" w:cs="仿宋_GB2312"/>
          <w:b/>
          <w:szCs w:val="21"/>
        </w:rPr>
        <w:t>九、对本次招标提出询问，请按以下方式联系。</w:t>
      </w:r>
      <w:bookmarkEnd w:id="53"/>
      <w:bookmarkEnd w:id="54"/>
      <w:bookmarkEnd w:id="55"/>
      <w:bookmarkEnd w:id="56"/>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1.采购人信息</w:t>
      </w:r>
    </w:p>
    <w:p>
      <w:pPr>
        <w:widowControl/>
        <w:adjustRightInd w:val="0"/>
        <w:snapToGrid w:val="0"/>
        <w:spacing w:line="360" w:lineRule="auto"/>
        <w:ind w:firstLine="613" w:firstLineChars="292"/>
        <w:jc w:val="left"/>
        <w:rPr>
          <w:rFonts w:ascii="仿宋_GB2312" w:hAnsi="仿宋_GB2312" w:eastAsia="仿宋_GB2312" w:cs="仿宋_GB2312"/>
          <w:szCs w:val="21"/>
        </w:rPr>
      </w:pPr>
      <w:r>
        <w:rPr>
          <w:rFonts w:hint="eastAsia" w:ascii="仿宋_GB2312" w:hAnsi="仿宋_GB2312" w:eastAsia="仿宋_GB2312" w:cs="仿宋_GB2312"/>
          <w:kern w:val="0"/>
          <w:szCs w:val="21"/>
        </w:rPr>
        <w:t>名称：</w:t>
      </w:r>
      <w:r>
        <w:rPr>
          <w:rFonts w:hint="eastAsia" w:ascii="仿宋_GB2312" w:hAnsi="仿宋_GB2312" w:eastAsia="仿宋_GB2312" w:cs="仿宋_GB2312"/>
          <w:szCs w:val="21"/>
        </w:rPr>
        <w:t>沈阳工业大学</w:t>
      </w:r>
    </w:p>
    <w:p>
      <w:pPr>
        <w:widowControl/>
        <w:adjustRightInd w:val="0"/>
        <w:snapToGrid w:val="0"/>
        <w:spacing w:line="360" w:lineRule="auto"/>
        <w:ind w:firstLine="613" w:firstLineChars="292"/>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地址：沈阳市经济技术开发区沈辽西路111号</w:t>
      </w:r>
    </w:p>
    <w:p>
      <w:pPr>
        <w:widowControl/>
        <w:adjustRightInd w:val="0"/>
        <w:snapToGrid w:val="0"/>
        <w:spacing w:line="360" w:lineRule="auto"/>
        <w:ind w:firstLine="613" w:firstLineChars="292"/>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联系方式：唐岩 024-25494612</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2.采购代理机构信息</w:t>
      </w:r>
    </w:p>
    <w:p>
      <w:pPr>
        <w:adjustRightInd w:val="0"/>
        <w:snapToGrid w:val="0"/>
        <w:spacing w:line="360" w:lineRule="auto"/>
        <w:ind w:firstLine="630" w:firstLineChars="300"/>
        <w:rPr>
          <w:rFonts w:ascii="仿宋_GB2312" w:hAnsi="仿宋_GB2312" w:eastAsia="仿宋_GB2312" w:cs="仿宋_GB2312"/>
          <w:kern w:val="0"/>
          <w:szCs w:val="21"/>
        </w:rPr>
      </w:pPr>
      <w:r>
        <w:rPr>
          <w:rFonts w:hint="eastAsia" w:ascii="仿宋_GB2312" w:hAnsi="仿宋_GB2312" w:eastAsia="仿宋_GB2312" w:cs="仿宋_GB2312"/>
          <w:kern w:val="0"/>
          <w:szCs w:val="21"/>
        </w:rPr>
        <w:t>名称：辽宁承明招投标有限公司</w:t>
      </w:r>
    </w:p>
    <w:p>
      <w:pPr>
        <w:adjustRightInd w:val="0"/>
        <w:snapToGrid w:val="0"/>
        <w:spacing w:line="360" w:lineRule="auto"/>
        <w:ind w:firstLine="630" w:firstLineChars="300"/>
        <w:rPr>
          <w:rFonts w:ascii="仿宋_GB2312" w:hAnsi="仿宋_GB2312" w:eastAsia="仿宋_GB2312" w:cs="仿宋_GB2312"/>
          <w:kern w:val="0"/>
          <w:szCs w:val="21"/>
        </w:rPr>
      </w:pPr>
      <w:r>
        <w:rPr>
          <w:rFonts w:hint="eastAsia" w:ascii="仿宋_GB2312" w:hAnsi="仿宋_GB2312" w:eastAsia="仿宋_GB2312" w:cs="仿宋_GB2312"/>
          <w:kern w:val="0"/>
          <w:szCs w:val="21"/>
        </w:rPr>
        <w:t>地址：沈阳市皇姑区黄河南大街106号丽阳商务大厦A座16层1602室</w:t>
      </w:r>
    </w:p>
    <w:p>
      <w:pPr>
        <w:adjustRightInd w:val="0"/>
        <w:snapToGrid w:val="0"/>
        <w:spacing w:line="360" w:lineRule="auto"/>
        <w:ind w:firstLine="630" w:firstLineChars="300"/>
        <w:rPr>
          <w:rFonts w:ascii="仿宋_GB2312" w:hAnsi="仿宋_GB2312" w:eastAsia="仿宋_GB2312" w:cs="仿宋_GB2312"/>
          <w:kern w:val="0"/>
          <w:szCs w:val="21"/>
        </w:rPr>
      </w:pPr>
      <w:r>
        <w:rPr>
          <w:rFonts w:hint="eastAsia" w:ascii="仿宋_GB2312" w:hAnsi="仿宋_GB2312" w:eastAsia="仿宋_GB2312" w:cs="仿宋_GB2312"/>
          <w:kern w:val="0"/>
          <w:szCs w:val="21"/>
        </w:rPr>
        <w:t>联系方式：024-86803737</w:t>
      </w:r>
    </w:p>
    <w:p>
      <w:pPr>
        <w:adjustRightInd w:val="0"/>
        <w:snapToGrid w:val="0"/>
        <w:spacing w:line="360" w:lineRule="auto"/>
        <w:ind w:firstLine="630" w:firstLineChars="300"/>
        <w:rPr>
          <w:rFonts w:ascii="仿宋_GB2312" w:hAnsi="仿宋_GB2312" w:eastAsia="仿宋_GB2312" w:cs="仿宋_GB2312"/>
          <w:kern w:val="0"/>
          <w:szCs w:val="21"/>
        </w:rPr>
      </w:pPr>
      <w:r>
        <w:rPr>
          <w:rFonts w:hint="eastAsia" w:ascii="仿宋_GB2312" w:hAnsi="仿宋_GB2312" w:eastAsia="仿宋_GB2312" w:cs="仿宋_GB2312"/>
          <w:kern w:val="0"/>
          <w:szCs w:val="21"/>
        </w:rPr>
        <w:t>邮箱地址：liaoningshangyu@126.com</w:t>
      </w:r>
    </w:p>
    <w:p>
      <w:pPr>
        <w:adjustRightInd w:val="0"/>
        <w:snapToGrid w:val="0"/>
        <w:spacing w:line="360" w:lineRule="auto"/>
        <w:ind w:firstLine="630" w:firstLineChars="300"/>
        <w:rPr>
          <w:rFonts w:ascii="仿宋_GB2312" w:hAnsi="仿宋_GB2312" w:eastAsia="仿宋_GB2312" w:cs="仿宋_GB2312"/>
          <w:kern w:val="0"/>
          <w:szCs w:val="21"/>
        </w:rPr>
      </w:pPr>
      <w:r>
        <w:rPr>
          <w:rFonts w:hint="eastAsia" w:ascii="仿宋_GB2312" w:hAnsi="仿宋_GB2312" w:eastAsia="仿宋_GB2312" w:cs="仿宋_GB2312"/>
          <w:kern w:val="0"/>
          <w:szCs w:val="21"/>
        </w:rPr>
        <w:t>开户行：光大银行沈阳皇姑支行</w:t>
      </w:r>
    </w:p>
    <w:p>
      <w:pPr>
        <w:adjustRightInd w:val="0"/>
        <w:snapToGrid w:val="0"/>
        <w:spacing w:line="360" w:lineRule="auto"/>
        <w:ind w:firstLine="630" w:firstLineChars="300"/>
        <w:rPr>
          <w:rFonts w:ascii="仿宋_GB2312" w:hAnsi="仿宋_GB2312" w:eastAsia="仿宋_GB2312" w:cs="仿宋_GB2312"/>
          <w:kern w:val="0"/>
          <w:szCs w:val="21"/>
        </w:rPr>
      </w:pPr>
      <w:r>
        <w:rPr>
          <w:rFonts w:hint="eastAsia" w:ascii="仿宋_GB2312" w:hAnsi="仿宋_GB2312" w:eastAsia="仿宋_GB2312" w:cs="仿宋_GB2312"/>
          <w:kern w:val="0"/>
          <w:szCs w:val="21"/>
        </w:rPr>
        <w:t>账户名称：辽宁承明招投标有限公司</w:t>
      </w:r>
    </w:p>
    <w:p>
      <w:pPr>
        <w:adjustRightInd w:val="0"/>
        <w:snapToGrid w:val="0"/>
        <w:spacing w:line="360" w:lineRule="auto"/>
        <w:ind w:firstLine="630" w:firstLineChars="300"/>
        <w:rPr>
          <w:rFonts w:ascii="仿宋_GB2312" w:hAnsi="仿宋_GB2312" w:eastAsia="仿宋_GB2312" w:cs="仿宋_GB2312"/>
          <w:kern w:val="0"/>
          <w:szCs w:val="21"/>
        </w:rPr>
      </w:pPr>
      <w:r>
        <w:rPr>
          <w:rFonts w:hint="eastAsia" w:ascii="仿宋_GB2312" w:hAnsi="仿宋_GB2312" w:eastAsia="仿宋_GB2312" w:cs="仿宋_GB2312"/>
          <w:kern w:val="0"/>
          <w:szCs w:val="21"/>
        </w:rPr>
        <w:t>账号：7581018800024251300007</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3.项目联系方式</w:t>
      </w:r>
    </w:p>
    <w:p>
      <w:pPr>
        <w:adjustRightInd w:val="0"/>
        <w:snapToGrid w:val="0"/>
        <w:spacing w:line="360" w:lineRule="auto"/>
        <w:ind w:firstLine="630" w:firstLineChars="300"/>
        <w:rPr>
          <w:rFonts w:hint="eastAsia" w:ascii="仿宋_GB2312" w:hAnsi="仿宋_GB2312" w:eastAsia="仿宋_GB2312" w:cs="仿宋_GB2312"/>
          <w:szCs w:val="21"/>
          <w:lang w:eastAsia="zh-CN"/>
        </w:rPr>
      </w:pPr>
      <w:r>
        <w:rPr>
          <w:rFonts w:ascii="仿宋_GB2312" w:hAnsi="仿宋_GB2312" w:eastAsia="仿宋_GB2312" w:cs="仿宋_GB2312"/>
          <w:szCs w:val="21"/>
        </w:rPr>
        <w:t>项目联系人：</w:t>
      </w:r>
      <w:r>
        <w:rPr>
          <w:rFonts w:hint="eastAsia" w:ascii="仿宋_GB2312" w:hAnsi="仿宋_GB2312" w:eastAsia="仿宋_GB2312" w:cs="仿宋_GB2312"/>
          <w:szCs w:val="21"/>
          <w:lang w:eastAsia="zh-CN"/>
        </w:rPr>
        <w:t>孙少伟</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郭晓川</w:t>
      </w:r>
    </w:p>
    <w:p>
      <w:pPr>
        <w:ind w:firstLine="630" w:firstLineChars="300"/>
        <w:rPr>
          <w:rFonts w:ascii="仿宋_GB2312" w:hAnsi="仿宋_GB2312" w:eastAsia="仿宋_GB2312" w:cs="仿宋_GB2312"/>
          <w:kern w:val="0"/>
          <w:szCs w:val="21"/>
        </w:rPr>
      </w:pPr>
      <w:r>
        <w:rPr>
          <w:rFonts w:ascii="仿宋_GB2312" w:hAnsi="仿宋_GB2312" w:eastAsia="仿宋_GB2312" w:cs="仿宋_GB2312"/>
          <w:szCs w:val="21"/>
        </w:rPr>
        <w:t>电话：</w:t>
      </w:r>
      <w:r>
        <w:rPr>
          <w:rFonts w:hint="eastAsia" w:ascii="仿宋_GB2312" w:hAnsi="仿宋_GB2312" w:eastAsia="仿宋_GB2312" w:cs="仿宋_GB2312"/>
          <w:kern w:val="0"/>
          <w:szCs w:val="21"/>
        </w:rPr>
        <w:t>024-86803737</w:t>
      </w:r>
    </w:p>
    <w:p>
      <w:pPr>
        <w:pStyle w:val="2"/>
        <w:ind w:firstLine="480"/>
        <w:rPr>
          <w:rFonts w:ascii="仿宋_GB2312" w:hAnsi="仿宋_GB2312" w:eastAsia="仿宋_GB2312" w:cs="仿宋_GB2312"/>
          <w:kern w:val="0"/>
          <w:szCs w:val="21"/>
        </w:rPr>
      </w:pPr>
    </w:p>
    <w:p>
      <w:pPr>
        <w:pStyle w:val="2"/>
        <w:ind w:firstLine="480"/>
        <w:rPr>
          <w:rFonts w:ascii="仿宋_GB2312" w:hAnsi="仿宋_GB2312" w:eastAsia="仿宋_GB2312" w:cs="仿宋_GB2312"/>
          <w:kern w:val="0"/>
          <w:szCs w:val="21"/>
        </w:rPr>
      </w:pPr>
    </w:p>
    <w:p>
      <w:pPr>
        <w:pStyle w:val="2"/>
        <w:ind w:firstLine="480"/>
        <w:rPr>
          <w:rFonts w:ascii="仿宋_GB2312" w:hAnsi="仿宋_GB2312" w:eastAsia="仿宋_GB2312" w:cs="仿宋_GB2312"/>
          <w:kern w:val="0"/>
          <w:szCs w:val="21"/>
        </w:rPr>
      </w:pPr>
    </w:p>
    <w:p>
      <w:pPr>
        <w:pStyle w:val="2"/>
        <w:ind w:firstLine="480"/>
        <w:rPr>
          <w:rFonts w:ascii="仿宋_GB2312" w:hAnsi="仿宋_GB2312" w:eastAsia="仿宋_GB2312" w:cs="仿宋_GB2312"/>
          <w:kern w:val="0"/>
          <w:szCs w:val="21"/>
        </w:rPr>
      </w:pPr>
    </w:p>
    <w:p>
      <w:pPr>
        <w:pStyle w:val="2"/>
        <w:ind w:firstLine="480"/>
        <w:rPr>
          <w:rFonts w:ascii="仿宋_GB2312" w:hAnsi="仿宋_GB2312" w:eastAsia="仿宋_GB2312" w:cs="仿宋_GB2312"/>
          <w:kern w:val="0"/>
          <w:szCs w:val="21"/>
        </w:rPr>
      </w:pPr>
    </w:p>
    <w:p>
      <w:pPr>
        <w:pStyle w:val="2"/>
        <w:ind w:firstLine="480"/>
        <w:rPr>
          <w:rFonts w:ascii="仿宋_GB2312" w:hAnsi="仿宋_GB2312" w:eastAsia="仿宋_GB2312" w:cs="仿宋_GB2312"/>
          <w:kern w:val="0"/>
          <w:szCs w:val="21"/>
        </w:rPr>
      </w:pPr>
    </w:p>
    <w:p>
      <w:pPr>
        <w:pStyle w:val="2"/>
        <w:ind w:firstLine="480"/>
        <w:rPr>
          <w:rFonts w:ascii="仿宋_GB2312" w:hAnsi="仿宋_GB2312" w:eastAsia="仿宋_GB2312" w:cs="仿宋_GB2312"/>
          <w:kern w:val="0"/>
          <w:szCs w:val="21"/>
        </w:rPr>
      </w:pPr>
    </w:p>
    <w:p>
      <w:pPr>
        <w:pStyle w:val="2"/>
        <w:ind w:firstLine="480"/>
        <w:rPr>
          <w:rFonts w:ascii="仿宋_GB2312" w:hAnsi="仿宋_GB2312" w:eastAsia="仿宋_GB2312" w:cs="仿宋_GB2312"/>
          <w:kern w:val="0"/>
          <w:szCs w:val="21"/>
        </w:rPr>
      </w:pPr>
    </w:p>
    <w:p>
      <w:pPr>
        <w:pStyle w:val="4"/>
        <w:snapToGrid w:val="0"/>
        <w:spacing w:before="312" w:beforeLines="100" w:after="312" w:afterLines="100" w:line="360" w:lineRule="auto"/>
        <w:rPr>
          <w:rFonts w:ascii="仿宋_GB2312" w:hAnsi="仿宋_GB2312" w:eastAsia="仿宋_GB2312" w:cs="仿宋_GB2312"/>
        </w:rPr>
      </w:pPr>
      <w:bookmarkStart w:id="57" w:name="_Toc26518_WPSOffice_Level1"/>
      <w:bookmarkStart w:id="58" w:name="_Toc9614"/>
      <w:r>
        <w:rPr>
          <w:rFonts w:hint="eastAsia" w:ascii="仿宋_GB2312" w:hAnsi="仿宋_GB2312" w:eastAsia="仿宋_GB2312" w:cs="仿宋_GB2312"/>
        </w:rPr>
        <w:t>第一章 投标人须知</w:t>
      </w:r>
      <w:bookmarkEnd w:id="57"/>
      <w:bookmarkEnd w:id="58"/>
    </w:p>
    <w:p>
      <w:pPr>
        <w:pStyle w:val="5"/>
        <w:adjustRightInd w:val="0"/>
        <w:snapToGrid w:val="0"/>
        <w:spacing w:before="0" w:after="0" w:line="360" w:lineRule="auto"/>
        <w:rPr>
          <w:rFonts w:ascii="仿宋_GB2312" w:hAnsi="仿宋_GB2312" w:eastAsia="仿宋_GB2312" w:cs="仿宋_GB2312"/>
          <w:sz w:val="32"/>
          <w:szCs w:val="36"/>
        </w:rPr>
      </w:pPr>
      <w:bookmarkStart w:id="59" w:name="_Toc18613_WPSOffice_Level2"/>
      <w:r>
        <w:rPr>
          <w:rFonts w:hint="eastAsia" w:ascii="仿宋_GB2312" w:hAnsi="仿宋_GB2312" w:eastAsia="仿宋_GB2312" w:cs="仿宋_GB2312"/>
          <w:sz w:val="32"/>
          <w:szCs w:val="36"/>
        </w:rPr>
        <w:t>一 投标人须知表</w:t>
      </w:r>
      <w:bookmarkEnd w:id="59"/>
    </w:p>
    <w:tbl>
      <w:tblPr>
        <w:tblStyle w:val="17"/>
        <w:tblW w:w="8656" w:type="dxa"/>
        <w:tblInd w:w="0" w:type="dxa"/>
        <w:tblLayout w:type="fixed"/>
        <w:tblCellMar>
          <w:top w:w="0" w:type="dxa"/>
          <w:left w:w="108" w:type="dxa"/>
          <w:bottom w:w="0" w:type="dxa"/>
          <w:right w:w="108" w:type="dxa"/>
        </w:tblCellMar>
      </w:tblPr>
      <w:tblGrid>
        <w:gridCol w:w="852"/>
        <w:gridCol w:w="1917"/>
        <w:gridCol w:w="5887"/>
      </w:tblGrid>
      <w:tr>
        <w:tblPrEx>
          <w:tblCellMar>
            <w:top w:w="0" w:type="dxa"/>
            <w:left w:w="108" w:type="dxa"/>
            <w:bottom w:w="0" w:type="dxa"/>
            <w:right w:w="108" w:type="dxa"/>
          </w:tblCellMar>
        </w:tblPrEx>
        <w:trPr>
          <w:trHeight w:val="497" w:hRule="atLeast"/>
          <w:tblHeader/>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bookmarkStart w:id="60" w:name="sys_招标项目基本内容及要求其他：Block"/>
            <w:bookmarkEnd w:id="60"/>
            <w:bookmarkStart w:id="61" w:name="招标项目基本内容及要求其他：Block"/>
            <w:bookmarkEnd w:id="61"/>
            <w:bookmarkStart w:id="62" w:name="招标项目基本内容及要求：Block"/>
            <w:bookmarkEnd w:id="62"/>
            <w:bookmarkStart w:id="63" w:name="sys_招标项目基本内容及要求：Block"/>
            <w:bookmarkEnd w:id="63"/>
            <w:r>
              <w:rPr>
                <w:rFonts w:hint="eastAsia" w:ascii="仿宋_GB2312" w:hAnsi="仿宋_GB2312" w:eastAsia="仿宋_GB2312" w:cs="仿宋_GB2312"/>
                <w:kern w:val="0"/>
                <w:szCs w:val="21"/>
              </w:rPr>
              <w:t>条款号</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   目</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内     容</w:t>
            </w:r>
          </w:p>
        </w:tc>
      </w:tr>
      <w:tr>
        <w:tblPrEx>
          <w:tblCellMar>
            <w:top w:w="0" w:type="dxa"/>
            <w:left w:w="108" w:type="dxa"/>
            <w:bottom w:w="0" w:type="dxa"/>
            <w:right w:w="108" w:type="dxa"/>
          </w:tblCellMar>
        </w:tblPrEx>
        <w:trPr>
          <w:trHeight w:val="125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采购人</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名  称：沈阳工业大学</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地  址：沈阳市经济技术开发区沈辽西路111号</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 xml:space="preserve">联系人：唐岩  </w:t>
            </w:r>
          </w:p>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电  话：024-25494612</w:t>
            </w:r>
          </w:p>
        </w:tc>
      </w:tr>
      <w:tr>
        <w:tblPrEx>
          <w:tblCellMar>
            <w:top w:w="0" w:type="dxa"/>
            <w:left w:w="108" w:type="dxa"/>
            <w:bottom w:w="0" w:type="dxa"/>
            <w:right w:w="108" w:type="dxa"/>
          </w:tblCellMar>
        </w:tblPrEx>
        <w:trPr>
          <w:trHeight w:val="125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采购代理机构</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名  称：</w:t>
            </w:r>
            <w:r>
              <w:rPr>
                <w:rFonts w:hint="eastAsia" w:ascii="仿宋_GB2312" w:hAnsi="宋体" w:eastAsia="仿宋_GB2312"/>
              </w:rPr>
              <w:t>辽宁承明招投标有限公司</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地  址：</w:t>
            </w:r>
            <w:r>
              <w:rPr>
                <w:rFonts w:hint="eastAsia" w:ascii="仿宋_GB2312" w:hAnsi="宋体" w:eastAsia="仿宋_GB2312"/>
              </w:rPr>
              <w:t>沈阳市皇姑区黄河南大街106号丽阳商务大厦A座16层1602室</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联系人：</w:t>
            </w:r>
            <w:r>
              <w:rPr>
                <w:rFonts w:hint="eastAsia" w:ascii="仿宋_GB2312" w:hAnsi="仿宋_GB2312" w:eastAsia="仿宋_GB2312" w:cs="仿宋_GB2312"/>
                <w:szCs w:val="21"/>
                <w:lang w:eastAsia="zh-CN"/>
              </w:rPr>
              <w:t>孙少伟</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郭晓川</w:t>
            </w:r>
          </w:p>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电  话：024-86803737</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1.3.4</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合格供应商还要满足的其它资格条件</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详见招标公告</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1.3.5</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是否允许采购进口产品</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是</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1.3.6</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是否为专门面向</w:t>
            </w:r>
            <w:r>
              <w:rPr>
                <w:rFonts w:hint="eastAsia" w:ascii="仿宋_GB2312" w:hAnsi="仿宋_GB2312" w:eastAsia="仿宋_GB2312" w:cs="仿宋_GB2312"/>
                <w:szCs w:val="21"/>
              </w:rPr>
              <w:t>中小企业</w:t>
            </w:r>
            <w:r>
              <w:rPr>
                <w:rFonts w:hint="eastAsia" w:ascii="仿宋_GB2312" w:hAnsi="仿宋_GB2312" w:eastAsia="仿宋_GB2312" w:cs="仿宋_GB2312"/>
                <w:kern w:val="0"/>
                <w:szCs w:val="21"/>
              </w:rPr>
              <w:t>采购</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是</w:t>
            </w:r>
          </w:p>
          <w:p>
            <w:pPr>
              <w:rPr>
                <w:rFonts w:hint="eastAsia" w:ascii="仿宋_GB2312" w:hAnsi="仿宋_GB2312" w:eastAsia="仿宋_GB2312" w:cs="仿宋_GB2312"/>
                <w:bCs/>
                <w:kern w:val="0"/>
                <w:szCs w:val="21"/>
                <w:lang w:val="en-US" w:eastAsia="zh-CN"/>
              </w:rPr>
            </w:pPr>
            <w:r>
              <w:rPr>
                <w:rFonts w:hint="eastAsia" w:ascii="仿宋_GB2312" w:hAnsi="仿宋_GB2312" w:eastAsia="仿宋_GB2312" w:cs="仿宋_GB2312"/>
              </w:rPr>
              <w:t>■</w:t>
            </w:r>
            <w:r>
              <w:rPr>
                <w:rFonts w:hint="eastAsia" w:ascii="仿宋_GB2312" w:hAnsi="仿宋_GB2312" w:eastAsia="仿宋_GB2312" w:cs="仿宋_GB2312"/>
                <w:kern w:val="0"/>
                <w:szCs w:val="21"/>
              </w:rPr>
              <w:t>否</w:t>
            </w:r>
            <w:r>
              <w:rPr>
                <w:rFonts w:hint="eastAsia" w:ascii="仿宋_GB2312" w:hAnsi="仿宋_GB2312" w:eastAsia="仿宋_GB2312" w:cs="仿宋_GB2312"/>
                <w:kern w:val="0"/>
                <w:szCs w:val="21"/>
                <w:lang w:val="en-US" w:eastAsia="zh-CN"/>
              </w:rPr>
              <w:t>,</w:t>
            </w:r>
            <w:r>
              <w:rPr>
                <w:rFonts w:hint="eastAsia" w:ascii="仿宋_GB2312" w:hAnsi="仿宋_GB2312" w:eastAsia="仿宋_GB2312" w:cs="仿宋_GB2312"/>
                <w:kern w:val="0"/>
                <w:szCs w:val="21"/>
                <w:lang w:eastAsia="zh-CN"/>
              </w:rPr>
              <w:t>本项目所属行业：工业</w:t>
            </w:r>
          </w:p>
        </w:tc>
      </w:tr>
      <w:tr>
        <w:tblPrEx>
          <w:tblCellMar>
            <w:top w:w="0" w:type="dxa"/>
            <w:left w:w="108" w:type="dxa"/>
            <w:bottom w:w="0" w:type="dxa"/>
            <w:right w:w="108" w:type="dxa"/>
          </w:tblCellMar>
        </w:tblPrEx>
        <w:trPr>
          <w:trHeight w:val="836"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1.3.7</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szCs w:val="21"/>
              </w:rPr>
            </w:pPr>
            <w:r>
              <w:rPr>
                <w:rFonts w:hint="eastAsia" w:ascii="仿宋_GB2312" w:hAnsi="仿宋_GB2312" w:eastAsia="仿宋_GB2312" w:cs="仿宋_GB2312"/>
                <w:szCs w:val="21"/>
              </w:rPr>
              <w:t>是否有政府强制采购的节能产品</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有，具体产品为</w:t>
            </w:r>
            <w:r>
              <w:rPr>
                <w:rFonts w:hint="eastAsia"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没有</w:t>
            </w:r>
          </w:p>
        </w:tc>
      </w:tr>
      <w:tr>
        <w:tblPrEx>
          <w:tblCellMar>
            <w:top w:w="0" w:type="dxa"/>
            <w:left w:w="108" w:type="dxa"/>
            <w:bottom w:w="0" w:type="dxa"/>
            <w:right w:w="108" w:type="dxa"/>
          </w:tblCellMar>
        </w:tblPrEx>
        <w:trPr>
          <w:trHeight w:val="410"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
                <w:kern w:val="0"/>
                <w:szCs w:val="21"/>
              </w:rPr>
            </w:pPr>
            <w:r>
              <w:rPr>
                <w:rFonts w:hint="eastAsia" w:ascii="仿宋_GB2312" w:hAnsi="仿宋_GB2312" w:eastAsia="仿宋_GB2312" w:cs="仿宋_GB2312"/>
                <w:bCs/>
                <w:kern w:val="0"/>
                <w:szCs w:val="21"/>
              </w:rPr>
              <w:t>是否允许联合体投标</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是</w:t>
            </w:r>
          </w:p>
          <w:p>
            <w:pPr>
              <w:rPr>
                <w:rFonts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1.4.8</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联合体投标的其他资格要求</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无</w:t>
            </w:r>
          </w:p>
        </w:tc>
      </w:tr>
      <w:tr>
        <w:tblPrEx>
          <w:tblCellMar>
            <w:top w:w="0" w:type="dxa"/>
            <w:left w:w="108" w:type="dxa"/>
            <w:bottom w:w="0" w:type="dxa"/>
            <w:right w:w="108" w:type="dxa"/>
          </w:tblCellMar>
        </w:tblPrEx>
        <w:trPr>
          <w:trHeight w:val="942"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2.2</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项目预算金额、最高限价</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仿宋_GB2312" w:hAnsi="仿宋_GB2312" w:eastAsia="仿宋_GB2312" w:cs="仿宋_GB2312"/>
                <w:bCs/>
                <w:kern w:val="0"/>
                <w:szCs w:val="21"/>
              </w:rPr>
            </w:pPr>
            <w:r>
              <w:rPr>
                <w:rFonts w:hint="eastAsia" w:ascii="仿宋_GB2312" w:hAnsi="仿宋_GB2312" w:eastAsia="仿宋_GB2312" w:cs="仿宋_GB2312"/>
                <w:kern w:val="0"/>
                <w:szCs w:val="21"/>
              </w:rPr>
              <w:t>项目预算金额：人民币</w:t>
            </w:r>
            <w:r>
              <w:rPr>
                <w:rFonts w:hint="eastAsia" w:ascii="仿宋_GB2312" w:hAnsi="仿宋_GB2312" w:eastAsia="仿宋_GB2312" w:cs="仿宋_GB2312"/>
                <w:kern w:val="0"/>
                <w:szCs w:val="21"/>
                <w:u w:val="single"/>
              </w:rPr>
              <w:t xml:space="preserve"> 750,000.00 </w:t>
            </w:r>
            <w:r>
              <w:rPr>
                <w:rFonts w:hint="eastAsia" w:ascii="仿宋_GB2312" w:hAnsi="仿宋_GB2312" w:eastAsia="仿宋_GB2312" w:cs="仿宋_GB2312"/>
                <w:kern w:val="0"/>
                <w:szCs w:val="21"/>
              </w:rPr>
              <w:t>元。</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最高限价金额：人民币</w:t>
            </w:r>
            <w:r>
              <w:rPr>
                <w:rFonts w:hint="eastAsia" w:ascii="仿宋_GB2312" w:hAnsi="仿宋_GB2312" w:eastAsia="仿宋_GB2312" w:cs="仿宋_GB2312"/>
                <w:kern w:val="0"/>
                <w:szCs w:val="21"/>
                <w:u w:val="single"/>
              </w:rPr>
              <w:t xml:space="preserve"> 750,000.00 </w:t>
            </w:r>
            <w:r>
              <w:rPr>
                <w:rFonts w:hint="eastAsia" w:ascii="仿宋_GB2312" w:hAnsi="仿宋_GB2312" w:eastAsia="仿宋_GB2312" w:cs="仿宋_GB2312"/>
                <w:kern w:val="0"/>
                <w:szCs w:val="21"/>
              </w:rPr>
              <w:t>元；</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计量单位</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rPr>
              <w:t>■</w:t>
            </w:r>
            <w:r>
              <w:rPr>
                <w:rFonts w:hint="eastAsia" w:ascii="仿宋_GB2312" w:hAnsi="仿宋_GB2312" w:eastAsia="仿宋_GB2312" w:cs="仿宋_GB2312"/>
                <w:bCs/>
                <w:kern w:val="0"/>
                <w:szCs w:val="21"/>
              </w:rPr>
              <w:t>中华人民共和国法定计量单位</w:t>
            </w:r>
          </w:p>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sym w:font="Wingdings 2" w:char="00A3"/>
            </w:r>
            <w:r>
              <w:rPr>
                <w:rFonts w:hint="eastAsia" w:ascii="仿宋_GB2312" w:hAnsi="仿宋_GB2312" w:eastAsia="仿宋_GB2312" w:cs="仿宋_GB2312"/>
                <w:bCs/>
                <w:kern w:val="0"/>
                <w:szCs w:val="21"/>
              </w:rPr>
              <w:t>其他：</w:t>
            </w:r>
            <w:r>
              <w:rPr>
                <w:rFonts w:hint="eastAsia" w:ascii="仿宋_GB2312" w:hAnsi="仿宋_GB2312" w:eastAsia="仿宋_GB2312" w:cs="仿宋_GB2312"/>
                <w:bCs/>
                <w:kern w:val="0"/>
                <w:szCs w:val="21"/>
                <w:u w:val="single"/>
              </w:rPr>
              <w:t xml:space="preserve">             </w:t>
            </w:r>
          </w:p>
        </w:tc>
      </w:tr>
      <w:tr>
        <w:tblPrEx>
          <w:tblCellMar>
            <w:top w:w="0" w:type="dxa"/>
            <w:left w:w="108" w:type="dxa"/>
            <w:bottom w:w="0" w:type="dxa"/>
            <w:right w:w="108" w:type="dxa"/>
          </w:tblCellMar>
        </w:tblPrEx>
        <w:trPr>
          <w:trHeight w:val="1873"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kern w:val="0"/>
                <w:szCs w:val="21"/>
              </w:rPr>
              <w:t>现场考察、开标前答疑会</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不组织</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组织，时  间：</w:t>
            </w:r>
            <w:r>
              <w:rPr>
                <w:rFonts w:hint="eastAsia" w:ascii="仿宋_GB2312" w:hAnsi="仿宋_GB2312" w:eastAsia="仿宋_GB2312" w:cs="仿宋_GB2312"/>
                <w:bCs/>
                <w:kern w:val="0"/>
                <w:szCs w:val="21"/>
                <w:u w:val="single"/>
              </w:rPr>
              <w:t xml:space="preserve">         </w:t>
            </w:r>
          </w:p>
          <w:p>
            <w:pPr>
              <w:widowControl/>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地  点：</w:t>
            </w:r>
            <w:r>
              <w:rPr>
                <w:rFonts w:hint="eastAsia" w:ascii="仿宋_GB2312" w:hAnsi="仿宋_GB2312" w:eastAsia="仿宋_GB2312" w:cs="仿宋_GB2312"/>
                <w:bCs/>
                <w:kern w:val="0"/>
                <w:szCs w:val="21"/>
                <w:u w:val="single"/>
              </w:rPr>
              <w:t xml:space="preserve">         </w:t>
            </w:r>
          </w:p>
          <w:p>
            <w:pPr>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联系人：</w:t>
            </w:r>
            <w:r>
              <w:rPr>
                <w:rFonts w:hint="eastAsia" w:ascii="仿宋_GB2312" w:hAnsi="仿宋_GB2312" w:eastAsia="仿宋_GB2312" w:cs="仿宋_GB2312"/>
                <w:bCs/>
                <w:kern w:val="0"/>
                <w:szCs w:val="21"/>
                <w:u w:val="single"/>
              </w:rPr>
              <w:t xml:space="preserve">         </w:t>
            </w:r>
          </w:p>
          <w:p>
            <w:pPr>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组织，招标文件提供期限截止后以书面形式通知。</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10.3</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核心产品</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szCs w:val="21"/>
                <w:u w:val="single"/>
              </w:rPr>
              <w:t xml:space="preserve">  无  </w:t>
            </w:r>
            <w:r>
              <w:rPr>
                <w:rFonts w:hint="eastAsia" w:ascii="仿宋_GB2312" w:hAnsi="仿宋_GB2312" w:eastAsia="仿宋_GB2312" w:cs="仿宋_GB2312"/>
                <w:szCs w:val="21"/>
              </w:rPr>
              <w:t>（非单一产品采购时，只能设一个核心产品）</w:t>
            </w:r>
          </w:p>
        </w:tc>
      </w:tr>
      <w:tr>
        <w:tblPrEx>
          <w:tblCellMar>
            <w:top w:w="0" w:type="dxa"/>
            <w:left w:w="108" w:type="dxa"/>
            <w:bottom w:w="0" w:type="dxa"/>
            <w:right w:w="108" w:type="dxa"/>
          </w:tblCellMar>
        </w:tblPrEx>
        <w:trPr>
          <w:trHeight w:val="6008"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11.3</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样品或演示</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不需要</w:t>
            </w:r>
            <w:r>
              <w:rPr>
                <w:rFonts w:hint="eastAsia" w:ascii="仿宋_GB2312" w:hAnsi="仿宋_GB2312" w:eastAsia="仿宋_GB2312" w:cs="仿宋_GB2312"/>
                <w:bCs/>
                <w:kern w:val="0"/>
                <w:szCs w:val="21"/>
              </w:rPr>
              <w:t>提供样品</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提供样品</w:t>
            </w:r>
          </w:p>
          <w:p>
            <w:pPr>
              <w:rPr>
                <w:rFonts w:ascii="仿宋_GB2312" w:hAnsi="仿宋_GB2312" w:eastAsia="仿宋_GB2312" w:cs="仿宋_GB2312"/>
                <w:kern w:val="0"/>
                <w:szCs w:val="21"/>
              </w:rPr>
            </w:pPr>
            <w:r>
              <w:rPr>
                <w:rFonts w:hint="eastAsia" w:ascii="仿宋_GB2312" w:hAnsi="仿宋_GB2312" w:eastAsia="仿宋_GB2312" w:cs="仿宋_GB2312"/>
                <w:bCs/>
                <w:kern w:val="0"/>
                <w:szCs w:val="21"/>
              </w:rPr>
              <w:t xml:space="preserve">  </w:t>
            </w:r>
            <w:r>
              <w:rPr>
                <w:rFonts w:hint="eastAsia" w:ascii="仿宋_GB2312" w:hAnsi="仿宋_GB2312" w:eastAsia="仿宋_GB2312" w:cs="仿宋_GB2312"/>
                <w:kern w:val="0"/>
                <w:szCs w:val="21"/>
              </w:rPr>
              <w:t>1、递交样品的截止时间：</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年</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月</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日</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时（北京时间）</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递交样品地点：</w:t>
            </w:r>
            <w:r>
              <w:rPr>
                <w:rFonts w:hint="eastAsia" w:ascii="仿宋_GB2312" w:hAnsi="仿宋_GB2312" w:eastAsia="仿宋_GB2312" w:cs="仿宋_GB2312"/>
                <w:kern w:val="0"/>
                <w:szCs w:val="21"/>
                <w:u w:val="single"/>
              </w:rPr>
              <w:t xml:space="preserve">                     </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递交样品联系人：</w:t>
            </w:r>
            <w:r>
              <w:rPr>
                <w:rFonts w:hint="eastAsia" w:ascii="仿宋_GB2312" w:hAnsi="仿宋_GB2312" w:eastAsia="仿宋_GB2312" w:cs="仿宋_GB2312"/>
                <w:kern w:val="0"/>
                <w:szCs w:val="21"/>
                <w:u w:val="single"/>
              </w:rPr>
              <w:t xml:space="preserve">                   </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递交样品联系电话：</w:t>
            </w:r>
            <w:r>
              <w:rPr>
                <w:rFonts w:hint="eastAsia" w:ascii="仿宋_GB2312" w:hAnsi="仿宋_GB2312" w:eastAsia="仿宋_GB2312" w:cs="仿宋_GB2312"/>
                <w:kern w:val="0"/>
                <w:szCs w:val="21"/>
                <w:u w:val="single"/>
              </w:rPr>
              <w:t xml:space="preserve">                 </w:t>
            </w:r>
          </w:p>
          <w:p>
            <w:pPr>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2、样品制作的标准和要求：</w:t>
            </w:r>
            <w:r>
              <w:rPr>
                <w:rFonts w:hint="eastAsia" w:ascii="仿宋_GB2312" w:hAnsi="仿宋_GB2312" w:eastAsia="仿宋_GB2312" w:cs="仿宋_GB2312"/>
                <w:kern w:val="0"/>
                <w:szCs w:val="21"/>
                <w:u w:val="single"/>
              </w:rPr>
              <w:t xml:space="preserve">             </w:t>
            </w:r>
          </w:p>
          <w:p>
            <w:pPr>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3、随样品提交相关检测报告要求：</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 xml:space="preserve"> </w:t>
            </w:r>
          </w:p>
          <w:p>
            <w:pPr>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（包含是否要求提供、检测机构要求、检测内容等）</w:t>
            </w:r>
          </w:p>
          <w:p>
            <w:pPr>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4、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pPr>
              <w:ind w:left="21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不</w:t>
            </w:r>
            <w:r>
              <w:rPr>
                <w:rFonts w:hint="eastAsia" w:ascii="仿宋_GB2312" w:hAnsi="仿宋_GB2312" w:eastAsia="仿宋_GB2312" w:cs="仿宋_GB2312"/>
                <w:bCs/>
                <w:kern w:val="0"/>
                <w:szCs w:val="21"/>
              </w:rPr>
              <w:t>需要提供演示</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提供演示</w:t>
            </w:r>
          </w:p>
          <w:p>
            <w:pPr>
              <w:rPr>
                <w:rFonts w:ascii="仿宋_GB2312" w:hAnsi="仿宋_GB2312" w:eastAsia="仿宋_GB2312" w:cs="仿宋_GB2312"/>
                <w:kern w:val="0"/>
                <w:szCs w:val="21"/>
              </w:rPr>
            </w:pPr>
            <w:r>
              <w:rPr>
                <w:rFonts w:hint="eastAsia" w:ascii="仿宋_GB2312" w:hAnsi="仿宋_GB2312" w:eastAsia="仿宋_GB2312" w:cs="仿宋_GB2312"/>
                <w:bCs/>
                <w:kern w:val="0"/>
                <w:szCs w:val="21"/>
              </w:rPr>
              <w:t xml:space="preserve">  </w:t>
            </w:r>
            <w:r>
              <w:rPr>
                <w:rFonts w:hint="eastAsia" w:ascii="仿宋_GB2312" w:hAnsi="仿宋_GB2312" w:eastAsia="仿宋_GB2312" w:cs="仿宋_GB2312"/>
                <w:kern w:val="0"/>
                <w:szCs w:val="21"/>
              </w:rPr>
              <w:t>1、演示时间：</w:t>
            </w:r>
            <w:r>
              <w:rPr>
                <w:rFonts w:hint="eastAsia"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演示地点：</w:t>
            </w:r>
            <w:r>
              <w:rPr>
                <w:rFonts w:hint="eastAsia" w:ascii="仿宋_GB2312" w:hAnsi="仿宋_GB2312" w:eastAsia="仿宋_GB2312" w:cs="仿宋_GB2312"/>
                <w:bCs/>
                <w:kern w:val="0"/>
                <w:szCs w:val="21"/>
                <w:u w:val="single"/>
              </w:rPr>
              <w:t xml:space="preserve">                          </w:t>
            </w:r>
          </w:p>
          <w:p>
            <w:pPr>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演示顺序：</w:t>
            </w:r>
            <w:r>
              <w:rPr>
                <w:rFonts w:hint="eastAsia" w:ascii="仿宋_GB2312" w:hAnsi="仿宋_GB2312" w:eastAsia="仿宋_GB2312" w:cs="仿宋_GB2312"/>
                <w:bCs/>
                <w:kern w:val="0"/>
                <w:szCs w:val="21"/>
                <w:u w:val="single"/>
              </w:rPr>
              <w:t xml:space="preserve">                          </w:t>
            </w:r>
          </w:p>
          <w:p>
            <w:pPr>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2、演示要求：</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（内容、设备等要求）</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投标报价货币要求</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所有投标均按</w:t>
            </w:r>
            <w:r>
              <w:rPr>
                <w:rFonts w:hint="eastAsia" w:ascii="仿宋_GB2312" w:hAnsi="仿宋_GB2312" w:eastAsia="仿宋_GB2312" w:cs="仿宋_GB2312"/>
                <w:kern w:val="0"/>
                <w:szCs w:val="21"/>
                <w:u w:val="single"/>
              </w:rPr>
              <w:t xml:space="preserve">   人民币   </w:t>
            </w:r>
            <w:r>
              <w:rPr>
                <w:rFonts w:hint="eastAsia" w:ascii="仿宋_GB2312" w:hAnsi="仿宋_GB2312" w:eastAsia="仿宋_GB2312" w:cs="仿宋_GB2312"/>
                <w:kern w:val="0"/>
                <w:szCs w:val="21"/>
              </w:rPr>
              <w:t>进行报价。</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其它：</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3115" w:hRule="atLeast"/>
        </w:trPr>
        <w:tc>
          <w:tcPr>
            <w:tcW w:w="852"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13.1</w:t>
            </w:r>
          </w:p>
        </w:tc>
        <w:tc>
          <w:tcPr>
            <w:tcW w:w="1917"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投标保证金</w:t>
            </w:r>
          </w:p>
        </w:tc>
        <w:tc>
          <w:tcPr>
            <w:tcW w:w="5887" w:type="dxa"/>
            <w:tcBorders>
              <w:top w:val="single" w:color="auto" w:sz="4" w:space="0"/>
              <w:left w:val="nil"/>
              <w:bottom w:val="single" w:color="auto" w:sz="8" w:space="0"/>
              <w:right w:val="single" w:color="auto" w:sz="8" w:space="0"/>
            </w:tcBorders>
            <w:vAlign w:val="center"/>
          </w:tcPr>
          <w:p>
            <w:pPr>
              <w:pStyle w:val="8"/>
            </w:pPr>
            <w:r>
              <w:rPr>
                <w:rFonts w:hint="eastAsia"/>
              </w:rPr>
              <w:t xml:space="preserve">1.投标保证金金额：人民币14000元；  </w:t>
            </w:r>
          </w:p>
          <w:p>
            <w:pPr>
              <w:pStyle w:val="8"/>
              <w:rPr>
                <w:rFonts w:ascii="仿宋_GB2312" w:hAnsi="仿宋_GB2312" w:eastAsia="仿宋_GB2312" w:cs="仿宋_GB2312"/>
                <w:szCs w:val="21"/>
                <w:u w:val="single"/>
              </w:rPr>
            </w:pPr>
            <w:r>
              <w:rPr>
                <w:rFonts w:hint="eastAsia"/>
              </w:rPr>
              <w:t>2.投标保证金到账时间：</w:t>
            </w:r>
            <w:r>
              <w:rPr>
                <w:rFonts w:hint="eastAsia" w:ascii="仿宋_GB2312" w:hAnsi="仿宋_GB2312" w:eastAsia="仿宋_GB2312" w:cs="仿宋_GB2312"/>
                <w:szCs w:val="21"/>
                <w:u w:val="single"/>
              </w:rPr>
              <w:t>递交投标文件截止时间前</w:t>
            </w:r>
          </w:p>
          <w:p>
            <w:pPr>
              <w:pStyle w:val="8"/>
            </w:pPr>
            <w:r>
              <w:rPr>
                <w:rFonts w:hint="eastAsia"/>
              </w:rPr>
              <w:t>3.投标保证金缴纳方式：</w:t>
            </w:r>
            <w:r>
              <w:rPr>
                <w:rFonts w:hint="eastAsia" w:ascii="仿宋_GB2312" w:hAnsi="仿宋_GB2312" w:eastAsia="仿宋_GB2312" w:cs="仿宋_GB2312"/>
              </w:rPr>
              <w:t>■</w:t>
            </w:r>
            <w:r>
              <w:rPr>
                <w:rFonts w:hint="eastAsia"/>
              </w:rPr>
              <w:t xml:space="preserve">保函 </w:t>
            </w:r>
            <w:r>
              <w:rPr>
                <w:rFonts w:hint="eastAsia" w:ascii="仿宋_GB2312" w:hAnsi="仿宋_GB2312" w:eastAsia="仿宋_GB2312" w:cs="仿宋_GB2312"/>
              </w:rPr>
              <w:t>■</w:t>
            </w:r>
            <w:r>
              <w:rPr>
                <w:rFonts w:hint="eastAsia"/>
              </w:rPr>
              <w:t xml:space="preserve">支票(限沈阳地区) </w:t>
            </w:r>
            <w:r>
              <w:rPr>
                <w:rFonts w:hint="eastAsia" w:ascii="仿宋_GB2312" w:hAnsi="仿宋_GB2312" w:eastAsia="仿宋_GB2312" w:cs="仿宋_GB2312"/>
              </w:rPr>
              <w:t>■</w:t>
            </w:r>
            <w:r>
              <w:rPr>
                <w:rFonts w:hint="eastAsia"/>
              </w:rPr>
              <w:t xml:space="preserve">电汇  </w:t>
            </w:r>
          </w:p>
          <w:p>
            <w:r>
              <w:rPr>
                <w:rFonts w:hint="eastAsia"/>
              </w:rPr>
              <w:t xml:space="preserve">  保证金收款人银行信息：</w:t>
            </w:r>
          </w:p>
          <w:p>
            <w:r>
              <w:rPr>
                <w:rFonts w:hint="eastAsia"/>
              </w:rPr>
              <w:t xml:space="preserve">    开 户 名：</w:t>
            </w:r>
            <w:r>
              <w:t>辽宁承明招投标有限公司</w:t>
            </w:r>
          </w:p>
          <w:p>
            <w:r>
              <w:rPr>
                <w:rFonts w:hint="eastAsia"/>
              </w:rPr>
              <w:t xml:space="preserve">    开 户 行：光大银行沈阳皇姑支行</w:t>
            </w:r>
          </w:p>
          <w:p>
            <w:r>
              <w:rPr>
                <w:rFonts w:hint="eastAsia"/>
              </w:rPr>
              <w:t xml:space="preserve">    账    号：7581018800024251300007 </w:t>
            </w:r>
          </w:p>
          <w:p>
            <w:r>
              <w:rPr>
                <w:rFonts w:hint="eastAsia"/>
              </w:rPr>
              <w:t>4.保证金退还方式：详见总则13.5</w:t>
            </w:r>
          </w:p>
          <w:p>
            <w:r>
              <w:rPr>
                <w:rFonts w:hint="eastAsia"/>
              </w:rPr>
              <w:t>5.保证金退还咨询电话：024-86803737</w:t>
            </w:r>
          </w:p>
          <w:p>
            <w:pPr>
              <w:rPr>
                <w:rFonts w:ascii="仿宋_GB2312" w:hAnsi="仿宋_GB2312" w:eastAsia="仿宋_GB2312" w:cs="仿宋_GB2312"/>
                <w:szCs w:val="21"/>
              </w:rPr>
            </w:pPr>
            <w:r>
              <w:rPr>
                <w:rFonts w:hint="eastAsia" w:ascii="仿宋_GB2312" w:hAnsi="仿宋_GB2312" w:eastAsia="仿宋_GB2312" w:cs="仿宋_GB2312"/>
                <w:b/>
                <w:bCs/>
                <w:szCs w:val="21"/>
              </w:rPr>
              <w:t>（注：财政部门鼓励采用保函的方式递交投标保证金，具体办理流程参阅辽宁政府采购网）</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15.1</w:t>
            </w:r>
          </w:p>
        </w:tc>
        <w:tc>
          <w:tcPr>
            <w:tcW w:w="1917"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投标有效期</w:t>
            </w:r>
          </w:p>
        </w:tc>
        <w:tc>
          <w:tcPr>
            <w:tcW w:w="5887" w:type="dxa"/>
            <w:tcBorders>
              <w:top w:val="single" w:color="auto" w:sz="4" w:space="0"/>
              <w:left w:val="nil"/>
              <w:bottom w:val="single" w:color="auto" w:sz="8" w:space="0"/>
              <w:right w:val="single" w:color="auto" w:sz="8" w:space="0"/>
            </w:tcBorders>
            <w:vAlign w:val="center"/>
          </w:tcPr>
          <w:p>
            <w:pPr>
              <w:pStyle w:val="8"/>
              <w:rPr>
                <w:rFonts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90  </w:t>
            </w:r>
            <w:r>
              <w:rPr>
                <w:rFonts w:hint="eastAsia" w:ascii="仿宋_GB2312" w:hAnsi="仿宋_GB2312" w:eastAsia="仿宋_GB2312" w:cs="仿宋_GB2312"/>
                <w:kern w:val="0"/>
                <w:szCs w:val="21"/>
              </w:rPr>
              <w:t>日历日</w:t>
            </w:r>
          </w:p>
        </w:tc>
      </w:tr>
      <w:tr>
        <w:tblPrEx>
          <w:tblCellMar>
            <w:top w:w="0" w:type="dxa"/>
            <w:left w:w="108" w:type="dxa"/>
            <w:bottom w:w="0" w:type="dxa"/>
            <w:right w:w="108" w:type="dxa"/>
          </w:tblCellMar>
        </w:tblPrEx>
        <w:trPr>
          <w:trHeight w:val="641"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16.1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szCs w:val="21"/>
              </w:rPr>
              <w:t>投标文件及电子文档份数</w:t>
            </w:r>
          </w:p>
        </w:tc>
        <w:tc>
          <w:tcPr>
            <w:tcW w:w="5887"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rPr>
              <w:t>每包纸制投标文件正本 1 份,副本</w:t>
            </w:r>
            <w:r>
              <w:rPr>
                <w:rFonts w:hint="eastAsia"/>
                <w:lang w:val="en-US" w:eastAsia="zh-CN"/>
              </w:rPr>
              <w:t>1</w:t>
            </w:r>
            <w:r>
              <w:rPr>
                <w:rFonts w:hint="eastAsia"/>
              </w:rPr>
              <w:t>份，电子文件 1 份</w:t>
            </w:r>
          </w:p>
        </w:tc>
      </w:tr>
      <w:tr>
        <w:tblPrEx>
          <w:tblCellMar>
            <w:top w:w="0" w:type="dxa"/>
            <w:left w:w="108" w:type="dxa"/>
            <w:bottom w:w="0" w:type="dxa"/>
            <w:right w:w="108" w:type="dxa"/>
          </w:tblCellMar>
        </w:tblPrEx>
        <w:trPr>
          <w:trHeight w:val="631"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递交投标文件截止时间、地点</w:t>
            </w:r>
          </w:p>
        </w:tc>
        <w:tc>
          <w:tcPr>
            <w:tcW w:w="5887"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详见采购公告，以采购公告规定时间、地点为准。</w:t>
            </w:r>
          </w:p>
        </w:tc>
      </w:tr>
      <w:tr>
        <w:tblPrEx>
          <w:tblCellMar>
            <w:top w:w="0" w:type="dxa"/>
            <w:left w:w="108" w:type="dxa"/>
            <w:bottom w:w="0" w:type="dxa"/>
            <w:right w:w="108" w:type="dxa"/>
          </w:tblCellMar>
        </w:tblPrEx>
        <w:trPr>
          <w:trHeight w:val="613"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20.1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开标时间、地点</w:t>
            </w:r>
          </w:p>
        </w:tc>
        <w:tc>
          <w:tcPr>
            <w:tcW w:w="5887"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详见采购公告，以采购公告规定时间、地点为准。</w:t>
            </w:r>
          </w:p>
        </w:tc>
      </w:tr>
      <w:tr>
        <w:tblPrEx>
          <w:tblCellMar>
            <w:top w:w="0" w:type="dxa"/>
            <w:left w:w="108" w:type="dxa"/>
            <w:bottom w:w="0" w:type="dxa"/>
            <w:right w:w="108" w:type="dxa"/>
          </w:tblCellMar>
        </w:tblPrEx>
        <w:trPr>
          <w:trHeight w:val="613"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评标委员会组成</w:t>
            </w:r>
          </w:p>
        </w:tc>
        <w:tc>
          <w:tcPr>
            <w:tcW w:w="5887"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szCs w:val="21"/>
              </w:rPr>
              <w:t>评标委员会由采购人代表</w:t>
            </w:r>
            <w:r>
              <w:rPr>
                <w:rFonts w:hint="eastAsia" w:ascii="仿宋_GB2312" w:hAnsi="仿宋_GB2312" w:eastAsia="仿宋_GB2312" w:cs="仿宋_GB2312"/>
                <w:szCs w:val="21"/>
                <w:u w:val="single"/>
              </w:rPr>
              <w:t xml:space="preserve"> 1 </w:t>
            </w:r>
            <w:r>
              <w:rPr>
                <w:rFonts w:hint="eastAsia" w:ascii="仿宋_GB2312" w:hAnsi="仿宋_GB2312" w:eastAsia="仿宋_GB2312" w:cs="仿宋_GB2312"/>
                <w:szCs w:val="21"/>
              </w:rPr>
              <w:t>人，评审专家</w:t>
            </w:r>
            <w:r>
              <w:rPr>
                <w:rFonts w:hint="eastAsia" w:ascii="仿宋_GB2312" w:hAnsi="仿宋_GB2312" w:eastAsia="仿宋_GB2312" w:cs="仿宋_GB2312"/>
                <w:szCs w:val="21"/>
                <w:u w:val="single"/>
              </w:rPr>
              <w:t>4</w:t>
            </w:r>
            <w:r>
              <w:rPr>
                <w:rFonts w:hint="eastAsia" w:ascii="仿宋_GB2312" w:hAnsi="仿宋_GB2312" w:eastAsia="仿宋_GB2312" w:cs="仿宋_GB2312"/>
                <w:szCs w:val="21"/>
              </w:rPr>
              <w:t>人组成，共</w:t>
            </w:r>
            <w:r>
              <w:rPr>
                <w:rFonts w:hint="eastAsia" w:ascii="仿宋_GB2312" w:hAnsi="仿宋_GB2312" w:eastAsia="仿宋_GB2312" w:cs="仿宋_GB2312"/>
                <w:szCs w:val="21"/>
                <w:u w:val="single"/>
              </w:rPr>
              <w:t>5</w:t>
            </w:r>
            <w:r>
              <w:rPr>
                <w:rFonts w:hint="eastAsia" w:ascii="仿宋_GB2312" w:hAnsi="仿宋_GB2312" w:eastAsia="仿宋_GB2312" w:cs="仿宋_GB2312"/>
                <w:szCs w:val="21"/>
              </w:rPr>
              <w:t xml:space="preserve">人。 </w:t>
            </w:r>
          </w:p>
        </w:tc>
      </w:tr>
      <w:tr>
        <w:tblPrEx>
          <w:tblCellMar>
            <w:top w:w="0" w:type="dxa"/>
            <w:left w:w="108" w:type="dxa"/>
            <w:bottom w:w="0" w:type="dxa"/>
            <w:right w:w="108" w:type="dxa"/>
          </w:tblCellMar>
        </w:tblPrEx>
        <w:trPr>
          <w:trHeight w:val="2183"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25.1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样品的评审方法以及评审标准</w:t>
            </w:r>
          </w:p>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演示的评审方法及评审标准</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bCs/>
                <w:kern w:val="0"/>
                <w:szCs w:val="21"/>
              </w:rPr>
              <w:t>样品：</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1、样品评审方法：</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2、样品评审标准：</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演示：</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1、演示评审方法：</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2、演示评审标准：</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27.2</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评标办法</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综合评分法</w:t>
            </w:r>
          </w:p>
          <w:p>
            <w:pPr>
              <w:widowControl/>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 xml:space="preserve">最低评标价法           </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29.2</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推荐中标候选人的数量</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3家</w:t>
            </w:r>
          </w:p>
        </w:tc>
      </w:tr>
      <w:tr>
        <w:tblPrEx>
          <w:tblCellMar>
            <w:top w:w="0" w:type="dxa"/>
            <w:left w:w="108" w:type="dxa"/>
            <w:bottom w:w="0" w:type="dxa"/>
            <w:right w:w="108" w:type="dxa"/>
          </w:tblCellMar>
        </w:tblPrEx>
        <w:trPr>
          <w:trHeight w:val="94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31</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确定中标人的方式</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中标人数量：</w:t>
            </w:r>
            <w:r>
              <w:rPr>
                <w:rFonts w:hint="eastAsia" w:ascii="仿宋_GB2312" w:hAnsi="仿宋_GB2312" w:eastAsia="仿宋_GB2312" w:cs="仿宋_GB2312"/>
                <w:kern w:val="0"/>
                <w:szCs w:val="21"/>
                <w:u w:val="single"/>
              </w:rPr>
              <w:t xml:space="preserve">   1家   </w:t>
            </w:r>
          </w:p>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采购人委托评标委员会直接确认中标人</w:t>
            </w:r>
          </w:p>
          <w:p>
            <w:pPr>
              <w:widowControl/>
              <w:rPr>
                <w:rFonts w:ascii="仿宋_GB2312" w:hAnsi="仿宋_GB2312" w:eastAsia="仿宋_GB2312" w:cs="仿宋_GB2312"/>
                <w:kern w:val="0"/>
                <w:szCs w:val="21"/>
                <w:u w:val="single"/>
              </w:rPr>
            </w:pPr>
            <w:r>
              <w:rPr>
                <w:rFonts w:hint="eastAsia" w:ascii="仿宋_GB2312" w:hAnsi="仿宋_GB2312" w:eastAsia="仿宋_GB2312" w:cs="仿宋_GB2312"/>
              </w:rPr>
              <w:t>■</w:t>
            </w:r>
            <w:r>
              <w:rPr>
                <w:rFonts w:hint="eastAsia" w:ascii="仿宋_GB2312" w:hAnsi="仿宋_GB2312" w:eastAsia="仿宋_GB2312" w:cs="仿宋_GB2312"/>
                <w:kern w:val="0"/>
                <w:szCs w:val="21"/>
              </w:rPr>
              <w:t>采购人确认中标人</w:t>
            </w:r>
          </w:p>
        </w:tc>
      </w:tr>
      <w:tr>
        <w:tblPrEx>
          <w:tblCellMar>
            <w:top w:w="0" w:type="dxa"/>
            <w:left w:w="108" w:type="dxa"/>
            <w:bottom w:w="0" w:type="dxa"/>
            <w:right w:w="108" w:type="dxa"/>
          </w:tblCellMar>
        </w:tblPrEx>
        <w:trPr>
          <w:trHeight w:val="3115"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35.1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szCs w:val="21"/>
              </w:rPr>
              <w:t>履约保证金</w:t>
            </w:r>
          </w:p>
        </w:tc>
        <w:tc>
          <w:tcPr>
            <w:tcW w:w="5887"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本项目不收取履约保证金</w:t>
            </w:r>
          </w:p>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本项目收取履约保证金</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履约保证金金额：</w:t>
            </w:r>
            <w:r>
              <w:rPr>
                <w:rFonts w:hint="eastAsia" w:ascii="仿宋_GB2312" w:hAnsi="仿宋_GB2312" w:eastAsia="仿宋_GB2312" w:cs="仿宋_GB2312"/>
                <w:kern w:val="0"/>
                <w:szCs w:val="21"/>
                <w:u w:val="single"/>
              </w:rPr>
              <w:t xml:space="preserve">                 </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履约保证金递交时间：</w:t>
            </w:r>
            <w:r>
              <w:rPr>
                <w:rFonts w:hint="eastAsia" w:ascii="仿宋_GB2312" w:hAnsi="仿宋_GB2312" w:eastAsia="仿宋_GB2312" w:cs="仿宋_GB2312"/>
                <w:kern w:val="0"/>
                <w:szCs w:val="21"/>
                <w:u w:val="single"/>
              </w:rPr>
              <w:t xml:space="preserve">             </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履约保证金递交方式：□保函   □支票  □电汇</w:t>
            </w:r>
          </w:p>
          <w:p>
            <w:pPr>
              <w:shd w:val="clear" w:color="auto" w:fill="FFFFFF"/>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账户信息：</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名：</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szCs w:val="21"/>
              </w:rPr>
              <w:t xml:space="preserve"> </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行：</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szCs w:val="21"/>
              </w:rPr>
              <w:t xml:space="preserve"> </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账    号：</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szCs w:val="21"/>
              </w:rPr>
              <w:t xml:space="preserve"> </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履约保证金退还时间及规定：</w:t>
            </w:r>
            <w:r>
              <w:rPr>
                <w:rFonts w:hint="eastAsia" w:ascii="仿宋_GB2312" w:hAnsi="仿宋_GB2312" w:eastAsia="仿宋_GB2312" w:cs="仿宋_GB2312"/>
                <w:kern w:val="0"/>
                <w:szCs w:val="21"/>
                <w:u w:val="single"/>
              </w:rPr>
              <w:t xml:space="preserve">   </w:t>
            </w:r>
          </w:p>
          <w:p>
            <w:pPr>
              <w:shd w:val="clear" w:color="auto" w:fill="FFFFFF"/>
              <w:jc w:val="left"/>
              <w:rPr>
                <w:rFonts w:ascii="仿宋_GB2312" w:hAnsi="仿宋_GB2312" w:eastAsia="仿宋_GB2312" w:cs="仿宋_GB2312"/>
                <w:kern w:val="0"/>
                <w:szCs w:val="21"/>
              </w:rPr>
            </w:pPr>
            <w:r>
              <w:rPr>
                <w:rFonts w:hint="eastAsia" w:ascii="仿宋_GB2312" w:hAnsi="仿宋_GB2312" w:eastAsia="仿宋_GB2312" w:cs="仿宋_GB2312"/>
                <w:b/>
                <w:bCs/>
                <w:szCs w:val="21"/>
              </w:rPr>
              <w:t>（注：财政部门鼓励采用保函的方式递交履约保证金，具体办理流程参阅辽宁政府采购网）</w:t>
            </w:r>
          </w:p>
        </w:tc>
      </w:tr>
      <w:tr>
        <w:tblPrEx>
          <w:tblCellMar>
            <w:top w:w="0" w:type="dxa"/>
            <w:left w:w="108" w:type="dxa"/>
            <w:bottom w:w="0" w:type="dxa"/>
            <w:right w:w="108" w:type="dxa"/>
          </w:tblCellMar>
        </w:tblPrEx>
        <w:trPr>
          <w:trHeight w:val="1252" w:hRule="atLeast"/>
        </w:trPr>
        <w:tc>
          <w:tcPr>
            <w:tcW w:w="852" w:type="dxa"/>
            <w:tcBorders>
              <w:top w:val="nil"/>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1917" w:type="dxa"/>
            <w:tcBorders>
              <w:top w:val="nil"/>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采购代理服务费</w:t>
            </w:r>
          </w:p>
        </w:tc>
        <w:tc>
          <w:tcPr>
            <w:tcW w:w="5887" w:type="dxa"/>
            <w:tcBorders>
              <w:top w:val="nil"/>
              <w:left w:val="nil"/>
              <w:bottom w:val="single" w:color="auto" w:sz="8" w:space="0"/>
              <w:right w:val="single" w:color="auto" w:sz="8" w:space="0"/>
            </w:tcBorders>
            <w:vAlign w:val="center"/>
          </w:tcPr>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本项目不收取</w:t>
            </w:r>
            <w:r>
              <w:rPr>
                <w:rFonts w:hint="eastAsia" w:ascii="仿宋_GB2312" w:hAnsi="仿宋_GB2312" w:eastAsia="仿宋_GB2312" w:cs="仿宋_GB2312"/>
                <w:kern w:val="0"/>
                <w:szCs w:val="21"/>
              </w:rPr>
              <w:t>采购代理服务费</w:t>
            </w:r>
          </w:p>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本项目收取</w:t>
            </w:r>
            <w:r>
              <w:rPr>
                <w:rFonts w:hint="eastAsia" w:ascii="仿宋_GB2312" w:hAnsi="仿宋_GB2312" w:eastAsia="仿宋_GB2312" w:cs="仿宋_GB2312"/>
                <w:kern w:val="0"/>
                <w:szCs w:val="21"/>
              </w:rPr>
              <w:t>采购代理服务费</w:t>
            </w:r>
          </w:p>
          <w:p>
            <w:pPr>
              <w:widowControl/>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本项目采购代理服务费由</w:t>
            </w:r>
            <w:r>
              <w:rPr>
                <w:rFonts w:hint="eastAsia" w:ascii="仿宋_GB2312" w:hAnsi="仿宋_GB2312" w:eastAsia="仿宋_GB2312" w:cs="仿宋_GB2312"/>
                <w:kern w:val="0"/>
                <w:szCs w:val="21"/>
                <w:u w:val="single"/>
              </w:rPr>
              <w:t xml:space="preserve">  中标人  </w:t>
            </w:r>
            <w:r>
              <w:rPr>
                <w:rFonts w:hint="eastAsia" w:ascii="仿宋_GB2312" w:hAnsi="仿宋_GB2312" w:eastAsia="仿宋_GB2312" w:cs="仿宋_GB2312"/>
                <w:kern w:val="0"/>
                <w:szCs w:val="21"/>
              </w:rPr>
              <w:t>向采购代理机构予以支付。</w:t>
            </w:r>
          </w:p>
          <w:p>
            <w:pPr>
              <w:widowControl/>
              <w:ind w:firstLine="420" w:firstLineChars="200"/>
              <w:rPr>
                <w:rFonts w:eastAsia="仿宋_GB2312"/>
              </w:rPr>
            </w:pPr>
            <w:r>
              <w:rPr>
                <w:rFonts w:hint="eastAsia" w:ascii="仿宋_GB2312" w:hAnsi="仿宋_GB2312" w:eastAsia="仿宋_GB2312" w:cs="仿宋_GB2312"/>
                <w:kern w:val="0"/>
                <w:szCs w:val="21"/>
              </w:rPr>
              <w:t>支付标准：</w:t>
            </w:r>
            <w:r>
              <w:rPr>
                <w:rFonts w:eastAsia="仿宋_GB2312"/>
              </w:rPr>
              <w:t>根据国家发改委2002[1980]号文件</w:t>
            </w:r>
            <w:r>
              <w:rPr>
                <w:rFonts w:hint="eastAsia" w:eastAsia="仿宋_GB2312"/>
              </w:rPr>
              <w:t>收费标准下浮20%</w:t>
            </w:r>
            <w:r>
              <w:rPr>
                <w:rFonts w:eastAsia="仿宋_GB2312"/>
              </w:rPr>
              <w:t>向</w:t>
            </w:r>
            <w:r>
              <w:rPr>
                <w:rFonts w:hint="eastAsia" w:eastAsia="仿宋_GB2312"/>
              </w:rPr>
              <w:t>中标人</w:t>
            </w:r>
            <w:r>
              <w:rPr>
                <w:rFonts w:eastAsia="仿宋_GB2312"/>
              </w:rPr>
              <w:t>收取招标代理服务费</w:t>
            </w:r>
            <w:r>
              <w:rPr>
                <w:rFonts w:hint="eastAsia" w:eastAsia="仿宋_GB2312"/>
              </w:rPr>
              <w:t>，中标金额：100万以下部分为1.5%，100-500万为1.1%，500-1000万为0.8%（差额定率累进法）</w:t>
            </w:r>
          </w:p>
          <w:p>
            <w:pPr>
              <w:widowControl/>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支付形式：</w:t>
            </w:r>
            <w:r>
              <w:rPr>
                <w:rFonts w:hint="eastAsia" w:ascii="仿宋_GB2312" w:hAnsi="仿宋_GB2312" w:eastAsia="仿宋_GB2312" w:cs="仿宋_GB2312"/>
              </w:rPr>
              <w:t>■</w:t>
            </w:r>
            <w:r>
              <w:rPr>
                <w:rFonts w:hint="eastAsia" w:ascii="仿宋_GB2312" w:hAnsi="仿宋_GB2312" w:eastAsia="仿宋_GB2312" w:cs="仿宋_GB2312"/>
                <w:szCs w:val="21"/>
              </w:rPr>
              <w:t xml:space="preserve">支票  </w:t>
            </w:r>
            <w:r>
              <w:rPr>
                <w:rFonts w:hint="eastAsia" w:ascii="仿宋_GB2312" w:hAnsi="仿宋_GB2312" w:eastAsia="仿宋_GB2312" w:cs="仿宋_GB2312"/>
              </w:rPr>
              <w:t>■</w:t>
            </w:r>
            <w:r>
              <w:rPr>
                <w:rFonts w:hint="eastAsia" w:ascii="仿宋_GB2312" w:hAnsi="仿宋_GB2312" w:eastAsia="仿宋_GB2312" w:cs="仿宋_GB2312"/>
                <w:szCs w:val="21"/>
              </w:rPr>
              <w:t xml:space="preserve">电汇  </w:t>
            </w:r>
            <w:r>
              <w:rPr>
                <w:rFonts w:hint="eastAsia" w:ascii="仿宋_GB2312" w:hAnsi="仿宋_GB2312" w:eastAsia="仿宋_GB2312" w:cs="仿宋_GB2312"/>
              </w:rPr>
              <w:t>■</w:t>
            </w:r>
            <w:r>
              <w:rPr>
                <w:rFonts w:hint="eastAsia" w:ascii="仿宋_GB2312" w:hAnsi="仿宋_GB2312" w:eastAsia="仿宋_GB2312" w:cs="仿宋_GB2312"/>
                <w:szCs w:val="21"/>
              </w:rPr>
              <w:t>现金</w:t>
            </w:r>
          </w:p>
          <w:p>
            <w:pPr>
              <w:widowControl/>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支付时间：领取中标通知书同时</w:t>
            </w:r>
          </w:p>
        </w:tc>
      </w:tr>
      <w:tr>
        <w:tblPrEx>
          <w:tblCellMar>
            <w:top w:w="0" w:type="dxa"/>
            <w:left w:w="108" w:type="dxa"/>
            <w:bottom w:w="0" w:type="dxa"/>
            <w:right w:w="108" w:type="dxa"/>
          </w:tblCellMar>
        </w:tblPrEx>
        <w:trPr>
          <w:trHeight w:val="614" w:hRule="atLeast"/>
        </w:trPr>
        <w:tc>
          <w:tcPr>
            <w:tcW w:w="852" w:type="dxa"/>
            <w:tcBorders>
              <w:top w:val="single" w:color="auto" w:sz="4" w:space="0"/>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39.3</w:t>
            </w:r>
          </w:p>
        </w:tc>
        <w:tc>
          <w:tcPr>
            <w:tcW w:w="1917" w:type="dxa"/>
            <w:tcBorders>
              <w:top w:val="single" w:color="auto" w:sz="4" w:space="0"/>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质疑</w:t>
            </w:r>
          </w:p>
        </w:tc>
        <w:tc>
          <w:tcPr>
            <w:tcW w:w="5887" w:type="dxa"/>
            <w:tcBorders>
              <w:top w:val="single" w:color="auto" w:sz="4" w:space="0"/>
              <w:left w:val="nil"/>
              <w:bottom w:val="single" w:color="auto" w:sz="4" w:space="0"/>
              <w:right w:val="single" w:color="auto" w:sz="8" w:space="0"/>
            </w:tcBorders>
            <w:vAlign w:val="center"/>
          </w:tcPr>
          <w:p>
            <w:pPr>
              <w:widowControl/>
              <w:snapToGrid w:val="0"/>
              <w:rPr>
                <w:rFonts w:ascii="仿宋_GB2312" w:hAnsi="仿宋" w:eastAsia="仿宋_GB2312"/>
                <w:szCs w:val="21"/>
              </w:rPr>
            </w:pPr>
            <w:r>
              <w:rPr>
                <w:rFonts w:hint="eastAsia" w:ascii="仿宋_GB2312" w:hAnsi="仿宋" w:eastAsia="仿宋_GB2312"/>
                <w:szCs w:val="21"/>
              </w:rPr>
              <w:t>一、投标人认为自己的权益受到损害的，可以在知道或者应知其权益受到损害之日起七个工作日内，向采购代理机构提出质疑。</w:t>
            </w:r>
          </w:p>
          <w:p>
            <w:pPr>
              <w:widowControl/>
              <w:snapToGrid w:val="0"/>
              <w:rPr>
                <w:rFonts w:ascii="仿宋_GB2312" w:hAnsi="仿宋" w:eastAsia="仿宋_GB2312"/>
                <w:szCs w:val="21"/>
              </w:rPr>
            </w:pPr>
            <w:r>
              <w:rPr>
                <w:rFonts w:hint="eastAsia" w:ascii="仿宋_GB2312" w:hAnsi="仿宋" w:eastAsia="仿宋_GB2312"/>
                <w:szCs w:val="21"/>
              </w:rPr>
              <w:t>1.接收质疑函的方式：接收加盖单位公章的书面纸质疑函</w:t>
            </w:r>
          </w:p>
          <w:p>
            <w:pPr>
              <w:widowControl/>
              <w:snapToGrid w:val="0"/>
              <w:ind w:firstLine="210" w:firstLineChars="100"/>
              <w:rPr>
                <w:rFonts w:ascii="仿宋_GB2312" w:hAnsi="仿宋" w:eastAsia="仿宋_GB2312"/>
                <w:szCs w:val="21"/>
              </w:rPr>
            </w:pPr>
            <w:r>
              <w:rPr>
                <w:rFonts w:hint="eastAsia" w:ascii="仿宋_GB2312" w:hAnsi="仿宋" w:eastAsia="仿宋_GB2312"/>
                <w:szCs w:val="21"/>
              </w:rPr>
              <w:t xml:space="preserve">联系单位：辽宁承明招投标有限公司 </w:t>
            </w:r>
          </w:p>
          <w:p>
            <w:pPr>
              <w:widowControl/>
              <w:snapToGrid w:val="0"/>
              <w:ind w:firstLine="210" w:firstLineChars="100"/>
              <w:rPr>
                <w:rFonts w:ascii="仿宋_GB2312" w:hAnsi="仿宋" w:eastAsia="仿宋_GB2312"/>
                <w:szCs w:val="21"/>
              </w:rPr>
            </w:pPr>
            <w:r>
              <w:rPr>
                <w:rFonts w:hint="eastAsia" w:ascii="仿宋_GB2312" w:hAnsi="仿宋" w:eastAsia="仿宋_GB2312"/>
                <w:szCs w:val="21"/>
              </w:rPr>
              <w:t>联 系 人：孙先生</w:t>
            </w:r>
          </w:p>
          <w:p>
            <w:pPr>
              <w:widowControl/>
              <w:snapToGrid w:val="0"/>
              <w:ind w:firstLine="210" w:firstLineChars="100"/>
              <w:rPr>
                <w:rFonts w:ascii="仿宋_GB2312" w:hAnsi="仿宋" w:eastAsia="仿宋_GB2312"/>
                <w:szCs w:val="21"/>
              </w:rPr>
            </w:pPr>
            <w:r>
              <w:rPr>
                <w:rFonts w:hint="eastAsia" w:ascii="仿宋_GB2312" w:hAnsi="仿宋" w:eastAsia="仿宋_GB2312"/>
                <w:szCs w:val="21"/>
              </w:rPr>
              <w:t>联系电话：024-86803737</w:t>
            </w:r>
          </w:p>
          <w:p>
            <w:pPr>
              <w:widowControl/>
              <w:snapToGrid w:val="0"/>
              <w:ind w:left="210" w:leftChars="100"/>
              <w:rPr>
                <w:rFonts w:ascii="仿宋_GB2312" w:hAnsi="仿宋" w:eastAsia="仿宋_GB2312"/>
                <w:szCs w:val="21"/>
              </w:rPr>
            </w:pPr>
            <w:r>
              <w:rPr>
                <w:rFonts w:hint="eastAsia" w:ascii="仿宋_GB2312" w:hAnsi="仿宋" w:eastAsia="仿宋_GB2312"/>
                <w:szCs w:val="21"/>
              </w:rPr>
              <w:t>通讯地址：</w:t>
            </w:r>
            <w:r>
              <w:rPr>
                <w:rFonts w:hint="eastAsia" w:ascii="仿宋_GB2312" w:hAnsi="宋体" w:eastAsia="仿宋_GB2312"/>
              </w:rPr>
              <w:t>沈阳市皇姑区黄河南大街106号丽阳商务大厦A座16层1602室</w:t>
            </w:r>
          </w:p>
          <w:p>
            <w:pPr>
              <w:widowControl/>
              <w:snapToGrid w:val="0"/>
              <w:rPr>
                <w:rFonts w:ascii="仿宋_GB2312" w:hAnsi="仿宋" w:eastAsia="仿宋_GB2312"/>
                <w:szCs w:val="21"/>
              </w:rPr>
            </w:pPr>
            <w:r>
              <w:rPr>
                <w:rFonts w:hint="eastAsia" w:ascii="仿宋_GB2312" w:hAnsi="仿宋" w:eastAsia="仿宋_GB2312"/>
                <w:szCs w:val="21"/>
              </w:rPr>
              <w:t>2.质疑函的内容、格式：应符合《政府采购质疑和投诉办法》相关规定和财政部门制定的《政府采购质疑函范本》格式。</w:t>
            </w:r>
          </w:p>
          <w:p>
            <w:pPr>
              <w:pStyle w:val="8"/>
              <w:rPr>
                <w:rFonts w:ascii="仿宋_GB2312" w:hAnsi="仿宋_GB2312" w:eastAsia="仿宋_GB2312" w:cs="仿宋_GB2312"/>
                <w:kern w:val="0"/>
                <w:szCs w:val="21"/>
              </w:rPr>
            </w:pPr>
            <w:r>
              <w:rPr>
                <w:rFonts w:hint="eastAsia" w:ascii="仿宋_GB2312" w:hAnsi="仿宋" w:eastAsia="仿宋_GB2312"/>
                <w:szCs w:val="21"/>
              </w:rPr>
              <w:t>二、投标人应在法定质疑期内一次性针对同一采购程序环节提出质疑，否则针对再次提出质疑将不予接收（采购程序环节分为：采购公告、招标文件、招标过程、中标结果）。</w:t>
            </w:r>
          </w:p>
        </w:tc>
      </w:tr>
      <w:tr>
        <w:tblPrEx>
          <w:tblCellMar>
            <w:top w:w="0" w:type="dxa"/>
            <w:left w:w="108" w:type="dxa"/>
            <w:bottom w:w="0" w:type="dxa"/>
            <w:right w:w="108" w:type="dxa"/>
          </w:tblCellMar>
        </w:tblPrEx>
        <w:trPr>
          <w:trHeight w:val="8634" w:hRule="atLeast"/>
        </w:trPr>
        <w:tc>
          <w:tcPr>
            <w:tcW w:w="852" w:type="dxa"/>
            <w:tcBorders>
              <w:top w:val="single" w:color="auto" w:sz="4" w:space="0"/>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1917" w:type="dxa"/>
            <w:tcBorders>
              <w:top w:val="single" w:color="auto" w:sz="4" w:space="0"/>
              <w:left w:val="single" w:color="auto" w:sz="4" w:space="0"/>
              <w:bottom w:val="single" w:color="auto" w:sz="4" w:space="0"/>
              <w:right w:val="single" w:color="auto" w:sz="8" w:space="0"/>
            </w:tcBorders>
            <w:vAlign w:val="center"/>
          </w:tcPr>
          <w:p>
            <w:pPr>
              <w:widowControl/>
              <w:jc w:val="center"/>
            </w:pPr>
            <w:r>
              <w:rPr>
                <w:rFonts w:hint="eastAsia"/>
              </w:rPr>
              <w:t>特殊说明</w:t>
            </w:r>
          </w:p>
        </w:tc>
        <w:tc>
          <w:tcPr>
            <w:tcW w:w="5887" w:type="dxa"/>
            <w:tcBorders>
              <w:top w:val="single" w:color="auto" w:sz="4" w:space="0"/>
              <w:left w:val="nil"/>
              <w:bottom w:val="single" w:color="auto" w:sz="4" w:space="0"/>
              <w:right w:val="single" w:color="auto" w:sz="8" w:space="0"/>
            </w:tcBorders>
            <w:vAlign w:val="center"/>
          </w:tcPr>
          <w:p>
            <w:pPr>
              <w:widowControl/>
              <w:jc w:val="left"/>
            </w:pPr>
            <w:r>
              <w:rPr>
                <w:rFonts w:hint="eastAsia"/>
              </w:rPr>
              <w:t>1.因新冠疫情防控需要，本项目鼓励供应商采取非现场方式递交纸质投标文件，比如邮寄。</w:t>
            </w:r>
          </w:p>
          <w:p>
            <w:pPr>
              <w:widowControl/>
              <w:jc w:val="left"/>
            </w:pPr>
            <w:r>
              <w:rPr>
                <w:rFonts w:hint="eastAsia"/>
              </w:rPr>
              <w:t xml:space="preserve">2.邮寄纸质投标文件地址：辽宁承明招投标有限公司（沈阳市皇姑区黄河南大街106号丽阳商务大厦A座16层1602室）。收件联系人：孙先生、张女士   联系电话：024-86803737   </w:t>
            </w:r>
          </w:p>
          <w:p>
            <w:pPr>
              <w:widowControl/>
              <w:jc w:val="left"/>
            </w:pPr>
            <w:r>
              <w:rPr>
                <w:rFonts w:hint="eastAsia"/>
              </w:rPr>
              <w:t xml:space="preserve">请供应商掌握好邮寄时间，须于递交投标文件截止时间前邮寄到，以签收时间为准，超过截止时间的文件将被拒绝接收。供应商对邮寄的迟达、丢失、未按规定密封、包装破损等自行承担责任和风险，采购人及采购代理机构不予受理因此提出的质疑。 </w:t>
            </w:r>
          </w:p>
          <w:p>
            <w:pPr>
              <w:widowControl/>
              <w:jc w:val="left"/>
            </w:pPr>
            <w:r>
              <w:rPr>
                <w:rFonts w:hint="eastAsia"/>
              </w:rPr>
              <w:t>3.本项目不要求供应商授权代表必须参加现场开标大会、开启投标文件活动，但邀请授权代表在线观看相关活动的网络直播且供应商能够自行解密报价（采用微信等软件进行网络直播活动）。</w:t>
            </w:r>
          </w:p>
          <w:p>
            <w:pPr>
              <w:widowControl/>
              <w:jc w:val="left"/>
            </w:pPr>
            <w:r>
              <w:rPr>
                <w:rFonts w:hint="eastAsia"/>
              </w:rPr>
              <w:t xml:space="preserve">4.采购全过程直至中标结果公示发布，请供应商的法定代表人 </w:t>
            </w:r>
          </w:p>
          <w:p>
            <w:pPr>
              <w:widowControl/>
              <w:jc w:val="left"/>
            </w:pPr>
            <w:r>
              <w:rPr>
                <w:rFonts w:hint="eastAsia"/>
              </w:rPr>
              <w:t xml:space="preserve">或其授权委托人必须保持手机通话畅通，如因供应商原因造 </w:t>
            </w:r>
          </w:p>
          <w:p>
            <w:pPr>
              <w:widowControl/>
              <w:jc w:val="left"/>
            </w:pPr>
            <w:r>
              <w:rPr>
                <w:rFonts w:hint="eastAsia"/>
              </w:rPr>
              <w:t xml:space="preserve">成代理机构无法与其取得联系，一切不良后果均由供应商自行 </w:t>
            </w:r>
          </w:p>
          <w:p>
            <w:pPr>
              <w:widowControl/>
              <w:jc w:val="left"/>
            </w:pPr>
            <w:r>
              <w:rPr>
                <w:rFonts w:hint="eastAsia"/>
              </w:rPr>
              <w:t xml:space="preserve">承担。 </w:t>
            </w:r>
          </w:p>
          <w:p>
            <w:pPr>
              <w:widowControl/>
              <w:jc w:val="left"/>
            </w:pPr>
            <w:r>
              <w:rPr>
                <w:rFonts w:hint="eastAsia"/>
              </w:rPr>
              <w:t>5.根据我国海关对科学研究和教学用品免征进口税收等相关政策的规定，采购方具有免税资格，对于本次采购项目中的进口设备，学校用于科教领域，投标供应商对所投进口设备是否免税需自行判断，投标报价无论免税价格还是含税价格，均应包括货物、随配附件、办理进口货物报关及清关等相关费用、运至指定交货地点费用、安装费、调试费、验收费、售后服务费用、税金及其他所有相关费用的总和。 采购单位不再单独支付其他任何费用。中标供应商如需办理减免税手续，采购方将无偿提供教学的相关材料配合供应商办理减免税手续， 但对办理减免税未能成功的结果不承担责任。</w:t>
            </w:r>
          </w:p>
        </w:tc>
      </w:tr>
      <w:tr>
        <w:tblPrEx>
          <w:tblCellMar>
            <w:top w:w="0" w:type="dxa"/>
            <w:left w:w="108" w:type="dxa"/>
            <w:bottom w:w="0" w:type="dxa"/>
            <w:right w:w="108" w:type="dxa"/>
          </w:tblCellMar>
        </w:tblPrEx>
        <w:trPr>
          <w:trHeight w:val="614" w:hRule="atLeast"/>
        </w:trPr>
        <w:tc>
          <w:tcPr>
            <w:tcW w:w="852"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p>
        </w:tc>
        <w:tc>
          <w:tcPr>
            <w:tcW w:w="1917" w:type="dxa"/>
            <w:tcBorders>
              <w:top w:val="single" w:color="auto" w:sz="4" w:space="0"/>
              <w:left w:val="single" w:color="auto" w:sz="4" w:space="0"/>
              <w:bottom w:val="single" w:color="auto" w:sz="8" w:space="0"/>
              <w:right w:val="single" w:color="auto" w:sz="8" w:space="0"/>
            </w:tcBorders>
            <w:shd w:val="clear" w:color="auto" w:fill="FFFFFF" w:themeFill="background1"/>
            <w:vAlign w:val="center"/>
          </w:tcPr>
          <w:p>
            <w:pPr>
              <w:widowControl/>
              <w:jc w:val="left"/>
            </w:pPr>
            <w:r>
              <w:rPr>
                <w:rFonts w:hint="eastAsia"/>
              </w:rPr>
              <w:t>电子招投标相关事项</w:t>
            </w:r>
          </w:p>
        </w:tc>
        <w:tc>
          <w:tcPr>
            <w:tcW w:w="5887" w:type="dxa"/>
            <w:tcBorders>
              <w:top w:val="single" w:color="auto" w:sz="4" w:space="0"/>
              <w:left w:val="nil"/>
              <w:bottom w:val="single" w:color="auto" w:sz="8" w:space="0"/>
              <w:right w:val="single" w:color="auto" w:sz="8" w:space="0"/>
            </w:tcBorders>
            <w:shd w:val="clear" w:color="auto" w:fill="FFFFFF" w:themeFill="background1"/>
            <w:vAlign w:val="center"/>
          </w:tcPr>
          <w:p>
            <w:pPr>
              <w:widowControl/>
              <w:jc w:val="left"/>
            </w:pPr>
            <w:r>
              <w:rPr>
                <w:rFonts w:hint="eastAsia"/>
              </w:rPr>
              <w:t>1.要求供应商同时准备电子投标（响应）文件、纸质投标（响应）文件以及电子文件和纸质文件一致性承诺函（评标以电子投标文件为准），并按招标（采购）文件要求进行签字、盖章。评标（评审）过程中，纸质投标（响应）文件不得启封、拆包。非供应商原因造成电子投标（响应）文件无法解密或电子评标（评审）无法正常进行的，经采购人或采购代理机构上报本级财政部门后，可使用纸质文件进行评标（评审），同时，要在现场组织供应商进行确认并做好记录存档。</w:t>
            </w:r>
            <w:r>
              <w:rPr>
                <w:rFonts w:hint="eastAsia"/>
              </w:rPr>
              <w:br w:type="textWrapping"/>
            </w:r>
            <w:r>
              <w:rPr>
                <w:rFonts w:hint="eastAsia"/>
              </w:rPr>
              <w:t>2.</w:t>
            </w:r>
            <w:r>
              <w:rPr>
                <w:rFonts w:hint="eastAsia" w:ascii="仿宋_GB2312" w:hAnsi="仿宋_GB2312" w:eastAsia="仿宋_GB2312" w:cs="仿宋_GB2312"/>
                <w:szCs w:val="21"/>
              </w:rPr>
              <w:t>本项目采用全流程电子招投标</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参与本项目的供应商须自行办理好CA锁</w:t>
            </w:r>
            <w:r>
              <w:rPr>
                <w:rFonts w:hint="eastAsia" w:ascii="仿宋_GB2312" w:hAnsi="仿宋_GB2312" w:eastAsia="仿宋_GB2312" w:cs="仿宋_GB2312"/>
                <w:szCs w:val="21"/>
                <w:lang w:eastAsia="zh-CN"/>
              </w:rPr>
              <w:t>，投标</w:t>
            </w:r>
            <w:r>
              <w:rPr>
                <w:rFonts w:hint="eastAsia" w:ascii="仿宋_GB2312" w:hAnsi="仿宋_GB2312" w:eastAsia="仿宋_GB2312" w:cs="仿宋_GB2312"/>
                <w:szCs w:val="21"/>
              </w:rPr>
              <w:t>文件递交方式采用线上递交及现场纸质递交同时执行并保持一致，如因供应商自身原因导致未递交</w:t>
            </w:r>
            <w:r>
              <w:rPr>
                <w:rFonts w:hint="eastAsia" w:ascii="仿宋_GB2312" w:hAnsi="仿宋_GB2312" w:eastAsia="仿宋_GB2312" w:cs="仿宋_GB2312"/>
                <w:szCs w:val="21"/>
                <w:lang w:eastAsia="zh-CN"/>
              </w:rPr>
              <w:t>投标</w:t>
            </w:r>
            <w:r>
              <w:rPr>
                <w:rFonts w:hint="eastAsia" w:ascii="仿宋_GB2312" w:hAnsi="仿宋_GB2312" w:eastAsia="仿宋_GB2312" w:cs="仿宋_GB2312"/>
                <w:szCs w:val="21"/>
              </w:rPr>
              <w:t>文件的按照无效</w:t>
            </w:r>
            <w:r>
              <w:rPr>
                <w:rFonts w:hint="eastAsia" w:ascii="仿宋_GB2312" w:hAnsi="仿宋_GB2312" w:eastAsia="仿宋_GB2312" w:cs="仿宋_GB2312"/>
                <w:szCs w:val="21"/>
                <w:lang w:eastAsia="zh-CN"/>
              </w:rPr>
              <w:t>投标</w:t>
            </w:r>
            <w:r>
              <w:rPr>
                <w:rFonts w:hint="eastAsia" w:ascii="仿宋_GB2312" w:hAnsi="仿宋_GB2312" w:eastAsia="仿宋_GB2312" w:cs="仿宋_GB2312"/>
                <w:szCs w:val="21"/>
              </w:rPr>
              <w:t>文件处理。具体操作流程详见辽宁政府采购相关通知</w:t>
            </w:r>
            <w:r>
              <w:rPr>
                <w:rFonts w:hint="eastAsia"/>
              </w:rPr>
              <w:t>。</w:t>
            </w:r>
          </w:p>
        </w:tc>
      </w:tr>
    </w:tbl>
    <w:p>
      <w:pPr>
        <w:rPr>
          <w:rFonts w:ascii="仿宋_GB2312" w:hAnsi="仿宋_GB2312" w:eastAsia="仿宋_GB2312" w:cs="仿宋_GB2312"/>
        </w:rPr>
      </w:pPr>
      <w:r>
        <w:rPr>
          <w:rFonts w:hint="eastAsia" w:ascii="仿宋_GB2312" w:hAnsi="仿宋_GB2312" w:eastAsia="仿宋_GB2312" w:cs="仿宋_GB2312"/>
        </w:rPr>
        <w:t>3注：表格中“</w:t>
      </w:r>
      <w:r>
        <w:rPr>
          <w:rFonts w:hint="eastAsia" w:ascii="仿宋_GB2312" w:hAnsi="仿宋_GB2312" w:eastAsia="仿宋_GB2312" w:cs="仿宋_GB2312"/>
        </w:rPr>
        <w:sym w:font="Wingdings 2" w:char="0052"/>
      </w:r>
      <w:r>
        <w:rPr>
          <w:rFonts w:hint="eastAsia" w:ascii="仿宋_GB2312" w:hAnsi="仿宋_GB2312" w:eastAsia="仿宋_GB2312" w:cs="仿宋_GB2312"/>
        </w:rPr>
        <w:t>”项或“■”项为被选中项。</w:t>
      </w:r>
    </w:p>
    <w:p>
      <w:pPr>
        <w:pStyle w:val="5"/>
        <w:adjustRightInd w:val="0"/>
        <w:snapToGrid w:val="0"/>
        <w:spacing w:before="0" w:after="0" w:line="360" w:lineRule="auto"/>
        <w:rPr>
          <w:rFonts w:ascii="仿宋_GB2312" w:hAnsi="仿宋_GB2312" w:eastAsia="仿宋_GB2312" w:cs="仿宋_GB2312"/>
          <w:sz w:val="32"/>
          <w:szCs w:val="36"/>
        </w:rPr>
      </w:pPr>
      <w:r>
        <w:rPr>
          <w:rFonts w:hint="eastAsia" w:ascii="仿宋_GB2312" w:hAnsi="仿宋_GB2312" w:eastAsia="仿宋_GB2312" w:cs="仿宋_GB2312"/>
          <w:sz w:val="21"/>
          <w:szCs w:val="21"/>
        </w:rPr>
        <w:br w:type="page"/>
      </w:r>
      <w:bookmarkStart w:id="64" w:name="_Toc30384_WPSOffice_Level2"/>
      <w:r>
        <w:rPr>
          <w:rFonts w:hint="eastAsia" w:ascii="仿宋_GB2312" w:hAnsi="仿宋_GB2312" w:eastAsia="仿宋_GB2312" w:cs="仿宋_GB2312"/>
          <w:sz w:val="32"/>
          <w:szCs w:val="36"/>
        </w:rPr>
        <w:t>二 总 则</w:t>
      </w:r>
      <w:bookmarkEnd w:id="64"/>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1.采购人、采购代理机构及投标人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1.1采购人：是指依法进行政府采购的国家机关、事业单位、团体组织。本项目采购人见投标人须知表1.1款。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1.2采购代理机构：是指集中采购机构或从事采购代理业务的社会中介机构，本项目的采购代理机构见投标人须知表1.2款。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★1.3投标人：是指向采购人提供货物、工程或者服务的法人、非法人组织或者自然人。本项目的投标人及其投标货物须满足以下条件：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1.3.1在中华人民共和国境内注册，能够独立承担民事责任，有生产或供应能力的本国供应商。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1.3.2符合《中华人民共和国政府采购法》第二十二条关于供应商条件的规定，遵守本项目采购人本级和上级财政部门关于政府采购的有关规定。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1.3.3以采购代理机构认可的方式获得了本项目的招标文件。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1.3.4符合投标人须知表1.3.4款中规定的资格条件。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若投标人须知表1.3.5款中未写明允许采购进口产品，如投标人所投产品为进口产品，其投标将被认定为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1.3.6若投标人须知表1.3.6款中写明专门面向中小企业采购的，如投标人为非中小企业且所投产品为非中小企业产品，其投标将被认定为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★1.4如投标人须知表1.4款中允许联合体投标，对联合体规定如下：</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1.4.1两个以上供应商可以组成一个投标联合体，以一个投标人的身份投标。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1.4.2联合体各方均应符合《中华人民共和国政府采购法》第二十二条规定的条件。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1.4.3采购人根据采购项目对投标人的特殊要求，联合体中至少应当有一方符合相关规定。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1.4.4联合体各方应签订共同投标协议，明确约定联合体各方承担的工作和相应的责任。</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1.4.5大中型企业、其他自然人、法人或者非法人组织与小型、微型企业组成联合体共同参加投标，共同投标协议中应写明小型、微型企业的协议合同金额占到共同投标协议投标总金额的比例。</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1.4.6联合体中有同类资质的供应商按照联合体分工承担相同工作的，按照较低的资质等级确定联合体的资质等级。</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1.4.7以联合体形式参加政府采购活动的，联合体各方不得再单独参加或者与其他供应商另外组成联合体参加本项目投标，否则相关投标将被认定为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（1）两个以上的自然人、法人或者其他组织可以组成一个联合体，以一个投标人的身份共同参加政府采购活动。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（2）联合体中标的，联合体各方应共同与采购人签订采购合同，就采购合同约定的事项对采购人承担连带责任。</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1.4.8对联合体投标的其他资格要求见投标人须知表1.4.8款。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★1.5单位负责人为同一人或者存在直接控股、管理关系的不同供应商，其相关投标将被认定为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★1.6为本项目提供过整体设计、规范编制或者项目管理、监理、检测等服务的供应商，不得再参加本项目上述服务以外的其他采购活动，否则其投标将被认定为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★1.7投标人在投标过程中不得向采购人提供、给予任何有价值的物品，影响其正常决策行为。一经发现，其将被认定为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2.资金来源</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2.1本项目的采购人已获得足以支付本次招标后所签订的合同项下的资金（包括财政性资金和本项目采购中无法与财政性资金分割的非财政性资金）。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b/>
          <w:bCs/>
          <w:szCs w:val="21"/>
        </w:rPr>
        <w:t>★</w:t>
      </w:r>
      <w:r>
        <w:rPr>
          <w:rFonts w:hint="eastAsia" w:ascii="仿宋_GB2312" w:hAnsi="仿宋_GB2312" w:eastAsia="仿宋_GB2312" w:cs="仿宋_GB2312"/>
          <w:szCs w:val="21"/>
        </w:rPr>
        <w:t>2.2项目预算金额和分项或分包最高限价见投标人须知表2.2款。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b/>
          <w:bCs/>
          <w:szCs w:val="21"/>
        </w:rPr>
        <w:t>★</w:t>
      </w:r>
      <w:r>
        <w:rPr>
          <w:rFonts w:hint="eastAsia" w:ascii="仿宋_GB2312" w:hAnsi="仿宋_GB2312" w:eastAsia="仿宋_GB2312" w:cs="仿宋_GB2312"/>
          <w:szCs w:val="21"/>
        </w:rPr>
        <w:t>2.3投标人报价超过招标文件规定的预算金额或者分项、分包最高限价的，其投标将被认定为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bookmarkStart w:id="65" w:name="_Toc266951048"/>
      <w:r>
        <w:rPr>
          <w:rFonts w:hint="eastAsia" w:ascii="仿宋_GB2312" w:hAnsi="仿宋_GB2312" w:eastAsia="仿宋_GB2312" w:cs="仿宋_GB2312"/>
          <w:b/>
          <w:bCs/>
          <w:szCs w:val="21"/>
        </w:rPr>
        <w:t>3.语言文字</w:t>
      </w:r>
      <w:bookmarkEnd w:id="65"/>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除专用术语外，与投标有关的语言均使用中文。必要时专用术语应附有中文注释。对不同文字文本投标文件的解释发生异议的，以中文文本为准。</w:t>
      </w:r>
    </w:p>
    <w:p>
      <w:pPr>
        <w:adjustRightInd w:val="0"/>
        <w:snapToGrid w:val="0"/>
        <w:spacing w:line="360" w:lineRule="auto"/>
        <w:rPr>
          <w:rFonts w:ascii="仿宋_GB2312" w:hAnsi="仿宋_GB2312" w:eastAsia="仿宋_GB2312" w:cs="仿宋_GB2312"/>
          <w:b/>
          <w:bCs/>
          <w:szCs w:val="21"/>
        </w:rPr>
      </w:pPr>
      <w:bookmarkStart w:id="66" w:name="_1.8_计量单位"/>
      <w:bookmarkEnd w:id="66"/>
      <w:bookmarkStart w:id="67" w:name="_Toc266951049"/>
      <w:r>
        <w:rPr>
          <w:rFonts w:hint="eastAsia" w:ascii="仿宋_GB2312" w:hAnsi="仿宋_GB2312" w:eastAsia="仿宋_GB2312" w:cs="仿宋_GB2312"/>
          <w:szCs w:val="21"/>
        </w:rPr>
        <w:t>★</w:t>
      </w:r>
      <w:r>
        <w:rPr>
          <w:rFonts w:hint="eastAsia" w:ascii="仿宋_GB2312" w:hAnsi="仿宋_GB2312" w:eastAsia="仿宋_GB2312" w:cs="仿宋_GB2312"/>
          <w:b/>
          <w:bCs/>
          <w:szCs w:val="21"/>
        </w:rPr>
        <w:t>4.计量单位</w:t>
      </w:r>
      <w:bookmarkEnd w:id="67"/>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除投标人须知表4款中有特殊要求外，投标文件中所使用的计量单位，应采用中华人民共和国法定计量单位。</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5.投标费用</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不论投标的结果如何，投标人应承担所有与投标有关的费用。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6.现场考察、开标前答疑会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6.1</w:t>
      </w:r>
      <w:r>
        <w:fldChar w:fldCharType="begin"/>
      </w:r>
      <w:r>
        <w:instrText xml:space="preserve"> HYPERLINK \l "_踏勘现场" </w:instrText>
      </w:r>
      <w:r>
        <w:fldChar w:fldCharType="separate"/>
      </w:r>
      <w:r>
        <w:rPr>
          <w:rFonts w:hint="eastAsia" w:ascii="仿宋_GB2312" w:hAnsi="仿宋_GB2312" w:eastAsia="仿宋_GB2312" w:cs="仿宋_GB2312"/>
          <w:szCs w:val="21"/>
        </w:rPr>
        <w:t>投标人须知表</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6.1款规定组织现场考察或开标前答疑会的，采购人按规定的时间、地点组织投标人现场考察或开标前答疑会，或者在领取招标文件期限截止后以书面形式通知所有获取招标文件的潜在投标人。</w:t>
      </w:r>
    </w:p>
    <w:p>
      <w:pPr>
        <w:adjustRightInd w:val="0"/>
        <w:snapToGrid w:val="0"/>
        <w:spacing w:line="360" w:lineRule="auto"/>
        <w:rPr>
          <w:rFonts w:ascii="仿宋_GB2312" w:hAnsi="仿宋_GB2312" w:eastAsia="仿宋_GB2312" w:cs="仿宋_GB2312"/>
          <w:b/>
          <w:bCs/>
          <w:szCs w:val="21"/>
        </w:rPr>
      </w:pPr>
      <w:bookmarkStart w:id="68" w:name="_1.10_投标预备会"/>
      <w:bookmarkEnd w:id="68"/>
      <w:r>
        <w:rPr>
          <w:rFonts w:hint="eastAsia" w:ascii="仿宋_GB2312" w:hAnsi="仿宋_GB2312" w:eastAsia="仿宋_GB2312" w:cs="仿宋_GB2312"/>
          <w:szCs w:val="21"/>
        </w:rPr>
        <w:t>6.2</w:t>
      </w:r>
      <w:r>
        <w:rPr>
          <w:rFonts w:hint="eastAsia" w:ascii="仿宋_GB2312" w:hAnsi="仿宋_GB2312" w:eastAsia="仿宋_GB2312" w:cs="仿宋_GB2312"/>
          <w:kern w:val="0"/>
          <w:szCs w:val="21"/>
        </w:rPr>
        <w:t>由于未参加现场考察或标前答疑而导致对项目实际情况不了解，影响技术文件编制、</w:t>
      </w:r>
      <w:r>
        <w:fldChar w:fldCharType="begin"/>
      </w:r>
      <w: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fldChar w:fldCharType="separate"/>
      </w:r>
      <w:r>
        <w:rPr>
          <w:rFonts w:hint="eastAsia" w:ascii="仿宋_GB2312" w:hAnsi="仿宋_GB2312" w:eastAsia="仿宋_GB2312" w:cs="仿宋_GB2312"/>
          <w:kern w:val="0"/>
          <w:szCs w:val="21"/>
        </w:rPr>
        <w:t>投标报价</w:t>
      </w:r>
      <w:r>
        <w:rPr>
          <w:rFonts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准确性、综合因素响应不全面等问题的，由投标人自行承担相应后果。</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6.3现场考察及参加标前答疑会所发生的费用及一切责任由投标人自行承担。</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7.适用法律</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pPr>
        <w:pStyle w:val="5"/>
        <w:rPr>
          <w:rFonts w:ascii="仿宋_GB2312" w:hAnsi="仿宋_GB2312" w:eastAsia="仿宋_GB2312" w:cs="仿宋_GB2312"/>
          <w:sz w:val="32"/>
          <w:szCs w:val="28"/>
        </w:rPr>
      </w:pPr>
      <w:bookmarkStart w:id="69" w:name="_Toc10106_WPSOffice_Level2"/>
      <w:r>
        <w:rPr>
          <w:rFonts w:hint="eastAsia" w:ascii="仿宋_GB2312" w:hAnsi="仿宋_GB2312" w:eastAsia="仿宋_GB2312" w:cs="仿宋_GB2312"/>
          <w:sz w:val="32"/>
          <w:szCs w:val="28"/>
        </w:rPr>
        <w:t>三 招标文件</w:t>
      </w:r>
      <w:bookmarkEnd w:id="69"/>
    </w:p>
    <w:p>
      <w:pPr>
        <w:tabs>
          <w:tab w:val="left" w:pos="312"/>
        </w:tabs>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8.招标文件构成</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szCs w:val="21"/>
        </w:rPr>
        <w:t>招标</w:t>
      </w:r>
      <w:r>
        <w:rPr>
          <w:rFonts w:hint="eastAsia" w:ascii="仿宋_GB2312" w:hAnsi="仿宋_GB2312" w:eastAsia="仿宋_GB2312" w:cs="仿宋_GB2312"/>
        </w:rPr>
        <w:t>文件内容如下:</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采购公告</w:t>
      </w:r>
    </w:p>
    <w:p>
      <w:pPr>
        <w:numPr>
          <w:ilvl w:val="0"/>
          <w:numId w:val="1"/>
        </w:numPr>
        <w:adjustRightInd w:val="0"/>
        <w:snapToGrid w:val="0"/>
        <w:spacing w:line="360" w:lineRule="auto"/>
        <w:ind w:firstLine="420" w:firstLineChars="200"/>
        <w:rPr>
          <w:rFonts w:ascii="仿宋_GB2312" w:hAnsi="仿宋_GB2312" w:eastAsia="仿宋_GB2312" w:cs="仿宋_GB2312"/>
        </w:rPr>
      </w:pPr>
      <w:bookmarkStart w:id="70" w:name="_Toc188_WPSOffice_Level2"/>
      <w:bookmarkStart w:id="71" w:name="_Toc25935_WPSOffice_Level2"/>
      <w:bookmarkStart w:id="72" w:name="_Toc24604_WPSOffice_Level2"/>
      <w:bookmarkStart w:id="73" w:name="_Toc4961_WPSOffice_Level2"/>
      <w:r>
        <w:rPr>
          <w:rFonts w:hint="eastAsia" w:ascii="仿宋_GB2312" w:hAnsi="仿宋_GB2312" w:eastAsia="仿宋_GB2312" w:cs="仿宋_GB2312"/>
        </w:rPr>
        <w:t>投标人须知</w:t>
      </w:r>
      <w:bookmarkEnd w:id="70"/>
      <w:bookmarkEnd w:id="71"/>
      <w:bookmarkEnd w:id="72"/>
      <w:bookmarkEnd w:id="73"/>
    </w:p>
    <w:p>
      <w:pPr>
        <w:adjustRightInd w:val="0"/>
        <w:snapToGrid w:val="0"/>
        <w:spacing w:line="360" w:lineRule="auto"/>
        <w:ind w:firstLine="420" w:firstLineChars="200"/>
        <w:rPr>
          <w:rFonts w:ascii="仿宋_GB2312" w:hAnsi="仿宋_GB2312" w:eastAsia="仿宋_GB2312" w:cs="仿宋_GB2312"/>
        </w:rPr>
      </w:pPr>
      <w:bookmarkStart w:id="74" w:name="_Toc2443_WPSOffice_Level2"/>
      <w:bookmarkStart w:id="75" w:name="_Toc31424_WPSOffice_Level2"/>
      <w:bookmarkStart w:id="76" w:name="_Toc32235_WPSOffice_Level2"/>
      <w:bookmarkStart w:id="77" w:name="_Toc13276_WPSOffice_Level2"/>
      <w:r>
        <w:rPr>
          <w:rFonts w:hint="eastAsia" w:ascii="仿宋_GB2312" w:hAnsi="仿宋_GB2312" w:eastAsia="仿宋_GB2312" w:cs="仿宋_GB2312"/>
        </w:rPr>
        <w:t>第二章 投标文件内容及格式</w:t>
      </w:r>
      <w:bookmarkEnd w:id="74"/>
      <w:bookmarkEnd w:id="75"/>
      <w:bookmarkEnd w:id="76"/>
      <w:bookmarkEnd w:id="77"/>
    </w:p>
    <w:p>
      <w:pPr>
        <w:adjustRightInd w:val="0"/>
        <w:snapToGrid w:val="0"/>
        <w:spacing w:line="360" w:lineRule="auto"/>
        <w:ind w:firstLine="420" w:firstLineChars="200"/>
        <w:rPr>
          <w:rFonts w:ascii="仿宋_GB2312" w:hAnsi="仿宋_GB2312" w:eastAsia="仿宋_GB2312" w:cs="仿宋_GB2312"/>
        </w:rPr>
      </w:pPr>
      <w:bookmarkStart w:id="78" w:name="_Toc16269_WPSOffice_Level2"/>
      <w:bookmarkStart w:id="79" w:name="_Toc4416_WPSOffice_Level2"/>
      <w:bookmarkStart w:id="80" w:name="_Toc24836_WPSOffice_Level2"/>
      <w:bookmarkStart w:id="81" w:name="_Toc7005_WPSOffice_Level2"/>
      <w:r>
        <w:rPr>
          <w:rFonts w:hint="eastAsia" w:ascii="仿宋_GB2312" w:hAnsi="仿宋_GB2312" w:eastAsia="仿宋_GB2312" w:cs="仿宋_GB2312"/>
        </w:rPr>
        <w:t>第三章 货物需求</w:t>
      </w:r>
      <w:bookmarkEnd w:id="78"/>
      <w:bookmarkEnd w:id="79"/>
      <w:bookmarkEnd w:id="80"/>
      <w:bookmarkEnd w:id="81"/>
    </w:p>
    <w:p>
      <w:pPr>
        <w:adjustRightInd w:val="0"/>
        <w:snapToGrid w:val="0"/>
        <w:spacing w:line="360" w:lineRule="auto"/>
        <w:ind w:firstLine="420" w:firstLineChars="200"/>
        <w:rPr>
          <w:rFonts w:ascii="仿宋_GB2312" w:hAnsi="仿宋_GB2312" w:eastAsia="仿宋_GB2312" w:cs="仿宋_GB2312"/>
        </w:rPr>
      </w:pPr>
      <w:bookmarkStart w:id="82" w:name="_Toc16294_WPSOffice_Level2"/>
      <w:bookmarkStart w:id="83" w:name="_Toc25382_WPSOffice_Level2"/>
      <w:bookmarkStart w:id="84" w:name="_Toc23459_WPSOffice_Level2"/>
      <w:bookmarkStart w:id="85" w:name="_Toc16119_WPSOffice_Level2"/>
      <w:r>
        <w:rPr>
          <w:rFonts w:hint="eastAsia" w:ascii="仿宋_GB2312" w:hAnsi="仿宋_GB2312" w:eastAsia="仿宋_GB2312" w:cs="仿宋_GB2312"/>
        </w:rPr>
        <w:t>第四章 评标方法</w:t>
      </w:r>
      <w:bookmarkEnd w:id="82"/>
      <w:bookmarkEnd w:id="83"/>
      <w:bookmarkEnd w:id="84"/>
      <w:bookmarkEnd w:id="85"/>
    </w:p>
    <w:p>
      <w:pPr>
        <w:adjustRightInd w:val="0"/>
        <w:snapToGrid w:val="0"/>
        <w:spacing w:line="360" w:lineRule="auto"/>
        <w:ind w:firstLine="420" w:firstLineChars="200"/>
        <w:rPr>
          <w:rFonts w:ascii="仿宋_GB2312" w:hAnsi="仿宋_GB2312" w:eastAsia="仿宋_GB2312" w:cs="仿宋_GB2312"/>
        </w:rPr>
      </w:pPr>
      <w:bookmarkStart w:id="86" w:name="_Toc9629_WPSOffice_Level2"/>
      <w:bookmarkStart w:id="87" w:name="_Toc16368_WPSOffice_Level2"/>
      <w:bookmarkStart w:id="88" w:name="_Toc28106_WPSOffice_Level2"/>
      <w:bookmarkStart w:id="89" w:name="_Toc17794_WPSOffice_Level2"/>
      <w:r>
        <w:rPr>
          <w:rFonts w:hint="eastAsia" w:ascii="仿宋_GB2312" w:hAnsi="仿宋_GB2312" w:eastAsia="仿宋_GB2312" w:cs="仿宋_GB2312"/>
        </w:rPr>
        <w:t>第五章 政府采购合同</w:t>
      </w:r>
      <w:bookmarkEnd w:id="86"/>
      <w:bookmarkEnd w:id="87"/>
      <w:bookmarkEnd w:id="88"/>
      <w:bookmarkEnd w:id="89"/>
      <w:r>
        <w:rPr>
          <w:rFonts w:hint="eastAsia" w:ascii="仿宋_GB2312" w:hAnsi="仿宋_GB2312" w:eastAsia="仿宋_GB2312" w:cs="仿宋_GB2312"/>
        </w:rPr>
        <w:t>条款及格式</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★8.2投标人应认真阅读招标文件所有的事项、格式、条款等。如投标人没有按照招标文件要求提交资料，或者投标文件没有对招标文件做出实质性响应，可能导致其投标被认定为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9.招标文件的澄清与修改</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9.2澄清或者修改的内容为招标文件的组成部分，对所有招标文件的收受人具有约束力。投标人在收到上述通知后，应及时向采购代理机构回函确认。</w:t>
      </w:r>
    </w:p>
    <w:p>
      <w:pPr>
        <w:pStyle w:val="5"/>
        <w:rPr>
          <w:rFonts w:ascii="仿宋_GB2312" w:hAnsi="仿宋_GB2312" w:eastAsia="仿宋_GB2312" w:cs="仿宋_GB2312"/>
          <w:sz w:val="32"/>
          <w:szCs w:val="32"/>
        </w:rPr>
      </w:pPr>
      <w:bookmarkStart w:id="90" w:name="_Toc7415_WPSOffice_Level2"/>
      <w:r>
        <w:rPr>
          <w:rFonts w:hint="eastAsia" w:ascii="仿宋_GB2312" w:hAnsi="仿宋_GB2312" w:eastAsia="仿宋_GB2312" w:cs="仿宋_GB2312"/>
          <w:sz w:val="32"/>
          <w:szCs w:val="32"/>
        </w:rPr>
        <w:t>四 投标文件的编制</w:t>
      </w:r>
      <w:bookmarkEnd w:id="90"/>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10.投标范围</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10.1项目有分包的，投标人可对招标文件其中某一个分包或几个分包进行投标。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★10.2投标人应当对所投分包在招标文件中“货物需求”所列的所有货物内容进行投标，如仅响应分包中某一部分内容，其该包投标将被认定为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pStyle w:val="8"/>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10.3如一个分包内包含多种产品的，采购人或采购代理机构将在投标人须知表10.3款中载明核心产品（非单一产品采购时，只能设一个核心产品），多家投标人提供的核心产品品牌相同的，按照第四章“评标办法”第4款“同一品牌产品”规定处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10.4无论招标文件第三章货物需求中是否要求，投标人所投货物均应符合国家强制性标准。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11.投标文件构成</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★11.1投标人应完整地按招标文件提供的投标文件格式及要求编写投标文件。投标文件应包括资格证明文件、符合性证明文件、其它材料三部分。具体见第二章 投标文件内容及格式。</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★11.2投标人应按招标文件提供的格式编写投标文件。招标文件提供标准格式的按标准格式填列，未提供标准格式的可自行拟定。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11.3 样品或演示要求详见投标人须知表11.3款。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12.投标报价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12.1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12.3投标人应按招标文件要求在相关表格中标明投标货物及伴随服务的单价和总价，并由法定代表人（非法人组织的负责人）或其委托代理人签署。</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12.4投标人所报的各分项投标单价在合同履行过程中是固定不变的，不得以任何理由予以变更。任何包含价格调整要求的投标，其投标将被认定为</w:t>
      </w:r>
      <w:r>
        <w:rPr>
          <w:rFonts w:hint="eastAsia" w:ascii="仿宋_GB2312" w:hAnsi="仿宋_GB2312" w:eastAsia="仿宋_GB2312" w:cs="仿宋_GB2312"/>
          <w:b/>
          <w:bCs/>
          <w:szCs w:val="21"/>
        </w:rPr>
        <w:t>投标无效。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12.5每种货物只能有一个投标报价。采购人不接受具有附加条件的报价。</w:t>
      </w:r>
    </w:p>
    <w:p>
      <w:pPr>
        <w:adjustRightInd w:val="0"/>
        <w:snapToGrid w:val="0"/>
        <w:spacing w:line="360" w:lineRule="auto"/>
        <w:rPr>
          <w:rFonts w:ascii="仿宋_GB2312" w:hAnsi="仿宋_GB2312" w:eastAsia="仿宋_GB2312" w:cs="仿宋_GB2312"/>
          <w:szCs w:val="21"/>
        </w:rPr>
      </w:pPr>
      <w:bookmarkStart w:id="91" w:name="_Toc22507_WPSOffice_Level2"/>
      <w:bookmarkStart w:id="92" w:name="_Toc31973_WPSOffice_Level2"/>
      <w:r>
        <w:rPr>
          <w:rFonts w:hint="eastAsia" w:ascii="仿宋_GB2312" w:hAnsi="仿宋_GB2312" w:eastAsia="仿宋_GB2312" w:cs="仿宋_GB2312"/>
          <w:szCs w:val="21"/>
        </w:rPr>
        <w:t>12.6除非招标文件另有规定，报价原则上精确到小数点后两位。</w:t>
      </w:r>
      <w:bookmarkEnd w:id="91"/>
      <w:bookmarkEnd w:id="92"/>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★13.投标保证金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13.1投标人应提交投标人须知表13.1款中规定的投标保证金，并作为其投标的一部分。</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13.2投标保证金缴纳人、招标文件领取人、投标登记人和投标人必须为同一组织机构或联合体内不同成员单位，否则将视同未按招标文件规定交纳投标保证金。</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13.3投标人存在下列情形的，投标保证金不予退还：</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（1）在投标有效期内，投标人撤销投标的；</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（2）中标后不按本须知第34款的规定与采购人签订合同的；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（3）中标后不按本须知第35款的规定提交履约保证金的；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（4）中标后不按本须知第36款的规定缴纳采购代理服务费的；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（5）存在其他违法违规行为的。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13.4联合体投标的，可以由联合体中的一方或者共同提交投标保证金。以一方名义提交投标保证金的，对联合体各方均具有约束力。</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13.5投标保证金的退还</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13.5.1中标人应在与采购人签订合同之日起5个工作日内，及时联系保证金收受机构办理投标保证金退还手续。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13.5.2未中标投标人的投标保证金将在中标通知书发出之日暨中标结果公告公布之日起5个工作日内无息退还。投标人应及时联系保证金收受机构办理退还投标保证金手续。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13.5.3投标人在投标截止时间前撤回已提交的投标文件的，投标人应自采购人或者采购代理机构收到投标人书面撤回通知之日起５个工作日内，及时联系保证金收受机构办理投标保证金退还手续。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13.5.4 政府采购投标担保函不予退回。</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13.6 因投标人自身原因导致无法及时退还的，采购人或采购代理机构将不承担相应责任。</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14.证明投标标的的合格性和符合招标文件规定的技术文件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14.1投标人应提交证明文件，证明其投标内容符合招标文件规定。该证明文件是投标文件的一部分。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14.2上款所述的证明文件，可以是文字资料、图纸和数据，它包括：</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（1）货物主要技术指标和性能的详细说明；</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（2）货物从采购人开始使用至招标文件规定的保质期内正常、连续地使用所必须的备件和专用工具清单，包括备件和专用工具的货源及现行价格;</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（3）对照招标文件技术规格，逐条说明所提供货物及伴随的工程和服务已对招标文件的技术规格做出了实质性的响应，或申明与技术规格条文的偏差和例外。</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15.投标有效期</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15.1投标应在投标人须知表15.1款中规定的投标有效期内保持有效。投标有效期不满足要求的投标，其投标将被认定为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16.投标文件的签署及规定</w:t>
      </w:r>
    </w:p>
    <w:p>
      <w:pPr>
        <w:adjustRightInd w:val="0"/>
        <w:snapToGrid w:val="0"/>
        <w:spacing w:line="360" w:lineRule="auto"/>
        <w:rPr>
          <w:rFonts w:ascii="仿宋_GB2312" w:hAnsi="仿宋_GB2312" w:eastAsia="仿宋_GB2312" w:cs="仿宋_GB2312"/>
          <w:szCs w:val="21"/>
        </w:rPr>
      </w:pPr>
      <w:bookmarkStart w:id="93" w:name="_Toc27725_WPSOffice_Level2"/>
      <w:r>
        <w:rPr>
          <w:rFonts w:hint="eastAsia" w:ascii="仿宋_GB2312" w:hAnsi="仿宋_GB2312" w:eastAsia="仿宋_GB2312" w:cs="仿宋_GB2312"/>
          <w:szCs w:val="21"/>
        </w:rPr>
        <w:t>16.1投标人应按投标人须知表16.1款中的规定，准备和递交投标文件正本、副本和电子文档。</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★16.2每份投标文件封皮须清楚地标明“正本”或“副本”。若正本和副本不符，以正本为准。</w:t>
      </w:r>
      <w:r>
        <w:rPr>
          <w:rFonts w:hint="eastAsia" w:ascii="仿宋_GB2312" w:hAnsi="仿宋_GB2312" w:eastAsia="仿宋_GB2312" w:cs="仿宋_GB2312"/>
          <w:szCs w:val="21"/>
          <w:lang w:eastAsia="zh-CN"/>
        </w:rPr>
        <w:t>本项目全程电子招投标，以电子投标文件为准，若未线上递交电子投标文件则投标无效。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pPr>
        <w:pStyle w:val="5"/>
        <w:rPr>
          <w:rFonts w:ascii="仿宋_GB2312" w:hAnsi="仿宋_GB2312" w:eastAsia="仿宋_GB2312" w:cs="仿宋_GB2312"/>
          <w:sz w:val="32"/>
          <w:szCs w:val="28"/>
        </w:rPr>
      </w:pPr>
      <w:r>
        <w:rPr>
          <w:rFonts w:hint="eastAsia" w:ascii="仿宋_GB2312" w:hAnsi="仿宋_GB2312" w:eastAsia="仿宋_GB2312" w:cs="仿宋_GB2312"/>
          <w:sz w:val="32"/>
          <w:szCs w:val="28"/>
        </w:rPr>
        <w:t>五 投标文件的递交</w:t>
      </w:r>
      <w:bookmarkEnd w:id="93"/>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17.投标文件的密封和标记</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17.1投标人应将投标文件密封，将正本和所有的副本、电子文档密封，并进行包封。</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17.2所有包装封皮上均应：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（1）注明项目名称、项目编号、包号、投标人名称。</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（2）加盖投标人单位公章。</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17.3如果投标人未按上述要求密封，其投标文件将被</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18.投标截止</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18.1投标人应在投标人须知表18.1中规定的递交投标文件截止时间前，将投标文件递交到投标人须知表18.1款中规定的地点。</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18.2采购人和采购代理机构有权按本须知的规定，延迟投标截止时间。在此情况下，采购人、采购代理机构和投标人受投标截止时间制约的所有权利和义务均应延长至新的截止时间。</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19.投标文件的接收、修改与撤回</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19.1在投标截止时间后送达的投标文件，采购人和采购代理机构将</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19.2采购人或者采购代理机构收到投标文件后，应当如实记载投标文件的送达时间和密封情况，并向投标人出具以下签收回执。</w:t>
      </w:r>
    </w:p>
    <w:p>
      <w:pPr>
        <w:adjustRightInd w:val="0"/>
        <w:snapToGrid w:val="0"/>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接收投标文件回执单</w:t>
      </w:r>
    </w:p>
    <w:tbl>
      <w:tblPr>
        <w:tblStyle w:val="17"/>
        <w:tblW w:w="7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5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项目编号</w:t>
            </w:r>
          </w:p>
        </w:tc>
        <w:tc>
          <w:tcPr>
            <w:tcW w:w="5415" w:type="dxa"/>
            <w:vAlign w:val="center"/>
          </w:tcPr>
          <w:p>
            <w:pPr>
              <w:adjustRightInd w:val="0"/>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项目名称</w:t>
            </w:r>
          </w:p>
        </w:tc>
        <w:tc>
          <w:tcPr>
            <w:tcW w:w="5415" w:type="dxa"/>
            <w:vAlign w:val="center"/>
          </w:tcPr>
          <w:p>
            <w:pPr>
              <w:adjustRightInd w:val="0"/>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投标人名称</w:t>
            </w:r>
          </w:p>
        </w:tc>
        <w:tc>
          <w:tcPr>
            <w:tcW w:w="5415" w:type="dxa"/>
            <w:vAlign w:val="center"/>
          </w:tcPr>
          <w:p>
            <w:pPr>
              <w:adjustRightInd w:val="0"/>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递交时间</w:t>
            </w:r>
          </w:p>
        </w:tc>
        <w:tc>
          <w:tcPr>
            <w:tcW w:w="5415" w:type="dxa"/>
            <w:vAlign w:val="center"/>
          </w:tcPr>
          <w:p>
            <w:pPr>
              <w:adjustRightInd w:val="0"/>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接收单位</w:t>
            </w:r>
          </w:p>
        </w:tc>
        <w:tc>
          <w:tcPr>
            <w:tcW w:w="5415" w:type="dxa"/>
            <w:vAlign w:val="center"/>
          </w:tcPr>
          <w:p>
            <w:pPr>
              <w:adjustRightInd w:val="0"/>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650"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接收人签字</w:t>
            </w:r>
          </w:p>
        </w:tc>
        <w:tc>
          <w:tcPr>
            <w:tcW w:w="5415" w:type="dxa"/>
            <w:vAlign w:val="center"/>
          </w:tcPr>
          <w:p>
            <w:pPr>
              <w:adjustRightInd w:val="0"/>
              <w:snapToGrid w:val="0"/>
              <w:jc w:val="center"/>
              <w:rPr>
                <w:rFonts w:ascii="仿宋_GB2312" w:hAnsi="仿宋_GB2312" w:eastAsia="仿宋_GB2312" w:cs="仿宋_GB2312"/>
                <w:szCs w:val="21"/>
              </w:rPr>
            </w:pPr>
          </w:p>
        </w:tc>
      </w:tr>
    </w:tbl>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19.3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19.4在投标截止时间之后，投标人不得对其投标文件做任何修改。</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19.5采购人和采购代理机构对所接收并当众宣读投标内容的投标文件概不退回。</w:t>
      </w:r>
    </w:p>
    <w:p>
      <w:pPr>
        <w:pStyle w:val="5"/>
        <w:rPr>
          <w:rFonts w:ascii="仿宋_GB2312" w:hAnsi="仿宋_GB2312" w:eastAsia="仿宋_GB2312" w:cs="仿宋_GB2312"/>
          <w:sz w:val="32"/>
          <w:szCs w:val="28"/>
        </w:rPr>
      </w:pPr>
      <w:bookmarkStart w:id="94" w:name="_Toc988_WPSOffice_Level2"/>
      <w:r>
        <w:rPr>
          <w:rFonts w:hint="eastAsia" w:ascii="仿宋_GB2312" w:hAnsi="仿宋_GB2312" w:eastAsia="仿宋_GB2312" w:cs="仿宋_GB2312"/>
          <w:sz w:val="32"/>
          <w:szCs w:val="28"/>
        </w:rPr>
        <w:t>六 开标及评标</w:t>
      </w:r>
      <w:bookmarkEnd w:id="94"/>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20.开标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20.1采购人和采购代理机构将按投标人须知表20.1款中规定的开标时间和地点组织公开开标并邀请所有投标人代表参加。</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投标人不足3家的，不得开标。评标委员会成员不得参加开标活动。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未宣读投标价格、价格折扣等实质内容，评标时不予承认。</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20.3采购人或采购代理机构将对开标过程进行记录，由参加开标的各投标人代表和相关工作人员签字确认，并存档备查。投标人未参加开标或未签字确认的，视同认可开标结果。</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20.4投标人代表对开标过程和开标记录有疑义，以及认为采购人、采购代理机构相关工作人员有需要回避的情形的，应当场提出询问或者回避申请。</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21.组建评标委员会</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按照《中华人民共和国政府采购法》、《中华人民共和国政府采购法实施条例》有关规定依法组建评标委员会，负责本项目评标工作。本项目评标委员会组成详见投标人须知表21款。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22.资格审查</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；通过资格审查的投标人不足3家的，不得评标。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22.2采购人或采购代理机构将在递交投标文件截止时间前一个工作日至资格审查结束前查询投标人的信用记录。投标人存在不良信用记录的，其投标将被认定为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以联合体形式参加投标的，联合体任何成员存在以上不良信用记录的，联合体投标将被认定为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22.2.2查询及记录方式：采购人或采购代理机构经办人将查询网页打印并存档备查。投标人不良信用记录以采购人或采购代理机构查询结果为准。</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在本招标文件规定的查询时间之后，网站信息发生的任何变更均不再作为评标依据。</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投标人自行提供的与网站信息不一致的其他证明材料亦不作为资格审查依据。</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23.符合性审查</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；通过符合性审查的投标人数量不足3家的，不得作进一步的比较和评价。</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24.投标文件的澄清</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24.2投标人的澄清、说明或补正将作为投标文件的一部分。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24.3投标文件报价出现前后不一致的，按照下列规定修正：</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（1）投标文件中开标一览表内容与投标文件中相应内容不一致的，以开标一览表为准；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（2）大写金额和小写金额不一致的，以大写金额为准；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（3）单价金额小数点或者百分比有明显错位的，以开标一览表的总价为准，并修改单价；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（4）总价金额与按单价汇总金额不一致的，以单价金额计算结果为准。</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同时出现两种以上不一致的，按照前款规定的顺序修正。修正后的报价经投标人确认后产生约束力，投标人不确认的，其投标将被认定为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szCs w:val="21"/>
        </w:rPr>
        <w:t>24.4</w:t>
      </w:r>
      <w:r>
        <w:rPr>
          <w:rFonts w:hint="eastAsia" w:ascii="仿宋_GB2312" w:hAnsi="仿宋_GB2312" w:eastAsia="仿宋_GB2312" w:cs="仿宋_GB2312"/>
          <w:b/>
          <w:bCs/>
          <w:szCs w:val="21"/>
        </w:rPr>
        <w:t>评标委员会认为</w:t>
      </w:r>
      <w:r>
        <w:rPr>
          <w:rFonts w:hint="eastAsia" w:ascii="仿宋_GB2312" w:hAnsi="仿宋_GB2312" w:eastAsia="仿宋_GB2312" w:cs="仿宋_GB2312"/>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处理。提交证明材料的合理时间按第四章 评标方法规定执行。</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25样品及演示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25.1投标人须知表11.3款中要求投标人提供样品的，按照投标人须知表25.1款中样品的评审方法以及评审标准进行评审。</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25.3演示的评审方法以及评审标准具体内容见投标人须知表25.1款。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26.投标无效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26.1在比较与评价之前，根据本须知的规定，评标委员会将审查每份投标文件是否实质上响应了招标文件的要求。</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实质性要求是指招标文件中带有★号标识内容（包括本级及其下级编号中所有内容）等文字说明的要求。</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kern w:val="0"/>
          <w:szCs w:val="21"/>
        </w:rPr>
        <w:t>对招标文件的实质性要求进行响应是指与招标文件中带有★号标识内容的文字说明、条款、条件和规格等要求相符。</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如果投标文件没有对招标文件的实质性要求进行响应，将作为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处理，投标人不得再对投标文件进行任何修正从而使其投标成为实质上响应的投标。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评标委员会决定投标的响应性只根据招标文件要求、投标文件内容及财政主管部门指定媒体发布的相关信息。</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26.2如发现下列情况之一的，其投标将被认定为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（1）未按招标文件的规定提交投标保证金的；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（2）未按照招标文件规定要求签署、盖章的；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（3）投标人的报价超过了招标文件中规定的预算金额或者最高限价的；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（4）不具备招标文件中规定的资格要求的；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（5）不符合法律、法规和招标文件中规定的其他实质性要求的。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（6）与其他投标人串通投标，或者与采购人串通投标；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（7）评标委员会认为投标人的报价明显低于其他通过符合性审查投标人的报价，有可能影响履约的，且投标人未按照规定证明其报价合理性的；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（8）投标文件含有采购人不能接受的附加条件的；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（9）属于法律、法规和招标文件规定的其他投标无效情形；</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27.比较与评价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27.1经符合性审查合格的投标文件，评标委员会将根据招标文件确定的评标方法和标准，对其技术部分和商务部分作进一步的比较和评价。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27.2评标严格按照招标文件的要求和条件进行。根据实际情况，在投标人须知表27.2款中规定采用下列一种评标方法，详细评标标准见第四章 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（1）最低评标价法，是指投标文件满足招标文件全部实质性要求，且投标报价最低的投标人为中标候选人的评标方法。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（2）综合评分法，是指投标文件满足招标文件全部实质性要求，且按照评审因素的量化指标评审得分最高的投标人为中标候选人的评标方法。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27.3根据《政府采购促进中小企业发展暂行办法》（财库[20</w:t>
      </w:r>
      <w:r>
        <w:rPr>
          <w:rFonts w:hint="eastAsia" w:ascii="仿宋_GB2312" w:hAnsi="仿宋_GB2312" w:eastAsia="仿宋_GB2312" w:cs="仿宋_GB2312"/>
          <w:szCs w:val="21"/>
          <w:lang w:val="en-US" w:eastAsia="zh-CN"/>
        </w:rPr>
        <w:t>20</w:t>
      </w: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46</w:t>
      </w:r>
      <w:r>
        <w:rPr>
          <w:rFonts w:hint="eastAsia" w:ascii="仿宋_GB2312" w:hAnsi="仿宋_GB2312" w:eastAsia="仿宋_GB2312" w:cs="仿宋_GB2312"/>
          <w:szCs w:val="21"/>
        </w:rPr>
        <w:t>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6-10%后参与评审。具体详见第四章 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27.5根据财政部、辽宁省财政厅相关规定，对于列入《辽宁省创新产品和服务目录》内的产品、服务实施政府优先采购。具体优先采购办法详见第四章 评标方法。</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28.废标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出现下列情形之一，将导致项目</w:t>
      </w:r>
      <w:r>
        <w:rPr>
          <w:rFonts w:hint="eastAsia" w:ascii="仿宋_GB2312" w:hAnsi="仿宋_GB2312" w:eastAsia="仿宋_GB2312" w:cs="仿宋_GB2312"/>
          <w:b/>
          <w:bCs/>
          <w:szCs w:val="21"/>
        </w:rPr>
        <w:t>废标</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（1）符合专业条件的投标人或者对招标文件做实质性响应的投标人不足3家；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（2）出现影响采购公正的违法、违规行为的；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（3）投标人的报价均超过了采购预算或最高限价，采购人不能支付的；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（4）因重大变故，采购任务取消的。</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29.中标候选人的推荐原则及标准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29.1除第32条规定外，评标委员会将根据评标标准，对实质上响应招标文件的投标人按下列方法进行排序，推荐中标候选人：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（2）采用综合评分法的，评标结果按评审后得分由高到低顺序排序。得分相同的，按第四章评标办法规定执行。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29.2评标委员会将根据评标标准，按投标人须知表29.2款中规定的数量推荐中标候选人。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29.3因推荐中标候选人名单产生其他问题，由评标委员会集体研究处理。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30.保密原则</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30.1评标将在严格保密的情况下进行。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30.2有关人员应当遵守评标工作纪律，不得泄露评审文件、评标情况和评标过程中获悉的国家秘密、商业秘密。</w:t>
      </w:r>
    </w:p>
    <w:p>
      <w:pPr>
        <w:pStyle w:val="5"/>
        <w:rPr>
          <w:rFonts w:ascii="仿宋_GB2312" w:hAnsi="仿宋_GB2312" w:eastAsia="仿宋_GB2312" w:cs="仿宋_GB2312"/>
          <w:sz w:val="32"/>
          <w:szCs w:val="28"/>
        </w:rPr>
      </w:pPr>
      <w:bookmarkStart w:id="95" w:name="_Toc4544_WPSOffice_Level2"/>
      <w:r>
        <w:rPr>
          <w:rFonts w:hint="eastAsia" w:ascii="仿宋_GB2312" w:hAnsi="仿宋_GB2312" w:eastAsia="仿宋_GB2312" w:cs="仿宋_GB2312"/>
          <w:sz w:val="32"/>
          <w:szCs w:val="28"/>
        </w:rPr>
        <w:t>七 确定中标</w:t>
      </w:r>
      <w:bookmarkEnd w:id="95"/>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31.确定中标人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由采购人或者采购人委托评标委员会按照投标人须知表31中规定的方式确定中标人。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★32.采购任务取消</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因重大变故采购任务取消时，采购人有权拒绝任何供应商中标，且对受影响的投标人不承担任何责任。</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33.中标通知书</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33.1采购人或者采购代理机构应当自中标人确定之日起2个工作日内，在辽宁省政府采购网及其地方分网媒体上公告中标结果。同时向中标人发出中标通知书。</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33.2中标通知书是合同的组成部分。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34.签订合同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34.1中标人应当自发出中标通知书之日起 30 日内，与采购人签订书面合同。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34.3 中标人拒绝与采购人签订合同的，采购人可以按照评标报告推荐的中标候选人名单排序，确定下一中标候选人为中标人，也可以重新开展政府采购活动。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35.履约保证金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35.1中标人应按照投标人须知表35.1款规定向采购人缴纳履约保证金。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35.2如果中标人没有按照上述履约保证金的规定执行，将视为拒绝签订合同并放弃中标资格，中标人的投标保证金将不予退还。在此情况下，采购人可确定下一中标候选人为中标人，也可以重新开展采购活动。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36.采购代理服务费</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中标人须按照投标须知表36款规定，向采购代理机构支付采购代理服务费。</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37.廉洁自律规定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37.1采购代理机构工作人员不得以不正当手段获取政府采购代理业务，不得与采购人、投标人恶意串通操纵政府采购活动。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37.2采购代理机构工作人员不得接受采购人或者投标人组织的宴请、旅游、娱乐，不得收受礼品、现金、有价证券等，不得向采购人或者投标人报销应当由个人承担的费用。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38.人员回避</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投标人认为采购人及其相关人员有法律法规所列与其他投标人有利害关系的，可以向采购人或采购代理机构书面提出回避申请，并说明理由。</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39.质疑与接收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超出法定质疑期的、重复提出的、分次提出的或内容、形式不符合《政府采购质疑和投诉办法》的，质疑投标人将依法承担不利后果。</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39.3采购代理机构质疑函接收部门、联系电话和通讯地址, 见投标人须知表39.3款。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40.履约验收</w:t>
      </w:r>
    </w:p>
    <w:p>
      <w:pPr>
        <w:adjustRightInd w:val="0"/>
        <w:snapToGrid w:val="0"/>
        <w:spacing w:line="360" w:lineRule="auto"/>
        <w:ind w:firstLine="420"/>
        <w:rPr>
          <w:rFonts w:ascii="仿宋_GB2312" w:hAnsi="仿宋_GB2312" w:eastAsia="仿宋_GB2312" w:cs="仿宋_GB2312"/>
          <w:b/>
        </w:rPr>
        <w:sectPr>
          <w:footerReference r:id="rId4" w:type="default"/>
          <w:pgSz w:w="11906" w:h="16838"/>
          <w:pgMar w:top="1440" w:right="1800" w:bottom="1440" w:left="1800" w:header="851" w:footer="992" w:gutter="0"/>
          <w:pgNumType w:start="1"/>
          <w:cols w:space="720" w:num="1"/>
          <w:docGrid w:type="linesAndChars" w:linePitch="312" w:charSpace="0"/>
        </w:sectPr>
      </w:pPr>
      <w:r>
        <w:rPr>
          <w:rFonts w:hint="eastAsia" w:ascii="仿宋_GB2312" w:hAnsi="仿宋_GB2312" w:eastAsia="仿宋_GB2312" w:cs="仿宋_GB2312"/>
          <w:szCs w:val="21"/>
        </w:rPr>
        <w:t>本项目采购人及其委托的采购代理机构将严格按照政府采购相关法律法规以及《辽宁省政府采购履约验收管理办法》（辽财采〔2017〕603号）的要求进行验收。</w:t>
      </w:r>
    </w:p>
    <w:p>
      <w:pPr>
        <w:pStyle w:val="4"/>
        <w:adjustRightInd w:val="0"/>
        <w:snapToGrid w:val="0"/>
        <w:spacing w:before="0" w:after="0"/>
        <w:rPr>
          <w:rFonts w:ascii="仿宋_GB2312" w:hAnsi="仿宋_GB2312" w:eastAsia="仿宋_GB2312" w:cs="仿宋_GB2312"/>
        </w:rPr>
      </w:pPr>
      <w:bookmarkStart w:id="96" w:name="_Toc17725_WPSOffice_Level1"/>
      <w:bookmarkStart w:id="97" w:name="_Toc6403"/>
      <w:r>
        <w:rPr>
          <w:rFonts w:hint="eastAsia" w:ascii="仿宋_GB2312" w:hAnsi="仿宋_GB2312" w:eastAsia="仿宋_GB2312" w:cs="仿宋_GB2312"/>
        </w:rPr>
        <w:t>第二章 投标文件内容及格式</w:t>
      </w:r>
      <w:bookmarkEnd w:id="96"/>
      <w:bookmarkEnd w:id="97"/>
    </w:p>
    <w:p>
      <w:pPr>
        <w:spacing w:before="159" w:beforeLines="50"/>
        <w:rPr>
          <w:rFonts w:ascii="仿宋_GB2312" w:hAnsi="仿宋_GB2312" w:eastAsia="仿宋_GB2312" w:cs="仿宋_GB2312"/>
          <w:b/>
          <w:sz w:val="24"/>
        </w:rPr>
      </w:pPr>
      <w:bookmarkStart w:id="98" w:name="sys_投标文件内容及格式：Block"/>
      <w:bookmarkEnd w:id="98"/>
      <w:bookmarkStart w:id="99" w:name="投标文件内容及格式：Block"/>
      <w:bookmarkEnd w:id="99"/>
      <w:bookmarkStart w:id="100" w:name="_Toc1538_WPSOffice_Level2"/>
      <w:bookmarkStart w:id="101" w:name="_Toc2481_WPSOffice_Level2"/>
      <w:r>
        <w:rPr>
          <w:rFonts w:hint="eastAsia" w:ascii="仿宋_GB2312" w:hAnsi="仿宋_GB2312" w:eastAsia="仿宋_GB2312" w:cs="仿宋_GB2312"/>
          <w:b/>
          <w:sz w:val="24"/>
        </w:rPr>
        <w:t>一、投标文件、电子文档的外封面、封口、封皮及目录</w:t>
      </w:r>
      <w:bookmarkEnd w:id="100"/>
      <w:bookmarkEnd w:id="101"/>
    </w:p>
    <w:tbl>
      <w:tblPr>
        <w:tblStyle w:val="17"/>
        <w:tblW w:w="8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97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blHeader/>
          <w:jc w:val="center"/>
        </w:trPr>
        <w:tc>
          <w:tcPr>
            <w:tcW w:w="677"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976"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内容</w:t>
            </w:r>
          </w:p>
        </w:tc>
        <w:tc>
          <w:tcPr>
            <w:tcW w:w="742"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976" w:type="dxa"/>
            <w:vAlign w:val="center"/>
          </w:tcPr>
          <w:p>
            <w:pPr>
              <w:widowControl/>
              <w:adjustRightInd w:val="0"/>
              <w:snapToGrid w:val="0"/>
              <w:jc w:val="left"/>
              <w:rPr>
                <w:rFonts w:ascii="仿宋_GB2312" w:hAnsi="仿宋_GB2312" w:eastAsia="仿宋_GB2312" w:cs="仿宋_GB2312"/>
                <w:b/>
                <w:kern w:val="0"/>
                <w:szCs w:val="21"/>
              </w:rPr>
            </w:pPr>
            <w:r>
              <w:rPr>
                <w:rFonts w:hint="eastAsia" w:ascii="仿宋_GB2312" w:hAnsi="仿宋_GB2312" w:eastAsia="仿宋_GB2312" w:cs="仿宋_GB2312"/>
                <w:kern w:val="0"/>
                <w:szCs w:val="21"/>
              </w:rPr>
              <w:t>投标文件、电子文档的外封面及封口</w:t>
            </w:r>
          </w:p>
        </w:tc>
        <w:tc>
          <w:tcPr>
            <w:tcW w:w="742"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976" w:type="dxa"/>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投标文件的封皮</w:t>
            </w:r>
          </w:p>
        </w:tc>
        <w:tc>
          <w:tcPr>
            <w:tcW w:w="742"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976" w:type="dxa"/>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投标文件的目录</w:t>
            </w:r>
          </w:p>
        </w:tc>
        <w:tc>
          <w:tcPr>
            <w:tcW w:w="742"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r>
    </w:tbl>
    <w:p>
      <w:pPr>
        <w:snapToGrid w:val="0"/>
        <w:spacing w:before="159" w:beforeLines="50"/>
        <w:rPr>
          <w:rFonts w:ascii="仿宋_GB2312" w:hAnsi="仿宋_GB2312" w:eastAsia="仿宋_GB2312" w:cs="仿宋_GB2312"/>
          <w:b/>
          <w:sz w:val="24"/>
        </w:rPr>
      </w:pPr>
      <w:bookmarkStart w:id="102" w:name="_Toc31052_WPSOffice_Level2"/>
      <w:bookmarkStart w:id="103" w:name="_Toc1266_WPSOffice_Level2"/>
      <w:r>
        <w:rPr>
          <w:rFonts w:hint="eastAsia" w:ascii="仿宋_GB2312" w:hAnsi="仿宋_GB2312" w:eastAsia="仿宋_GB2312" w:cs="仿宋_GB2312"/>
          <w:b/>
          <w:sz w:val="24"/>
        </w:rPr>
        <w:t>二、资格证明材料</w:t>
      </w:r>
      <w:bookmarkEnd w:id="102"/>
      <w:bookmarkEnd w:id="103"/>
      <w:r>
        <w:rPr>
          <w:rFonts w:hint="eastAsia" w:ascii="仿宋_GB2312" w:hAnsi="仿宋_GB2312" w:eastAsia="仿宋_GB2312" w:cs="仿宋_GB2312"/>
          <w:b/>
          <w:sz w:val="24"/>
        </w:rPr>
        <w:t>（代理机构审查，有一项不符合要求，不能进入下一阶段评审）</w:t>
      </w:r>
    </w:p>
    <w:tbl>
      <w:tblPr>
        <w:tblStyle w:val="17"/>
        <w:tblW w:w="8400" w:type="dxa"/>
        <w:jc w:val="center"/>
        <w:tblLayout w:type="fixed"/>
        <w:tblCellMar>
          <w:top w:w="0" w:type="dxa"/>
          <w:left w:w="0" w:type="dxa"/>
          <w:bottom w:w="0" w:type="dxa"/>
          <w:right w:w="0" w:type="dxa"/>
        </w:tblCellMar>
      </w:tblPr>
      <w:tblGrid>
        <w:gridCol w:w="724"/>
        <w:gridCol w:w="6789"/>
        <w:gridCol w:w="887"/>
      </w:tblGrid>
      <w:tr>
        <w:tblPrEx>
          <w:tblCellMar>
            <w:top w:w="0" w:type="dxa"/>
            <w:left w:w="0" w:type="dxa"/>
            <w:bottom w:w="0" w:type="dxa"/>
            <w:right w:w="0" w:type="dxa"/>
          </w:tblCellMar>
        </w:tblPrEx>
        <w:trPr>
          <w:trHeight w:val="574" w:hRule="atLeast"/>
          <w:jc w:val="center"/>
        </w:trPr>
        <w:tc>
          <w:tcPr>
            <w:tcW w:w="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rPr>
            </w:pPr>
            <w:bookmarkStart w:id="104" w:name="sys_资格性证明材料：Document"/>
            <w:bookmarkStart w:id="105" w:name="资格性证明材料：Document"/>
            <w:r>
              <w:rPr>
                <w:rFonts w:hint="eastAsia" w:ascii="仿宋_GB2312" w:hAnsi="仿宋" w:eastAsia="仿宋_GB2312"/>
              </w:rPr>
              <w:t>序号</w:t>
            </w:r>
          </w:p>
        </w:tc>
        <w:tc>
          <w:tcPr>
            <w:tcW w:w="6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rPr>
            </w:pPr>
            <w:r>
              <w:rPr>
                <w:rFonts w:hint="eastAsia" w:ascii="仿宋_GB2312" w:hAnsi="仿宋" w:eastAsia="仿宋_GB2312"/>
              </w:rPr>
              <w:t>资格证明材料</w:t>
            </w:r>
          </w:p>
        </w:tc>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rPr>
            </w:pPr>
            <w:r>
              <w:rPr>
                <w:rFonts w:hint="eastAsia" w:ascii="仿宋_GB2312" w:hAnsi="仿宋" w:eastAsia="仿宋_GB2312"/>
              </w:rPr>
              <w:t>格式</w:t>
            </w:r>
          </w:p>
        </w:tc>
      </w:tr>
      <w:tr>
        <w:tblPrEx>
          <w:tblCellMar>
            <w:top w:w="0" w:type="dxa"/>
            <w:left w:w="0" w:type="dxa"/>
            <w:bottom w:w="0" w:type="dxa"/>
            <w:right w:w="0" w:type="dxa"/>
          </w:tblCellMar>
        </w:tblPrEx>
        <w:trPr>
          <w:trHeight w:val="643" w:hRule="atLeast"/>
          <w:jc w:val="center"/>
        </w:trPr>
        <w:tc>
          <w:tcPr>
            <w:tcW w:w="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r>
              <w:rPr>
                <w:rFonts w:hint="eastAsia" w:ascii="仿宋_GB2312" w:hAnsi="仿宋_GB2312" w:eastAsia="仿宋_GB2312" w:cs="仿宋_GB2312"/>
                <w:szCs w:val="21"/>
              </w:rPr>
              <w:t>1</w:t>
            </w:r>
          </w:p>
        </w:tc>
        <w:tc>
          <w:tcPr>
            <w:tcW w:w="6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_GB2312" w:hAnsi="仿宋" w:eastAsia="仿宋_GB2312"/>
              </w:rPr>
            </w:pPr>
            <w:r>
              <w:rPr>
                <w:rFonts w:hint="eastAsia" w:ascii="仿宋_GB2312" w:hAnsi="仿宋_GB2312" w:eastAsia="仿宋_GB2312" w:cs="仿宋_GB2312"/>
                <w:szCs w:val="21"/>
              </w:rPr>
              <w:t>营业执照或事业单位法人证书或执业许可证等证明文件复印件或自然人的身份证明复印件（自然人身份证明仅在自然人作为投标主体时适用）</w:t>
            </w:r>
          </w:p>
        </w:tc>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p>
        </w:tc>
      </w:tr>
      <w:tr>
        <w:tblPrEx>
          <w:tblCellMar>
            <w:top w:w="0" w:type="dxa"/>
            <w:left w:w="0" w:type="dxa"/>
            <w:bottom w:w="0" w:type="dxa"/>
            <w:right w:w="0" w:type="dxa"/>
          </w:tblCellMar>
        </w:tblPrEx>
        <w:trPr>
          <w:trHeight w:val="512" w:hRule="atLeast"/>
          <w:jc w:val="center"/>
        </w:trPr>
        <w:tc>
          <w:tcPr>
            <w:tcW w:w="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r>
              <w:rPr>
                <w:rFonts w:hint="eastAsia" w:ascii="仿宋_GB2312" w:hAnsi="仿宋_GB2312" w:eastAsia="仿宋_GB2312" w:cs="仿宋_GB2312"/>
                <w:szCs w:val="21"/>
              </w:rPr>
              <w:t>2</w:t>
            </w:r>
          </w:p>
        </w:tc>
        <w:tc>
          <w:tcPr>
            <w:tcW w:w="6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_GB2312" w:hAnsi="仿宋" w:eastAsia="仿宋_GB2312"/>
              </w:rPr>
            </w:pPr>
            <w:r>
              <w:rPr>
                <w:rFonts w:hint="eastAsia" w:ascii="仿宋_GB2312" w:hAnsi="仿宋_GB2312" w:eastAsia="仿宋_GB2312" w:cs="仿宋_GB2312"/>
                <w:szCs w:val="21"/>
              </w:rPr>
              <w:t>组织机构代码证复印件（三证合一的不需提供）</w:t>
            </w:r>
          </w:p>
        </w:tc>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p>
        </w:tc>
      </w:tr>
      <w:tr>
        <w:tblPrEx>
          <w:tblCellMar>
            <w:top w:w="0" w:type="dxa"/>
            <w:left w:w="0" w:type="dxa"/>
            <w:bottom w:w="0" w:type="dxa"/>
            <w:right w:w="0" w:type="dxa"/>
          </w:tblCellMar>
        </w:tblPrEx>
        <w:trPr>
          <w:trHeight w:val="574" w:hRule="atLeast"/>
          <w:jc w:val="center"/>
        </w:trPr>
        <w:tc>
          <w:tcPr>
            <w:tcW w:w="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r>
              <w:rPr>
                <w:rFonts w:hint="eastAsia" w:ascii="仿宋_GB2312" w:hAnsi="仿宋_GB2312" w:eastAsia="仿宋_GB2312" w:cs="仿宋_GB2312"/>
                <w:szCs w:val="21"/>
              </w:rPr>
              <w:t>3</w:t>
            </w:r>
          </w:p>
        </w:tc>
        <w:tc>
          <w:tcPr>
            <w:tcW w:w="6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_GB2312" w:hAnsi="仿宋" w:eastAsia="仿宋_GB2312"/>
              </w:rPr>
            </w:pPr>
            <w:r>
              <w:rPr>
                <w:rFonts w:hint="eastAsia" w:ascii="仿宋_GB2312" w:hAnsi="仿宋_GB2312" w:eastAsia="仿宋_GB2312" w:cs="仿宋_GB2312"/>
                <w:szCs w:val="21"/>
              </w:rPr>
              <w:t>税务登记证复印件（三证合一的不需提供）</w:t>
            </w:r>
          </w:p>
        </w:tc>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p>
        </w:tc>
      </w:tr>
      <w:tr>
        <w:tblPrEx>
          <w:tblCellMar>
            <w:top w:w="0" w:type="dxa"/>
            <w:left w:w="0" w:type="dxa"/>
            <w:bottom w:w="0" w:type="dxa"/>
            <w:right w:w="0" w:type="dxa"/>
          </w:tblCellMar>
        </w:tblPrEx>
        <w:trPr>
          <w:trHeight w:val="574" w:hRule="atLeast"/>
          <w:jc w:val="center"/>
        </w:trPr>
        <w:tc>
          <w:tcPr>
            <w:tcW w:w="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r>
              <w:rPr>
                <w:rFonts w:hint="eastAsia" w:ascii="仿宋_GB2312" w:hAnsi="仿宋_GB2312" w:eastAsia="仿宋_GB2312" w:cs="仿宋_GB2312"/>
                <w:szCs w:val="21"/>
              </w:rPr>
              <w:t>4</w:t>
            </w:r>
          </w:p>
        </w:tc>
        <w:tc>
          <w:tcPr>
            <w:tcW w:w="6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_GB2312" w:hAnsi="Lucida Sans Unicode" w:eastAsia="仿宋_GB2312" w:cs="Lucida Sans Unicode"/>
                <w:szCs w:val="21"/>
              </w:rPr>
            </w:pPr>
            <w:r>
              <w:rPr>
                <w:rFonts w:hint="eastAsia" w:ascii="仿宋_GB2312" w:hAnsi="仿宋_GB2312" w:eastAsia="仿宋_GB2312" w:cs="仿宋_GB2312"/>
                <w:szCs w:val="21"/>
              </w:rPr>
              <w:t>法定代表人（或非法人组织负责人）身份证明书（自然人投标的无需提供）</w:t>
            </w:r>
          </w:p>
        </w:tc>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r>
              <w:rPr>
                <w:rFonts w:hint="eastAsia" w:ascii="仿宋_GB2312" w:hAnsi="仿宋_GB2312" w:eastAsia="仿宋_GB2312" w:cs="仿宋_GB2312"/>
                <w:szCs w:val="21"/>
              </w:rPr>
              <w:t>4</w:t>
            </w:r>
          </w:p>
        </w:tc>
      </w:tr>
      <w:tr>
        <w:tblPrEx>
          <w:tblCellMar>
            <w:top w:w="0" w:type="dxa"/>
            <w:left w:w="0" w:type="dxa"/>
            <w:bottom w:w="0" w:type="dxa"/>
            <w:right w:w="0" w:type="dxa"/>
          </w:tblCellMar>
        </w:tblPrEx>
        <w:trPr>
          <w:trHeight w:val="574" w:hRule="atLeast"/>
          <w:jc w:val="center"/>
        </w:trPr>
        <w:tc>
          <w:tcPr>
            <w:tcW w:w="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r>
              <w:rPr>
                <w:rFonts w:hint="eastAsia" w:ascii="仿宋_GB2312" w:hAnsi="仿宋_GB2312" w:eastAsia="仿宋_GB2312" w:cs="仿宋_GB2312"/>
                <w:szCs w:val="21"/>
              </w:rPr>
              <w:t>5</w:t>
            </w:r>
          </w:p>
        </w:tc>
        <w:tc>
          <w:tcPr>
            <w:tcW w:w="6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_GB2312" w:hAnsi="仿宋" w:eastAsia="仿宋_GB2312"/>
              </w:rPr>
            </w:pPr>
            <w:r>
              <w:rPr>
                <w:rFonts w:hint="eastAsia" w:ascii="仿宋_GB2312" w:hAnsi="仿宋_GB2312" w:eastAsia="仿宋_GB2312" w:cs="仿宋_GB2312"/>
                <w:szCs w:val="21"/>
              </w:rPr>
              <w:t>法定代表人（或非法人组织负责人）授权委托书（授权委托人参加投标的须提供）</w:t>
            </w:r>
          </w:p>
        </w:tc>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r>
              <w:rPr>
                <w:rFonts w:hint="eastAsia" w:ascii="仿宋_GB2312" w:hAnsi="仿宋_GB2312" w:eastAsia="仿宋_GB2312" w:cs="仿宋_GB2312"/>
                <w:szCs w:val="21"/>
              </w:rPr>
              <w:t>5</w:t>
            </w:r>
          </w:p>
        </w:tc>
      </w:tr>
      <w:tr>
        <w:tblPrEx>
          <w:tblCellMar>
            <w:top w:w="0" w:type="dxa"/>
            <w:left w:w="0" w:type="dxa"/>
            <w:bottom w:w="0" w:type="dxa"/>
            <w:right w:w="0" w:type="dxa"/>
          </w:tblCellMar>
        </w:tblPrEx>
        <w:trPr>
          <w:trHeight w:val="547" w:hRule="atLeast"/>
          <w:jc w:val="center"/>
        </w:trPr>
        <w:tc>
          <w:tcPr>
            <w:tcW w:w="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r>
              <w:rPr>
                <w:rFonts w:hint="eastAsia" w:ascii="仿宋_GB2312" w:hAnsi="仿宋_GB2312" w:eastAsia="仿宋_GB2312" w:cs="仿宋_GB2312"/>
                <w:szCs w:val="21"/>
              </w:rPr>
              <w:t>6</w:t>
            </w:r>
          </w:p>
        </w:tc>
        <w:tc>
          <w:tcPr>
            <w:tcW w:w="6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_GB2312" w:hAnsi="仿宋" w:eastAsia="仿宋_GB2312"/>
              </w:rPr>
            </w:pPr>
            <w:r>
              <w:rPr>
                <w:rFonts w:hint="eastAsia" w:ascii="仿宋_GB2312" w:hAnsi="仿宋_GB2312" w:eastAsia="仿宋_GB2312" w:cs="仿宋_GB2312"/>
                <w:szCs w:val="21"/>
              </w:rPr>
              <w:t>具有良好的商业信誉和健全的财务会计制度的承诺函</w:t>
            </w:r>
          </w:p>
        </w:tc>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color w:val="FF0000"/>
              </w:rPr>
            </w:pPr>
            <w:r>
              <w:rPr>
                <w:rFonts w:hint="eastAsia" w:ascii="仿宋_GB2312" w:hAnsi="仿宋_GB2312" w:eastAsia="仿宋_GB2312" w:cs="仿宋_GB2312"/>
                <w:szCs w:val="21"/>
              </w:rPr>
              <w:t>6</w:t>
            </w:r>
          </w:p>
        </w:tc>
      </w:tr>
      <w:tr>
        <w:tblPrEx>
          <w:tblCellMar>
            <w:top w:w="0" w:type="dxa"/>
            <w:left w:w="0" w:type="dxa"/>
            <w:bottom w:w="0" w:type="dxa"/>
            <w:right w:w="0" w:type="dxa"/>
          </w:tblCellMar>
        </w:tblPrEx>
        <w:trPr>
          <w:trHeight w:val="888" w:hRule="atLeast"/>
          <w:jc w:val="center"/>
        </w:trPr>
        <w:tc>
          <w:tcPr>
            <w:tcW w:w="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r>
              <w:rPr>
                <w:rFonts w:hint="eastAsia" w:ascii="仿宋_GB2312" w:hAnsi="仿宋_GB2312" w:eastAsia="仿宋_GB2312" w:cs="仿宋_GB2312"/>
                <w:szCs w:val="21"/>
              </w:rPr>
              <w:t>7</w:t>
            </w:r>
          </w:p>
        </w:tc>
        <w:tc>
          <w:tcPr>
            <w:tcW w:w="6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开标时间前六个月内任一个月的依法缴纳税收的缴款凭据复印件</w:t>
            </w:r>
          </w:p>
          <w:p>
            <w:pPr>
              <w:adjustRightInd w:val="0"/>
              <w:snapToGrid w:val="0"/>
              <w:jc w:val="left"/>
              <w:rPr>
                <w:rFonts w:ascii="仿宋_GB2312" w:hAnsi="仿宋" w:eastAsia="仿宋_GB2312"/>
              </w:rPr>
            </w:pPr>
            <w:r>
              <w:rPr>
                <w:rFonts w:hint="eastAsia" w:ascii="仿宋_GB2312" w:hAnsi="仿宋_GB2312" w:eastAsia="仿宋_GB2312" w:cs="仿宋_GB2312"/>
                <w:szCs w:val="21"/>
              </w:rPr>
              <w:t>（注：依法免税的供应商，应提供相关证明材料，包括相关法规要求原文及加盖单位公章的情况说明）</w:t>
            </w:r>
          </w:p>
        </w:tc>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p>
        </w:tc>
      </w:tr>
      <w:tr>
        <w:tblPrEx>
          <w:tblCellMar>
            <w:top w:w="0" w:type="dxa"/>
            <w:left w:w="0" w:type="dxa"/>
            <w:bottom w:w="0" w:type="dxa"/>
            <w:right w:w="0" w:type="dxa"/>
          </w:tblCellMar>
        </w:tblPrEx>
        <w:trPr>
          <w:trHeight w:val="675" w:hRule="atLeast"/>
          <w:jc w:val="center"/>
        </w:trPr>
        <w:tc>
          <w:tcPr>
            <w:tcW w:w="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r>
              <w:rPr>
                <w:rFonts w:hint="eastAsia" w:ascii="仿宋_GB2312" w:hAnsi="仿宋_GB2312" w:eastAsia="仿宋_GB2312" w:cs="仿宋_GB2312"/>
                <w:szCs w:val="21"/>
              </w:rPr>
              <w:t>8</w:t>
            </w:r>
          </w:p>
        </w:tc>
        <w:tc>
          <w:tcPr>
            <w:tcW w:w="6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_GB2312" w:hAnsi="仿宋" w:eastAsia="仿宋_GB2312"/>
              </w:rPr>
            </w:pPr>
            <w:r>
              <w:rPr>
                <w:rFonts w:hint="eastAsia" w:ascii="仿宋_GB2312" w:hAnsi="仿宋_GB2312" w:eastAsia="仿宋_GB2312" w:cs="仿宋_GB2312"/>
                <w:szCs w:val="21"/>
              </w:rPr>
              <w:t>开标时间前六个月内任一个月的依法缴纳社会保障资金的缴款凭据复印件（注：依法不需要缴纳社会保障资金的供应商，应提供相关证明材料，包括相关法规要求原文及加盖单位公章的情况说明）</w:t>
            </w:r>
          </w:p>
        </w:tc>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p>
        </w:tc>
      </w:tr>
      <w:tr>
        <w:tblPrEx>
          <w:tblCellMar>
            <w:top w:w="0" w:type="dxa"/>
            <w:left w:w="0" w:type="dxa"/>
            <w:bottom w:w="0" w:type="dxa"/>
            <w:right w:w="0" w:type="dxa"/>
          </w:tblCellMar>
        </w:tblPrEx>
        <w:trPr>
          <w:trHeight w:val="537" w:hRule="atLeast"/>
          <w:jc w:val="center"/>
        </w:trPr>
        <w:tc>
          <w:tcPr>
            <w:tcW w:w="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r>
              <w:rPr>
                <w:rFonts w:hint="eastAsia" w:ascii="仿宋_GB2312" w:hAnsi="仿宋_GB2312" w:eastAsia="仿宋_GB2312" w:cs="仿宋_GB2312"/>
                <w:szCs w:val="21"/>
              </w:rPr>
              <w:t>9</w:t>
            </w:r>
          </w:p>
        </w:tc>
        <w:tc>
          <w:tcPr>
            <w:tcW w:w="6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_GB2312" w:hAnsi="仿宋" w:eastAsia="仿宋_GB2312"/>
              </w:rPr>
            </w:pPr>
            <w:r>
              <w:rPr>
                <w:rFonts w:hint="eastAsia" w:ascii="仿宋_GB2312" w:hAnsi="仿宋_GB2312" w:eastAsia="仿宋_GB2312" w:cs="仿宋_GB2312"/>
                <w:szCs w:val="21"/>
              </w:rPr>
              <w:t>具备履行合同所必需的设备和专业技术能力声明函</w:t>
            </w:r>
          </w:p>
        </w:tc>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r>
              <w:rPr>
                <w:rFonts w:hint="eastAsia" w:ascii="仿宋_GB2312" w:hAnsi="仿宋_GB2312" w:eastAsia="仿宋_GB2312" w:cs="仿宋_GB2312"/>
                <w:szCs w:val="21"/>
              </w:rPr>
              <w:t>7</w:t>
            </w:r>
          </w:p>
        </w:tc>
      </w:tr>
      <w:tr>
        <w:tblPrEx>
          <w:tblCellMar>
            <w:top w:w="0" w:type="dxa"/>
            <w:left w:w="0" w:type="dxa"/>
            <w:bottom w:w="0" w:type="dxa"/>
            <w:right w:w="0" w:type="dxa"/>
          </w:tblCellMar>
        </w:tblPrEx>
        <w:trPr>
          <w:trHeight w:val="585" w:hRule="atLeast"/>
          <w:jc w:val="center"/>
        </w:trPr>
        <w:tc>
          <w:tcPr>
            <w:tcW w:w="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r>
              <w:rPr>
                <w:rFonts w:hint="eastAsia" w:ascii="仿宋_GB2312" w:hAnsi="仿宋_GB2312" w:eastAsia="仿宋_GB2312" w:cs="仿宋_GB2312"/>
                <w:szCs w:val="21"/>
              </w:rPr>
              <w:t>10</w:t>
            </w:r>
          </w:p>
        </w:tc>
        <w:tc>
          <w:tcPr>
            <w:tcW w:w="6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_GB2312" w:hAnsi="仿宋" w:eastAsia="仿宋_GB2312"/>
              </w:rPr>
            </w:pPr>
            <w:r>
              <w:rPr>
                <w:rFonts w:hint="eastAsia" w:ascii="仿宋_GB2312" w:hAnsi="仿宋_GB2312" w:eastAsia="仿宋_GB2312" w:cs="仿宋_GB2312"/>
                <w:szCs w:val="21"/>
              </w:rPr>
              <w:t>参加政府采购活动前3年内在经营活动中没有重大违法记录的书面声明</w:t>
            </w:r>
          </w:p>
        </w:tc>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r>
              <w:rPr>
                <w:rFonts w:hint="eastAsia" w:ascii="仿宋_GB2312" w:hAnsi="仿宋_GB2312" w:eastAsia="仿宋_GB2312" w:cs="仿宋_GB2312"/>
                <w:szCs w:val="21"/>
              </w:rPr>
              <w:t>8</w:t>
            </w:r>
          </w:p>
        </w:tc>
      </w:tr>
      <w:tr>
        <w:tblPrEx>
          <w:tblCellMar>
            <w:top w:w="0" w:type="dxa"/>
            <w:left w:w="0" w:type="dxa"/>
            <w:bottom w:w="0" w:type="dxa"/>
            <w:right w:w="0" w:type="dxa"/>
          </w:tblCellMar>
        </w:tblPrEx>
        <w:trPr>
          <w:trHeight w:val="537" w:hRule="atLeast"/>
          <w:jc w:val="center"/>
        </w:trPr>
        <w:tc>
          <w:tcPr>
            <w:tcW w:w="7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r>
              <w:rPr>
                <w:rFonts w:hint="eastAsia" w:ascii="仿宋_GB2312" w:hAnsi="仿宋_GB2312" w:eastAsia="仿宋_GB2312" w:cs="仿宋_GB2312"/>
                <w:szCs w:val="21"/>
              </w:rPr>
              <w:t>11</w:t>
            </w:r>
          </w:p>
        </w:tc>
        <w:tc>
          <w:tcPr>
            <w:tcW w:w="6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_GB2312" w:hAnsi="仿宋" w:eastAsia="仿宋_GB2312"/>
              </w:rPr>
            </w:pPr>
            <w:r>
              <w:rPr>
                <w:rFonts w:hint="eastAsia" w:ascii="仿宋_GB2312" w:hAnsi="仿宋_GB2312" w:eastAsia="仿宋_GB2312" w:cs="仿宋_GB2312"/>
                <w:szCs w:val="21"/>
              </w:rPr>
              <w:t>信用记录（采购代理机构将在招标文件规定的审查期间内进行查询）</w:t>
            </w:r>
          </w:p>
        </w:tc>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 w:eastAsia="仿宋_GB2312"/>
              </w:rPr>
            </w:pPr>
          </w:p>
        </w:tc>
      </w:tr>
    </w:tbl>
    <w:p>
      <w:pPr>
        <w:snapToGrid w:val="0"/>
        <w:spacing w:before="159" w:beforeLines="50"/>
        <w:rPr>
          <w:rFonts w:ascii="仿宋_GB2312" w:hAnsi="仿宋_GB2312" w:eastAsia="仿宋_GB2312" w:cs="仿宋_GB2312"/>
          <w:b/>
          <w:sz w:val="24"/>
        </w:rPr>
      </w:pPr>
      <w:bookmarkStart w:id="106" w:name="_Toc25206_WPSOffice_Level2"/>
      <w:bookmarkStart w:id="107" w:name="_Toc22359_WPSOffice_Level2"/>
      <w:r>
        <w:rPr>
          <w:rFonts w:hint="eastAsia" w:ascii="仿宋_GB2312" w:hAnsi="仿宋_GB2312" w:eastAsia="仿宋_GB2312" w:cs="仿宋_GB2312"/>
          <w:b/>
          <w:sz w:val="24"/>
        </w:rPr>
        <w:t>三、符合性证明材料</w:t>
      </w:r>
      <w:bookmarkEnd w:id="106"/>
      <w:bookmarkEnd w:id="107"/>
      <w:r>
        <w:rPr>
          <w:rFonts w:hint="eastAsia" w:ascii="仿宋_GB2312" w:hAnsi="仿宋_GB2312" w:eastAsia="仿宋_GB2312" w:cs="仿宋_GB2312"/>
          <w:b/>
          <w:sz w:val="24"/>
        </w:rPr>
        <w:t>（评标委员会审查，有一项不符合要求，不能进入下一阶段评审）</w:t>
      </w:r>
      <w:bookmarkEnd w:id="104"/>
      <w:bookmarkEnd w:id="105"/>
    </w:p>
    <w:tbl>
      <w:tblPr>
        <w:tblStyle w:val="17"/>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698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66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98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符合性证明材料</w:t>
            </w:r>
          </w:p>
        </w:tc>
        <w:tc>
          <w:tcPr>
            <w:tcW w:w="75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986"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投标函</w:t>
            </w:r>
          </w:p>
        </w:tc>
        <w:tc>
          <w:tcPr>
            <w:tcW w:w="75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986"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递交投标保证金证明材料复印件</w:t>
            </w:r>
          </w:p>
        </w:tc>
        <w:tc>
          <w:tcPr>
            <w:tcW w:w="756" w:type="dxa"/>
            <w:vAlign w:val="center"/>
          </w:tcPr>
          <w:p>
            <w:pPr>
              <w:adjustRightInd w:val="0"/>
              <w:snapToGrid w:val="0"/>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986"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开标一览表</w:t>
            </w:r>
          </w:p>
        </w:tc>
        <w:tc>
          <w:tcPr>
            <w:tcW w:w="75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6986"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分项报价表</w:t>
            </w:r>
          </w:p>
        </w:tc>
        <w:tc>
          <w:tcPr>
            <w:tcW w:w="75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6986"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技术规格偏离表</w:t>
            </w:r>
          </w:p>
        </w:tc>
        <w:tc>
          <w:tcPr>
            <w:tcW w:w="75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6986"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商务条款偏离表</w:t>
            </w:r>
          </w:p>
        </w:tc>
        <w:tc>
          <w:tcPr>
            <w:tcW w:w="75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w:t>
            </w:r>
          </w:p>
        </w:tc>
        <w:tc>
          <w:tcPr>
            <w:tcW w:w="6986"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投标人关联单位说明</w:t>
            </w:r>
          </w:p>
        </w:tc>
        <w:tc>
          <w:tcPr>
            <w:tcW w:w="75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66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8</w:t>
            </w:r>
          </w:p>
        </w:tc>
        <w:tc>
          <w:tcPr>
            <w:tcW w:w="6986" w:type="dxa"/>
            <w:vAlign w:val="center"/>
          </w:tcPr>
          <w:p>
            <w:pPr>
              <w:adjustRightInd w:val="0"/>
              <w:snapToGrid w:val="0"/>
            </w:pPr>
            <w:r>
              <w:rPr>
                <w:rFonts w:hint="eastAsia"/>
              </w:rPr>
              <w:t>其他符合性证明材料：</w:t>
            </w:r>
          </w:p>
          <w:p>
            <w:pPr>
              <w:adjustRightInd w:val="0"/>
              <w:snapToGrid w:val="0"/>
            </w:pPr>
            <w:r>
              <w:rPr>
                <w:rFonts w:hint="eastAsia"/>
              </w:rPr>
              <w:t>1.货物主要技术指标和性能的详细说明（产品技术说明书、技术白皮书、产品彩页等文字资料、图纸和数据、检测报告等之一均可）</w:t>
            </w:r>
          </w:p>
          <w:p>
            <w:pPr>
              <w:adjustRightInd w:val="0"/>
              <w:snapToGrid w:val="0"/>
            </w:pPr>
            <w:r>
              <w:rPr>
                <w:rFonts w:hint="eastAsia"/>
              </w:rPr>
              <w:t>2.如所投产品为进口产品，需提供所投产品厂商或国内总代理出具的授权书，如为国内总代理出具的授权书，还需提供国内总代理资格证明文件。</w:t>
            </w:r>
          </w:p>
          <w:p>
            <w:pPr>
              <w:adjustRightInd w:val="0"/>
              <w:snapToGrid w:val="0"/>
            </w:pPr>
            <w:r>
              <w:rPr>
                <w:rFonts w:hint="eastAsia"/>
              </w:rPr>
              <w:t>3.售后服务承诺书</w:t>
            </w:r>
          </w:p>
          <w:p>
            <w:pPr>
              <w:adjustRightInd w:val="0"/>
              <w:snapToGrid w:val="0"/>
            </w:pPr>
            <w:r>
              <w:rPr>
                <w:rFonts w:hint="eastAsia"/>
              </w:rPr>
              <w:t>4.新冠肺炎疫情防控工作承诺函（适用于以邮寄方式递交纸质投标文件的投标人，现场递交纸质投标文件的投标人无需提供）</w:t>
            </w:r>
          </w:p>
          <w:p>
            <w:pPr>
              <w:adjustRightInd w:val="0"/>
              <w:snapToGrid w:val="0"/>
            </w:pPr>
            <w:r>
              <w:rPr>
                <w:rFonts w:hint="eastAsia"/>
              </w:rPr>
              <w:t>5.电子文件和纸质文件一致性承诺函</w:t>
            </w:r>
          </w:p>
        </w:tc>
        <w:tc>
          <w:tcPr>
            <w:tcW w:w="756" w:type="dxa"/>
            <w:vAlign w:val="center"/>
          </w:tcPr>
          <w:p>
            <w:pPr>
              <w:adjustRightInd w:val="0"/>
              <w:snapToGrid w:val="0"/>
              <w:jc w:val="center"/>
              <w:rPr>
                <w:rFonts w:ascii="仿宋_GB2312" w:hAnsi="仿宋_GB2312" w:eastAsia="仿宋_GB2312" w:cs="仿宋_GB2312"/>
                <w:kern w:val="0"/>
                <w:szCs w:val="21"/>
              </w:rPr>
            </w:pPr>
          </w:p>
        </w:tc>
      </w:tr>
    </w:tbl>
    <w:p>
      <w:pPr>
        <w:snapToGrid w:val="0"/>
        <w:spacing w:before="159" w:beforeLines="50"/>
        <w:rPr>
          <w:rFonts w:ascii="仿宋_GB2312" w:hAnsi="仿宋_GB2312" w:eastAsia="仿宋_GB2312" w:cs="仿宋_GB2312"/>
          <w:b/>
          <w:sz w:val="24"/>
        </w:rPr>
      </w:pPr>
      <w:bookmarkStart w:id="108" w:name="_Toc27769_WPSOffice_Level2"/>
      <w:bookmarkStart w:id="109" w:name="_Toc24432_WPSOffice_Level2"/>
      <w:r>
        <w:rPr>
          <w:rFonts w:hint="eastAsia" w:ascii="仿宋_GB2312" w:hAnsi="仿宋_GB2312" w:eastAsia="仿宋_GB2312" w:cs="仿宋_GB2312"/>
          <w:b/>
          <w:sz w:val="24"/>
        </w:rPr>
        <w:t>四、其他材料</w:t>
      </w:r>
      <w:bookmarkEnd w:id="108"/>
      <w:bookmarkEnd w:id="109"/>
      <w:r>
        <w:rPr>
          <w:rFonts w:hint="eastAsia" w:ascii="仿宋_GB2312" w:hAnsi="仿宋_GB2312" w:eastAsia="仿宋_GB2312" w:cs="仿宋_GB2312"/>
          <w:b/>
          <w:sz w:val="24"/>
        </w:rPr>
        <w:t>（如有，请提供；如未提供，投标文件不作无效处理）</w:t>
      </w:r>
    </w:p>
    <w:tbl>
      <w:tblPr>
        <w:tblStyle w:val="17"/>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6985"/>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blHeader/>
          <w:jc w:val="center"/>
        </w:trPr>
        <w:tc>
          <w:tcPr>
            <w:tcW w:w="668"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985"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其他材料</w:t>
            </w:r>
          </w:p>
        </w:tc>
        <w:tc>
          <w:tcPr>
            <w:tcW w:w="75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68"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985"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《品目清单》、国家确定的认证机构出具的、处于有效期之内的《节能产品、环境标志产品认证证书》（非政府强制采购的节能产品可以提供） </w:t>
            </w:r>
          </w:p>
        </w:tc>
        <w:tc>
          <w:tcPr>
            <w:tcW w:w="756" w:type="dxa"/>
            <w:vAlign w:val="center"/>
          </w:tcPr>
          <w:p>
            <w:pPr>
              <w:adjustRightInd w:val="0"/>
              <w:snapToGrid w:val="0"/>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8" w:type="dxa"/>
            <w:vAlign w:val="center"/>
          </w:tcPr>
          <w:p>
            <w:pPr>
              <w:adjustRightInd w:val="0"/>
              <w:snapToGrid w:val="0"/>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2</w:t>
            </w:r>
          </w:p>
        </w:tc>
        <w:tc>
          <w:tcPr>
            <w:tcW w:w="6985" w:type="dxa"/>
            <w:vAlign w:val="center"/>
          </w:tcPr>
          <w:p>
            <w:pPr>
              <w:adjustRightInd w:val="0"/>
              <w:snapToGrid w:val="0"/>
              <w:ind w:left="25" w:leftChars="12"/>
              <w:rPr>
                <w:rFonts w:ascii="仿宋_GB2312" w:hAnsi="仿宋_GB2312" w:eastAsia="仿宋_GB2312" w:cs="仿宋_GB2312"/>
                <w:kern w:val="0"/>
                <w:szCs w:val="21"/>
              </w:rPr>
            </w:pPr>
            <w:r>
              <w:rPr>
                <w:rFonts w:hint="eastAsia" w:ascii="仿宋_GB2312" w:hAnsi="仿宋_GB2312" w:eastAsia="仿宋_GB2312" w:cs="仿宋_GB2312"/>
                <w:kern w:val="0"/>
                <w:szCs w:val="21"/>
              </w:rPr>
              <w:t>监狱企业证明文件</w:t>
            </w:r>
          </w:p>
        </w:tc>
        <w:tc>
          <w:tcPr>
            <w:tcW w:w="756" w:type="dxa"/>
            <w:vAlign w:val="center"/>
          </w:tcPr>
          <w:p>
            <w:pPr>
              <w:adjustRightInd w:val="0"/>
              <w:snapToGrid w:val="0"/>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8" w:type="dxa"/>
            <w:vAlign w:val="center"/>
          </w:tcPr>
          <w:p>
            <w:pPr>
              <w:adjustRightInd w:val="0"/>
              <w:snapToGrid w:val="0"/>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3</w:t>
            </w:r>
          </w:p>
        </w:tc>
        <w:tc>
          <w:tcPr>
            <w:tcW w:w="6985" w:type="dxa"/>
            <w:vAlign w:val="center"/>
          </w:tcPr>
          <w:p>
            <w:pPr>
              <w:adjustRightInd w:val="0"/>
              <w:snapToGrid w:val="0"/>
              <w:ind w:left="25" w:leftChars="12"/>
              <w:rPr>
                <w:rFonts w:ascii="仿宋_GB2312" w:hAnsi="仿宋_GB2312" w:eastAsia="仿宋_GB2312" w:cs="仿宋_GB2312"/>
                <w:kern w:val="0"/>
                <w:szCs w:val="21"/>
              </w:rPr>
            </w:pPr>
            <w:r>
              <w:rPr>
                <w:rFonts w:hint="eastAsia" w:ascii="仿宋_GB2312" w:hAnsi="仿宋_GB2312" w:eastAsia="仿宋_GB2312" w:cs="仿宋_GB2312"/>
                <w:kern w:val="0"/>
                <w:szCs w:val="21"/>
              </w:rPr>
              <w:t>中小企业声明函</w:t>
            </w:r>
          </w:p>
        </w:tc>
        <w:tc>
          <w:tcPr>
            <w:tcW w:w="75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8" w:type="dxa"/>
            <w:vAlign w:val="center"/>
          </w:tcPr>
          <w:p>
            <w:pPr>
              <w:adjustRightInd w:val="0"/>
              <w:snapToGrid w:val="0"/>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4</w:t>
            </w:r>
          </w:p>
        </w:tc>
        <w:tc>
          <w:tcPr>
            <w:tcW w:w="6985" w:type="dxa"/>
            <w:vAlign w:val="center"/>
          </w:tcPr>
          <w:p>
            <w:pPr>
              <w:adjustRightInd w:val="0"/>
              <w:snapToGrid w:val="0"/>
              <w:ind w:left="25" w:leftChars="12"/>
              <w:rPr>
                <w:rFonts w:ascii="仿宋_GB2312" w:hAnsi="仿宋_GB2312" w:eastAsia="仿宋_GB2312" w:cs="仿宋_GB2312"/>
                <w:szCs w:val="21"/>
              </w:rPr>
            </w:pPr>
            <w:r>
              <w:rPr>
                <w:rFonts w:hint="eastAsia" w:ascii="仿宋_GB2312" w:hAnsi="仿宋_GB2312" w:eastAsia="仿宋_GB2312" w:cs="仿宋_GB2312"/>
                <w:szCs w:val="21"/>
              </w:rPr>
              <w:t>残疾人福利性单位声明函</w:t>
            </w:r>
          </w:p>
        </w:tc>
        <w:tc>
          <w:tcPr>
            <w:tcW w:w="756" w:type="dxa"/>
            <w:vAlign w:val="center"/>
          </w:tcPr>
          <w:p>
            <w:pPr>
              <w:adjustRightInd w:val="0"/>
              <w:snapToGrid w:val="0"/>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8" w:type="dxa"/>
            <w:vAlign w:val="center"/>
          </w:tcPr>
          <w:p>
            <w:pPr>
              <w:adjustRightInd w:val="0"/>
              <w:snapToGrid w:val="0"/>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5</w:t>
            </w:r>
          </w:p>
        </w:tc>
        <w:tc>
          <w:tcPr>
            <w:tcW w:w="6985" w:type="dxa"/>
            <w:vAlign w:val="center"/>
          </w:tcPr>
          <w:p>
            <w:pPr>
              <w:adjustRightInd w:val="0"/>
              <w:snapToGrid w:val="0"/>
              <w:ind w:left="25" w:leftChars="12"/>
              <w:rPr>
                <w:rFonts w:ascii="仿宋_GB2312" w:hAnsi="仿宋_GB2312" w:eastAsia="仿宋_GB2312" w:cs="仿宋_GB2312"/>
                <w:szCs w:val="21"/>
              </w:rPr>
            </w:pPr>
            <w:r>
              <w:rPr>
                <w:rFonts w:hint="eastAsia" w:ascii="仿宋_GB2312" w:hAnsi="仿宋_GB2312" w:eastAsia="仿宋_GB2312" w:cs="仿宋_GB2312"/>
                <w:szCs w:val="21"/>
              </w:rPr>
              <w:t>列入《辽宁省创新产品和服务目录》内的产品、服务的证明材料（如适用）</w:t>
            </w:r>
          </w:p>
          <w:p>
            <w:pPr>
              <w:adjustRightInd w:val="0"/>
              <w:snapToGrid w:val="0"/>
              <w:ind w:left="25" w:leftChars="12"/>
              <w:rPr>
                <w:rFonts w:ascii="仿宋_GB2312" w:hAnsi="仿宋_GB2312" w:eastAsia="仿宋_GB2312" w:cs="仿宋_GB2312"/>
                <w:szCs w:val="21"/>
              </w:rPr>
            </w:pPr>
            <w:r>
              <w:rPr>
                <w:rFonts w:hint="eastAsia" w:ascii="仿宋_GB2312" w:hAnsi="仿宋_GB2312" w:eastAsia="仿宋_GB2312" w:cs="仿宋_GB2312"/>
                <w:szCs w:val="21"/>
              </w:rPr>
              <w:t>（此项要求可视实际情况设置在符合性证明材料或其他材料中）</w:t>
            </w:r>
          </w:p>
        </w:tc>
        <w:tc>
          <w:tcPr>
            <w:tcW w:w="756" w:type="dxa"/>
            <w:vAlign w:val="center"/>
          </w:tcPr>
          <w:p>
            <w:pPr>
              <w:adjustRightInd w:val="0"/>
              <w:snapToGrid w:val="0"/>
              <w:jc w:val="center"/>
              <w:rPr>
                <w:rFonts w:ascii="仿宋_GB2312" w:hAnsi="仿宋_GB2312" w:eastAsia="仿宋_GB2312" w:cs="仿宋_GB2312"/>
                <w:kern w:val="0"/>
                <w:szCs w:val="21"/>
              </w:rPr>
            </w:pPr>
          </w:p>
        </w:tc>
      </w:tr>
    </w:tbl>
    <w:p>
      <w:pPr>
        <w:adjustRightInd w:val="0"/>
        <w:snapToGrid w:val="0"/>
        <w:spacing w:line="360" w:lineRule="auto"/>
        <w:ind w:firstLine="480" w:firstLineChars="200"/>
        <w:rPr>
          <w:rFonts w:ascii="仿宋_GB2312" w:hAnsi="仿宋_GB2312" w:eastAsia="仿宋_GB2312" w:cs="仿宋_GB2312"/>
          <w:b/>
          <w:sz w:val="24"/>
        </w:rPr>
      </w:pPr>
      <w:bookmarkStart w:id="110" w:name="_Toc23127_WPSOffice_Level2"/>
      <w:bookmarkStart w:id="111" w:name="_Toc24011_WPSOffice_Level2"/>
      <w:r>
        <w:rPr>
          <w:rFonts w:hint="eastAsia" w:ascii="仿宋_GB2312" w:hAnsi="仿宋_GB2312" w:eastAsia="仿宋_GB2312" w:cs="仿宋_GB2312"/>
          <w:b/>
          <w:sz w:val="24"/>
        </w:rPr>
        <w:t>重要提示：</w:t>
      </w:r>
      <w:bookmarkEnd w:id="110"/>
      <w:bookmarkEnd w:id="111"/>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1、投标人提供的证明材料，除需要投标人填报或有特殊说明外，均须按要求提供。</w:t>
      </w:r>
      <w:r>
        <w:rPr>
          <w:rFonts w:hint="eastAsia" w:ascii="仿宋_GB2312" w:hAnsi="仿宋_GB2312" w:eastAsia="仿宋_GB2312" w:cs="仿宋_GB2312"/>
          <w:b/>
          <w:bCs/>
          <w:szCs w:val="21"/>
        </w:rPr>
        <w:t xml:space="preserve"> </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2、投标人在编制投标文件时，对于给定格式的文件内容，必须按照给定的标准格式进行填报；对于没有给定标准格式的文件内容，可以由投标人自行设计。</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3、投标文件应用中文书写。投标文件中所附或所引用的材料不是中文时，应附中文译本，并加盖单位公章（自然人投标的，无需加盖单位公章，需要签字）。</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szCs w:val="21"/>
        </w:rPr>
        <w:t>4、</w:t>
      </w:r>
      <w:r>
        <w:rPr>
          <w:rFonts w:hint="eastAsia" w:ascii="仿宋_GB2312" w:hAnsi="仿宋_GB2312" w:eastAsia="仿宋_GB2312" w:cs="仿宋_GB2312"/>
          <w:b/>
          <w:bCs/>
          <w:szCs w:val="21"/>
        </w:rPr>
        <w:t>“资格证明材料”</w:t>
      </w:r>
      <w:r>
        <w:rPr>
          <w:rFonts w:hint="eastAsia" w:ascii="仿宋_GB2312" w:hAnsi="仿宋_GB2312" w:eastAsia="仿宋_GB2312" w:cs="仿宋_GB2312"/>
        </w:rPr>
        <w:t>所列内容即为采购项目的资格审查条件，有一项不符合要求，不能进入下一阶段评审。</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b/>
          <w:bCs/>
          <w:szCs w:val="21"/>
        </w:rPr>
        <w:t>“符合性证明材料”</w:t>
      </w:r>
      <w:r>
        <w:rPr>
          <w:rFonts w:hint="eastAsia" w:ascii="仿宋_GB2312" w:hAnsi="仿宋_GB2312" w:eastAsia="仿宋_GB2312" w:cs="仿宋_GB2312"/>
        </w:rPr>
        <w:t>所列内容即为采购项目的符合性审查条件，有一项不符合要求，不能进入下一阶段评审。</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rPr>
        <w:t>6、</w:t>
      </w:r>
      <w:r>
        <w:rPr>
          <w:rFonts w:hint="eastAsia" w:ascii="仿宋_GB2312" w:hAnsi="仿宋_GB2312" w:eastAsia="仿宋_GB2312" w:cs="仿宋_GB2312"/>
          <w:szCs w:val="21"/>
        </w:rPr>
        <w:t>“其他材料”</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（1）</w:t>
      </w:r>
      <w:r>
        <w:rPr>
          <w:rFonts w:hint="eastAsia" w:ascii="仿宋_GB2312" w:hAnsi="仿宋_GB2312" w:eastAsia="仿宋_GB2312" w:cs="仿宋_GB2312"/>
          <w:kern w:val="0"/>
          <w:szCs w:val="21"/>
        </w:rPr>
        <w:t>综合评分法：</w:t>
      </w:r>
      <w:r>
        <w:rPr>
          <w:rFonts w:hint="eastAsia" w:ascii="仿宋_GB2312" w:hAnsi="仿宋_GB2312" w:eastAsia="仿宋_GB2312" w:cs="仿宋_GB2312"/>
          <w:szCs w:val="21"/>
        </w:rPr>
        <w:t>投标人可就</w:t>
      </w:r>
      <w:r>
        <w:rPr>
          <w:rFonts w:hint="eastAsia" w:ascii="仿宋_GB2312" w:hAnsi="仿宋_GB2312" w:eastAsia="仿宋_GB2312" w:cs="仿宋_GB2312"/>
          <w:kern w:val="0"/>
          <w:szCs w:val="21"/>
        </w:rPr>
        <w:t>招标文件要求以及评分细则中各项要求提供相应材料。</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（2）</w:t>
      </w:r>
      <w:r>
        <w:rPr>
          <w:rFonts w:hint="eastAsia" w:ascii="仿宋_GB2312" w:hAnsi="仿宋_GB2312" w:eastAsia="仿宋_GB2312" w:cs="仿宋_GB2312"/>
          <w:kern w:val="0"/>
          <w:szCs w:val="21"/>
        </w:rPr>
        <w:t>最低评标价法：</w:t>
      </w:r>
      <w:r>
        <w:rPr>
          <w:rFonts w:hint="eastAsia" w:ascii="仿宋_GB2312" w:hAnsi="仿宋_GB2312" w:eastAsia="仿宋_GB2312" w:cs="仿宋_GB2312"/>
          <w:szCs w:val="21"/>
        </w:rPr>
        <w:t>投标人可就</w:t>
      </w:r>
      <w:r>
        <w:rPr>
          <w:rFonts w:hint="eastAsia" w:ascii="仿宋_GB2312" w:hAnsi="仿宋_GB2312" w:eastAsia="仿宋_GB2312" w:cs="仿宋_GB2312"/>
          <w:kern w:val="0"/>
          <w:szCs w:val="21"/>
        </w:rPr>
        <w:t>招标文件要求提供相应材料。</w:t>
      </w:r>
    </w:p>
    <w:p>
      <w:pPr>
        <w:pStyle w:val="5"/>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w:t>
      </w:r>
    </w:p>
    <w:p>
      <w:pPr>
        <w:jc w:val="center"/>
        <w:rPr>
          <w:rFonts w:ascii="仿宋_GB2312" w:hAnsi="仿宋_GB2312" w:eastAsia="仿宋_GB2312" w:cs="仿宋_GB2312"/>
          <w:b/>
          <w:bCs/>
          <w:sz w:val="32"/>
          <w:szCs w:val="32"/>
        </w:rPr>
      </w:pPr>
      <w:bookmarkStart w:id="112" w:name="_Toc26322_WPSOffice_Level2"/>
      <w:bookmarkStart w:id="113" w:name="_Toc21090_WPSOffice_Level2"/>
      <w:r>
        <w:rPr>
          <w:rFonts w:hint="eastAsia" w:ascii="仿宋_GB2312" w:hAnsi="仿宋_GB2312" w:eastAsia="仿宋_GB2312" w:cs="仿宋_GB2312"/>
          <w:b/>
          <w:bCs/>
          <w:sz w:val="32"/>
          <w:szCs w:val="32"/>
        </w:rPr>
        <w:t>投标文件、电子文档外封面、封口格式</w:t>
      </w:r>
      <w:bookmarkEnd w:id="112"/>
      <w:bookmarkEnd w:id="113"/>
    </w:p>
    <w:p>
      <w:pPr>
        <w:rPr>
          <w:rFonts w:ascii="仿宋_GB2312" w:hAnsi="仿宋_GB2312" w:eastAsia="仿宋_GB2312" w:cs="仿宋_GB2312"/>
        </w:rPr>
      </w:pPr>
      <w:r>
        <w:rPr>
          <w:rFonts w:hint="eastAsia" w:ascii="仿宋_GB2312" w:hAnsi="仿宋_GB2312" w:eastAsia="仿宋_GB2312" w:cs="仿宋_GB2312"/>
          <w:sz w:val="28"/>
          <w:szCs w:val="28"/>
        </w:rPr>
        <w:t>封面格式：</w:t>
      </w:r>
    </w:p>
    <w:tbl>
      <w:tblPr>
        <w:tblStyle w:val="17"/>
        <w:tblW w:w="5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0" w:hRule="atLeast"/>
          <w:jc w:val="center"/>
        </w:trPr>
        <w:tc>
          <w:tcPr>
            <w:tcW w:w="5960" w:type="dxa"/>
          </w:tcPr>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r>
              <w:rPr>
                <w:rFonts w:hint="eastAsia" w:ascii="仿宋_GB2312" w:hAnsi="仿宋_GB2312" w:eastAsia="仿宋_GB2312" w:cs="仿宋_GB2312"/>
                <w:b/>
                <w:bCs/>
                <w:sz w:val="44"/>
                <w:szCs w:val="52"/>
              </w:rPr>
              <w:t>投标文件/电子文档</w:t>
            </w: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所投包号：第  包</w:t>
            </w: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项目名称：</w:t>
            </w: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项目编号：</w:t>
            </w: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投标人名称（加盖单位公章）</w:t>
            </w:r>
          </w:p>
        </w:tc>
      </w:tr>
    </w:tbl>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r>
        <w:rPr>
          <w:rFonts w:hint="eastAsia" w:ascii="仿宋_GB2312" w:hAnsi="仿宋_GB2312" w:eastAsia="仿宋_GB2312" w:cs="仿宋_GB2312"/>
          <w:sz w:val="24"/>
          <w:szCs w:val="32"/>
        </w:rPr>
        <w:t>封口格式：</w:t>
      </w:r>
    </w:p>
    <w:tbl>
      <w:tblPr>
        <w:tblStyle w:val="17"/>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8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——于   年  月  日   时之前不准启封（公章）——</w:t>
            </w:r>
          </w:p>
        </w:tc>
      </w:tr>
    </w:tbl>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pStyle w:val="5"/>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格式2</w:t>
      </w:r>
    </w:p>
    <w:p>
      <w:pPr>
        <w:jc w:val="center"/>
        <w:rPr>
          <w:rFonts w:ascii="仿宋_GB2312" w:hAnsi="仿宋_GB2312" w:eastAsia="仿宋_GB2312" w:cs="仿宋_GB2312"/>
          <w:b/>
          <w:bCs/>
          <w:sz w:val="32"/>
          <w:szCs w:val="32"/>
        </w:rPr>
      </w:pPr>
      <w:r>
        <w:rPr>
          <w:rFonts w:ascii="仿宋_GB2312" w:hAnsi="仿宋_GB2312" w:eastAsia="仿宋_GB2312" w:cs="仿宋_GB2312"/>
          <w:sz w:val="32"/>
        </w:rPr>
        <mc:AlternateContent>
          <mc:Choice Requires="wps">
            <w:drawing>
              <wp:anchor distT="0" distB="0" distL="114300" distR="114300" simplePos="0" relativeHeight="251662336" behindDoc="0" locked="0" layoutInCell="1" allowOverlap="1">
                <wp:simplePos x="0" y="0"/>
                <wp:positionH relativeFrom="column">
                  <wp:posOffset>3878580</wp:posOffset>
                </wp:positionH>
                <wp:positionV relativeFrom="paragraph">
                  <wp:posOffset>361315</wp:posOffset>
                </wp:positionV>
                <wp:extent cx="1184910" cy="488950"/>
                <wp:effectExtent l="4445" t="5080" r="17145" b="13970"/>
                <wp:wrapNone/>
                <wp:docPr id="4" name="文本框 4"/>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wps:txbx>
                      <wps:bodyPr upright="1"/>
                    </wps:wsp>
                  </a:graphicData>
                </a:graphic>
              </wp:anchor>
            </w:drawing>
          </mc:Choice>
          <mc:Fallback>
            <w:pict>
              <v:shape id="_x0000_s1026" o:spid="_x0000_s1026" o:spt="202" type="#_x0000_t202" style="position:absolute;left:0pt;margin-left:305.4pt;margin-top:28.45pt;height:38.5pt;width:93.3pt;z-index:251662336;mso-width-relative:page;mso-height-relative:page;" fillcolor="#FFFFFF" filled="t" stroked="t" coordsize="21600,21600" o:gfxdata="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RM7iS2QAAAAoBAAAPAAAAAAAAAAEAIAAAACIAAABkcnMvZG93bnJldi54bWxQ&#10;SwECFAAUAAAACACHTuJAy/FgW/YBAAD2AwAADgAAAAAAAAABACAAAAAoAQAAZHJzL2Uyb0RvYy54&#10;bWxQSwUGAAAAAAYABgBZAQAAkAUAAAAA&#10;">
                <v:fill on="t" focussize="0,0"/>
                <v:stroke color="#000000" joinstyle="miter"/>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mc:Fallback>
        </mc:AlternateContent>
      </w:r>
      <w:r>
        <w:rPr>
          <w:rFonts w:hint="eastAsia" w:ascii="仿宋_GB2312" w:hAnsi="仿宋_GB2312" w:eastAsia="仿宋_GB2312" w:cs="仿宋_GB2312"/>
          <w:b/>
          <w:bCs/>
          <w:sz w:val="32"/>
          <w:szCs w:val="32"/>
        </w:rPr>
        <w:t>投标文件的封皮</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投  标  文  件</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所投包号：第  包</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项目编号：</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投标人名称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5"/>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格式3</w:t>
      </w:r>
    </w:p>
    <w:p>
      <w:pPr>
        <w:spacing w:before="319" w:beforeLines="100" w:after="319" w:afterLines="100" w:line="360" w:lineRule="auto"/>
        <w:ind w:right="-21" w:rightChars="-10"/>
        <w:jc w:val="center"/>
        <w:rPr>
          <w:rFonts w:ascii="仿宋_GB2312" w:hAnsi="仿宋_GB2312" w:eastAsia="仿宋_GB2312" w:cs="仿宋_GB2312"/>
          <w:b/>
          <w:sz w:val="32"/>
          <w:szCs w:val="32"/>
        </w:rPr>
      </w:pPr>
      <w:bookmarkStart w:id="114" w:name="_Toc2304_WPSOffice_Level2"/>
      <w:bookmarkStart w:id="115" w:name="_Toc21414_WPSOffice_Level2"/>
      <w:r>
        <w:rPr>
          <w:rFonts w:hint="eastAsia" w:ascii="仿宋_GB2312" w:hAnsi="仿宋_GB2312" w:eastAsia="仿宋_GB2312" w:cs="仿宋_GB2312"/>
          <w:b/>
          <w:sz w:val="32"/>
          <w:szCs w:val="32"/>
        </w:rPr>
        <w:t>目  录</w:t>
      </w:r>
      <w:bookmarkEnd w:id="114"/>
      <w:bookmarkEnd w:id="115"/>
    </w:p>
    <w:p>
      <w:pPr>
        <w:rPr>
          <w:rFonts w:ascii="仿宋_GB2312" w:hAnsi="仿宋_GB2312" w:eastAsia="仿宋_GB2312" w:cs="仿宋_GB2312"/>
        </w:rPr>
      </w:pPr>
      <w:bookmarkStart w:id="116" w:name="_Toc30940_WPSOffice_Level2"/>
      <w:bookmarkStart w:id="117" w:name="_Toc7636_WPSOffice_Level2"/>
      <w:r>
        <w:rPr>
          <w:rFonts w:hint="eastAsia" w:ascii="仿宋_GB2312" w:hAnsi="仿宋_GB2312" w:eastAsia="仿宋_GB2312" w:cs="仿宋_GB2312"/>
        </w:rPr>
        <w:t>一、资格证明材料</w:t>
      </w:r>
      <w:bookmarkEnd w:id="116"/>
      <w:bookmarkEnd w:id="117"/>
    </w:p>
    <w:p>
      <w:pPr>
        <w:rPr>
          <w:rFonts w:ascii="仿宋_GB2312" w:hAnsi="仿宋_GB2312" w:eastAsia="仿宋_GB2312" w:cs="仿宋_GB2312"/>
        </w:rPr>
      </w:pPr>
      <w:r>
        <w:rPr>
          <w:rFonts w:hint="eastAsia" w:ascii="仿宋_GB2312" w:hAnsi="仿宋_GB2312" w:eastAsia="仿宋_GB2312" w:cs="仿宋_GB2312"/>
        </w:rPr>
        <w:t>……</w:t>
      </w:r>
    </w:p>
    <w:p>
      <w:pPr>
        <w:rPr>
          <w:rFonts w:ascii="仿宋_GB2312" w:hAnsi="仿宋_GB2312" w:eastAsia="仿宋_GB2312" w:cs="仿宋_GB2312"/>
        </w:rPr>
      </w:pPr>
      <w:bookmarkStart w:id="118" w:name="_Toc13950_WPSOffice_Level2"/>
      <w:bookmarkStart w:id="119" w:name="_Toc31702_WPSOffice_Level2"/>
      <w:r>
        <w:rPr>
          <w:rFonts w:hint="eastAsia" w:ascii="仿宋_GB2312" w:hAnsi="仿宋_GB2312" w:eastAsia="仿宋_GB2312" w:cs="仿宋_GB2312"/>
        </w:rPr>
        <w:t>二、符合性证明材料</w:t>
      </w:r>
      <w:bookmarkEnd w:id="118"/>
      <w:bookmarkEnd w:id="119"/>
    </w:p>
    <w:p>
      <w:pPr>
        <w:rPr>
          <w:rFonts w:ascii="仿宋_GB2312" w:hAnsi="仿宋_GB2312" w:eastAsia="仿宋_GB2312" w:cs="仿宋_GB2312"/>
        </w:rPr>
      </w:pPr>
      <w:r>
        <w:rPr>
          <w:rFonts w:hint="eastAsia" w:ascii="仿宋_GB2312" w:hAnsi="仿宋_GB2312" w:eastAsia="仿宋_GB2312" w:cs="仿宋_GB2312"/>
        </w:rPr>
        <w:t>……</w:t>
      </w:r>
    </w:p>
    <w:p>
      <w:pPr>
        <w:rPr>
          <w:rFonts w:ascii="仿宋_GB2312" w:hAnsi="仿宋_GB2312" w:eastAsia="仿宋_GB2312" w:cs="仿宋_GB2312"/>
        </w:rPr>
      </w:pPr>
      <w:bookmarkStart w:id="120" w:name="_Toc14854_WPSOffice_Level2"/>
      <w:bookmarkStart w:id="121" w:name="_Toc9090_WPSOffice_Level2"/>
      <w:r>
        <w:rPr>
          <w:rFonts w:hint="eastAsia" w:ascii="仿宋_GB2312" w:hAnsi="仿宋_GB2312" w:eastAsia="仿宋_GB2312" w:cs="仿宋_GB2312"/>
        </w:rPr>
        <w:t>三、其它材料</w:t>
      </w:r>
      <w:bookmarkEnd w:id="120"/>
      <w:bookmarkEnd w:id="121"/>
    </w:p>
    <w:p>
      <w:pPr>
        <w:rPr>
          <w:rFonts w:ascii="仿宋_GB2312" w:hAnsi="仿宋_GB2312" w:eastAsia="仿宋_GB2312" w:cs="仿宋_GB2312"/>
          <w:szCs w:val="21"/>
        </w:rPr>
      </w:pPr>
      <w:r>
        <w:rPr>
          <w:rFonts w:hint="eastAsia" w:ascii="仿宋_GB2312" w:hAnsi="仿宋_GB2312" w:eastAsia="仿宋_GB2312" w:cs="仿宋_GB2312"/>
          <w:szCs w:val="21"/>
        </w:rPr>
        <w:t>……</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我单位的投标文件由资格证明材料、符合性证明材料和其它材料三部分组成，在此加盖单位公章并由法定代表人（或非法人组织负责人）或其授权委托人签字，保证投标文件中所有材料真实、有效。</w:t>
      </w:r>
    </w:p>
    <w:p>
      <w:pPr>
        <w:spacing w:line="360" w:lineRule="auto"/>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其授权委托人(签字或盖章)：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5"/>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rPr>
        <w:br w:type="page"/>
      </w:r>
      <w:r>
        <w:rPr>
          <w:rFonts w:hint="eastAsia" w:ascii="仿宋_GB2312" w:hAnsi="仿宋_GB2312" w:eastAsia="仿宋_GB2312" w:cs="仿宋_GB2312"/>
          <w:szCs w:val="28"/>
        </w:rPr>
        <w:t>格式4</w:t>
      </w:r>
    </w:p>
    <w:p>
      <w:pPr>
        <w:spacing w:before="319" w:beforeLines="100" w:after="319" w:afterLines="100" w:line="360" w:lineRule="auto"/>
        <w:ind w:right="-21" w:rightChars="-10"/>
        <w:jc w:val="center"/>
        <w:rPr>
          <w:rFonts w:ascii="仿宋_GB2312" w:hAnsi="仿宋_GB2312" w:eastAsia="仿宋_GB2312" w:cs="仿宋_GB2312"/>
          <w:b/>
          <w:sz w:val="32"/>
          <w:szCs w:val="32"/>
        </w:rPr>
      </w:pPr>
      <w:bookmarkStart w:id="122" w:name="_Toc16924_WPSOffice_Level2"/>
      <w:bookmarkStart w:id="123" w:name="_Toc3401_WPSOffice_Level2"/>
      <w:r>
        <w:rPr>
          <w:rFonts w:hint="eastAsia" w:ascii="仿宋_GB2312" w:hAnsi="仿宋_GB2312" w:eastAsia="仿宋_GB2312" w:cs="仿宋_GB2312"/>
          <w:b/>
          <w:sz w:val="32"/>
          <w:szCs w:val="32"/>
        </w:rPr>
        <w:t>法定代表人（或非法人组织负责人）身份证明书</w:t>
      </w:r>
      <w:bookmarkEnd w:id="122"/>
      <w:bookmarkEnd w:id="123"/>
    </w:p>
    <w:p>
      <w:pPr>
        <w:spacing w:line="360" w:lineRule="auto"/>
        <w:ind w:firstLine="840" w:firstLineChars="400"/>
        <w:rPr>
          <w:rFonts w:ascii="仿宋_GB2312" w:hAnsi="仿宋_GB2312" w:eastAsia="仿宋_GB2312" w:cs="仿宋_GB2312"/>
          <w:szCs w:val="21"/>
        </w:rPr>
      </w:pPr>
      <w:r>
        <w:rPr>
          <w:rFonts w:hint="eastAsia" w:ascii="仿宋_GB2312" w:hAnsi="仿宋_GB2312" w:eastAsia="仿宋_GB2312" w:cs="仿宋_GB2312"/>
          <w:szCs w:val="21"/>
        </w:rPr>
        <w:t>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，性别：</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，出生日期：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，现任职务：</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，系</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（投标人名称）的法定代表人（或非法人组织负责人）。</w:t>
      </w:r>
    </w:p>
    <w:p>
      <w:pPr>
        <w:rPr>
          <w:rFonts w:ascii="仿宋_GB2312" w:hAnsi="仿宋_GB2312" w:eastAsia="仿宋_GB2312" w:cs="仿宋_GB2312"/>
          <w:szCs w:val="21"/>
        </w:rPr>
      </w:pPr>
    </w:p>
    <w:p>
      <w:pPr>
        <w:rPr>
          <w:rFonts w:ascii="仿宋_GB2312" w:hAnsi="仿宋_GB2312" w:eastAsia="仿宋_GB2312" w:cs="仿宋_GB2312"/>
          <w:szCs w:val="21"/>
        </w:rPr>
      </w:pPr>
      <w:r>
        <w:rPr>
          <w:rFonts w:hint="eastAsia" w:ascii="仿宋_GB2312" w:hAnsi="仿宋_GB2312" w:eastAsia="仿宋_GB2312" w:cs="仿宋_GB2312"/>
          <w:szCs w:val="21"/>
        </w:rPr>
        <w:t>特此证明。</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tbl>
      <w:tblPr>
        <w:tblStyle w:val="17"/>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（※法定代表人（或非法人组织负责人）身份证正、反面复印件※）</w:t>
            </w:r>
          </w:p>
        </w:tc>
      </w:tr>
    </w:tbl>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spacing w:line="480" w:lineRule="auto"/>
        <w:rPr>
          <w:rFonts w:ascii="仿宋_GB2312" w:hAnsi="仿宋_GB2312" w:eastAsia="仿宋_GB2312" w:cs="仿宋_GB2312"/>
          <w:u w:val="single"/>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rPr>
          <w:rFonts w:ascii="仿宋_GB2312" w:hAnsi="仿宋_GB2312" w:eastAsia="仿宋_GB2312" w:cs="仿宋_GB2312"/>
        </w:rPr>
      </w:pPr>
    </w:p>
    <w:p>
      <w:pPr>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5"/>
        <w:adjustRightInd w:val="0"/>
        <w:snapToGrid w:val="0"/>
        <w:spacing w:before="0" w:after="0" w:line="240" w:lineRule="auto"/>
        <w:jc w:val="left"/>
        <w:rPr>
          <w:rFonts w:ascii="仿宋_GB2312" w:hAnsi="仿宋_GB2312" w:eastAsia="仿宋_GB2312" w:cs="仿宋_GB2312"/>
          <w:b w:val="0"/>
          <w:bCs/>
          <w:sz w:val="32"/>
          <w:szCs w:val="32"/>
        </w:rPr>
      </w:pPr>
      <w:r>
        <w:rPr>
          <w:rFonts w:hint="eastAsia" w:ascii="仿宋_GB2312" w:hAnsi="仿宋_GB2312" w:eastAsia="仿宋_GB2312" w:cs="仿宋_GB2312"/>
          <w:szCs w:val="28"/>
        </w:rPr>
        <w:t>格式5</w:t>
      </w:r>
      <w:bookmarkStart w:id="124" w:name="_Toc122_WPSOffice_Level2"/>
      <w:bookmarkStart w:id="125" w:name="_Toc21833_WPSOffice_Level2"/>
    </w:p>
    <w:p>
      <w:pPr>
        <w:spacing w:before="319" w:beforeLines="100" w:after="319"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法定代表人（或非法人组织负责人）授权委托书</w:t>
      </w:r>
      <w:bookmarkEnd w:id="124"/>
      <w:bookmarkEnd w:id="125"/>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单位名称：</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法定代表人（或非法人组织负责人）姓名：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身份证号码：</w:t>
      </w:r>
      <w:r>
        <w:rPr>
          <w:rFonts w:hint="eastAsia" w:ascii="仿宋_GB2312" w:hAnsi="仿宋_GB2312" w:eastAsia="仿宋_GB2312" w:cs="仿宋_GB2312"/>
          <w:szCs w:val="21"/>
          <w:u w:val="single"/>
        </w:rPr>
        <w:t xml:space="preserve">         </w:t>
      </w:r>
    </w:p>
    <w:p>
      <w:pPr>
        <w:tabs>
          <w:tab w:val="left" w:pos="5205"/>
        </w:tabs>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住所地：</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rPr>
        <w:tab/>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身份证号码：</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工作单位：</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住址：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电话：</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现委托</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就</w:t>
      </w:r>
      <w:r>
        <w:rPr>
          <w:rFonts w:hint="eastAsia" w:ascii="仿宋_GB2312" w:hAnsi="仿宋_GB2312" w:eastAsia="仿宋_GB2312" w:cs="仿宋_GB2312"/>
          <w:szCs w:val="21"/>
          <w:u w:val="single"/>
        </w:rPr>
        <w:t>（项目编号、项目名称、包号）</w:t>
      </w:r>
      <w:r>
        <w:rPr>
          <w:rFonts w:hint="eastAsia" w:ascii="仿宋_GB2312" w:hAnsi="仿宋_GB2312" w:eastAsia="仿宋_GB2312" w:cs="仿宋_GB2312"/>
          <w:szCs w:val="21"/>
        </w:rPr>
        <w:t>投标中，以我单位名义处理一切与之有关的事务。</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本授权书于</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年</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月</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日签字或盖章生效，无转委托，特此声明。</w:t>
      </w:r>
    </w:p>
    <w:p>
      <w:pPr>
        <w:spacing w:line="360" w:lineRule="auto"/>
        <w:rPr>
          <w:rFonts w:ascii="仿宋_GB2312" w:hAnsi="仿宋_GB2312" w:eastAsia="仿宋_GB2312" w:cs="仿宋_GB2312"/>
          <w:szCs w:val="21"/>
        </w:rPr>
      </w:pPr>
    </w:p>
    <w:tbl>
      <w:tblPr>
        <w:tblStyle w:val="17"/>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人身份证正、反面复印件※）</w:t>
            </w:r>
          </w:p>
        </w:tc>
      </w:tr>
    </w:tbl>
    <w:p>
      <w:pPr>
        <w:spacing w:line="360" w:lineRule="auto"/>
        <w:rPr>
          <w:rFonts w:ascii="仿宋_GB2312" w:hAnsi="仿宋_GB2312" w:eastAsia="仿宋_GB2312" w:cs="仿宋_GB2312"/>
          <w:szCs w:val="21"/>
        </w:rPr>
      </w:pP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委托人（加盖单位公章）：</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法定代表人（或非法人组织负责人）（签字或盖章）：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人（签字或盖章）：</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详细通讯地址：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邮政编码 ：</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传        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     话：</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rPr>
          <w:rFonts w:ascii="仿宋_GB2312" w:hAnsi="仿宋_GB2312" w:eastAsia="仿宋_GB2312" w:cs="仿宋_GB2312"/>
          <w:szCs w:val="28"/>
        </w:rPr>
      </w:pPr>
      <w:r>
        <w:rPr>
          <w:rFonts w:hint="eastAsia" w:ascii="仿宋_GB2312" w:hAnsi="仿宋_GB2312" w:eastAsia="仿宋_GB2312" w:cs="仿宋_GB2312"/>
          <w:szCs w:val="28"/>
        </w:rPr>
        <w:br w:type="page"/>
      </w:r>
    </w:p>
    <w:p>
      <w:pPr>
        <w:pStyle w:val="5"/>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格式6</w:t>
      </w:r>
    </w:p>
    <w:p>
      <w:pPr>
        <w:spacing w:before="319" w:beforeLines="100" w:after="319"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具有良好的商业信誉和健全的财务会计制度的承诺函</w:t>
      </w:r>
    </w:p>
    <w:p>
      <w:pPr>
        <w:spacing w:before="319" w:beforeLines="100" w:after="319" w:afterLines="100" w:line="480" w:lineRule="exact"/>
        <w:ind w:right="630" w:rightChars="3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（格式自拟）</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p>
    <w:p>
      <w:pPr>
        <w:rPr>
          <w:rFonts w:ascii="仿宋_GB2312" w:hAnsi="仿宋_GB2312" w:eastAsia="仿宋_GB2312" w:cs="仿宋_GB2312"/>
          <w:szCs w:val="28"/>
        </w:rPr>
      </w:pPr>
      <w:r>
        <w:rPr>
          <w:rFonts w:hint="eastAsia" w:ascii="仿宋_GB2312" w:hAnsi="仿宋_GB2312" w:eastAsia="仿宋_GB2312" w:cs="仿宋_GB2312"/>
          <w:szCs w:val="28"/>
        </w:rPr>
        <w:br w:type="page"/>
      </w:r>
    </w:p>
    <w:p>
      <w:pPr>
        <w:pStyle w:val="5"/>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格式7</w:t>
      </w:r>
    </w:p>
    <w:p>
      <w:pPr>
        <w:spacing w:before="319" w:beforeLines="100" w:after="319" w:afterLines="100" w:line="360" w:lineRule="auto"/>
        <w:ind w:right="-21" w:rightChars="-10"/>
        <w:jc w:val="center"/>
        <w:rPr>
          <w:rFonts w:ascii="仿宋_GB2312" w:hAnsi="仿宋_GB2312" w:eastAsia="仿宋_GB2312" w:cs="仿宋_GB2312"/>
          <w:b/>
          <w:sz w:val="32"/>
          <w:szCs w:val="32"/>
        </w:rPr>
      </w:pPr>
      <w:bookmarkStart w:id="126" w:name="_Toc12037_WPSOffice_Level2"/>
      <w:bookmarkStart w:id="127" w:name="_Toc23728_WPSOffice_Level2"/>
      <w:r>
        <w:rPr>
          <w:rFonts w:hint="eastAsia" w:ascii="仿宋_GB2312" w:hAnsi="仿宋_GB2312" w:eastAsia="仿宋_GB2312" w:cs="仿宋_GB2312"/>
          <w:b/>
          <w:sz w:val="32"/>
          <w:szCs w:val="32"/>
        </w:rPr>
        <w:t>具备履行合同所必需的设备和专业技术能力声明函</w:t>
      </w:r>
      <w:bookmarkEnd w:id="126"/>
      <w:bookmarkEnd w:id="127"/>
    </w:p>
    <w:p>
      <w:pPr>
        <w:spacing w:before="319" w:beforeLines="100" w:after="319" w:afterLines="100" w:line="480" w:lineRule="exact"/>
        <w:ind w:right="630" w:rightChars="300"/>
        <w:jc w:val="center"/>
        <w:rPr>
          <w:rFonts w:ascii="仿宋_GB2312" w:hAnsi="仿宋_GB2312" w:eastAsia="仿宋_GB2312" w:cs="仿宋_GB2312"/>
          <w:sz w:val="28"/>
          <w:szCs w:val="28"/>
        </w:rPr>
      </w:pPr>
      <w:bookmarkStart w:id="128" w:name="_Toc1917_WPSOffice_Level2"/>
      <w:bookmarkStart w:id="129" w:name="_Toc28831_WPSOffice_Level2"/>
      <w:r>
        <w:rPr>
          <w:rFonts w:hint="eastAsia" w:ascii="仿宋_GB2312" w:hAnsi="仿宋_GB2312" w:eastAsia="仿宋_GB2312" w:cs="仿宋_GB2312"/>
          <w:sz w:val="28"/>
          <w:szCs w:val="28"/>
        </w:rPr>
        <w:t>（格式自拟）</w:t>
      </w:r>
      <w:bookmarkEnd w:id="128"/>
      <w:bookmarkEnd w:id="129"/>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p>
    <w:p>
      <w:pPr>
        <w:adjustRightInd w:val="0"/>
        <w:snapToGrid w:val="0"/>
        <w:spacing w:line="360" w:lineRule="auto"/>
        <w:ind w:right="105" w:rightChars="50"/>
        <w:jc w:val="left"/>
        <w:rPr>
          <w:rFonts w:ascii="仿宋_GB2312" w:hAnsi="仿宋_GB2312" w:eastAsia="仿宋_GB2312" w:cs="仿宋_GB2312"/>
          <w:b/>
          <w:sz w:val="28"/>
          <w:szCs w:val="28"/>
        </w:rPr>
      </w:pPr>
    </w:p>
    <w:p>
      <w:pPr>
        <w:widowControl/>
        <w:jc w:val="left"/>
        <w:rPr>
          <w:rFonts w:ascii="仿宋_GB2312" w:hAnsi="仿宋_GB2312" w:eastAsia="仿宋_GB2312" w:cs="仿宋_GB2312"/>
          <w:b/>
          <w:sz w:val="28"/>
          <w:szCs w:val="28"/>
        </w:rPr>
      </w:pPr>
      <w:r>
        <w:rPr>
          <w:rFonts w:hint="eastAsia" w:ascii="仿宋_GB2312" w:hAnsi="仿宋_GB2312" w:eastAsia="仿宋_GB2312" w:cs="仿宋_GB2312"/>
          <w:szCs w:val="28"/>
        </w:rPr>
        <w:br w:type="page"/>
      </w:r>
    </w:p>
    <w:p>
      <w:pPr>
        <w:pStyle w:val="5"/>
        <w:adjustRightInd w:val="0"/>
        <w:snapToGrid w:val="0"/>
        <w:spacing w:before="0" w:after="0" w:line="240" w:lineRule="auto"/>
        <w:jc w:val="left"/>
        <w:rPr>
          <w:rFonts w:ascii="仿宋_GB2312" w:hAnsi="仿宋_GB2312" w:eastAsia="仿宋_GB2312" w:cs="仿宋_GB2312"/>
        </w:rPr>
      </w:pPr>
      <w:r>
        <w:rPr>
          <w:rFonts w:hint="eastAsia" w:ascii="仿宋_GB2312" w:hAnsi="仿宋_GB2312" w:eastAsia="仿宋_GB2312" w:cs="仿宋_GB2312"/>
          <w:szCs w:val="28"/>
        </w:rPr>
        <w:t>格式8</w:t>
      </w:r>
    </w:p>
    <w:p>
      <w:pPr>
        <w:spacing w:before="319" w:beforeLines="100" w:after="319"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bookmarkStart w:id="130" w:name="_Toc11967_WPSOffice_Level2"/>
      <w:bookmarkStart w:id="131" w:name="_Toc7498_WPSOffice_Level2"/>
      <w:r>
        <w:rPr>
          <w:rFonts w:hint="eastAsia" w:ascii="仿宋_GB2312" w:hAnsi="仿宋_GB2312" w:eastAsia="仿宋_GB2312" w:cs="仿宋_GB2312"/>
          <w:b/>
          <w:sz w:val="32"/>
          <w:szCs w:val="32"/>
        </w:rPr>
        <w:t>参加政府采购活动前3年内在经营活动中没有重大违法记录的书面声明</w:t>
      </w:r>
      <w:bookmarkEnd w:id="130"/>
      <w:bookmarkEnd w:id="131"/>
    </w:p>
    <w:p>
      <w:pPr>
        <w:spacing w:line="360" w:lineRule="auto"/>
        <w:ind w:right="630" w:rightChars="300"/>
        <w:rPr>
          <w:rFonts w:ascii="仿宋_GB2312" w:hAnsi="仿宋_GB2312" w:eastAsia="仿宋_GB2312" w:cs="仿宋_GB2312"/>
          <w:b/>
          <w:szCs w:val="21"/>
        </w:rPr>
      </w:pPr>
      <w:r>
        <w:rPr>
          <w:rFonts w:hint="eastAsia" w:ascii="仿宋_GB2312" w:hAnsi="仿宋_GB2312" w:eastAsia="仿宋_GB2312" w:cs="仿宋_GB2312"/>
          <w:b/>
          <w:szCs w:val="21"/>
          <w:u w:val="single"/>
        </w:rPr>
        <w:t xml:space="preserve">（采购人或采购代理机构名称） </w:t>
      </w:r>
      <w:r>
        <w:rPr>
          <w:rFonts w:hint="eastAsia" w:ascii="仿宋_GB2312" w:hAnsi="仿宋_GB2312" w:eastAsia="仿宋_GB2312" w:cs="仿宋_GB2312"/>
          <w:b/>
          <w:szCs w:val="21"/>
        </w:rPr>
        <w:t xml:space="preserve"> ：</w:t>
      </w:r>
    </w:p>
    <w:p>
      <w:pPr>
        <w:spacing w:line="360" w:lineRule="auto"/>
        <w:ind w:right="-21" w:rightChars="-10" w:firstLine="493" w:firstLineChars="235"/>
        <w:rPr>
          <w:rFonts w:ascii="仿宋_GB2312" w:hAnsi="仿宋_GB2312" w:eastAsia="仿宋_GB2312" w:cs="仿宋_GB2312"/>
          <w:szCs w:val="21"/>
        </w:rPr>
      </w:pPr>
      <w:r>
        <w:rPr>
          <w:rFonts w:hint="eastAsia" w:ascii="仿宋_GB2312" w:hAnsi="仿宋_GB2312" w:eastAsia="仿宋_GB2312" w:cs="仿宋_GB2312"/>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spacing w:line="360" w:lineRule="auto"/>
        <w:ind w:right="-21" w:rightChars="-10" w:firstLine="371" w:firstLineChars="177"/>
        <w:rPr>
          <w:rFonts w:ascii="仿宋_GB2312" w:hAnsi="仿宋_GB2312" w:eastAsia="仿宋_GB2312" w:cs="仿宋_GB2312"/>
          <w:szCs w:val="21"/>
        </w:rPr>
      </w:pPr>
      <w:r>
        <w:rPr>
          <w:rFonts w:hint="eastAsia" w:ascii="仿宋_GB2312" w:hAnsi="仿宋_GB2312" w:eastAsia="仿宋_GB2312" w:cs="仿宋_GB2312"/>
          <w:szCs w:val="21"/>
        </w:rPr>
        <w:t>如发现我单位提供的声明函不实时，我单位将按照《政府采购法》有关提供虚假材料的规定，接受处罚。</w:t>
      </w:r>
    </w:p>
    <w:p>
      <w:pPr>
        <w:spacing w:line="360" w:lineRule="auto"/>
        <w:ind w:right="1050" w:rightChars="50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特此声明。</w:t>
      </w:r>
    </w:p>
    <w:p>
      <w:pPr>
        <w:spacing w:line="500" w:lineRule="exact"/>
        <w:ind w:right="1050" w:rightChars="500"/>
        <w:rPr>
          <w:rFonts w:ascii="仿宋_GB2312" w:hAnsi="仿宋_GB2312" w:eastAsia="仿宋_GB2312" w:cs="仿宋_GB2312"/>
          <w:szCs w:val="21"/>
        </w:rPr>
      </w:pPr>
    </w:p>
    <w:p>
      <w:pPr>
        <w:spacing w:before="159" w:beforeLines="50" w:after="159" w:afterLines="50" w:line="400" w:lineRule="exact"/>
        <w:ind w:right="1050" w:rightChars="500"/>
        <w:rPr>
          <w:rFonts w:ascii="仿宋_GB2312" w:hAnsi="仿宋_GB2312" w:eastAsia="仿宋_GB2312" w:cs="仿宋_GB2312"/>
          <w:szCs w:val="21"/>
        </w:rPr>
      </w:pPr>
    </w:p>
    <w:p>
      <w:pPr>
        <w:spacing w:before="159" w:beforeLines="50" w:after="159" w:afterLines="50" w:line="400" w:lineRule="exact"/>
        <w:ind w:right="1050" w:rightChars="500"/>
        <w:rPr>
          <w:rFonts w:ascii="仿宋_GB2312" w:hAnsi="仿宋_GB2312" w:eastAsia="仿宋_GB2312" w:cs="仿宋_GB2312"/>
          <w:szCs w:val="21"/>
        </w:rPr>
      </w:pPr>
    </w:p>
    <w:p>
      <w:pPr>
        <w:spacing w:before="159" w:beforeLines="50" w:after="159" w:afterLines="50" w:line="400" w:lineRule="exact"/>
        <w:ind w:right="1050" w:rightChars="500"/>
        <w:rPr>
          <w:rFonts w:ascii="仿宋_GB2312" w:hAnsi="仿宋_GB2312" w:eastAsia="仿宋_GB2312" w:cs="仿宋_GB2312"/>
          <w:szCs w:val="21"/>
        </w:rPr>
      </w:pPr>
    </w:p>
    <w:p>
      <w:pPr>
        <w:spacing w:line="360" w:lineRule="exact"/>
        <w:ind w:right="1050" w:rightChars="500"/>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5"/>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格式9</w:t>
      </w:r>
    </w:p>
    <w:p>
      <w:pPr>
        <w:spacing w:before="319" w:beforeLines="100" w:after="319"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bookmarkStart w:id="132" w:name="_Toc30548_WPSOffice_Level2"/>
      <w:bookmarkStart w:id="133" w:name="_Toc16873_WPSOffice_Level2"/>
      <w:r>
        <w:rPr>
          <w:rFonts w:hint="eastAsia" w:ascii="仿宋_GB2312" w:hAnsi="仿宋_GB2312" w:eastAsia="仿宋_GB2312" w:cs="仿宋_GB2312"/>
          <w:b/>
          <w:sz w:val="32"/>
          <w:szCs w:val="32"/>
        </w:rPr>
        <w:t>联合体协议书</w:t>
      </w:r>
      <w:bookmarkEnd w:id="132"/>
      <w:bookmarkEnd w:id="133"/>
    </w:p>
    <w:p>
      <w:pPr>
        <w:pStyle w:val="10"/>
        <w:spacing w:line="360" w:lineRule="auto"/>
        <w:rPr>
          <w:rFonts w:ascii="仿宋_GB2312" w:hAnsi="仿宋_GB2312" w:eastAsia="仿宋_GB2312" w:cs="仿宋_GB2312"/>
        </w:rPr>
      </w:pPr>
      <w:r>
        <w:rPr>
          <w:rFonts w:hint="eastAsia" w:ascii="仿宋_GB2312" w:hAnsi="仿宋_GB2312" w:eastAsia="仿宋_GB2312" w:cs="仿宋_GB2312"/>
          <w:u w:val="single"/>
        </w:rPr>
        <w:t>(采购人或采购代理机构)</w:t>
      </w:r>
      <w:r>
        <w:rPr>
          <w:rFonts w:hint="eastAsia" w:ascii="仿宋_GB2312" w:hAnsi="仿宋_GB2312" w:eastAsia="仿宋_GB2312" w:cs="仿宋_GB2312"/>
        </w:rPr>
        <w:t>：</w:t>
      </w:r>
    </w:p>
    <w:p>
      <w:pPr>
        <w:pStyle w:val="1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经研究，我方决定自愿组成联合体共同参加</w:t>
      </w:r>
      <w:r>
        <w:rPr>
          <w:rFonts w:hint="eastAsia" w:ascii="仿宋_GB2312" w:hAnsi="仿宋_GB2312" w:eastAsia="仿宋_GB2312" w:cs="仿宋_GB2312"/>
          <w:u w:val="single"/>
        </w:rPr>
        <w:t>(项目名称、项目编号、包号)</w:t>
      </w:r>
      <w:r>
        <w:rPr>
          <w:rFonts w:hint="eastAsia" w:ascii="仿宋_GB2312" w:hAnsi="仿宋_GB2312" w:eastAsia="仿宋_GB2312" w:cs="仿宋_GB2312"/>
        </w:rPr>
        <w:t>项目的投标。现就联合体投标事宜订立如下协议：</w:t>
      </w:r>
    </w:p>
    <w:p>
      <w:pPr>
        <w:pStyle w:val="1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一、联合体成员：</w:t>
      </w:r>
    </w:p>
    <w:p>
      <w:pPr>
        <w:pStyle w:val="10"/>
        <w:spacing w:line="360" w:lineRule="auto"/>
        <w:ind w:firstLine="420" w:firstLineChars="200"/>
        <w:rPr>
          <w:rFonts w:ascii="仿宋_GB2312" w:hAnsi="仿宋_GB2312" w:eastAsia="仿宋_GB2312" w:cs="仿宋_GB2312"/>
          <w:u w:val="single"/>
        </w:rPr>
      </w:pPr>
      <w:bookmarkStart w:id="134" w:name="_Toc23749_WPSOffice_Level2"/>
      <w:bookmarkStart w:id="135" w:name="_Toc15561_WPSOffice_Level2"/>
      <w:r>
        <w:rPr>
          <w:rFonts w:hint="eastAsia" w:ascii="仿宋_GB2312" w:hAnsi="仿宋_GB2312" w:eastAsia="仿宋_GB2312" w:cs="仿宋_GB2312"/>
        </w:rPr>
        <w:t>1.</w:t>
      </w:r>
      <w:bookmarkEnd w:id="134"/>
      <w:bookmarkEnd w:id="135"/>
      <w:r>
        <w:rPr>
          <w:rFonts w:hint="eastAsia" w:ascii="仿宋_GB2312" w:hAnsi="仿宋_GB2312" w:eastAsia="仿宋_GB2312" w:cs="仿宋_GB2312"/>
          <w:u w:val="single"/>
        </w:rPr>
        <w:t xml:space="preserve">                  </w:t>
      </w:r>
    </w:p>
    <w:p>
      <w:pPr>
        <w:pStyle w:val="10"/>
        <w:spacing w:line="360" w:lineRule="auto"/>
        <w:ind w:firstLine="420" w:firstLineChars="200"/>
        <w:rPr>
          <w:rFonts w:ascii="仿宋_GB2312" w:hAnsi="仿宋_GB2312" w:eastAsia="仿宋_GB2312" w:cs="仿宋_GB2312"/>
        </w:rPr>
      </w:pPr>
      <w:bookmarkStart w:id="136" w:name="_Toc405_WPSOffice_Level2"/>
      <w:bookmarkStart w:id="137" w:name="_Toc22173_WPSOffice_Level2"/>
      <w:r>
        <w:rPr>
          <w:rFonts w:hint="eastAsia" w:ascii="仿宋_GB2312" w:hAnsi="仿宋_GB2312" w:eastAsia="仿宋_GB2312" w:cs="仿宋_GB2312"/>
        </w:rPr>
        <w:t>2.</w:t>
      </w:r>
      <w:bookmarkEnd w:id="136"/>
      <w:bookmarkEnd w:id="137"/>
      <w:r>
        <w:rPr>
          <w:rFonts w:hint="eastAsia" w:ascii="仿宋_GB2312" w:hAnsi="仿宋_GB2312" w:eastAsia="仿宋_GB2312" w:cs="仿宋_GB2312"/>
          <w:u w:val="single"/>
        </w:rPr>
        <w:t xml:space="preserve">                  </w:t>
      </w:r>
    </w:p>
    <w:p>
      <w:pPr>
        <w:pStyle w:val="10"/>
        <w:spacing w:line="360" w:lineRule="auto"/>
        <w:ind w:firstLine="420" w:firstLineChars="200"/>
        <w:rPr>
          <w:rFonts w:ascii="仿宋_GB2312" w:hAnsi="仿宋_GB2312" w:eastAsia="仿宋_GB2312" w:cs="仿宋_GB2312"/>
        </w:rPr>
      </w:pPr>
      <w:bookmarkStart w:id="138" w:name="_Toc7084_WPSOffice_Level2"/>
      <w:bookmarkStart w:id="139" w:name="_Toc23482_WPSOffice_Level2"/>
      <w:r>
        <w:rPr>
          <w:rFonts w:hint="eastAsia" w:ascii="仿宋_GB2312" w:hAnsi="仿宋_GB2312" w:eastAsia="仿宋_GB2312" w:cs="仿宋_GB2312"/>
        </w:rPr>
        <w:t>3.</w:t>
      </w:r>
      <w:bookmarkEnd w:id="138"/>
      <w:bookmarkEnd w:id="139"/>
      <w:r>
        <w:rPr>
          <w:rFonts w:hint="eastAsia" w:ascii="仿宋_GB2312" w:hAnsi="仿宋_GB2312" w:eastAsia="仿宋_GB2312" w:cs="仿宋_GB2312"/>
          <w:u w:val="single"/>
        </w:rPr>
        <w:t xml:space="preserve">                  </w:t>
      </w:r>
    </w:p>
    <w:p>
      <w:pPr>
        <w:pStyle w:val="1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w:t>
      </w:r>
      <w:r>
        <w:rPr>
          <w:rFonts w:hint="eastAsia" w:ascii="仿宋_GB2312" w:hAnsi="仿宋_GB2312" w:eastAsia="仿宋_GB2312" w:cs="仿宋_GB2312"/>
          <w:u w:val="single"/>
        </w:rPr>
        <w:t>(某成员单位名称)</w:t>
      </w:r>
      <w:r>
        <w:rPr>
          <w:rFonts w:hint="eastAsia" w:ascii="仿宋_GB2312" w:hAnsi="仿宋_GB2312" w:eastAsia="仿宋_GB2312" w:cs="仿宋_GB2312"/>
        </w:rPr>
        <w:t>为(联合体名称)牵头人。</w:t>
      </w:r>
    </w:p>
    <w:p>
      <w:pPr>
        <w:pStyle w:val="1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pPr>
        <w:pStyle w:val="1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四、联合体将严格按照招标文件的各项要求，递交投标文件，参加投标，履行中标义务和中标后的合同，并向采购人承担连带责任。</w:t>
      </w:r>
    </w:p>
    <w:p>
      <w:pPr>
        <w:pStyle w:val="1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五、联合体各成员单位内部的职责分工如下：</w:t>
      </w:r>
      <w:r>
        <w:rPr>
          <w:rFonts w:hint="eastAsia" w:ascii="仿宋_GB2312" w:hAnsi="仿宋_GB2312" w:eastAsia="仿宋_GB2312" w:cs="仿宋_GB2312"/>
          <w:u w:val="single"/>
        </w:rPr>
        <w:t xml:space="preserve">                  </w:t>
      </w:r>
      <w:r>
        <w:rPr>
          <w:rFonts w:hint="eastAsia" w:ascii="仿宋_GB2312" w:hAnsi="仿宋_GB2312" w:eastAsia="仿宋_GB2312" w:cs="仿宋_GB2312"/>
        </w:rPr>
        <w:t>。按照本条上述分工，联合体成员单位各自所承担的合同工作量比例如下：</w:t>
      </w:r>
      <w:r>
        <w:rPr>
          <w:rFonts w:hint="eastAsia" w:ascii="仿宋_GB2312" w:hAnsi="仿宋_GB2312" w:eastAsia="仿宋_GB2312" w:cs="仿宋_GB2312"/>
          <w:u w:val="single"/>
        </w:rPr>
        <w:t xml:space="preserve">                  </w:t>
      </w:r>
      <w:r>
        <w:rPr>
          <w:rFonts w:hint="eastAsia" w:ascii="仿宋_GB2312" w:hAnsi="仿宋_GB2312" w:eastAsia="仿宋_GB2312" w:cs="仿宋_GB2312"/>
        </w:rPr>
        <w:t>。</w:t>
      </w:r>
    </w:p>
    <w:p>
      <w:pPr>
        <w:pStyle w:val="1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六、本协议书自签署之日起生效，合同履行完毕后自动失效。</w:t>
      </w:r>
    </w:p>
    <w:p>
      <w:pPr>
        <w:pStyle w:val="1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七、本协议书一式</w:t>
      </w:r>
      <w:r>
        <w:rPr>
          <w:rFonts w:hint="eastAsia" w:ascii="仿宋_GB2312" w:hAnsi="仿宋_GB2312" w:eastAsia="仿宋_GB2312" w:cs="仿宋_GB2312"/>
          <w:u w:val="single"/>
        </w:rPr>
        <w:t xml:space="preserve">   </w:t>
      </w:r>
      <w:r>
        <w:rPr>
          <w:rFonts w:hint="eastAsia" w:ascii="仿宋_GB2312" w:hAnsi="仿宋_GB2312" w:eastAsia="仿宋_GB2312" w:cs="仿宋_GB2312"/>
        </w:rPr>
        <w:t>份，联合体成员和采购人各执</w:t>
      </w:r>
      <w:r>
        <w:rPr>
          <w:rFonts w:hint="eastAsia" w:ascii="仿宋_GB2312" w:hAnsi="仿宋_GB2312" w:eastAsia="仿宋_GB2312" w:cs="仿宋_GB2312"/>
          <w:u w:val="single"/>
        </w:rPr>
        <w:t xml:space="preserve">  </w:t>
      </w:r>
      <w:r>
        <w:rPr>
          <w:rFonts w:hint="eastAsia" w:ascii="仿宋_GB2312" w:hAnsi="仿宋_GB2312" w:eastAsia="仿宋_GB2312" w:cs="仿宋_GB2312"/>
        </w:rPr>
        <w:t>份。</w:t>
      </w:r>
    </w:p>
    <w:p>
      <w:pPr>
        <w:pStyle w:val="10"/>
        <w:spacing w:line="360" w:lineRule="auto"/>
        <w:ind w:firstLine="420" w:firstLineChars="200"/>
        <w:rPr>
          <w:rFonts w:ascii="仿宋_GB2312" w:hAnsi="仿宋_GB2312" w:eastAsia="仿宋_GB2312" w:cs="仿宋_GB2312"/>
        </w:rPr>
      </w:pPr>
    </w:p>
    <w:p>
      <w:pPr>
        <w:pStyle w:val="10"/>
        <w:spacing w:line="360" w:lineRule="auto"/>
        <w:rPr>
          <w:rFonts w:ascii="仿宋_GB2312" w:hAnsi="仿宋_GB2312" w:eastAsia="仿宋_GB2312" w:cs="仿宋_GB2312"/>
          <w:u w:val="single"/>
        </w:rPr>
      </w:pPr>
      <w:r>
        <w:rPr>
          <w:rFonts w:hint="eastAsia" w:ascii="仿宋_GB2312" w:hAnsi="仿宋_GB2312" w:eastAsia="仿宋_GB2312" w:cs="仿宋_GB2312"/>
        </w:rPr>
        <w:t>牵头人名称(加盖单位公章)：</w:t>
      </w:r>
      <w:r>
        <w:rPr>
          <w:rFonts w:hint="eastAsia" w:ascii="仿宋_GB2312" w:hAnsi="仿宋_GB2312" w:eastAsia="仿宋_GB2312" w:cs="仿宋_GB2312"/>
          <w:u w:val="single"/>
        </w:rPr>
        <w:t xml:space="preserve">                            </w:t>
      </w:r>
    </w:p>
    <w:p>
      <w:pPr>
        <w:pStyle w:val="10"/>
        <w:spacing w:line="360" w:lineRule="auto"/>
        <w:rPr>
          <w:rFonts w:ascii="仿宋_GB2312" w:hAnsi="仿宋_GB2312" w:eastAsia="仿宋_GB2312" w:cs="仿宋_GB2312"/>
        </w:rPr>
      </w:pPr>
      <w:r>
        <w:rPr>
          <w:rFonts w:hint="eastAsia" w:ascii="仿宋_GB2312" w:hAnsi="仿宋_GB2312" w:eastAsia="仿宋_GB2312" w:cs="仿宋_GB2312"/>
        </w:rPr>
        <w:t>法定代表人或其授权委托人(签字或盖章)：</w:t>
      </w:r>
      <w:r>
        <w:rPr>
          <w:rFonts w:hint="eastAsia" w:ascii="仿宋_GB2312" w:hAnsi="仿宋_GB2312" w:eastAsia="仿宋_GB2312" w:cs="仿宋_GB2312"/>
          <w:u w:val="single"/>
        </w:rPr>
        <w:t xml:space="preserve">                  </w:t>
      </w:r>
    </w:p>
    <w:p>
      <w:pPr>
        <w:pStyle w:val="10"/>
        <w:spacing w:line="360" w:lineRule="auto"/>
        <w:ind w:firstLine="420" w:firstLineChars="200"/>
        <w:rPr>
          <w:rFonts w:ascii="仿宋_GB2312" w:hAnsi="仿宋_GB2312" w:eastAsia="仿宋_GB2312" w:cs="仿宋_GB2312"/>
        </w:rPr>
      </w:pPr>
    </w:p>
    <w:p>
      <w:pPr>
        <w:pStyle w:val="10"/>
        <w:spacing w:line="360" w:lineRule="auto"/>
        <w:rPr>
          <w:rFonts w:ascii="仿宋_GB2312" w:hAnsi="仿宋_GB2312" w:eastAsia="仿宋_GB2312" w:cs="仿宋_GB2312"/>
          <w:u w:val="single"/>
        </w:rPr>
      </w:pPr>
      <w:r>
        <w:rPr>
          <w:rFonts w:hint="eastAsia" w:ascii="仿宋_GB2312" w:hAnsi="仿宋_GB2312" w:eastAsia="仿宋_GB2312" w:cs="仿宋_GB2312"/>
        </w:rPr>
        <w:t>成员名称(加盖单位公章)：</w:t>
      </w:r>
      <w:r>
        <w:rPr>
          <w:rFonts w:hint="eastAsia" w:ascii="仿宋_GB2312" w:hAnsi="仿宋_GB2312" w:eastAsia="仿宋_GB2312" w:cs="仿宋_GB2312"/>
          <w:u w:val="single"/>
        </w:rPr>
        <w:t xml:space="preserve">                              </w:t>
      </w:r>
    </w:p>
    <w:p>
      <w:pPr>
        <w:pStyle w:val="10"/>
        <w:spacing w:line="360" w:lineRule="auto"/>
        <w:rPr>
          <w:rFonts w:ascii="仿宋_GB2312" w:hAnsi="仿宋_GB2312" w:eastAsia="仿宋_GB2312" w:cs="仿宋_GB2312"/>
          <w:u w:val="single"/>
        </w:rPr>
      </w:pPr>
      <w:r>
        <w:rPr>
          <w:rFonts w:hint="eastAsia" w:ascii="仿宋_GB2312" w:hAnsi="仿宋_GB2312" w:eastAsia="仿宋_GB2312" w:cs="仿宋_GB2312"/>
        </w:rPr>
        <w:t>法定代表人或其授权委托人(签字或盖章)：</w:t>
      </w:r>
      <w:r>
        <w:rPr>
          <w:rFonts w:hint="eastAsia" w:ascii="仿宋_GB2312" w:hAnsi="仿宋_GB2312" w:eastAsia="仿宋_GB2312" w:cs="仿宋_GB2312"/>
          <w:u w:val="single"/>
        </w:rPr>
        <w:t xml:space="preserve">                  </w:t>
      </w:r>
    </w:p>
    <w:p>
      <w:pPr>
        <w:spacing w:line="360" w:lineRule="exact"/>
        <w:ind w:right="1050" w:rightChars="500"/>
        <w:jc w:val="left"/>
        <w:rPr>
          <w:rFonts w:ascii="仿宋_GB2312" w:hAnsi="仿宋_GB2312" w:eastAsia="仿宋_GB2312" w:cs="仿宋_GB2312"/>
          <w:szCs w:val="21"/>
          <w:u w:val="single"/>
        </w:rPr>
      </w:pPr>
      <w:r>
        <w:rPr>
          <w:rFonts w:hint="eastAsia" w:ascii="仿宋_GB2312" w:hAnsi="仿宋_GB2312" w:eastAsia="仿宋_GB2312" w:cs="仿宋_GB2312"/>
          <w:szCs w:val="21"/>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szCs w:val="21"/>
        </w:rPr>
        <w:t xml:space="preserve"> </w:t>
      </w:r>
    </w:p>
    <w:p>
      <w:pPr>
        <w:pStyle w:val="5"/>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格式10</w:t>
      </w:r>
    </w:p>
    <w:p>
      <w:pPr>
        <w:spacing w:before="319" w:beforeLines="100" w:after="319" w:afterLines="100" w:line="360" w:lineRule="auto"/>
        <w:ind w:right="-21" w:rightChars="-10"/>
        <w:jc w:val="center"/>
        <w:rPr>
          <w:rFonts w:ascii="仿宋_GB2312" w:hAnsi="仿宋_GB2312" w:eastAsia="仿宋_GB2312" w:cs="仿宋_GB2312"/>
          <w:b/>
          <w:sz w:val="32"/>
          <w:szCs w:val="32"/>
        </w:rPr>
      </w:pPr>
      <w:bookmarkStart w:id="140" w:name="_Toc14782_WPSOffice_Level2"/>
      <w:bookmarkStart w:id="141" w:name="_Toc24841_WPSOffice_Level2"/>
      <w:r>
        <w:rPr>
          <w:rFonts w:hint="eastAsia" w:ascii="仿宋_GB2312" w:hAnsi="仿宋_GB2312" w:eastAsia="仿宋_GB2312" w:cs="仿宋_GB2312"/>
          <w:b/>
          <w:sz w:val="32"/>
          <w:szCs w:val="32"/>
        </w:rPr>
        <w:t>投标函</w:t>
      </w:r>
      <w:bookmarkEnd w:id="140"/>
      <w:bookmarkEnd w:id="141"/>
    </w:p>
    <w:p>
      <w:pPr>
        <w:adjustRightInd w:val="0"/>
        <w:snapToGrid w:val="0"/>
        <w:spacing w:line="360" w:lineRule="auto"/>
        <w:ind w:right="630" w:rightChars="300"/>
        <w:rPr>
          <w:rFonts w:ascii="仿宋_GB2312" w:hAnsi="仿宋_GB2312" w:eastAsia="仿宋_GB2312" w:cs="仿宋_GB2312"/>
          <w:szCs w:val="21"/>
          <w:u w:val="single"/>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u w:val="single"/>
        </w:rPr>
        <w:t>（采购人或采购代理机构）：</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 xml:space="preserve">    根据贵方</w:t>
      </w:r>
      <w:r>
        <w:rPr>
          <w:rFonts w:hint="eastAsia" w:ascii="仿宋_GB2312" w:hAnsi="仿宋_GB2312" w:eastAsia="仿宋_GB2312" w:cs="仿宋_GB2312"/>
          <w:szCs w:val="21"/>
          <w:u w:val="single"/>
        </w:rPr>
        <w:t>(项目名称)</w:t>
      </w:r>
      <w:r>
        <w:rPr>
          <w:rFonts w:hint="eastAsia" w:ascii="仿宋_GB2312" w:hAnsi="仿宋_GB2312" w:eastAsia="仿宋_GB2312" w:cs="仿宋_GB2312"/>
          <w:szCs w:val="21"/>
        </w:rPr>
        <w:t>项目的招标公告</w:t>
      </w:r>
      <w:r>
        <w:rPr>
          <w:rFonts w:hint="eastAsia" w:ascii="仿宋_GB2312" w:hAnsi="仿宋_GB2312" w:eastAsia="仿宋_GB2312" w:cs="仿宋_GB2312"/>
          <w:szCs w:val="21"/>
          <w:u w:val="single"/>
        </w:rPr>
        <w:t>(招标编号)</w:t>
      </w:r>
      <w:r>
        <w:rPr>
          <w:rFonts w:hint="eastAsia" w:ascii="仿宋_GB2312" w:hAnsi="仿宋_GB2312" w:eastAsia="仿宋_GB2312" w:cs="仿宋_GB2312"/>
          <w:szCs w:val="21"/>
        </w:rPr>
        <w:t>,签字代表</w:t>
      </w:r>
      <w:r>
        <w:rPr>
          <w:rFonts w:hint="eastAsia" w:ascii="仿宋_GB2312" w:hAnsi="仿宋_GB2312" w:eastAsia="仿宋_GB2312" w:cs="仿宋_GB2312"/>
          <w:szCs w:val="21"/>
          <w:u w:val="single"/>
        </w:rPr>
        <w:t>(姓名、职务)</w:t>
      </w:r>
      <w:r>
        <w:rPr>
          <w:rFonts w:hint="eastAsia" w:ascii="仿宋_GB2312" w:hAnsi="仿宋_GB2312" w:eastAsia="仿宋_GB2312" w:cs="仿宋_GB2312"/>
          <w:szCs w:val="21"/>
        </w:rPr>
        <w:t>经正式授权并代表投标人</w:t>
      </w:r>
      <w:r>
        <w:rPr>
          <w:rFonts w:hint="eastAsia" w:ascii="仿宋_GB2312" w:hAnsi="仿宋_GB2312" w:eastAsia="仿宋_GB2312" w:cs="仿宋_GB2312"/>
          <w:szCs w:val="21"/>
          <w:u w:val="single"/>
        </w:rPr>
        <w:t>（名称、地址）</w:t>
      </w:r>
      <w:r>
        <w:rPr>
          <w:rFonts w:hint="eastAsia" w:ascii="仿宋_GB2312" w:hAnsi="仿宋_GB2312" w:eastAsia="仿宋_GB2312" w:cs="仿宋_GB2312"/>
          <w:szCs w:val="21"/>
        </w:rPr>
        <w:t>提交下述文件正本</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份、副本</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份及电子文档</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份，并以</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形式出具的金额为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人民币元的投标保证金。</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据此，签字代表宣布同意如下：</w:t>
      </w:r>
    </w:p>
    <w:p>
      <w:pPr>
        <w:numPr>
          <w:ilvl w:val="0"/>
          <w:numId w:val="2"/>
        </w:num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本项目投标总价详见开标一览表。</w:t>
      </w:r>
    </w:p>
    <w:p>
      <w:pPr>
        <w:numPr>
          <w:ilvl w:val="0"/>
          <w:numId w:val="2"/>
        </w:num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本投标有效期为自递交投标文件截止之日起</w:t>
      </w:r>
      <w:r>
        <w:rPr>
          <w:rFonts w:hint="eastAsia" w:ascii="仿宋_GB2312" w:hAnsi="仿宋_GB2312" w:eastAsia="仿宋_GB2312" w:cs="仿宋_GB2312"/>
          <w:szCs w:val="21"/>
          <w:u w:val="single"/>
        </w:rPr>
        <w:t>90</w:t>
      </w:r>
      <w:r>
        <w:rPr>
          <w:rFonts w:hint="eastAsia" w:ascii="仿宋_GB2312" w:hAnsi="仿宋_GB2312" w:eastAsia="仿宋_GB2312" w:cs="仿宋_GB2312"/>
          <w:szCs w:val="21"/>
        </w:rPr>
        <w:t>日历日。</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（3）已详细审查全部招标文件，包括所有补充通知（如果有的话）。</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（4）在规定的开标时间后，遵守招标文件中有关保证金的规定。</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（5）我方不是为本项目提供整体设计、规范编制或者项目管理、监理、检测等服务的供应商，我方不是采购代理机构的附属机构。</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（6）在领取中标通知书的同时按招标文件规定的形式，向采购代理机构一次性支付采购代理服务费（适用于中标人支付采购代理服务费情形）。</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（7）按照贵方可能要求，提供与其投标有关的一切数据或资料，完全理解贵方不一定接受最低价的投标或收到的任何投标。</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（8）按照招标文件的规定履行合同责任和义务。</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（9）我方承诺投标文件中的证明材料真实、合法、有效。</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其他事项：</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p>
    <w:p>
      <w:pPr>
        <w:adjustRightInd w:val="0"/>
        <w:snapToGrid w:val="0"/>
        <w:spacing w:line="360" w:lineRule="auto"/>
        <w:ind w:right="-21" w:rightChars="-10"/>
        <w:rPr>
          <w:rFonts w:ascii="仿宋_GB2312" w:hAnsi="仿宋_GB2312" w:eastAsia="仿宋_GB2312" w:cs="仿宋_GB2312"/>
          <w:szCs w:val="21"/>
        </w:rPr>
      </w:pPr>
    </w:p>
    <w:p>
      <w:pPr>
        <w:adjustRightInd w:val="0"/>
        <w:snapToGrid w:val="0"/>
        <w:spacing w:line="360" w:lineRule="auto"/>
        <w:ind w:right="-21" w:rightChars="-10"/>
        <w:rPr>
          <w:rFonts w:ascii="仿宋_GB2312" w:hAnsi="仿宋_GB2312" w:eastAsia="仿宋_GB2312" w:cs="仿宋_GB2312"/>
          <w:szCs w:val="21"/>
        </w:rPr>
      </w:pPr>
    </w:p>
    <w:p>
      <w:pPr>
        <w:adjustRightInd w:val="0"/>
        <w:snapToGrid w:val="0"/>
        <w:spacing w:line="360" w:lineRule="auto"/>
        <w:ind w:right="-21" w:rightChars="-10"/>
        <w:rPr>
          <w:rFonts w:ascii="仿宋_GB2312" w:hAnsi="仿宋_GB2312" w:eastAsia="仿宋_GB2312" w:cs="仿宋_GB2312"/>
          <w:szCs w:val="21"/>
        </w:rPr>
      </w:pP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与本项目有关的一切往来通讯请寄</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地址：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传真：</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电话：</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电子邮件：</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法定代表人（非法人组织负责人）或其授权委托人（签字或盖章）：</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投标人名称（加盖单位公章）：</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投标人开户银行（全称）：</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投标人银行账号：</w:t>
      </w:r>
      <w:r>
        <w:rPr>
          <w:rFonts w:hint="eastAsia" w:ascii="仿宋_GB2312" w:hAnsi="仿宋_GB2312" w:eastAsia="仿宋_GB2312" w:cs="仿宋_GB2312"/>
          <w:szCs w:val="21"/>
          <w:u w:val="single"/>
        </w:rPr>
        <w:t xml:space="preserve">                     </w:t>
      </w:r>
    </w:p>
    <w:p>
      <w:pPr>
        <w:adjustRightInd w:val="0"/>
        <w:snapToGrid w:val="0"/>
        <w:spacing w:line="360" w:lineRule="auto"/>
        <w:ind w:right="1050" w:rightChars="500"/>
        <w:jc w:val="left"/>
        <w:rPr>
          <w:rFonts w:ascii="仿宋_GB2312" w:hAnsi="仿宋_GB2312" w:eastAsia="仿宋_GB2312" w:cs="仿宋_GB2312"/>
          <w:szCs w:val="21"/>
          <w:u w:val="single"/>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adjustRightInd w:val="0"/>
        <w:snapToGrid w:val="0"/>
        <w:spacing w:line="360" w:lineRule="auto"/>
        <w:ind w:right="1050" w:rightChars="500"/>
        <w:jc w:val="left"/>
        <w:rPr>
          <w:rFonts w:ascii="仿宋_GB2312" w:hAnsi="仿宋_GB2312" w:eastAsia="仿宋_GB2312" w:cs="仿宋_GB2312"/>
          <w:szCs w:val="21"/>
          <w:u w:val="single"/>
        </w:rPr>
      </w:pPr>
    </w:p>
    <w:p>
      <w:pPr>
        <w:pStyle w:val="5"/>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格式11</w:t>
      </w:r>
    </w:p>
    <w:p>
      <w:pPr>
        <w:adjustRightInd w:val="0"/>
        <w:snapToGrid w:val="0"/>
        <w:spacing w:before="319" w:beforeLines="100" w:after="319" w:afterLines="100" w:line="360" w:lineRule="auto"/>
        <w:ind w:right="105" w:rightChars="50"/>
        <w:jc w:val="center"/>
        <w:rPr>
          <w:rFonts w:ascii="仿宋_GB2312" w:hAnsi="仿宋_GB2312" w:eastAsia="仿宋_GB2312" w:cs="仿宋_GB2312"/>
          <w:b/>
          <w:bCs/>
          <w:sz w:val="32"/>
          <w:szCs w:val="32"/>
        </w:rPr>
      </w:pPr>
      <w:bookmarkStart w:id="142" w:name="_Toc2673_WPSOffice_Level2"/>
      <w:bookmarkStart w:id="143" w:name="_Toc11267_WPSOffice_Level2"/>
      <w:r>
        <w:rPr>
          <w:rFonts w:hint="eastAsia" w:ascii="仿宋_GB2312" w:hAnsi="仿宋_GB2312" w:eastAsia="仿宋_GB2312" w:cs="仿宋_GB2312"/>
          <w:b/>
          <w:bCs/>
          <w:sz w:val="32"/>
          <w:szCs w:val="32"/>
        </w:rPr>
        <w:t>开标一览表</w:t>
      </w:r>
      <w:bookmarkEnd w:id="142"/>
      <w:bookmarkEnd w:id="143"/>
    </w:p>
    <w:p>
      <w:pPr>
        <w:adjustRightInd w:val="0"/>
        <w:snapToGrid w:val="0"/>
        <w:spacing w:line="360" w:lineRule="auto"/>
        <w:ind w:right="105" w:rightChars="50"/>
        <w:jc w:val="left"/>
        <w:rPr>
          <w:rFonts w:ascii="仿宋_GB2312" w:hAnsi="仿宋_GB2312" w:eastAsia="仿宋_GB2312" w:cs="仿宋_GB2312"/>
          <w:b/>
          <w:bCs/>
          <w:szCs w:val="21"/>
        </w:rPr>
      </w:pPr>
      <w:r>
        <w:rPr>
          <w:rFonts w:hint="eastAsia" w:ascii="仿宋_GB2312" w:hAnsi="仿宋_GB2312" w:eastAsia="仿宋_GB2312" w:cs="仿宋_GB2312"/>
          <w:b/>
          <w:bCs/>
          <w:szCs w:val="21"/>
        </w:rPr>
        <w:t>包号：                                                      报价单位：</w:t>
      </w:r>
    </w:p>
    <w:tbl>
      <w:tblPr>
        <w:tblStyle w:val="17"/>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373"/>
        <w:gridCol w:w="1309"/>
        <w:gridCol w:w="1109"/>
        <w:gridCol w:w="12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49" w:type="dxa"/>
            <w:vAlign w:val="center"/>
          </w:tcPr>
          <w:p>
            <w:pPr>
              <w:adjustRightInd w:val="0"/>
              <w:snapToGrid w:val="0"/>
              <w:ind w:left="-54"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货物名称</w:t>
            </w:r>
          </w:p>
        </w:tc>
        <w:tc>
          <w:tcPr>
            <w:tcW w:w="2373" w:type="dxa"/>
            <w:vAlign w:val="center"/>
          </w:tcPr>
          <w:p>
            <w:pPr>
              <w:adjustRightInd w:val="0"/>
              <w:snapToGrid w:val="0"/>
              <w:ind w:left="-54"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投标总价</w:t>
            </w:r>
          </w:p>
        </w:tc>
        <w:tc>
          <w:tcPr>
            <w:tcW w:w="1309" w:type="dxa"/>
            <w:vAlign w:val="center"/>
          </w:tcPr>
          <w:p>
            <w:pPr>
              <w:adjustRightInd w:val="0"/>
              <w:snapToGrid w:val="0"/>
              <w:ind w:left="-54"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投标保证金</w:t>
            </w:r>
          </w:p>
        </w:tc>
        <w:tc>
          <w:tcPr>
            <w:tcW w:w="1109" w:type="dxa"/>
            <w:vAlign w:val="center"/>
          </w:tcPr>
          <w:p>
            <w:pPr>
              <w:adjustRightInd w:val="0"/>
              <w:snapToGrid w:val="0"/>
              <w:ind w:left="-54"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交货时间</w:t>
            </w:r>
          </w:p>
        </w:tc>
        <w:tc>
          <w:tcPr>
            <w:tcW w:w="1252" w:type="dxa"/>
            <w:vAlign w:val="center"/>
          </w:tcPr>
          <w:p>
            <w:pPr>
              <w:adjustRightInd w:val="0"/>
              <w:snapToGrid w:val="0"/>
              <w:ind w:left="-54"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交货地点</w:t>
            </w:r>
          </w:p>
        </w:tc>
        <w:tc>
          <w:tcPr>
            <w:tcW w:w="951" w:type="dxa"/>
            <w:vAlign w:val="center"/>
          </w:tcPr>
          <w:p>
            <w:pPr>
              <w:adjustRightInd w:val="0"/>
              <w:snapToGrid w:val="0"/>
              <w:ind w:left="-54"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549" w:type="dxa"/>
            <w:vAlign w:val="center"/>
          </w:tcPr>
          <w:p>
            <w:pPr>
              <w:adjustRightInd w:val="0"/>
              <w:snapToGrid w:val="0"/>
              <w:ind w:left="-54" w:leftChars="-26" w:right="-46" w:rightChars="-22"/>
              <w:jc w:val="center"/>
              <w:rPr>
                <w:rFonts w:ascii="仿宋_GB2312" w:hAnsi="仿宋_GB2312" w:eastAsia="仿宋_GB2312" w:cs="仿宋_GB2312"/>
                <w:szCs w:val="21"/>
              </w:rPr>
            </w:pPr>
          </w:p>
        </w:tc>
        <w:tc>
          <w:tcPr>
            <w:tcW w:w="2373" w:type="dxa"/>
            <w:vAlign w:val="center"/>
          </w:tcPr>
          <w:p>
            <w:pPr>
              <w:adjustRightInd w:val="0"/>
              <w:snapToGrid w:val="0"/>
              <w:ind w:left="-54" w:leftChars="-26" w:right="-46" w:rightChars="-22"/>
              <w:jc w:val="left"/>
              <w:rPr>
                <w:rFonts w:ascii="仿宋_GB2312" w:hAnsi="仿宋_GB2312" w:eastAsia="仿宋_GB2312" w:cs="仿宋_GB2312"/>
                <w:szCs w:val="21"/>
              </w:rPr>
            </w:pPr>
            <w:r>
              <w:rPr>
                <w:rFonts w:hint="eastAsia" w:ascii="仿宋_GB2312" w:hAnsi="仿宋_GB2312" w:eastAsia="仿宋_GB2312" w:cs="仿宋_GB2312"/>
                <w:szCs w:val="21"/>
              </w:rPr>
              <w:t>小写：</w:t>
            </w:r>
          </w:p>
          <w:p>
            <w:pPr>
              <w:adjustRightInd w:val="0"/>
              <w:snapToGrid w:val="0"/>
              <w:ind w:left="-54" w:leftChars="-26" w:right="-46" w:rightChars="-22"/>
              <w:jc w:val="left"/>
              <w:rPr>
                <w:rFonts w:ascii="仿宋_GB2312" w:hAnsi="仿宋_GB2312" w:eastAsia="仿宋_GB2312" w:cs="仿宋_GB2312"/>
                <w:szCs w:val="21"/>
              </w:rPr>
            </w:pPr>
            <w:r>
              <w:rPr>
                <w:rFonts w:hint="eastAsia" w:ascii="仿宋_GB2312" w:hAnsi="仿宋_GB2312" w:eastAsia="仿宋_GB2312" w:cs="仿宋_GB2312"/>
                <w:szCs w:val="21"/>
              </w:rPr>
              <w:t>大写：</w:t>
            </w:r>
          </w:p>
        </w:tc>
        <w:tc>
          <w:tcPr>
            <w:tcW w:w="1309" w:type="dxa"/>
            <w:vAlign w:val="center"/>
          </w:tcPr>
          <w:p>
            <w:pPr>
              <w:adjustRightInd w:val="0"/>
              <w:snapToGrid w:val="0"/>
              <w:ind w:left="-54" w:leftChars="-26" w:right="-46" w:rightChars="-22"/>
              <w:jc w:val="center"/>
              <w:rPr>
                <w:rFonts w:ascii="仿宋_GB2312" w:hAnsi="仿宋_GB2312" w:eastAsia="仿宋_GB2312" w:cs="仿宋_GB2312"/>
                <w:szCs w:val="21"/>
              </w:rPr>
            </w:pPr>
          </w:p>
        </w:tc>
        <w:tc>
          <w:tcPr>
            <w:tcW w:w="1109" w:type="dxa"/>
            <w:vAlign w:val="center"/>
          </w:tcPr>
          <w:p>
            <w:pPr>
              <w:adjustRightInd w:val="0"/>
              <w:snapToGrid w:val="0"/>
              <w:ind w:left="-54" w:leftChars="-26" w:right="-46" w:rightChars="-22"/>
              <w:jc w:val="center"/>
              <w:rPr>
                <w:rFonts w:ascii="仿宋_GB2312" w:hAnsi="仿宋_GB2312" w:eastAsia="仿宋_GB2312" w:cs="仿宋_GB2312"/>
                <w:szCs w:val="21"/>
              </w:rPr>
            </w:pPr>
          </w:p>
        </w:tc>
        <w:tc>
          <w:tcPr>
            <w:tcW w:w="1252" w:type="dxa"/>
            <w:vAlign w:val="center"/>
          </w:tcPr>
          <w:p>
            <w:pPr>
              <w:adjustRightInd w:val="0"/>
              <w:snapToGrid w:val="0"/>
              <w:ind w:left="-54" w:leftChars="-26" w:right="-46" w:rightChars="-22"/>
              <w:jc w:val="center"/>
              <w:rPr>
                <w:rFonts w:ascii="仿宋_GB2312" w:hAnsi="仿宋_GB2312" w:eastAsia="仿宋_GB2312" w:cs="仿宋_GB2312"/>
                <w:szCs w:val="21"/>
              </w:rPr>
            </w:pPr>
          </w:p>
        </w:tc>
        <w:tc>
          <w:tcPr>
            <w:tcW w:w="951" w:type="dxa"/>
            <w:vAlign w:val="center"/>
          </w:tcPr>
          <w:p>
            <w:pPr>
              <w:adjustRightInd w:val="0"/>
              <w:snapToGrid w:val="0"/>
              <w:ind w:left="-54" w:leftChars="-26" w:right="-46" w:rightChars="-22"/>
              <w:jc w:val="center"/>
              <w:rPr>
                <w:rFonts w:ascii="仿宋_GB2312" w:hAnsi="仿宋_GB2312" w:eastAsia="仿宋_GB2312" w:cs="仿宋_GB2312"/>
                <w:szCs w:val="21"/>
              </w:rPr>
            </w:pPr>
          </w:p>
        </w:tc>
      </w:tr>
    </w:tbl>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注：1.此表中，投标总价应和分项报价表的总价相一致。</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2.根据我国海关对科学研究和教学用品免征进口税收等相关政策 的规定，采购方具有免税资格，对于本次采购项目中的进口设备，学 校用于科教领域，投标供应商对所投进口设备是否免税需自行判断，投标报价无论免税价格还是含税价格，均应包括货物、随配附件、办理进口货物报关及清关等相关费用、运至指定交货地点费用、安装费、调试费、验收费、售后服务费用、税金及其他所有相关费用的总和。 采购单位不再单独支付其他任何费用。中标供应商如需办理减免税手续，采购方将无偿提供教学的相关材料配合供应商办理减免税手续， 但对办理减免税未能成功的结果不承担责任。</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spacing w:line="480" w:lineRule="auto"/>
        <w:ind w:right="1050" w:rightChars="500"/>
        <w:jc w:val="left"/>
        <w:rPr>
          <w:rFonts w:ascii="仿宋_GB2312" w:hAnsi="仿宋_GB2312" w:eastAsia="仿宋_GB2312" w:cs="仿宋_GB2312"/>
          <w:szCs w:val="21"/>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szCs w:val="21"/>
        </w:rPr>
        <w:t xml:space="preserve">  </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5"/>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格式12</w:t>
      </w:r>
    </w:p>
    <w:p>
      <w:pPr>
        <w:adjustRightInd w:val="0"/>
        <w:snapToGrid w:val="0"/>
        <w:spacing w:before="319" w:beforeLines="100" w:after="319" w:afterLines="100" w:line="360" w:lineRule="auto"/>
        <w:ind w:right="105" w:rightChars="50"/>
        <w:jc w:val="center"/>
        <w:rPr>
          <w:rFonts w:ascii="仿宋_GB2312" w:hAnsi="仿宋_GB2312" w:eastAsia="仿宋_GB2312" w:cs="仿宋_GB2312"/>
          <w:b/>
          <w:bCs/>
          <w:sz w:val="32"/>
          <w:szCs w:val="32"/>
        </w:rPr>
      </w:pPr>
      <w:bookmarkStart w:id="144" w:name="_Toc16044_WPSOffice_Level2"/>
      <w:bookmarkStart w:id="145" w:name="_Toc28271_WPSOffice_Level2"/>
      <w:r>
        <w:rPr>
          <w:rFonts w:hint="eastAsia" w:ascii="仿宋_GB2312" w:hAnsi="仿宋_GB2312" w:eastAsia="仿宋_GB2312" w:cs="仿宋_GB2312"/>
          <w:b/>
          <w:bCs/>
          <w:sz w:val="32"/>
          <w:szCs w:val="32"/>
        </w:rPr>
        <w:t>分项报价表</w:t>
      </w:r>
      <w:bookmarkEnd w:id="144"/>
      <w:bookmarkEnd w:id="145"/>
    </w:p>
    <w:p>
      <w:pPr>
        <w:adjustRightInd w:val="0"/>
        <w:snapToGrid w:val="0"/>
        <w:spacing w:line="360" w:lineRule="auto"/>
        <w:ind w:right="105" w:rightChars="50"/>
        <w:jc w:val="left"/>
        <w:rPr>
          <w:rFonts w:ascii="仿宋_GB2312" w:hAnsi="仿宋_GB2312" w:eastAsia="仿宋_GB2312" w:cs="仿宋_GB2312"/>
          <w:b/>
          <w:bCs/>
          <w:szCs w:val="21"/>
        </w:rPr>
      </w:pPr>
      <w:r>
        <w:rPr>
          <w:rFonts w:hint="eastAsia" w:ascii="仿宋_GB2312" w:hAnsi="仿宋_GB2312" w:eastAsia="仿宋_GB2312" w:cs="仿宋_GB2312"/>
          <w:b/>
          <w:bCs/>
          <w:szCs w:val="21"/>
        </w:rPr>
        <w:t>包号：                                                      报价单位：</w:t>
      </w:r>
    </w:p>
    <w:tbl>
      <w:tblPr>
        <w:tblStyle w:val="17"/>
        <w:tblW w:w="8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347"/>
        <w:gridCol w:w="1033"/>
        <w:gridCol w:w="1033"/>
        <w:gridCol w:w="721"/>
        <w:gridCol w:w="802"/>
        <w:gridCol w:w="802"/>
        <w:gridCol w:w="675"/>
        <w:gridCol w:w="682"/>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57"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347"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产品名称</w:t>
            </w: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品牌</w:t>
            </w: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型号</w:t>
            </w:r>
          </w:p>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规格</w:t>
            </w:r>
          </w:p>
        </w:tc>
        <w:tc>
          <w:tcPr>
            <w:tcW w:w="721"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原产地</w:t>
            </w: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制造商名称</w:t>
            </w:r>
          </w:p>
        </w:tc>
        <w:tc>
          <w:tcPr>
            <w:tcW w:w="675"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单价</w:t>
            </w:r>
          </w:p>
        </w:tc>
        <w:tc>
          <w:tcPr>
            <w:tcW w:w="682"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总价</w:t>
            </w: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904" w:type="dxa"/>
            <w:gridSpan w:val="2"/>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szCs w:val="21"/>
              </w:rPr>
              <w:t>总价</w:t>
            </w:r>
          </w:p>
        </w:tc>
        <w:tc>
          <w:tcPr>
            <w:tcW w:w="1033" w:type="dxa"/>
            <w:vAlign w:val="center"/>
          </w:tcPr>
          <w:p>
            <w:pPr>
              <w:adjustRightInd w:val="0"/>
              <w:snapToGrid w:val="0"/>
              <w:ind w:right="105" w:rightChars="50"/>
              <w:jc w:val="center"/>
              <w:rPr>
                <w:rFonts w:ascii="仿宋_GB2312" w:hAnsi="仿宋_GB2312" w:eastAsia="仿宋_GB2312" w:cs="仿宋_GB2312"/>
                <w:szCs w:val="21"/>
              </w:rPr>
            </w:pPr>
          </w:p>
        </w:tc>
        <w:tc>
          <w:tcPr>
            <w:tcW w:w="1033" w:type="dxa"/>
            <w:vAlign w:val="center"/>
          </w:tcPr>
          <w:p>
            <w:pPr>
              <w:adjustRightInd w:val="0"/>
              <w:snapToGrid w:val="0"/>
              <w:ind w:right="105" w:rightChars="50"/>
              <w:jc w:val="center"/>
              <w:rPr>
                <w:rFonts w:ascii="仿宋_GB2312" w:hAnsi="仿宋_GB2312" w:eastAsia="仿宋_GB2312" w:cs="仿宋_GB2312"/>
                <w:szCs w:val="21"/>
              </w:rPr>
            </w:pPr>
          </w:p>
        </w:tc>
        <w:tc>
          <w:tcPr>
            <w:tcW w:w="721" w:type="dxa"/>
            <w:vAlign w:val="center"/>
          </w:tcPr>
          <w:p>
            <w:pPr>
              <w:adjustRightInd w:val="0"/>
              <w:snapToGrid w:val="0"/>
              <w:ind w:right="105" w:rightChars="50"/>
              <w:jc w:val="center"/>
              <w:rPr>
                <w:rFonts w:ascii="仿宋_GB2312" w:hAnsi="仿宋_GB2312" w:eastAsia="仿宋_GB2312" w:cs="仿宋_GB2312"/>
                <w:szCs w:val="21"/>
              </w:rPr>
            </w:pPr>
          </w:p>
        </w:tc>
        <w:tc>
          <w:tcPr>
            <w:tcW w:w="802" w:type="dxa"/>
            <w:vAlign w:val="center"/>
          </w:tcPr>
          <w:p>
            <w:pPr>
              <w:adjustRightInd w:val="0"/>
              <w:snapToGrid w:val="0"/>
              <w:ind w:right="105" w:rightChars="50"/>
              <w:jc w:val="center"/>
              <w:rPr>
                <w:rFonts w:ascii="仿宋_GB2312" w:hAnsi="仿宋_GB2312" w:eastAsia="仿宋_GB2312" w:cs="仿宋_GB2312"/>
                <w:szCs w:val="21"/>
              </w:rPr>
            </w:pPr>
          </w:p>
        </w:tc>
        <w:tc>
          <w:tcPr>
            <w:tcW w:w="802" w:type="dxa"/>
            <w:vAlign w:val="center"/>
          </w:tcPr>
          <w:p>
            <w:pPr>
              <w:adjustRightInd w:val="0"/>
              <w:snapToGrid w:val="0"/>
              <w:ind w:right="105" w:rightChars="50"/>
              <w:jc w:val="center"/>
              <w:rPr>
                <w:rFonts w:ascii="仿宋_GB2312" w:hAnsi="仿宋_GB2312" w:eastAsia="仿宋_GB2312" w:cs="仿宋_GB2312"/>
                <w:szCs w:val="21"/>
              </w:rPr>
            </w:pPr>
          </w:p>
        </w:tc>
        <w:tc>
          <w:tcPr>
            <w:tcW w:w="675" w:type="dxa"/>
            <w:vAlign w:val="center"/>
          </w:tcPr>
          <w:p>
            <w:pPr>
              <w:adjustRightInd w:val="0"/>
              <w:snapToGrid w:val="0"/>
              <w:ind w:right="105" w:rightChars="50"/>
              <w:jc w:val="center"/>
              <w:rPr>
                <w:rFonts w:ascii="仿宋_GB2312" w:hAnsi="仿宋_GB2312" w:eastAsia="仿宋_GB2312" w:cs="仿宋_GB2312"/>
                <w:szCs w:val="21"/>
              </w:rPr>
            </w:pPr>
          </w:p>
        </w:tc>
        <w:tc>
          <w:tcPr>
            <w:tcW w:w="682" w:type="dxa"/>
            <w:vAlign w:val="center"/>
          </w:tcPr>
          <w:p>
            <w:pPr>
              <w:adjustRightInd w:val="0"/>
              <w:snapToGrid w:val="0"/>
              <w:ind w:right="105" w:rightChars="50"/>
              <w:jc w:val="center"/>
              <w:rPr>
                <w:rFonts w:ascii="仿宋_GB2312" w:hAnsi="仿宋_GB2312" w:eastAsia="仿宋_GB2312" w:cs="仿宋_GB2312"/>
                <w:szCs w:val="21"/>
              </w:rPr>
            </w:pPr>
          </w:p>
        </w:tc>
        <w:tc>
          <w:tcPr>
            <w:tcW w:w="802" w:type="dxa"/>
            <w:vAlign w:val="center"/>
          </w:tcPr>
          <w:p>
            <w:pPr>
              <w:adjustRightInd w:val="0"/>
              <w:snapToGrid w:val="0"/>
              <w:ind w:right="105" w:rightChars="50"/>
              <w:jc w:val="center"/>
              <w:rPr>
                <w:rFonts w:ascii="仿宋_GB2312" w:hAnsi="仿宋_GB2312" w:eastAsia="仿宋_GB2312" w:cs="仿宋_GB2312"/>
                <w:szCs w:val="21"/>
              </w:rPr>
            </w:pPr>
          </w:p>
        </w:tc>
      </w:tr>
    </w:tbl>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注：此表中，总价应和开标一览表的投标总价相一致。</w:t>
      </w: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adjustRightInd w:val="0"/>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48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5"/>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1"/>
        </w:rPr>
        <w:br w:type="page"/>
      </w:r>
      <w:r>
        <w:rPr>
          <w:rFonts w:hint="eastAsia" w:ascii="仿宋_GB2312" w:hAnsi="仿宋_GB2312" w:eastAsia="仿宋_GB2312" w:cs="仿宋_GB2312"/>
          <w:szCs w:val="28"/>
        </w:rPr>
        <w:t>格式13</w:t>
      </w:r>
    </w:p>
    <w:p>
      <w:pPr>
        <w:adjustRightInd w:val="0"/>
        <w:snapToGrid w:val="0"/>
        <w:spacing w:before="319" w:beforeLines="100" w:line="360" w:lineRule="auto"/>
        <w:ind w:right="105" w:rightChars="50"/>
        <w:jc w:val="center"/>
        <w:rPr>
          <w:rFonts w:ascii="仿宋_GB2312" w:hAnsi="仿宋_GB2312" w:eastAsia="仿宋_GB2312" w:cs="仿宋_GB2312"/>
          <w:b/>
          <w:bCs/>
          <w:sz w:val="32"/>
          <w:szCs w:val="32"/>
        </w:rPr>
      </w:pPr>
      <w:bookmarkStart w:id="146" w:name="_Toc9235_WPSOffice_Level2"/>
      <w:bookmarkStart w:id="147" w:name="_Toc31555_WPSOffice_Level2"/>
      <w:r>
        <w:rPr>
          <w:rFonts w:hint="eastAsia" w:ascii="仿宋_GB2312" w:hAnsi="仿宋_GB2312" w:eastAsia="仿宋_GB2312" w:cs="仿宋_GB2312"/>
          <w:b/>
          <w:bCs/>
          <w:sz w:val="32"/>
          <w:szCs w:val="32"/>
        </w:rPr>
        <w:t>技术规格偏离表</w:t>
      </w:r>
      <w:bookmarkEnd w:id="146"/>
      <w:bookmarkEnd w:id="147"/>
    </w:p>
    <w:tbl>
      <w:tblPr>
        <w:tblStyle w:val="1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3"/>
        <w:gridCol w:w="2310"/>
        <w:gridCol w:w="1186"/>
        <w:gridCol w:w="1125"/>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875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包号/序号：01/01</w:t>
            </w:r>
          </w:p>
          <w:p>
            <w:pPr>
              <w:pStyle w:val="15"/>
              <w:widowControl w:val="0"/>
              <w:adjustRightInd w:val="0"/>
              <w:snapToGrid w:val="0"/>
              <w:spacing w:before="0" w:beforeAutospacing="0" w:after="0" w:afterAutospacing="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产品名称：高温</w:t>
            </w:r>
            <w:r>
              <w:rPr>
                <w:rFonts w:hint="eastAsia" w:ascii="仿宋_GB2312" w:hAnsi="仿宋_GB2312" w:eastAsia="仿宋_GB2312" w:cs="仿宋_GB2312"/>
                <w:kern w:val="2"/>
                <w:sz w:val="21"/>
                <w:szCs w:val="21"/>
                <w:lang w:val="en-US" w:eastAsia="zh-CN"/>
              </w:rPr>
              <w:t>DSC</w:t>
            </w:r>
          </w:p>
          <w:p>
            <w:pPr>
              <w:pStyle w:val="15"/>
              <w:widowControl w:val="0"/>
              <w:adjustRightInd w:val="0"/>
              <w:snapToGrid w:val="0"/>
              <w:spacing w:before="0" w:beforeAutospacing="0" w:after="0" w:afterAutospacing="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数量：1台</w:t>
            </w:r>
          </w:p>
          <w:p>
            <w:pPr>
              <w:tabs>
                <w:tab w:val="left" w:pos="0"/>
              </w:tabs>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是否为经过审批采购的进口产品：是</w:t>
            </w:r>
          </w:p>
          <w:p>
            <w:pPr>
              <w:tabs>
                <w:tab w:val="left" w:pos="0"/>
              </w:tabs>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是否为核心产品（非单一产品采购项目时适用）：否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招标文件要求</w:t>
            </w:r>
          </w:p>
          <w:p>
            <w:pPr>
              <w:ind w:hanging="1"/>
              <w:rPr>
                <w:rFonts w:ascii="仿宋_GB2312" w:hAnsi="仿宋_GB2312" w:eastAsia="仿宋_GB2312" w:cs="仿宋_GB2312"/>
                <w:b/>
                <w:szCs w:val="21"/>
              </w:rPr>
            </w:pPr>
            <w:r>
              <w:rPr>
                <w:rFonts w:hint="eastAsia" w:ascii="仿宋_GB2312" w:hAnsi="仿宋_GB2312" w:eastAsia="仿宋_GB2312" w:cs="仿宋_GB2312"/>
                <w:b/>
                <w:sz w:val="18"/>
                <w:szCs w:val="18"/>
              </w:rPr>
              <w:t>重要提示：实质性要求及重要指标用★标注（“★”必须标注在序号前），★标注项不得负偏离，如果负偏离，则投标文件无效。</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投标文件</w:t>
            </w:r>
          </w:p>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响应内容</w:t>
            </w:r>
          </w:p>
        </w:tc>
        <w:tc>
          <w:tcPr>
            <w:tcW w:w="118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偏离程度</w:t>
            </w: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偏离说明</w:t>
            </w:r>
          </w:p>
        </w:tc>
        <w:tc>
          <w:tcPr>
            <w:tcW w:w="109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 采购标的需实现的功能或者目标：</w:t>
            </w:r>
          </w:p>
          <w:p>
            <w:pPr>
              <w:adjustRightInd w:val="0"/>
              <w:snapToGrid w:val="0"/>
              <w:spacing w:line="360" w:lineRule="auto"/>
              <w:rPr>
                <w:rFonts w:eastAsia="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（1）全量程具有精</w:t>
            </w:r>
            <w:r>
              <w:rPr>
                <w:rFonts w:eastAsia="仿宋_GB2312"/>
                <w:color w:val="000000" w:themeColor="text1"/>
                <w:szCs w:val="21"/>
                <w14:textFill>
                  <w14:solidFill>
                    <w14:schemeClr w14:val="tx1"/>
                  </w14:solidFill>
                </w14:textFill>
              </w:rPr>
              <w:t>确的DSC校正和测试功能，样品加热温度不小于1600℃。</w:t>
            </w:r>
          </w:p>
          <w:p>
            <w:pPr>
              <w:adjustRightInd w:val="0"/>
              <w:snapToGrid w:val="0"/>
              <w:spacing w:line="360" w:lineRule="auto"/>
              <w:rPr>
                <w:rFonts w:eastAsia="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eastAsia="仿宋_GB2312"/>
                <w:color w:val="000000" w:themeColor="text1"/>
                <w:szCs w:val="21"/>
                <w14:textFill>
                  <w14:solidFill>
                    <w14:schemeClr w14:val="tx1"/>
                  </w14:solidFill>
                </w14:textFill>
              </w:rPr>
              <w:t>（2）全量程具有精确的比热测量和校正功能，样品加热温度不小于1300℃。</w:t>
            </w:r>
          </w:p>
          <w:p>
            <w:pPr>
              <w:adjustRightInd w:val="0"/>
              <w:snapToGrid w:val="0"/>
              <w:spacing w:line="360" w:lineRule="auto"/>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（3）可以额外有DTA功能，且样品加热温度不小于1750℃</w:t>
            </w:r>
          </w:p>
          <w:p>
            <w:pPr>
              <w:adjustRightInd w:val="0"/>
              <w:snapToGrid w:val="0"/>
              <w:spacing w:line="360" w:lineRule="auto"/>
              <w:rPr>
                <w:rFonts w:eastAsia="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eastAsia="仿宋_GB2312"/>
                <w:color w:val="000000" w:themeColor="text1"/>
                <w:szCs w:val="21"/>
                <w14:textFill>
                  <w14:solidFill>
                    <w14:schemeClr w14:val="tx1"/>
                  </w14:solidFill>
                </w14:textFill>
              </w:rPr>
              <w:t>（4）具有TG功能，样品加热气氛可控，样品加热温度不小于1600℃</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 技术参数</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（1）加热炉体：纯铑加热炉或石墨加热炉；</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（2）温度准确度：≤±0.1℃；</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（3）热焓准确度：≤±1%；</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★（4）比热精度（RT-1300℃）&lt;3%；</w:t>
            </w:r>
            <w:r>
              <w:rPr>
                <w:rFonts w:ascii="仿宋_GB2312" w:hAnsi="仿宋_GB2312" w:eastAsia="仿宋_GB2312" w:cs="仿宋_GB2312"/>
                <w:color w:val="000000" w:themeColor="text1"/>
                <w:szCs w:val="21"/>
                <w14:textFill>
                  <w14:solidFill>
                    <w14:schemeClr w14:val="tx1"/>
                  </w14:solidFill>
                </w14:textFill>
              </w:rPr>
              <w:t xml:space="preserve"> </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 xml:space="preserve">（5）样品称量范围：≥20g </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★（6）升降温速率：全范围0.001～50℃/min或0</w:t>
            </w:r>
            <w:r>
              <w:rPr>
                <w:rFonts w:ascii="仿宋_GB2312" w:hAnsi="仿宋_GB2312" w:eastAsia="仿宋_GB2312" w:cs="仿宋_GB2312"/>
                <w:color w:val="000000" w:themeColor="text1"/>
                <w:szCs w:val="21"/>
                <w14:textFill>
                  <w14:solidFill>
                    <w14:schemeClr w14:val="tx1"/>
                  </w14:solidFill>
                </w14:textFill>
              </w:rPr>
              <w:t>.001</w:t>
            </w:r>
            <w:r>
              <w:rPr>
                <w:rFonts w:hint="eastAsia" w:ascii="仿宋_GB2312" w:hAnsi="仿宋_GB2312" w:eastAsia="仿宋_GB2312" w:cs="仿宋_GB2312"/>
                <w:color w:val="000000" w:themeColor="text1"/>
                <w:szCs w:val="21"/>
                <w14:textFill>
                  <w14:solidFill>
                    <w14:schemeClr w14:val="tx1"/>
                  </w14:solidFill>
                </w14:textFill>
              </w:rPr>
              <w:t>～1</w:t>
            </w:r>
            <w:r>
              <w:rPr>
                <w:rFonts w:ascii="仿宋_GB2312" w:hAnsi="仿宋_GB2312" w:eastAsia="仿宋_GB2312" w:cs="仿宋_GB2312"/>
                <w:color w:val="000000" w:themeColor="text1"/>
                <w:szCs w:val="21"/>
                <w14:textFill>
                  <w14:solidFill>
                    <w14:schemeClr w14:val="tx1"/>
                  </w14:solidFill>
                </w14:textFill>
              </w:rPr>
              <w:t>00</w:t>
            </w:r>
            <w:r>
              <w:rPr>
                <w:rFonts w:hint="eastAsia" w:ascii="仿宋_GB2312" w:hAnsi="仿宋_GB2312" w:eastAsia="仿宋_GB2312" w:cs="仿宋_GB2312"/>
                <w:color w:val="000000" w:themeColor="text1"/>
                <w:szCs w:val="21"/>
                <w14:textFill>
                  <w14:solidFill>
                    <w14:schemeClr w14:val="tx1"/>
                  </w14:solidFill>
                </w14:textFill>
              </w:rPr>
              <w:t>℃/min；</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（7）真空密闭结构，真空度：10E-4mbar；</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（8）天平分辨率：&lt; 0.1μg；</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★（9）天平飘移：&lt;10</w:t>
            </w:r>
            <w:r>
              <w:rPr>
                <w:rFonts w:hint="eastAsia" w:ascii="仿宋_GB2312" w:hAnsi="仿宋_GB2312" w:eastAsia="仿宋_GB2312" w:cs="仿宋_GB2312"/>
                <w:color w:val="000000" w:themeColor="text1"/>
                <w:szCs w:val="21"/>
                <w14:textFill>
                  <w14:solidFill>
                    <w14:schemeClr w14:val="tx1"/>
                  </w14:solidFill>
                </w14:textFill>
              </w:rPr>
              <w:sym w:font="Symbol" w:char="F06D"/>
            </w:r>
            <w:r>
              <w:rPr>
                <w:rFonts w:hint="eastAsia" w:ascii="仿宋_GB2312" w:hAnsi="仿宋_GB2312" w:eastAsia="仿宋_GB2312" w:cs="仿宋_GB2312"/>
                <w:color w:val="000000" w:themeColor="text1"/>
                <w:szCs w:val="21"/>
                <w14:textFill>
                  <w14:solidFill>
                    <w14:schemeClr w14:val="tx1"/>
                  </w14:solidFill>
                </w14:textFill>
              </w:rPr>
              <w:t>g/h(恒温)；</w:t>
            </w:r>
            <w:r>
              <w:rPr>
                <w:rFonts w:ascii="仿宋_GB2312" w:hAnsi="仿宋_GB2312" w:eastAsia="仿宋_GB2312" w:cs="仿宋_GB2312"/>
                <w:color w:val="000000" w:themeColor="text1"/>
                <w:szCs w:val="21"/>
                <w14:textFill>
                  <w14:solidFill>
                    <w14:schemeClr w14:val="tx1"/>
                  </w14:solidFill>
                </w14:textFill>
              </w:rPr>
              <w:t xml:space="preserve"> </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★（10）DSC 灵敏度：1uw；</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★（11）测量范围内原始基线漂移：&lt;5uV</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r>
              <w:rPr>
                <w:rFonts w:ascii="仿宋_GB2312" w:hAnsi="仿宋_GB2312" w:eastAsia="仿宋_GB2312" w:cs="仿宋_GB2312"/>
                <w:color w:val="000000" w:themeColor="text1"/>
                <w:szCs w:val="21"/>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）样品种类:固/液材料</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r>
              <w:rPr>
                <w:rFonts w:ascii="仿宋_GB2312" w:hAnsi="仿宋_GB2312" w:eastAsia="仿宋_GB2312" w:cs="仿宋_GB2312"/>
                <w:color w:val="000000" w:themeColor="text1"/>
                <w:szCs w:val="21"/>
                <w14:textFill>
                  <w14:solidFill>
                    <w14:schemeClr w14:val="tx1"/>
                  </w14:solidFill>
                </w14:textFill>
              </w:rPr>
              <w:t>3</w:t>
            </w:r>
            <w:r>
              <w:rPr>
                <w:rFonts w:hint="eastAsia" w:ascii="仿宋_GB2312" w:hAnsi="仿宋_GB2312" w:eastAsia="仿宋_GB2312" w:cs="仿宋_GB2312"/>
                <w:color w:val="000000" w:themeColor="text1"/>
                <w:szCs w:val="21"/>
                <w14:textFill>
                  <w14:solidFill>
                    <w14:schemeClr w14:val="tx1"/>
                  </w14:solidFill>
                </w14:textFill>
              </w:rPr>
              <w:t>）炉体真空密封，能够在高纯气氛和真空条件下进行实验；</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r>
              <w:rPr>
                <w:rFonts w:ascii="仿宋_GB2312" w:hAnsi="仿宋_GB2312" w:eastAsia="仿宋_GB2312" w:cs="仿宋_GB2312"/>
                <w:color w:val="000000" w:themeColor="text1"/>
                <w:szCs w:val="21"/>
                <w14:textFill>
                  <w14:solidFill>
                    <w14:schemeClr w14:val="tx1"/>
                  </w14:solidFill>
                </w14:textFill>
              </w:rPr>
              <w:t>4</w:t>
            </w:r>
            <w:r>
              <w:rPr>
                <w:rFonts w:hint="eastAsia" w:ascii="仿宋_GB2312" w:hAnsi="仿宋_GB2312" w:eastAsia="仿宋_GB2312" w:cs="仿宋_GB2312"/>
                <w:color w:val="000000" w:themeColor="text1"/>
                <w:szCs w:val="21"/>
                <w14:textFill>
                  <w14:solidFill>
                    <w14:schemeClr w14:val="tx1"/>
                  </w14:solidFill>
                </w14:textFill>
              </w:rPr>
              <w:t>）配备三路质量流量计，气流量的数字化精确控制；</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（1</w:t>
            </w:r>
            <w:r>
              <w:rPr>
                <w:rFonts w:ascii="仿宋_GB2312" w:hAnsi="仿宋_GB2312" w:eastAsia="仿宋_GB2312" w:cs="仿宋_GB2312"/>
                <w:color w:val="000000" w:themeColor="text1"/>
                <w:szCs w:val="21"/>
                <w14:textFill>
                  <w14:solidFill>
                    <w14:schemeClr w14:val="tx1"/>
                  </w14:solidFill>
                </w14:textFill>
              </w:rPr>
              <w:t>5</w:t>
            </w:r>
            <w:r>
              <w:rPr>
                <w:rFonts w:hint="eastAsia" w:ascii="仿宋_GB2312" w:hAnsi="仿宋_GB2312" w:eastAsia="仿宋_GB2312" w:cs="仿宋_GB2312"/>
                <w:color w:val="000000" w:themeColor="text1"/>
                <w:szCs w:val="21"/>
                <w14:textFill>
                  <w14:solidFill>
                    <w14:schemeClr w14:val="tx1"/>
                  </w14:solidFill>
                </w14:textFill>
              </w:rPr>
              <w:t>）配备样品温控系统，使样品实际温度与程序设定温度程序保持一致</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r>
              <w:rPr>
                <w:rFonts w:ascii="仿宋_GB2312" w:hAnsi="仿宋_GB2312" w:eastAsia="仿宋_GB2312" w:cs="仿宋_GB2312"/>
                <w:color w:val="000000" w:themeColor="text1"/>
                <w:szCs w:val="21"/>
                <w14:textFill>
                  <w14:solidFill>
                    <w14:schemeClr w14:val="tx1"/>
                  </w14:solidFill>
                </w14:textFill>
              </w:rPr>
              <w:t>6</w:t>
            </w:r>
            <w:r>
              <w:rPr>
                <w:rFonts w:hint="eastAsia" w:ascii="仿宋_GB2312" w:hAnsi="仿宋_GB2312" w:eastAsia="仿宋_GB2312" w:cs="仿宋_GB2312"/>
                <w:color w:val="000000" w:themeColor="text1"/>
                <w:szCs w:val="21"/>
                <w14:textFill>
                  <w14:solidFill>
                    <w14:schemeClr w14:val="tx1"/>
                  </w14:solidFill>
                </w14:textFill>
              </w:rPr>
              <w:t>）输出方式：USB和光盘；</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（1</w:t>
            </w:r>
            <w:r>
              <w:rPr>
                <w:rFonts w:ascii="仿宋_GB2312" w:hAnsi="仿宋_GB2312" w:eastAsia="仿宋_GB2312" w:cs="仿宋_GB2312"/>
                <w:color w:val="000000" w:themeColor="text1"/>
                <w:szCs w:val="21"/>
                <w14:textFill>
                  <w14:solidFill>
                    <w14:schemeClr w14:val="tx1"/>
                  </w14:solidFill>
                </w14:textFill>
              </w:rPr>
              <w:t>7</w:t>
            </w:r>
            <w:r>
              <w:rPr>
                <w:rFonts w:hint="eastAsia" w:ascii="仿宋_GB2312" w:hAnsi="仿宋_GB2312" w:eastAsia="仿宋_GB2312" w:cs="仿宋_GB2312"/>
                <w:color w:val="000000" w:themeColor="text1"/>
                <w:szCs w:val="21"/>
                <w14:textFill>
                  <w14:solidFill>
                    <w14:schemeClr w14:val="tx1"/>
                  </w14:solidFill>
                </w14:textFill>
              </w:rPr>
              <w:t>）基本软件包：</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① 峰的标注：可确定起始点，峰值，拐点和终止点温度，可进行自动峰搜索。</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② 峰面积/热焓计算：可选多种不同类型基线，可进行部分面积分析。可选择以哪一温度下的当前质量作为热焓计算的基准。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③ 峰的综合分析：在一次标注中可同时得到温度、面积、峰高与峰宽等各种信息。</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④ 全面的玻璃化转变分析。</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⑤ 自动基线扣除功能。</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⑥ 结晶度计算功能。</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⑦ 氧化诱导期分析功能。</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⑧ 比热测试与分析功能。</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⑨ 具有优化 DSC 基线的功能。</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⑩ 具有获取更尖锐的 DSC 峰形的功能：将仪器的时间常数与热阻纳入计算, 以获取更尖锐的 DSC 峰形</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⑪ DSC 峰形修正功能：对吸／放热峰的峰形进行修正，将体系的热阻与时间常数因素纳入计算。</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r>
              <w:rPr>
                <w:rFonts w:ascii="仿宋_GB2312" w:hAnsi="仿宋_GB2312" w:eastAsia="仿宋_GB2312" w:cs="仿宋_GB2312"/>
                <w:color w:val="000000" w:themeColor="text1"/>
                <w:szCs w:val="21"/>
                <w14:textFill>
                  <w14:solidFill>
                    <w14:schemeClr w14:val="tx1"/>
                  </w14:solidFill>
                </w14:textFill>
              </w:rPr>
              <w:t>8</w:t>
            </w:r>
            <w:r>
              <w:rPr>
                <w:rFonts w:hint="eastAsia" w:ascii="仿宋_GB2312" w:hAnsi="仿宋_GB2312" w:eastAsia="仿宋_GB2312" w:cs="仿宋_GB2312"/>
                <w:color w:val="000000" w:themeColor="text1"/>
                <w:szCs w:val="21"/>
                <w14:textFill>
                  <w14:solidFill>
                    <w14:schemeClr w14:val="tx1"/>
                  </w14:solidFill>
                </w14:textFill>
              </w:rPr>
              <w:t>）附件</w:t>
            </w:r>
          </w:p>
          <w:p>
            <w:pPr>
              <w:pStyle w:val="25"/>
              <w:adjustRightInd w:val="0"/>
              <w:snapToGrid w:val="0"/>
              <w:spacing w:line="360" w:lineRule="auto"/>
              <w:ind w:firstLine="0" w:firstLineChars="0"/>
              <w:rPr>
                <w:rFonts w:eastAsia="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★① </w:t>
            </w:r>
            <w:r>
              <w:rPr>
                <w:rFonts w:eastAsia="仿宋_GB2312"/>
                <w:color w:val="000000" w:themeColor="text1"/>
                <w:szCs w:val="21"/>
                <w14:textFill>
                  <w14:solidFill>
                    <w14:schemeClr w14:val="tx1"/>
                  </w14:solidFill>
                </w14:textFill>
              </w:rPr>
              <w:t>校准标样： 1套用于标定热焓、温度和比热容标样(全量程，包括DSC标样和比热标样，不低于 8个)；</w:t>
            </w:r>
          </w:p>
          <w:p>
            <w:pPr>
              <w:pStyle w:val="25"/>
              <w:adjustRightInd w:val="0"/>
              <w:snapToGrid w:val="0"/>
              <w:spacing w:line="360" w:lineRule="auto"/>
              <w:ind w:firstLine="0" w:firstLineChars="0"/>
              <w:rPr>
                <w:rFonts w:eastAsia="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★② </w:t>
            </w:r>
            <w:r>
              <w:rPr>
                <w:rFonts w:eastAsia="仿宋_GB2312"/>
                <w:color w:val="000000" w:themeColor="text1"/>
                <w:szCs w:val="21"/>
                <w14:textFill>
                  <w14:solidFill>
                    <w14:schemeClr w14:val="tx1"/>
                  </w14:solidFill>
                </w14:textFill>
              </w:rPr>
              <w:t>进口氧化铝坩埚10套带盖</w:t>
            </w:r>
            <w:r>
              <w:rPr>
                <w:rFonts w:hint="eastAsia" w:eastAsia="仿宋_GB2312"/>
                <w:color w:val="000000" w:themeColor="text1"/>
                <w:szCs w:val="21"/>
                <w14:textFill>
                  <w14:solidFill>
                    <w14:schemeClr w14:val="tx1"/>
                  </w14:solidFill>
                </w14:textFill>
              </w:rPr>
              <w:t>；</w:t>
            </w:r>
            <w:r>
              <w:rPr>
                <w:rFonts w:eastAsia="仿宋_GB2312"/>
                <w:color w:val="000000" w:themeColor="text1"/>
                <w:szCs w:val="21"/>
                <w14:textFill>
                  <w14:solidFill>
                    <w14:schemeClr w14:val="tx1"/>
                  </w14:solidFill>
                </w14:textFill>
              </w:rPr>
              <w:t>进口铂铑坩埚4套带盖；</w:t>
            </w:r>
          </w:p>
          <w:p>
            <w:pPr>
              <w:pStyle w:val="25"/>
              <w:adjustRightInd w:val="0"/>
              <w:snapToGrid w:val="0"/>
              <w:spacing w:line="360" w:lineRule="auto"/>
              <w:ind w:firstLine="0" w:firstLineChars="0"/>
              <w:rPr>
                <w:rFonts w:eastAsia="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★③ </w:t>
            </w:r>
            <w:r>
              <w:rPr>
                <w:rFonts w:eastAsia="仿宋_GB2312"/>
                <w:color w:val="000000" w:themeColor="text1"/>
                <w:szCs w:val="21"/>
                <w14:textFill>
                  <w14:solidFill>
                    <w14:schemeClr w14:val="tx1"/>
                  </w14:solidFill>
                </w14:textFill>
              </w:rPr>
              <w:t>防辐射片一套，降低高温热辐射；主流配置（I7）计算机(带刻录机)和打印机系统一套</w:t>
            </w:r>
            <w:r>
              <w:rPr>
                <w:rFonts w:hint="eastAsia" w:eastAsia="仿宋_GB2312"/>
                <w:color w:val="000000" w:themeColor="text1"/>
                <w:szCs w:val="21"/>
                <w14:textFill>
                  <w14:solidFill>
                    <w14:schemeClr w14:val="tx1"/>
                  </w14:solidFill>
                </w14:textFill>
              </w:rPr>
              <w:t>；</w:t>
            </w:r>
            <w:r>
              <w:rPr>
                <w:rFonts w:eastAsia="仿宋_GB2312"/>
                <w:color w:val="000000" w:themeColor="text1"/>
                <w:szCs w:val="21"/>
                <w14:textFill>
                  <w14:solidFill>
                    <w14:schemeClr w14:val="tx1"/>
                  </w14:solidFill>
                </w14:textFill>
              </w:rPr>
              <w:t>真空系统一套</w:t>
            </w:r>
            <w:r>
              <w:rPr>
                <w:rFonts w:hint="eastAsia" w:eastAsia="仿宋_GB2312"/>
                <w:color w:val="000000" w:themeColor="text1"/>
                <w:szCs w:val="21"/>
                <w14:textFill>
                  <w14:solidFill>
                    <w14:schemeClr w14:val="tx1"/>
                  </w14:solidFill>
                </w14:textFill>
              </w:rPr>
              <w:t>；</w:t>
            </w:r>
            <w:r>
              <w:rPr>
                <w:rFonts w:eastAsia="仿宋_GB2312"/>
                <w:color w:val="000000" w:themeColor="text1"/>
                <w:szCs w:val="21"/>
                <w14:textFill>
                  <w14:solidFill>
                    <w14:schemeClr w14:val="tx1"/>
                  </w14:solidFill>
                </w14:textFill>
              </w:rPr>
              <w:t>冷却系统一套</w:t>
            </w:r>
            <w:r>
              <w:rPr>
                <w:rFonts w:hint="eastAsia" w:eastAsia="仿宋_GB2312"/>
                <w:color w:val="000000" w:themeColor="text1"/>
                <w:szCs w:val="21"/>
                <w14:textFill>
                  <w14:solidFill>
                    <w14:schemeClr w14:val="tx1"/>
                  </w14:solidFill>
                </w14:textFill>
              </w:rPr>
              <w:t>；</w:t>
            </w:r>
          </w:p>
          <w:p>
            <w:pPr>
              <w:pStyle w:val="25"/>
              <w:adjustRightInd w:val="0"/>
              <w:snapToGrid w:val="0"/>
              <w:spacing w:line="360" w:lineRule="auto"/>
              <w:ind w:firstLine="0" w:firstLineChars="0"/>
              <w:rPr>
                <w:rFonts w:eastAsia="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 xml:space="preserve">④ </w:t>
            </w:r>
            <w:r>
              <w:rPr>
                <w:rFonts w:hint="eastAsia" w:eastAsia="仿宋_GB2312"/>
                <w:color w:val="000000" w:themeColor="text1"/>
                <w:szCs w:val="21"/>
                <w14:textFill>
                  <w14:solidFill>
                    <w14:schemeClr w14:val="tx1"/>
                  </w14:solidFill>
                </w14:textFill>
              </w:rPr>
              <w:t>测量样品</w:t>
            </w:r>
            <w:r>
              <w:rPr>
                <w:rFonts w:eastAsia="仿宋_GB2312"/>
                <w:color w:val="000000" w:themeColor="text1"/>
                <w:szCs w:val="21"/>
                <w14:textFill>
                  <w14:solidFill>
                    <w14:schemeClr w14:val="tx1"/>
                  </w14:solidFill>
                </w14:textFill>
              </w:rPr>
              <w:t>感应加热系统（</w:t>
            </w:r>
            <w:r>
              <w:rPr>
                <w:rFonts w:hint="eastAsia" w:eastAsia="仿宋_GB2312"/>
                <w:color w:val="000000" w:themeColor="text1"/>
                <w:szCs w:val="21"/>
                <w14:textFill>
                  <w14:solidFill>
                    <w14:schemeClr w14:val="tx1"/>
                  </w14:solidFill>
                </w14:textFill>
              </w:rPr>
              <w:t>不小于</w:t>
            </w:r>
            <w:r>
              <w:rPr>
                <w:rFonts w:eastAsia="仿宋_GB2312"/>
                <w:color w:val="000000" w:themeColor="text1"/>
                <w:szCs w:val="21"/>
                <w14:textFill>
                  <w14:solidFill>
                    <w14:schemeClr w14:val="tx1"/>
                  </w14:solidFill>
                </w14:textFill>
              </w:rPr>
              <w:t>35kW）一套</w:t>
            </w:r>
            <w:r>
              <w:rPr>
                <w:rFonts w:hint="eastAsia" w:eastAsia="仿宋_GB2312"/>
                <w:color w:val="000000" w:themeColor="text1"/>
                <w:szCs w:val="21"/>
                <w14:textFill>
                  <w14:solidFill>
                    <w14:schemeClr w14:val="tx1"/>
                  </w14:solidFill>
                </w14:textFill>
              </w:rPr>
              <w:t>；不低于2</w:t>
            </w:r>
            <w:r>
              <w:rPr>
                <w:rFonts w:eastAsia="仿宋_GB2312"/>
                <w:color w:val="000000" w:themeColor="text1"/>
                <w:szCs w:val="21"/>
                <w14:textFill>
                  <w14:solidFill>
                    <w14:schemeClr w14:val="tx1"/>
                  </w14:solidFill>
                </w14:textFill>
              </w:rPr>
              <w:t>0T</w:t>
            </w:r>
            <w:r>
              <w:rPr>
                <w:rFonts w:hint="eastAsia" w:eastAsia="仿宋_GB2312"/>
                <w:color w:val="000000" w:themeColor="text1"/>
                <w:szCs w:val="21"/>
                <w14:textFill>
                  <w14:solidFill>
                    <w14:schemeClr w14:val="tx1"/>
                  </w14:solidFill>
                </w14:textFill>
              </w:rPr>
              <w:t>测量数据存储系统一套；</w:t>
            </w:r>
          </w:p>
          <w:p>
            <w:pPr>
              <w:pStyle w:val="25"/>
              <w:adjustRightInd w:val="0"/>
              <w:snapToGrid w:val="0"/>
              <w:spacing w:line="360" w:lineRule="auto"/>
              <w:ind w:firstLine="0" w:firstLineChars="0"/>
              <w:rPr>
                <w:rFonts w:eastAsia="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 xml:space="preserve">⑤ </w:t>
            </w:r>
            <w:r>
              <w:rPr>
                <w:rFonts w:eastAsia="仿宋_GB2312"/>
                <w:color w:val="000000" w:themeColor="text1"/>
                <w:szCs w:val="21"/>
                <w14:textFill>
                  <w14:solidFill>
                    <w14:schemeClr w14:val="tx1"/>
                  </w14:solidFill>
                </w14:textFill>
              </w:rPr>
              <w:t>满足DSC、比热容、TG和DTA测量的相关配件和耗材价格表；</w:t>
            </w:r>
          </w:p>
          <w:p>
            <w:pPr>
              <w:pStyle w:val="25"/>
              <w:adjustRightInd w:val="0"/>
              <w:snapToGrid w:val="0"/>
              <w:spacing w:line="360" w:lineRule="auto"/>
              <w:ind w:firstLine="0" w:firstLineChars="0"/>
              <w:rPr>
                <w:rFonts w:eastAsia="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 xml:space="preserve">⑥ </w:t>
            </w:r>
            <w:r>
              <w:rPr>
                <w:rFonts w:eastAsia="仿宋_GB2312"/>
                <w:color w:val="000000" w:themeColor="text1"/>
                <w:szCs w:val="21"/>
                <w14:textFill>
                  <w14:solidFill>
                    <w14:schemeClr w14:val="tx1"/>
                  </w14:solidFill>
                </w14:textFill>
              </w:rPr>
              <w:t>用于DSC和DTA分析的</w:t>
            </w:r>
            <w:r>
              <w:rPr>
                <w:rFonts w:hint="eastAsia" w:eastAsia="仿宋_GB2312"/>
                <w:color w:val="000000" w:themeColor="text1"/>
                <w:szCs w:val="21"/>
                <w14:textFill>
                  <w14:solidFill>
                    <w14:schemeClr w14:val="tx1"/>
                  </w14:solidFill>
                </w14:textFill>
              </w:rPr>
              <w:t>普通</w:t>
            </w:r>
            <w:r>
              <w:rPr>
                <w:rFonts w:eastAsia="仿宋_GB2312"/>
                <w:color w:val="000000" w:themeColor="text1"/>
                <w:szCs w:val="21"/>
                <w14:textFill>
                  <w14:solidFill>
                    <w14:schemeClr w14:val="tx1"/>
                  </w14:solidFill>
                </w14:textFill>
              </w:rPr>
              <w:t>坩埚不少于300只；</w:t>
            </w:r>
          </w:p>
          <w:p>
            <w:pPr>
              <w:pStyle w:val="25"/>
              <w:adjustRightInd w:val="0"/>
              <w:snapToGrid w:val="0"/>
              <w:spacing w:line="360" w:lineRule="auto"/>
              <w:ind w:firstLine="0" w:firstLineChars="0"/>
              <w:rPr>
                <w:rFonts w:eastAsia="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⑦ </w:t>
            </w:r>
            <w:r>
              <w:rPr>
                <w:rFonts w:eastAsia="仿宋_GB2312"/>
                <w:color w:val="000000" w:themeColor="text1"/>
                <w:szCs w:val="21"/>
                <w14:textFill>
                  <w14:solidFill>
                    <w14:schemeClr w14:val="tx1"/>
                  </w14:solidFill>
                </w14:textFill>
              </w:rPr>
              <w:t>配备能有效降低样品氧化的系统；</w:t>
            </w:r>
          </w:p>
          <w:p>
            <w:pPr>
              <w:pStyle w:val="25"/>
              <w:adjustRightInd w:val="0"/>
              <w:snapToGrid w:val="0"/>
              <w:spacing w:line="360" w:lineRule="auto"/>
              <w:ind w:firstLine="0" w:firstLineChars="0"/>
              <w:rPr>
                <w:rFonts w:eastAsia="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⑧ </w:t>
            </w:r>
            <w:r>
              <w:rPr>
                <w:rFonts w:eastAsia="仿宋_GB2312"/>
                <w:color w:val="000000" w:themeColor="text1"/>
                <w:szCs w:val="21"/>
                <w14:textFill>
                  <w14:solidFill>
                    <w14:schemeClr w14:val="tx1"/>
                  </w14:solidFill>
                </w14:textFill>
              </w:rPr>
              <w:t>软件光盘版</w:t>
            </w:r>
            <w:r>
              <w:rPr>
                <w:rFonts w:hint="eastAsia" w:eastAsia="仿宋_GB2312"/>
                <w:color w:val="000000" w:themeColor="text1"/>
                <w:szCs w:val="21"/>
                <w14:textFill>
                  <w14:solidFill>
                    <w14:schemeClr w14:val="tx1"/>
                  </w14:solidFill>
                </w14:textFill>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color w:val="000000" w:themeColor="text1"/>
                <w:szCs w:val="21"/>
                <w14:textFill>
                  <w14:solidFill>
                    <w14:schemeClr w14:val="tx1"/>
                  </w14:solidFill>
                </w14:textFill>
              </w:rPr>
              <w:t>（19）提供中文和英文技术资料及使用操作手册各两套。</w:t>
            </w:r>
          </w:p>
        </w:tc>
        <w:tc>
          <w:tcPr>
            <w:tcW w:w="2310"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_GB2312" w:hAnsi="仿宋_GB2312" w:eastAsia="仿宋_GB2312" w:cs="仿宋_GB2312"/>
                <w:kern w:val="0"/>
                <w:szCs w:val="21"/>
              </w:rPr>
            </w:pPr>
          </w:p>
        </w:tc>
        <w:tc>
          <w:tcPr>
            <w:tcW w:w="118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_GB2312" w:hAnsi="仿宋_GB2312" w:eastAsia="仿宋_GB2312" w:cs="仿宋_GB2312"/>
                <w:szCs w:val="21"/>
              </w:rPr>
            </w:pPr>
            <w:r>
              <w:rPr>
                <w:rFonts w:hint="eastAsia" w:ascii="仿宋_GB2312" w:hAnsi="仿宋_GB2312" w:eastAsia="仿宋_GB2312" w:cs="仿宋_GB2312"/>
                <w:szCs w:val="21"/>
              </w:rPr>
              <w:t>其它</w:t>
            </w:r>
          </w:p>
        </w:tc>
        <w:tc>
          <w:tcPr>
            <w:tcW w:w="2310" w:type="dxa"/>
            <w:tcBorders>
              <w:top w:val="single" w:color="auto" w:sz="4" w:space="0"/>
              <w:left w:val="single" w:color="auto" w:sz="4" w:space="0"/>
              <w:bottom w:val="single" w:color="auto" w:sz="4" w:space="0"/>
              <w:right w:val="single" w:color="auto" w:sz="4" w:space="0"/>
            </w:tcBorders>
            <w:vAlign w:val="center"/>
          </w:tcPr>
          <w:p>
            <w:pPr>
              <w:tabs>
                <w:tab w:val="left" w:pos="-61"/>
              </w:tabs>
              <w:adjustRightInd w:val="0"/>
              <w:snapToGrid w:val="0"/>
              <w:ind w:right="-54" w:rightChars="-26"/>
              <w:jc w:val="left"/>
              <w:rPr>
                <w:rFonts w:ascii="仿宋_GB2312" w:hAnsi="仿宋_GB2312" w:eastAsia="仿宋_GB2312" w:cs="仿宋_GB2312"/>
                <w:kern w:val="0"/>
                <w:szCs w:val="21"/>
              </w:rPr>
            </w:pPr>
            <w:r>
              <w:rPr>
                <w:rFonts w:hint="eastAsia" w:ascii="仿宋_GB2312" w:hAnsi="仿宋_GB2312" w:eastAsia="仿宋_GB2312" w:cs="仿宋_GB2312"/>
                <w:szCs w:val="21"/>
              </w:rPr>
              <w:t>采购单位未提供需求而投标人认为需说明及补充的内容在此填列</w:t>
            </w:r>
          </w:p>
        </w:tc>
        <w:tc>
          <w:tcPr>
            <w:tcW w:w="118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r>
    </w:tbl>
    <w:p>
      <w:pPr>
        <w:adjustRightInd w:val="0"/>
        <w:snapToGrid w:val="0"/>
        <w:spacing w:line="360" w:lineRule="auto"/>
        <w:ind w:right="105" w:rightChars="50"/>
        <w:jc w:val="left"/>
        <w:rPr>
          <w:rFonts w:ascii="仿宋_GB2312" w:hAnsi="仿宋_GB2312" w:eastAsia="仿宋_GB2312" w:cs="仿宋_GB2312"/>
          <w:b/>
          <w:szCs w:val="21"/>
        </w:rPr>
      </w:pPr>
      <w:r>
        <w:rPr>
          <w:rFonts w:hint="eastAsia" w:ascii="仿宋_GB2312" w:hAnsi="仿宋_GB2312" w:eastAsia="仿宋_GB2312" w:cs="仿宋_GB2312"/>
          <w:b/>
          <w:szCs w:val="21"/>
        </w:rPr>
        <w:t>填表要求：</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1．“投标文件响应内容”一栏由投标人按照招标文件要求填写并进行逐项响应。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3．“偏离说明”一栏由投标人对偏离的情况做详细说明。</w:t>
      </w:r>
    </w:p>
    <w:p>
      <w:pPr>
        <w:adjustRightInd w:val="0"/>
        <w:snapToGrid w:val="0"/>
        <w:spacing w:line="360" w:lineRule="auto"/>
        <w:rPr>
          <w:rFonts w:ascii="仿宋_GB2312" w:hAnsi="仿宋_GB2312" w:eastAsia="仿宋_GB2312" w:cs="仿宋_GB2312"/>
          <w:szCs w:val="21"/>
        </w:rPr>
      </w:pPr>
    </w:p>
    <w:p>
      <w:pPr>
        <w:adjustRightInd w:val="0"/>
        <w:snapToGrid w:val="0"/>
        <w:spacing w:line="360" w:lineRule="auto"/>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480" w:lineRule="auto"/>
        <w:ind w:right="105" w:rightChars="50"/>
        <w:jc w:val="left"/>
        <w:rPr>
          <w:rFonts w:ascii="仿宋_GB2312" w:hAnsi="仿宋_GB2312" w:eastAsia="仿宋_GB2312" w:cs="仿宋_GB2312"/>
          <w:szCs w:val="21"/>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5"/>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b w:val="0"/>
          <w:szCs w:val="28"/>
        </w:rPr>
        <w:br w:type="page"/>
      </w:r>
      <w:r>
        <w:rPr>
          <w:rFonts w:hint="eastAsia" w:ascii="仿宋_GB2312" w:hAnsi="仿宋_GB2312" w:eastAsia="仿宋_GB2312" w:cs="仿宋_GB2312"/>
          <w:szCs w:val="28"/>
        </w:rPr>
        <w:t>格式14</w:t>
      </w:r>
    </w:p>
    <w:p>
      <w:pPr>
        <w:adjustRightInd w:val="0"/>
        <w:snapToGrid w:val="0"/>
        <w:ind w:right="105" w:rightChars="50"/>
        <w:jc w:val="center"/>
        <w:rPr>
          <w:rFonts w:ascii="仿宋_GB2312" w:hAnsi="仿宋_GB2312" w:eastAsia="仿宋_GB2312" w:cs="仿宋_GB2312"/>
          <w:b/>
          <w:bCs/>
          <w:sz w:val="32"/>
          <w:szCs w:val="32"/>
        </w:rPr>
      </w:pPr>
      <w:bookmarkStart w:id="148" w:name="_Toc8488_WPSOffice_Level2"/>
      <w:bookmarkStart w:id="149" w:name="_Toc4431_WPSOffice_Level2"/>
      <w:r>
        <w:rPr>
          <w:rFonts w:hint="eastAsia" w:ascii="仿宋_GB2312" w:hAnsi="仿宋_GB2312" w:eastAsia="仿宋_GB2312" w:cs="仿宋_GB2312"/>
          <w:b/>
          <w:bCs/>
          <w:sz w:val="32"/>
          <w:szCs w:val="32"/>
        </w:rPr>
        <w:t>商务条款偏离表</w:t>
      </w:r>
      <w:bookmarkEnd w:id="148"/>
      <w:bookmarkEnd w:id="149"/>
    </w:p>
    <w:p>
      <w:pPr>
        <w:adjustRightInd w:val="0"/>
        <w:snapToGrid w:val="0"/>
        <w:spacing w:line="360" w:lineRule="auto"/>
        <w:ind w:right="105" w:rightChars="50"/>
        <w:jc w:val="left"/>
        <w:rPr>
          <w:rFonts w:ascii="仿宋_GB2312" w:hAnsi="仿宋_GB2312" w:eastAsia="仿宋_GB2312" w:cs="仿宋_GB2312"/>
          <w:b/>
          <w:bCs/>
          <w:szCs w:val="21"/>
        </w:rPr>
      </w:pPr>
      <w:r>
        <w:rPr>
          <w:rFonts w:hint="eastAsia" w:ascii="仿宋_GB2312" w:hAnsi="仿宋_GB2312" w:eastAsia="仿宋_GB2312" w:cs="仿宋_GB2312"/>
          <w:b/>
          <w:bCs/>
          <w:szCs w:val="21"/>
        </w:rPr>
        <w:t>包号：01</w:t>
      </w:r>
    </w:p>
    <w:tbl>
      <w:tblPr>
        <w:tblStyle w:val="17"/>
        <w:tblW w:w="8670" w:type="dxa"/>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5"/>
        <w:gridCol w:w="3084"/>
        <w:gridCol w:w="2453"/>
        <w:gridCol w:w="1365"/>
        <w:gridCol w:w="1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trPr>
        <w:tc>
          <w:tcPr>
            <w:tcW w:w="545" w:type="dxa"/>
            <w:vAlign w:val="center"/>
          </w:tcPr>
          <w:p>
            <w:pPr>
              <w:adjustRightInd w:val="0"/>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084" w:type="dxa"/>
            <w:vAlign w:val="center"/>
          </w:tcPr>
          <w:p>
            <w:pPr>
              <w:adjustRightInd w:val="0"/>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招标文件要求</w:t>
            </w:r>
          </w:p>
          <w:p>
            <w:pPr>
              <w:adjustRightInd w:val="0"/>
              <w:snapToGrid w:val="0"/>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sz w:val="18"/>
                <w:szCs w:val="18"/>
              </w:rPr>
              <w:t>实质性要求及重要指标用★标注，★标注项不得负偏离，如果负偏离，则投标文件无效</w:t>
            </w:r>
            <w:r>
              <w:rPr>
                <w:rFonts w:hint="eastAsia" w:ascii="仿宋_GB2312" w:hAnsi="仿宋_GB2312" w:eastAsia="仿宋_GB2312" w:cs="仿宋_GB2312"/>
                <w:szCs w:val="21"/>
              </w:rPr>
              <w:t>）</w:t>
            </w:r>
          </w:p>
        </w:tc>
        <w:tc>
          <w:tcPr>
            <w:tcW w:w="2453" w:type="dxa"/>
            <w:vAlign w:val="center"/>
          </w:tcPr>
          <w:p>
            <w:pPr>
              <w:adjustRightInd w:val="0"/>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投标文件</w:t>
            </w:r>
          </w:p>
          <w:p>
            <w:pPr>
              <w:adjustRightInd w:val="0"/>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响应内容</w:t>
            </w:r>
          </w:p>
        </w:tc>
        <w:tc>
          <w:tcPr>
            <w:tcW w:w="1365" w:type="dxa"/>
            <w:vAlign w:val="center"/>
          </w:tcPr>
          <w:p>
            <w:pPr>
              <w:adjustRightInd w:val="0"/>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偏离程度</w:t>
            </w:r>
          </w:p>
        </w:tc>
        <w:tc>
          <w:tcPr>
            <w:tcW w:w="1223" w:type="dxa"/>
            <w:vAlign w:val="center"/>
          </w:tcPr>
          <w:p>
            <w:pPr>
              <w:adjustRightInd w:val="0"/>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545" w:type="dxa"/>
            <w:vAlign w:val="center"/>
          </w:tcPr>
          <w:p>
            <w:pPr>
              <w:ind w:hanging="1"/>
              <w:jc w:val="center"/>
              <w:rPr>
                <w:rFonts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 w:hAnsi="仿宋" w:cs="Lucida Sans Unicode"/>
                <w:color w:val="000000"/>
                <w:szCs w:val="21"/>
              </w:rPr>
              <w:t>1</w:t>
            </w:r>
          </w:p>
        </w:tc>
        <w:tc>
          <w:tcPr>
            <w:tcW w:w="3084" w:type="dxa"/>
            <w:vAlign w:val="center"/>
          </w:tcPr>
          <w:p>
            <w:pPr>
              <w:adjustRightInd w:val="0"/>
              <w:snapToGrid w:val="0"/>
              <w:ind w:right="105" w:rightChars="50"/>
              <w:jc w:val="left"/>
              <w:rPr>
                <w:rFonts w:ascii="仿宋" w:hAnsi="仿宋"/>
                <w:szCs w:val="21"/>
              </w:rPr>
            </w:pPr>
            <w:r>
              <w:rPr>
                <w:rFonts w:hint="eastAsia" w:ascii="仿宋" w:hAnsi="仿宋"/>
                <w:szCs w:val="21"/>
              </w:rPr>
              <w:t>交货时间：合同签订后120日内.</w:t>
            </w:r>
          </w:p>
        </w:tc>
        <w:tc>
          <w:tcPr>
            <w:tcW w:w="2453" w:type="dxa"/>
            <w:vAlign w:val="center"/>
          </w:tcPr>
          <w:p>
            <w:pPr>
              <w:adjustRightInd w:val="0"/>
              <w:snapToGrid w:val="0"/>
              <w:spacing w:line="360" w:lineRule="auto"/>
              <w:rPr>
                <w:rFonts w:ascii="仿宋_GB2312" w:hAnsi="仿宋_GB2312" w:eastAsia="仿宋_GB2312" w:cs="仿宋_GB2312"/>
                <w:szCs w:val="21"/>
              </w:rPr>
            </w:pPr>
          </w:p>
        </w:tc>
        <w:tc>
          <w:tcPr>
            <w:tcW w:w="1365" w:type="dxa"/>
            <w:vAlign w:val="center"/>
          </w:tcPr>
          <w:p>
            <w:pPr>
              <w:adjustRightInd w:val="0"/>
              <w:snapToGrid w:val="0"/>
              <w:spacing w:line="360" w:lineRule="auto"/>
              <w:rPr>
                <w:rFonts w:ascii="仿宋_GB2312" w:hAnsi="仿宋_GB2312" w:eastAsia="仿宋_GB2312" w:cs="仿宋_GB2312"/>
                <w:szCs w:val="21"/>
              </w:rPr>
            </w:pPr>
          </w:p>
        </w:tc>
        <w:tc>
          <w:tcPr>
            <w:tcW w:w="1223" w:type="dxa"/>
            <w:vAlign w:val="center"/>
          </w:tcPr>
          <w:p>
            <w:pPr>
              <w:adjustRightInd w:val="0"/>
              <w:snapToGrid w:val="0"/>
              <w:spacing w:line="360" w:lineRule="auto"/>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545" w:type="dxa"/>
            <w:vAlign w:val="center"/>
          </w:tcPr>
          <w:p>
            <w:pPr>
              <w:ind w:hanging="1"/>
              <w:jc w:val="center"/>
              <w:rPr>
                <w:rFonts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 w:hAnsi="仿宋" w:cs="Lucida Sans Unicode"/>
                <w:color w:val="000000"/>
                <w:szCs w:val="21"/>
              </w:rPr>
              <w:t>2</w:t>
            </w:r>
          </w:p>
        </w:tc>
        <w:tc>
          <w:tcPr>
            <w:tcW w:w="3084" w:type="dxa"/>
            <w:vAlign w:val="center"/>
          </w:tcPr>
          <w:p>
            <w:pPr>
              <w:adjustRightInd w:val="0"/>
              <w:snapToGrid w:val="0"/>
              <w:ind w:right="105" w:rightChars="50"/>
              <w:jc w:val="left"/>
              <w:rPr>
                <w:rFonts w:ascii="仿宋" w:hAnsi="仿宋"/>
                <w:szCs w:val="21"/>
              </w:rPr>
            </w:pPr>
            <w:r>
              <w:rPr>
                <w:rFonts w:hint="eastAsia" w:ascii="仿宋" w:hAnsi="仿宋"/>
                <w:szCs w:val="21"/>
              </w:rPr>
              <w:t>交货地点：沈阳工业大学（采购人指定地点）</w:t>
            </w:r>
          </w:p>
        </w:tc>
        <w:tc>
          <w:tcPr>
            <w:tcW w:w="2453" w:type="dxa"/>
            <w:vAlign w:val="center"/>
          </w:tcPr>
          <w:p>
            <w:pPr>
              <w:adjustRightInd w:val="0"/>
              <w:snapToGrid w:val="0"/>
              <w:spacing w:line="360" w:lineRule="auto"/>
              <w:rPr>
                <w:rFonts w:ascii="仿宋_GB2312" w:hAnsi="仿宋_GB2312" w:eastAsia="仿宋_GB2312" w:cs="仿宋_GB2312"/>
                <w:szCs w:val="21"/>
              </w:rPr>
            </w:pPr>
          </w:p>
        </w:tc>
        <w:tc>
          <w:tcPr>
            <w:tcW w:w="1365" w:type="dxa"/>
            <w:vAlign w:val="center"/>
          </w:tcPr>
          <w:p>
            <w:pPr>
              <w:adjustRightInd w:val="0"/>
              <w:snapToGrid w:val="0"/>
              <w:spacing w:line="360" w:lineRule="auto"/>
              <w:rPr>
                <w:rFonts w:ascii="仿宋_GB2312" w:hAnsi="仿宋_GB2312" w:eastAsia="仿宋_GB2312" w:cs="仿宋_GB2312"/>
                <w:szCs w:val="21"/>
              </w:rPr>
            </w:pPr>
          </w:p>
        </w:tc>
        <w:tc>
          <w:tcPr>
            <w:tcW w:w="1223" w:type="dxa"/>
            <w:vAlign w:val="center"/>
          </w:tcPr>
          <w:p>
            <w:pPr>
              <w:adjustRightInd w:val="0"/>
              <w:snapToGrid w:val="0"/>
              <w:spacing w:line="360" w:lineRule="auto"/>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8" w:hRule="atLeast"/>
        </w:trPr>
        <w:tc>
          <w:tcPr>
            <w:tcW w:w="545" w:type="dxa"/>
            <w:vAlign w:val="center"/>
          </w:tcPr>
          <w:p>
            <w:pPr>
              <w:ind w:hanging="1"/>
              <w:jc w:val="center"/>
              <w:rPr>
                <w:rFonts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 w:hAnsi="仿宋" w:cs="Lucida Sans Unicode"/>
                <w:color w:val="000000"/>
                <w:szCs w:val="21"/>
              </w:rPr>
              <w:t>3</w:t>
            </w:r>
          </w:p>
        </w:tc>
        <w:tc>
          <w:tcPr>
            <w:tcW w:w="3084" w:type="dxa"/>
            <w:vAlign w:val="center"/>
          </w:tcPr>
          <w:p>
            <w:pPr>
              <w:adjustRightInd w:val="0"/>
              <w:snapToGrid w:val="0"/>
              <w:ind w:right="105" w:rightChars="50"/>
              <w:jc w:val="left"/>
              <w:rPr>
                <w:rFonts w:ascii="仿宋" w:hAnsi="仿宋"/>
                <w:color w:val="000000" w:themeColor="text1"/>
                <w:szCs w:val="21"/>
                <w14:textFill>
                  <w14:solidFill>
                    <w14:schemeClr w14:val="tx1"/>
                  </w14:solidFill>
                </w14:textFill>
              </w:rPr>
            </w:pPr>
            <w:r>
              <w:rPr>
                <w:rFonts w:hint="eastAsia" w:ascii="仿宋" w:hAnsi="仿宋"/>
                <w:color w:val="000000" w:themeColor="text1"/>
                <w:szCs w:val="21"/>
                <w14:textFill>
                  <w14:solidFill>
                    <w14:schemeClr w14:val="tx1"/>
                  </w14:solidFill>
                </w14:textFill>
              </w:rPr>
              <w:t>付款方式及条件：货物送到指定地点，安装、调试，并经买方验收合格后，由买方支付合同总款的百分之九十五（95%），一年后支付余下百分之五（5%）不计利息。</w:t>
            </w:r>
          </w:p>
        </w:tc>
        <w:tc>
          <w:tcPr>
            <w:tcW w:w="2453" w:type="dxa"/>
            <w:vAlign w:val="center"/>
          </w:tcPr>
          <w:p>
            <w:pPr>
              <w:adjustRightInd w:val="0"/>
              <w:snapToGrid w:val="0"/>
              <w:spacing w:line="360" w:lineRule="auto"/>
              <w:rPr>
                <w:rFonts w:ascii="仿宋_GB2312" w:hAnsi="仿宋_GB2312" w:eastAsia="仿宋_GB2312" w:cs="仿宋_GB2312"/>
                <w:szCs w:val="21"/>
              </w:rPr>
            </w:pPr>
          </w:p>
        </w:tc>
        <w:tc>
          <w:tcPr>
            <w:tcW w:w="1365" w:type="dxa"/>
            <w:vAlign w:val="center"/>
          </w:tcPr>
          <w:p>
            <w:pPr>
              <w:adjustRightInd w:val="0"/>
              <w:snapToGrid w:val="0"/>
              <w:spacing w:line="360" w:lineRule="auto"/>
              <w:rPr>
                <w:rFonts w:ascii="仿宋_GB2312" w:hAnsi="仿宋_GB2312" w:eastAsia="仿宋_GB2312" w:cs="仿宋_GB2312"/>
                <w:szCs w:val="21"/>
              </w:rPr>
            </w:pPr>
          </w:p>
        </w:tc>
        <w:tc>
          <w:tcPr>
            <w:tcW w:w="1223" w:type="dxa"/>
            <w:vAlign w:val="center"/>
          </w:tcPr>
          <w:p>
            <w:pPr>
              <w:adjustRightInd w:val="0"/>
              <w:snapToGrid w:val="0"/>
              <w:spacing w:line="360" w:lineRule="auto"/>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3" w:hRule="atLeast"/>
        </w:trPr>
        <w:tc>
          <w:tcPr>
            <w:tcW w:w="545" w:type="dxa"/>
            <w:vAlign w:val="center"/>
          </w:tcPr>
          <w:p>
            <w:pPr>
              <w:ind w:hanging="1"/>
              <w:jc w:val="center"/>
              <w:rPr>
                <w:rFonts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 w:hAnsi="仿宋" w:cs="Lucida Sans Unicode"/>
                <w:color w:val="000000"/>
                <w:szCs w:val="21"/>
              </w:rPr>
              <w:t>4</w:t>
            </w:r>
          </w:p>
        </w:tc>
        <w:tc>
          <w:tcPr>
            <w:tcW w:w="3084" w:type="dxa"/>
            <w:vAlign w:val="center"/>
          </w:tcPr>
          <w:p>
            <w:pPr>
              <w:adjustRightInd w:val="0"/>
              <w:snapToGrid w:val="0"/>
              <w:ind w:right="105" w:rightChars="50"/>
              <w:jc w:val="left"/>
              <w:rPr>
                <w:rFonts w:ascii="仿宋" w:hAnsi="仿宋"/>
                <w:color w:val="000000" w:themeColor="text1"/>
                <w:szCs w:val="21"/>
                <w14:textFill>
                  <w14:solidFill>
                    <w14:schemeClr w14:val="tx1"/>
                  </w14:solidFill>
                </w14:textFill>
              </w:rPr>
            </w:pPr>
            <w:r>
              <w:rPr>
                <w:rFonts w:hint="eastAsia" w:ascii="仿宋" w:hAnsi="仿宋"/>
                <w:color w:val="000000" w:themeColor="text1"/>
                <w:szCs w:val="21"/>
                <w14:textFill>
                  <w14:solidFill>
                    <w14:schemeClr w14:val="tx1"/>
                  </w14:solidFill>
                </w14:textFill>
              </w:rPr>
              <w:t>质保期：提供10年的整机免费保修（不包括消耗件）和维护保养，期间炉体损坏免费更换。时间从验收合格之日起计算。</w:t>
            </w:r>
          </w:p>
        </w:tc>
        <w:tc>
          <w:tcPr>
            <w:tcW w:w="2453" w:type="dxa"/>
            <w:vAlign w:val="center"/>
          </w:tcPr>
          <w:p>
            <w:pPr>
              <w:adjustRightInd w:val="0"/>
              <w:snapToGrid w:val="0"/>
              <w:spacing w:line="360" w:lineRule="auto"/>
              <w:rPr>
                <w:rFonts w:ascii="仿宋_GB2312" w:hAnsi="仿宋_GB2312" w:eastAsia="仿宋_GB2312" w:cs="仿宋_GB2312"/>
                <w:szCs w:val="21"/>
              </w:rPr>
            </w:pPr>
          </w:p>
        </w:tc>
        <w:tc>
          <w:tcPr>
            <w:tcW w:w="1365" w:type="dxa"/>
            <w:vAlign w:val="center"/>
          </w:tcPr>
          <w:p>
            <w:pPr>
              <w:adjustRightInd w:val="0"/>
              <w:snapToGrid w:val="0"/>
              <w:spacing w:line="360" w:lineRule="auto"/>
              <w:rPr>
                <w:rFonts w:ascii="仿宋_GB2312" w:hAnsi="仿宋_GB2312" w:eastAsia="仿宋_GB2312" w:cs="仿宋_GB2312"/>
                <w:szCs w:val="21"/>
              </w:rPr>
            </w:pPr>
          </w:p>
        </w:tc>
        <w:tc>
          <w:tcPr>
            <w:tcW w:w="1223" w:type="dxa"/>
            <w:vAlign w:val="center"/>
          </w:tcPr>
          <w:p>
            <w:pPr>
              <w:adjustRightInd w:val="0"/>
              <w:snapToGrid w:val="0"/>
              <w:spacing w:line="360" w:lineRule="auto"/>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545" w:type="dxa"/>
            <w:vAlign w:val="center"/>
          </w:tcPr>
          <w:p>
            <w:pPr>
              <w:ind w:hanging="1"/>
              <w:jc w:val="center"/>
              <w:rPr>
                <w:rFonts w:ascii="仿宋_GB2312" w:hAnsi="仿宋_GB2312" w:eastAsia="仿宋_GB2312" w:cs="仿宋_GB2312"/>
                <w:szCs w:val="21"/>
              </w:rPr>
            </w:pPr>
            <w:r>
              <w:rPr>
                <w:rFonts w:hint="eastAsia" w:ascii="仿宋_GB2312" w:hAnsi="仿宋_GB2312" w:eastAsia="仿宋_GB2312" w:cs="仿宋_GB2312"/>
                <w:b/>
                <w:sz w:val="18"/>
                <w:szCs w:val="18"/>
              </w:rPr>
              <w:t>★</w:t>
            </w:r>
            <w:r>
              <w:rPr>
                <w:rFonts w:ascii="仿宋" w:hAnsi="仿宋" w:cs="Lucida Sans Unicode"/>
                <w:color w:val="000000"/>
                <w:szCs w:val="21"/>
              </w:rPr>
              <w:t>5</w:t>
            </w:r>
          </w:p>
        </w:tc>
        <w:tc>
          <w:tcPr>
            <w:tcW w:w="3084" w:type="dxa"/>
            <w:vAlign w:val="center"/>
          </w:tcPr>
          <w:p>
            <w:pPr>
              <w:adjustRightInd w:val="0"/>
              <w:snapToGrid w:val="0"/>
              <w:ind w:right="105" w:rightChars="50"/>
              <w:jc w:val="left"/>
              <w:rPr>
                <w:rFonts w:ascii="仿宋" w:hAnsi="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终身提供软件、硬件升级和维修服务。</w:t>
            </w:r>
          </w:p>
        </w:tc>
        <w:tc>
          <w:tcPr>
            <w:tcW w:w="2453" w:type="dxa"/>
            <w:vAlign w:val="center"/>
          </w:tcPr>
          <w:p>
            <w:pPr>
              <w:adjustRightInd w:val="0"/>
              <w:snapToGrid w:val="0"/>
              <w:spacing w:line="360" w:lineRule="auto"/>
              <w:rPr>
                <w:rFonts w:ascii="仿宋_GB2312" w:hAnsi="仿宋_GB2312" w:eastAsia="仿宋_GB2312" w:cs="仿宋_GB2312"/>
                <w:szCs w:val="21"/>
              </w:rPr>
            </w:pPr>
          </w:p>
        </w:tc>
        <w:tc>
          <w:tcPr>
            <w:tcW w:w="1365" w:type="dxa"/>
            <w:vAlign w:val="center"/>
          </w:tcPr>
          <w:p>
            <w:pPr>
              <w:adjustRightInd w:val="0"/>
              <w:snapToGrid w:val="0"/>
              <w:spacing w:line="360" w:lineRule="auto"/>
              <w:rPr>
                <w:rFonts w:ascii="仿宋_GB2312" w:hAnsi="仿宋_GB2312" w:eastAsia="仿宋_GB2312" w:cs="仿宋_GB2312"/>
                <w:szCs w:val="21"/>
              </w:rPr>
            </w:pPr>
          </w:p>
        </w:tc>
        <w:tc>
          <w:tcPr>
            <w:tcW w:w="1223" w:type="dxa"/>
            <w:vAlign w:val="center"/>
          </w:tcPr>
          <w:p>
            <w:pPr>
              <w:adjustRightInd w:val="0"/>
              <w:snapToGrid w:val="0"/>
              <w:spacing w:line="360" w:lineRule="auto"/>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1" w:hRule="atLeast"/>
        </w:trPr>
        <w:tc>
          <w:tcPr>
            <w:tcW w:w="545" w:type="dxa"/>
            <w:vAlign w:val="center"/>
          </w:tcPr>
          <w:p>
            <w:pPr>
              <w:ind w:hanging="1"/>
              <w:jc w:val="center"/>
              <w:rPr>
                <w:rFonts w:ascii="仿宋_GB2312" w:hAnsi="仿宋_GB2312" w:eastAsia="仿宋_GB2312" w:cs="仿宋_GB2312"/>
                <w:szCs w:val="21"/>
              </w:rPr>
            </w:pPr>
            <w:r>
              <w:rPr>
                <w:rFonts w:hint="eastAsia" w:ascii="仿宋_GB2312" w:hAnsi="仿宋_GB2312" w:eastAsia="仿宋_GB2312" w:cs="仿宋_GB2312"/>
                <w:b/>
                <w:sz w:val="18"/>
                <w:szCs w:val="18"/>
              </w:rPr>
              <w:t>★</w:t>
            </w:r>
            <w:r>
              <w:rPr>
                <w:rFonts w:ascii="仿宋" w:hAnsi="仿宋" w:cs="Lucida Sans Unicode"/>
                <w:color w:val="000000"/>
                <w:szCs w:val="21"/>
              </w:rPr>
              <w:t>6</w:t>
            </w:r>
          </w:p>
        </w:tc>
        <w:tc>
          <w:tcPr>
            <w:tcW w:w="3084" w:type="dxa"/>
            <w:vAlign w:val="center"/>
          </w:tcPr>
          <w:p>
            <w:pPr>
              <w:adjustRightInd w:val="0"/>
              <w:snapToGrid w:val="0"/>
              <w:ind w:right="105" w:rightChars="50"/>
              <w:jc w:val="left"/>
              <w:rPr>
                <w:rFonts w:ascii="仿宋" w:hAnsi="仿宋"/>
                <w:color w:val="000000" w:themeColor="text1"/>
                <w:szCs w:val="21"/>
                <w14:textFill>
                  <w14:solidFill>
                    <w14:schemeClr w14:val="tx1"/>
                  </w14:solidFill>
                </w14:textFill>
              </w:rPr>
            </w:pPr>
            <w:r>
              <w:rPr>
                <w:rFonts w:hint="eastAsia" w:ascii="仿宋" w:hAnsi="仿宋"/>
                <w:color w:val="000000" w:themeColor="text1"/>
                <w:szCs w:val="21"/>
                <w14:textFill>
                  <w14:solidFill>
                    <w14:schemeClr w14:val="tx1"/>
                  </w14:solidFill>
                </w14:textFill>
              </w:rPr>
              <w:t>设备发生故障，在接到用户通知后，供货方应在通知故障后 4 小时内响应，72 小时内到现场履行维修服务义务并排除故障。重大问题或其它无法立刻解决的问题应在一周内解决或提出明确的解决方案；</w:t>
            </w:r>
          </w:p>
        </w:tc>
        <w:tc>
          <w:tcPr>
            <w:tcW w:w="2453" w:type="dxa"/>
            <w:vAlign w:val="center"/>
          </w:tcPr>
          <w:p>
            <w:pPr>
              <w:adjustRightInd w:val="0"/>
              <w:snapToGrid w:val="0"/>
              <w:spacing w:line="360" w:lineRule="auto"/>
              <w:rPr>
                <w:rFonts w:ascii="仿宋_GB2312" w:hAnsi="仿宋_GB2312" w:eastAsia="仿宋_GB2312" w:cs="仿宋_GB2312"/>
                <w:szCs w:val="21"/>
              </w:rPr>
            </w:pPr>
          </w:p>
        </w:tc>
        <w:tc>
          <w:tcPr>
            <w:tcW w:w="1365" w:type="dxa"/>
            <w:vAlign w:val="center"/>
          </w:tcPr>
          <w:p>
            <w:pPr>
              <w:adjustRightInd w:val="0"/>
              <w:snapToGrid w:val="0"/>
              <w:spacing w:line="360" w:lineRule="auto"/>
              <w:rPr>
                <w:rFonts w:ascii="仿宋_GB2312" w:hAnsi="仿宋_GB2312" w:eastAsia="仿宋_GB2312" w:cs="仿宋_GB2312"/>
                <w:szCs w:val="21"/>
              </w:rPr>
            </w:pPr>
          </w:p>
        </w:tc>
        <w:tc>
          <w:tcPr>
            <w:tcW w:w="1223" w:type="dxa"/>
            <w:vAlign w:val="center"/>
          </w:tcPr>
          <w:p>
            <w:pPr>
              <w:adjustRightInd w:val="0"/>
              <w:snapToGrid w:val="0"/>
              <w:spacing w:line="360" w:lineRule="auto"/>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545" w:type="dxa"/>
            <w:vAlign w:val="center"/>
          </w:tcPr>
          <w:p>
            <w:pPr>
              <w:ind w:hanging="1"/>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★7</w:t>
            </w:r>
          </w:p>
        </w:tc>
        <w:tc>
          <w:tcPr>
            <w:tcW w:w="3084" w:type="dxa"/>
            <w:vAlign w:val="center"/>
          </w:tcPr>
          <w:p>
            <w:pPr>
              <w:adjustRightInd w:val="0"/>
              <w:snapToGrid w:val="0"/>
              <w:ind w:right="105" w:rightChars="50"/>
              <w:jc w:val="left"/>
              <w:rPr>
                <w:rFonts w:ascii="仿宋" w:hAnsi="仿宋"/>
                <w:color w:val="000000" w:themeColor="text1"/>
                <w:szCs w:val="21"/>
                <w14:textFill>
                  <w14:solidFill>
                    <w14:schemeClr w14:val="tx1"/>
                  </w14:solidFill>
                </w14:textFill>
              </w:rPr>
            </w:pPr>
            <w:r>
              <w:rPr>
                <w:rFonts w:hint="eastAsia"/>
                <w:color w:val="000000" w:themeColor="text1"/>
                <w14:textFill>
                  <w14:solidFill>
                    <w14:schemeClr w14:val="tx1"/>
                  </w14:solidFill>
                </w14:textFill>
              </w:rPr>
              <w:t>备品备件供应及优惠价格要求：提供测量参数所涉及的备件与耗材清单，与本机相关的模块、热偶传感器以及其他部件和耗材，按照整机的全寿命周期和采购时的供货价格供应。</w:t>
            </w:r>
          </w:p>
        </w:tc>
        <w:tc>
          <w:tcPr>
            <w:tcW w:w="2453" w:type="dxa"/>
            <w:vAlign w:val="center"/>
          </w:tcPr>
          <w:p>
            <w:pPr>
              <w:pStyle w:val="9"/>
              <w:rPr>
                <w:color w:val="FF0000"/>
              </w:rPr>
            </w:pPr>
          </w:p>
        </w:tc>
        <w:tc>
          <w:tcPr>
            <w:tcW w:w="1365" w:type="dxa"/>
            <w:vAlign w:val="center"/>
          </w:tcPr>
          <w:p>
            <w:pPr>
              <w:adjustRightInd w:val="0"/>
              <w:snapToGrid w:val="0"/>
              <w:spacing w:line="360" w:lineRule="auto"/>
              <w:rPr>
                <w:rFonts w:ascii="仿宋_GB2312" w:hAnsi="仿宋_GB2312" w:eastAsia="仿宋_GB2312" w:cs="仿宋_GB2312"/>
                <w:szCs w:val="21"/>
              </w:rPr>
            </w:pPr>
          </w:p>
        </w:tc>
        <w:tc>
          <w:tcPr>
            <w:tcW w:w="1223" w:type="dxa"/>
            <w:vAlign w:val="center"/>
          </w:tcPr>
          <w:p>
            <w:pPr>
              <w:adjustRightInd w:val="0"/>
              <w:snapToGrid w:val="0"/>
              <w:spacing w:line="360" w:lineRule="auto"/>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545" w:type="dxa"/>
            <w:vAlign w:val="center"/>
          </w:tcPr>
          <w:p>
            <w:pPr>
              <w:ind w:hanging="1"/>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★8</w:t>
            </w:r>
          </w:p>
        </w:tc>
        <w:tc>
          <w:tcPr>
            <w:tcW w:w="3084" w:type="dxa"/>
            <w:vAlign w:val="center"/>
          </w:tcPr>
          <w:p>
            <w:pPr>
              <w:adjustRightInd w:val="0"/>
              <w:snapToGrid w:val="0"/>
              <w:ind w:right="105" w:rightChars="50"/>
              <w:jc w:val="left"/>
              <w:rPr>
                <w:rFonts w:ascii="仿宋" w:hAnsi="仿宋"/>
                <w:color w:val="000000" w:themeColor="text1"/>
                <w:szCs w:val="21"/>
                <w14:textFill>
                  <w14:solidFill>
                    <w14:schemeClr w14:val="tx1"/>
                  </w14:solidFill>
                </w14:textFill>
              </w:rPr>
            </w:pPr>
            <w:r>
              <w:rPr>
                <w:rFonts w:hint="eastAsia" w:ascii="仿宋" w:hAnsi="仿宋"/>
                <w:color w:val="000000" w:themeColor="text1"/>
                <w:szCs w:val="21"/>
                <w14:textFill>
                  <w14:solidFill>
                    <w14:schemeClr w14:val="tx1"/>
                  </w14:solidFill>
                </w14:textFill>
              </w:rPr>
              <w:t>终身提供设备的免费技术咨询，包括应用及维护技术；</w:t>
            </w:r>
          </w:p>
        </w:tc>
        <w:tc>
          <w:tcPr>
            <w:tcW w:w="2453" w:type="dxa"/>
            <w:vAlign w:val="center"/>
          </w:tcPr>
          <w:p>
            <w:pPr>
              <w:pStyle w:val="9"/>
              <w:rPr>
                <w:color w:val="FF0000"/>
              </w:rPr>
            </w:pPr>
          </w:p>
        </w:tc>
        <w:tc>
          <w:tcPr>
            <w:tcW w:w="1365" w:type="dxa"/>
            <w:vAlign w:val="center"/>
          </w:tcPr>
          <w:p>
            <w:pPr>
              <w:adjustRightInd w:val="0"/>
              <w:snapToGrid w:val="0"/>
              <w:spacing w:line="360" w:lineRule="auto"/>
              <w:rPr>
                <w:rFonts w:ascii="仿宋_GB2312" w:hAnsi="仿宋_GB2312" w:eastAsia="仿宋_GB2312" w:cs="仿宋_GB2312"/>
                <w:szCs w:val="21"/>
              </w:rPr>
            </w:pPr>
          </w:p>
        </w:tc>
        <w:tc>
          <w:tcPr>
            <w:tcW w:w="1223" w:type="dxa"/>
            <w:vAlign w:val="center"/>
          </w:tcPr>
          <w:p>
            <w:pPr>
              <w:adjustRightInd w:val="0"/>
              <w:snapToGrid w:val="0"/>
              <w:spacing w:line="360" w:lineRule="auto"/>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trPr>
        <w:tc>
          <w:tcPr>
            <w:tcW w:w="545" w:type="dxa"/>
            <w:vAlign w:val="center"/>
          </w:tcPr>
          <w:p>
            <w:pPr>
              <w:ind w:hanging="1"/>
              <w:jc w:val="center"/>
              <w:rPr>
                <w:rFonts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 w:hAnsi="仿宋" w:eastAsia="仿宋_GB2312" w:cs="Lucida Sans Unicode"/>
                <w:color w:val="000000"/>
                <w:szCs w:val="21"/>
              </w:rPr>
              <w:t>9</w:t>
            </w:r>
          </w:p>
        </w:tc>
        <w:tc>
          <w:tcPr>
            <w:tcW w:w="3084" w:type="dxa"/>
            <w:vAlign w:val="center"/>
          </w:tcPr>
          <w:p>
            <w:pPr>
              <w:adjustRightInd w:val="0"/>
              <w:snapToGrid w:val="0"/>
              <w:ind w:right="105" w:rightChars="5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olor w:val="000000" w:themeColor="text1"/>
                <w:szCs w:val="21"/>
                <w14:textFill>
                  <w14:solidFill>
                    <w14:schemeClr w14:val="tx1"/>
                  </w14:solidFill>
                </w14:textFill>
              </w:rPr>
              <w:t>中标人应当自收到中标通知书之日起30日内，与买方签订合同，否则按开标后撤回投标处理。</w:t>
            </w:r>
          </w:p>
        </w:tc>
        <w:tc>
          <w:tcPr>
            <w:tcW w:w="2453" w:type="dxa"/>
            <w:vAlign w:val="center"/>
          </w:tcPr>
          <w:p>
            <w:pPr>
              <w:adjustRightInd w:val="0"/>
              <w:snapToGrid w:val="0"/>
              <w:spacing w:line="360" w:lineRule="auto"/>
              <w:rPr>
                <w:rFonts w:ascii="仿宋_GB2312" w:hAnsi="仿宋_GB2312" w:eastAsia="仿宋_GB2312" w:cs="仿宋_GB2312"/>
                <w:szCs w:val="21"/>
              </w:rPr>
            </w:pPr>
          </w:p>
        </w:tc>
        <w:tc>
          <w:tcPr>
            <w:tcW w:w="1365" w:type="dxa"/>
            <w:vAlign w:val="center"/>
          </w:tcPr>
          <w:p>
            <w:pPr>
              <w:adjustRightInd w:val="0"/>
              <w:snapToGrid w:val="0"/>
              <w:spacing w:line="360" w:lineRule="auto"/>
              <w:rPr>
                <w:rFonts w:ascii="仿宋_GB2312" w:hAnsi="仿宋_GB2312" w:eastAsia="仿宋_GB2312" w:cs="仿宋_GB2312"/>
                <w:szCs w:val="21"/>
              </w:rPr>
            </w:pPr>
          </w:p>
        </w:tc>
        <w:tc>
          <w:tcPr>
            <w:tcW w:w="1223" w:type="dxa"/>
            <w:vAlign w:val="center"/>
          </w:tcPr>
          <w:p>
            <w:pPr>
              <w:adjustRightInd w:val="0"/>
              <w:snapToGrid w:val="0"/>
              <w:spacing w:line="360" w:lineRule="auto"/>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trPr>
        <w:tc>
          <w:tcPr>
            <w:tcW w:w="545" w:type="dxa"/>
            <w:vAlign w:val="center"/>
          </w:tcPr>
          <w:p>
            <w:pPr>
              <w:ind w:hanging="1"/>
              <w:jc w:val="center"/>
              <w:rPr>
                <w:rFonts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 w:hAnsi="仿宋" w:eastAsia="仿宋_GB2312" w:cs="Lucida Sans Unicode"/>
                <w:color w:val="000000"/>
                <w:szCs w:val="21"/>
              </w:rPr>
              <w:t>10</w:t>
            </w:r>
          </w:p>
        </w:tc>
        <w:tc>
          <w:tcPr>
            <w:tcW w:w="3084" w:type="dxa"/>
            <w:vAlign w:val="center"/>
          </w:tcPr>
          <w:p>
            <w:pPr>
              <w:adjustRightInd w:val="0"/>
              <w:snapToGrid w:val="0"/>
              <w:ind w:right="105" w:rightChars="5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olor w:val="000000" w:themeColor="text1"/>
                <w:szCs w:val="21"/>
                <w14:textFill>
                  <w14:solidFill>
                    <w14:schemeClr w14:val="tx1"/>
                  </w14:solidFill>
                </w14:textFill>
              </w:rPr>
              <w:t>投标人对所投包的采购内容必须全投，否则投标无效。</w:t>
            </w:r>
          </w:p>
        </w:tc>
        <w:tc>
          <w:tcPr>
            <w:tcW w:w="2453" w:type="dxa"/>
            <w:vAlign w:val="center"/>
          </w:tcPr>
          <w:p>
            <w:pPr>
              <w:adjustRightInd w:val="0"/>
              <w:snapToGrid w:val="0"/>
              <w:spacing w:line="360" w:lineRule="auto"/>
              <w:rPr>
                <w:rFonts w:ascii="仿宋_GB2312" w:hAnsi="仿宋_GB2312" w:eastAsia="仿宋_GB2312" w:cs="仿宋_GB2312"/>
                <w:szCs w:val="21"/>
              </w:rPr>
            </w:pPr>
          </w:p>
        </w:tc>
        <w:tc>
          <w:tcPr>
            <w:tcW w:w="1365" w:type="dxa"/>
            <w:vAlign w:val="center"/>
          </w:tcPr>
          <w:p>
            <w:pPr>
              <w:adjustRightInd w:val="0"/>
              <w:snapToGrid w:val="0"/>
              <w:spacing w:line="360" w:lineRule="auto"/>
              <w:rPr>
                <w:rFonts w:ascii="仿宋_GB2312" w:hAnsi="仿宋_GB2312" w:eastAsia="仿宋_GB2312" w:cs="仿宋_GB2312"/>
                <w:szCs w:val="21"/>
              </w:rPr>
            </w:pPr>
          </w:p>
        </w:tc>
        <w:tc>
          <w:tcPr>
            <w:tcW w:w="1223" w:type="dxa"/>
            <w:vAlign w:val="center"/>
          </w:tcPr>
          <w:p>
            <w:pPr>
              <w:adjustRightInd w:val="0"/>
              <w:snapToGrid w:val="0"/>
              <w:spacing w:line="360" w:lineRule="auto"/>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4" w:hRule="atLeast"/>
        </w:trPr>
        <w:tc>
          <w:tcPr>
            <w:tcW w:w="545" w:type="dxa"/>
            <w:vAlign w:val="center"/>
          </w:tcPr>
          <w:p>
            <w:pPr>
              <w:ind w:hanging="1"/>
              <w:jc w:val="center"/>
              <w:rPr>
                <w:rFonts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 w:hAnsi="仿宋" w:eastAsia="仿宋_GB2312" w:cs="Lucida Sans Unicode"/>
                <w:color w:val="000000"/>
                <w:szCs w:val="21"/>
              </w:rPr>
              <w:t>11</w:t>
            </w:r>
          </w:p>
        </w:tc>
        <w:tc>
          <w:tcPr>
            <w:tcW w:w="3084" w:type="dxa"/>
            <w:vAlign w:val="center"/>
          </w:tcPr>
          <w:p>
            <w:pPr>
              <w:adjustRightInd w:val="0"/>
              <w:snapToGrid w:val="0"/>
              <w:ind w:right="105" w:rightChars="5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color w:val="000000" w:themeColor="text1"/>
                <w:szCs w:val="21"/>
                <w14:textFill>
                  <w14:solidFill>
                    <w14:schemeClr w14:val="tx1"/>
                  </w14:solidFill>
                </w14:textFill>
              </w:rPr>
              <w:t>投标活动中如有虚报和欺瞒，一经发现采购单位将拒绝付款并有权单方面终止合同，中标人必须赔偿采购单位由此造成的所有损失。</w:t>
            </w:r>
          </w:p>
        </w:tc>
        <w:tc>
          <w:tcPr>
            <w:tcW w:w="2453" w:type="dxa"/>
            <w:vAlign w:val="center"/>
          </w:tcPr>
          <w:p>
            <w:pPr>
              <w:adjustRightInd w:val="0"/>
              <w:snapToGrid w:val="0"/>
              <w:spacing w:line="360" w:lineRule="auto"/>
              <w:rPr>
                <w:rFonts w:ascii="仿宋_GB2312" w:hAnsi="仿宋_GB2312" w:eastAsia="仿宋_GB2312" w:cs="仿宋_GB2312"/>
                <w:szCs w:val="21"/>
              </w:rPr>
            </w:pPr>
          </w:p>
        </w:tc>
        <w:tc>
          <w:tcPr>
            <w:tcW w:w="1365" w:type="dxa"/>
            <w:vAlign w:val="center"/>
          </w:tcPr>
          <w:p>
            <w:pPr>
              <w:adjustRightInd w:val="0"/>
              <w:snapToGrid w:val="0"/>
              <w:spacing w:line="360" w:lineRule="auto"/>
              <w:rPr>
                <w:rFonts w:ascii="仿宋_GB2312" w:hAnsi="仿宋_GB2312" w:eastAsia="仿宋_GB2312" w:cs="仿宋_GB2312"/>
                <w:szCs w:val="21"/>
              </w:rPr>
            </w:pPr>
          </w:p>
        </w:tc>
        <w:tc>
          <w:tcPr>
            <w:tcW w:w="1223" w:type="dxa"/>
            <w:vAlign w:val="center"/>
          </w:tcPr>
          <w:p>
            <w:pPr>
              <w:adjustRightInd w:val="0"/>
              <w:snapToGrid w:val="0"/>
              <w:spacing w:line="360" w:lineRule="auto"/>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8" w:hRule="atLeast"/>
        </w:trPr>
        <w:tc>
          <w:tcPr>
            <w:tcW w:w="545" w:type="dxa"/>
            <w:shd w:val="clear" w:color="auto" w:fill="FFFFFF" w:themeFill="background1"/>
            <w:vAlign w:val="center"/>
          </w:tcPr>
          <w:p>
            <w:pPr>
              <w:ind w:hanging="1"/>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w:t>
            </w:r>
            <w:r>
              <w:rPr>
                <w:rFonts w:hint="eastAsia" w:ascii="仿宋" w:hAnsi="仿宋" w:eastAsia="仿宋_GB2312" w:cs="Lucida Sans Unicode"/>
                <w:color w:val="000000"/>
                <w:szCs w:val="21"/>
              </w:rPr>
              <w:t>12</w:t>
            </w:r>
          </w:p>
        </w:tc>
        <w:tc>
          <w:tcPr>
            <w:tcW w:w="3084" w:type="dxa"/>
            <w:shd w:val="clear" w:color="auto" w:fill="FFFFFF" w:themeFill="background1"/>
            <w:vAlign w:val="center"/>
          </w:tcPr>
          <w:p>
            <w:pPr>
              <w:adjustRightInd w:val="0"/>
              <w:snapToGrid w:val="0"/>
              <w:ind w:right="105" w:rightChars="50"/>
              <w:jc w:val="left"/>
              <w:rPr>
                <w:rFonts w:ascii="仿宋" w:hAnsi="仿宋"/>
                <w:color w:val="000000" w:themeColor="text1"/>
                <w:szCs w:val="21"/>
                <w14:textFill>
                  <w14:solidFill>
                    <w14:schemeClr w14:val="tx1"/>
                  </w14:solidFill>
                </w14:textFill>
              </w:rPr>
            </w:pPr>
            <w:r>
              <w:rPr>
                <w:rFonts w:hint="eastAsia" w:ascii="仿宋" w:hAnsi="仿宋"/>
                <w:color w:val="000000" w:themeColor="text1"/>
                <w:szCs w:val="21"/>
                <w14:textFill>
                  <w14:solidFill>
                    <w14:schemeClr w14:val="tx1"/>
                  </w14:solidFill>
                </w14:textFill>
              </w:rPr>
              <w:t>如果投标供应商所投货物为进口产品（必须境外生产同时需要报关入境），则投标供应商须具备对外贸易经营及进出口货物海关报关能力（不允许委托第三方进出口公司进行进出口贸易，如果投标供应商所投货物为国产产品，此条不适用）</w:t>
            </w:r>
          </w:p>
        </w:tc>
        <w:tc>
          <w:tcPr>
            <w:tcW w:w="2453" w:type="dxa"/>
            <w:vAlign w:val="center"/>
          </w:tcPr>
          <w:p>
            <w:pPr>
              <w:adjustRightInd w:val="0"/>
              <w:snapToGrid w:val="0"/>
              <w:spacing w:line="360" w:lineRule="auto"/>
              <w:rPr>
                <w:rFonts w:ascii="仿宋_GB2312" w:hAnsi="仿宋_GB2312" w:eastAsia="仿宋_GB2312" w:cs="仿宋_GB2312"/>
                <w:szCs w:val="21"/>
              </w:rPr>
            </w:pPr>
          </w:p>
        </w:tc>
        <w:tc>
          <w:tcPr>
            <w:tcW w:w="1365" w:type="dxa"/>
            <w:vAlign w:val="center"/>
          </w:tcPr>
          <w:p>
            <w:pPr>
              <w:adjustRightInd w:val="0"/>
              <w:snapToGrid w:val="0"/>
              <w:spacing w:line="360" w:lineRule="auto"/>
            </w:pPr>
          </w:p>
          <w:p>
            <w:pPr>
              <w:pStyle w:val="2"/>
              <w:ind w:firstLine="480"/>
              <w:rPr>
                <w:rFonts w:ascii="仿宋_GB2312" w:hAnsi="仿宋_GB2312" w:eastAsia="仿宋_GB2312" w:cs="仿宋_GB2312"/>
                <w:szCs w:val="21"/>
              </w:rPr>
            </w:pPr>
          </w:p>
          <w:p>
            <w:pPr>
              <w:pStyle w:val="2"/>
              <w:ind w:firstLine="480"/>
              <w:rPr>
                <w:rFonts w:ascii="仿宋_GB2312" w:hAnsi="仿宋_GB2312" w:eastAsia="仿宋_GB2312" w:cs="仿宋_GB2312"/>
                <w:szCs w:val="21"/>
              </w:rPr>
            </w:pPr>
          </w:p>
        </w:tc>
        <w:tc>
          <w:tcPr>
            <w:tcW w:w="1223" w:type="dxa"/>
            <w:vAlign w:val="center"/>
          </w:tcPr>
          <w:p>
            <w:pPr>
              <w:pStyle w:val="2"/>
              <w:ind w:firstLine="480"/>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6" w:hRule="atLeast"/>
        </w:trPr>
        <w:tc>
          <w:tcPr>
            <w:tcW w:w="545" w:type="dxa"/>
            <w:shd w:val="clear" w:color="auto" w:fill="FFFFFF" w:themeFill="background1"/>
            <w:vAlign w:val="center"/>
          </w:tcPr>
          <w:p>
            <w:pPr>
              <w:ind w:hanging="1"/>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w:t>
            </w:r>
            <w:r>
              <w:rPr>
                <w:rFonts w:hint="eastAsia" w:ascii="仿宋" w:hAnsi="仿宋" w:eastAsia="仿宋_GB2312" w:cs="Lucida Sans Unicode"/>
                <w:color w:val="000000"/>
                <w:szCs w:val="21"/>
              </w:rPr>
              <w:t>13</w:t>
            </w:r>
          </w:p>
        </w:tc>
        <w:tc>
          <w:tcPr>
            <w:tcW w:w="3084" w:type="dxa"/>
            <w:shd w:val="clear" w:color="auto" w:fill="FFFFFF" w:themeFill="background1"/>
            <w:vAlign w:val="center"/>
          </w:tcPr>
          <w:p>
            <w:pPr>
              <w:adjustRightInd w:val="0"/>
              <w:snapToGrid w:val="0"/>
              <w:ind w:right="105" w:rightChars="50"/>
              <w:jc w:val="left"/>
              <w:rPr>
                <w:rFonts w:ascii="仿宋" w:hAnsi="仿宋"/>
                <w:color w:val="000000" w:themeColor="text1"/>
                <w:szCs w:val="21"/>
                <w14:textFill>
                  <w14:solidFill>
                    <w14:schemeClr w14:val="tx1"/>
                  </w14:solidFill>
                </w14:textFill>
              </w:rPr>
            </w:pPr>
            <w:r>
              <w:rPr>
                <w:rFonts w:hint="eastAsia" w:ascii="仿宋" w:hAnsi="仿宋"/>
                <w:color w:val="000000" w:themeColor="text1"/>
                <w:szCs w:val="21"/>
                <w14:textFill>
                  <w14:solidFill>
                    <w14:schemeClr w14:val="tx1"/>
                  </w14:solidFill>
                </w14:textFill>
              </w:rPr>
              <w:t xml:space="preserve">若中标人成交的是海关免税设备，则中标人必须提供以下材料 </w:t>
            </w:r>
          </w:p>
          <w:p>
            <w:pPr>
              <w:adjustRightInd w:val="0"/>
              <w:snapToGrid w:val="0"/>
              <w:ind w:right="105" w:rightChars="50"/>
              <w:jc w:val="left"/>
              <w:rPr>
                <w:rFonts w:ascii="仿宋" w:hAnsi="仿宋"/>
                <w:color w:val="000000" w:themeColor="text1"/>
                <w:szCs w:val="21"/>
                <w14:textFill>
                  <w14:solidFill>
                    <w14:schemeClr w14:val="tx1"/>
                  </w14:solidFill>
                </w14:textFill>
              </w:rPr>
            </w:pPr>
            <w:r>
              <w:rPr>
                <w:rFonts w:hint="eastAsia" w:ascii="仿宋" w:hAnsi="仿宋"/>
                <w:color w:val="000000" w:themeColor="text1"/>
                <w:szCs w:val="21"/>
                <w14:textFill>
                  <w14:solidFill>
                    <w14:schemeClr w14:val="tx1"/>
                  </w14:solidFill>
                </w14:textFill>
              </w:rPr>
              <w:t>后，学校方可将设备款支付给中标人：</w:t>
            </w:r>
          </w:p>
          <w:p>
            <w:pPr>
              <w:adjustRightInd w:val="0"/>
              <w:snapToGrid w:val="0"/>
              <w:ind w:right="105" w:rightChars="50"/>
              <w:jc w:val="left"/>
              <w:rPr>
                <w:rFonts w:ascii="仿宋" w:hAnsi="仿宋"/>
                <w:color w:val="000000" w:themeColor="text1"/>
                <w:szCs w:val="21"/>
                <w14:textFill>
                  <w14:solidFill>
                    <w14:schemeClr w14:val="tx1"/>
                  </w14:solidFill>
                </w14:textFill>
              </w:rPr>
            </w:pPr>
            <w:r>
              <w:rPr>
                <w:rFonts w:hint="eastAsia" w:ascii="仿宋" w:hAnsi="仿宋"/>
                <w:color w:val="000000" w:themeColor="text1"/>
                <w:szCs w:val="21"/>
                <w14:textFill>
                  <w14:solidFill>
                    <w14:schemeClr w14:val="tx1"/>
                  </w14:solidFill>
                </w14:textFill>
              </w:rPr>
              <w:t xml:space="preserve">（1）进口免税证明 </w:t>
            </w:r>
          </w:p>
          <w:p>
            <w:pPr>
              <w:adjustRightInd w:val="0"/>
              <w:snapToGrid w:val="0"/>
              <w:ind w:right="105" w:rightChars="50"/>
              <w:jc w:val="left"/>
              <w:rPr>
                <w:rFonts w:ascii="仿宋" w:hAnsi="仿宋"/>
                <w:color w:val="000000" w:themeColor="text1"/>
                <w:szCs w:val="21"/>
                <w14:textFill>
                  <w14:solidFill>
                    <w14:schemeClr w14:val="tx1"/>
                  </w14:solidFill>
                </w14:textFill>
              </w:rPr>
            </w:pPr>
            <w:r>
              <w:rPr>
                <w:rFonts w:hint="eastAsia" w:ascii="仿宋" w:hAnsi="仿宋"/>
                <w:color w:val="000000" w:themeColor="text1"/>
                <w:szCs w:val="21"/>
                <w14:textFill>
                  <w14:solidFill>
                    <w14:schemeClr w14:val="tx1"/>
                  </w14:solidFill>
                </w14:textFill>
              </w:rPr>
              <w:t>（</w:t>
            </w:r>
            <w:r>
              <w:rPr>
                <w:rFonts w:ascii="仿宋" w:hAnsi="仿宋"/>
                <w:color w:val="000000" w:themeColor="text1"/>
                <w:szCs w:val="21"/>
                <w14:textFill>
                  <w14:solidFill>
                    <w14:schemeClr w14:val="tx1"/>
                  </w14:solidFill>
                </w14:textFill>
              </w:rPr>
              <w:t>2</w:t>
            </w:r>
            <w:r>
              <w:rPr>
                <w:rFonts w:hint="eastAsia" w:ascii="仿宋" w:hAnsi="仿宋"/>
                <w:color w:val="000000" w:themeColor="text1"/>
                <w:szCs w:val="21"/>
                <w14:textFill>
                  <w14:solidFill>
                    <w14:schemeClr w14:val="tx1"/>
                  </w14:solidFill>
                </w14:textFill>
              </w:rPr>
              <w:t xml:space="preserve">）外贸合同和形式发票 </w:t>
            </w:r>
          </w:p>
          <w:p>
            <w:pPr>
              <w:adjustRightInd w:val="0"/>
              <w:snapToGrid w:val="0"/>
              <w:ind w:right="105" w:rightChars="50"/>
              <w:jc w:val="left"/>
              <w:rPr>
                <w:rFonts w:ascii="仿宋" w:hAnsi="仿宋"/>
                <w:color w:val="000000" w:themeColor="text1"/>
                <w:szCs w:val="21"/>
                <w14:textFill>
                  <w14:solidFill>
                    <w14:schemeClr w14:val="tx1"/>
                  </w14:solidFill>
                </w14:textFill>
              </w:rPr>
            </w:pPr>
            <w:r>
              <w:rPr>
                <w:rFonts w:hint="eastAsia" w:ascii="仿宋" w:hAnsi="仿宋"/>
                <w:color w:val="000000" w:themeColor="text1"/>
                <w:szCs w:val="21"/>
                <w14:textFill>
                  <w14:solidFill>
                    <w14:schemeClr w14:val="tx1"/>
                  </w14:solidFill>
                </w14:textFill>
              </w:rPr>
              <w:t>（</w:t>
            </w:r>
            <w:r>
              <w:rPr>
                <w:rFonts w:ascii="仿宋" w:hAnsi="仿宋"/>
                <w:color w:val="000000" w:themeColor="text1"/>
                <w:szCs w:val="21"/>
                <w14:textFill>
                  <w14:solidFill>
                    <w14:schemeClr w14:val="tx1"/>
                  </w14:solidFill>
                </w14:textFill>
              </w:rPr>
              <w:t>3</w:t>
            </w:r>
            <w:r>
              <w:rPr>
                <w:rFonts w:hint="eastAsia" w:ascii="仿宋" w:hAnsi="仿宋"/>
                <w:color w:val="000000" w:themeColor="text1"/>
                <w:szCs w:val="21"/>
                <w14:textFill>
                  <w14:solidFill>
                    <w14:schemeClr w14:val="tx1"/>
                  </w14:solidFill>
                </w14:textFill>
              </w:rPr>
              <w:t xml:space="preserve">）中标人的银行买汇凭证 </w:t>
            </w:r>
          </w:p>
          <w:p>
            <w:pPr>
              <w:adjustRightInd w:val="0"/>
              <w:snapToGrid w:val="0"/>
              <w:ind w:right="105" w:rightChars="50"/>
              <w:jc w:val="left"/>
              <w:rPr>
                <w:rFonts w:ascii="仿宋" w:hAnsi="仿宋"/>
                <w:color w:val="000000" w:themeColor="text1"/>
                <w:szCs w:val="21"/>
                <w14:textFill>
                  <w14:solidFill>
                    <w14:schemeClr w14:val="tx1"/>
                  </w14:solidFill>
                </w14:textFill>
              </w:rPr>
            </w:pPr>
            <w:r>
              <w:rPr>
                <w:rFonts w:hint="eastAsia" w:ascii="仿宋" w:hAnsi="仿宋"/>
                <w:color w:val="000000" w:themeColor="text1"/>
                <w:szCs w:val="21"/>
                <w14:textFill>
                  <w14:solidFill>
                    <w14:schemeClr w14:val="tx1"/>
                  </w14:solidFill>
                </w14:textFill>
              </w:rPr>
              <w:t>（</w:t>
            </w:r>
            <w:r>
              <w:rPr>
                <w:rFonts w:ascii="仿宋" w:hAnsi="仿宋"/>
                <w:color w:val="000000" w:themeColor="text1"/>
                <w:szCs w:val="21"/>
                <w14:textFill>
                  <w14:solidFill>
                    <w14:schemeClr w14:val="tx1"/>
                  </w14:solidFill>
                </w14:textFill>
              </w:rPr>
              <w:t>4</w:t>
            </w:r>
            <w:r>
              <w:rPr>
                <w:rFonts w:hint="eastAsia" w:ascii="仿宋" w:hAnsi="仿宋"/>
                <w:color w:val="000000" w:themeColor="text1"/>
                <w:szCs w:val="21"/>
                <w14:textFill>
                  <w14:solidFill>
                    <w14:schemeClr w14:val="tx1"/>
                  </w14:solidFill>
                </w14:textFill>
              </w:rPr>
              <w:t xml:space="preserve">）合同差额部分由中标人开具服务费发票 </w:t>
            </w:r>
          </w:p>
        </w:tc>
        <w:tc>
          <w:tcPr>
            <w:tcW w:w="2453" w:type="dxa"/>
            <w:vAlign w:val="center"/>
          </w:tcPr>
          <w:p>
            <w:pPr>
              <w:adjustRightInd w:val="0"/>
              <w:snapToGrid w:val="0"/>
              <w:spacing w:line="360" w:lineRule="auto"/>
              <w:rPr>
                <w:rFonts w:ascii="仿宋_GB2312" w:hAnsi="仿宋_GB2312" w:eastAsia="仿宋_GB2312" w:cs="仿宋_GB2312"/>
                <w:szCs w:val="21"/>
              </w:rPr>
            </w:pPr>
          </w:p>
        </w:tc>
        <w:tc>
          <w:tcPr>
            <w:tcW w:w="1365" w:type="dxa"/>
            <w:vAlign w:val="center"/>
          </w:tcPr>
          <w:p>
            <w:pPr>
              <w:pStyle w:val="2"/>
              <w:ind w:firstLine="480"/>
              <w:rPr>
                <w:rFonts w:ascii="仿宋_GB2312" w:hAnsi="仿宋_GB2312" w:eastAsia="仿宋_GB2312" w:cs="仿宋_GB2312"/>
                <w:szCs w:val="21"/>
              </w:rPr>
            </w:pPr>
          </w:p>
        </w:tc>
        <w:tc>
          <w:tcPr>
            <w:tcW w:w="1223" w:type="dxa"/>
            <w:vAlign w:val="center"/>
          </w:tcPr>
          <w:p>
            <w:pPr>
              <w:pStyle w:val="2"/>
              <w:ind w:firstLine="480"/>
              <w:rPr>
                <w:rFonts w:ascii="仿宋_GB2312" w:hAnsi="仿宋_GB2312" w:eastAsia="仿宋_GB2312" w:cs="仿宋_GB2312"/>
                <w:szCs w:val="21"/>
              </w:rPr>
            </w:pPr>
          </w:p>
        </w:tc>
      </w:tr>
    </w:tbl>
    <w:p>
      <w:pPr>
        <w:adjustRightInd w:val="0"/>
        <w:snapToGrid w:val="0"/>
        <w:spacing w:line="360" w:lineRule="auto"/>
        <w:ind w:right="105" w:rightChars="50"/>
        <w:jc w:val="left"/>
        <w:rPr>
          <w:rFonts w:ascii="仿宋_GB2312" w:hAnsi="仿宋_GB2312" w:eastAsia="仿宋_GB2312" w:cs="仿宋_GB2312"/>
          <w:b/>
          <w:bCs/>
          <w:szCs w:val="21"/>
        </w:rPr>
      </w:pPr>
    </w:p>
    <w:p>
      <w:pPr>
        <w:adjustRightInd w:val="0"/>
        <w:snapToGrid w:val="0"/>
        <w:spacing w:line="36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b/>
          <w:szCs w:val="21"/>
        </w:rPr>
        <w:t>填表要求：</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1．“投标文件响应内容”一栏由投标人按照招标文件要求填写，进行响应。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3．“偏离说明”一栏由投标人对偏离的情况做详细说明。</w:t>
      </w:r>
    </w:p>
    <w:p>
      <w:pPr>
        <w:adjustRightInd w:val="0"/>
        <w:snapToGrid w:val="0"/>
        <w:spacing w:line="360" w:lineRule="auto"/>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5"/>
        <w:adjustRightInd w:val="0"/>
        <w:snapToGrid w:val="0"/>
        <w:spacing w:before="0" w:after="0" w:line="240" w:lineRule="auto"/>
        <w:jc w:val="left"/>
        <w:rPr>
          <w:rFonts w:ascii="仿宋_GB2312" w:hAnsi="仿宋_GB2312" w:eastAsia="仿宋_GB2312" w:cs="仿宋_GB2312"/>
          <w:szCs w:val="28"/>
        </w:rPr>
      </w:pPr>
    </w:p>
    <w:p>
      <w:pPr>
        <w:rPr>
          <w:rFonts w:ascii="仿宋_GB2312" w:hAnsi="仿宋_GB2312" w:eastAsia="仿宋_GB2312" w:cs="仿宋_GB2312"/>
          <w:szCs w:val="28"/>
        </w:rPr>
      </w:pPr>
    </w:p>
    <w:p>
      <w:pPr>
        <w:pStyle w:val="2"/>
        <w:ind w:firstLine="480"/>
        <w:rPr>
          <w:rFonts w:ascii="仿宋_GB2312" w:hAnsi="仿宋_GB2312" w:eastAsia="仿宋_GB2312" w:cs="仿宋_GB2312"/>
          <w:szCs w:val="28"/>
        </w:rPr>
      </w:pPr>
    </w:p>
    <w:p>
      <w:pPr>
        <w:pStyle w:val="2"/>
        <w:ind w:firstLine="480"/>
        <w:rPr>
          <w:rFonts w:ascii="仿宋_GB2312" w:hAnsi="仿宋_GB2312" w:eastAsia="仿宋_GB2312" w:cs="仿宋_GB2312"/>
          <w:szCs w:val="28"/>
        </w:rPr>
      </w:pPr>
    </w:p>
    <w:p>
      <w:pPr>
        <w:pStyle w:val="2"/>
        <w:ind w:firstLine="480"/>
        <w:rPr>
          <w:rFonts w:ascii="仿宋_GB2312" w:hAnsi="仿宋_GB2312" w:eastAsia="仿宋_GB2312" w:cs="仿宋_GB2312"/>
          <w:szCs w:val="28"/>
        </w:rPr>
      </w:pPr>
    </w:p>
    <w:p>
      <w:pPr>
        <w:pStyle w:val="5"/>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格式15</w:t>
      </w:r>
    </w:p>
    <w:p>
      <w:pPr>
        <w:adjustRightInd w:val="0"/>
        <w:snapToGrid w:val="0"/>
        <w:spacing w:before="319" w:beforeLines="100" w:after="319" w:afterLines="100" w:line="360" w:lineRule="auto"/>
        <w:ind w:right="105" w:rightChars="50"/>
        <w:jc w:val="center"/>
        <w:rPr>
          <w:rFonts w:ascii="仿宋_GB2312" w:hAnsi="仿宋_GB2312" w:eastAsia="仿宋_GB2312" w:cs="仿宋_GB2312"/>
          <w:b/>
          <w:bCs/>
          <w:sz w:val="32"/>
          <w:szCs w:val="32"/>
        </w:rPr>
      </w:pPr>
      <w:bookmarkStart w:id="150" w:name="_Toc9410_WPSOffice_Level2"/>
      <w:bookmarkStart w:id="151" w:name="_Toc20929_WPSOffice_Level2"/>
      <w:r>
        <w:rPr>
          <w:rFonts w:hint="eastAsia" w:ascii="仿宋_GB2312" w:hAnsi="仿宋_GB2312" w:eastAsia="仿宋_GB2312" w:cs="仿宋_GB2312"/>
          <w:b/>
          <w:bCs/>
          <w:sz w:val="32"/>
          <w:szCs w:val="32"/>
        </w:rPr>
        <w:t>投标人关联单位的说明</w:t>
      </w:r>
      <w:bookmarkEnd w:id="150"/>
      <w:bookmarkEnd w:id="151"/>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说明：投标人应当如实披露与本单位存在下列关联关系的单位名称：</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152" w:name="_Toc2074_WPSOffice_Level2"/>
      <w:bookmarkStart w:id="153" w:name="_Toc31070_WPSOffice_Level2"/>
      <w:r>
        <w:rPr>
          <w:rFonts w:hint="eastAsia" w:ascii="仿宋_GB2312" w:hAnsi="仿宋_GB2312" w:eastAsia="仿宋_GB2312" w:cs="仿宋_GB2312"/>
          <w:szCs w:val="21"/>
        </w:rPr>
        <w:t>（1）与投标人单位法定代表人（或非法人组织负责人）为同一人的其他单位；</w:t>
      </w:r>
      <w:bookmarkEnd w:id="152"/>
      <w:bookmarkEnd w:id="153"/>
    </w:p>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154" w:name="_Toc27053_WPSOffice_Level2"/>
      <w:bookmarkStart w:id="155" w:name="_Toc889_WPSOffice_Level2"/>
      <w:r>
        <w:rPr>
          <w:rFonts w:hint="eastAsia" w:ascii="仿宋_GB2312" w:hAnsi="仿宋_GB2312" w:eastAsia="仿宋_GB2312" w:cs="仿宋_GB2312"/>
          <w:szCs w:val="21"/>
        </w:rPr>
        <w:t>（2）与投标人存在直接控股、管理关系的其他单位。</w:t>
      </w:r>
      <w:bookmarkEnd w:id="154"/>
      <w:bookmarkEnd w:id="155"/>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注：若无此情形，写“无”即可</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pStyle w:val="2"/>
        <w:ind w:firstLine="480"/>
        <w:rPr>
          <w:rFonts w:ascii="仿宋_GB2312" w:hAnsi="仿宋_GB2312" w:eastAsia="仿宋_GB2312" w:cs="仿宋_GB2312"/>
          <w:szCs w:val="21"/>
        </w:rPr>
      </w:pPr>
    </w:p>
    <w:p>
      <w:pPr>
        <w:pStyle w:val="2"/>
        <w:ind w:firstLine="480"/>
        <w:rPr>
          <w:rFonts w:ascii="仿宋_GB2312" w:hAnsi="仿宋_GB2312" w:eastAsia="仿宋_GB2312" w:cs="仿宋_GB2312"/>
          <w:szCs w:val="21"/>
        </w:rPr>
      </w:pPr>
    </w:p>
    <w:p>
      <w:pPr>
        <w:pStyle w:val="2"/>
        <w:ind w:firstLine="480"/>
        <w:rPr>
          <w:rFonts w:ascii="仿宋_GB2312" w:hAnsi="仿宋_GB2312" w:eastAsia="仿宋_GB2312" w:cs="仿宋_GB2312"/>
          <w:szCs w:val="21"/>
        </w:rPr>
      </w:pPr>
    </w:p>
    <w:p>
      <w:pPr>
        <w:pStyle w:val="2"/>
        <w:ind w:firstLine="480"/>
        <w:rPr>
          <w:rFonts w:ascii="仿宋_GB2312" w:hAnsi="仿宋_GB2312" w:eastAsia="仿宋_GB2312" w:cs="仿宋_GB2312"/>
          <w:szCs w:val="21"/>
        </w:rPr>
      </w:pPr>
    </w:p>
    <w:p>
      <w:pPr>
        <w:pStyle w:val="2"/>
        <w:ind w:firstLine="480"/>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pStyle w:val="5"/>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br w:type="page"/>
      </w:r>
      <w:r>
        <w:rPr>
          <w:rFonts w:hint="eastAsia" w:ascii="仿宋_GB2312" w:hAnsi="仿宋_GB2312" w:eastAsia="仿宋_GB2312" w:cs="仿宋_GB2312"/>
          <w:szCs w:val="28"/>
        </w:rPr>
        <w:t>格式16</w:t>
      </w:r>
    </w:p>
    <w:p>
      <w:pPr>
        <w:spacing w:before="319" w:beforeLines="100" w:after="319" w:afterLines="100" w:line="360" w:lineRule="auto"/>
        <w:ind w:firstLine="640" w:firstLineChars="200"/>
        <w:jc w:val="center"/>
        <w:rPr>
          <w:rFonts w:ascii="仿宋_GB2312" w:hAnsi="仿宋_GB2312" w:eastAsia="仿宋_GB2312" w:cs="仿宋_GB2312"/>
          <w:b/>
          <w:bCs/>
          <w:sz w:val="32"/>
          <w:szCs w:val="32"/>
        </w:rPr>
      </w:pPr>
      <w:bookmarkStart w:id="156" w:name="_Toc6847_WPSOffice_Level2"/>
      <w:bookmarkStart w:id="157" w:name="_Toc13329_WPSOffice_Level2"/>
      <w:r>
        <w:rPr>
          <w:rFonts w:hint="eastAsia" w:ascii="仿宋_GB2312" w:hAnsi="仿宋_GB2312" w:eastAsia="仿宋_GB2312" w:cs="仿宋_GB2312"/>
          <w:b/>
          <w:bCs/>
          <w:sz w:val="32"/>
          <w:szCs w:val="32"/>
        </w:rPr>
        <w:t>进口产品制造厂家的授权书</w:t>
      </w:r>
      <w:bookmarkEnd w:id="156"/>
      <w:bookmarkEnd w:id="157"/>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u w:val="single"/>
        </w:rPr>
        <w:t>（采购人或采购代理机构）：</w:t>
      </w:r>
    </w:p>
    <w:p>
      <w:pPr>
        <w:spacing w:line="360" w:lineRule="auto"/>
        <w:ind w:firstLine="840" w:firstLineChars="400"/>
        <w:rPr>
          <w:rFonts w:ascii="仿宋_GB2312" w:hAnsi="仿宋_GB2312" w:eastAsia="仿宋_GB2312" w:cs="仿宋_GB2312"/>
          <w:szCs w:val="21"/>
        </w:rPr>
      </w:pPr>
      <w:r>
        <w:rPr>
          <w:rFonts w:hint="eastAsia" w:ascii="仿宋_GB2312" w:hAnsi="仿宋_GB2312" w:eastAsia="仿宋_GB2312" w:cs="仿宋_GB2312"/>
          <w:szCs w:val="21"/>
        </w:rPr>
        <w:t>我们</w:t>
      </w:r>
      <w:r>
        <w:rPr>
          <w:rFonts w:hint="eastAsia" w:ascii="仿宋_GB2312" w:hAnsi="仿宋_GB2312" w:eastAsia="仿宋_GB2312" w:cs="仿宋_GB2312"/>
          <w:szCs w:val="21"/>
          <w:u w:val="single"/>
        </w:rPr>
        <w:t>（制造商名称）</w:t>
      </w:r>
      <w:r>
        <w:rPr>
          <w:rFonts w:hint="eastAsia" w:ascii="仿宋_GB2312" w:hAnsi="仿宋_GB2312" w:eastAsia="仿宋_GB2312" w:cs="仿宋_GB2312"/>
          <w:szCs w:val="21"/>
        </w:rPr>
        <w:t>是按</w:t>
      </w:r>
      <w:r>
        <w:rPr>
          <w:rFonts w:hint="eastAsia" w:ascii="仿宋_GB2312" w:hAnsi="仿宋_GB2312" w:eastAsia="仿宋_GB2312" w:cs="仿宋_GB2312"/>
          <w:szCs w:val="21"/>
          <w:u w:val="single"/>
        </w:rPr>
        <w:t>（国家名称）</w:t>
      </w:r>
      <w:r>
        <w:rPr>
          <w:rFonts w:hint="eastAsia" w:ascii="仿宋_GB2312" w:hAnsi="仿宋_GB2312" w:eastAsia="仿宋_GB2312" w:cs="仿宋_GB2312"/>
          <w:szCs w:val="21"/>
        </w:rPr>
        <w:t>法律成立的一家制造商，主要营业地点设在</w:t>
      </w:r>
      <w:r>
        <w:rPr>
          <w:rFonts w:hint="eastAsia" w:ascii="仿宋_GB2312" w:hAnsi="仿宋_GB2312" w:eastAsia="仿宋_GB2312" w:cs="仿宋_GB2312"/>
          <w:szCs w:val="21"/>
          <w:u w:val="single"/>
        </w:rPr>
        <w:t>（制造商地址）</w:t>
      </w:r>
      <w:r>
        <w:rPr>
          <w:rFonts w:hint="eastAsia" w:ascii="仿宋_GB2312" w:hAnsi="仿宋_GB2312" w:eastAsia="仿宋_GB2312" w:cs="仿宋_GB2312"/>
          <w:szCs w:val="21"/>
        </w:rPr>
        <w:t>。兹指派按</w:t>
      </w:r>
      <w:r>
        <w:rPr>
          <w:rFonts w:hint="eastAsia" w:ascii="仿宋_GB2312" w:hAnsi="仿宋_GB2312" w:eastAsia="仿宋_GB2312" w:cs="仿宋_GB2312"/>
          <w:szCs w:val="21"/>
          <w:u w:val="single"/>
        </w:rPr>
        <w:t>（国家名称）</w:t>
      </w:r>
      <w:r>
        <w:rPr>
          <w:rFonts w:hint="eastAsia" w:ascii="仿宋_GB2312" w:hAnsi="仿宋_GB2312" w:eastAsia="仿宋_GB2312" w:cs="仿宋_GB2312"/>
          <w:szCs w:val="21"/>
        </w:rPr>
        <w:t>的法律正式成立的，主要营业地点设在</w:t>
      </w:r>
      <w:r>
        <w:rPr>
          <w:rFonts w:hint="eastAsia" w:ascii="仿宋_GB2312" w:hAnsi="仿宋_GB2312" w:eastAsia="仿宋_GB2312" w:cs="仿宋_GB2312"/>
          <w:szCs w:val="21"/>
          <w:u w:val="single"/>
        </w:rPr>
        <w:t>（投标人地址）</w:t>
      </w:r>
      <w:r>
        <w:rPr>
          <w:rFonts w:hint="eastAsia" w:ascii="仿宋_GB2312" w:hAnsi="仿宋_GB2312" w:eastAsia="仿宋_GB2312" w:cs="仿宋_GB2312"/>
          <w:szCs w:val="21"/>
        </w:rPr>
        <w:t>的</w:t>
      </w:r>
      <w:r>
        <w:rPr>
          <w:rFonts w:hint="eastAsia" w:ascii="仿宋_GB2312" w:hAnsi="仿宋_GB2312" w:eastAsia="仿宋_GB2312" w:cs="仿宋_GB2312"/>
          <w:szCs w:val="21"/>
          <w:u w:val="single"/>
        </w:rPr>
        <w:t>（投标人名称）</w:t>
      </w:r>
      <w:r>
        <w:rPr>
          <w:rFonts w:hint="eastAsia" w:ascii="仿宋_GB2312" w:hAnsi="仿宋_GB2312" w:eastAsia="仿宋_GB2312" w:cs="仿宋_GB2312"/>
          <w:szCs w:val="21"/>
        </w:rPr>
        <w:t>作为我方真正的合法的代理人进行下列有效的活动：</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（1）代表我方办理贵方</w:t>
      </w:r>
      <w:r>
        <w:rPr>
          <w:rFonts w:hint="eastAsia" w:ascii="仿宋_GB2312" w:hAnsi="仿宋_GB2312" w:eastAsia="仿宋_GB2312" w:cs="仿宋_GB2312"/>
          <w:szCs w:val="21"/>
          <w:u w:val="single"/>
        </w:rPr>
        <w:t xml:space="preserve"> （项目编号、项目名称、包号）</w:t>
      </w:r>
      <w:r>
        <w:rPr>
          <w:rFonts w:hint="eastAsia" w:ascii="仿宋_GB2312" w:hAnsi="仿宋_GB2312" w:eastAsia="仿宋_GB2312" w:cs="仿宋_GB2312"/>
          <w:szCs w:val="21"/>
        </w:rPr>
        <w:t xml:space="preserve"> 投标邀请要求提供的由我方制造的货物的有关事宜，并对我方具有约束力。</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（2）作为制造商，我方保证以投标合作者来约束自己，并对该投标共同和分别承担招标文件中所规定的义务。</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（3）我方兹授予</w:t>
      </w:r>
      <w:r>
        <w:rPr>
          <w:rFonts w:hint="eastAsia" w:ascii="仿宋_GB2312" w:hAnsi="仿宋_GB2312" w:eastAsia="仿宋_GB2312" w:cs="仿宋_GB2312"/>
          <w:szCs w:val="21"/>
          <w:u w:val="single"/>
        </w:rPr>
        <w:t xml:space="preserve"> （投标人名称） </w:t>
      </w:r>
      <w:r>
        <w:rPr>
          <w:rFonts w:hint="eastAsia" w:ascii="仿宋_GB2312" w:hAnsi="仿宋_GB2312" w:eastAsia="仿宋_GB2312" w:cs="仿宋_GB2312"/>
          <w:szCs w:val="21"/>
        </w:rPr>
        <w:t xml:space="preserve">全权办理和履行上述我方为完成上述各点所必须的事宜，具有替换或撤销的全权。兹确认 </w:t>
      </w:r>
      <w:r>
        <w:rPr>
          <w:rFonts w:hint="eastAsia" w:ascii="仿宋_GB2312" w:hAnsi="仿宋_GB2312" w:eastAsia="仿宋_GB2312" w:cs="仿宋_GB2312"/>
          <w:szCs w:val="21"/>
          <w:u w:val="single"/>
        </w:rPr>
        <w:t xml:space="preserve">（投标人名称） </w:t>
      </w:r>
      <w:r>
        <w:rPr>
          <w:rFonts w:hint="eastAsia" w:ascii="仿宋_GB2312" w:hAnsi="仿宋_GB2312" w:eastAsia="仿宋_GB2312" w:cs="仿宋_GB2312"/>
          <w:szCs w:val="21"/>
        </w:rPr>
        <w:t>或其正式授权代表依此合法地办理一切事宜。</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（4）我方于</w:t>
      </w:r>
      <w:r>
        <w:rPr>
          <w:rFonts w:hint="eastAsia" w:ascii="仿宋_GB2312" w:hAnsi="仿宋_GB2312" w:eastAsia="仿宋_GB2312" w:cs="仿宋_GB2312"/>
          <w:szCs w:val="21"/>
          <w:u w:val="single"/>
        </w:rPr>
        <w:t xml:space="preserve"> 年 月 日</w:t>
      </w:r>
      <w:r>
        <w:rPr>
          <w:rFonts w:hint="eastAsia" w:ascii="仿宋_GB2312" w:hAnsi="仿宋_GB2312" w:eastAsia="仿宋_GB2312" w:cs="仿宋_GB2312"/>
          <w:szCs w:val="21"/>
        </w:rPr>
        <w:t>签署本文件，</w:t>
      </w:r>
      <w:r>
        <w:rPr>
          <w:rFonts w:hint="eastAsia" w:ascii="仿宋_GB2312" w:hAnsi="仿宋_GB2312" w:eastAsia="仿宋_GB2312" w:cs="仿宋_GB2312"/>
          <w:szCs w:val="21"/>
          <w:u w:val="single"/>
        </w:rPr>
        <w:t xml:space="preserve"> （投标人名称）</w:t>
      </w:r>
      <w:r>
        <w:rPr>
          <w:rFonts w:hint="eastAsia" w:ascii="仿宋_GB2312" w:hAnsi="仿宋_GB2312" w:eastAsia="仿宋_GB2312" w:cs="仿宋_GB2312"/>
          <w:szCs w:val="21"/>
        </w:rPr>
        <w:t>于</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年</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月</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日接受此件，以此为证。</w:t>
      </w:r>
    </w:p>
    <w:p>
      <w:pPr>
        <w:spacing w:line="360" w:lineRule="auto"/>
        <w:ind w:firstLine="420" w:firstLineChars="200"/>
        <w:rPr>
          <w:rFonts w:ascii="仿宋_GB2312" w:hAnsi="仿宋_GB2312" w:eastAsia="仿宋_GB2312" w:cs="仿宋_GB2312"/>
          <w:szCs w:val="21"/>
        </w:rPr>
      </w:pP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制造商名称（加盖单位公章）：</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签字人职务和部门：</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签字人姓名：</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签字人（签字）：</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日期：</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p>
    <w:p>
      <w:pPr>
        <w:spacing w:line="360" w:lineRule="auto"/>
        <w:ind w:firstLine="420" w:firstLineChars="200"/>
        <w:rPr>
          <w:rFonts w:ascii="仿宋_GB2312" w:hAnsi="仿宋_GB2312" w:eastAsia="仿宋_GB2312" w:cs="仿宋_GB2312"/>
          <w:szCs w:val="21"/>
          <w:u w:val="single"/>
        </w:rPr>
      </w:pPr>
    </w:p>
    <w:p>
      <w:pPr>
        <w:spacing w:line="360" w:lineRule="auto"/>
        <w:ind w:firstLine="420" w:firstLineChars="200"/>
        <w:rPr>
          <w:rFonts w:ascii="仿宋_GB2312" w:hAnsi="仿宋_GB2312" w:eastAsia="仿宋_GB2312" w:cs="仿宋_GB2312"/>
          <w:szCs w:val="21"/>
        </w:rPr>
      </w:pP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5"/>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格式17</w:t>
      </w:r>
    </w:p>
    <w:p>
      <w:pPr>
        <w:shd w:val="clear" w:color="auto" w:fill="FFFFFF"/>
        <w:spacing w:before="319" w:beforeLines="100" w:after="319" w:afterLines="100" w:line="360" w:lineRule="auto"/>
        <w:ind w:firstLine="640" w:firstLineChars="200"/>
        <w:jc w:val="center"/>
        <w:rPr>
          <w:rFonts w:hint="eastAsia" w:ascii="仿宋_GB2312" w:hAnsi="仿宋_GB2312" w:eastAsia="仿宋_GB2312" w:cs="仿宋_GB2312"/>
          <w:b/>
          <w:bCs/>
          <w:sz w:val="32"/>
          <w:szCs w:val="32"/>
        </w:rPr>
      </w:pPr>
      <w:bookmarkStart w:id="158" w:name="_Toc4541_WPSOffice_Level2"/>
      <w:bookmarkStart w:id="159" w:name="_Toc19164_WPSOffice_Level2"/>
      <w:r>
        <w:rPr>
          <w:rFonts w:hint="eastAsia" w:ascii="仿宋_GB2312" w:hAnsi="仿宋_GB2312" w:eastAsia="仿宋_GB2312" w:cs="仿宋_GB2312"/>
          <w:b/>
          <w:bCs/>
          <w:sz w:val="32"/>
          <w:szCs w:val="32"/>
        </w:rPr>
        <w:t>中小企业声明函</w:t>
      </w:r>
      <w:bookmarkEnd w:id="158"/>
      <w:bookmarkEnd w:id="159"/>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货物</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105" w:rightChars="50" w:firstLine="420" w:firstLineChars="20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auto"/>
          <w:szCs w:val="21"/>
          <w:highlight w:val="none"/>
        </w:rPr>
        <w:t>本公司（联合体）郑重声明，根据《政府采购促进中小 企业发展管理办法》（财库﹝2020﹞46 号）的规定，本公司（联合体</w:t>
      </w:r>
      <w:r>
        <w:rPr>
          <w:rFonts w:hint="eastAsia" w:ascii="仿宋_GB2312" w:hAnsi="仿宋_GB2312" w:eastAsia="仿宋_GB2312" w:cs="仿宋_GB2312"/>
          <w:sz w:val="21"/>
          <w:szCs w:val="21"/>
        </w:rPr>
        <w:t>）参加（</w:t>
      </w:r>
      <w:r>
        <w:rPr>
          <w:rFonts w:hint="eastAsia" w:ascii="仿宋_GB2312" w:hAnsi="仿宋_GB2312" w:eastAsia="仿宋_GB2312" w:cs="仿宋_GB2312"/>
          <w:sz w:val="21"/>
          <w:szCs w:val="21"/>
          <w:u w:val="single"/>
        </w:rPr>
        <w:t>单位名称</w:t>
      </w:r>
      <w:r>
        <w:rPr>
          <w:rFonts w:hint="eastAsia" w:ascii="仿宋_GB2312" w:hAnsi="仿宋_GB2312" w:eastAsia="仿宋_GB2312" w:cs="仿宋_GB2312"/>
          <w:sz w:val="21"/>
          <w:szCs w:val="21"/>
        </w:rPr>
        <w:t>）的（</w:t>
      </w:r>
      <w:r>
        <w:rPr>
          <w:rFonts w:hint="eastAsia" w:ascii="仿宋_GB2312" w:hAnsi="仿宋_GB2312" w:eastAsia="仿宋_GB2312" w:cs="仿宋_GB2312"/>
          <w:sz w:val="21"/>
          <w:szCs w:val="21"/>
          <w:u w:val="single"/>
        </w:rPr>
        <w:t>项目名称</w:t>
      </w:r>
      <w:r>
        <w:rPr>
          <w:rFonts w:hint="eastAsia" w:ascii="仿宋_GB2312" w:hAnsi="仿宋_GB2312" w:eastAsia="仿宋_GB2312" w:cs="仿宋_GB2312"/>
          <w:sz w:val="21"/>
          <w:szCs w:val="21"/>
        </w:rPr>
        <w:t xml:space="preserve">）采购活动，提供的货物全部由符合政策要求的中小企业制造。相关企业（含联合体中的中小企业、签订分包意向协议的中小企业）的具体情况如下：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105" w:rightChars="50" w:firstLine="420" w:firstLineChars="20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auto"/>
          <w:szCs w:val="21"/>
          <w:highlight w:val="none"/>
          <w:lang w:val="en-US" w:eastAsia="zh-CN"/>
        </w:rPr>
        <w:t>1.</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u w:val="single"/>
        </w:rPr>
        <w:t>标的名称</w:t>
      </w:r>
      <w:r>
        <w:rPr>
          <w:rFonts w:hint="eastAsia" w:ascii="仿宋_GB2312" w:hAnsi="仿宋_GB2312" w:eastAsia="仿宋_GB2312" w:cs="仿宋_GB2312"/>
          <w:sz w:val="21"/>
          <w:szCs w:val="21"/>
        </w:rPr>
        <w:t>） ，属于（</w:t>
      </w:r>
      <w:r>
        <w:rPr>
          <w:rFonts w:hint="eastAsia" w:ascii="仿宋_GB2312" w:hAnsi="仿宋_GB2312" w:eastAsia="仿宋_GB2312" w:cs="仿宋_GB2312"/>
          <w:sz w:val="21"/>
          <w:szCs w:val="21"/>
          <w:u w:val="single"/>
        </w:rPr>
        <w:t>采购文件中明确的所属行业</w:t>
      </w:r>
      <w:r>
        <w:rPr>
          <w:rFonts w:hint="eastAsia" w:ascii="仿宋_GB2312" w:hAnsi="仿宋_GB2312" w:eastAsia="仿宋_GB2312" w:cs="仿宋_GB2312"/>
          <w:sz w:val="21"/>
          <w:szCs w:val="21"/>
        </w:rPr>
        <w:t>）行业；制造商为（</w:t>
      </w:r>
      <w:r>
        <w:rPr>
          <w:rFonts w:hint="eastAsia" w:ascii="仿宋_GB2312" w:hAnsi="仿宋_GB2312" w:eastAsia="仿宋_GB2312" w:cs="仿宋_GB2312"/>
          <w:sz w:val="21"/>
          <w:szCs w:val="21"/>
          <w:u w:val="single"/>
        </w:rPr>
        <w:t>企业名称</w:t>
      </w:r>
      <w:r>
        <w:rPr>
          <w:rFonts w:hint="eastAsia" w:ascii="仿宋_GB2312" w:hAnsi="仿宋_GB2312" w:eastAsia="仿宋_GB2312" w:cs="仿宋_GB2312"/>
          <w:sz w:val="21"/>
          <w:szCs w:val="21"/>
          <w:u w:val="none"/>
        </w:rPr>
        <w:t>）</w:t>
      </w:r>
      <w:r>
        <w:rPr>
          <w:rFonts w:hint="eastAsia" w:ascii="仿宋_GB2312" w:hAnsi="仿宋_GB2312" w:eastAsia="仿宋_GB2312" w:cs="仿宋_GB2312"/>
          <w:sz w:val="21"/>
          <w:szCs w:val="21"/>
        </w:rPr>
        <w:t>，从业人员</w:t>
      </w:r>
      <w:r>
        <w:rPr>
          <w:rFonts w:hint="eastAsia" w:ascii="仿宋_GB2312" w:hAnsi="仿宋_GB2312" w:eastAsia="仿宋_GB2312" w:cs="仿宋_GB2312"/>
          <w:sz w:val="21"/>
          <w:szCs w:val="21"/>
          <w:u w:val="single"/>
          <w:lang w:val="en-US" w:eastAsia="zh-CN"/>
        </w:rPr>
        <w:t xml:space="preserve">    </w:t>
      </w:r>
      <w:r>
        <w:rPr>
          <w:rFonts w:hint="eastAsia" w:ascii="仿宋_GB2312" w:hAnsi="仿宋_GB2312" w:eastAsia="仿宋_GB2312" w:cs="仿宋_GB2312"/>
          <w:sz w:val="21"/>
          <w:szCs w:val="21"/>
        </w:rPr>
        <w:t>人，营业收入为</w:t>
      </w:r>
      <w:r>
        <w:rPr>
          <w:rFonts w:hint="eastAsia" w:ascii="仿宋_GB2312" w:hAnsi="仿宋_GB2312" w:eastAsia="仿宋_GB2312" w:cs="仿宋_GB2312"/>
          <w:sz w:val="21"/>
          <w:szCs w:val="21"/>
          <w:u w:val="single"/>
          <w:lang w:val="en-US" w:eastAsia="zh-CN"/>
        </w:rPr>
        <w:t xml:space="preserve">    </w:t>
      </w:r>
      <w:r>
        <w:rPr>
          <w:rFonts w:hint="eastAsia" w:ascii="仿宋_GB2312" w:hAnsi="仿宋_GB2312" w:eastAsia="仿宋_GB2312" w:cs="仿宋_GB2312"/>
          <w:sz w:val="21"/>
          <w:szCs w:val="21"/>
        </w:rPr>
        <w:t>万元，资产总额为</w:t>
      </w:r>
      <w:r>
        <w:rPr>
          <w:rFonts w:hint="eastAsia" w:ascii="仿宋_GB2312" w:hAnsi="仿宋_GB2312" w:eastAsia="仿宋_GB2312" w:cs="仿宋_GB2312"/>
          <w:sz w:val="21"/>
          <w:szCs w:val="21"/>
          <w:u w:val="single"/>
          <w:lang w:val="en-US" w:eastAsia="zh-CN"/>
        </w:rPr>
        <w:t xml:space="preserve">    </w:t>
      </w:r>
      <w:r>
        <w:rPr>
          <w:rFonts w:hint="eastAsia" w:ascii="仿宋_GB2312" w:hAnsi="仿宋_GB2312" w:eastAsia="仿宋_GB2312" w:cs="仿宋_GB2312"/>
          <w:sz w:val="21"/>
          <w:szCs w:val="21"/>
        </w:rPr>
        <w:t>万元</w:t>
      </w:r>
      <w:r>
        <w:rPr>
          <w:rFonts w:hint="eastAsia" w:ascii="仿宋_GB2312" w:hAnsi="仿宋_GB2312" w:eastAsia="仿宋_GB2312" w:cs="仿宋_GB2312"/>
          <w:sz w:val="21"/>
          <w:szCs w:val="21"/>
          <w:vertAlign w:val="superscript"/>
        </w:rPr>
        <w:t>1</w:t>
      </w:r>
      <w:r>
        <w:rPr>
          <w:rFonts w:hint="eastAsia" w:ascii="仿宋_GB2312" w:hAnsi="仿宋_GB2312" w:eastAsia="仿宋_GB2312" w:cs="仿宋_GB2312"/>
          <w:sz w:val="21"/>
          <w:szCs w:val="21"/>
        </w:rPr>
        <w:t>，属于（</w:t>
      </w:r>
      <w:r>
        <w:rPr>
          <w:rFonts w:hint="eastAsia" w:ascii="仿宋_GB2312" w:hAnsi="仿宋_GB2312" w:eastAsia="仿宋_GB2312" w:cs="仿宋_GB2312"/>
          <w:sz w:val="21"/>
          <w:szCs w:val="21"/>
          <w:u w:val="single"/>
        </w:rPr>
        <w:t>中型企业、小 型企业、微型企业</w:t>
      </w:r>
      <w:r>
        <w:rPr>
          <w:rFonts w:hint="eastAsia" w:ascii="仿宋_GB2312" w:hAnsi="仿宋_GB2312" w:eastAsia="仿宋_GB2312" w:cs="仿宋_GB2312"/>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105" w:rightChars="50" w:firstLine="420" w:firstLineChars="20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u w:val="single"/>
        </w:rPr>
        <w:t>标的名称</w:t>
      </w:r>
      <w:r>
        <w:rPr>
          <w:rFonts w:hint="eastAsia" w:ascii="仿宋_GB2312" w:hAnsi="仿宋_GB2312" w:eastAsia="仿宋_GB2312" w:cs="仿宋_GB2312"/>
          <w:sz w:val="21"/>
          <w:szCs w:val="21"/>
        </w:rPr>
        <w:t>），属于（</w:t>
      </w:r>
      <w:r>
        <w:rPr>
          <w:rFonts w:hint="eastAsia" w:ascii="仿宋_GB2312" w:hAnsi="仿宋_GB2312" w:eastAsia="仿宋_GB2312" w:cs="仿宋_GB2312"/>
          <w:sz w:val="21"/>
          <w:szCs w:val="21"/>
          <w:u w:val="single"/>
        </w:rPr>
        <w:t>采购文件中明确的所属行业</w:t>
      </w:r>
      <w:r>
        <w:rPr>
          <w:rFonts w:hint="eastAsia" w:ascii="仿宋_GB2312" w:hAnsi="仿宋_GB2312" w:eastAsia="仿宋_GB2312" w:cs="仿宋_GB2312"/>
          <w:sz w:val="21"/>
          <w:szCs w:val="21"/>
        </w:rPr>
        <w:t>）行业；制造商为（</w:t>
      </w:r>
      <w:r>
        <w:rPr>
          <w:rFonts w:hint="eastAsia" w:ascii="仿宋_GB2312" w:hAnsi="仿宋_GB2312" w:eastAsia="仿宋_GB2312" w:cs="仿宋_GB2312"/>
          <w:sz w:val="21"/>
          <w:szCs w:val="21"/>
          <w:u w:val="single"/>
        </w:rPr>
        <w:t>企业名称</w:t>
      </w:r>
      <w:r>
        <w:rPr>
          <w:rFonts w:hint="eastAsia" w:ascii="仿宋_GB2312" w:hAnsi="仿宋_GB2312" w:eastAsia="仿宋_GB2312" w:cs="仿宋_GB2312"/>
          <w:sz w:val="21"/>
          <w:szCs w:val="21"/>
        </w:rPr>
        <w:t>），从业人员</w:t>
      </w:r>
      <w:r>
        <w:rPr>
          <w:rFonts w:hint="eastAsia" w:ascii="仿宋_GB2312" w:hAnsi="仿宋_GB2312" w:eastAsia="仿宋_GB2312" w:cs="仿宋_GB2312"/>
          <w:sz w:val="21"/>
          <w:szCs w:val="21"/>
          <w:u w:val="single"/>
          <w:lang w:val="en-US" w:eastAsia="zh-CN"/>
        </w:rPr>
        <w:t xml:space="preserve">    </w:t>
      </w:r>
      <w:r>
        <w:rPr>
          <w:rFonts w:hint="eastAsia" w:ascii="仿宋_GB2312" w:hAnsi="仿宋_GB2312" w:eastAsia="仿宋_GB2312" w:cs="仿宋_GB2312"/>
          <w:sz w:val="21"/>
          <w:szCs w:val="21"/>
        </w:rPr>
        <w:t>人，营业收入为</w:t>
      </w:r>
      <w:r>
        <w:rPr>
          <w:rFonts w:hint="eastAsia" w:ascii="仿宋_GB2312" w:hAnsi="仿宋_GB2312" w:eastAsia="仿宋_GB2312" w:cs="仿宋_GB2312"/>
          <w:sz w:val="21"/>
          <w:szCs w:val="21"/>
          <w:u w:val="single"/>
          <w:lang w:val="en-US" w:eastAsia="zh-CN"/>
        </w:rPr>
        <w:t xml:space="preserve">   </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万元，资产总额为</w:t>
      </w:r>
      <w:r>
        <w:rPr>
          <w:rFonts w:hint="eastAsia" w:ascii="仿宋_GB2312" w:hAnsi="仿宋_GB2312" w:eastAsia="仿宋_GB2312" w:cs="仿宋_GB2312"/>
          <w:sz w:val="21"/>
          <w:szCs w:val="21"/>
          <w:u w:val="single"/>
          <w:lang w:val="en-US" w:eastAsia="zh-CN"/>
        </w:rPr>
        <w:t xml:space="preserve">    </w:t>
      </w:r>
      <w:r>
        <w:rPr>
          <w:rFonts w:hint="eastAsia" w:ascii="仿宋_GB2312" w:hAnsi="仿宋_GB2312" w:eastAsia="仿宋_GB2312" w:cs="仿宋_GB2312"/>
          <w:sz w:val="21"/>
          <w:szCs w:val="21"/>
        </w:rPr>
        <w:t>万元，属于（</w:t>
      </w:r>
      <w:r>
        <w:rPr>
          <w:rFonts w:hint="eastAsia" w:ascii="仿宋_GB2312" w:hAnsi="仿宋_GB2312" w:eastAsia="仿宋_GB2312" w:cs="仿宋_GB2312"/>
          <w:sz w:val="21"/>
          <w:szCs w:val="21"/>
          <w:u w:val="single"/>
        </w:rPr>
        <w:t>中型企业、小型企业、微型企业</w:t>
      </w:r>
      <w:r>
        <w:rPr>
          <w:rFonts w:hint="eastAsia" w:ascii="仿宋_GB2312" w:hAnsi="仿宋_GB2312" w:eastAsia="仿宋_GB2312" w:cs="仿宋_GB2312"/>
          <w:sz w:val="21"/>
          <w:szCs w:val="21"/>
        </w:rPr>
        <w:t xml:space="preserve">）； </w:t>
      </w:r>
    </w:p>
    <w:p>
      <w:pPr>
        <w:keepNext w:val="0"/>
        <w:keepLines w:val="0"/>
        <w:pageBreakBefore w:val="0"/>
        <w:widowControl w:val="0"/>
        <w:numPr>
          <w:ilvl w:val="0"/>
          <w:numId w:val="0"/>
        </w:numPr>
        <w:kinsoku/>
        <w:wordWrap/>
        <w:overflowPunct/>
        <w:topLinePunct w:val="0"/>
        <w:autoSpaceDE/>
        <w:autoSpaceDN/>
        <w:bidi w:val="0"/>
        <w:spacing w:line="360" w:lineRule="auto"/>
        <w:ind w:left="0" w:left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105" w:rightChars="50" w:firstLine="420" w:firstLineChars="20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以上企业，不属于大企业的分支机构，不存在控股股东为大企业的情形，也不存在与大企业的负责人为同一人的情形。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105" w:rightChars="50" w:firstLine="420" w:firstLineChars="20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本企业对上述声明内容的真实性负责。如有虚假，将依 法承担相应责任。 </w:t>
      </w:r>
    </w:p>
    <w:p>
      <w:pPr>
        <w:keepNext w:val="0"/>
        <w:keepLines w:val="0"/>
        <w:pageBreakBefore w:val="0"/>
        <w:widowControl w:val="0"/>
        <w:numPr>
          <w:ilvl w:val="0"/>
          <w:numId w:val="0"/>
        </w:numPr>
        <w:kinsoku/>
        <w:wordWrap/>
        <w:overflowPunct/>
        <w:topLinePunct w:val="0"/>
        <w:autoSpaceDE/>
        <w:autoSpaceDN/>
        <w:bidi w:val="0"/>
        <w:spacing w:line="360" w:lineRule="auto"/>
        <w:ind w:left="0" w:leftChars="0"/>
        <w:textAlignment w:val="auto"/>
        <w:outlineLvl w:val="9"/>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spacing w:line="360" w:lineRule="auto"/>
        <w:ind w:left="0" w:leftChars="0"/>
        <w:textAlignment w:val="auto"/>
        <w:outlineLvl w:val="9"/>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spacing w:line="360" w:lineRule="auto"/>
        <w:ind w:left="0" w:leftChars="0"/>
        <w:textAlignment w:val="auto"/>
        <w:outlineLvl w:val="9"/>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spacing w:line="360" w:lineRule="auto"/>
        <w:ind w:left="0" w:lef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企业名称（盖章）：</w:t>
      </w:r>
    </w:p>
    <w:p>
      <w:pPr>
        <w:keepNext w:val="0"/>
        <w:keepLines w:val="0"/>
        <w:pageBreakBefore w:val="0"/>
        <w:widowControl w:val="0"/>
        <w:numPr>
          <w:ilvl w:val="0"/>
          <w:numId w:val="0"/>
        </w:numPr>
        <w:kinsoku/>
        <w:wordWrap/>
        <w:overflowPunct/>
        <w:topLinePunct w:val="0"/>
        <w:autoSpaceDE/>
        <w:autoSpaceDN/>
        <w:bidi w:val="0"/>
        <w:spacing w:line="360" w:lineRule="auto"/>
        <w:ind w:left="0" w:lef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日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期：</w:t>
      </w:r>
    </w:p>
    <w:p>
      <w:pPr>
        <w:keepNext w:val="0"/>
        <w:keepLines w:val="0"/>
        <w:pageBreakBefore w:val="0"/>
        <w:widowControl w:val="0"/>
        <w:numPr>
          <w:ilvl w:val="0"/>
          <w:numId w:val="0"/>
        </w:numPr>
        <w:kinsoku/>
        <w:wordWrap/>
        <w:overflowPunct/>
        <w:topLinePunct w:val="0"/>
        <w:autoSpaceDE/>
        <w:autoSpaceDN/>
        <w:bidi w:val="0"/>
        <w:spacing w:line="360" w:lineRule="auto"/>
        <w:ind w:left="0" w:leftChars="0"/>
        <w:jc w:val="center"/>
        <w:textAlignment w:val="auto"/>
        <w:outlineLvl w:val="9"/>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spacing w:line="360" w:lineRule="auto"/>
        <w:ind w:left="0" w:leftChars="0"/>
        <w:jc w:val="center"/>
        <w:textAlignment w:val="auto"/>
        <w:outlineLvl w:val="9"/>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105" w:rightChars="50"/>
        <w:jc w:val="left"/>
        <w:textAlignment w:val="auto"/>
        <w:outlineLvl w:val="9"/>
        <w:rPr>
          <w:rFonts w:hint="default" w:ascii="仿宋_GB2312" w:hAnsi="仿宋_GB2312" w:eastAsia="仿宋_GB2312" w:cs="仿宋_GB2312"/>
          <w:color w:val="auto"/>
          <w:sz w:val="21"/>
          <w:szCs w:val="21"/>
          <w:highlight w:val="none"/>
          <w:u w:val="single"/>
          <w:lang w:val="en-US"/>
        </w:rPr>
      </w:pPr>
      <w:r>
        <w:rPr>
          <w:rFonts w:hint="eastAsia" w:ascii="仿宋_GB2312" w:hAnsi="仿宋_GB2312" w:eastAsia="仿宋_GB2312" w:cs="仿宋_GB2312"/>
          <w:sz w:val="21"/>
          <w:szCs w:val="21"/>
          <w:lang w:val="en-US" w:eastAsia="zh-CN"/>
        </w:rPr>
        <w:t>备注：1.从业人员、营业收入、资产总额填报上一年度数据，无上一年度数据的新成立企业可不填报。2.供应商提供的货物既有中小企业制造货物，也有大型企业制造货物的，不享受中小企业扶持政策。</w:t>
      </w:r>
    </w:p>
    <w:p>
      <w:pPr>
        <w:adjustRightInd w:val="0"/>
        <w:snapToGrid w:val="0"/>
        <w:spacing w:line="480" w:lineRule="auto"/>
        <w:ind w:right="105" w:rightChars="50"/>
        <w:jc w:val="left"/>
        <w:rPr>
          <w:rFonts w:ascii="仿宋_GB2312" w:hAnsi="仿宋_GB2312" w:eastAsia="仿宋_GB2312" w:cs="仿宋_GB2312"/>
          <w:szCs w:val="21"/>
          <w:u w:val="single"/>
        </w:rPr>
      </w:pPr>
    </w:p>
    <w:p>
      <w:pPr>
        <w:adjustRightInd w:val="0"/>
        <w:snapToGrid w:val="0"/>
        <w:spacing w:line="48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5"/>
        <w:adjustRightInd w:val="0"/>
        <w:snapToGrid w:val="0"/>
        <w:spacing w:before="0" w:after="0" w:line="240" w:lineRule="auto"/>
        <w:jc w:val="left"/>
        <w:rPr>
          <w:rFonts w:hint="eastAsia" w:ascii="仿宋_GB2312" w:hAnsi="仿宋_GB2312" w:eastAsia="仿宋_GB2312" w:cs="仿宋_GB2312"/>
          <w:szCs w:val="28"/>
          <w:lang w:eastAsia="zh-CN"/>
        </w:rPr>
      </w:pPr>
      <w:r>
        <w:rPr>
          <w:rFonts w:hint="eastAsia" w:ascii="仿宋_GB2312" w:hAnsi="仿宋_GB2312" w:eastAsia="仿宋_GB2312" w:cs="仿宋_GB2312"/>
          <w:szCs w:val="28"/>
        </w:rPr>
        <w:t>格式1</w:t>
      </w:r>
      <w:r>
        <w:rPr>
          <w:rFonts w:hint="eastAsia" w:ascii="仿宋_GB2312" w:hAnsi="仿宋_GB2312" w:eastAsia="仿宋_GB2312" w:cs="仿宋_GB2312"/>
          <w:szCs w:val="28"/>
          <w:lang w:val="en-US" w:eastAsia="zh-CN"/>
        </w:rPr>
        <w:t>8</w:t>
      </w:r>
    </w:p>
    <w:p>
      <w:pPr>
        <w:adjustRightInd w:val="0"/>
        <w:snapToGrid w:val="0"/>
        <w:spacing w:before="319" w:beforeLines="100" w:after="319" w:afterLines="100" w:line="360" w:lineRule="auto"/>
        <w:ind w:right="105" w:rightChars="50"/>
        <w:jc w:val="center"/>
        <w:rPr>
          <w:rFonts w:ascii="仿宋_GB2312" w:hAnsi="仿宋_GB2312" w:eastAsia="仿宋_GB2312" w:cs="仿宋_GB2312"/>
          <w:b/>
          <w:bCs/>
          <w:sz w:val="32"/>
          <w:szCs w:val="32"/>
        </w:rPr>
      </w:pPr>
      <w:bookmarkStart w:id="160" w:name="_Toc29880_WPSOffice_Level2"/>
      <w:bookmarkStart w:id="161" w:name="_Toc13566_WPSOffice_Level2"/>
      <w:r>
        <w:rPr>
          <w:rFonts w:hint="eastAsia" w:ascii="仿宋_GB2312" w:hAnsi="仿宋_GB2312" w:eastAsia="仿宋_GB2312" w:cs="仿宋_GB2312"/>
          <w:b/>
          <w:bCs/>
          <w:sz w:val="32"/>
          <w:szCs w:val="32"/>
        </w:rPr>
        <w:t>残疾人福利性单位声明函</w:t>
      </w:r>
      <w:bookmarkEnd w:id="160"/>
      <w:bookmarkEnd w:id="161"/>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本单位郑重声明，根据《财政部 民政部 中国残疾人联合会关于促进残疾人就业政府采购政策的通知》（财库〔2017〕141 号）的规定，本单位为符合条件的残疾人福利性单位，且本单位参加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单位的</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本单位对上述声明的真实性负责。如有虚假，将依法承担相应责任。</w:t>
      </w:r>
    </w:p>
    <w:tbl>
      <w:tblPr>
        <w:tblStyle w:val="17"/>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品  名</w:t>
            </w:r>
          </w:p>
        </w:tc>
        <w:tc>
          <w:tcPr>
            <w:tcW w:w="1587" w:type="dxa"/>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规格</w:t>
            </w:r>
          </w:p>
          <w:p>
            <w:pPr>
              <w:jc w:val="center"/>
              <w:rPr>
                <w:rFonts w:ascii="仿宋_GB2312" w:hAnsi="仿宋_GB2312" w:eastAsia="仿宋_GB2312" w:cs="仿宋_GB2312"/>
                <w:szCs w:val="21"/>
              </w:rPr>
            </w:pPr>
            <w:r>
              <w:rPr>
                <w:rFonts w:hint="eastAsia" w:ascii="仿宋_GB2312" w:hAnsi="仿宋_GB2312" w:eastAsia="仿宋_GB2312" w:cs="仿宋_GB2312"/>
                <w:szCs w:val="21"/>
              </w:rPr>
              <w:t>型号</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生产</w:t>
            </w:r>
          </w:p>
          <w:p>
            <w:pPr>
              <w:jc w:val="center"/>
              <w:rPr>
                <w:rFonts w:ascii="仿宋_GB2312" w:hAnsi="仿宋_GB2312" w:eastAsia="仿宋_GB2312" w:cs="仿宋_GB2312"/>
                <w:szCs w:val="21"/>
              </w:rPr>
            </w:pPr>
            <w:r>
              <w:rPr>
                <w:rFonts w:hint="eastAsia" w:ascii="仿宋_GB2312" w:hAnsi="仿宋_GB2312" w:eastAsia="仿宋_GB2312" w:cs="仿宋_GB2312"/>
                <w:szCs w:val="21"/>
              </w:rPr>
              <w:t>厂家</w:t>
            </w: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320" w:type="dxa"/>
            <w:gridSpan w:val="6"/>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b/>
                <w:szCs w:val="21"/>
              </w:rPr>
              <w:t xml:space="preserve"> </w:t>
            </w:r>
            <w:r>
              <w:rPr>
                <w:rFonts w:hint="eastAsia" w:ascii="仿宋_GB2312" w:hAnsi="仿宋_GB2312" w:eastAsia="仿宋_GB2312" w:cs="仿宋_GB2312"/>
                <w:b/>
                <w:szCs w:val="21"/>
                <w:lang w:val="zh-CN"/>
              </w:rPr>
              <w:t>投标文件中所提供投标的以上伴随产品为我单位生产的产品，</w:t>
            </w:r>
            <w:r>
              <w:rPr>
                <w:rFonts w:hint="eastAsia" w:ascii="仿宋_GB2312" w:hAnsi="仿宋_GB2312" w:eastAsia="仿宋_GB2312" w:cs="仿宋_GB2312"/>
                <w:b/>
                <w:szCs w:val="21"/>
              </w:rPr>
              <w:t>如有虚假</w:t>
            </w:r>
            <w:r>
              <w:rPr>
                <w:rFonts w:hint="eastAsia" w:ascii="仿宋_GB2312" w:hAnsi="仿宋_GB2312" w:eastAsia="仿宋_GB2312" w:cs="仿宋_GB2312"/>
                <w:b/>
                <w:szCs w:val="21"/>
                <w:lang w:val="zh-CN"/>
              </w:rPr>
              <w:t>，我单位承担由此产生的一切后果</w:t>
            </w:r>
            <w:r>
              <w:rPr>
                <w:rFonts w:hint="eastAsia" w:ascii="仿宋_GB2312" w:hAnsi="仿宋_GB2312" w:eastAsia="仿宋_GB2312" w:cs="仿宋_GB2312"/>
                <w:szCs w:val="21"/>
                <w:lang w:val="zh-CN"/>
              </w:rPr>
              <w:t>。</w:t>
            </w:r>
          </w:p>
        </w:tc>
      </w:tr>
    </w:tbl>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注：1、供应商为非残疾人福利性单位的，无需填写此声明函。</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2、仅为本项目提供服务，未提供服务所伴随产品的，此表格可不填写。</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3、如为本项目提供本单位伴随产品的，请填写此表格。</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4、如为本项目提供的伴随产品是其他单位生产的，无需填写此表格，但需生产单位按此格式出具此声明。</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48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投标人名称（加盖单位公章）：</w:t>
      </w:r>
      <w:r>
        <w:rPr>
          <w:rFonts w:hint="eastAsia" w:ascii="仿宋_GB2312" w:hAnsi="仿宋_GB2312" w:eastAsia="仿宋_GB2312" w:cs="仿宋_GB2312"/>
          <w:szCs w:val="21"/>
          <w:u w:val="single"/>
        </w:rPr>
        <w:t xml:space="preserve">              </w:t>
      </w:r>
    </w:p>
    <w:p>
      <w:pPr>
        <w:adjustRightInd w:val="0"/>
        <w:snapToGrid w:val="0"/>
        <w:spacing w:line="480" w:lineRule="auto"/>
        <w:ind w:right="105" w:rightChars="50"/>
        <w:jc w:val="left"/>
        <w:rPr>
          <w:rFonts w:ascii="仿宋_GB2312" w:hAnsi="仿宋_GB2312" w:eastAsia="仿宋_GB2312" w:cs="仿宋_GB2312"/>
          <w:b/>
          <w:sz w:val="28"/>
          <w:szCs w:val="28"/>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adjustRightInd w:val="0"/>
        <w:snapToGrid w:val="0"/>
        <w:spacing w:line="360" w:lineRule="auto"/>
        <w:ind w:right="105" w:rightChars="50"/>
        <w:jc w:val="left"/>
        <w:rPr>
          <w:rFonts w:ascii="仿宋_GB2312" w:hAnsi="仿宋_GB2312" w:eastAsia="仿宋_GB2312" w:cs="仿宋_GB2312"/>
          <w:szCs w:val="21"/>
          <w:u w:val="single"/>
        </w:rPr>
      </w:pPr>
    </w:p>
    <w:p>
      <w:pPr>
        <w:widowControl/>
        <w:jc w:val="left"/>
        <w:rPr>
          <w:rFonts w:ascii="仿宋_GB2312" w:hAnsi="仿宋_GB2312" w:eastAsia="仿宋_GB2312" w:cs="仿宋_GB2312"/>
          <w:szCs w:val="21"/>
          <w:u w:val="single"/>
        </w:rPr>
      </w:pPr>
    </w:p>
    <w:p>
      <w:pPr>
        <w:adjustRightInd w:val="0"/>
        <w:snapToGrid w:val="0"/>
        <w:spacing w:line="360" w:lineRule="auto"/>
        <w:ind w:right="105" w:rightChars="50"/>
        <w:jc w:val="left"/>
        <w:rPr>
          <w:rFonts w:ascii="仿宋_GB2312" w:hAnsi="仿宋_GB2312" w:eastAsia="仿宋_GB2312" w:cs="仿宋_GB2312"/>
          <w:szCs w:val="21"/>
          <w:u w:val="single"/>
        </w:rPr>
      </w:pPr>
    </w:p>
    <w:p>
      <w:pPr>
        <w:pStyle w:val="2"/>
        <w:ind w:firstLine="480"/>
        <w:rPr>
          <w:rFonts w:ascii="仿宋_GB2312" w:hAnsi="仿宋_GB2312" w:eastAsia="仿宋_GB2312" w:cs="仿宋_GB2312"/>
          <w:b/>
          <w:kern w:val="44"/>
          <w:sz w:val="44"/>
        </w:rPr>
      </w:pPr>
      <w:bookmarkStart w:id="162" w:name="_Toc4498_WPSOffice_Level1"/>
      <w:r>
        <w:rPr>
          <w:rFonts w:hint="eastAsia" w:ascii="仿宋_GB2312" w:hAnsi="仿宋_GB2312" w:eastAsia="仿宋_GB2312" w:cs="仿宋_GB2312"/>
        </w:rPr>
        <w:br w:type="page"/>
      </w:r>
    </w:p>
    <w:p>
      <w:pPr>
        <w:widowControl/>
        <w:jc w:val="left"/>
      </w:pPr>
      <w:r>
        <w:rPr>
          <w:rFonts w:hint="eastAsia" w:ascii="仿宋_GB2312" w:hAnsi="仿宋_GB2312" w:eastAsia="仿宋_GB2312" w:cs="仿宋_GB2312"/>
          <w:b/>
          <w:sz w:val="28"/>
          <w:szCs w:val="28"/>
        </w:rPr>
        <w:t xml:space="preserve">格式 </w:t>
      </w:r>
      <w:r>
        <w:rPr>
          <w:rFonts w:hint="eastAsia" w:ascii="仿宋_GB2312" w:hAnsi="仿宋_GB2312" w:eastAsia="仿宋_GB2312" w:cs="仿宋_GB2312"/>
          <w:b/>
          <w:sz w:val="28"/>
          <w:szCs w:val="28"/>
          <w:lang w:val="en-US" w:eastAsia="zh-CN"/>
        </w:rPr>
        <w:t>19</w:t>
      </w:r>
      <w:r>
        <w:rPr>
          <w:rFonts w:hint="eastAsia" w:ascii="仿宋_GB2312" w:hAnsi="仿宋_GB2312" w:eastAsia="仿宋_GB2312" w:cs="仿宋_GB2312"/>
          <w:b/>
          <w:sz w:val="28"/>
          <w:szCs w:val="28"/>
        </w:rPr>
        <w:t xml:space="preserve"> </w:t>
      </w:r>
    </w:p>
    <w:p>
      <w:pPr>
        <w:widowControl/>
        <w:jc w:val="center"/>
      </w:pPr>
      <w:r>
        <w:rPr>
          <w:rFonts w:hint="eastAsia" w:ascii="仿宋_GB2312" w:hAnsi="仿宋_GB2312" w:eastAsia="仿宋_GB2312" w:cs="仿宋_GB2312"/>
          <w:b/>
          <w:bCs/>
          <w:sz w:val="32"/>
          <w:szCs w:val="32"/>
        </w:rPr>
        <w:t>新冠肺炎疫情防控工作承诺函</w:t>
      </w:r>
    </w:p>
    <w:p>
      <w:pPr>
        <w:widowControl/>
        <w:spacing w:line="600" w:lineRule="exact"/>
        <w:jc w:val="left"/>
      </w:pPr>
      <w:r>
        <w:rPr>
          <w:rFonts w:hint="eastAsia" w:ascii="仿宋" w:hAnsi="仿宋" w:cs="仿宋"/>
          <w:b/>
          <w:color w:val="000000"/>
          <w:kern w:val="0"/>
          <w:szCs w:val="21"/>
          <w:lang w:bidi="ar"/>
        </w:rPr>
        <w:t xml:space="preserve">（采购人名称） ： </w:t>
      </w:r>
    </w:p>
    <w:p>
      <w:pPr>
        <w:widowControl/>
        <w:spacing w:line="600" w:lineRule="exact"/>
        <w:ind w:firstLine="420" w:firstLineChars="200"/>
        <w:jc w:val="left"/>
      </w:pPr>
      <w:r>
        <w:rPr>
          <w:rFonts w:hint="eastAsia" w:ascii="仿宋" w:hAnsi="仿宋" w:cs="仿宋"/>
          <w:b/>
          <w:color w:val="000000"/>
          <w:kern w:val="0"/>
          <w:szCs w:val="21"/>
          <w:lang w:bidi="ar"/>
        </w:rPr>
        <w:t>为保障新冠肺炎疫情防控工作，</w:t>
      </w:r>
      <w:r>
        <w:rPr>
          <w:rFonts w:hint="eastAsia" w:ascii="仿宋" w:hAnsi="仿宋" w:cs="仿宋"/>
          <w:color w:val="000000"/>
          <w:kern w:val="0"/>
          <w:szCs w:val="21"/>
          <w:lang w:bidi="ar"/>
        </w:rPr>
        <w:t xml:space="preserve">我单位参加本次政府采购活动作出如下承诺： </w:t>
      </w:r>
    </w:p>
    <w:p>
      <w:pPr>
        <w:widowControl/>
        <w:spacing w:line="600" w:lineRule="exact"/>
        <w:ind w:firstLine="420" w:firstLineChars="200"/>
        <w:jc w:val="left"/>
      </w:pPr>
      <w:r>
        <w:rPr>
          <w:rFonts w:hint="eastAsia" w:ascii="仿宋" w:hAnsi="仿宋" w:cs="仿宋"/>
          <w:color w:val="000000"/>
          <w:kern w:val="0"/>
          <w:szCs w:val="21"/>
          <w:lang w:bidi="ar"/>
        </w:rPr>
        <w:t xml:space="preserve">1、我方以邮寄形式递交纸质投标文件，全权负责由邮寄引发的一切不利事宜，包括但不限于邮寄的迟达、丢失、未按规定密封、包装破损等且我方能够自行解密报价，我方自行承担责任及风险，我方同意采购人及采购代理机构不受理因此提出的质疑。 </w:t>
      </w:r>
    </w:p>
    <w:p>
      <w:pPr>
        <w:widowControl/>
        <w:spacing w:line="600" w:lineRule="exact"/>
        <w:ind w:firstLine="420" w:firstLineChars="200"/>
        <w:jc w:val="left"/>
      </w:pPr>
      <w:r>
        <w:rPr>
          <w:rFonts w:hint="eastAsia" w:ascii="仿宋" w:hAnsi="仿宋" w:cs="仿宋"/>
          <w:color w:val="000000"/>
          <w:kern w:val="0"/>
          <w:szCs w:val="21"/>
          <w:lang w:bidi="ar"/>
        </w:rPr>
        <w:t xml:space="preserve">2、一旦采购代理机构收到投标文件，我方承诺默认投标文件密封完好。 </w:t>
      </w:r>
    </w:p>
    <w:p>
      <w:pPr>
        <w:widowControl/>
        <w:spacing w:line="600" w:lineRule="exact"/>
        <w:ind w:firstLine="420" w:firstLineChars="200"/>
        <w:jc w:val="left"/>
      </w:pPr>
      <w:r>
        <w:rPr>
          <w:rFonts w:hint="eastAsia" w:ascii="仿宋" w:hAnsi="仿宋" w:cs="仿宋"/>
          <w:color w:val="000000"/>
          <w:kern w:val="0"/>
          <w:szCs w:val="21"/>
          <w:lang w:bidi="ar"/>
        </w:rPr>
        <w:t xml:space="preserve">3、采购全过程直至中标结果公示发布止，我方承诺法定代表人或其授权委托人保持手 </w:t>
      </w:r>
    </w:p>
    <w:p>
      <w:pPr>
        <w:widowControl/>
        <w:spacing w:line="600" w:lineRule="exact"/>
        <w:jc w:val="left"/>
      </w:pPr>
      <w:r>
        <w:rPr>
          <w:rFonts w:hint="eastAsia" w:ascii="仿宋" w:hAnsi="仿宋" w:cs="仿宋"/>
          <w:color w:val="000000"/>
          <w:kern w:val="0"/>
          <w:szCs w:val="21"/>
          <w:lang w:bidi="ar"/>
        </w:rPr>
        <w:t xml:space="preserve">机通话畅通，如因我方原因，造成无法联络而带来的一切不良后果均由我方自行承担。 </w:t>
      </w:r>
    </w:p>
    <w:p>
      <w:pPr>
        <w:widowControl/>
        <w:spacing w:line="600" w:lineRule="exact"/>
        <w:ind w:firstLine="420" w:firstLineChars="200"/>
        <w:jc w:val="left"/>
      </w:pPr>
      <w:r>
        <w:rPr>
          <w:rFonts w:hint="eastAsia" w:ascii="仿宋" w:hAnsi="仿宋" w:cs="仿宋"/>
          <w:color w:val="000000"/>
          <w:kern w:val="0"/>
          <w:szCs w:val="21"/>
          <w:lang w:bidi="ar"/>
        </w:rPr>
        <w:t xml:space="preserve">特此承诺。 </w:t>
      </w:r>
    </w:p>
    <w:p>
      <w:pPr>
        <w:spacing w:line="480" w:lineRule="auto"/>
        <w:rPr>
          <w:rFonts w:ascii="仿宋_GB2312" w:hAnsi="仿宋_GB2312" w:eastAsia="仿宋_GB2312" w:cs="仿宋_GB2312"/>
        </w:rPr>
      </w:pPr>
    </w:p>
    <w:p>
      <w:pPr>
        <w:spacing w:line="480" w:lineRule="auto"/>
        <w:rPr>
          <w:rFonts w:ascii="仿宋_GB2312" w:hAnsi="仿宋_GB2312" w:eastAsia="仿宋_GB2312" w:cs="仿宋_GB2312"/>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widowControl/>
        <w:jc w:val="left"/>
        <w:rPr>
          <w:rFonts w:ascii="仿宋_GB2312" w:hAnsi="仿宋_GB2312" w:eastAsia="仿宋_GB2312" w:cs="仿宋_GB2312"/>
          <w:b/>
          <w:kern w:val="44"/>
          <w:sz w:val="44"/>
        </w:rPr>
      </w:pPr>
    </w:p>
    <w:p>
      <w:pPr>
        <w:pStyle w:val="2"/>
        <w:ind w:firstLine="883"/>
        <w:rPr>
          <w:rFonts w:ascii="仿宋_GB2312" w:hAnsi="仿宋_GB2312" w:eastAsia="仿宋_GB2312" w:cs="仿宋_GB2312"/>
          <w:b/>
          <w:kern w:val="44"/>
          <w:sz w:val="44"/>
        </w:rPr>
      </w:pPr>
    </w:p>
    <w:p>
      <w:pPr>
        <w:pStyle w:val="2"/>
        <w:ind w:firstLine="883"/>
        <w:rPr>
          <w:rFonts w:ascii="仿宋_GB2312" w:hAnsi="仿宋_GB2312" w:eastAsia="仿宋_GB2312" w:cs="仿宋_GB2312"/>
          <w:b/>
          <w:kern w:val="44"/>
          <w:sz w:val="44"/>
        </w:rPr>
      </w:pPr>
    </w:p>
    <w:p>
      <w:pPr>
        <w:pStyle w:val="2"/>
        <w:ind w:firstLine="883"/>
        <w:rPr>
          <w:rFonts w:ascii="仿宋_GB2312" w:hAnsi="仿宋_GB2312" w:eastAsia="仿宋_GB2312" w:cs="仿宋_GB2312"/>
          <w:b/>
          <w:kern w:val="44"/>
          <w:sz w:val="44"/>
        </w:rPr>
      </w:pPr>
    </w:p>
    <w:p>
      <w:pPr>
        <w:pStyle w:val="2"/>
        <w:ind w:firstLine="883"/>
        <w:rPr>
          <w:rFonts w:ascii="仿宋_GB2312" w:hAnsi="仿宋_GB2312" w:eastAsia="仿宋_GB2312" w:cs="仿宋_GB2312"/>
          <w:b/>
          <w:kern w:val="44"/>
          <w:sz w:val="44"/>
        </w:rPr>
      </w:pPr>
    </w:p>
    <w:p>
      <w:pPr>
        <w:pStyle w:val="2"/>
        <w:ind w:firstLine="883"/>
        <w:rPr>
          <w:rFonts w:ascii="仿宋_GB2312" w:hAnsi="仿宋_GB2312" w:eastAsia="仿宋_GB2312" w:cs="仿宋_GB2312"/>
          <w:b/>
          <w:kern w:val="44"/>
          <w:sz w:val="44"/>
        </w:rPr>
      </w:pPr>
    </w:p>
    <w:p>
      <w:pPr>
        <w:pStyle w:val="2"/>
        <w:ind w:firstLine="883"/>
        <w:rPr>
          <w:rFonts w:ascii="仿宋_GB2312" w:hAnsi="仿宋_GB2312" w:eastAsia="仿宋_GB2312" w:cs="仿宋_GB2312"/>
          <w:b/>
          <w:kern w:val="44"/>
          <w:sz w:val="44"/>
        </w:rPr>
      </w:pPr>
    </w:p>
    <w:p>
      <w:pPr>
        <w:widowControl/>
        <w:shd w:val="clear" w:color="auto" w:fill="FFFFFF" w:themeFill="background1"/>
        <w:jc w:val="left"/>
      </w:pPr>
      <w:r>
        <w:rPr>
          <w:rFonts w:hint="eastAsia" w:ascii="仿宋_GB2312" w:hAnsi="仿宋_GB2312" w:eastAsia="仿宋_GB2312" w:cs="仿宋_GB2312"/>
          <w:b/>
          <w:sz w:val="28"/>
          <w:szCs w:val="28"/>
        </w:rPr>
        <w:t>格式 2</w:t>
      </w:r>
      <w:r>
        <w:rPr>
          <w:rFonts w:hint="eastAsia" w:ascii="仿宋_GB2312" w:hAnsi="仿宋_GB2312" w:eastAsia="仿宋_GB2312" w:cs="仿宋_GB2312"/>
          <w:b/>
          <w:sz w:val="28"/>
          <w:szCs w:val="28"/>
          <w:lang w:val="en-US" w:eastAsia="zh-CN"/>
        </w:rPr>
        <w:t>0</w:t>
      </w:r>
      <w:r>
        <w:rPr>
          <w:rFonts w:hint="eastAsia" w:ascii="仿宋_GB2312" w:hAnsi="仿宋_GB2312" w:eastAsia="仿宋_GB2312" w:cs="仿宋_GB2312"/>
          <w:b/>
          <w:sz w:val="28"/>
          <w:szCs w:val="28"/>
        </w:rPr>
        <w:t xml:space="preserve"> </w:t>
      </w:r>
    </w:p>
    <w:p>
      <w:pPr>
        <w:widowControl/>
        <w:shd w:val="clear" w:color="auto" w:fill="FFFFFF" w:themeFill="background1"/>
        <w:jc w:val="center"/>
      </w:pPr>
      <w:r>
        <w:rPr>
          <w:rFonts w:hint="eastAsia" w:ascii="仿宋_GB2312" w:hAnsi="仿宋_GB2312" w:eastAsia="仿宋_GB2312" w:cs="仿宋_GB2312"/>
          <w:b/>
          <w:bCs/>
          <w:sz w:val="32"/>
          <w:szCs w:val="32"/>
        </w:rPr>
        <w:t>电子文件和纸质文件一致性承诺函</w:t>
      </w:r>
    </w:p>
    <w:p>
      <w:pPr>
        <w:widowControl/>
        <w:spacing w:line="600" w:lineRule="exact"/>
        <w:jc w:val="left"/>
      </w:pPr>
      <w:r>
        <w:rPr>
          <w:rFonts w:hint="eastAsia" w:ascii="仿宋" w:hAnsi="仿宋" w:cs="仿宋"/>
          <w:b/>
          <w:color w:val="000000"/>
          <w:kern w:val="0"/>
          <w:szCs w:val="21"/>
          <w:lang w:bidi="ar"/>
        </w:rPr>
        <w:t xml:space="preserve">（采购人名称） ： </w:t>
      </w:r>
    </w:p>
    <w:p>
      <w:pPr>
        <w:widowControl/>
        <w:spacing w:line="600" w:lineRule="exact"/>
        <w:jc w:val="left"/>
      </w:pPr>
      <w:r>
        <w:rPr>
          <w:rFonts w:hint="eastAsia" w:ascii="仿宋" w:hAnsi="仿宋" w:cs="仿宋"/>
          <w:color w:val="000000"/>
          <w:kern w:val="0"/>
          <w:szCs w:val="21"/>
          <w:lang w:bidi="ar"/>
        </w:rPr>
        <w:t xml:space="preserve">我单位参加本次政府采购活动作出如下承诺： </w:t>
      </w:r>
    </w:p>
    <w:p>
      <w:pPr>
        <w:widowControl/>
        <w:spacing w:line="600" w:lineRule="exact"/>
        <w:ind w:firstLine="420" w:firstLineChars="200"/>
        <w:jc w:val="left"/>
      </w:pPr>
      <w:r>
        <w:rPr>
          <w:rFonts w:hint="eastAsia" w:ascii="仿宋" w:hAnsi="仿宋" w:cs="仿宋"/>
          <w:color w:val="000000"/>
          <w:kern w:val="0"/>
          <w:szCs w:val="21"/>
          <w:lang w:bidi="ar"/>
        </w:rPr>
        <w:t xml:space="preserve">我方提供的电子文件和纸质文件的内容（含签字、盖章）完全一致，若因不一致引发的一切不利事宜，我方自行承担责任及风险，我方同意采购人及采购代理机构不受理因此提出的质疑。 </w:t>
      </w:r>
    </w:p>
    <w:p>
      <w:pPr>
        <w:widowControl/>
        <w:spacing w:line="600" w:lineRule="exact"/>
        <w:ind w:firstLine="420" w:firstLineChars="200"/>
        <w:jc w:val="left"/>
      </w:pPr>
      <w:r>
        <w:rPr>
          <w:rFonts w:hint="eastAsia" w:ascii="仿宋" w:hAnsi="仿宋" w:cs="仿宋"/>
          <w:color w:val="000000"/>
          <w:kern w:val="0"/>
          <w:szCs w:val="21"/>
          <w:lang w:bidi="ar"/>
        </w:rPr>
        <w:t xml:space="preserve">特此承诺。 </w:t>
      </w:r>
    </w:p>
    <w:p>
      <w:pPr>
        <w:spacing w:line="480" w:lineRule="auto"/>
        <w:rPr>
          <w:rFonts w:ascii="仿宋_GB2312" w:hAnsi="仿宋_GB2312" w:eastAsia="仿宋_GB2312" w:cs="仿宋_GB2312"/>
        </w:rPr>
      </w:pPr>
    </w:p>
    <w:p>
      <w:pPr>
        <w:spacing w:line="480" w:lineRule="auto"/>
        <w:rPr>
          <w:rFonts w:ascii="仿宋_GB2312" w:hAnsi="仿宋_GB2312" w:eastAsia="仿宋_GB2312" w:cs="仿宋_GB2312"/>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widowControl/>
        <w:jc w:val="left"/>
        <w:rPr>
          <w:rFonts w:ascii="仿宋_GB2312" w:hAnsi="仿宋_GB2312" w:eastAsia="仿宋_GB2312" w:cs="仿宋_GB2312"/>
          <w:b/>
          <w:kern w:val="44"/>
          <w:sz w:val="44"/>
        </w:rPr>
      </w:pPr>
    </w:p>
    <w:p>
      <w:pPr>
        <w:pStyle w:val="2"/>
        <w:ind w:firstLine="883"/>
        <w:rPr>
          <w:rFonts w:ascii="仿宋_GB2312" w:hAnsi="仿宋_GB2312" w:eastAsia="仿宋_GB2312" w:cs="仿宋_GB2312"/>
          <w:b/>
          <w:kern w:val="44"/>
          <w:sz w:val="44"/>
        </w:rPr>
      </w:pPr>
    </w:p>
    <w:p>
      <w:pPr>
        <w:pStyle w:val="2"/>
        <w:ind w:firstLine="883"/>
        <w:rPr>
          <w:rFonts w:ascii="仿宋_GB2312" w:hAnsi="仿宋_GB2312" w:eastAsia="仿宋_GB2312" w:cs="仿宋_GB2312"/>
          <w:b/>
          <w:kern w:val="44"/>
          <w:sz w:val="44"/>
        </w:rPr>
      </w:pPr>
    </w:p>
    <w:p>
      <w:pPr>
        <w:pStyle w:val="2"/>
        <w:ind w:firstLine="883"/>
        <w:rPr>
          <w:rFonts w:ascii="仿宋_GB2312" w:hAnsi="仿宋_GB2312" w:eastAsia="仿宋_GB2312" w:cs="仿宋_GB2312"/>
          <w:b/>
          <w:kern w:val="44"/>
          <w:sz w:val="44"/>
        </w:rPr>
      </w:pPr>
    </w:p>
    <w:p>
      <w:pPr>
        <w:pStyle w:val="2"/>
        <w:ind w:firstLine="883"/>
        <w:rPr>
          <w:rFonts w:ascii="仿宋_GB2312" w:hAnsi="仿宋_GB2312" w:eastAsia="仿宋_GB2312" w:cs="仿宋_GB2312"/>
          <w:b/>
          <w:kern w:val="44"/>
          <w:sz w:val="44"/>
        </w:rPr>
      </w:pPr>
    </w:p>
    <w:p>
      <w:pPr>
        <w:pStyle w:val="2"/>
        <w:ind w:firstLine="883"/>
        <w:rPr>
          <w:rFonts w:ascii="仿宋_GB2312" w:hAnsi="仿宋_GB2312" w:eastAsia="仿宋_GB2312" w:cs="仿宋_GB2312"/>
          <w:b/>
          <w:kern w:val="44"/>
          <w:sz w:val="44"/>
        </w:rPr>
      </w:pPr>
    </w:p>
    <w:p>
      <w:pPr>
        <w:pStyle w:val="2"/>
        <w:ind w:firstLine="883"/>
        <w:rPr>
          <w:rFonts w:ascii="仿宋_GB2312" w:hAnsi="仿宋_GB2312" w:eastAsia="仿宋_GB2312" w:cs="仿宋_GB2312"/>
          <w:b/>
          <w:kern w:val="44"/>
          <w:sz w:val="44"/>
        </w:rPr>
      </w:pPr>
    </w:p>
    <w:p>
      <w:pPr>
        <w:pStyle w:val="2"/>
        <w:ind w:firstLine="883"/>
        <w:rPr>
          <w:rFonts w:ascii="仿宋_GB2312" w:hAnsi="仿宋_GB2312" w:eastAsia="仿宋_GB2312" w:cs="仿宋_GB2312"/>
          <w:b/>
          <w:kern w:val="44"/>
          <w:sz w:val="44"/>
        </w:rPr>
      </w:pPr>
    </w:p>
    <w:p>
      <w:pPr>
        <w:pStyle w:val="2"/>
        <w:ind w:firstLine="883"/>
        <w:rPr>
          <w:rFonts w:ascii="仿宋_GB2312" w:hAnsi="仿宋_GB2312" w:eastAsia="仿宋_GB2312" w:cs="仿宋_GB2312"/>
          <w:b/>
          <w:kern w:val="44"/>
          <w:sz w:val="44"/>
        </w:rPr>
      </w:pPr>
    </w:p>
    <w:p>
      <w:pPr>
        <w:pStyle w:val="2"/>
        <w:ind w:firstLine="883"/>
        <w:rPr>
          <w:rFonts w:ascii="仿宋_GB2312" w:hAnsi="仿宋_GB2312" w:eastAsia="仿宋_GB2312" w:cs="仿宋_GB2312"/>
          <w:b/>
          <w:kern w:val="44"/>
          <w:sz w:val="44"/>
        </w:rPr>
      </w:pPr>
    </w:p>
    <w:p>
      <w:pPr>
        <w:pStyle w:val="2"/>
        <w:ind w:firstLine="883"/>
        <w:rPr>
          <w:rFonts w:ascii="仿宋_GB2312" w:hAnsi="仿宋_GB2312" w:eastAsia="仿宋_GB2312" w:cs="仿宋_GB2312"/>
          <w:b/>
          <w:kern w:val="44"/>
          <w:sz w:val="44"/>
        </w:rPr>
      </w:pPr>
    </w:p>
    <w:p>
      <w:pPr>
        <w:pStyle w:val="2"/>
        <w:ind w:firstLine="883"/>
        <w:rPr>
          <w:rFonts w:ascii="仿宋_GB2312" w:hAnsi="仿宋_GB2312" w:eastAsia="仿宋_GB2312" w:cs="仿宋_GB2312"/>
          <w:b/>
          <w:kern w:val="44"/>
          <w:sz w:val="44"/>
        </w:rPr>
      </w:pPr>
    </w:p>
    <w:p>
      <w:pPr>
        <w:pStyle w:val="4"/>
        <w:snapToGrid w:val="0"/>
        <w:spacing w:before="319" w:beforeLines="100" w:after="319" w:afterLines="100" w:line="360" w:lineRule="auto"/>
        <w:rPr>
          <w:rFonts w:ascii="仿宋_GB2312" w:hAnsi="仿宋_GB2312" w:eastAsia="仿宋_GB2312" w:cs="仿宋_GB2312"/>
        </w:rPr>
      </w:pPr>
      <w:bookmarkStart w:id="163" w:name="_Toc17590"/>
    </w:p>
    <w:p>
      <w:pPr>
        <w:pStyle w:val="4"/>
        <w:snapToGrid w:val="0"/>
        <w:spacing w:before="319" w:beforeLines="100" w:after="319" w:afterLines="100" w:line="360" w:lineRule="auto"/>
        <w:rPr>
          <w:rFonts w:ascii="仿宋_GB2312" w:hAnsi="仿宋_GB2312" w:eastAsia="仿宋_GB2312" w:cs="仿宋_GB2312"/>
        </w:rPr>
      </w:pPr>
    </w:p>
    <w:p>
      <w:pPr>
        <w:pStyle w:val="4"/>
        <w:snapToGrid w:val="0"/>
        <w:spacing w:before="319" w:beforeLines="100" w:after="319" w:afterLines="100" w:line="360" w:lineRule="auto"/>
        <w:rPr>
          <w:rFonts w:ascii="仿宋_GB2312" w:hAnsi="仿宋_GB2312" w:eastAsia="仿宋_GB2312" w:cs="仿宋_GB2312"/>
        </w:rPr>
      </w:pPr>
      <w:r>
        <w:rPr>
          <w:rFonts w:hint="eastAsia" w:ascii="仿宋_GB2312" w:hAnsi="仿宋_GB2312" w:eastAsia="仿宋_GB2312" w:cs="仿宋_GB2312"/>
        </w:rPr>
        <w:t>第三章 货物需求</w:t>
      </w:r>
      <w:bookmarkEnd w:id="162"/>
      <w:bookmarkEnd w:id="163"/>
    </w:p>
    <w:p>
      <w:pPr>
        <w:adjustRightInd w:val="0"/>
        <w:snapToGrid w:val="0"/>
        <w:ind w:right="105" w:rightChars="50"/>
        <w:jc w:val="center"/>
        <w:rPr>
          <w:rFonts w:ascii="仿宋_GB2312" w:hAnsi="仿宋_GB2312" w:eastAsia="仿宋_GB2312" w:cs="仿宋_GB2312"/>
          <w:b/>
          <w:bCs/>
          <w:sz w:val="32"/>
          <w:szCs w:val="32"/>
        </w:rPr>
      </w:pPr>
      <w:r>
        <w:rPr>
          <w:rFonts w:hint="eastAsia" w:ascii="仿宋_GB2312" w:hAnsi="仿宋_GB2312" w:eastAsia="仿宋_GB2312" w:cs="仿宋_GB2312"/>
          <w:b/>
          <w:bCs/>
          <w:szCs w:val="21"/>
        </w:rPr>
        <w:t xml:space="preserve">    </w:t>
      </w:r>
      <w:r>
        <w:rPr>
          <w:rFonts w:hint="eastAsia" w:ascii="仿宋_GB2312" w:hAnsi="仿宋_GB2312" w:eastAsia="仿宋_GB2312" w:cs="仿宋_GB2312"/>
          <w:szCs w:val="21"/>
        </w:rPr>
        <w:t>详见格式13技术规格偏离表和格式14 商务条款偏离表</w:t>
      </w:r>
    </w:p>
    <w:p>
      <w:pPr>
        <w:rPr>
          <w:rFonts w:ascii="仿宋_GB2312" w:hAnsi="仿宋_GB2312" w:eastAsia="仿宋_GB2312" w:cs="仿宋_GB2312"/>
          <w:szCs w:val="21"/>
        </w:rPr>
      </w:pPr>
    </w:p>
    <w:p>
      <w:pPr>
        <w:spacing w:line="360" w:lineRule="auto"/>
        <w:rPr>
          <w:rFonts w:ascii="仿宋_GB2312" w:hAnsi="仿宋_GB2312" w:eastAsia="仿宋_GB2312" w:cs="仿宋_GB2312"/>
          <w:szCs w:val="21"/>
        </w:rPr>
      </w:pPr>
    </w:p>
    <w:p>
      <w:pPr>
        <w:spacing w:line="360" w:lineRule="auto"/>
        <w:rPr>
          <w:rFonts w:ascii="仿宋_GB2312" w:hAnsi="仿宋_GB2312" w:eastAsia="仿宋_GB2312" w:cs="仿宋_GB2312"/>
        </w:rPr>
      </w:pPr>
    </w:p>
    <w:p>
      <w:pPr>
        <w:widowControl/>
        <w:jc w:val="left"/>
        <w:rPr>
          <w:rFonts w:ascii="仿宋_GB2312" w:hAnsi="仿宋_GB2312" w:eastAsia="仿宋_GB2312" w:cs="仿宋_GB2312"/>
          <w:b/>
          <w:kern w:val="44"/>
          <w:sz w:val="44"/>
        </w:rPr>
      </w:pPr>
      <w:bookmarkStart w:id="164" w:name="_Toc2821_WPSOffice_Level1"/>
    </w:p>
    <w:p>
      <w:pPr>
        <w:pStyle w:val="4"/>
        <w:snapToGrid w:val="0"/>
        <w:spacing w:before="319" w:beforeLines="100" w:after="319" w:afterLines="100" w:line="360" w:lineRule="auto"/>
        <w:rPr>
          <w:rFonts w:ascii="仿宋_GB2312" w:hAnsi="仿宋_GB2312" w:eastAsia="仿宋_GB2312" w:cs="仿宋_GB2312"/>
        </w:rPr>
      </w:pPr>
      <w:r>
        <w:rPr>
          <w:rFonts w:hint="eastAsia" w:ascii="仿宋_GB2312" w:hAnsi="仿宋_GB2312" w:eastAsia="仿宋_GB2312" w:cs="仿宋_GB2312"/>
        </w:rPr>
        <w:br w:type="page"/>
      </w:r>
      <w:bookmarkStart w:id="165" w:name="_Toc25237"/>
      <w:r>
        <w:rPr>
          <w:rFonts w:hint="eastAsia" w:ascii="仿宋_GB2312" w:hAnsi="仿宋_GB2312" w:eastAsia="仿宋_GB2312" w:cs="仿宋_GB2312"/>
        </w:rPr>
        <w:t>第四章 评标方法</w:t>
      </w:r>
      <w:bookmarkEnd w:id="164"/>
      <w:bookmarkEnd w:id="165"/>
    </w:p>
    <w:p>
      <w:pPr>
        <w:adjustRightInd w:val="0"/>
        <w:snapToGrid w:val="0"/>
        <w:spacing w:line="360" w:lineRule="auto"/>
        <w:ind w:firstLine="420" w:firstLineChars="200"/>
        <w:rPr>
          <w:rFonts w:ascii="仿宋_GB2312" w:hAnsi="仿宋_GB2312" w:eastAsia="仿宋_GB2312" w:cs="仿宋_GB2312"/>
          <w:b/>
          <w:kern w:val="0"/>
          <w:szCs w:val="21"/>
        </w:rPr>
      </w:pPr>
      <w:r>
        <w:rPr>
          <w:rFonts w:hint="eastAsia" w:ascii="仿宋_GB2312" w:hAnsi="仿宋_GB2312" w:eastAsia="仿宋_GB2312" w:cs="仿宋_GB2312"/>
          <w:bCs/>
          <w:kern w:val="0"/>
          <w:szCs w:val="21"/>
        </w:rPr>
        <w:t>本项目将按照招标文件第一章投标人须知中“六 开标及评标”、“七 确定中标”及本章的规定评标。</w:t>
      </w:r>
    </w:p>
    <w:p>
      <w:pPr>
        <w:adjustRightInd w:val="0"/>
        <w:snapToGrid w:val="0"/>
        <w:spacing w:line="360" w:lineRule="auto"/>
        <w:ind w:firstLine="420" w:firstLineChars="200"/>
        <w:rPr>
          <w:rFonts w:ascii="仿宋_GB2312" w:hAnsi="仿宋_GB2312" w:eastAsia="仿宋_GB2312" w:cs="仿宋_GB2312"/>
          <w:b/>
          <w:kern w:val="0"/>
          <w:szCs w:val="21"/>
        </w:rPr>
      </w:pPr>
      <w:bookmarkStart w:id="166" w:name="_Toc22313_WPSOffice_Level2"/>
      <w:r>
        <w:rPr>
          <w:rFonts w:hint="eastAsia" w:ascii="仿宋_GB2312" w:hAnsi="仿宋_GB2312" w:eastAsia="仿宋_GB2312" w:cs="仿宋_GB2312"/>
          <w:b/>
          <w:kern w:val="0"/>
          <w:szCs w:val="21"/>
        </w:rPr>
        <w:t>一、评标方法</w:t>
      </w:r>
      <w:bookmarkEnd w:id="166"/>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本项目采用</w:t>
      </w:r>
      <w:r>
        <w:rPr>
          <w:rFonts w:hint="eastAsia" w:ascii="仿宋_GB2312" w:hAnsi="仿宋_GB2312" w:eastAsia="仿宋_GB2312" w:cs="仿宋_GB2312"/>
          <w:kern w:val="0"/>
          <w:szCs w:val="21"/>
          <w:u w:val="single"/>
        </w:rPr>
        <w:t>综合评分法</w:t>
      </w:r>
      <w:r>
        <w:rPr>
          <w:rFonts w:hint="eastAsia" w:ascii="仿宋_GB2312" w:hAnsi="仿宋_GB2312" w:eastAsia="仿宋_GB2312" w:cs="仿宋_GB2312"/>
          <w:kern w:val="0"/>
          <w:szCs w:val="21"/>
        </w:rPr>
        <w:t>进行评标。</w:t>
      </w:r>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bookmarkStart w:id="167" w:name="_Toc21368_WPSOffice_Level2"/>
      <w:r>
        <w:rPr>
          <w:rFonts w:hint="eastAsia" w:ascii="仿宋_GB2312" w:hAnsi="仿宋_GB2312" w:eastAsia="仿宋_GB2312" w:cs="仿宋_GB2312"/>
          <w:b/>
          <w:kern w:val="0"/>
          <w:szCs w:val="21"/>
        </w:rPr>
        <w:t>二、评标原则及程序</w:t>
      </w:r>
      <w:bookmarkEnd w:id="167"/>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（一）评标原则</w:t>
      </w:r>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（二）评标程序</w:t>
      </w:r>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★1、资格审查</w:t>
      </w:r>
    </w:p>
    <w:p>
      <w:pPr>
        <w:adjustRightInd w:val="0"/>
        <w:snapToGrid w:val="0"/>
        <w:spacing w:line="360" w:lineRule="auto"/>
        <w:ind w:firstLine="420" w:firstLineChars="200"/>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1.1详见投标人须知22条。资格审查表详见本章附件1。</w:t>
      </w:r>
    </w:p>
    <w:p>
      <w:pPr>
        <w:adjustRightInd w:val="0"/>
        <w:snapToGrid w:val="0"/>
        <w:spacing w:line="360" w:lineRule="auto"/>
        <w:ind w:firstLine="420"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hint="eastAsia" w:ascii="仿宋_GB2312" w:hAnsi="仿宋_GB2312" w:eastAsia="仿宋_GB2312" w:cs="仿宋_GB2312"/>
          <w:b/>
          <w:bCs/>
          <w:kern w:val="0"/>
          <w:szCs w:val="21"/>
        </w:rPr>
        <w:t>2、符合性审查</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2.1详见投标人须知23条。符合性审查表详见本章附件2。</w:t>
      </w:r>
    </w:p>
    <w:p>
      <w:pPr>
        <w:adjustRightInd w:val="0"/>
        <w:snapToGrid w:val="0"/>
        <w:spacing w:line="360" w:lineRule="auto"/>
        <w:ind w:firstLine="420"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3、样品及演示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3.1</w:t>
      </w:r>
      <w:r>
        <w:rPr>
          <w:rFonts w:hint="eastAsia" w:ascii="仿宋_GB2312" w:hAnsi="仿宋_GB2312" w:eastAsia="仿宋_GB2312" w:cs="仿宋_GB2312"/>
          <w:kern w:val="0"/>
          <w:szCs w:val="21"/>
        </w:rPr>
        <w:t>投标人须知表11.3条</w:t>
      </w:r>
      <w:r>
        <w:rPr>
          <w:rFonts w:hint="eastAsia" w:ascii="仿宋_GB2312" w:hAnsi="仿宋_GB2312" w:eastAsia="仿宋_GB2312" w:cs="仿宋_GB2312"/>
          <w:szCs w:val="21"/>
        </w:rPr>
        <w:t>中要求投标人提供样品或演示的，按照</w:t>
      </w:r>
      <w:r>
        <w:rPr>
          <w:rFonts w:hint="eastAsia" w:ascii="仿宋_GB2312" w:hAnsi="仿宋_GB2312" w:eastAsia="仿宋_GB2312" w:cs="仿宋_GB2312"/>
          <w:kern w:val="0"/>
          <w:szCs w:val="21"/>
        </w:rPr>
        <w:t>投标人须知表25.1条</w:t>
      </w:r>
      <w:r>
        <w:rPr>
          <w:rFonts w:hint="eastAsia" w:ascii="仿宋_GB2312" w:hAnsi="仿宋_GB2312" w:eastAsia="仿宋_GB2312" w:cs="仿宋_GB2312"/>
          <w:szCs w:val="21"/>
        </w:rPr>
        <w:t>中确定的评审方法以及评审标准进行评审。(样品或演示属于符合性审查的，按照</w:t>
      </w:r>
      <w:r>
        <w:rPr>
          <w:rFonts w:hint="eastAsia" w:ascii="仿宋_GB2312" w:hAnsi="仿宋_GB2312" w:eastAsia="仿宋_GB2312" w:cs="仿宋_GB2312"/>
          <w:kern w:val="0"/>
          <w:szCs w:val="21"/>
        </w:rPr>
        <w:t>投标人须知23条</w:t>
      </w:r>
      <w:r>
        <w:rPr>
          <w:rFonts w:hint="eastAsia" w:ascii="仿宋_GB2312" w:hAnsi="仿宋_GB2312" w:eastAsia="仿宋_GB2312" w:cs="仿宋_GB2312"/>
          <w:szCs w:val="21"/>
        </w:rPr>
        <w:t>规定执行）</w:t>
      </w:r>
    </w:p>
    <w:p>
      <w:pPr>
        <w:adjustRightInd w:val="0"/>
        <w:snapToGrid w:val="0"/>
        <w:spacing w:line="360" w:lineRule="auto"/>
        <w:ind w:firstLine="420"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★4</w:t>
      </w:r>
      <w:r>
        <w:rPr>
          <w:rFonts w:hint="eastAsia" w:ascii="仿宋_GB2312" w:hAnsi="仿宋_GB2312" w:eastAsia="仿宋_GB2312" w:cs="仿宋_GB2312"/>
          <w:b/>
          <w:bCs/>
          <w:kern w:val="0"/>
          <w:szCs w:val="21"/>
        </w:rPr>
        <w:t>、同一品牌产品</w:t>
      </w:r>
    </w:p>
    <w:p>
      <w:pPr>
        <w:adjustRightInd w:val="0"/>
        <w:snapToGrid w:val="0"/>
        <w:spacing w:line="360" w:lineRule="auto"/>
        <w:ind w:firstLine="420" w:firstLineChars="200"/>
        <w:rPr>
          <w:rFonts w:ascii="仿宋_GB2312" w:hAnsi="仿宋_GB2312" w:eastAsia="仿宋_GB2312" w:cs="仿宋_GB2312"/>
          <w:b/>
          <w:bCs/>
          <w:szCs w:val="21"/>
        </w:rPr>
      </w:pPr>
      <w:r>
        <w:rPr>
          <w:rFonts w:hint="eastAsia" w:ascii="仿宋_GB2312" w:hAnsi="仿宋_GB2312" w:eastAsia="仿宋_GB2312" w:cs="仿宋_GB2312"/>
          <w:szCs w:val="21"/>
        </w:rPr>
        <w:t>4.1通过资格审查、符合性审查的不同品牌投标人不足3家的，按照</w:t>
      </w:r>
      <w:r>
        <w:rPr>
          <w:rFonts w:hint="eastAsia" w:ascii="仿宋_GB2312" w:hAnsi="仿宋_GB2312" w:eastAsia="仿宋_GB2312" w:cs="仿宋_GB2312"/>
          <w:kern w:val="0"/>
          <w:szCs w:val="21"/>
        </w:rPr>
        <w:t>投标人须知28条第（1）款</w:t>
      </w:r>
      <w:r>
        <w:rPr>
          <w:rFonts w:hint="eastAsia" w:ascii="仿宋_GB2312" w:hAnsi="仿宋_GB2312" w:eastAsia="仿宋_GB2312" w:cs="仿宋_GB2312"/>
          <w:szCs w:val="21"/>
        </w:rPr>
        <w:t>执行</w:t>
      </w:r>
      <w:r>
        <w:rPr>
          <w:rFonts w:hint="eastAsia" w:ascii="仿宋_GB2312" w:hAnsi="仿宋_GB2312" w:eastAsia="仿宋_GB2312" w:cs="仿宋_GB2312"/>
          <w:kern w:val="0"/>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4.2提供相同品牌产品且通过资格审查、符合性审查的不同投标人，按一家投标人计算。</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4.3如一个分包内只有一种产品，不同投标人所投产品为同一品牌的，按如下方式处理：</w:t>
      </w:r>
    </w:p>
    <w:p>
      <w:pPr>
        <w:numPr>
          <w:ilvl w:val="0"/>
          <w:numId w:val="3"/>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如本项目使用最低评标价法，提供相同品牌产品的不同投标人以其中通过资格审查、符合性审查且报价最低的参加比较及评价；报价相同的，按</w:t>
      </w:r>
      <w:r>
        <w:rPr>
          <w:rFonts w:hint="eastAsia" w:ascii="仿宋_GB2312" w:hAnsi="仿宋_GB2312" w:eastAsia="仿宋_GB2312" w:cs="仿宋_GB2312"/>
          <w:kern w:val="0"/>
          <w:szCs w:val="21"/>
        </w:rPr>
        <w:t>本章第8条</w:t>
      </w:r>
      <w:r>
        <w:rPr>
          <w:rFonts w:hint="eastAsia" w:ascii="仿宋_GB2312" w:hAnsi="仿宋_GB2312" w:eastAsia="仿宋_GB2312" w:cs="仿宋_GB2312"/>
          <w:szCs w:val="21"/>
        </w:rPr>
        <w:t>“推荐中标候选人的原则”规定执行；未规定的采取随机抽取方式确定，其他</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4.4如一个分包内包含多种产品的，采购人或采购代理机构将在招标文件中载明核心产品，多家投标人提供的核心产品品牌相同的，</w:t>
      </w:r>
      <w:r>
        <w:rPr>
          <w:rFonts w:hint="eastAsia" w:ascii="仿宋_GB2312" w:hAnsi="仿宋_GB2312" w:eastAsia="仿宋_GB2312" w:cs="仿宋_GB2312"/>
          <w:kern w:val="0"/>
          <w:szCs w:val="21"/>
        </w:rPr>
        <w:t>按本章第4.3条规定处理。</w:t>
      </w:r>
    </w:p>
    <w:p>
      <w:pPr>
        <w:adjustRightInd w:val="0"/>
        <w:snapToGrid w:val="0"/>
        <w:spacing w:line="360" w:lineRule="auto"/>
        <w:ind w:firstLine="420"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★5</w:t>
      </w:r>
      <w:r>
        <w:rPr>
          <w:rFonts w:hint="eastAsia" w:ascii="仿宋_GB2312" w:hAnsi="仿宋_GB2312" w:eastAsia="仿宋_GB2312" w:cs="仿宋_GB2312"/>
          <w:b/>
          <w:bCs/>
          <w:kern w:val="0"/>
          <w:szCs w:val="21"/>
        </w:rPr>
        <w:t>、比较及评价</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5.1评标委员会对通过符合性审查的投标文件进行比较和评价。</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5.2在评标期间，对投标文件的澄清按投标人须知24条内容执行。</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5.3评标委员会认为投标人的报价明显低于其他通过符合性审查的投标人报价，有可能影响产品质量或者不能诚信履约的，评标委员会应当要求其在评标现场合理的时间（</w:t>
      </w:r>
      <w:r>
        <w:rPr>
          <w:rFonts w:hint="eastAsia" w:ascii="仿宋_GB2312" w:hAnsi="仿宋_GB2312" w:eastAsia="仿宋_GB2312" w:cs="仿宋_GB2312"/>
          <w:kern w:val="0"/>
          <w:szCs w:val="21"/>
        </w:rPr>
        <w:t>接到通知后</w:t>
      </w:r>
      <w:r>
        <w:rPr>
          <w:rFonts w:hint="eastAsia" w:ascii="仿宋_GB2312" w:hAnsi="仿宋_GB2312" w:eastAsia="仿宋_GB2312" w:cs="仿宋_GB2312"/>
          <w:kern w:val="0"/>
          <w:szCs w:val="21"/>
          <w:u w:val="single"/>
        </w:rPr>
        <w:t>0.5</w:t>
      </w:r>
      <w:r>
        <w:rPr>
          <w:rFonts w:hint="eastAsia" w:ascii="仿宋_GB2312" w:hAnsi="仿宋_GB2312" w:eastAsia="仿宋_GB2312" w:cs="仿宋_GB2312"/>
          <w:kern w:val="0"/>
          <w:szCs w:val="21"/>
        </w:rPr>
        <w:t>小时</w:t>
      </w:r>
      <w:r>
        <w:rPr>
          <w:rFonts w:hint="eastAsia" w:ascii="仿宋_GB2312" w:hAnsi="仿宋_GB2312" w:eastAsia="仿宋_GB2312" w:cs="仿宋_GB2312"/>
          <w:szCs w:val="21"/>
        </w:rPr>
        <w:t>）内提供书面说明，并提交相关证明材料，</w:t>
      </w:r>
      <w:r>
        <w:rPr>
          <w:rFonts w:hint="eastAsia" w:ascii="仿宋_GB2312" w:hAnsi="仿宋_GB2312" w:eastAsia="仿宋_GB2312" w:cs="仿宋_GB2312"/>
          <w:kern w:val="0"/>
          <w:szCs w:val="21"/>
        </w:rPr>
        <w:t>投标人不能证明其报价合理性的，评标委员会应当将</w:t>
      </w:r>
      <w:r>
        <w:rPr>
          <w:rFonts w:hint="eastAsia" w:ascii="仿宋_GB2312" w:hAnsi="仿宋_GB2312" w:eastAsia="仿宋_GB2312" w:cs="仿宋_GB2312"/>
          <w:szCs w:val="21"/>
        </w:rPr>
        <w:t>其投标作为</w:t>
      </w:r>
      <w:r>
        <w:rPr>
          <w:rFonts w:hint="eastAsia" w:ascii="仿宋_GB2312" w:hAnsi="仿宋_GB2312" w:eastAsia="仿宋_GB2312" w:cs="仿宋_GB2312"/>
          <w:b/>
          <w:bCs/>
          <w:szCs w:val="21"/>
        </w:rPr>
        <w:t>无效投标处理</w:t>
      </w:r>
      <w:r>
        <w:rPr>
          <w:rFonts w:hint="eastAsia" w:ascii="仿宋_GB2312" w:hAnsi="仿宋_GB2312" w:eastAsia="仿宋_GB2312" w:cs="仿宋_GB2312"/>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投标人的书面说明材料包含货物本身成本、人工费用、运输、税收等，以及报价不会影响产品质量或诚信履约能力的说明等。</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投标人的书面说明应当签字确认或者加盖公章，否则无效。书面说明的签字确认，由其法定代表人（非法人单位负责人或自然人本人）或者其授权代表签字确认。</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pPr>
        <w:numPr>
          <w:ilvl w:val="0"/>
          <w:numId w:val="4"/>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拒绝或者变相拒绝提供有效书面说明；</w:t>
      </w:r>
    </w:p>
    <w:p>
      <w:pPr>
        <w:numPr>
          <w:ilvl w:val="0"/>
          <w:numId w:val="4"/>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书面说明不能证明其报价合理性的；</w:t>
      </w:r>
    </w:p>
    <w:p>
      <w:pPr>
        <w:numPr>
          <w:ilvl w:val="0"/>
          <w:numId w:val="4"/>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未在规定时间内递交有效书面说明书的。</w:t>
      </w:r>
    </w:p>
    <w:p>
      <w:pPr>
        <w:adjustRightInd w:val="0"/>
        <w:snapToGrid w:val="0"/>
        <w:spacing w:line="360" w:lineRule="auto"/>
        <w:ind w:firstLine="420"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★6</w:t>
      </w:r>
      <w:r>
        <w:rPr>
          <w:rFonts w:hint="eastAsia" w:ascii="仿宋_GB2312" w:hAnsi="仿宋_GB2312" w:eastAsia="仿宋_GB2312" w:cs="仿宋_GB2312"/>
          <w:b/>
          <w:bCs/>
          <w:kern w:val="0"/>
          <w:szCs w:val="21"/>
        </w:rPr>
        <w:t>、需落实的政府采购政策性规定：</w:t>
      </w:r>
    </w:p>
    <w:p>
      <w:pPr>
        <w:adjustRightInd w:val="0"/>
        <w:snapToGrid w:val="0"/>
        <w:spacing w:line="360" w:lineRule="auto"/>
        <w:ind w:firstLine="420"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6.1对于中小微企业的相关规定</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6.1.1对于非专门面向中小企业的项目，在满足价格扣除条件且在投标文件中按要求提交了《中小企业声明函》</w:t>
      </w:r>
      <w:bookmarkStart w:id="258" w:name="_GoBack"/>
      <w:bookmarkEnd w:id="258"/>
      <w:r>
        <w:rPr>
          <w:rFonts w:hint="eastAsia" w:ascii="仿宋_GB2312" w:hAnsi="仿宋_GB2312" w:eastAsia="仿宋_GB2312" w:cs="仿宋_GB2312"/>
          <w:kern w:val="0"/>
          <w:szCs w:val="21"/>
        </w:rPr>
        <w:t>的，</w:t>
      </w:r>
      <w:r>
        <w:rPr>
          <w:rFonts w:hint="eastAsia" w:ascii="仿宋_GB2312" w:hAnsi="仿宋_GB2312" w:eastAsia="仿宋_GB2312" w:cs="仿宋_GB2312"/>
          <w:szCs w:val="21"/>
        </w:rPr>
        <w:t>对投标报价给予价格扣除，用扣除后的价格参与评审。投标报价扣除比例如下：</w:t>
      </w:r>
    </w:p>
    <w:p>
      <w:pPr>
        <w:adjustRightInd w:val="0"/>
        <w:snapToGrid w:val="0"/>
        <w:spacing w:line="360" w:lineRule="auto"/>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（1）非联合体投标</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 xml:space="preserve">       小型和微型企业相应产品、服务投标报价的</w:t>
      </w:r>
      <w:r>
        <w:rPr>
          <w:rFonts w:hint="eastAsia" w:ascii="仿宋_GB2312" w:hAnsi="仿宋_GB2312" w:eastAsia="仿宋_GB2312" w:cs="仿宋_GB2312"/>
          <w:kern w:val="0"/>
          <w:szCs w:val="21"/>
          <w:u w:val="single"/>
        </w:rPr>
        <w:t xml:space="preserve">   10%   </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6-10%）</w:t>
      </w:r>
    </w:p>
    <w:p>
      <w:pPr>
        <w:adjustRightInd w:val="0"/>
        <w:snapToGrid w:val="0"/>
        <w:spacing w:line="360" w:lineRule="auto"/>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（2）联合体投标</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Pr>
          <w:rFonts w:hint="eastAsia" w:ascii="仿宋_GB2312" w:hAnsi="仿宋_GB2312" w:eastAsia="仿宋_GB2312" w:cs="仿宋_GB2312"/>
          <w:kern w:val="0"/>
          <w:szCs w:val="21"/>
          <w:u w:val="single"/>
        </w:rPr>
        <w:t xml:space="preserve">   2%   </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2-3%）。</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6.1.2监狱企业视同小型、微型企业，在满足价格扣除条件且在投标文件中按要求提交了省级以上监狱管理局、戒毒管理局（含新疆生产建设兵团）出具的属于监狱企业的证明文件的，对其投标报价按本章6.1.1条款的比例予以扣除，</w:t>
      </w:r>
      <w:r>
        <w:rPr>
          <w:rFonts w:hint="eastAsia" w:ascii="仿宋_GB2312" w:hAnsi="仿宋_GB2312" w:eastAsia="仿宋_GB2312" w:cs="仿宋_GB2312"/>
          <w:kern w:val="0"/>
          <w:szCs w:val="21"/>
        </w:rPr>
        <w:t>用扣除后的价格参与评审</w:t>
      </w:r>
      <w:r>
        <w:rPr>
          <w:rFonts w:hint="eastAsia" w:ascii="仿宋_GB2312" w:hAnsi="仿宋_GB2312" w:eastAsia="仿宋_GB2312" w:cs="仿宋_GB2312"/>
          <w:szCs w:val="21"/>
        </w:rPr>
        <w:t>。</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b/>
          <w:kern w:val="0"/>
          <w:szCs w:val="21"/>
        </w:rPr>
        <w:t>6.1.3</w:t>
      </w:r>
      <w:r>
        <w:rPr>
          <w:rFonts w:hint="eastAsia" w:ascii="仿宋_GB2312" w:hAnsi="仿宋_GB2312" w:eastAsia="仿宋_GB2312" w:cs="仿宋_GB2312"/>
          <w:szCs w:val="21"/>
        </w:rPr>
        <w:t>残疾人福利性单位视同小型、微型企业，在满足价格扣除条件且在</w:t>
      </w:r>
      <w:r>
        <w:rPr>
          <w:rFonts w:hint="eastAsia" w:ascii="仿宋_GB2312" w:hAnsi="仿宋_GB2312" w:eastAsia="仿宋_GB2312" w:cs="仿宋_GB2312"/>
          <w:kern w:val="0"/>
          <w:szCs w:val="21"/>
        </w:rPr>
        <w:t>投标文件中提供了《残疾人福利性单位声明函》的，</w:t>
      </w:r>
      <w:r>
        <w:rPr>
          <w:rFonts w:hint="eastAsia" w:ascii="仿宋_GB2312" w:hAnsi="仿宋_GB2312" w:eastAsia="仿宋_GB2312" w:cs="仿宋_GB2312"/>
          <w:szCs w:val="21"/>
        </w:rPr>
        <w:t>对其投标报价按本章6.1.1条款的比例予以扣除</w:t>
      </w:r>
      <w:r>
        <w:rPr>
          <w:rFonts w:hint="eastAsia" w:ascii="仿宋_GB2312" w:hAnsi="仿宋_GB2312" w:eastAsia="仿宋_GB2312" w:cs="仿宋_GB2312"/>
          <w:kern w:val="0"/>
          <w:szCs w:val="21"/>
        </w:rPr>
        <w:t>，用扣除后的价格参与评审。</w:t>
      </w:r>
    </w:p>
    <w:p>
      <w:pPr>
        <w:adjustRightInd w:val="0"/>
        <w:snapToGrid w:val="0"/>
        <w:spacing w:line="360" w:lineRule="auto"/>
        <w:ind w:firstLine="420" w:firstLineChars="200"/>
        <w:rPr>
          <w:rFonts w:ascii="仿宋_GB2312" w:hAnsi="仿宋_GB2312" w:eastAsia="仿宋_GB2312" w:cs="仿宋_GB2312"/>
          <w:b/>
          <w:szCs w:val="21"/>
        </w:rPr>
      </w:pPr>
      <w:r>
        <w:rPr>
          <w:rFonts w:hint="eastAsia" w:ascii="仿宋_GB2312" w:hAnsi="仿宋_GB2312" w:eastAsia="仿宋_GB2312" w:cs="仿宋_GB2312"/>
          <w:b/>
          <w:szCs w:val="21"/>
        </w:rPr>
        <w:t>6.1.4残疾人福利性单位属于小型、微型企业的，不重复享受政策。</w:t>
      </w:r>
    </w:p>
    <w:p>
      <w:pPr>
        <w:adjustRightInd w:val="0"/>
        <w:snapToGrid w:val="0"/>
        <w:spacing w:line="360" w:lineRule="auto"/>
        <w:ind w:firstLine="420"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6.2对于节能产品、环境标志产品的相关规定</w:t>
      </w:r>
    </w:p>
    <w:p>
      <w:pPr>
        <w:numPr>
          <w:ilvl w:val="0"/>
          <w:numId w:val="5"/>
        </w:num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节能产品或环境标志产品，依据品目清单和认证证书实施政府优先采购。</w:t>
      </w:r>
      <w:r>
        <w:rPr>
          <w:rFonts w:hint="eastAsia" w:ascii="仿宋_GB2312" w:hAnsi="仿宋_GB2312" w:eastAsia="仿宋_GB2312" w:cs="仿宋_GB2312"/>
        </w:rPr>
        <w:t>供应商</w:t>
      </w:r>
      <w:r>
        <w:rPr>
          <w:rFonts w:hint="eastAsia" w:ascii="仿宋_GB2312" w:hAnsi="仿宋_GB2312" w:eastAsia="仿宋_GB2312" w:cs="仿宋_GB2312"/>
          <w:szCs w:val="21"/>
        </w:rPr>
        <w:t>应能够提供国家确定的认证机构出具的、处于有效期之内的节能产品、环境标志产品认证证书，方可对获得证书的产品优先推荐。</w:t>
      </w:r>
    </w:p>
    <w:p>
      <w:pPr>
        <w:adjustRightInd w:val="0"/>
        <w:snapToGrid w:val="0"/>
        <w:spacing w:line="360" w:lineRule="auto"/>
        <w:ind w:firstLine="630" w:firstLineChars="3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采用最低评标价法的，</w:t>
      </w:r>
      <w:r>
        <w:rPr>
          <w:rFonts w:hint="eastAsia" w:ascii="仿宋_GB2312" w:hAnsi="仿宋_GB2312" w:eastAsia="仿宋_GB2312" w:cs="仿宋_GB2312"/>
          <w:szCs w:val="21"/>
        </w:rPr>
        <w:t>对</w:t>
      </w:r>
      <w:r>
        <w:rPr>
          <w:rFonts w:hint="eastAsia" w:ascii="仿宋_GB2312" w:hAnsi="仿宋_GB2312" w:eastAsia="仿宋_GB2312" w:cs="仿宋_GB2312"/>
          <w:kern w:val="0"/>
          <w:szCs w:val="21"/>
        </w:rPr>
        <w:t>清单中投标产品的报价</w:t>
      </w:r>
      <w:r>
        <w:rPr>
          <w:rFonts w:hint="eastAsia" w:ascii="仿宋_GB2312" w:hAnsi="仿宋_GB2312" w:eastAsia="仿宋_GB2312" w:cs="仿宋_GB2312"/>
          <w:szCs w:val="21"/>
        </w:rPr>
        <w:t>给予价格扣除，用扣除后的价格参与评审。报价扣除比例为</w:t>
      </w:r>
      <w:r>
        <w:rPr>
          <w:rFonts w:hint="eastAsia" w:ascii="仿宋_GB2312" w:hAnsi="仿宋_GB2312" w:eastAsia="仿宋_GB2312" w:cs="仿宋_GB2312"/>
          <w:kern w:val="0"/>
          <w:szCs w:val="21"/>
        </w:rPr>
        <w:t>清单中产品报价的</w:t>
      </w:r>
      <w:r>
        <w:rPr>
          <w:rFonts w:hint="eastAsia" w:ascii="仿宋_GB2312" w:hAnsi="仿宋_GB2312" w:eastAsia="仿宋_GB2312" w:cs="仿宋_GB2312"/>
          <w:szCs w:val="21"/>
          <w:u w:val="single"/>
        </w:rPr>
        <w:t xml:space="preserve">  3 </w:t>
      </w:r>
      <w:r>
        <w:rPr>
          <w:rFonts w:hint="eastAsia" w:ascii="仿宋_GB2312" w:hAnsi="仿宋_GB2312" w:eastAsia="仿宋_GB2312" w:cs="仿宋_GB2312"/>
          <w:szCs w:val="21"/>
        </w:rPr>
        <w:t xml:space="preserve"> %。</w:t>
      </w:r>
    </w:p>
    <w:p>
      <w:pPr>
        <w:adjustRightInd w:val="0"/>
        <w:snapToGrid w:val="0"/>
        <w:spacing w:line="360" w:lineRule="auto"/>
        <w:ind w:firstLine="630" w:firstLineChars="3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采用综合评分法评标的项目，对清单中产品给予相应的加分。（详见评分细则）</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（2）供应商应同时提供品目清单网络截图，并以明确标注所报产品信息和位置的方式，用以方便评审。</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（3）认证机构和获证产品信息发布媒体：详见中国政府采购网（www.ccgp.gov.cn）建立的与认证结果信息发布平台的链接。</w:t>
      </w:r>
    </w:p>
    <w:p>
      <w:pPr>
        <w:adjustRightInd w:val="0"/>
        <w:spacing w:line="360" w:lineRule="auto"/>
        <w:ind w:firstLine="420" w:firstLineChars="200"/>
        <w:jc w:val="left"/>
        <w:rPr>
          <w:rFonts w:ascii="仿宋_GB2312" w:hAnsi="仿宋_GB2312" w:eastAsia="仿宋_GB2312" w:cs="仿宋_GB2312"/>
          <w:b/>
          <w:bCs/>
          <w:szCs w:val="21"/>
        </w:rPr>
      </w:pPr>
      <w:r>
        <w:rPr>
          <w:rFonts w:hint="eastAsia" w:ascii="仿宋_GB2312" w:hAnsi="仿宋_GB2312" w:eastAsia="仿宋_GB2312" w:cs="仿宋_GB2312"/>
          <w:b/>
          <w:bCs/>
          <w:szCs w:val="21"/>
        </w:rPr>
        <w:t>6.3对于列入《辽宁省创新产品和服务目录》内的产品、服务的相关规定</w:t>
      </w:r>
    </w:p>
    <w:p>
      <w:pPr>
        <w:adjustRightIn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采用最低评标价法的：对列入《辽宁省创新产品和服务目录》内的投标产品、服务给予其投标报价</w:t>
      </w:r>
      <w:r>
        <w:rPr>
          <w:rFonts w:hint="eastAsia" w:ascii="仿宋_GB2312" w:hAnsi="仿宋_GB2312" w:eastAsia="仿宋_GB2312" w:cs="仿宋_GB2312"/>
          <w:szCs w:val="21"/>
          <w:u w:val="single"/>
        </w:rPr>
        <w:t xml:space="preserve">   </w:t>
      </w:r>
      <w:r>
        <w:rPr>
          <w:rFonts w:hint="eastAsia" w:ascii="微软雅黑" w:hAnsi="微软雅黑" w:eastAsia="微软雅黑" w:cs="微软雅黑"/>
          <w:szCs w:val="21"/>
          <w:u w:val="single"/>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（6-8%）的价格扣除，用扣除后的价格参与评审。</w:t>
      </w:r>
    </w:p>
    <w:p>
      <w:pPr>
        <w:adjustRightInd w:val="0"/>
        <w:spacing w:line="360" w:lineRule="auto"/>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szCs w:val="21"/>
        </w:rPr>
        <w:t>采用综合评分法评标的：对列入《辽宁省创新产品和服务目录》内的投标产品、服务给予</w:t>
      </w:r>
      <w:r>
        <w:rPr>
          <w:rFonts w:hint="eastAsia" w:ascii="仿宋_GB2312" w:hAnsi="仿宋_GB2312" w:eastAsia="仿宋_GB2312" w:cs="仿宋_GB2312"/>
          <w:szCs w:val="21"/>
          <w:u w:val="single"/>
        </w:rPr>
        <w:t xml:space="preserve">  6%  </w:t>
      </w:r>
      <w:r>
        <w:rPr>
          <w:rFonts w:hint="eastAsia" w:ascii="仿宋_GB2312" w:hAnsi="仿宋_GB2312" w:eastAsia="仿宋_GB2312" w:cs="仿宋_GB2312"/>
          <w:szCs w:val="21"/>
        </w:rPr>
        <w:t>（6-8%）的加分（详见评分细则）。</w:t>
      </w:r>
    </w:p>
    <w:p>
      <w:pPr>
        <w:adjustRightInd w:val="0"/>
        <w:snapToGrid w:val="0"/>
        <w:spacing w:line="360" w:lineRule="auto"/>
        <w:ind w:firstLine="420"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★7</w:t>
      </w:r>
      <w:r>
        <w:rPr>
          <w:rFonts w:hint="eastAsia" w:ascii="仿宋_GB2312" w:hAnsi="仿宋_GB2312" w:eastAsia="仿宋_GB2312" w:cs="仿宋_GB2312"/>
          <w:b/>
          <w:bCs/>
          <w:kern w:val="0"/>
          <w:szCs w:val="21"/>
        </w:rPr>
        <w:t>、投标无效情况详见投标人须知。</w:t>
      </w:r>
    </w:p>
    <w:p>
      <w:pPr>
        <w:adjustRightInd w:val="0"/>
        <w:snapToGrid w:val="0"/>
        <w:spacing w:line="360" w:lineRule="auto"/>
        <w:ind w:firstLine="420"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★8</w:t>
      </w:r>
      <w:r>
        <w:rPr>
          <w:rFonts w:hint="eastAsia" w:ascii="仿宋_GB2312" w:hAnsi="仿宋_GB2312" w:eastAsia="仿宋_GB2312" w:cs="仿宋_GB2312"/>
          <w:b/>
          <w:bCs/>
          <w:kern w:val="0"/>
          <w:szCs w:val="21"/>
        </w:rPr>
        <w:t>、推荐中标候选人的原则</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详见第一章投标人须知第29条，具体处理办法如下：</w:t>
      </w:r>
    </w:p>
    <w:p>
      <w:pPr>
        <w:numPr>
          <w:ilvl w:val="0"/>
          <w:numId w:val="6"/>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采用最低评标价法的：</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扣除后的投标报价相同时，按投标报价由低至高排序；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按前款不能区分的，优先采购节能产品、环境标志产品；</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其他情况，由评标委员会投票处理。</w:t>
      </w:r>
    </w:p>
    <w:p>
      <w:pPr>
        <w:numPr>
          <w:ilvl w:val="0"/>
          <w:numId w:val="6"/>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采用综合评分法的：</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得分相同的，按扣除后的投标报价由低到高顺序排序；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按前款不能区分的，按投标报价由低至高顺序排序；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按前款不能区分的，优先采购节能产品、环保产品；</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其他情况，由评标委员会投票处理。</w:t>
      </w:r>
    </w:p>
    <w:p>
      <w:pPr>
        <w:adjustRightInd w:val="0"/>
        <w:snapToGrid w:val="0"/>
        <w:spacing w:line="360" w:lineRule="auto"/>
        <w:ind w:firstLine="420" w:firstLineChars="200"/>
        <w:rPr>
          <w:rFonts w:ascii="仿宋_GB2312" w:hAnsi="仿宋_GB2312" w:eastAsia="仿宋_GB2312" w:cs="仿宋_GB2312"/>
          <w:b/>
          <w:kern w:val="0"/>
          <w:szCs w:val="21"/>
        </w:rPr>
      </w:pPr>
      <w:bookmarkStart w:id="168" w:name="_Toc30297_WPSOffice_Level2"/>
      <w:r>
        <w:rPr>
          <w:rFonts w:hint="eastAsia" w:ascii="仿宋_GB2312" w:hAnsi="仿宋_GB2312" w:eastAsia="仿宋_GB2312" w:cs="仿宋_GB2312"/>
          <w:b/>
          <w:szCs w:val="21"/>
        </w:rPr>
        <w:t>三、</w:t>
      </w:r>
      <w:r>
        <w:rPr>
          <w:rFonts w:hint="eastAsia" w:ascii="仿宋_GB2312" w:hAnsi="仿宋_GB2312" w:eastAsia="仿宋_GB2312" w:cs="仿宋_GB2312"/>
          <w:b/>
          <w:kern w:val="0"/>
          <w:szCs w:val="21"/>
        </w:rPr>
        <w:t>确定中标人</w:t>
      </w:r>
      <w:bookmarkEnd w:id="168"/>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评标委员会根据全体评标委员会成员签字的原始评标记录和评标结果编写评标报告，并向采购人提交书面评标报告。</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采购人按照评标报告确定的中标候选人名单按顺序确定中标人，或由采购人委托评标委员会按照第一章投标人须知第31条规定的方式确定中标人。</w:t>
      </w:r>
    </w:p>
    <w:p>
      <w:pPr>
        <w:pStyle w:val="5"/>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rPr>
        <w:br w:type="page"/>
      </w:r>
      <w:bookmarkStart w:id="169" w:name="_Toc32318_WPSOffice_Level2"/>
      <w:r>
        <w:rPr>
          <w:rFonts w:hint="eastAsia" w:ascii="仿宋_GB2312" w:hAnsi="仿宋_GB2312" w:eastAsia="仿宋_GB2312" w:cs="仿宋_GB2312"/>
          <w:szCs w:val="28"/>
        </w:rPr>
        <w:t xml:space="preserve">附件1 </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资格审查表</w:t>
      </w:r>
      <w:bookmarkEnd w:id="169"/>
    </w:p>
    <w:tbl>
      <w:tblPr>
        <w:tblStyle w:val="17"/>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3837"/>
        <w:gridCol w:w="1982"/>
        <w:gridCol w:w="986"/>
        <w:gridCol w:w="962"/>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8" w:type="dxa"/>
            <w:vMerge w:val="restart"/>
            <w:vAlign w:val="center"/>
          </w:tcPr>
          <w:p>
            <w:pPr>
              <w:ind w:left="-96" w:leftChars="-46" w:right="-86" w:rightChars="-41"/>
              <w:jc w:val="center"/>
              <w:rPr>
                <w:rFonts w:ascii="仿宋_GB2312" w:hAnsi="仿宋_GB2312" w:eastAsia="仿宋_GB2312" w:cs="仿宋_GB2312"/>
              </w:rPr>
            </w:pPr>
            <w:r>
              <w:rPr>
                <w:rFonts w:hint="eastAsia" w:ascii="仿宋_GB2312" w:hAnsi="仿宋_GB2312" w:eastAsia="仿宋_GB2312" w:cs="仿宋_GB2312"/>
              </w:rPr>
              <w:t>序号</w:t>
            </w:r>
          </w:p>
        </w:tc>
        <w:tc>
          <w:tcPr>
            <w:tcW w:w="3837" w:type="dxa"/>
            <w:vMerge w:val="restart"/>
            <w:vAlign w:val="center"/>
          </w:tcPr>
          <w:p>
            <w:pPr>
              <w:pStyle w:val="5"/>
              <w:adjustRightInd w:val="0"/>
              <w:snapToGrid w:val="0"/>
              <w:spacing w:before="0" w:after="0" w:line="240" w:lineRule="auto"/>
              <w:ind w:left="-96" w:leftChars="-46" w:right="-86"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审查项目</w:t>
            </w:r>
          </w:p>
        </w:tc>
        <w:tc>
          <w:tcPr>
            <w:tcW w:w="1982" w:type="dxa"/>
            <w:vMerge w:val="restart"/>
            <w:vAlign w:val="center"/>
          </w:tcPr>
          <w:p>
            <w:pPr>
              <w:pStyle w:val="5"/>
              <w:adjustRightInd w:val="0"/>
              <w:snapToGrid w:val="0"/>
              <w:spacing w:before="0" w:after="0" w:line="240" w:lineRule="auto"/>
              <w:ind w:left="-96" w:leftChars="-46" w:right="-86"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审查标准</w:t>
            </w:r>
          </w:p>
        </w:tc>
        <w:tc>
          <w:tcPr>
            <w:tcW w:w="2836" w:type="dxa"/>
            <w:gridSpan w:val="3"/>
            <w:vAlign w:val="center"/>
          </w:tcPr>
          <w:p>
            <w:pPr>
              <w:pStyle w:val="5"/>
              <w:adjustRightInd w:val="0"/>
              <w:snapToGrid w:val="0"/>
              <w:spacing w:before="0" w:after="0" w:line="240" w:lineRule="auto"/>
              <w:ind w:left="-96" w:leftChars="-46" w:right="-86"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68" w:type="dxa"/>
            <w:vMerge w:val="continue"/>
            <w:vAlign w:val="center"/>
          </w:tcPr>
          <w:p>
            <w:pPr>
              <w:pStyle w:val="5"/>
              <w:adjustRightInd w:val="0"/>
              <w:snapToGrid w:val="0"/>
              <w:spacing w:before="0" w:after="0" w:line="240" w:lineRule="auto"/>
              <w:rPr>
                <w:rFonts w:ascii="仿宋_GB2312" w:hAnsi="仿宋_GB2312" w:eastAsia="仿宋_GB2312" w:cs="仿宋_GB2312"/>
              </w:rPr>
            </w:pPr>
          </w:p>
        </w:tc>
        <w:tc>
          <w:tcPr>
            <w:tcW w:w="3837" w:type="dxa"/>
            <w:vMerge w:val="continue"/>
            <w:vAlign w:val="center"/>
          </w:tcPr>
          <w:p>
            <w:pPr>
              <w:pStyle w:val="5"/>
              <w:adjustRightInd w:val="0"/>
              <w:snapToGrid w:val="0"/>
              <w:spacing w:before="0" w:after="0" w:line="240" w:lineRule="auto"/>
              <w:rPr>
                <w:rFonts w:ascii="仿宋_GB2312" w:hAnsi="仿宋_GB2312" w:eastAsia="仿宋_GB2312" w:cs="仿宋_GB2312"/>
                <w:sz w:val="21"/>
                <w:szCs w:val="21"/>
              </w:rPr>
            </w:pPr>
          </w:p>
        </w:tc>
        <w:tc>
          <w:tcPr>
            <w:tcW w:w="1982" w:type="dxa"/>
            <w:vMerge w:val="continue"/>
            <w:vAlign w:val="center"/>
          </w:tcPr>
          <w:p>
            <w:pPr>
              <w:pStyle w:val="5"/>
              <w:adjustRightInd w:val="0"/>
              <w:snapToGrid w:val="0"/>
              <w:spacing w:before="0" w:after="0" w:line="240" w:lineRule="auto"/>
              <w:rPr>
                <w:rFonts w:ascii="仿宋_GB2312" w:hAnsi="仿宋_GB2312" w:eastAsia="仿宋_GB2312" w:cs="仿宋_GB2312"/>
                <w:sz w:val="21"/>
                <w:szCs w:val="21"/>
              </w:rPr>
            </w:pPr>
          </w:p>
        </w:tc>
        <w:tc>
          <w:tcPr>
            <w:tcW w:w="986" w:type="dxa"/>
            <w:vAlign w:val="center"/>
          </w:tcPr>
          <w:p>
            <w:pPr>
              <w:pStyle w:val="5"/>
              <w:adjustRightInd w:val="0"/>
              <w:snapToGrid w:val="0"/>
              <w:spacing w:before="0" w:after="0" w:line="240" w:lineRule="auto"/>
              <w:rPr>
                <w:rFonts w:ascii="仿宋_GB2312" w:hAnsi="仿宋_GB2312" w:eastAsia="仿宋_GB2312" w:cs="仿宋_GB2312"/>
                <w:sz w:val="21"/>
                <w:szCs w:val="21"/>
              </w:rPr>
            </w:pPr>
          </w:p>
        </w:tc>
        <w:tc>
          <w:tcPr>
            <w:tcW w:w="962" w:type="dxa"/>
            <w:vAlign w:val="center"/>
          </w:tcPr>
          <w:p>
            <w:pPr>
              <w:pStyle w:val="5"/>
              <w:adjustRightInd w:val="0"/>
              <w:snapToGrid w:val="0"/>
              <w:spacing w:before="0" w:after="0" w:line="240" w:lineRule="auto"/>
              <w:rPr>
                <w:rFonts w:ascii="仿宋_GB2312" w:hAnsi="仿宋_GB2312" w:eastAsia="仿宋_GB2312" w:cs="仿宋_GB2312"/>
                <w:sz w:val="21"/>
                <w:szCs w:val="21"/>
              </w:rPr>
            </w:pPr>
          </w:p>
        </w:tc>
        <w:tc>
          <w:tcPr>
            <w:tcW w:w="888" w:type="dxa"/>
            <w:vAlign w:val="center"/>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1</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营业执照或事业单位法人证书或执业许可证等证明文件或自然人的身份证明</w:t>
            </w:r>
          </w:p>
        </w:tc>
        <w:tc>
          <w:tcPr>
            <w:tcW w:w="1982" w:type="dxa"/>
            <w:vAlign w:val="center"/>
          </w:tcPr>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vAlign w:val="center"/>
          </w:tcPr>
          <w:p>
            <w:pPr>
              <w:pStyle w:val="5"/>
              <w:adjustRightInd w:val="0"/>
              <w:snapToGrid w:val="0"/>
              <w:spacing w:before="0" w:after="0" w:line="240" w:lineRule="auto"/>
              <w:rPr>
                <w:rFonts w:ascii="仿宋_GB2312" w:hAnsi="仿宋_GB2312" w:eastAsia="仿宋_GB2312" w:cs="仿宋_GB2312"/>
                <w:sz w:val="21"/>
                <w:szCs w:val="21"/>
              </w:rPr>
            </w:pPr>
          </w:p>
        </w:tc>
        <w:tc>
          <w:tcPr>
            <w:tcW w:w="962" w:type="dxa"/>
            <w:vAlign w:val="center"/>
          </w:tcPr>
          <w:p>
            <w:pPr>
              <w:pStyle w:val="5"/>
              <w:adjustRightInd w:val="0"/>
              <w:snapToGrid w:val="0"/>
              <w:spacing w:before="0" w:after="0" w:line="240" w:lineRule="auto"/>
              <w:rPr>
                <w:rFonts w:ascii="仿宋_GB2312" w:hAnsi="仿宋_GB2312" w:eastAsia="仿宋_GB2312" w:cs="仿宋_GB2312"/>
                <w:sz w:val="21"/>
                <w:szCs w:val="21"/>
              </w:rPr>
            </w:pPr>
          </w:p>
        </w:tc>
        <w:tc>
          <w:tcPr>
            <w:tcW w:w="888" w:type="dxa"/>
            <w:vAlign w:val="center"/>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rPr>
              <w:t>2</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组织机构代码证</w:t>
            </w:r>
          </w:p>
        </w:tc>
        <w:tc>
          <w:tcPr>
            <w:tcW w:w="1982" w:type="dxa"/>
            <w:vAlign w:val="center"/>
          </w:tcPr>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5"/>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5"/>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rPr>
              <w:t>3</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税务登记证</w:t>
            </w:r>
          </w:p>
        </w:tc>
        <w:tc>
          <w:tcPr>
            <w:tcW w:w="1982" w:type="dxa"/>
            <w:vAlign w:val="center"/>
          </w:tcPr>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5"/>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5"/>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szCs w:val="21"/>
              </w:rPr>
              <w:t>4</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szCs w:val="21"/>
              </w:rPr>
              <w:t>法定代表人（或非法人组织负责人）身份证明书</w:t>
            </w:r>
          </w:p>
        </w:tc>
        <w:tc>
          <w:tcPr>
            <w:tcW w:w="1982" w:type="dxa"/>
            <w:vAlign w:val="center"/>
          </w:tcPr>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5"/>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5"/>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rPr>
              <w:t>5</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法定代表人（或非法人组织</w:t>
            </w:r>
            <w:r>
              <w:rPr>
                <w:rFonts w:hint="eastAsia" w:ascii="仿宋_GB2312" w:hAnsi="仿宋_GB2312" w:eastAsia="仿宋_GB2312" w:cs="仿宋_GB2312"/>
                <w:szCs w:val="21"/>
              </w:rPr>
              <w:t>负责人）</w:t>
            </w:r>
            <w:r>
              <w:rPr>
                <w:rFonts w:hint="eastAsia" w:ascii="仿宋_GB2312" w:hAnsi="仿宋_GB2312" w:eastAsia="仿宋_GB2312" w:cs="仿宋_GB2312"/>
              </w:rPr>
              <w:t>授权委托书</w:t>
            </w:r>
            <w:r>
              <w:rPr>
                <w:rFonts w:hint="eastAsia" w:ascii="仿宋_GB2312" w:hAnsi="仿宋_GB2312" w:eastAsia="仿宋_GB2312" w:cs="仿宋_GB2312"/>
                <w:szCs w:val="21"/>
              </w:rPr>
              <w:t>（授权委托人参加投标的须提供）</w:t>
            </w:r>
          </w:p>
        </w:tc>
        <w:tc>
          <w:tcPr>
            <w:tcW w:w="1982" w:type="dxa"/>
            <w:vAlign w:val="center"/>
          </w:tcPr>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5"/>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5"/>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rPr>
              <w:t>6</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具有良好的商业信誉和健全的财务会计制度的承诺函</w:t>
            </w:r>
          </w:p>
        </w:tc>
        <w:tc>
          <w:tcPr>
            <w:tcW w:w="1982" w:type="dxa"/>
            <w:vAlign w:val="center"/>
          </w:tcPr>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5"/>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5"/>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7</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开标时间前六个月内任一个月的依法缴纳税收的缴款凭据</w:t>
            </w:r>
          </w:p>
        </w:tc>
        <w:tc>
          <w:tcPr>
            <w:tcW w:w="1982" w:type="dxa"/>
            <w:vAlign w:val="center"/>
          </w:tcPr>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5"/>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5"/>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8</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开标时间前六个月内任一个月的依法缴纳社会保障资金的缴款凭据</w:t>
            </w:r>
          </w:p>
        </w:tc>
        <w:tc>
          <w:tcPr>
            <w:tcW w:w="1982" w:type="dxa"/>
            <w:vAlign w:val="center"/>
          </w:tcPr>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5"/>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5"/>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9</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具备履行合同所必需的设备和专业技术能力声明函</w:t>
            </w:r>
          </w:p>
        </w:tc>
        <w:tc>
          <w:tcPr>
            <w:tcW w:w="1982" w:type="dxa"/>
            <w:vAlign w:val="center"/>
          </w:tcPr>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5"/>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5"/>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szCs w:val="21"/>
              </w:rPr>
              <w:t>10</w:t>
            </w:r>
          </w:p>
        </w:tc>
        <w:tc>
          <w:tcPr>
            <w:tcW w:w="3837" w:type="dxa"/>
            <w:vAlign w:val="center"/>
          </w:tcPr>
          <w:p>
            <w:pPr>
              <w:snapToGrid w:val="0"/>
              <w:jc w:val="left"/>
              <w:rPr>
                <w:rFonts w:ascii="仿宋_GB2312" w:hAnsi="仿宋_GB2312" w:eastAsia="仿宋_GB2312" w:cs="仿宋_GB2312"/>
              </w:rPr>
            </w:pPr>
            <w:r>
              <w:rPr>
                <w:rFonts w:hint="eastAsia" w:ascii="仿宋_GB2312" w:hAnsi="仿宋_GB2312" w:eastAsia="仿宋_GB2312" w:cs="仿宋_GB2312"/>
                <w:szCs w:val="21"/>
              </w:rPr>
              <w:t>参加政府采购活动前3年内在经营活动中没有重大违法记录的书面声明</w:t>
            </w:r>
          </w:p>
        </w:tc>
        <w:tc>
          <w:tcPr>
            <w:tcW w:w="1982" w:type="dxa"/>
            <w:vAlign w:val="center"/>
          </w:tcPr>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5"/>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5"/>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11</w:t>
            </w:r>
          </w:p>
        </w:tc>
        <w:tc>
          <w:tcPr>
            <w:tcW w:w="3837" w:type="dxa"/>
            <w:vAlign w:val="center"/>
          </w:tcPr>
          <w:p>
            <w:pPr>
              <w:snapToGrid w:val="0"/>
              <w:jc w:val="left"/>
              <w:rPr>
                <w:rFonts w:ascii="仿宋_GB2312" w:hAnsi="仿宋_GB2312" w:eastAsia="仿宋_GB2312" w:cs="仿宋_GB2312"/>
              </w:rPr>
            </w:pPr>
            <w:r>
              <w:rPr>
                <w:rFonts w:hint="eastAsia" w:ascii="仿宋_GB2312" w:hAnsi="仿宋_GB2312" w:eastAsia="仿宋_GB2312" w:cs="仿宋_GB2312"/>
              </w:rPr>
              <w:t>信用记录（</w:t>
            </w:r>
            <w:r>
              <w:rPr>
                <w:rFonts w:hint="eastAsia" w:ascii="仿宋_GB2312" w:hAnsi="仿宋_GB2312" w:eastAsia="仿宋_GB2312" w:cs="仿宋_GB2312"/>
                <w:szCs w:val="21"/>
              </w:rPr>
              <w:t>采购代理机构将按照招标文件规定的审查期间内进行查询</w:t>
            </w:r>
            <w:r>
              <w:rPr>
                <w:rFonts w:hint="eastAsia" w:ascii="仿宋_GB2312" w:hAnsi="仿宋_GB2312" w:eastAsia="仿宋_GB2312" w:cs="仿宋_GB2312"/>
              </w:rPr>
              <w:t>）</w:t>
            </w:r>
          </w:p>
        </w:tc>
        <w:tc>
          <w:tcPr>
            <w:tcW w:w="1982" w:type="dxa"/>
            <w:vAlign w:val="center"/>
          </w:tcPr>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无投标须知22.2.1所述的不良记录</w:t>
            </w:r>
          </w:p>
        </w:tc>
        <w:tc>
          <w:tcPr>
            <w:tcW w:w="986" w:type="dxa"/>
          </w:tcPr>
          <w:p>
            <w:pPr>
              <w:pStyle w:val="5"/>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5"/>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vAlign w:val="center"/>
          </w:tcPr>
          <w:p>
            <w:pPr>
              <w:snapToGrid w:val="0"/>
              <w:jc w:val="center"/>
              <w:rPr>
                <w:rFonts w:ascii="仿宋_GB2312" w:hAnsi="仿宋_GB2312" w:eastAsia="仿宋_GB2312" w:cs="仿宋_GB2312"/>
              </w:rPr>
            </w:pPr>
          </w:p>
        </w:tc>
        <w:tc>
          <w:tcPr>
            <w:tcW w:w="3837"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结论</w:t>
            </w:r>
          </w:p>
        </w:tc>
        <w:tc>
          <w:tcPr>
            <w:tcW w:w="1982" w:type="dxa"/>
          </w:tcPr>
          <w:p>
            <w:pPr>
              <w:pStyle w:val="5"/>
              <w:adjustRightInd w:val="0"/>
              <w:snapToGrid w:val="0"/>
              <w:spacing w:before="0" w:after="0" w:line="240" w:lineRule="auto"/>
              <w:rPr>
                <w:rFonts w:ascii="仿宋_GB2312" w:hAnsi="仿宋_GB2312" w:eastAsia="仿宋_GB2312" w:cs="仿宋_GB2312"/>
                <w:sz w:val="21"/>
                <w:szCs w:val="21"/>
              </w:rPr>
            </w:pPr>
          </w:p>
        </w:tc>
        <w:tc>
          <w:tcPr>
            <w:tcW w:w="986" w:type="dxa"/>
          </w:tcPr>
          <w:p>
            <w:pPr>
              <w:pStyle w:val="5"/>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5"/>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5"/>
              <w:adjustRightInd w:val="0"/>
              <w:snapToGrid w:val="0"/>
              <w:spacing w:before="0" w:after="0" w:line="240" w:lineRule="auto"/>
              <w:rPr>
                <w:rFonts w:ascii="仿宋_GB2312" w:hAnsi="仿宋_GB2312" w:eastAsia="仿宋_GB2312" w:cs="仿宋_GB2312"/>
                <w:sz w:val="21"/>
                <w:szCs w:val="21"/>
              </w:rPr>
            </w:pPr>
          </w:p>
        </w:tc>
      </w:tr>
    </w:tbl>
    <w:p>
      <w:pPr>
        <w:snapToGrid w:val="0"/>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snapToGrid w:val="0"/>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rPr>
          <w:rFonts w:ascii="仿宋_GB2312" w:hAnsi="仿宋_GB2312" w:eastAsia="仿宋_GB2312" w:cs="仿宋_GB2312"/>
        </w:rPr>
      </w:pPr>
    </w:p>
    <w:p>
      <w:pPr>
        <w:rPr>
          <w:rFonts w:ascii="仿宋_GB2312" w:hAnsi="仿宋_GB2312" w:eastAsia="仿宋_GB2312" w:cs="仿宋_GB2312"/>
        </w:rPr>
      </w:pPr>
    </w:p>
    <w:p>
      <w:pPr>
        <w:pStyle w:val="15"/>
        <w:widowControl w:val="0"/>
        <w:snapToGrid w:val="0"/>
        <w:spacing w:before="0" w:beforeAutospacing="0" w:after="0" w:afterAutospacing="0" w:line="48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审查人签字：</w:t>
      </w:r>
    </w:p>
    <w:p>
      <w:pPr>
        <w:pStyle w:val="15"/>
        <w:widowControl w:val="0"/>
        <w:snapToGrid w:val="0"/>
        <w:spacing w:before="0" w:beforeAutospacing="0" w:after="0" w:afterAutospacing="0" w:line="480" w:lineRule="auto"/>
        <w:jc w:val="both"/>
        <w:rPr>
          <w:rFonts w:ascii="仿宋_GB2312" w:hAnsi="仿宋_GB2312" w:eastAsia="仿宋_GB2312" w:cs="仿宋_GB2312"/>
          <w:bCs/>
          <w:sz w:val="21"/>
          <w:szCs w:val="21"/>
        </w:rPr>
      </w:pPr>
      <w:r>
        <w:rPr>
          <w:rFonts w:hint="eastAsia" w:ascii="仿宋_GB2312" w:hAnsi="仿宋_GB2312" w:eastAsia="仿宋_GB2312" w:cs="仿宋_GB2312"/>
          <w:bCs/>
          <w:sz w:val="21"/>
          <w:szCs w:val="21"/>
        </w:rPr>
        <w:t>日      期：</w:t>
      </w:r>
    </w:p>
    <w:p>
      <w:pPr>
        <w:pStyle w:val="15"/>
        <w:widowControl w:val="0"/>
        <w:snapToGrid w:val="0"/>
        <w:spacing w:before="0" w:beforeAutospacing="0" w:after="0" w:afterAutospacing="0" w:line="480" w:lineRule="auto"/>
        <w:jc w:val="both"/>
        <w:rPr>
          <w:rFonts w:ascii="仿宋_GB2312" w:hAnsi="仿宋_GB2312" w:eastAsia="仿宋_GB2312" w:cs="仿宋_GB2312"/>
          <w:bCs/>
          <w:sz w:val="21"/>
          <w:szCs w:val="21"/>
        </w:rPr>
      </w:pPr>
    </w:p>
    <w:p>
      <w:bookmarkStart w:id="170" w:name="_Toc11558_WPSOffice_Level2"/>
    </w:p>
    <w:p/>
    <w:p/>
    <w:p/>
    <w:p>
      <w:pPr>
        <w:pStyle w:val="5"/>
        <w:adjustRightInd w:val="0"/>
        <w:snapToGrid w:val="0"/>
        <w:spacing w:before="0" w:after="0" w:line="240" w:lineRule="auto"/>
        <w:jc w:val="left"/>
        <w:rPr>
          <w:rFonts w:ascii="仿宋_GB2312" w:hAnsi="仿宋_GB2312" w:eastAsia="仿宋_GB2312" w:cs="仿宋_GB2312"/>
          <w:szCs w:val="28"/>
        </w:rPr>
      </w:pPr>
    </w:p>
    <w:p>
      <w:pPr>
        <w:pStyle w:val="5"/>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 xml:space="preserve">附件2                  </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符合性审查表</w:t>
      </w:r>
      <w:bookmarkEnd w:id="170"/>
    </w:p>
    <w:tbl>
      <w:tblPr>
        <w:tblStyle w:val="17"/>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606"/>
        <w:gridCol w:w="3004"/>
        <w:gridCol w:w="1095"/>
        <w:gridCol w:w="98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8" w:type="dxa"/>
            <w:vMerge w:val="restart"/>
            <w:vAlign w:val="center"/>
          </w:tcPr>
          <w:p>
            <w:pPr>
              <w:ind w:left="-84" w:leftChars="-40" w:right="-75" w:rightChars="-36"/>
              <w:jc w:val="center"/>
              <w:rPr>
                <w:rFonts w:ascii="仿宋_GB2312" w:hAnsi="仿宋_GB2312" w:eastAsia="仿宋_GB2312" w:cs="仿宋_GB2312"/>
              </w:rPr>
            </w:pPr>
            <w:r>
              <w:rPr>
                <w:rFonts w:hint="eastAsia" w:ascii="仿宋_GB2312" w:hAnsi="仿宋_GB2312" w:eastAsia="仿宋_GB2312" w:cs="仿宋_GB2312"/>
              </w:rPr>
              <w:t>序号</w:t>
            </w:r>
          </w:p>
        </w:tc>
        <w:tc>
          <w:tcPr>
            <w:tcW w:w="2606" w:type="dxa"/>
            <w:vMerge w:val="restart"/>
            <w:vAlign w:val="center"/>
          </w:tcPr>
          <w:p>
            <w:pPr>
              <w:ind w:left="-84" w:leftChars="-40" w:right="-75" w:rightChars="-36"/>
              <w:jc w:val="center"/>
              <w:rPr>
                <w:rFonts w:ascii="仿宋_GB2312" w:hAnsi="仿宋_GB2312" w:eastAsia="仿宋_GB2312" w:cs="仿宋_GB2312"/>
              </w:rPr>
            </w:pPr>
            <w:r>
              <w:rPr>
                <w:rFonts w:hint="eastAsia" w:ascii="仿宋_GB2312" w:hAnsi="仿宋_GB2312" w:eastAsia="仿宋_GB2312" w:cs="仿宋_GB2312"/>
              </w:rPr>
              <w:t>审查项目</w:t>
            </w:r>
          </w:p>
        </w:tc>
        <w:tc>
          <w:tcPr>
            <w:tcW w:w="3004" w:type="dxa"/>
            <w:vMerge w:val="restart"/>
            <w:vAlign w:val="center"/>
          </w:tcPr>
          <w:p>
            <w:pPr>
              <w:ind w:left="-84" w:leftChars="-40" w:right="-75" w:rightChars="-36"/>
              <w:jc w:val="center"/>
              <w:rPr>
                <w:rFonts w:ascii="仿宋_GB2312" w:hAnsi="仿宋_GB2312" w:eastAsia="仿宋_GB2312" w:cs="仿宋_GB2312"/>
              </w:rPr>
            </w:pPr>
            <w:r>
              <w:rPr>
                <w:rFonts w:hint="eastAsia" w:ascii="仿宋_GB2312" w:hAnsi="仿宋_GB2312" w:eastAsia="仿宋_GB2312" w:cs="仿宋_GB2312"/>
              </w:rPr>
              <w:t>审查标准</w:t>
            </w:r>
          </w:p>
        </w:tc>
        <w:tc>
          <w:tcPr>
            <w:tcW w:w="2992" w:type="dxa"/>
            <w:gridSpan w:val="3"/>
            <w:vAlign w:val="center"/>
          </w:tcPr>
          <w:p>
            <w:pPr>
              <w:ind w:left="-84" w:leftChars="-40" w:right="-75" w:rightChars="-36"/>
              <w:jc w:val="center"/>
              <w:rPr>
                <w:rFonts w:ascii="仿宋_GB2312" w:hAnsi="仿宋_GB2312" w:eastAsia="仿宋_GB2312" w:cs="仿宋_GB2312"/>
              </w:rPr>
            </w:pPr>
            <w:r>
              <w:rPr>
                <w:rFonts w:hint="eastAsia" w:ascii="仿宋_GB2312" w:hAnsi="仿宋_GB2312" w:eastAsia="仿宋_GB2312" w:cs="仿宋_GB2312"/>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8" w:type="dxa"/>
            <w:vMerge w:val="continue"/>
            <w:vAlign w:val="center"/>
          </w:tcPr>
          <w:p>
            <w:pPr>
              <w:pStyle w:val="5"/>
              <w:adjustRightInd w:val="0"/>
              <w:snapToGrid w:val="0"/>
              <w:spacing w:before="0" w:after="0" w:line="240" w:lineRule="auto"/>
              <w:rPr>
                <w:rFonts w:ascii="仿宋_GB2312" w:hAnsi="仿宋_GB2312" w:eastAsia="仿宋_GB2312" w:cs="仿宋_GB2312"/>
              </w:rPr>
            </w:pPr>
          </w:p>
        </w:tc>
        <w:tc>
          <w:tcPr>
            <w:tcW w:w="2606" w:type="dxa"/>
            <w:vMerge w:val="continue"/>
            <w:vAlign w:val="center"/>
          </w:tcPr>
          <w:p>
            <w:pPr>
              <w:pStyle w:val="5"/>
              <w:adjustRightInd w:val="0"/>
              <w:snapToGrid w:val="0"/>
              <w:spacing w:before="0" w:after="0" w:line="240" w:lineRule="auto"/>
              <w:rPr>
                <w:rFonts w:ascii="仿宋_GB2312" w:hAnsi="仿宋_GB2312" w:eastAsia="仿宋_GB2312" w:cs="仿宋_GB2312"/>
                <w:sz w:val="21"/>
                <w:szCs w:val="21"/>
              </w:rPr>
            </w:pPr>
          </w:p>
        </w:tc>
        <w:tc>
          <w:tcPr>
            <w:tcW w:w="3004" w:type="dxa"/>
            <w:vMerge w:val="continue"/>
            <w:vAlign w:val="center"/>
          </w:tcPr>
          <w:p>
            <w:pPr>
              <w:pStyle w:val="5"/>
              <w:adjustRightInd w:val="0"/>
              <w:snapToGrid w:val="0"/>
              <w:spacing w:before="0" w:after="0" w:line="240" w:lineRule="auto"/>
              <w:rPr>
                <w:rFonts w:ascii="仿宋_GB2312" w:hAnsi="仿宋_GB2312" w:eastAsia="仿宋_GB2312" w:cs="仿宋_GB2312"/>
                <w:sz w:val="21"/>
                <w:szCs w:val="21"/>
              </w:rPr>
            </w:pPr>
          </w:p>
        </w:tc>
        <w:tc>
          <w:tcPr>
            <w:tcW w:w="1095" w:type="dxa"/>
            <w:vAlign w:val="center"/>
          </w:tcPr>
          <w:p>
            <w:pPr>
              <w:pStyle w:val="5"/>
              <w:adjustRightInd w:val="0"/>
              <w:snapToGrid w:val="0"/>
              <w:spacing w:before="0" w:after="0" w:line="240" w:lineRule="auto"/>
              <w:rPr>
                <w:rFonts w:ascii="仿宋_GB2312" w:hAnsi="仿宋_GB2312" w:eastAsia="仿宋_GB2312" w:cs="仿宋_GB2312"/>
                <w:sz w:val="21"/>
                <w:szCs w:val="21"/>
              </w:rPr>
            </w:pPr>
          </w:p>
        </w:tc>
        <w:tc>
          <w:tcPr>
            <w:tcW w:w="985" w:type="dxa"/>
            <w:vAlign w:val="center"/>
          </w:tcPr>
          <w:p>
            <w:pPr>
              <w:pStyle w:val="5"/>
              <w:adjustRightInd w:val="0"/>
              <w:snapToGrid w:val="0"/>
              <w:spacing w:before="0" w:after="0" w:line="240" w:lineRule="auto"/>
              <w:rPr>
                <w:rFonts w:ascii="仿宋_GB2312" w:hAnsi="仿宋_GB2312" w:eastAsia="仿宋_GB2312" w:cs="仿宋_GB2312"/>
                <w:sz w:val="21"/>
                <w:szCs w:val="21"/>
              </w:rPr>
            </w:pPr>
          </w:p>
        </w:tc>
        <w:tc>
          <w:tcPr>
            <w:tcW w:w="912" w:type="dxa"/>
            <w:vAlign w:val="center"/>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 w:val="20"/>
                <w:szCs w:val="21"/>
              </w:rPr>
              <w:t>1</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投标函</w:t>
            </w:r>
          </w:p>
        </w:tc>
        <w:tc>
          <w:tcPr>
            <w:tcW w:w="3004" w:type="dxa"/>
          </w:tcPr>
          <w:p>
            <w:pPr>
              <w:pStyle w:val="5"/>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5"/>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vAlign w:val="center"/>
          </w:tcPr>
          <w:p>
            <w:pPr>
              <w:pStyle w:val="5"/>
              <w:adjustRightInd w:val="0"/>
              <w:snapToGrid w:val="0"/>
              <w:spacing w:before="0" w:after="0" w:line="240" w:lineRule="auto"/>
              <w:rPr>
                <w:rFonts w:ascii="仿宋_GB2312" w:hAnsi="仿宋_GB2312" w:eastAsia="仿宋_GB2312" w:cs="仿宋_GB2312"/>
                <w:sz w:val="21"/>
                <w:szCs w:val="21"/>
              </w:rPr>
            </w:pPr>
          </w:p>
        </w:tc>
        <w:tc>
          <w:tcPr>
            <w:tcW w:w="985" w:type="dxa"/>
            <w:vAlign w:val="center"/>
          </w:tcPr>
          <w:p>
            <w:pPr>
              <w:pStyle w:val="5"/>
              <w:adjustRightInd w:val="0"/>
              <w:snapToGrid w:val="0"/>
              <w:spacing w:before="0" w:after="0" w:line="240" w:lineRule="auto"/>
              <w:rPr>
                <w:rFonts w:ascii="仿宋_GB2312" w:hAnsi="仿宋_GB2312" w:eastAsia="仿宋_GB2312" w:cs="仿宋_GB2312"/>
                <w:sz w:val="21"/>
                <w:szCs w:val="21"/>
              </w:rPr>
            </w:pPr>
          </w:p>
        </w:tc>
        <w:tc>
          <w:tcPr>
            <w:tcW w:w="912" w:type="dxa"/>
            <w:vAlign w:val="center"/>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48"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2606" w:type="dxa"/>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t>递交投标保证金证明</w:t>
            </w:r>
          </w:p>
        </w:tc>
        <w:tc>
          <w:tcPr>
            <w:tcW w:w="3004" w:type="dxa"/>
          </w:tcPr>
          <w:p>
            <w:pPr>
              <w:pStyle w:val="5"/>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5"/>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109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3</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开标一览表</w:t>
            </w:r>
          </w:p>
        </w:tc>
        <w:tc>
          <w:tcPr>
            <w:tcW w:w="3004" w:type="dxa"/>
          </w:tcPr>
          <w:p>
            <w:pPr>
              <w:pStyle w:val="5"/>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5"/>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4</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分项报价表</w:t>
            </w:r>
          </w:p>
        </w:tc>
        <w:tc>
          <w:tcPr>
            <w:tcW w:w="3004" w:type="dxa"/>
          </w:tcPr>
          <w:p>
            <w:pPr>
              <w:pStyle w:val="5"/>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1.按给定格式填写，信息完整</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5"/>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5</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技术规格偏离表</w:t>
            </w:r>
          </w:p>
        </w:tc>
        <w:tc>
          <w:tcPr>
            <w:tcW w:w="3004" w:type="dxa"/>
          </w:tcPr>
          <w:p>
            <w:pPr>
              <w:pStyle w:val="5"/>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5"/>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6</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商务条款偏离表</w:t>
            </w:r>
          </w:p>
        </w:tc>
        <w:tc>
          <w:tcPr>
            <w:tcW w:w="3004" w:type="dxa"/>
          </w:tcPr>
          <w:p>
            <w:pPr>
              <w:pStyle w:val="5"/>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5"/>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7</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投标人关联单位说明</w:t>
            </w:r>
          </w:p>
        </w:tc>
        <w:tc>
          <w:tcPr>
            <w:tcW w:w="3004" w:type="dxa"/>
            <w:vAlign w:val="center"/>
          </w:tcPr>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无投标须知1.5所述情形</w:t>
            </w:r>
          </w:p>
        </w:tc>
        <w:tc>
          <w:tcPr>
            <w:tcW w:w="109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8</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其他符合性证明材料</w:t>
            </w:r>
          </w:p>
        </w:tc>
        <w:tc>
          <w:tcPr>
            <w:tcW w:w="30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响应招标文件实质性要求</w:t>
            </w:r>
          </w:p>
        </w:tc>
        <w:tc>
          <w:tcPr>
            <w:tcW w:w="109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szCs w:val="21"/>
              </w:rPr>
              <w:t>9</w:t>
            </w:r>
          </w:p>
        </w:tc>
        <w:tc>
          <w:tcPr>
            <w:tcW w:w="2606"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投标报价</w:t>
            </w:r>
          </w:p>
        </w:tc>
        <w:tc>
          <w:tcPr>
            <w:tcW w:w="3004" w:type="dxa"/>
            <w:vAlign w:val="center"/>
          </w:tcPr>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1.响应招标文件实质性要求</w:t>
            </w:r>
          </w:p>
          <w:p>
            <w:pPr>
              <w:pStyle w:val="5"/>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2.无投标须知26.2所述情形</w:t>
            </w:r>
          </w:p>
        </w:tc>
        <w:tc>
          <w:tcPr>
            <w:tcW w:w="109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5"/>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48" w:type="dxa"/>
            <w:vAlign w:val="center"/>
          </w:tcPr>
          <w:p>
            <w:pPr>
              <w:snapToGrid w:val="0"/>
              <w:jc w:val="center"/>
              <w:rPr>
                <w:rFonts w:ascii="仿宋_GB2312" w:hAnsi="仿宋_GB2312" w:eastAsia="仿宋_GB2312" w:cs="仿宋_GB2312"/>
              </w:rPr>
            </w:pPr>
          </w:p>
        </w:tc>
        <w:tc>
          <w:tcPr>
            <w:tcW w:w="2606"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结论</w:t>
            </w:r>
          </w:p>
        </w:tc>
        <w:tc>
          <w:tcPr>
            <w:tcW w:w="3004" w:type="dxa"/>
          </w:tcPr>
          <w:p>
            <w:pPr>
              <w:pStyle w:val="5"/>
              <w:adjustRightInd w:val="0"/>
              <w:snapToGrid w:val="0"/>
              <w:spacing w:before="0" w:after="0" w:line="240" w:lineRule="auto"/>
              <w:rPr>
                <w:rFonts w:ascii="仿宋_GB2312" w:hAnsi="仿宋_GB2312" w:eastAsia="仿宋_GB2312" w:cs="仿宋_GB2312"/>
                <w:sz w:val="21"/>
                <w:szCs w:val="21"/>
              </w:rPr>
            </w:pPr>
          </w:p>
        </w:tc>
        <w:tc>
          <w:tcPr>
            <w:tcW w:w="109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5"/>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5"/>
              <w:adjustRightInd w:val="0"/>
              <w:snapToGrid w:val="0"/>
              <w:spacing w:before="0" w:after="0" w:line="240" w:lineRule="auto"/>
              <w:rPr>
                <w:rFonts w:ascii="仿宋_GB2312" w:hAnsi="仿宋_GB2312" w:eastAsia="仿宋_GB2312" w:cs="仿宋_GB2312"/>
                <w:sz w:val="21"/>
                <w:szCs w:val="21"/>
              </w:rPr>
            </w:pPr>
          </w:p>
        </w:tc>
      </w:tr>
    </w:tbl>
    <w:p>
      <w:pPr>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rPr>
          <w:rFonts w:ascii="仿宋_GB2312" w:hAnsi="仿宋_GB2312" w:eastAsia="仿宋_GB2312" w:cs="仿宋_GB2312"/>
        </w:rPr>
      </w:pPr>
    </w:p>
    <w:p>
      <w:pPr>
        <w:rPr>
          <w:rFonts w:ascii="仿宋_GB2312" w:hAnsi="仿宋_GB2312" w:eastAsia="仿宋_GB2312" w:cs="仿宋_GB2312"/>
        </w:rPr>
      </w:pPr>
    </w:p>
    <w:p>
      <w:pPr>
        <w:pStyle w:val="15"/>
        <w:widowControl w:val="0"/>
        <w:snapToGrid w:val="0"/>
        <w:spacing w:before="0" w:beforeAutospacing="0" w:after="0" w:afterAutospacing="0" w:line="480" w:lineRule="auto"/>
        <w:ind w:left="5880" w:hanging="5880" w:hangingChars="280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审查人签字： </w:t>
      </w:r>
    </w:p>
    <w:p>
      <w:pPr>
        <w:pStyle w:val="15"/>
        <w:widowControl w:val="0"/>
        <w:snapToGrid w:val="0"/>
        <w:spacing w:before="0" w:beforeAutospacing="0" w:after="0" w:afterAutospacing="0" w:line="480" w:lineRule="auto"/>
        <w:ind w:left="5880" w:hanging="5880" w:hangingChars="2800"/>
        <w:rPr>
          <w:rFonts w:ascii="仿宋_GB2312" w:hAnsi="仿宋_GB2312" w:eastAsia="仿宋_GB2312" w:cs="仿宋_GB2312"/>
          <w:b/>
          <w:sz w:val="21"/>
          <w:szCs w:val="21"/>
        </w:rPr>
      </w:pPr>
      <w:r>
        <w:rPr>
          <w:rFonts w:hint="eastAsia" w:ascii="仿宋_GB2312" w:hAnsi="仿宋_GB2312" w:eastAsia="仿宋_GB2312" w:cs="仿宋_GB2312"/>
          <w:bCs/>
          <w:sz w:val="21"/>
          <w:szCs w:val="21"/>
        </w:rPr>
        <w:t>日      期：</w:t>
      </w:r>
      <w:r>
        <w:rPr>
          <w:rFonts w:hint="eastAsia" w:ascii="仿宋_GB2312" w:hAnsi="仿宋_GB2312" w:eastAsia="仿宋_GB2312" w:cs="仿宋_GB2312"/>
          <w:b/>
          <w:sz w:val="21"/>
          <w:szCs w:val="21"/>
        </w:rPr>
        <w:t xml:space="preserve"> </w:t>
      </w:r>
    </w:p>
    <w:p>
      <w:bookmarkStart w:id="171" w:name="_Toc17433_WPSOffice_Level2"/>
    </w:p>
    <w:p/>
    <w:p/>
    <w:p>
      <w:pPr>
        <w:pStyle w:val="5"/>
        <w:adjustRightInd w:val="0"/>
        <w:snapToGrid w:val="0"/>
        <w:spacing w:before="0" w:after="0" w:line="240" w:lineRule="auto"/>
        <w:jc w:val="left"/>
        <w:rPr>
          <w:rFonts w:ascii="仿宋_GB2312" w:hAnsi="仿宋_GB2312" w:eastAsia="仿宋_GB2312" w:cs="仿宋_GB2312"/>
          <w:sz w:val="32"/>
          <w:szCs w:val="32"/>
        </w:rPr>
      </w:pPr>
      <w:r>
        <w:rPr>
          <w:rFonts w:hint="eastAsia" w:ascii="仿宋_GB2312" w:hAnsi="仿宋_GB2312" w:eastAsia="仿宋_GB2312" w:cs="仿宋_GB2312"/>
          <w:szCs w:val="28"/>
        </w:rPr>
        <w:t xml:space="preserve">附件3 </w:t>
      </w:r>
      <w:r>
        <w:rPr>
          <w:rFonts w:ascii="仿宋_GB2312" w:hAnsi="仿宋_GB2312" w:eastAsia="仿宋_GB2312" w:cs="仿宋_GB2312"/>
          <w:szCs w:val="28"/>
        </w:rPr>
        <w:t>-1</w:t>
      </w:r>
      <w:r>
        <w:rPr>
          <w:rFonts w:hint="eastAsia" w:ascii="仿宋_GB2312" w:hAnsi="仿宋_GB2312" w:eastAsia="仿宋_GB2312" w:cs="仿宋_GB2312"/>
          <w:szCs w:val="28"/>
        </w:rPr>
        <w:t xml:space="preserve">                  </w:t>
      </w:r>
      <w:r>
        <w:rPr>
          <w:rFonts w:hint="eastAsia" w:ascii="仿宋_GB2312" w:hAnsi="仿宋_GB2312" w:eastAsia="仿宋_GB2312" w:cs="仿宋_GB2312"/>
          <w:sz w:val="32"/>
          <w:szCs w:val="32"/>
        </w:rPr>
        <w:t xml:space="preserve"> </w:t>
      </w:r>
      <w:bookmarkEnd w:id="171"/>
    </w:p>
    <w:p>
      <w:pPr>
        <w:spacing w:before="319" w:beforeLines="100" w:after="319" w:afterLines="100" w:line="480" w:lineRule="exact"/>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评分标准和评分细则</w:t>
      </w:r>
    </w:p>
    <w:p>
      <w:pPr>
        <w:numPr>
          <w:ilvl w:val="0"/>
          <w:numId w:val="7"/>
        </w:num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本采购项目采用综合评分法。 </w:t>
      </w:r>
    </w:p>
    <w:tbl>
      <w:tblPr>
        <w:tblStyle w:val="17"/>
        <w:tblW w:w="8560" w:type="dxa"/>
        <w:jc w:val="center"/>
        <w:tblLayout w:type="fixed"/>
        <w:tblCellMar>
          <w:top w:w="0" w:type="dxa"/>
          <w:left w:w="0" w:type="dxa"/>
          <w:bottom w:w="0" w:type="dxa"/>
          <w:right w:w="0" w:type="dxa"/>
        </w:tblCellMar>
      </w:tblPr>
      <w:tblGrid>
        <w:gridCol w:w="963"/>
        <w:gridCol w:w="936"/>
        <w:gridCol w:w="5992"/>
        <w:gridCol w:w="669"/>
      </w:tblGrid>
      <w:tr>
        <w:tblPrEx>
          <w:tblCellMar>
            <w:top w:w="0" w:type="dxa"/>
            <w:left w:w="0" w:type="dxa"/>
            <w:bottom w:w="0" w:type="dxa"/>
            <w:right w:w="0" w:type="dxa"/>
          </w:tblCellMar>
        </w:tblPrEx>
        <w:trPr>
          <w:trHeight w:val="478" w:hRule="atLeast"/>
          <w:jc w:val="center"/>
        </w:trPr>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项目</w:t>
            </w:r>
          </w:p>
        </w:tc>
        <w:tc>
          <w:tcPr>
            <w:tcW w:w="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分项名称</w:t>
            </w:r>
          </w:p>
        </w:tc>
        <w:tc>
          <w:tcPr>
            <w:tcW w:w="5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评分标准</w:t>
            </w: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满分</w:t>
            </w:r>
          </w:p>
        </w:tc>
      </w:tr>
      <w:tr>
        <w:tblPrEx>
          <w:tblCellMar>
            <w:top w:w="0" w:type="dxa"/>
            <w:left w:w="0" w:type="dxa"/>
            <w:bottom w:w="0" w:type="dxa"/>
            <w:right w:w="0" w:type="dxa"/>
          </w:tblCellMar>
        </w:tblPrEx>
        <w:trPr>
          <w:trHeight w:val="929" w:hRule="atLeast"/>
          <w:jc w:val="center"/>
        </w:trPr>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价格部分（50分）</w:t>
            </w:r>
          </w:p>
        </w:tc>
        <w:tc>
          <w:tcPr>
            <w:tcW w:w="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报价</w:t>
            </w:r>
          </w:p>
        </w:tc>
        <w:tc>
          <w:tcPr>
            <w:tcW w:w="5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计算公式为：投标报价得分＝ (Cmin/C)*价格满分。其中，Cmin为所有有效投标人中的最低报价，C为投标人的报价（得分保留至小数点后两位，第三位四舍五入）。</w:t>
            </w: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w:t>
            </w:r>
          </w:p>
        </w:tc>
      </w:tr>
      <w:tr>
        <w:tblPrEx>
          <w:tblCellMar>
            <w:top w:w="0" w:type="dxa"/>
            <w:left w:w="0" w:type="dxa"/>
            <w:bottom w:w="0" w:type="dxa"/>
            <w:right w:w="0" w:type="dxa"/>
          </w:tblCellMar>
        </w:tblPrEx>
        <w:trPr>
          <w:trHeight w:val="1417" w:hRule="atLeast"/>
          <w:jc w:val="center"/>
        </w:trPr>
        <w:tc>
          <w:tcPr>
            <w:tcW w:w="963"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技术部分</w:t>
            </w:r>
            <w:r>
              <w:rPr>
                <w:rFonts w:hint="eastAsia" w:ascii="仿宋_GB2312" w:hAnsi="仿宋_GB2312" w:eastAsia="仿宋_GB2312" w:cs="仿宋_GB2312"/>
                <w:kern w:val="0"/>
                <w:szCs w:val="21"/>
                <w:lang w:bidi="ar"/>
              </w:rPr>
              <w:t>（24分）</w:t>
            </w:r>
          </w:p>
        </w:tc>
        <w:tc>
          <w:tcPr>
            <w:tcW w:w="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技术指标</w:t>
            </w:r>
          </w:p>
        </w:tc>
        <w:tc>
          <w:tcPr>
            <w:tcW w:w="5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评标委员会综合评定投标人的投标文件对招标文件的响应程度：</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1.技术参数基础分为14分；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 xml:space="preserve">2.★项技术参数有一项负偏离（不满足）则投标无效； </w:t>
            </w:r>
          </w:p>
          <w:p>
            <w:pPr>
              <w:widowControl/>
              <w:spacing w:line="30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3.▲项技术参数要求，每有一项指标负偏离（不满足）则基础分扣1分，最高扣14分。</w:t>
            </w:r>
          </w:p>
          <w:p>
            <w:pPr>
              <w:widowControl/>
              <w:spacing w:line="30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说明：证明投标产品技术指标是否满足项目需求，以投标人提供的相关证明材料为评审依据，确保产品参数的真实性和产品质量的稳定性。如提供的证明资料中未明确标明或不满足则视为负偏离。</w:t>
            </w:r>
          </w:p>
          <w:p>
            <w:pPr>
              <w:widowControl/>
              <w:spacing w:line="300" w:lineRule="exact"/>
              <w:jc w:val="left"/>
              <w:textAlignment w:val="center"/>
              <w:rPr>
                <w:rFonts w:eastAsia="仿宋_GB2312"/>
                <w:kern w:val="0"/>
                <w:szCs w:val="21"/>
                <w:lang w:bidi="ar"/>
              </w:rPr>
            </w:pPr>
            <w:r>
              <w:rPr>
                <w:rFonts w:eastAsia="仿宋_GB2312"/>
                <w:kern w:val="0"/>
                <w:szCs w:val="21"/>
                <w:lang w:bidi="ar"/>
              </w:rPr>
              <w:t>4.技术加分项（10分）：</w:t>
            </w:r>
          </w:p>
          <w:p>
            <w:pPr>
              <w:widowControl/>
              <w:spacing w:line="300" w:lineRule="exact"/>
              <w:jc w:val="left"/>
              <w:textAlignment w:val="center"/>
              <w:rPr>
                <w:rFonts w:eastAsia="仿宋_GB2312"/>
                <w:kern w:val="0"/>
                <w:szCs w:val="21"/>
                <w:lang w:bidi="ar"/>
              </w:rPr>
            </w:pPr>
            <w:r>
              <w:rPr>
                <w:rFonts w:eastAsia="仿宋_GB2312"/>
                <w:kern w:val="0"/>
                <w:szCs w:val="21"/>
                <w:lang w:bidi="ar"/>
              </w:rPr>
              <w:t>（</w:t>
            </w:r>
            <w:r>
              <w:rPr>
                <w:rFonts w:hint="eastAsia" w:eastAsia="仿宋_GB2312"/>
                <w:kern w:val="0"/>
                <w:szCs w:val="21"/>
                <w:lang w:bidi="ar"/>
              </w:rPr>
              <w:t>1</w:t>
            </w:r>
            <w:r>
              <w:rPr>
                <w:rFonts w:eastAsia="仿宋_GB2312"/>
                <w:kern w:val="0"/>
                <w:szCs w:val="21"/>
                <w:lang w:bidi="ar"/>
              </w:rPr>
              <w:t>） 配置普通DSC传感器不加分，配置</w:t>
            </w:r>
            <w:r>
              <w:rPr>
                <w:rFonts w:hint="eastAsia"/>
              </w:rPr>
              <w:t>3</w:t>
            </w:r>
            <w:r>
              <w:t>D</w:t>
            </w:r>
            <w:r>
              <w:rPr>
                <w:rFonts w:hint="eastAsia"/>
              </w:rPr>
              <w:t>-</w:t>
            </w:r>
            <w:r>
              <w:t>calvet-DSC</w:t>
            </w:r>
            <w:r>
              <w:rPr>
                <w:rFonts w:hint="eastAsia"/>
              </w:rPr>
              <w:t>传感器</w:t>
            </w:r>
            <w:r>
              <w:rPr>
                <w:rFonts w:eastAsia="仿宋_GB2312"/>
                <w:kern w:val="0"/>
                <w:szCs w:val="21"/>
                <w:lang w:bidi="ar"/>
              </w:rPr>
              <w:t>的DSC，加</w:t>
            </w:r>
            <w:r>
              <w:rPr>
                <w:rFonts w:hint="eastAsia" w:eastAsia="仿宋_GB2312"/>
                <w:kern w:val="0"/>
                <w:szCs w:val="21"/>
                <w:lang w:bidi="ar"/>
              </w:rPr>
              <w:t>5</w:t>
            </w:r>
            <w:r>
              <w:rPr>
                <w:rFonts w:eastAsia="仿宋_GB2312"/>
                <w:kern w:val="0"/>
                <w:szCs w:val="21"/>
                <w:lang w:bidi="ar"/>
              </w:rPr>
              <w:t>分</w:t>
            </w:r>
            <w:r>
              <w:rPr>
                <w:rFonts w:hint="eastAsia" w:eastAsia="仿宋_GB2312"/>
                <w:kern w:val="0"/>
                <w:szCs w:val="21"/>
                <w:lang w:val="en-US" w:eastAsia="zh-CN" w:bidi="ar"/>
              </w:rPr>
              <w:t>(提供证明材料)</w:t>
            </w:r>
            <w:r>
              <w:rPr>
                <w:rFonts w:eastAsia="仿宋_GB2312"/>
                <w:kern w:val="0"/>
                <w:szCs w:val="21"/>
                <w:lang w:bidi="ar"/>
              </w:rPr>
              <w:t>；</w:t>
            </w:r>
          </w:p>
          <w:p>
            <w:pPr>
              <w:widowControl/>
              <w:spacing w:line="300" w:lineRule="exact"/>
              <w:jc w:val="left"/>
              <w:textAlignment w:val="center"/>
              <w:rPr>
                <w:lang w:bidi="ar"/>
              </w:rPr>
            </w:pPr>
            <w:r>
              <w:rPr>
                <w:rFonts w:eastAsia="仿宋_GB2312"/>
                <w:kern w:val="0"/>
                <w:szCs w:val="21"/>
                <w:lang w:bidi="ar"/>
              </w:rPr>
              <w:t>（</w:t>
            </w:r>
            <w:r>
              <w:rPr>
                <w:rFonts w:hint="eastAsia" w:eastAsia="仿宋_GB2312"/>
                <w:kern w:val="0"/>
                <w:szCs w:val="21"/>
                <w:lang w:bidi="ar"/>
              </w:rPr>
              <w:t>2</w:t>
            </w:r>
            <w:r>
              <w:rPr>
                <w:rFonts w:eastAsia="仿宋_GB2312"/>
                <w:kern w:val="0"/>
                <w:szCs w:val="21"/>
                <w:lang w:bidi="ar"/>
              </w:rPr>
              <w:t>）没有DTA功能的，不加分，具有DTA功能的加</w:t>
            </w:r>
            <w:r>
              <w:rPr>
                <w:rFonts w:hint="eastAsia" w:eastAsia="仿宋_GB2312"/>
                <w:kern w:val="0"/>
                <w:szCs w:val="21"/>
                <w:lang w:bidi="ar"/>
              </w:rPr>
              <w:t>5</w:t>
            </w:r>
            <w:r>
              <w:rPr>
                <w:rFonts w:eastAsia="仿宋_GB2312"/>
                <w:kern w:val="0"/>
                <w:szCs w:val="21"/>
                <w:lang w:bidi="ar"/>
              </w:rPr>
              <w:t>分</w:t>
            </w:r>
            <w:r>
              <w:rPr>
                <w:rFonts w:hint="eastAsia" w:eastAsia="仿宋_GB2312"/>
                <w:kern w:val="0"/>
                <w:szCs w:val="21"/>
                <w:lang w:bidi="ar"/>
              </w:rPr>
              <w:t>（</w:t>
            </w:r>
            <w:r>
              <w:rPr>
                <w:rFonts w:hint="eastAsia" w:eastAsia="仿宋_GB2312"/>
                <w:kern w:val="0"/>
                <w:szCs w:val="21"/>
                <w:lang w:val="en-US" w:eastAsia="zh-CN" w:bidi="ar"/>
              </w:rPr>
              <w:t>提供证明材料</w:t>
            </w:r>
            <w:r>
              <w:rPr>
                <w:rFonts w:hint="eastAsia" w:eastAsia="仿宋_GB2312"/>
                <w:kern w:val="0"/>
                <w:szCs w:val="21"/>
                <w:lang w:bidi="ar"/>
              </w:rPr>
              <w:t>）</w:t>
            </w:r>
            <w:r>
              <w:rPr>
                <w:rFonts w:eastAsia="仿宋_GB2312"/>
                <w:kern w:val="0"/>
                <w:szCs w:val="21"/>
                <w:lang w:bidi="ar"/>
              </w:rPr>
              <w:t>。</w:t>
            </w: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24</w:t>
            </w:r>
          </w:p>
        </w:tc>
      </w:tr>
      <w:tr>
        <w:tblPrEx>
          <w:tblCellMar>
            <w:top w:w="0" w:type="dxa"/>
            <w:left w:w="0" w:type="dxa"/>
            <w:bottom w:w="0" w:type="dxa"/>
            <w:right w:w="0" w:type="dxa"/>
          </w:tblCellMar>
        </w:tblPrEx>
        <w:trPr>
          <w:trHeight w:val="728" w:hRule="atLeast"/>
          <w:jc w:val="center"/>
        </w:trPr>
        <w:tc>
          <w:tcPr>
            <w:tcW w:w="963"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商务部分（26分）</w:t>
            </w:r>
          </w:p>
        </w:tc>
        <w:tc>
          <w:tcPr>
            <w:tcW w:w="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1177"/>
                <w:tab w:val="left" w:pos="1498"/>
              </w:tabs>
              <w:spacing w:line="276" w:lineRule="auto"/>
              <w:jc w:val="center"/>
              <w:rPr>
                <w:rFonts w:ascii="仿宋" w:hAnsi="仿宋" w:cs="仿宋_GB2312"/>
                <w:color w:val="000000" w:themeColor="text1"/>
                <w:szCs w:val="21"/>
                <w14:textFill>
                  <w14:solidFill>
                    <w14:schemeClr w14:val="tx1"/>
                  </w14:solidFill>
                </w14:textFill>
              </w:rPr>
            </w:pPr>
            <w:r>
              <w:rPr>
                <w:rFonts w:hint="eastAsia" w:ascii="宋体" w:hAnsi="宋体"/>
                <w:color w:val="000000" w:themeColor="text1"/>
                <w:kern w:val="0"/>
                <w14:textFill>
                  <w14:solidFill>
                    <w14:schemeClr w14:val="tx1"/>
                  </w14:solidFill>
                </w14:textFill>
              </w:rPr>
              <w:t>安装调试方案</w:t>
            </w:r>
          </w:p>
        </w:tc>
        <w:tc>
          <w:tcPr>
            <w:tcW w:w="5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7"/>
              <w:ind w:firstLine="0"/>
              <w:rPr>
                <w:rFonts w:ascii="宋体" w:hAnsi="宋体"/>
                <w:color w:val="000000" w:themeColor="text1"/>
                <w14:textFill>
                  <w14:solidFill>
                    <w14:schemeClr w14:val="tx1"/>
                  </w14:solidFill>
                </w14:textFill>
              </w:rPr>
            </w:pPr>
            <w:r>
              <w:rPr>
                <w:rFonts w:hint="eastAsia" w:ascii="仿宋" w:hAnsi="仿宋" w:cs="仿宋"/>
                <w:color w:val="000000" w:themeColor="text1"/>
                <w:szCs w:val="21"/>
                <w:lang w:bidi="ar"/>
                <w14:textFill>
                  <w14:solidFill>
                    <w14:schemeClr w14:val="tx1"/>
                  </w14:solidFill>
                </w14:textFill>
              </w:rPr>
              <w:t>评标委员会根据</w:t>
            </w:r>
            <w:r>
              <w:rPr>
                <w:rFonts w:hint="eastAsia" w:ascii="宋体" w:hAnsi="宋体"/>
                <w:color w:val="000000" w:themeColor="text1"/>
                <w14:textFill>
                  <w14:solidFill>
                    <w14:schemeClr w14:val="tx1"/>
                  </w14:solidFill>
                </w14:textFill>
              </w:rPr>
              <w:t>提供详细的安装和调试方案，包括安装计划、技术支持、验收实施方案等。</w:t>
            </w:r>
          </w:p>
          <w:p>
            <w:pPr>
              <w:pStyle w:val="7"/>
              <w:ind w:firstLine="0"/>
              <w:rPr>
                <w:rFonts w:ascii="宋体" w:hAnsi="宋体"/>
                <w:color w:val="000000" w:themeColor="text1"/>
                <w14:textFill>
                  <w14:solidFill>
                    <w14:schemeClr w14:val="tx1"/>
                  </w14:solidFill>
                </w14:textFill>
              </w:rPr>
            </w:pPr>
            <w:r>
              <w:rPr>
                <w:rFonts w:hint="eastAsia" w:ascii="仿宋" w:hAnsi="仿宋" w:cs="仿宋"/>
                <w:color w:val="000000" w:themeColor="text1"/>
                <w:szCs w:val="21"/>
                <w:lang w:bidi="ar"/>
                <w14:textFill>
                  <w14:solidFill>
                    <w14:schemeClr w14:val="tx1"/>
                  </w14:solidFill>
                </w14:textFill>
              </w:rPr>
              <w:t>1.方案合理、可行性强、内容完善且技术免费支撑保障时间</w:t>
            </w:r>
            <w:r>
              <w:rPr>
                <w:rFonts w:hint="eastAsia" w:ascii="宋体" w:hAnsi="宋体"/>
                <w:color w:val="000000" w:themeColor="text1"/>
                <w14:textFill>
                  <w14:solidFill>
                    <w14:schemeClr w14:val="tx1"/>
                  </w14:solidFill>
                </w14:textFill>
              </w:rPr>
              <w:t>超过7年（含）的得5分；</w:t>
            </w:r>
          </w:p>
          <w:p>
            <w:pPr>
              <w:pStyle w:val="7"/>
              <w:ind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2.方案基本合理、内容完善且技术免费支撑保障时间超过5年（含）的得3分；</w:t>
            </w:r>
          </w:p>
          <w:p>
            <w:pPr>
              <w:pStyle w:val="15"/>
              <w:snapToGrid w:val="0"/>
              <w:spacing w:before="0" w:beforeAutospacing="0" w:after="0" w:afterAutospacing="0" w:line="300" w:lineRule="exact"/>
              <w:rPr>
                <w:rFonts w:ascii="仿宋" w:hAnsi="仿宋" w:eastAsia="仿宋" w:cs="仿宋"/>
                <w:color w:val="000000" w:themeColor="text1"/>
                <w:sz w:val="21"/>
                <w:szCs w:val="21"/>
                <w:lang w:bidi="ar"/>
                <w14:textFill>
                  <w14:solidFill>
                    <w14:schemeClr w14:val="tx1"/>
                  </w14:solidFill>
                </w14:textFill>
              </w:rPr>
            </w:pPr>
            <w:r>
              <w:rPr>
                <w:rFonts w:hint="eastAsia" w:ascii="仿宋" w:hAnsi="仿宋" w:eastAsia="仿宋" w:cs="仿宋"/>
                <w:color w:val="000000" w:themeColor="text1"/>
                <w:sz w:val="21"/>
                <w:szCs w:val="21"/>
                <w:lang w:bidi="ar"/>
                <w14:textFill>
                  <w14:solidFill>
                    <w14:schemeClr w14:val="tx1"/>
                  </w14:solidFill>
                </w14:textFill>
              </w:rPr>
              <w:t>3.方案一般的得</w:t>
            </w:r>
            <w:r>
              <w:rPr>
                <w:rFonts w:ascii="仿宋" w:hAnsi="仿宋" w:eastAsia="仿宋" w:cs="仿宋"/>
                <w:color w:val="000000" w:themeColor="text1"/>
                <w:sz w:val="21"/>
                <w:szCs w:val="21"/>
                <w:lang w:bidi="ar"/>
                <w14:textFill>
                  <w14:solidFill>
                    <w14:schemeClr w14:val="tx1"/>
                  </w14:solidFill>
                </w14:textFill>
              </w:rPr>
              <w:t>1</w:t>
            </w:r>
            <w:r>
              <w:rPr>
                <w:rFonts w:hint="eastAsia" w:ascii="仿宋" w:hAnsi="仿宋" w:eastAsia="仿宋" w:cs="仿宋"/>
                <w:color w:val="000000" w:themeColor="text1"/>
                <w:sz w:val="21"/>
                <w:szCs w:val="21"/>
                <w:lang w:bidi="ar"/>
                <w14:textFill>
                  <w14:solidFill>
                    <w14:schemeClr w14:val="tx1"/>
                  </w14:solidFill>
                </w14:textFill>
              </w:rPr>
              <w:t>分；</w:t>
            </w:r>
          </w:p>
          <w:p>
            <w:pPr>
              <w:pStyle w:val="8"/>
              <w:rPr>
                <w:rFonts w:ascii="宋体" w:hAnsi="宋体" w:cs="Arial"/>
                <w:color w:val="000000" w:themeColor="text1"/>
                <w:kern w:val="0"/>
                <w:szCs w:val="21"/>
                <w14:textFill>
                  <w14:solidFill>
                    <w14:schemeClr w14:val="tx1"/>
                  </w14:solidFill>
                </w14:textFill>
              </w:rPr>
            </w:pPr>
            <w:r>
              <w:rPr>
                <w:rFonts w:hint="eastAsia" w:ascii="仿宋" w:hAnsi="仿宋" w:cs="仿宋"/>
                <w:color w:val="000000" w:themeColor="text1"/>
                <w:szCs w:val="21"/>
                <w:lang w:bidi="ar"/>
                <w14:textFill>
                  <w14:solidFill>
                    <w14:schemeClr w14:val="tx1"/>
                  </w14:solidFill>
                </w14:textFill>
              </w:rPr>
              <w:t>4.未提供的，不得分。</w:t>
            </w: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76" w:lineRule="auto"/>
              <w:jc w:val="center"/>
              <w:rPr>
                <w:rFonts w:ascii="仿宋" w:hAnsi="仿宋" w:cs="仿宋_GB2312"/>
                <w:color w:val="000000" w:themeColor="text1"/>
                <w:szCs w:val="21"/>
                <w14:textFill>
                  <w14:solidFill>
                    <w14:schemeClr w14:val="tx1"/>
                  </w14:solidFill>
                </w14:textFill>
              </w:rPr>
            </w:pPr>
            <w:r>
              <w:rPr>
                <w:rFonts w:ascii="仿宋" w:hAnsi="仿宋" w:cs="仿宋_GB2312"/>
                <w:color w:val="000000" w:themeColor="text1"/>
                <w:szCs w:val="21"/>
                <w14:textFill>
                  <w14:solidFill>
                    <w14:schemeClr w14:val="tx1"/>
                  </w14:solidFill>
                </w14:textFill>
              </w:rPr>
              <w:t>5</w:t>
            </w:r>
          </w:p>
        </w:tc>
      </w:tr>
      <w:tr>
        <w:tblPrEx>
          <w:tblCellMar>
            <w:top w:w="0" w:type="dxa"/>
            <w:left w:w="0" w:type="dxa"/>
            <w:bottom w:w="0" w:type="dxa"/>
            <w:right w:w="0" w:type="dxa"/>
          </w:tblCellMar>
        </w:tblPrEx>
        <w:trPr>
          <w:trHeight w:val="760" w:hRule="atLeast"/>
          <w:jc w:val="center"/>
        </w:trPr>
        <w:tc>
          <w:tcPr>
            <w:tcW w:w="963"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kern w:val="0"/>
                <w:szCs w:val="21"/>
                <w:lang w:bidi="ar"/>
              </w:rPr>
            </w:pPr>
          </w:p>
        </w:tc>
        <w:tc>
          <w:tcPr>
            <w:tcW w:w="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ind w:left="315" w:hanging="315" w:hangingChars="150"/>
              <w:jc w:val="center"/>
              <w:rPr>
                <w:rFonts w:ascii="仿宋_GB2312" w:hAnsi="仿宋_GB2312" w:eastAsia="仿宋_GB2312" w:cs="仿宋_GB2312"/>
                <w:color w:val="000000" w:themeColor="text1"/>
                <w:kern w:val="0"/>
                <w:szCs w:val="21"/>
                <w:lang w:bidi="ar"/>
                <w14:textFill>
                  <w14:solidFill>
                    <w14:schemeClr w14:val="tx1"/>
                  </w14:solidFill>
                </w14:textFill>
              </w:rPr>
            </w:pPr>
            <w:r>
              <w:rPr>
                <w:rFonts w:hint="eastAsia" w:ascii="仿宋_GB2312" w:hAnsi="宋体" w:eastAsia="仿宋_GB2312" w:cs="Arial"/>
                <w:color w:val="000000" w:themeColor="text1"/>
                <w:szCs w:val="21"/>
                <w14:textFill>
                  <w14:solidFill>
                    <w14:schemeClr w14:val="tx1"/>
                  </w14:solidFill>
                </w14:textFill>
              </w:rPr>
              <w:t>业绩</w:t>
            </w:r>
          </w:p>
        </w:tc>
        <w:tc>
          <w:tcPr>
            <w:tcW w:w="5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仿宋_GB2312" w:eastAsia="仿宋_GB2312" w:cs="仿宋_GB2312"/>
                <w:color w:val="000000" w:themeColor="text1"/>
                <w:kern w:val="0"/>
                <w:szCs w:val="21"/>
                <w:lang w:bidi="ar"/>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2017年1月1日至开</w:t>
            </w:r>
            <w:r>
              <w:rPr>
                <w:rFonts w:hint="eastAsia" w:ascii="仿宋_GB2312" w:hAnsi="仿宋_GB2312" w:eastAsia="仿宋_GB2312" w:cs="仿宋_GB2312"/>
                <w:color w:val="000000" w:themeColor="text1"/>
                <w:kern w:val="0"/>
                <w:szCs w:val="21"/>
                <w14:textFill>
                  <w14:solidFill>
                    <w14:schemeClr w14:val="tx1"/>
                  </w14:solidFill>
                </w14:textFill>
              </w:rPr>
              <w:t>标日，投标人具有类似项目业绩，每提供1份合同得</w:t>
            </w:r>
            <w:r>
              <w:rPr>
                <w:rFonts w:ascii="仿宋_GB2312" w:hAnsi="仿宋_GB2312" w:eastAsia="仿宋_GB2312" w:cs="仿宋_GB2312"/>
                <w:color w:val="000000" w:themeColor="text1"/>
                <w:kern w:val="0"/>
                <w:szCs w:val="21"/>
                <w14:textFill>
                  <w14:solidFill>
                    <w14:schemeClr w14:val="tx1"/>
                  </w14:solidFill>
                </w14:textFill>
              </w:rPr>
              <w:t>1</w:t>
            </w:r>
            <w:r>
              <w:rPr>
                <w:rFonts w:hint="eastAsia" w:ascii="仿宋_GB2312" w:hAnsi="仿宋_GB2312" w:eastAsia="仿宋_GB2312" w:cs="仿宋_GB2312"/>
                <w:color w:val="000000" w:themeColor="text1"/>
                <w:kern w:val="0"/>
                <w:szCs w:val="21"/>
                <w14:textFill>
                  <w14:solidFill>
                    <w14:schemeClr w14:val="tx1"/>
                  </w14:solidFill>
                </w14:textFill>
              </w:rPr>
              <w:t>分，最高得</w:t>
            </w:r>
            <w:r>
              <w:rPr>
                <w:rFonts w:ascii="仿宋_GB2312" w:hAnsi="仿宋_GB2312" w:eastAsia="仿宋_GB2312" w:cs="仿宋_GB2312"/>
                <w:color w:val="000000" w:themeColor="text1"/>
                <w:kern w:val="0"/>
                <w:szCs w:val="21"/>
                <w14:textFill>
                  <w14:solidFill>
                    <w14:schemeClr w14:val="tx1"/>
                  </w14:solidFill>
                </w14:textFill>
              </w:rPr>
              <w:t>3</w:t>
            </w:r>
            <w:r>
              <w:rPr>
                <w:rFonts w:hint="eastAsia" w:ascii="仿宋_GB2312" w:hAnsi="仿宋_GB2312" w:eastAsia="仿宋_GB2312" w:cs="仿宋_GB2312"/>
                <w:color w:val="000000" w:themeColor="text1"/>
                <w:kern w:val="0"/>
                <w:szCs w:val="21"/>
                <w14:textFill>
                  <w14:solidFill>
                    <w14:schemeClr w14:val="tx1"/>
                  </w14:solidFill>
                </w14:textFill>
              </w:rPr>
              <w:t>分。</w:t>
            </w:r>
            <w:r>
              <w:rPr>
                <w:rFonts w:hint="eastAsia" w:ascii="仿宋_GB2312" w:hAnsi="宋体" w:eastAsia="仿宋_GB2312" w:cs="Arial"/>
                <w:b/>
                <w:bCs/>
                <w:color w:val="000000" w:themeColor="text1"/>
                <w:szCs w:val="21"/>
                <w14:textFill>
                  <w14:solidFill>
                    <w14:schemeClr w14:val="tx1"/>
                  </w14:solidFill>
                </w14:textFill>
              </w:rPr>
              <w:t>（投标文件正本中提供合同复印件加盖公章）</w:t>
            </w: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Cs w:val="21"/>
                <w:lang w:bidi="ar"/>
                <w14:textFill>
                  <w14:solidFill>
                    <w14:schemeClr w14:val="tx1"/>
                  </w14:solidFill>
                </w14:textFill>
              </w:rPr>
            </w:pPr>
            <w:r>
              <w:rPr>
                <w:rFonts w:ascii="仿宋_GB2312" w:hAnsi="仿宋_GB2312" w:eastAsia="仿宋_GB2312" w:cs="仿宋_GB2312"/>
                <w:color w:val="000000" w:themeColor="text1"/>
                <w:kern w:val="0"/>
                <w:szCs w:val="21"/>
                <w:lang w:bidi="ar"/>
                <w14:textFill>
                  <w14:solidFill>
                    <w14:schemeClr w14:val="tx1"/>
                  </w14:solidFill>
                </w14:textFill>
              </w:rPr>
              <w:t>3</w:t>
            </w:r>
          </w:p>
        </w:tc>
      </w:tr>
      <w:tr>
        <w:tblPrEx>
          <w:tblCellMar>
            <w:top w:w="0" w:type="dxa"/>
            <w:left w:w="0" w:type="dxa"/>
            <w:bottom w:w="0" w:type="dxa"/>
            <w:right w:w="0" w:type="dxa"/>
          </w:tblCellMar>
        </w:tblPrEx>
        <w:trPr>
          <w:trHeight w:val="421" w:hRule="atLeast"/>
          <w:jc w:val="center"/>
        </w:trPr>
        <w:tc>
          <w:tcPr>
            <w:tcW w:w="963"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kern w:val="0"/>
                <w:szCs w:val="21"/>
                <w:lang w:bidi="ar"/>
              </w:rPr>
            </w:pPr>
          </w:p>
        </w:tc>
        <w:tc>
          <w:tcPr>
            <w:tcW w:w="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Cs w:val="21"/>
                <w:lang w:bidi="ar"/>
                <w14:textFill>
                  <w14:solidFill>
                    <w14:schemeClr w14:val="tx1"/>
                  </w14:solidFill>
                </w14:textFill>
              </w:rPr>
            </w:pPr>
            <w:r>
              <w:rPr>
                <w:rFonts w:hint="eastAsia" w:ascii="宋体" w:hAnsi="宋体"/>
                <w:color w:val="000000" w:themeColor="text1"/>
                <w:kern w:val="0"/>
                <w14:textFill>
                  <w14:solidFill>
                    <w14:schemeClr w14:val="tx1"/>
                  </w14:solidFill>
                </w14:textFill>
              </w:rPr>
              <w:t>售后服务</w:t>
            </w:r>
          </w:p>
        </w:tc>
        <w:tc>
          <w:tcPr>
            <w:tcW w:w="5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5"/>
              <w:snapToGrid w:val="0"/>
              <w:spacing w:before="0" w:beforeAutospacing="0" w:after="0" w:afterAutospacing="0" w:line="300" w:lineRule="exact"/>
              <w:rPr>
                <w:rFonts w:ascii="仿宋_GB2312" w:eastAsia="仿宋_GB2312" w:cs="Arial"/>
                <w:bCs/>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bidi="ar"/>
                <w14:textFill>
                  <w14:solidFill>
                    <w14:schemeClr w14:val="tx1"/>
                  </w14:solidFill>
                </w14:textFill>
              </w:rPr>
              <w:t>评标委员会根据提供售后服务方案进行综合评审</w:t>
            </w:r>
            <w:r>
              <w:rPr>
                <w:rFonts w:hint="eastAsia" w:ascii="仿宋_GB2312" w:eastAsia="仿宋_GB2312" w:cs="Arial"/>
                <w:bCs/>
                <w:color w:val="000000" w:themeColor="text1"/>
                <w:sz w:val="21"/>
                <w:szCs w:val="21"/>
                <w14:textFill>
                  <w14:solidFill>
                    <w14:schemeClr w14:val="tx1"/>
                  </w14:solidFill>
                </w14:textFill>
              </w:rPr>
              <w:t xml:space="preserve">：  </w:t>
            </w:r>
          </w:p>
          <w:p>
            <w:pPr>
              <w:widowControl/>
              <w:spacing w:line="276" w:lineRule="auto"/>
              <w:jc w:val="left"/>
              <w:rPr>
                <w:rFonts w:ascii="仿宋" w:hAnsi="仿宋" w:cs="仿宋"/>
                <w:color w:val="000000" w:themeColor="text1"/>
                <w14:textFill>
                  <w14:solidFill>
                    <w14:schemeClr w14:val="tx1"/>
                  </w14:solidFill>
                </w14:textFill>
              </w:rPr>
            </w:pPr>
            <w:r>
              <w:rPr>
                <w:rFonts w:hint="eastAsia" w:ascii="仿宋" w:hAnsi="仿宋" w:cs="仿宋"/>
                <w:color w:val="000000" w:themeColor="text1"/>
                <w14:textFill>
                  <w14:solidFill>
                    <w14:schemeClr w14:val="tx1"/>
                  </w14:solidFill>
                </w14:textFill>
              </w:rPr>
              <w:t>1.完全响应表述售后服务质保期要求，整体售后服务承诺完善详细、针对性强，服务内容有专业性，内容清晰、切实可行，提出科学、合理、有效地服务承诺得6分；</w:t>
            </w:r>
          </w:p>
          <w:p>
            <w:pPr>
              <w:widowControl/>
              <w:spacing w:line="276" w:lineRule="auto"/>
              <w:jc w:val="left"/>
              <w:rPr>
                <w:rFonts w:ascii="仿宋" w:hAnsi="仿宋" w:cs="仿宋"/>
                <w:color w:val="000000" w:themeColor="text1"/>
                <w14:textFill>
                  <w14:solidFill>
                    <w14:schemeClr w14:val="tx1"/>
                  </w14:solidFill>
                </w14:textFill>
              </w:rPr>
            </w:pPr>
            <w:r>
              <w:rPr>
                <w:rFonts w:hint="eastAsia" w:ascii="仿宋" w:hAnsi="仿宋" w:cs="仿宋"/>
                <w:color w:val="000000" w:themeColor="text1"/>
                <w14:textFill>
                  <w14:solidFill>
                    <w14:schemeClr w14:val="tx1"/>
                  </w14:solidFill>
                </w14:textFill>
              </w:rPr>
              <w:t>2.项目整体售后服务承诺基本完善，基本合理，针对性一般，可操作性一般得3分；</w:t>
            </w:r>
          </w:p>
          <w:p>
            <w:pPr>
              <w:widowControl/>
              <w:spacing w:line="276" w:lineRule="auto"/>
              <w:jc w:val="left"/>
              <w:rPr>
                <w:rFonts w:ascii="仿宋" w:hAnsi="仿宋" w:cs="仿宋"/>
                <w:color w:val="000000" w:themeColor="text1"/>
                <w14:textFill>
                  <w14:solidFill>
                    <w14:schemeClr w14:val="tx1"/>
                  </w14:solidFill>
                </w14:textFill>
              </w:rPr>
            </w:pPr>
            <w:r>
              <w:rPr>
                <w:rFonts w:hint="eastAsia" w:ascii="仿宋" w:hAnsi="仿宋" w:cs="仿宋"/>
                <w:color w:val="000000" w:themeColor="text1"/>
                <w14:textFill>
                  <w14:solidFill>
                    <w14:schemeClr w14:val="tx1"/>
                  </w14:solidFill>
                </w14:textFill>
              </w:rPr>
              <w:t>3.项目整体售后服务承诺不完善，不合理，针对性差，可实施性差得1分；</w:t>
            </w:r>
          </w:p>
          <w:p>
            <w:pPr>
              <w:pStyle w:val="8"/>
              <w:rPr>
                <w:rFonts w:ascii="仿宋_GB2312" w:hAnsi="仿宋_GB2312" w:eastAsia="仿宋_GB2312" w:cs="仿宋_GB2312"/>
                <w:color w:val="000000" w:themeColor="text1"/>
                <w:kern w:val="0"/>
                <w:szCs w:val="21"/>
                <w:lang w:bidi="ar"/>
                <w14:textFill>
                  <w14:solidFill>
                    <w14:schemeClr w14:val="tx1"/>
                  </w14:solidFill>
                </w14:textFill>
              </w:rPr>
            </w:pPr>
            <w:r>
              <w:rPr>
                <w:rFonts w:hint="eastAsia" w:ascii="仿宋" w:hAnsi="仿宋" w:cs="仿宋"/>
                <w:color w:val="000000" w:themeColor="text1"/>
                <w14:textFill>
                  <w14:solidFill>
                    <w14:schemeClr w14:val="tx1"/>
                  </w14:solidFill>
                </w14:textFill>
              </w:rPr>
              <w:t>4.未提供售后服务承诺不得分。</w:t>
            </w:r>
            <w:r>
              <w:rPr>
                <w:rFonts w:hint="eastAsia" w:ascii="仿宋_GB2312" w:eastAsia="仿宋_GB2312" w:cs="Arial"/>
                <w:bCs/>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lang w:bidi="ar"/>
                <w14:textFill>
                  <w14:solidFill>
                    <w14:schemeClr w14:val="tx1"/>
                  </w14:solidFill>
                </w14:textFill>
              </w:rPr>
              <w:t xml:space="preserve">                                                                          </w:t>
            </w: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Cs w:val="21"/>
                <w:lang w:bidi="ar"/>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6</w:t>
            </w:r>
          </w:p>
        </w:tc>
      </w:tr>
      <w:tr>
        <w:tblPrEx>
          <w:tblCellMar>
            <w:top w:w="0" w:type="dxa"/>
            <w:left w:w="0" w:type="dxa"/>
            <w:bottom w:w="0" w:type="dxa"/>
            <w:right w:w="0" w:type="dxa"/>
          </w:tblCellMar>
        </w:tblPrEx>
        <w:trPr>
          <w:trHeight w:val="90" w:hRule="atLeast"/>
          <w:jc w:val="center"/>
        </w:trPr>
        <w:tc>
          <w:tcPr>
            <w:tcW w:w="963"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kern w:val="0"/>
                <w:szCs w:val="21"/>
                <w:lang w:bidi="ar"/>
              </w:rPr>
            </w:pPr>
          </w:p>
        </w:tc>
        <w:tc>
          <w:tcPr>
            <w:tcW w:w="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培训方案</w:t>
            </w:r>
          </w:p>
        </w:tc>
        <w:tc>
          <w:tcPr>
            <w:tcW w:w="5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Arial"/>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bidi="ar"/>
                <w14:textFill>
                  <w14:solidFill>
                    <w14:schemeClr w14:val="tx1"/>
                  </w14:solidFill>
                </w14:textFill>
              </w:rPr>
              <w:t>评标委员会根据提供培训方案</w:t>
            </w:r>
            <w:r>
              <w:rPr>
                <w:color w:val="000000" w:themeColor="text1"/>
                <w:kern w:val="0"/>
                <w:sz w:val="20"/>
                <w:szCs w:val="20"/>
                <w14:textFill>
                  <w14:solidFill>
                    <w14:schemeClr w14:val="tx1"/>
                  </w14:solidFill>
                </w14:textFill>
              </w:rPr>
              <w:t>在</w:t>
            </w:r>
            <w:r>
              <w:rPr>
                <w:rFonts w:hint="eastAsia" w:ascii="仿宋_GB2312" w:hAnsi="仿宋_GB2312" w:eastAsia="仿宋_GB2312" w:cs="仿宋_GB2312"/>
                <w:color w:val="000000" w:themeColor="text1"/>
                <w:szCs w:val="21"/>
                <w:lang w:bidi="ar"/>
                <w14:textFill>
                  <w14:solidFill>
                    <w14:schemeClr w14:val="tx1"/>
                  </w14:solidFill>
                </w14:textFill>
              </w:rPr>
              <w:t>进行综合评审</w:t>
            </w:r>
            <w:r>
              <w:rPr>
                <w:rFonts w:hint="eastAsia" w:ascii="仿宋_GB2312" w:eastAsia="仿宋_GB2312" w:cs="Arial"/>
                <w:bCs/>
                <w:color w:val="000000" w:themeColor="text1"/>
                <w:szCs w:val="21"/>
                <w14:textFill>
                  <w14:solidFill>
                    <w14:schemeClr w14:val="tx1"/>
                  </w14:solidFill>
                </w14:textFill>
              </w:rPr>
              <w:t>：</w:t>
            </w:r>
          </w:p>
          <w:p>
            <w:pPr>
              <w:widowControl/>
              <w:jc w:val="left"/>
              <w:textAlignment w:val="center"/>
              <w:rPr>
                <w:rFonts w:ascii="仿宋" w:hAnsi="仿宋" w:cs="仿宋"/>
                <w:color w:val="000000" w:themeColor="text1"/>
                <w:kern w:val="0"/>
                <w:szCs w:val="21"/>
                <w:lang w:bidi="ar"/>
                <w14:textFill>
                  <w14:solidFill>
                    <w14:schemeClr w14:val="tx1"/>
                  </w14:solidFill>
                </w14:textFill>
              </w:rPr>
            </w:pPr>
            <w:r>
              <w:rPr>
                <w:rFonts w:hint="eastAsia" w:ascii="仿宋" w:hAnsi="仿宋" w:cs="仿宋"/>
                <w:color w:val="000000" w:themeColor="text1"/>
                <w:kern w:val="0"/>
                <w:szCs w:val="21"/>
                <w:lang w:bidi="ar"/>
                <w14:textFill>
                  <w14:solidFill>
                    <w14:schemeClr w14:val="tx1"/>
                  </w14:solidFill>
                </w14:textFill>
              </w:rPr>
              <w:t>1.投标人制定的培训方案全面、合理，</w:t>
            </w:r>
            <w:r>
              <w:rPr>
                <w:color w:val="000000" w:themeColor="text1"/>
                <w:kern w:val="0"/>
                <w:sz w:val="20"/>
                <w:szCs w:val="20"/>
                <w14:textFill>
                  <w14:solidFill>
                    <w14:schemeClr w14:val="tx1"/>
                  </w14:solidFill>
                </w14:textFill>
              </w:rPr>
              <w:t>用户现场进行不少于 3 个工作日</w:t>
            </w:r>
            <w:r>
              <w:rPr>
                <w:rFonts w:hint="eastAsia" w:ascii="仿宋" w:hAnsi="仿宋" w:cs="仿宋"/>
                <w:color w:val="000000" w:themeColor="text1"/>
                <w:szCs w:val="21"/>
                <w:lang w:bidi="ar"/>
                <w14:textFill>
                  <w14:solidFill>
                    <w14:schemeClr w14:val="tx1"/>
                  </w14:solidFill>
                </w14:textFill>
              </w:rPr>
              <w:t>不少于7人的</w:t>
            </w:r>
            <w:r>
              <w:rPr>
                <w:color w:val="000000" w:themeColor="text1"/>
                <w:kern w:val="0"/>
                <w:sz w:val="20"/>
                <w:szCs w:val="20"/>
                <w14:textFill>
                  <w14:solidFill>
                    <w14:schemeClr w14:val="tx1"/>
                  </w14:solidFill>
                </w14:textFill>
              </w:rPr>
              <w:t>的培训，包括</w:t>
            </w:r>
            <w:r>
              <w:rPr>
                <w:rFonts w:hint="eastAsia" w:ascii="仿宋" w:hAnsi="仿宋" w:cs="仿宋"/>
                <w:color w:val="000000" w:themeColor="text1"/>
                <w:szCs w:val="21"/>
                <w:lang w:bidi="ar"/>
                <w14:textFill>
                  <w14:solidFill>
                    <w14:schemeClr w14:val="tx1"/>
                  </w14:solidFill>
                </w14:textFill>
              </w:rPr>
              <w:t>常规操作、维护、保养方法和操作技巧</w:t>
            </w:r>
            <w:r>
              <w:rPr>
                <w:color w:val="000000" w:themeColor="text1"/>
                <w:kern w:val="0"/>
                <w:sz w:val="20"/>
                <w:szCs w:val="20"/>
                <w14:textFill>
                  <w14:solidFill>
                    <w14:schemeClr w14:val="tx1"/>
                  </w14:solidFill>
                </w14:textFill>
              </w:rPr>
              <w:t>等，直至用户</w:t>
            </w:r>
            <w:r>
              <w:rPr>
                <w:rFonts w:hint="eastAsia"/>
                <w:color w:val="000000" w:themeColor="text1"/>
                <w:kern w:val="0"/>
                <w:sz w:val="20"/>
                <w:szCs w:val="20"/>
                <w14:textFill>
                  <w14:solidFill>
                    <w14:schemeClr w14:val="tx1"/>
                  </w14:solidFill>
                </w14:textFill>
              </w:rPr>
              <w:t>能够</w:t>
            </w:r>
            <w:r>
              <w:rPr>
                <w:color w:val="000000" w:themeColor="text1"/>
                <w:kern w:val="0"/>
                <w:sz w:val="20"/>
                <w:szCs w:val="20"/>
                <w14:textFill>
                  <w14:solidFill>
                    <w14:schemeClr w14:val="tx1"/>
                  </w14:solidFill>
                </w14:textFill>
              </w:rPr>
              <w:t>独立</w:t>
            </w:r>
            <w:r>
              <w:rPr>
                <w:rFonts w:hint="eastAsia"/>
                <w:color w:val="000000" w:themeColor="text1"/>
                <w:kern w:val="0"/>
                <w:sz w:val="20"/>
                <w:szCs w:val="20"/>
                <w14:textFill>
                  <w14:solidFill>
                    <w14:schemeClr w14:val="tx1"/>
                  </w14:solidFill>
                </w14:textFill>
              </w:rPr>
              <w:t>熟练操作</w:t>
            </w:r>
            <w:r>
              <w:rPr>
                <w:color w:val="000000" w:themeColor="text1"/>
                <w:kern w:val="0"/>
                <w:sz w:val="20"/>
                <w:szCs w:val="20"/>
                <w14:textFill>
                  <w14:solidFill>
                    <w14:schemeClr w14:val="tx1"/>
                  </w14:solidFill>
                </w14:textFill>
              </w:rPr>
              <w:t>等，费用包含在合同价格内</w:t>
            </w:r>
            <w:r>
              <w:rPr>
                <w:rFonts w:hint="eastAsia"/>
                <w:color w:val="000000" w:themeColor="text1"/>
                <w:kern w:val="0"/>
                <w:sz w:val="20"/>
                <w:szCs w:val="20"/>
                <w14:textFill>
                  <w14:solidFill>
                    <w14:schemeClr w14:val="tx1"/>
                  </w14:solidFill>
                </w14:textFill>
              </w:rPr>
              <w:t>等</w:t>
            </w:r>
            <w:r>
              <w:rPr>
                <w:rFonts w:hint="eastAsia" w:ascii="仿宋" w:hAnsi="仿宋" w:cs="仿宋"/>
                <w:color w:val="000000" w:themeColor="text1"/>
                <w:kern w:val="0"/>
                <w:szCs w:val="21"/>
                <w:lang w:bidi="ar"/>
                <w14:textFill>
                  <w14:solidFill>
                    <w14:schemeClr w14:val="tx1"/>
                  </w14:solidFill>
                </w14:textFill>
              </w:rPr>
              <w:t>的得5分。</w:t>
            </w:r>
          </w:p>
          <w:p>
            <w:pPr>
              <w:widowControl/>
              <w:jc w:val="left"/>
              <w:textAlignment w:val="center"/>
              <w:rPr>
                <w:rFonts w:ascii="仿宋" w:hAnsi="仿宋" w:cs="仿宋"/>
                <w:color w:val="000000" w:themeColor="text1"/>
                <w:kern w:val="0"/>
                <w:szCs w:val="21"/>
                <w:lang w:bidi="ar"/>
                <w14:textFill>
                  <w14:solidFill>
                    <w14:schemeClr w14:val="tx1"/>
                  </w14:solidFill>
                </w14:textFill>
              </w:rPr>
            </w:pPr>
            <w:r>
              <w:rPr>
                <w:rFonts w:hint="eastAsia" w:ascii="仿宋" w:hAnsi="仿宋" w:cs="仿宋"/>
                <w:color w:val="000000" w:themeColor="text1"/>
                <w:kern w:val="0"/>
                <w:szCs w:val="21"/>
                <w:lang w:bidi="ar"/>
                <w14:textFill>
                  <w14:solidFill>
                    <w14:schemeClr w14:val="tx1"/>
                  </w14:solidFill>
                </w14:textFill>
              </w:rPr>
              <w:t>2.培训方案较全面、较合理，较好保证培训的质量和按计划完成的得3分。</w:t>
            </w:r>
          </w:p>
          <w:p>
            <w:pPr>
              <w:widowControl/>
              <w:jc w:val="left"/>
              <w:textAlignment w:val="center"/>
              <w:rPr>
                <w:rFonts w:ascii="仿宋" w:hAnsi="仿宋" w:cs="仿宋"/>
                <w:color w:val="000000" w:themeColor="text1"/>
                <w:kern w:val="0"/>
                <w:szCs w:val="21"/>
                <w:lang w:bidi="ar"/>
                <w14:textFill>
                  <w14:solidFill>
                    <w14:schemeClr w14:val="tx1"/>
                  </w14:solidFill>
                </w14:textFill>
              </w:rPr>
            </w:pPr>
            <w:r>
              <w:rPr>
                <w:rFonts w:hint="eastAsia" w:ascii="仿宋" w:hAnsi="仿宋" w:cs="仿宋"/>
                <w:color w:val="000000" w:themeColor="text1"/>
                <w:kern w:val="0"/>
                <w:szCs w:val="21"/>
                <w:lang w:bidi="ar"/>
                <w14:textFill>
                  <w14:solidFill>
                    <w14:schemeClr w14:val="tx1"/>
                  </w14:solidFill>
                </w14:textFill>
              </w:rPr>
              <w:t>3.培训方案一般，质量保证一般的得1分。</w:t>
            </w:r>
          </w:p>
          <w:p>
            <w:pPr>
              <w:pStyle w:val="15"/>
              <w:snapToGrid w:val="0"/>
              <w:spacing w:before="0" w:beforeAutospacing="0" w:after="0" w:afterAutospacing="0" w:line="300" w:lineRule="exact"/>
              <w:rPr>
                <w:rFonts w:ascii="仿宋_GB2312" w:eastAsia="仿宋_GB2312" w:cs="Arial"/>
                <w:bCs/>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bidi="ar"/>
                <w14:textFill>
                  <w14:solidFill>
                    <w14:schemeClr w14:val="tx1"/>
                  </w14:solidFill>
                </w14:textFill>
              </w:rPr>
              <w:t>4.未提供不得分。</w:t>
            </w: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Cs w:val="21"/>
                <w:lang w:bidi="ar"/>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5</w:t>
            </w:r>
          </w:p>
        </w:tc>
      </w:tr>
      <w:tr>
        <w:tblPrEx>
          <w:tblCellMar>
            <w:top w:w="0" w:type="dxa"/>
            <w:left w:w="0" w:type="dxa"/>
            <w:bottom w:w="0" w:type="dxa"/>
            <w:right w:w="0" w:type="dxa"/>
          </w:tblCellMar>
        </w:tblPrEx>
        <w:trPr>
          <w:trHeight w:val="90" w:hRule="atLeast"/>
          <w:jc w:val="center"/>
        </w:trPr>
        <w:tc>
          <w:tcPr>
            <w:tcW w:w="963"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kern w:val="0"/>
                <w:szCs w:val="21"/>
                <w:lang w:bidi="ar"/>
              </w:rPr>
            </w:pPr>
          </w:p>
        </w:tc>
        <w:tc>
          <w:tcPr>
            <w:tcW w:w="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项目实施方案</w:t>
            </w:r>
          </w:p>
        </w:tc>
        <w:tc>
          <w:tcPr>
            <w:tcW w:w="5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1177"/>
                <w:tab w:val="left" w:pos="1498"/>
              </w:tabs>
              <w:rPr>
                <w:rFonts w:ascii="仿宋" w:hAnsi="仿宋" w:cs="仿宋_GB2312"/>
                <w:color w:val="000000" w:themeColor="text1"/>
                <w:szCs w:val="21"/>
                <w14:textFill>
                  <w14:solidFill>
                    <w14:schemeClr w14:val="tx1"/>
                  </w14:solidFill>
                </w14:textFill>
              </w:rPr>
            </w:pPr>
            <w:r>
              <w:rPr>
                <w:rFonts w:hint="eastAsia" w:ascii="仿宋" w:hAnsi="仿宋" w:cs="仿宋_GB2312"/>
                <w:color w:val="000000" w:themeColor="text1"/>
                <w:kern w:val="0"/>
                <w:szCs w:val="21"/>
                <w:lang w:bidi="ar"/>
                <w14:textFill>
                  <w14:solidFill>
                    <w14:schemeClr w14:val="tx1"/>
                  </w14:solidFill>
                </w14:textFill>
              </w:rPr>
              <w:t>根据提供项目实施具体方案进行综合评审，包括项目人员配备，进度计划、供货时间保障、包装运输等内容：</w:t>
            </w:r>
          </w:p>
          <w:p>
            <w:pPr>
              <w:tabs>
                <w:tab w:val="left" w:pos="1177"/>
                <w:tab w:val="left" w:pos="1498"/>
              </w:tabs>
              <w:rPr>
                <w:rFonts w:ascii="仿宋" w:hAnsi="仿宋"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1.有详细完整方案，可操作性强，人员配备充足的得7分</w:t>
            </w:r>
          </w:p>
          <w:p>
            <w:pPr>
              <w:tabs>
                <w:tab w:val="left" w:pos="1177"/>
                <w:tab w:val="left" w:pos="1498"/>
              </w:tabs>
              <w:rPr>
                <w:rFonts w:ascii="仿宋" w:hAnsi="仿宋"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2.方案较完整，可操作性较强，人员配备充足的得5分；</w:t>
            </w:r>
          </w:p>
          <w:p>
            <w:pPr>
              <w:tabs>
                <w:tab w:val="left" w:pos="1177"/>
                <w:tab w:val="left" w:pos="1498"/>
              </w:tabs>
              <w:rPr>
                <w:rFonts w:ascii="仿宋" w:hAnsi="仿宋"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3.方案基本完整，可操作性一般，人员配备基本齐全的得3分；</w:t>
            </w:r>
          </w:p>
          <w:p>
            <w:pPr>
              <w:tabs>
                <w:tab w:val="left" w:pos="1177"/>
                <w:tab w:val="left" w:pos="1498"/>
              </w:tabs>
              <w:rPr>
                <w:rFonts w:ascii="仿宋" w:hAnsi="仿宋" w:cs="仿宋_GB2312"/>
                <w:color w:val="000000" w:themeColor="text1"/>
                <w:szCs w:val="21"/>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4.方案不完整的得1分；</w:t>
            </w:r>
          </w:p>
          <w:p>
            <w:pPr>
              <w:pStyle w:val="8"/>
              <w:rPr>
                <w:color w:val="000000" w:themeColor="text1"/>
                <w:lang w:bidi="ar"/>
                <w14:textFill>
                  <w14:solidFill>
                    <w14:schemeClr w14:val="tx1"/>
                  </w14:solidFill>
                </w14:textFill>
              </w:rPr>
            </w:pPr>
            <w:r>
              <w:rPr>
                <w:rFonts w:hint="eastAsia" w:ascii="仿宋" w:hAnsi="仿宋" w:cs="仿宋_GB2312"/>
                <w:color w:val="000000" w:themeColor="text1"/>
                <w:szCs w:val="21"/>
                <w14:textFill>
                  <w14:solidFill>
                    <w14:schemeClr w14:val="tx1"/>
                  </w14:solidFill>
                </w14:textFill>
              </w:rPr>
              <w:t>5.其余不得分。</w:t>
            </w: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Cs w:val="21"/>
                <w:lang w:bidi="ar"/>
                <w14:textFill>
                  <w14:solidFill>
                    <w14:schemeClr w14:val="tx1"/>
                  </w14:solidFill>
                </w14:textFill>
              </w:rPr>
            </w:pPr>
            <w:r>
              <w:rPr>
                <w:rFonts w:ascii="仿宋_GB2312" w:hAnsi="仿宋_GB2312" w:eastAsia="仿宋_GB2312" w:cs="仿宋_GB2312"/>
                <w:color w:val="000000" w:themeColor="text1"/>
                <w:kern w:val="0"/>
                <w:szCs w:val="21"/>
                <w:lang w:bidi="ar"/>
                <w14:textFill>
                  <w14:solidFill>
                    <w14:schemeClr w14:val="tx1"/>
                  </w14:solidFill>
                </w14:textFill>
              </w:rPr>
              <w:t>7</w:t>
            </w:r>
          </w:p>
        </w:tc>
      </w:tr>
      <w:tr>
        <w:tblPrEx>
          <w:tblCellMar>
            <w:top w:w="0" w:type="dxa"/>
            <w:left w:w="0" w:type="dxa"/>
            <w:bottom w:w="0" w:type="dxa"/>
            <w:right w:w="0" w:type="dxa"/>
          </w:tblCellMar>
        </w:tblPrEx>
        <w:trPr>
          <w:trHeight w:val="619" w:hRule="atLeast"/>
          <w:jc w:val="center"/>
        </w:trPr>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合计</w:t>
            </w:r>
          </w:p>
        </w:tc>
        <w:tc>
          <w:tcPr>
            <w:tcW w:w="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5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eastAsia="仿宋_GB2312" w:cs="仿宋_GB2312"/>
                <w:color w:val="000000" w:themeColor="text1"/>
                <w:szCs w:val="21"/>
                <w14:textFill>
                  <w14:solidFill>
                    <w14:schemeClr w14:val="tx1"/>
                  </w14:solidFill>
                </w14:textFill>
              </w:rPr>
            </w:pP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Cs w:val="21"/>
                <w:lang w:bidi="ar"/>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100</w:t>
            </w:r>
          </w:p>
        </w:tc>
      </w:tr>
    </w:tbl>
    <w:p>
      <w:pPr>
        <w:rPr>
          <w:rFonts w:ascii="仿宋_GB2312" w:hAnsi="仿宋_GB2312" w:eastAsia="仿宋_GB2312" w:cs="仿宋_GB2312"/>
          <w:b/>
          <w:szCs w:val="21"/>
        </w:rPr>
      </w:pPr>
    </w:p>
    <w:p>
      <w:pPr>
        <w:rPr>
          <w:rFonts w:ascii="仿宋_GB2312" w:hAnsi="仿宋_GB2312" w:eastAsia="仿宋_GB2312" w:cs="仿宋_GB2312"/>
          <w:b/>
          <w:szCs w:val="21"/>
        </w:rPr>
      </w:pPr>
      <w:r>
        <w:rPr>
          <w:rFonts w:hint="eastAsia" w:ascii="仿宋_GB2312" w:hAnsi="仿宋_GB2312" w:eastAsia="仿宋_GB2312" w:cs="仿宋_GB2312"/>
          <w:b/>
          <w:szCs w:val="21"/>
        </w:rPr>
        <w:t>加分项评分标准</w:t>
      </w:r>
    </w:p>
    <w:tbl>
      <w:tblPr>
        <w:tblStyle w:val="17"/>
        <w:tblW w:w="85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6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19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加分</w:t>
            </w:r>
          </w:p>
          <w:p>
            <w:pPr>
              <w:jc w:val="center"/>
              <w:rPr>
                <w:rFonts w:ascii="仿宋_GB2312" w:hAnsi="仿宋_GB2312" w:eastAsia="仿宋_GB2312" w:cs="仿宋_GB2312"/>
                <w:szCs w:val="21"/>
              </w:rPr>
            </w:pPr>
            <w:r>
              <w:rPr>
                <w:rFonts w:hint="eastAsia" w:ascii="仿宋_GB2312" w:hAnsi="仿宋_GB2312" w:eastAsia="仿宋_GB2312" w:cs="仿宋_GB2312"/>
                <w:szCs w:val="21"/>
              </w:rPr>
              <w:t>因素</w:t>
            </w:r>
          </w:p>
        </w:tc>
        <w:tc>
          <w:tcPr>
            <w:tcW w:w="6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说明（</w:t>
            </w:r>
            <w:r>
              <w:rPr>
                <w:rFonts w:hint="eastAsia" w:ascii="仿宋_GB2312" w:hAnsi="仿宋_GB2312" w:eastAsia="仿宋_GB2312" w:cs="仿宋_GB2312"/>
                <w:b/>
                <w:kern w:val="0"/>
                <w:szCs w:val="21"/>
              </w:rPr>
              <w:t>注：强制性节能产品清单内的产品除外</w:t>
            </w:r>
            <w:r>
              <w:rPr>
                <w:rFonts w:hint="eastAsia" w:ascii="仿宋_GB2312" w:hAnsi="仿宋_GB2312" w:eastAsia="仿宋_GB2312" w:cs="仿宋_GB2312"/>
                <w:szCs w:val="21"/>
              </w:rPr>
              <w:t>）</w:t>
            </w:r>
            <w:r>
              <w:rPr>
                <w:rFonts w:hint="eastAsia" w:ascii="仿宋_GB2312" w:hAnsi="仿宋_GB2312" w:eastAsia="仿宋_GB2312" w:cs="仿宋_GB2312"/>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rPr>
        <w:tc>
          <w:tcPr>
            <w:tcW w:w="19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节能</w:t>
            </w:r>
          </w:p>
          <w:p>
            <w:pPr>
              <w:jc w:val="center"/>
              <w:rPr>
                <w:rFonts w:ascii="仿宋_GB2312" w:hAnsi="仿宋_GB2312" w:eastAsia="仿宋_GB2312" w:cs="仿宋_GB2312"/>
                <w:szCs w:val="21"/>
              </w:rPr>
            </w:pPr>
            <w:r>
              <w:rPr>
                <w:rFonts w:hint="eastAsia" w:ascii="仿宋_GB2312" w:hAnsi="仿宋_GB2312" w:eastAsia="仿宋_GB2312" w:cs="仿宋_GB2312"/>
                <w:szCs w:val="21"/>
              </w:rPr>
              <w:t>产品</w:t>
            </w:r>
          </w:p>
        </w:tc>
        <w:tc>
          <w:tcPr>
            <w:tcW w:w="663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对于清单中的投标产品价格给予价格部分总分值</w:t>
            </w:r>
            <w:r>
              <w:rPr>
                <w:rFonts w:hint="eastAsia" w:ascii="仿宋_GB2312" w:hAnsi="仿宋_GB2312" w:eastAsia="仿宋_GB2312" w:cs="仿宋_GB2312"/>
                <w:kern w:val="0"/>
                <w:szCs w:val="21"/>
                <w:u w:val="single"/>
              </w:rPr>
              <w:t>3</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的加分，计算公式如下：</w:t>
            </w:r>
          </w:p>
          <w:p>
            <w:pPr>
              <w:rPr>
                <w:rFonts w:ascii="仿宋_GB2312" w:hAnsi="仿宋_GB2312" w:eastAsia="仿宋_GB2312" w:cs="仿宋_GB2312"/>
                <w:szCs w:val="21"/>
              </w:rPr>
            </w:pPr>
            <w:r>
              <w:rPr>
                <w:rFonts w:hint="eastAsia" w:ascii="仿宋_GB2312" w:hAnsi="仿宋_GB2312" w:eastAsia="仿宋_GB2312" w:cs="仿宋_GB2312"/>
                <w:szCs w:val="21"/>
              </w:rPr>
              <w:t>节能产品加分＝（节能产品投标报价之和/投标总价）×价格部分总分值×</w:t>
            </w:r>
            <w:r>
              <w:rPr>
                <w:rFonts w:hint="eastAsia" w:ascii="仿宋_GB2312" w:hAnsi="仿宋_GB2312" w:eastAsia="仿宋_GB2312" w:cs="仿宋_GB2312"/>
                <w:kern w:val="0"/>
                <w:szCs w:val="21"/>
                <w:u w:val="single"/>
              </w:rPr>
              <w:t>3</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19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环保</w:t>
            </w:r>
          </w:p>
          <w:p>
            <w:pPr>
              <w:jc w:val="center"/>
              <w:rPr>
                <w:rFonts w:ascii="仿宋_GB2312" w:hAnsi="仿宋_GB2312" w:eastAsia="仿宋_GB2312" w:cs="仿宋_GB2312"/>
                <w:szCs w:val="21"/>
              </w:rPr>
            </w:pPr>
            <w:r>
              <w:rPr>
                <w:rFonts w:hint="eastAsia" w:ascii="仿宋_GB2312" w:hAnsi="仿宋_GB2312" w:eastAsia="仿宋_GB2312" w:cs="仿宋_GB2312"/>
                <w:szCs w:val="21"/>
              </w:rPr>
              <w:t>产品</w:t>
            </w:r>
          </w:p>
        </w:tc>
        <w:tc>
          <w:tcPr>
            <w:tcW w:w="663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对于清单中的投标产品价格给予价格部分总分值</w:t>
            </w:r>
            <w:r>
              <w:rPr>
                <w:rFonts w:hint="eastAsia" w:ascii="仿宋_GB2312" w:hAnsi="仿宋_GB2312" w:eastAsia="仿宋_GB2312" w:cs="仿宋_GB2312"/>
                <w:kern w:val="0"/>
                <w:szCs w:val="21"/>
                <w:u w:val="single"/>
              </w:rPr>
              <w:t>3</w:t>
            </w:r>
            <w:r>
              <w:rPr>
                <w:rFonts w:hint="eastAsia" w:ascii="仿宋_GB2312" w:hAnsi="仿宋_GB2312" w:eastAsia="仿宋_GB2312" w:cs="仿宋_GB2312"/>
                <w:szCs w:val="21"/>
              </w:rPr>
              <w:t>%的加分，计算公式如下：</w:t>
            </w:r>
          </w:p>
          <w:p>
            <w:pPr>
              <w:rPr>
                <w:rFonts w:ascii="仿宋_GB2312" w:hAnsi="仿宋_GB2312" w:eastAsia="仿宋_GB2312" w:cs="仿宋_GB2312"/>
                <w:szCs w:val="21"/>
              </w:rPr>
            </w:pPr>
            <w:r>
              <w:rPr>
                <w:rFonts w:hint="eastAsia" w:ascii="仿宋_GB2312" w:hAnsi="仿宋_GB2312" w:eastAsia="仿宋_GB2312" w:cs="仿宋_GB2312"/>
                <w:szCs w:val="21"/>
              </w:rPr>
              <w:t>环保产品加分＝（环保产品投标报价之和/投标总价）×价格部分总分值×</w:t>
            </w:r>
            <w:r>
              <w:rPr>
                <w:rFonts w:hint="eastAsia" w:ascii="仿宋_GB2312" w:hAnsi="仿宋_GB2312" w:eastAsia="仿宋_GB2312" w:cs="仿宋_GB2312"/>
                <w:kern w:val="0"/>
                <w:szCs w:val="21"/>
                <w:u w:val="single"/>
              </w:rPr>
              <w:t>3</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19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列入《辽宁省创新产品和服务目录》内的产品</w:t>
            </w:r>
          </w:p>
        </w:tc>
        <w:tc>
          <w:tcPr>
            <w:tcW w:w="663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对于列入《辽宁省创新产品和服务目录》内的产品价格给予价格部分总分值</w:t>
            </w:r>
            <w:r>
              <w:rPr>
                <w:rFonts w:hint="eastAsia" w:ascii="仿宋_GB2312" w:hAnsi="仿宋_GB2312" w:eastAsia="仿宋_GB2312" w:cs="仿宋_GB2312"/>
                <w:kern w:val="0"/>
                <w:szCs w:val="21"/>
                <w:u w:val="single"/>
              </w:rPr>
              <w:t>6</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的加分，计算公式如下：</w:t>
            </w:r>
          </w:p>
          <w:p>
            <w:pPr>
              <w:rPr>
                <w:rFonts w:ascii="仿宋_GB2312" w:hAnsi="仿宋_GB2312" w:eastAsia="仿宋_GB2312" w:cs="仿宋_GB2312"/>
                <w:szCs w:val="21"/>
              </w:rPr>
            </w:pPr>
            <w:r>
              <w:rPr>
                <w:rFonts w:hint="eastAsia" w:ascii="仿宋_GB2312" w:hAnsi="仿宋_GB2312" w:eastAsia="仿宋_GB2312" w:cs="仿宋_GB2312"/>
                <w:szCs w:val="21"/>
              </w:rPr>
              <w:t>列入《辽宁省创新产品和服务目录》内的产品加分＝（列入《辽宁省创新产品和服务目录》内的产品投标报价之和/投标总价）×价格部分总分值×</w:t>
            </w:r>
            <w:r>
              <w:rPr>
                <w:rFonts w:hint="eastAsia" w:ascii="仿宋_GB2312" w:hAnsi="仿宋_GB2312" w:eastAsia="仿宋_GB2312" w:cs="仿宋_GB2312"/>
                <w:kern w:val="0"/>
                <w:szCs w:val="21"/>
                <w:u w:val="single"/>
              </w:rPr>
              <w:t>6</w:t>
            </w:r>
            <w:r>
              <w:rPr>
                <w:rFonts w:hint="eastAsia" w:ascii="仿宋_GB2312" w:hAnsi="仿宋_GB2312" w:eastAsia="仿宋_GB2312" w:cs="仿宋_GB2312"/>
                <w:szCs w:val="21"/>
              </w:rPr>
              <w:t>%。</w:t>
            </w:r>
          </w:p>
        </w:tc>
      </w:tr>
    </w:tbl>
    <w:p>
      <w:pPr>
        <w:wordWrap w:val="0"/>
        <w:adjustRightInd w:val="0"/>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2"/>
        <w:ind w:firstLine="480"/>
        <w:rPr>
          <w:rFonts w:ascii="仿宋_GB2312" w:hAnsi="仿宋_GB2312" w:eastAsia="仿宋_GB2312" w:cs="仿宋_GB2312"/>
        </w:rPr>
      </w:pPr>
      <w:bookmarkStart w:id="172" w:name="_Toc25922_WPSOffice_Level1"/>
    </w:p>
    <w:p>
      <w:pPr>
        <w:pStyle w:val="2"/>
        <w:ind w:firstLine="480"/>
        <w:rPr>
          <w:rFonts w:ascii="仿宋_GB2312" w:hAnsi="仿宋_GB2312" w:eastAsia="仿宋_GB2312" w:cs="仿宋_GB2312"/>
        </w:rPr>
      </w:pPr>
    </w:p>
    <w:p>
      <w:pPr>
        <w:pStyle w:val="2"/>
        <w:ind w:firstLine="480"/>
        <w:rPr>
          <w:rFonts w:ascii="仿宋_GB2312" w:hAnsi="仿宋_GB2312" w:eastAsia="仿宋_GB2312" w:cs="仿宋_GB2312"/>
        </w:rPr>
      </w:pPr>
    </w:p>
    <w:p>
      <w:pPr>
        <w:pStyle w:val="2"/>
        <w:ind w:firstLine="480"/>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4"/>
        <w:adjustRightInd w:val="0"/>
        <w:snapToGrid w:val="0"/>
        <w:spacing w:before="319" w:beforeLines="100" w:after="319" w:afterLines="100"/>
        <w:rPr>
          <w:rFonts w:ascii="仿宋_GB2312" w:hAnsi="仿宋_GB2312" w:eastAsia="仿宋_GB2312" w:cs="仿宋_GB2312"/>
        </w:rPr>
      </w:pPr>
      <w:bookmarkStart w:id="173" w:name="_Toc19588"/>
      <w:r>
        <w:rPr>
          <w:rFonts w:hint="eastAsia" w:ascii="仿宋_GB2312" w:hAnsi="仿宋_GB2312" w:eastAsia="仿宋_GB2312" w:cs="仿宋_GB2312"/>
        </w:rPr>
        <w:t>第五章 政府采购合同条款</w:t>
      </w:r>
      <w:bookmarkEnd w:id="172"/>
      <w:r>
        <w:rPr>
          <w:rFonts w:hint="eastAsia" w:ascii="仿宋_GB2312" w:hAnsi="仿宋_GB2312" w:eastAsia="仿宋_GB2312" w:cs="仿宋_GB2312"/>
        </w:rPr>
        <w:t>及格式</w:t>
      </w:r>
      <w:bookmarkEnd w:id="173"/>
    </w:p>
    <w:p>
      <w:pPr>
        <w:rPr>
          <w:rFonts w:ascii="仿宋_GB2312" w:hAnsi="仿宋_GB2312" w:eastAsia="仿宋_GB2312" w:cs="仿宋_GB2312"/>
        </w:rPr>
      </w:pPr>
    </w:p>
    <w:p>
      <w:pPr>
        <w:rPr>
          <w:rFonts w:ascii="仿宋_GB2312" w:hAnsi="仿宋_GB2312" w:eastAsia="仿宋_GB2312" w:cs="仿宋_GB2312"/>
        </w:rPr>
      </w:pPr>
    </w:p>
    <w:p>
      <w:pPr>
        <w:pStyle w:val="5"/>
        <w:adjustRightInd w:val="0"/>
        <w:snapToGrid w:val="0"/>
        <w:spacing w:before="0" w:after="0" w:line="240" w:lineRule="auto"/>
        <w:jc w:val="left"/>
        <w:rPr>
          <w:rFonts w:ascii="仿宋_GB2312" w:hAnsi="仿宋_GB2312" w:eastAsia="仿宋_GB2312" w:cs="仿宋_GB2312"/>
          <w:szCs w:val="28"/>
        </w:rPr>
      </w:pPr>
      <w:bookmarkStart w:id="174" w:name="_Toc23704_WPSOffice_Level1"/>
      <w:r>
        <w:rPr>
          <w:rFonts w:hint="eastAsia" w:ascii="仿宋_GB2312" w:hAnsi="仿宋_GB2312" w:eastAsia="仿宋_GB2312" w:cs="仿宋_GB2312"/>
          <w:szCs w:val="28"/>
        </w:rPr>
        <w:br w:type="page"/>
      </w:r>
      <w:r>
        <w:rPr>
          <w:rFonts w:hint="eastAsia" w:ascii="仿宋_GB2312" w:hAnsi="仿宋_GB2312" w:eastAsia="仿宋_GB2312" w:cs="仿宋_GB2312"/>
          <w:szCs w:val="28"/>
        </w:rPr>
        <w:t>合同条款</w:t>
      </w:r>
    </w:p>
    <w:p>
      <w:pPr>
        <w:spacing w:before="319" w:beforeLines="100" w:after="319" w:afterLines="100" w:line="480" w:lineRule="exact"/>
        <w:jc w:val="center"/>
        <w:rPr>
          <w:rFonts w:ascii="仿宋_GB2312" w:hAnsi="仿宋_GB2312" w:eastAsia="仿宋_GB2312" w:cs="仿宋_GB2312"/>
          <w:b/>
          <w:sz w:val="44"/>
          <w:szCs w:val="44"/>
        </w:rPr>
      </w:pPr>
      <w:bookmarkStart w:id="175" w:name="_Toc30224_WPSOffice_Level1"/>
      <w:r>
        <w:rPr>
          <w:rFonts w:hint="eastAsia" w:ascii="仿宋_GB2312" w:hAnsi="仿宋_GB2312" w:eastAsia="仿宋_GB2312" w:cs="仿宋_GB2312"/>
          <w:b/>
          <w:sz w:val="44"/>
          <w:szCs w:val="44"/>
        </w:rPr>
        <w:t>政府采购合同条款</w:t>
      </w:r>
      <w:bookmarkEnd w:id="175"/>
    </w:p>
    <w:p>
      <w:pPr>
        <w:wordWrap w:val="0"/>
        <w:adjustRightInd w:val="0"/>
        <w:snapToGrid w:val="0"/>
        <w:spacing w:line="360" w:lineRule="auto"/>
        <w:jc w:val="right"/>
        <w:rPr>
          <w:rFonts w:ascii="仿宋_GB2312" w:hAnsi="仿宋_GB2312" w:eastAsia="仿宋_GB2312" w:cs="仿宋_GB2312"/>
          <w:szCs w:val="21"/>
        </w:rPr>
      </w:pPr>
    </w:p>
    <w:p>
      <w:pPr>
        <w:adjustRightInd w:val="0"/>
        <w:snapToGrid w:val="0"/>
        <w:spacing w:line="360" w:lineRule="auto"/>
        <w:ind w:firstLine="411" w:firstLineChars="196"/>
        <w:rPr>
          <w:rFonts w:ascii="仿宋_GB2312" w:hAnsi="宋体" w:eastAsia="仿宋_GB2312"/>
          <w:b/>
          <w:bCs/>
          <w:szCs w:val="21"/>
        </w:rPr>
      </w:pPr>
      <w:bookmarkStart w:id="176" w:name="_Toc10117_WPSOffice_Level1"/>
      <w:bookmarkStart w:id="177" w:name="_Toc398_WPSOffice_Level1"/>
      <w:bookmarkStart w:id="178" w:name="_Toc25596_WPSOffice_Level1"/>
      <w:r>
        <w:rPr>
          <w:rFonts w:hint="eastAsia" w:ascii="仿宋_GB2312" w:hAnsi="宋体" w:eastAsia="仿宋_GB2312"/>
          <w:b/>
          <w:bCs/>
          <w:szCs w:val="21"/>
        </w:rPr>
        <w:t>1.术语定义</w:t>
      </w:r>
      <w:bookmarkEnd w:id="176"/>
      <w:bookmarkEnd w:id="177"/>
      <w:bookmarkEnd w:id="178"/>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本政府采购合同下列术语应解释为：</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1.1“政府采购合同”指供需双方依照政府采购程序、按照招标文件、投标文件确定的事项所达成的协议，包括附件、附录和上述文件所提到的构成政府采购合同的所有文件。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1.2“政府采购合同价”指根据合同约定供方在正确地完全履行政府采购合同义务后，需方应支付给供方的价格。</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1.5“需方”指项目基本内容及要求中所述取得货物和服务的采购人。</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1.6“供方”指项目基本内容及要求中所述提供产品和服务的中标人。</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1.7“检验”指需方或者需方的最终用户收货后，按照本政府采购合同约定的标准对政府采购合同货物进行的检测与查验。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1.8“验收书”指需方对供方履行政府采购合同情况及结果进行现场检验和评估意见的文件。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1.9“技术资料”指安装、调试、使用、维修政府采购合同货物所应具备的产品使用说明书和、或使用指南、操作手册、维修指南、服务手册、电路图、产品演示等文件及音像资料。</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1.10“保修期”指自验收书签署之日起，供方以自担费用方式保证政府采购合同货物正常运行的时期。</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1.11“第三人”是指本政府采购合同双方以外的任何中国境内外的自然人、法人或其它经济组织。</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1.12“法律、法规”是指由中国各级政府及有关部门制定的法律、行政法规、地方性法规、规章及其它规范性文件的有关规定。</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1.13“招标文件”指采购人或者采购代理机构发布的招标文件。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1.14“投标文件”指供方按照采购代理机构招标文件的要求编制和递交，并最终被评标委员会接受的投标文件。</w:t>
      </w:r>
    </w:p>
    <w:p>
      <w:bookmarkStart w:id="179" w:name="_Toc750_WPSOffice_Level1"/>
      <w:bookmarkStart w:id="180" w:name="_Toc22454_WPSOffice_Level1"/>
      <w:bookmarkStart w:id="181" w:name="_Toc29737_WPSOffice_Level1"/>
      <w:r>
        <w:rPr>
          <w:rFonts w:hint="eastAsia"/>
        </w:rPr>
        <w:t>2.技术指标</w:t>
      </w:r>
      <w:bookmarkEnd w:id="179"/>
      <w:bookmarkEnd w:id="180"/>
      <w:bookmarkEnd w:id="181"/>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2.1交付产品的技术指标应与招标文件规定的技术指标要求及投标文件中的“技术规格偏离表及商务条款偏离表”的承诺内容相一致。</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2.2 除技术指标另有规定外，计量单位应该使用公制。</w:t>
      </w:r>
    </w:p>
    <w:p>
      <w:pPr>
        <w:adjustRightInd w:val="0"/>
        <w:snapToGrid w:val="0"/>
        <w:spacing w:line="360" w:lineRule="auto"/>
        <w:ind w:firstLine="411" w:firstLineChars="196"/>
        <w:rPr>
          <w:rFonts w:ascii="仿宋_GB2312" w:hAnsi="宋体" w:eastAsia="仿宋_GB2312"/>
          <w:b/>
          <w:szCs w:val="21"/>
        </w:rPr>
      </w:pPr>
      <w:bookmarkStart w:id="182" w:name="_Toc19640_WPSOffice_Level1"/>
      <w:bookmarkStart w:id="183" w:name="_Toc17648_WPSOffice_Level1"/>
      <w:bookmarkStart w:id="184" w:name="_Toc1538_WPSOffice_Level1"/>
      <w:r>
        <w:rPr>
          <w:rFonts w:hint="eastAsia" w:ascii="仿宋_GB2312" w:hAnsi="宋体" w:eastAsia="仿宋_GB2312"/>
          <w:b/>
          <w:szCs w:val="21"/>
        </w:rPr>
        <w:t>3.交货</w:t>
      </w:r>
      <w:bookmarkEnd w:id="182"/>
      <w:bookmarkEnd w:id="183"/>
      <w:bookmarkEnd w:id="184"/>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3.1供方按照合同约定的时间、地点交货</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3.2供方交货的同时应提交下列文件：销售发票，制造厂商出具的质量检验证书、产品合格证以及招标文件、投标文件确定供方应随货物同时提供的其他资料。</w:t>
      </w:r>
    </w:p>
    <w:p>
      <w:pPr>
        <w:adjustRightInd w:val="0"/>
        <w:snapToGrid w:val="0"/>
        <w:spacing w:line="360" w:lineRule="auto"/>
        <w:ind w:firstLine="411" w:firstLineChars="196"/>
        <w:rPr>
          <w:rFonts w:ascii="仿宋_GB2312" w:hAnsi="宋体" w:eastAsia="仿宋_GB2312"/>
          <w:b/>
          <w:szCs w:val="21"/>
        </w:rPr>
      </w:pPr>
      <w:bookmarkStart w:id="185" w:name="_Toc15048_WPSOffice_Level1"/>
      <w:bookmarkStart w:id="186" w:name="_Toc11745_WPSOffice_Level1"/>
      <w:bookmarkStart w:id="187" w:name="_Toc1266_WPSOffice_Level1"/>
      <w:r>
        <w:rPr>
          <w:rFonts w:hint="eastAsia" w:ascii="仿宋_GB2312" w:hAnsi="宋体" w:eastAsia="仿宋_GB2312"/>
          <w:b/>
          <w:szCs w:val="21"/>
        </w:rPr>
        <w:t>4.合同金额</w:t>
      </w:r>
      <w:bookmarkEnd w:id="185"/>
      <w:bookmarkEnd w:id="186"/>
      <w:bookmarkEnd w:id="187"/>
    </w:p>
    <w:p>
      <w:pPr>
        <w:adjustRightInd w:val="0"/>
        <w:snapToGrid w:val="0"/>
        <w:spacing w:line="360" w:lineRule="auto"/>
        <w:ind w:firstLine="411" w:firstLineChars="196"/>
        <w:rPr>
          <w:rFonts w:ascii="仿宋_GB2312" w:hAnsi="宋体" w:eastAsia="仿宋_GB2312"/>
          <w:b/>
          <w:szCs w:val="21"/>
        </w:rPr>
      </w:pPr>
      <w:r>
        <w:rPr>
          <w:rFonts w:hint="eastAsia" w:ascii="仿宋_GB2312" w:hAnsi="宋体" w:eastAsia="仿宋_GB2312"/>
          <w:szCs w:val="21"/>
        </w:rPr>
        <w:t>根据政府采购合同文件要求，确定政府采购合同的总金额。</w:t>
      </w:r>
    </w:p>
    <w:p>
      <w:pPr>
        <w:adjustRightInd w:val="0"/>
        <w:snapToGrid w:val="0"/>
        <w:spacing w:line="360" w:lineRule="auto"/>
        <w:ind w:firstLine="411" w:firstLineChars="196"/>
        <w:rPr>
          <w:rFonts w:ascii="仿宋_GB2312" w:hAnsi="宋体" w:eastAsia="仿宋_GB2312"/>
          <w:b/>
          <w:szCs w:val="21"/>
        </w:rPr>
      </w:pPr>
      <w:bookmarkStart w:id="188" w:name="_Toc22359_WPSOffice_Level1"/>
      <w:bookmarkStart w:id="189" w:name="_Toc11969_WPSOffice_Level1"/>
      <w:bookmarkStart w:id="190" w:name="_Toc941_WPSOffice_Level1"/>
      <w:r>
        <w:rPr>
          <w:rFonts w:hint="eastAsia" w:ascii="仿宋_GB2312" w:hAnsi="宋体" w:eastAsia="仿宋_GB2312"/>
          <w:b/>
          <w:szCs w:val="21"/>
        </w:rPr>
        <w:t>5.付款</w:t>
      </w:r>
      <w:bookmarkEnd w:id="188"/>
      <w:bookmarkEnd w:id="189"/>
      <w:bookmarkEnd w:id="190"/>
    </w:p>
    <w:p>
      <w:pPr>
        <w:adjustRightInd w:val="0"/>
        <w:snapToGrid w:val="0"/>
        <w:spacing w:line="360" w:lineRule="auto"/>
        <w:ind w:firstLine="411" w:firstLineChars="196"/>
        <w:rPr>
          <w:rFonts w:ascii="仿宋_GB2312" w:hAnsi="宋体" w:eastAsia="仿宋_GB2312"/>
          <w:szCs w:val="21"/>
          <w:u w:val="single"/>
        </w:rPr>
      </w:pPr>
      <w:bookmarkStart w:id="191" w:name="_Toc22351_WPSOffice_Level2"/>
      <w:r>
        <w:rPr>
          <w:rFonts w:hint="eastAsia" w:ascii="仿宋_GB2312" w:hAnsi="宋体" w:eastAsia="仿宋_GB2312"/>
          <w:szCs w:val="21"/>
        </w:rPr>
        <w:t>5.1付款方式、条件：需方按照合同约定的方式和条件付款。</w:t>
      </w:r>
      <w:bookmarkEnd w:id="191"/>
    </w:p>
    <w:p>
      <w:pPr>
        <w:adjustRightInd w:val="0"/>
        <w:snapToGrid w:val="0"/>
        <w:spacing w:line="360" w:lineRule="auto"/>
        <w:ind w:firstLine="411" w:firstLineChars="196"/>
        <w:rPr>
          <w:rFonts w:ascii="仿宋_GB2312" w:hAnsi="宋体" w:eastAsia="仿宋_GB2312"/>
          <w:b/>
          <w:szCs w:val="21"/>
        </w:rPr>
      </w:pPr>
      <w:bookmarkStart w:id="192" w:name="_Toc30478_WPSOffice_Level1"/>
      <w:bookmarkStart w:id="193" w:name="_Toc10526_WPSOffice_Level1"/>
      <w:bookmarkStart w:id="194" w:name="_Toc27769_WPSOffice_Level1"/>
      <w:r>
        <w:rPr>
          <w:rFonts w:hint="eastAsia" w:ascii="仿宋_GB2312" w:hAnsi="宋体" w:eastAsia="仿宋_GB2312"/>
          <w:b/>
          <w:szCs w:val="21"/>
        </w:rPr>
        <w:t>6.验收</w:t>
      </w:r>
      <w:bookmarkEnd w:id="192"/>
      <w:bookmarkEnd w:id="193"/>
      <w:bookmarkEnd w:id="194"/>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6.1供方提交的货物由需方或者需方的最终用户负责验收。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6.2需方或者需方的最终用户应当按照采购合同规定的技术、服务等要求组织对供应商履约的验收，并出具验收书。验收书应当包括每一项技术、服务等要求的履约情况。</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6.3大型或者复杂的项目，应当邀请国家认可的质量检测机构参加验收。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6.4政府向社会公众提供的公共服务项目，验收时应当邀请服务对象参与并出具意见，验收结果应当向社会公告。</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6.6货物保修期自验收书签署之日起计算。</w:t>
      </w:r>
    </w:p>
    <w:p>
      <w:pPr>
        <w:adjustRightInd w:val="0"/>
        <w:snapToGrid w:val="0"/>
        <w:spacing w:line="360" w:lineRule="auto"/>
        <w:ind w:firstLine="411" w:firstLineChars="196"/>
        <w:rPr>
          <w:rFonts w:ascii="仿宋_GB2312" w:hAnsi="宋体" w:eastAsia="仿宋_GB2312"/>
          <w:b/>
          <w:szCs w:val="21"/>
        </w:rPr>
      </w:pPr>
      <w:bookmarkStart w:id="195" w:name="_Toc21868_WPSOffice_Level1"/>
      <w:bookmarkStart w:id="196" w:name="_Toc23127_WPSOffice_Level1"/>
      <w:bookmarkStart w:id="197" w:name="_Toc31292_WPSOffice_Level1"/>
      <w:r>
        <w:rPr>
          <w:rFonts w:hint="eastAsia" w:ascii="仿宋_GB2312" w:hAnsi="宋体" w:eastAsia="仿宋_GB2312"/>
          <w:b/>
          <w:szCs w:val="21"/>
        </w:rPr>
        <w:t>7.知识产权及有关规定</w:t>
      </w:r>
      <w:bookmarkEnd w:id="195"/>
      <w:bookmarkEnd w:id="196"/>
      <w:bookmarkEnd w:id="197"/>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7.2一方对另一方提供的技术资料、样件、图纸及其他与质量、技术、经营相关信息（包括但不限于价格、数量）有保密义务。双方应确保其人员及相关协作方承担保密义务。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7.4本合同中涉及保密和知识产权任何条款，在合同期限内及合同终止后持续有效。</w:t>
      </w:r>
    </w:p>
    <w:p>
      <w:pPr>
        <w:adjustRightInd w:val="0"/>
        <w:snapToGrid w:val="0"/>
        <w:spacing w:line="360" w:lineRule="auto"/>
        <w:ind w:firstLine="411" w:firstLineChars="196"/>
        <w:rPr>
          <w:rFonts w:ascii="仿宋_GB2312" w:hAnsi="宋体" w:eastAsia="仿宋_GB2312"/>
          <w:b/>
          <w:szCs w:val="21"/>
        </w:rPr>
      </w:pPr>
      <w:bookmarkStart w:id="198" w:name="_Toc21090_WPSOffice_Level1"/>
      <w:bookmarkStart w:id="199" w:name="_Toc26796_WPSOffice_Level1"/>
      <w:bookmarkStart w:id="200" w:name="_Toc24765_WPSOffice_Level1"/>
      <w:r>
        <w:rPr>
          <w:rFonts w:hint="eastAsia" w:ascii="仿宋_GB2312" w:hAnsi="宋体" w:eastAsia="仿宋_GB2312"/>
          <w:b/>
          <w:szCs w:val="21"/>
        </w:rPr>
        <w:t>8.包装要求</w:t>
      </w:r>
      <w:bookmarkEnd w:id="198"/>
      <w:bookmarkEnd w:id="199"/>
      <w:bookmarkEnd w:id="200"/>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8.2每一个包装箱内应附一份详细的装箱单和质量合格证书。</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8.3包装费由供方承担，包装物不回收。</w:t>
      </w:r>
    </w:p>
    <w:p>
      <w:pPr>
        <w:adjustRightInd w:val="0"/>
        <w:snapToGrid w:val="0"/>
        <w:spacing w:line="360" w:lineRule="auto"/>
        <w:ind w:firstLine="411" w:firstLineChars="196"/>
        <w:rPr>
          <w:rFonts w:ascii="仿宋_GB2312" w:hAnsi="宋体" w:eastAsia="仿宋_GB2312"/>
          <w:b/>
          <w:szCs w:val="21"/>
        </w:rPr>
      </w:pPr>
      <w:bookmarkStart w:id="201" w:name="_Toc1308_WPSOffice_Level1"/>
      <w:bookmarkStart w:id="202" w:name="_Toc2304_WPSOffice_Level1"/>
      <w:bookmarkStart w:id="203" w:name="_Toc26447_WPSOffice_Level1"/>
      <w:r>
        <w:rPr>
          <w:rFonts w:hint="eastAsia" w:ascii="仿宋_GB2312" w:hAnsi="宋体" w:eastAsia="仿宋_GB2312"/>
          <w:b/>
          <w:szCs w:val="21"/>
        </w:rPr>
        <w:t>9.伴随服务</w:t>
      </w:r>
      <w:bookmarkEnd w:id="201"/>
      <w:bookmarkEnd w:id="202"/>
      <w:bookmarkEnd w:id="203"/>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9.1供方应提供所交付货物的全套技术文件资料，包括产品目录、图纸、操作手册、使用说明、维护手册和服务指南等。</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9.2供方还应提供下列服务：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9.2.1货物的现场安装、启动和试运行；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9.2.2提供货物组装和维修所需的工具；</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9.2.3在质量保证期内对所交付货物提供运行监督、维修、保养等,如果招标文件没有特别要求，以供方在投标文件中提交的售后服务承诺书为准。如果上述文件规定有不一致之处，以对需方有利的为准。</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9.2.4在制造厂家或在项目现场就货物的安装、启动、运行、维护等对需方人员进行培训，直至需方人员掌握全部上述技能为止。</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9.3伴随服务的费用应含在合同价中，不单独进行支付。</w:t>
      </w:r>
    </w:p>
    <w:p>
      <w:pPr>
        <w:adjustRightInd w:val="0"/>
        <w:snapToGrid w:val="0"/>
        <w:spacing w:line="360" w:lineRule="auto"/>
        <w:ind w:firstLine="411" w:firstLineChars="196"/>
        <w:rPr>
          <w:rFonts w:ascii="仿宋_GB2312" w:hAnsi="宋体" w:eastAsia="仿宋_GB2312"/>
          <w:b/>
          <w:szCs w:val="21"/>
        </w:rPr>
      </w:pPr>
      <w:bookmarkStart w:id="204" w:name="_Toc14320_WPSOffice_Level1"/>
      <w:bookmarkStart w:id="205" w:name="_Toc7636_WPSOffice_Level1"/>
      <w:bookmarkStart w:id="206" w:name="_Toc8205_WPSOffice_Level1"/>
      <w:r>
        <w:rPr>
          <w:rFonts w:hint="eastAsia" w:ascii="仿宋_GB2312" w:hAnsi="宋体" w:eastAsia="仿宋_GB2312"/>
          <w:b/>
          <w:szCs w:val="21"/>
        </w:rPr>
        <w:t>10.质量保证期</w:t>
      </w:r>
      <w:bookmarkEnd w:id="204"/>
      <w:bookmarkEnd w:id="205"/>
      <w:bookmarkEnd w:id="206"/>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10.1以招标文件中的规定为准，如果投标文件中的承诺优于招标文件规定，则以投标文件为准。</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10.2如果招标文件没有特别要求，以供方在投标文件中提交的制造厂商的有关文件为准。如果上述文件规定有不一致之处，以对需方有利的为准。</w:t>
      </w:r>
    </w:p>
    <w:p>
      <w:pPr>
        <w:adjustRightInd w:val="0"/>
        <w:snapToGrid w:val="0"/>
        <w:spacing w:line="360" w:lineRule="auto"/>
        <w:ind w:firstLine="411" w:firstLineChars="196"/>
        <w:rPr>
          <w:rFonts w:ascii="仿宋_GB2312" w:hAnsi="宋体" w:eastAsia="仿宋_GB2312"/>
          <w:b/>
          <w:szCs w:val="21"/>
        </w:rPr>
      </w:pPr>
      <w:bookmarkStart w:id="207" w:name="_Toc16220_WPSOffice_Level1"/>
      <w:bookmarkStart w:id="208" w:name="_Toc18427_WPSOffice_Level1"/>
      <w:bookmarkStart w:id="209" w:name="_Toc13950_WPSOffice_Level1"/>
      <w:r>
        <w:rPr>
          <w:rFonts w:hint="eastAsia" w:ascii="仿宋_GB2312" w:hAnsi="宋体" w:eastAsia="仿宋_GB2312"/>
          <w:b/>
          <w:szCs w:val="21"/>
        </w:rPr>
        <w:t>11.质量保证</w:t>
      </w:r>
      <w:bookmarkEnd w:id="207"/>
      <w:bookmarkEnd w:id="208"/>
      <w:bookmarkEnd w:id="209"/>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pPr>
        <w:adjustRightInd w:val="0"/>
        <w:snapToGrid w:val="0"/>
        <w:spacing w:line="360" w:lineRule="auto"/>
        <w:ind w:firstLine="411" w:firstLineChars="196"/>
        <w:rPr>
          <w:rFonts w:ascii="仿宋_GB2312" w:hAnsi="宋体" w:eastAsia="仿宋_GB2312"/>
          <w:b/>
          <w:szCs w:val="21"/>
        </w:rPr>
      </w:pPr>
      <w:bookmarkStart w:id="210" w:name="_Toc24667_WPSOffice_Level1"/>
      <w:bookmarkStart w:id="211" w:name="_Toc29469_WPSOffice_Level1"/>
      <w:bookmarkStart w:id="212" w:name="_Toc9090_WPSOffice_Level1"/>
      <w:r>
        <w:rPr>
          <w:rFonts w:hint="eastAsia" w:ascii="仿宋_GB2312" w:hAnsi="宋体" w:eastAsia="仿宋_GB2312"/>
          <w:b/>
          <w:szCs w:val="21"/>
        </w:rPr>
        <w:t>12.技术服务和保修责任</w:t>
      </w:r>
      <w:bookmarkEnd w:id="210"/>
      <w:bookmarkEnd w:id="211"/>
      <w:bookmarkEnd w:id="212"/>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12.1供方对政府采购合同货物的保修期，以招标文件中的规定为准，如果投标文件中的承诺优于招标文件规定，则以投标文件为准。</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12.2投标人应按如下内容提供售后服务：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12.2.1产品经过试运行期，所有性能指标达到技术规范书的要求时，可按招标文件、投标文件内容进行初验。在试运行期间，由于产品质量等造成某些指标达不到要求，供方须更换或进行修复，试运行期重新计算。</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12.2.4保修期内，供方提供电话、电子邮件、Web、现场服务等方式的技术支持，对用户的现场服务要求，供方必须按投标文件做出的承诺进行响应。</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12.2.5保修期内，供方应对出现故障无法修复的产品或无法正常运行的系统，提供替代产品以保证系统的正常工作。</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12.2.6保修期内，供方应投标时的承诺提供相关服务。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11" w:firstLineChars="196"/>
        <w:rPr>
          <w:rFonts w:ascii="仿宋_GB2312" w:hAnsi="宋体" w:eastAsia="仿宋_GB2312"/>
          <w:b/>
          <w:szCs w:val="21"/>
        </w:rPr>
      </w:pPr>
      <w:bookmarkStart w:id="213" w:name="_Toc16924_WPSOffice_Level1"/>
      <w:bookmarkStart w:id="214" w:name="_Toc11781_WPSOffice_Level1"/>
      <w:bookmarkStart w:id="215" w:name="_Toc8548_WPSOffice_Level1"/>
      <w:r>
        <w:rPr>
          <w:rFonts w:hint="eastAsia" w:ascii="仿宋_GB2312" w:hAnsi="宋体" w:eastAsia="仿宋_GB2312"/>
          <w:b/>
          <w:szCs w:val="21"/>
        </w:rPr>
        <w:t>13.违约责任</w:t>
      </w:r>
      <w:bookmarkEnd w:id="213"/>
      <w:bookmarkEnd w:id="214"/>
      <w:bookmarkEnd w:id="215"/>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13.1.1在需方同意延长的期限内交付全部货物、提供服务并承担由此给需方造成的一切损失；</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13.1.3根据货物低劣程度、损坏程度以及使需方所遭受的损失，经双方商定降低货物的价格或赔偿需方所遭受的损失；</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13.1.5需方有权部分或全部解除政府采购合同并要求供方赔偿由此造成的损失。此时需方可采取必要的补救措施，相关费用由供方承担。</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13.3延期交货的违约责任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13.3.2如供方在政府采购合同规定的交货日期后10天内仍未能交货，则视为供方不能交货，需方有权解除政府采购合同，供方除退还已收取的货款外，还应向需方偿付政府采购合同总金额10%的违约金。</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13.4以上各项交付的违约金并不影响违约方履行政府采购合同的各项义务。</w:t>
      </w:r>
    </w:p>
    <w:p>
      <w:pPr>
        <w:adjustRightInd w:val="0"/>
        <w:snapToGrid w:val="0"/>
        <w:spacing w:line="360" w:lineRule="auto"/>
        <w:ind w:firstLine="411" w:firstLineChars="196"/>
        <w:rPr>
          <w:rFonts w:ascii="仿宋_GB2312" w:hAnsi="宋体" w:eastAsia="仿宋_GB2312"/>
          <w:b/>
          <w:szCs w:val="21"/>
        </w:rPr>
      </w:pPr>
      <w:bookmarkStart w:id="216" w:name="_Toc32310_WPSOffice_Level1"/>
      <w:bookmarkStart w:id="217" w:name="_Toc21833_WPSOffice_Level1"/>
      <w:bookmarkStart w:id="218" w:name="_Toc28610_WPSOffice_Level1"/>
      <w:r>
        <w:rPr>
          <w:rFonts w:hint="eastAsia" w:ascii="仿宋_GB2312" w:hAnsi="宋体" w:eastAsia="仿宋_GB2312"/>
          <w:b/>
          <w:szCs w:val="21"/>
        </w:rPr>
        <w:t>14.不可抗力</w:t>
      </w:r>
      <w:bookmarkEnd w:id="216"/>
      <w:bookmarkEnd w:id="217"/>
      <w:bookmarkEnd w:id="218"/>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11" w:firstLineChars="196"/>
        <w:rPr>
          <w:rFonts w:ascii="仿宋_GB2312" w:hAnsi="宋体" w:eastAsia="仿宋_GB2312"/>
          <w:b/>
          <w:szCs w:val="21"/>
        </w:rPr>
      </w:pPr>
      <w:bookmarkStart w:id="219" w:name="_Toc13390_WPSOffice_Level1"/>
      <w:bookmarkStart w:id="220" w:name="_Toc3262_WPSOffice_Level1"/>
      <w:bookmarkStart w:id="221" w:name="_Toc12037_WPSOffice_Level1"/>
      <w:r>
        <w:rPr>
          <w:rFonts w:hint="eastAsia" w:ascii="仿宋_GB2312" w:hAnsi="宋体" w:eastAsia="仿宋_GB2312"/>
          <w:b/>
          <w:szCs w:val="21"/>
        </w:rPr>
        <w:t>15.争端的解决</w:t>
      </w:r>
      <w:bookmarkEnd w:id="219"/>
      <w:bookmarkEnd w:id="220"/>
      <w:bookmarkEnd w:id="221"/>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15.1政府采购合同的履行、违约责任和解决争议的方法等适用《中华人民共和国合同法》。</w:t>
      </w:r>
    </w:p>
    <w:p>
      <w:pPr>
        <w:adjustRightInd w:val="0"/>
        <w:snapToGrid w:val="0"/>
        <w:spacing w:line="360" w:lineRule="auto"/>
        <w:ind w:firstLine="411" w:firstLineChars="196"/>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.2</w:t>
      </w:r>
      <w:r>
        <w:rPr>
          <w:rFonts w:hint="eastAsia" w:ascii="仿宋_GB2312" w:hAnsi="宋体" w:eastAsia="仿宋_GB2312"/>
          <w:szCs w:val="21"/>
        </w:rPr>
        <w:t>需方和供方应通过友好协商，解决在执行本政府采购合同过程中所发生的或与本政府采购合同有关的一切争端。</w:t>
      </w:r>
    </w:p>
    <w:p>
      <w:pPr>
        <w:adjustRightInd w:val="0"/>
        <w:snapToGrid w:val="0"/>
        <w:spacing w:line="360" w:lineRule="auto"/>
        <w:ind w:firstLine="411" w:firstLineChars="196"/>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.3</w:t>
      </w:r>
      <w:r>
        <w:rPr>
          <w:rFonts w:hint="eastAsia" w:ascii="仿宋_GB2312" w:hAnsi="宋体" w:eastAsia="仿宋_GB2312"/>
          <w:szCs w:val="21"/>
        </w:rPr>
        <w:t>如果协商不成，双方中的任何一方可向需方所在地的人民法院提起诉讼。</w:t>
      </w:r>
    </w:p>
    <w:p>
      <w:pPr>
        <w:adjustRightInd w:val="0"/>
        <w:snapToGrid w:val="0"/>
        <w:spacing w:line="360" w:lineRule="auto"/>
        <w:ind w:firstLine="411" w:firstLineChars="196"/>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.4</w:t>
      </w:r>
      <w:r>
        <w:rPr>
          <w:rFonts w:hint="eastAsia" w:ascii="仿宋_GB2312" w:hAnsi="宋体" w:eastAsia="仿宋_GB2312"/>
          <w:szCs w:val="21"/>
        </w:rPr>
        <w:t>因政府采购合同部分履行引发诉讼的，在诉讼期间，除正在进行诉讼的部分外，本政府采购合同的其它部分应继续执行。</w:t>
      </w:r>
    </w:p>
    <w:p>
      <w:pPr>
        <w:adjustRightInd w:val="0"/>
        <w:snapToGrid w:val="0"/>
        <w:spacing w:line="360" w:lineRule="auto"/>
        <w:ind w:firstLine="411" w:firstLineChars="196"/>
        <w:rPr>
          <w:rFonts w:ascii="仿宋_GB2312" w:hAnsi="宋体" w:eastAsia="仿宋_GB2312"/>
          <w:b/>
          <w:szCs w:val="21"/>
        </w:rPr>
      </w:pPr>
      <w:bookmarkStart w:id="222" w:name="_Toc1917_WPSOffice_Level1"/>
      <w:bookmarkStart w:id="223" w:name="_Toc7773_WPSOffice_Level1"/>
      <w:bookmarkStart w:id="224" w:name="_Toc27539_WPSOffice_Level1"/>
      <w:r>
        <w:rPr>
          <w:rFonts w:hint="eastAsia" w:ascii="仿宋_GB2312" w:hAnsi="宋体" w:eastAsia="仿宋_GB2312"/>
          <w:b/>
          <w:szCs w:val="21"/>
        </w:rPr>
        <w:t>16.违约终止政府采购合同</w:t>
      </w:r>
      <w:bookmarkEnd w:id="222"/>
      <w:bookmarkEnd w:id="223"/>
      <w:bookmarkEnd w:id="224"/>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16.1在需方因供方违约而按政府采购合同约定采取的任何补救措施均无效的情况下，需方可在下列情况下向供方发出书面通知，提出终止部分或全部政府采购合同。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16.1.1如果供方未能在政府采购合同规定的限期或需方同意延长的限期内提供部分或全部货物和服务；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16.1.2未经需方事先书面同意，供方部分转让和分包或全部转让和分包其应履行的政府采购合同义务。</w:t>
      </w:r>
    </w:p>
    <w:p>
      <w:pPr>
        <w:adjustRightInd w:val="0"/>
        <w:snapToGrid w:val="0"/>
        <w:spacing w:line="360" w:lineRule="auto"/>
        <w:ind w:firstLine="411" w:firstLineChars="196"/>
        <w:rPr>
          <w:rFonts w:ascii="仿宋_GB2312" w:hAnsi="宋体" w:eastAsia="仿宋_GB2312"/>
          <w:b/>
          <w:szCs w:val="21"/>
        </w:rPr>
      </w:pPr>
      <w:bookmarkStart w:id="225" w:name="_Toc4220_WPSOffice_Level1"/>
      <w:bookmarkStart w:id="226" w:name="_Toc11967_WPSOffice_Level1"/>
      <w:bookmarkStart w:id="227" w:name="_Toc27976_WPSOffice_Level1"/>
      <w:r>
        <w:rPr>
          <w:rFonts w:hint="eastAsia" w:ascii="仿宋_GB2312" w:hAnsi="宋体" w:eastAsia="仿宋_GB2312"/>
          <w:b/>
          <w:szCs w:val="21"/>
        </w:rPr>
        <w:t>17.政府采购合同转让和分包</w:t>
      </w:r>
      <w:bookmarkEnd w:id="225"/>
      <w:bookmarkEnd w:id="226"/>
      <w:bookmarkEnd w:id="227"/>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除招标文件规定,并经需方事先书面同意外，供方不得部分转让和分包或全部转让和分包其应履行的政府采购合同义务。</w:t>
      </w:r>
    </w:p>
    <w:p>
      <w:pPr>
        <w:adjustRightInd w:val="0"/>
        <w:snapToGrid w:val="0"/>
        <w:spacing w:line="360" w:lineRule="auto"/>
        <w:ind w:firstLine="411" w:firstLineChars="196"/>
        <w:rPr>
          <w:rFonts w:ascii="仿宋_GB2312" w:hAnsi="宋体" w:eastAsia="仿宋_GB2312"/>
          <w:b/>
          <w:szCs w:val="21"/>
        </w:rPr>
      </w:pPr>
      <w:bookmarkStart w:id="228" w:name="_Toc737_WPSOffice_Level1"/>
      <w:bookmarkStart w:id="229" w:name="_Toc30020_WPSOffice_Level1"/>
      <w:bookmarkStart w:id="230" w:name="_Toc16873_WPSOffice_Level1"/>
      <w:r>
        <w:rPr>
          <w:rFonts w:hint="eastAsia" w:ascii="仿宋_GB2312" w:hAnsi="宋体" w:eastAsia="仿宋_GB2312"/>
          <w:b/>
          <w:szCs w:val="21"/>
        </w:rPr>
        <w:t>18.适用法律：</w:t>
      </w:r>
      <w:bookmarkEnd w:id="228"/>
      <w:bookmarkEnd w:id="229"/>
      <w:bookmarkEnd w:id="230"/>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本政府采购合同按照中华人民共和国的现行法律进行解释。</w:t>
      </w:r>
    </w:p>
    <w:p>
      <w:pPr>
        <w:adjustRightInd w:val="0"/>
        <w:snapToGrid w:val="0"/>
        <w:spacing w:line="360" w:lineRule="auto"/>
        <w:ind w:firstLine="411" w:firstLineChars="196"/>
        <w:rPr>
          <w:rFonts w:ascii="仿宋_GB2312" w:hAnsi="宋体" w:eastAsia="仿宋_GB2312"/>
          <w:b/>
          <w:szCs w:val="21"/>
        </w:rPr>
      </w:pPr>
      <w:bookmarkStart w:id="231" w:name="_Toc29009_WPSOffice_Level1"/>
      <w:bookmarkStart w:id="232" w:name="_Toc20985_WPSOffice_Level1"/>
      <w:bookmarkStart w:id="233" w:name="_Toc23749_WPSOffice_Level1"/>
      <w:r>
        <w:rPr>
          <w:rFonts w:hint="eastAsia" w:ascii="仿宋_GB2312" w:hAnsi="宋体" w:eastAsia="仿宋_GB2312"/>
          <w:b/>
          <w:szCs w:val="21"/>
        </w:rPr>
        <w:t>19.政府采购合同生效</w:t>
      </w:r>
      <w:bookmarkEnd w:id="231"/>
      <w:bookmarkEnd w:id="232"/>
      <w:bookmarkEnd w:id="233"/>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19.1本政府采购合同在供需双方法定代表人或其授权代理人签字和加盖公章后生效。</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19.2本政府采购合同一式五份，需方执二份，供方、采购代理机构、财政部门各执一份。</w:t>
      </w:r>
    </w:p>
    <w:p>
      <w:pPr>
        <w:adjustRightInd w:val="0"/>
        <w:snapToGrid w:val="0"/>
        <w:spacing w:line="360" w:lineRule="auto"/>
        <w:ind w:firstLine="411" w:firstLineChars="196"/>
        <w:rPr>
          <w:rFonts w:ascii="仿宋_GB2312" w:hAnsi="宋体" w:eastAsia="仿宋_GB2312"/>
          <w:b/>
          <w:szCs w:val="21"/>
        </w:rPr>
      </w:pPr>
      <w:bookmarkStart w:id="234" w:name="_Toc20274_WPSOffice_Level1"/>
      <w:bookmarkStart w:id="235" w:name="_Toc12339_WPSOffice_Level1"/>
      <w:bookmarkStart w:id="236" w:name="_Toc405_WPSOffice_Level1"/>
      <w:r>
        <w:rPr>
          <w:rFonts w:hint="eastAsia" w:ascii="仿宋_GB2312" w:hAnsi="宋体" w:eastAsia="仿宋_GB2312"/>
          <w:b/>
          <w:szCs w:val="21"/>
        </w:rPr>
        <w:t>20.政府采购合同附件</w:t>
      </w:r>
      <w:bookmarkEnd w:id="234"/>
      <w:bookmarkEnd w:id="235"/>
      <w:bookmarkEnd w:id="236"/>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下列文件构成本政府采购合同不可分割的组成部分，与本政府采购合同具有同等法律效力：</w:t>
      </w:r>
    </w:p>
    <w:p>
      <w:pPr>
        <w:adjustRightInd w:val="0"/>
        <w:snapToGrid w:val="0"/>
        <w:spacing w:line="360" w:lineRule="auto"/>
        <w:ind w:firstLine="411" w:firstLineChars="196"/>
        <w:rPr>
          <w:rFonts w:ascii="仿宋_GB2312" w:hAnsi="宋体" w:eastAsia="仿宋_GB2312"/>
          <w:szCs w:val="21"/>
        </w:rPr>
      </w:pPr>
      <w:bookmarkStart w:id="237" w:name="_Toc3518_WPSOffice_Level2"/>
      <w:r>
        <w:rPr>
          <w:rFonts w:hint="eastAsia" w:ascii="仿宋_GB2312" w:hAnsi="宋体" w:eastAsia="仿宋_GB2312"/>
          <w:szCs w:val="21"/>
        </w:rPr>
        <w:t>20.1招标文件；</w:t>
      </w:r>
      <w:bookmarkEnd w:id="237"/>
    </w:p>
    <w:p>
      <w:pPr>
        <w:adjustRightInd w:val="0"/>
        <w:snapToGrid w:val="0"/>
        <w:spacing w:line="360" w:lineRule="auto"/>
        <w:ind w:firstLine="411" w:firstLineChars="196"/>
        <w:rPr>
          <w:rFonts w:ascii="仿宋_GB2312" w:hAnsi="宋体" w:eastAsia="仿宋_GB2312"/>
          <w:szCs w:val="21"/>
        </w:rPr>
      </w:pPr>
      <w:bookmarkStart w:id="238" w:name="_Toc7342_WPSOffice_Level2"/>
      <w:r>
        <w:rPr>
          <w:rFonts w:hint="eastAsia" w:ascii="仿宋_GB2312" w:hAnsi="宋体" w:eastAsia="仿宋_GB2312"/>
          <w:szCs w:val="21"/>
        </w:rPr>
        <w:t>20.2招标文件的更正公告、变更公告；</w:t>
      </w:r>
      <w:bookmarkEnd w:id="238"/>
    </w:p>
    <w:p>
      <w:pPr>
        <w:adjustRightInd w:val="0"/>
        <w:snapToGrid w:val="0"/>
        <w:spacing w:line="360" w:lineRule="auto"/>
        <w:ind w:firstLine="411" w:firstLineChars="196"/>
        <w:rPr>
          <w:rFonts w:ascii="仿宋_GB2312" w:hAnsi="宋体" w:eastAsia="仿宋_GB2312"/>
          <w:szCs w:val="21"/>
        </w:rPr>
      </w:pPr>
      <w:bookmarkStart w:id="239" w:name="_Toc576_WPSOffice_Level2"/>
      <w:r>
        <w:rPr>
          <w:rFonts w:hint="eastAsia" w:ascii="仿宋_GB2312" w:hAnsi="宋体" w:eastAsia="仿宋_GB2312"/>
          <w:szCs w:val="21"/>
        </w:rPr>
        <w:t>20.3中标人提交的投标文件；</w:t>
      </w:r>
      <w:bookmarkEnd w:id="239"/>
    </w:p>
    <w:p>
      <w:pPr>
        <w:adjustRightInd w:val="0"/>
        <w:snapToGrid w:val="0"/>
        <w:spacing w:line="360" w:lineRule="auto"/>
        <w:ind w:firstLine="411" w:firstLineChars="196"/>
        <w:rPr>
          <w:rFonts w:ascii="仿宋_GB2312" w:hAnsi="宋体" w:eastAsia="仿宋_GB2312"/>
          <w:szCs w:val="21"/>
        </w:rPr>
      </w:pPr>
      <w:bookmarkStart w:id="240" w:name="_Toc25464_WPSOffice_Level2"/>
      <w:r>
        <w:rPr>
          <w:rFonts w:hint="eastAsia" w:ascii="仿宋_GB2312" w:hAnsi="宋体" w:eastAsia="仿宋_GB2312"/>
          <w:szCs w:val="21"/>
        </w:rPr>
        <w:t>20.4政府采购合同条款；</w:t>
      </w:r>
      <w:bookmarkEnd w:id="240"/>
    </w:p>
    <w:p>
      <w:pPr>
        <w:adjustRightInd w:val="0"/>
        <w:snapToGrid w:val="0"/>
        <w:spacing w:line="360" w:lineRule="auto"/>
        <w:ind w:firstLine="411" w:firstLineChars="196"/>
        <w:rPr>
          <w:rFonts w:ascii="仿宋_GB2312" w:hAnsi="宋体" w:eastAsia="仿宋_GB2312"/>
          <w:szCs w:val="21"/>
        </w:rPr>
      </w:pPr>
      <w:bookmarkStart w:id="241" w:name="_Toc25590_WPSOffice_Level2"/>
      <w:r>
        <w:rPr>
          <w:rFonts w:hint="eastAsia" w:ascii="仿宋_GB2312" w:hAnsi="宋体" w:eastAsia="仿宋_GB2312"/>
          <w:szCs w:val="21"/>
        </w:rPr>
        <w:t>20.5中标通知书；</w:t>
      </w:r>
      <w:bookmarkEnd w:id="241"/>
    </w:p>
    <w:p>
      <w:pPr>
        <w:adjustRightInd w:val="0"/>
        <w:snapToGrid w:val="0"/>
        <w:spacing w:line="360" w:lineRule="auto"/>
        <w:ind w:firstLine="411" w:firstLineChars="196"/>
        <w:rPr>
          <w:rFonts w:ascii="仿宋_GB2312" w:hAnsi="宋体" w:eastAsia="仿宋_GB2312"/>
          <w:szCs w:val="21"/>
        </w:rPr>
      </w:pPr>
      <w:bookmarkStart w:id="242" w:name="_Toc10297_WPSOffice_Level2"/>
      <w:r>
        <w:rPr>
          <w:rFonts w:hint="eastAsia" w:ascii="仿宋_GB2312" w:hAnsi="宋体" w:eastAsia="仿宋_GB2312"/>
          <w:szCs w:val="21"/>
        </w:rPr>
        <w:t>20.6政府采购合同的其它附件。</w:t>
      </w:r>
      <w:bookmarkEnd w:id="242"/>
    </w:p>
    <w:p>
      <w:pPr>
        <w:ind w:firstLine="470" w:firstLineChars="196"/>
        <w:rPr>
          <w:rFonts w:ascii="仿宋_GB2312" w:hAnsi="宋体" w:eastAsia="仿宋_GB2312"/>
          <w:sz w:val="24"/>
        </w:rPr>
      </w:pPr>
    </w:p>
    <w:p>
      <w:pPr>
        <w:ind w:firstLine="470" w:firstLineChars="196"/>
        <w:rPr>
          <w:rFonts w:ascii="仿宋_GB2312" w:hAnsi="宋体" w:eastAsia="仿宋_GB2312"/>
          <w:sz w:val="24"/>
        </w:rPr>
      </w:pPr>
    </w:p>
    <w:p>
      <w:pPr>
        <w:rPr>
          <w:rFonts w:ascii="仿宋_GB2312" w:hAnsi="宋体" w:eastAsia="仿宋_GB2312"/>
          <w:sz w:val="24"/>
        </w:rPr>
      </w:pPr>
      <w:r>
        <w:rPr>
          <w:rFonts w:ascii="仿宋_GB2312" w:hAnsi="宋体" w:eastAsia="仿宋_GB2312"/>
          <w:sz w:val="24"/>
        </w:rPr>
        <w:br w:type="page"/>
      </w:r>
    </w:p>
    <w:p>
      <w:pPr>
        <w:pStyle w:val="5"/>
        <w:adjustRightInd w:val="0"/>
        <w:snapToGrid w:val="0"/>
        <w:spacing w:before="0" w:after="0" w:line="240" w:lineRule="auto"/>
        <w:jc w:val="left"/>
        <w:rPr>
          <w:rFonts w:ascii="仿宋_GB2312" w:hAnsi="宋体" w:eastAsia="仿宋_GB2312"/>
          <w:sz w:val="21"/>
          <w:szCs w:val="21"/>
        </w:rPr>
      </w:pPr>
      <w:bookmarkStart w:id="243" w:name="_Toc7342_WPSOffice_Level1"/>
      <w:bookmarkStart w:id="244" w:name="_Toc372_WPSOffice_Level1"/>
      <w:bookmarkStart w:id="245" w:name="_Toc3044_WPSOffice_Level1"/>
      <w:r>
        <w:rPr>
          <w:rFonts w:hint="eastAsia" w:ascii="仿宋_GB2312" w:hAnsi="仿宋_GB2312" w:eastAsia="仿宋_GB2312" w:cs="仿宋_GB2312"/>
          <w:szCs w:val="28"/>
        </w:rPr>
        <w:t>合同格式</w:t>
      </w:r>
      <w:bookmarkEnd w:id="243"/>
      <w:bookmarkEnd w:id="244"/>
      <w:bookmarkEnd w:id="245"/>
    </w:p>
    <w:p>
      <w:pPr>
        <w:adjustRightInd w:val="0"/>
        <w:snapToGrid w:val="0"/>
        <w:spacing w:line="360" w:lineRule="auto"/>
        <w:jc w:val="center"/>
        <w:rPr>
          <w:rFonts w:ascii="仿宋_GB2312" w:hAnsi="宋体" w:eastAsia="仿宋_GB2312"/>
          <w:b/>
          <w:bCs/>
          <w:sz w:val="44"/>
          <w:szCs w:val="44"/>
        </w:rPr>
      </w:pPr>
      <w:bookmarkStart w:id="246" w:name="_Toc11644_WPSOffice_Level1"/>
      <w:bookmarkStart w:id="247" w:name="_Toc7832_WPSOffice_Level1"/>
      <w:r>
        <w:rPr>
          <w:rFonts w:hint="eastAsia" w:ascii="仿宋_GB2312" w:hAnsi="宋体" w:eastAsia="仿宋_GB2312"/>
          <w:b/>
          <w:bCs/>
          <w:sz w:val="44"/>
          <w:szCs w:val="44"/>
        </w:rPr>
        <w:t>政府采购合同格式</w:t>
      </w:r>
      <w:bookmarkEnd w:id="246"/>
      <w:bookmarkEnd w:id="247"/>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政府采购合同编号：</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签订地点：</w:t>
      </w:r>
    </w:p>
    <w:p>
      <w:pPr>
        <w:adjustRightInd w:val="0"/>
        <w:snapToGrid w:val="0"/>
        <w:spacing w:line="360" w:lineRule="auto"/>
        <w:ind w:firstLine="640"/>
        <w:jc w:val="left"/>
        <w:rPr>
          <w:rFonts w:ascii="仿宋_GB2312" w:hAnsi="宋体" w:eastAsia="仿宋_GB2312"/>
          <w:szCs w:val="21"/>
        </w:rPr>
      </w:pPr>
      <w:r>
        <w:rPr>
          <w:rFonts w:hint="eastAsia" w:ascii="仿宋_GB2312" w:hAnsi="宋体" w:eastAsia="仿宋_GB2312"/>
          <w:szCs w:val="21"/>
          <w:u w:val="single"/>
        </w:rPr>
        <w:t xml:space="preserve">    (需方名称</w:t>
      </w:r>
      <w:r>
        <w:rPr>
          <w:rFonts w:hint="eastAsia" w:ascii="仿宋_GB2312" w:hAnsi="宋体" w:eastAsia="仿宋_GB2312"/>
          <w:szCs w:val="21"/>
        </w:rPr>
        <w:t>) （以下简称需方）和</w:t>
      </w:r>
      <w:r>
        <w:rPr>
          <w:rFonts w:hint="eastAsia" w:ascii="仿宋_GB2312" w:hAnsi="宋体" w:eastAsia="仿宋_GB2312"/>
          <w:szCs w:val="21"/>
          <w:u w:val="single"/>
        </w:rPr>
        <w:t xml:space="preserve">   (供方名称)    </w:t>
      </w:r>
      <w:r>
        <w:rPr>
          <w:rFonts w:hint="eastAsia" w:ascii="仿宋_GB2312" w:hAnsi="宋体" w:eastAsia="仿宋_GB2312"/>
          <w:szCs w:val="21"/>
        </w:rPr>
        <w:t xml:space="preserve"> （以下简称供方）根据《中华人民共和国合同法》和有关法律法规，遵循平等、自愿、公平和诚实信用原则，同意按照下面的条款和条件订立本政府采购合同，共同信守。</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48" w:name="_Toc13230_WPSOffice_Level2"/>
      <w:r>
        <w:rPr>
          <w:rFonts w:hint="eastAsia" w:ascii="黑体" w:hAnsi="宋体" w:eastAsia="黑体"/>
          <w:b/>
          <w:szCs w:val="21"/>
        </w:rPr>
        <w:t>一、政府采购合同文件</w:t>
      </w:r>
      <w:bookmarkEnd w:id="248"/>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本政府采购合同所附下列文件是构成本政府采购合同不可分割的部分：</w:t>
      </w:r>
    </w:p>
    <w:p>
      <w:pPr>
        <w:adjustRightInd w:val="0"/>
        <w:snapToGrid w:val="0"/>
        <w:spacing w:line="360" w:lineRule="auto"/>
        <w:ind w:firstLine="420" w:firstLineChars="200"/>
        <w:jc w:val="left"/>
        <w:rPr>
          <w:rFonts w:ascii="仿宋_GB2312" w:hAnsi="宋体" w:eastAsia="仿宋_GB2312"/>
          <w:szCs w:val="21"/>
        </w:rPr>
      </w:pPr>
      <w:r>
        <w:rPr>
          <w:rFonts w:hint="eastAsia" w:ascii="黑体" w:hAnsi="宋体" w:eastAsia="黑体"/>
          <w:szCs w:val="21"/>
        </w:rPr>
        <w:t>1.</w:t>
      </w:r>
      <w:r>
        <w:rPr>
          <w:rFonts w:hint="eastAsia" w:ascii="仿宋_GB2312" w:hAnsi="宋体" w:eastAsia="仿宋_GB2312"/>
          <w:szCs w:val="21"/>
        </w:rPr>
        <w:t>招标文件（招标文件编号）；</w:t>
      </w:r>
    </w:p>
    <w:p>
      <w:pPr>
        <w:adjustRightInd w:val="0"/>
        <w:snapToGrid w:val="0"/>
        <w:spacing w:line="360" w:lineRule="auto"/>
        <w:ind w:firstLine="420" w:firstLineChars="200"/>
        <w:jc w:val="left"/>
        <w:rPr>
          <w:rFonts w:ascii="仿宋_GB2312" w:hAnsi="宋体" w:eastAsia="仿宋_GB2312" w:cs="Arial"/>
          <w:szCs w:val="21"/>
        </w:rPr>
      </w:pPr>
      <w:r>
        <w:rPr>
          <w:rFonts w:hint="eastAsia" w:ascii="黑体" w:hAnsi="宋体" w:eastAsia="黑体"/>
          <w:szCs w:val="21"/>
        </w:rPr>
        <w:t>2.</w:t>
      </w:r>
      <w:r>
        <w:rPr>
          <w:rFonts w:hint="eastAsia" w:ascii="仿宋_GB2312" w:hAnsi="宋体" w:eastAsia="仿宋_GB2312" w:cs="Arial"/>
          <w:szCs w:val="21"/>
        </w:rPr>
        <w:t>招标文件的更正公告、变更公告；</w:t>
      </w:r>
    </w:p>
    <w:p>
      <w:pPr>
        <w:adjustRightInd w:val="0"/>
        <w:snapToGrid w:val="0"/>
        <w:spacing w:line="360" w:lineRule="auto"/>
        <w:ind w:firstLine="420" w:firstLineChars="200"/>
        <w:jc w:val="left"/>
        <w:rPr>
          <w:rFonts w:ascii="仿宋_GB2312" w:hAnsi="宋体" w:eastAsia="仿宋_GB2312"/>
          <w:szCs w:val="21"/>
        </w:rPr>
      </w:pPr>
      <w:r>
        <w:rPr>
          <w:rFonts w:hint="eastAsia" w:ascii="黑体" w:hAnsi="宋体" w:eastAsia="黑体"/>
          <w:szCs w:val="21"/>
        </w:rPr>
        <w:t>3.</w:t>
      </w:r>
      <w:r>
        <w:rPr>
          <w:rFonts w:hint="eastAsia" w:ascii="仿宋_GB2312" w:hAnsi="宋体" w:eastAsia="仿宋_GB2312"/>
          <w:szCs w:val="21"/>
        </w:rPr>
        <w:t>中标人提交的投标文件；</w:t>
      </w:r>
    </w:p>
    <w:p>
      <w:pPr>
        <w:adjustRightInd w:val="0"/>
        <w:snapToGrid w:val="0"/>
        <w:spacing w:line="360" w:lineRule="auto"/>
        <w:ind w:firstLine="420" w:firstLineChars="200"/>
        <w:jc w:val="left"/>
        <w:rPr>
          <w:rFonts w:ascii="仿宋_GB2312" w:hAnsi="宋体" w:eastAsia="仿宋_GB2312"/>
          <w:szCs w:val="21"/>
        </w:rPr>
      </w:pPr>
      <w:r>
        <w:rPr>
          <w:rFonts w:hint="eastAsia" w:ascii="黑体" w:hAnsi="宋体" w:eastAsia="黑体"/>
          <w:szCs w:val="21"/>
        </w:rPr>
        <w:t>4.</w:t>
      </w:r>
      <w:r>
        <w:rPr>
          <w:rFonts w:hint="eastAsia" w:ascii="仿宋_GB2312" w:hAnsi="宋体" w:eastAsia="仿宋_GB2312"/>
          <w:szCs w:val="21"/>
        </w:rPr>
        <w:t>政府采购合同条款；</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5</w:t>
      </w:r>
      <w:r>
        <w:rPr>
          <w:rFonts w:hint="eastAsia" w:ascii="黑体" w:hAnsi="宋体" w:eastAsia="黑体"/>
          <w:szCs w:val="21"/>
        </w:rPr>
        <w:t>.</w:t>
      </w:r>
      <w:r>
        <w:rPr>
          <w:rFonts w:hint="eastAsia" w:ascii="仿宋_GB2312" w:hAnsi="宋体" w:eastAsia="仿宋_GB2312"/>
          <w:szCs w:val="21"/>
        </w:rPr>
        <w:t>中标通知书；</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6</w:t>
      </w:r>
      <w:r>
        <w:rPr>
          <w:rFonts w:hint="eastAsia" w:ascii="黑体" w:hAnsi="宋体" w:eastAsia="黑体"/>
          <w:szCs w:val="21"/>
        </w:rPr>
        <w:t>.</w:t>
      </w:r>
      <w:r>
        <w:rPr>
          <w:rFonts w:hint="eastAsia" w:ascii="仿宋_GB2312" w:hAnsi="宋体" w:eastAsia="仿宋_GB2312" w:cs="Arial"/>
          <w:szCs w:val="21"/>
        </w:rPr>
        <w:t>政府采购合同的其它附件。</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49" w:name="_Toc19527_WPSOffice_Level2"/>
      <w:r>
        <w:rPr>
          <w:rFonts w:hint="eastAsia" w:ascii="黑体" w:hAnsi="宋体" w:eastAsia="黑体"/>
          <w:b/>
          <w:szCs w:val="21"/>
        </w:rPr>
        <w:t>二、政府采购合同范围和条件</w:t>
      </w:r>
      <w:bookmarkEnd w:id="249"/>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本政府采购合同的范围和条件与上述政府采购合同文件的规定相一致。</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50" w:name="_Toc18050_WPSOffice_Level2"/>
      <w:r>
        <w:rPr>
          <w:rFonts w:hint="eastAsia" w:ascii="黑体" w:hAnsi="宋体" w:eastAsia="黑体"/>
          <w:b/>
          <w:szCs w:val="21"/>
        </w:rPr>
        <w:t>三、政府采购合同标的</w:t>
      </w:r>
      <w:bookmarkEnd w:id="250"/>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仿宋_GB2312" w:eastAsia="仿宋_GB2312" w:cs="仿宋_GB2312"/>
          <w:szCs w:val="21"/>
        </w:rPr>
        <w:t>本政府采购合同的标的为招标文件中所列货物及相关服务。</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51" w:name="_Toc27886_WPSOffice_Level2"/>
      <w:r>
        <w:rPr>
          <w:rFonts w:hint="eastAsia" w:ascii="黑体" w:hAnsi="宋体" w:eastAsia="黑体"/>
          <w:b/>
          <w:szCs w:val="21"/>
        </w:rPr>
        <w:t>四、政府采购合同金额</w:t>
      </w:r>
      <w:bookmarkEnd w:id="251"/>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根据上述政府采购合同文件要求，政府采购合同的总金额为人民币</w:t>
      </w:r>
      <w:r>
        <w:rPr>
          <w:rFonts w:hint="eastAsia" w:ascii="仿宋_GB2312" w:hAnsi="宋体" w:eastAsia="仿宋_GB2312"/>
          <w:szCs w:val="21"/>
          <w:u w:val="single"/>
        </w:rPr>
        <w:t xml:space="preserve">  （大写）                </w:t>
      </w:r>
      <w:r>
        <w:rPr>
          <w:rFonts w:hint="eastAsia" w:ascii="仿宋_GB2312" w:hAnsi="宋体" w:eastAsia="仿宋_GB2312"/>
          <w:szCs w:val="21"/>
        </w:rPr>
        <w:t xml:space="preserve"> 元。</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注：存在分项产品的必须清晰列明分项产品明细，包括名称、数量、分项报价等，并作为合同组成部分。</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52" w:name="_Toc22211_WPSOffice_Level2"/>
      <w:r>
        <w:rPr>
          <w:rFonts w:hint="eastAsia" w:ascii="黑体" w:hAnsi="宋体" w:eastAsia="黑体"/>
          <w:b/>
          <w:szCs w:val="21"/>
        </w:rPr>
        <w:t>五、付款方式及条件</w:t>
      </w:r>
      <w:bookmarkEnd w:id="252"/>
    </w:p>
    <w:p>
      <w:pPr>
        <w:adjustRightInd w:val="0"/>
        <w:snapToGrid w:val="0"/>
        <w:spacing w:line="360" w:lineRule="auto"/>
        <w:jc w:val="left"/>
        <w:rPr>
          <w:rFonts w:ascii="黑体" w:hAnsi="宋体" w:eastAsia="黑体"/>
          <w:b/>
          <w:szCs w:val="21"/>
        </w:rPr>
      </w:pPr>
    </w:p>
    <w:p>
      <w:pPr>
        <w:adjustRightInd w:val="0"/>
        <w:snapToGrid w:val="0"/>
        <w:spacing w:line="360" w:lineRule="auto"/>
        <w:jc w:val="left"/>
        <w:rPr>
          <w:rFonts w:ascii="仿宋_GB2312" w:hAnsi="宋体" w:eastAsia="仿宋_GB2312"/>
          <w:szCs w:val="21"/>
        </w:rPr>
      </w:pPr>
      <w:r>
        <w:rPr>
          <w:rFonts w:hint="eastAsia" w:ascii="黑体" w:hAnsi="宋体" w:eastAsia="黑体"/>
          <w:b/>
          <w:szCs w:val="21"/>
        </w:rPr>
        <w:t>　　</w:t>
      </w:r>
      <w:bookmarkStart w:id="253" w:name="_Toc27813_WPSOffice_Level2"/>
      <w:r>
        <w:rPr>
          <w:rFonts w:hint="eastAsia" w:ascii="黑体" w:hAnsi="宋体" w:eastAsia="黑体"/>
          <w:b/>
          <w:szCs w:val="21"/>
        </w:rPr>
        <w:t>六、交货时间和交货地点</w:t>
      </w:r>
      <w:bookmarkEnd w:id="253"/>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 xml:space="preserve">    1.交货时间：</w:t>
      </w:r>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 xml:space="preserve">    2.交货地点：</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54" w:name="_Toc12497_WPSOffice_Level2"/>
      <w:r>
        <w:rPr>
          <w:rFonts w:hint="eastAsia" w:ascii="黑体" w:hAnsi="宋体" w:eastAsia="黑体"/>
          <w:b/>
          <w:szCs w:val="21"/>
        </w:rPr>
        <w:t>七、验收要求</w:t>
      </w:r>
      <w:bookmarkEnd w:id="254"/>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供方完全履行合同义务后，需方或需方的最终用户按照上述政府采购合同文件列明的标准进行验收，验收不合格的，供方需按照第八条第2款的约定承担相应违约责任。</w:t>
      </w:r>
    </w:p>
    <w:p>
      <w:pPr>
        <w:adjustRightInd w:val="0"/>
        <w:snapToGrid w:val="0"/>
        <w:spacing w:line="360" w:lineRule="auto"/>
        <w:ind w:firstLine="420" w:firstLineChars="200"/>
        <w:jc w:val="left"/>
        <w:rPr>
          <w:rFonts w:ascii="黑体" w:hAnsi="宋体" w:eastAsia="黑体"/>
          <w:b/>
          <w:szCs w:val="21"/>
        </w:rPr>
      </w:pPr>
      <w:bookmarkStart w:id="255" w:name="_Toc4868_WPSOffice_Level2"/>
      <w:r>
        <w:rPr>
          <w:rFonts w:hint="eastAsia" w:ascii="黑体" w:hAnsi="宋体" w:eastAsia="黑体"/>
          <w:b/>
          <w:szCs w:val="21"/>
        </w:rPr>
        <w:t>八、违约责任</w:t>
      </w:r>
      <w:bookmarkEnd w:id="255"/>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1.供方逾期供货的，每逾期一天向需方支付逾期供货金额%的违约金，逾期日的，需方有权单方面解除本协议。</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3.需方逾期付款的，每逾期一天向供方支付逾期金额%的违约金，逾期日的，供方有权单方面解除本协议。</w:t>
      </w:r>
    </w:p>
    <w:p>
      <w:pPr>
        <w:adjustRightInd w:val="0"/>
        <w:snapToGrid w:val="0"/>
        <w:spacing w:line="360" w:lineRule="auto"/>
        <w:ind w:firstLine="420" w:firstLineChars="200"/>
        <w:jc w:val="left"/>
        <w:rPr>
          <w:rFonts w:ascii="黑体" w:hAnsi="宋体" w:eastAsia="黑体"/>
          <w:b/>
          <w:szCs w:val="21"/>
        </w:rPr>
      </w:pPr>
      <w:bookmarkStart w:id="256" w:name="_Toc24496_WPSOffice_Level2"/>
      <w:r>
        <w:rPr>
          <w:rFonts w:hint="eastAsia" w:ascii="黑体" w:hAnsi="宋体" w:eastAsia="黑体"/>
          <w:b/>
          <w:szCs w:val="21"/>
        </w:rPr>
        <w:t>九、争议解决</w:t>
      </w:r>
      <w:bookmarkEnd w:id="256"/>
    </w:p>
    <w:p>
      <w:pPr>
        <w:adjustRightInd w:val="0"/>
        <w:snapToGrid w:val="0"/>
        <w:spacing w:line="360" w:lineRule="auto"/>
        <w:jc w:val="left"/>
        <w:rPr>
          <w:rFonts w:ascii="黑体" w:hAnsi="宋体" w:eastAsia="黑体"/>
          <w:b/>
          <w:szCs w:val="21"/>
        </w:rPr>
      </w:pPr>
      <w:r>
        <w:rPr>
          <w:rFonts w:hint="eastAsia" w:ascii="仿宋_GB2312" w:hAnsi="宋体" w:eastAsia="仿宋_GB2312"/>
          <w:szCs w:val="21"/>
        </w:rPr>
        <w:t xml:space="preserve">    双方因履行本协议而产生的争议，应友好协商解决，协商不成的，任何一方可向需方所在地的人民法院提起诉讼。</w:t>
      </w:r>
    </w:p>
    <w:p>
      <w:pPr>
        <w:adjustRightInd w:val="0"/>
        <w:snapToGrid w:val="0"/>
        <w:spacing w:line="360" w:lineRule="auto"/>
        <w:ind w:firstLine="420" w:firstLineChars="200"/>
        <w:jc w:val="left"/>
        <w:rPr>
          <w:rFonts w:ascii="黑体" w:hAnsi="宋体" w:eastAsia="黑体"/>
          <w:b/>
          <w:szCs w:val="21"/>
        </w:rPr>
      </w:pPr>
      <w:bookmarkStart w:id="257" w:name="_Toc24974_WPSOffice_Level2"/>
      <w:r>
        <w:rPr>
          <w:rFonts w:hint="eastAsia" w:ascii="黑体" w:hAnsi="宋体" w:eastAsia="黑体"/>
          <w:b/>
          <w:szCs w:val="21"/>
        </w:rPr>
        <w:t>十、合同生效</w:t>
      </w:r>
      <w:bookmarkEnd w:id="257"/>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本政府采购合同经双方授权代表签字盖章后生效。</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需方（公章）:                         供方(公章):</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法定代表人或授权代表人(签字):         法定代表人或授权代表人(签字):</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地址：                                地址：</w:t>
      </w:r>
    </w:p>
    <w:p>
      <w:pPr>
        <w:adjustRightInd w:val="0"/>
        <w:snapToGrid w:val="0"/>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联系人：                              联系人：</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电话：                                电话：</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传真：                                传真：</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邮编：                                邮编：</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日期：</w:t>
      </w:r>
      <w:r>
        <w:rPr>
          <w:rFonts w:hint="eastAsia" w:ascii="仿宋_GB2312" w:hAnsi="Lucida Sans Unicode" w:eastAsia="仿宋_GB2312" w:cs="Lucida Sans Unicode"/>
          <w:szCs w:val="21"/>
          <w:u w:val="single"/>
        </w:rPr>
        <w:t xml:space="preserve">      年      月      日</w:t>
      </w:r>
      <w:r>
        <w:rPr>
          <w:rFonts w:hint="eastAsia" w:ascii="仿宋_GB2312" w:hAnsi="Lucida Sans Unicode" w:eastAsia="仿宋_GB2312" w:cs="Lucida Sans Unicode"/>
          <w:szCs w:val="21"/>
        </w:rPr>
        <w:t xml:space="preserve">        日期：</w:t>
      </w:r>
      <w:r>
        <w:rPr>
          <w:rFonts w:hint="eastAsia" w:ascii="仿宋_GB2312" w:hAnsi="Lucida Sans Unicode" w:eastAsia="仿宋_GB2312" w:cs="Lucida Sans Unicode"/>
          <w:szCs w:val="21"/>
          <w:u w:val="single"/>
        </w:rPr>
        <w:t xml:space="preserve">       年      月     日</w:t>
      </w:r>
    </w:p>
    <w:bookmarkEnd w:id="174"/>
    <w:p>
      <w:pPr>
        <w:widowControl/>
        <w:jc w:val="left"/>
        <w:rPr>
          <w:rFonts w:ascii="仿宋_GB2312" w:hAnsi="仿宋_GB2312" w:eastAsia="仿宋_GB2312" w:cs="仿宋_GB2312"/>
          <w:b/>
          <w:sz w:val="28"/>
          <w:szCs w:val="28"/>
        </w:rPr>
      </w:pPr>
    </w:p>
    <w:p>
      <w:pPr>
        <w:wordWrap w:val="0"/>
        <w:adjustRightInd w:val="0"/>
        <w:snapToGrid w:val="0"/>
        <w:spacing w:line="360" w:lineRule="auto"/>
        <w:jc w:val="right"/>
        <w:rPr>
          <w:rFonts w:ascii="仿宋_GB2312" w:hAnsi="仿宋_GB2312" w:eastAsia="仿宋_GB2312" w:cs="仿宋_GB2312"/>
          <w:szCs w:val="21"/>
        </w:rPr>
      </w:pPr>
    </w:p>
    <w:p>
      <w:pPr>
        <w:wordWrap w:val="0"/>
        <w:adjustRightInd w:val="0"/>
        <w:snapToGrid w:val="0"/>
        <w:spacing w:line="360" w:lineRule="auto"/>
        <w:jc w:val="right"/>
        <w:rPr>
          <w:rFonts w:ascii="仿宋_GB2312" w:hAnsi="仿宋_GB2312" w:eastAsia="仿宋_GB2312" w:cs="仿宋_GB2312"/>
          <w:szCs w:val="21"/>
        </w:rPr>
      </w:pPr>
    </w:p>
    <w:p/>
    <w:sectPr>
      <w:pgSz w:w="11906" w:h="16838"/>
      <w:pgMar w:top="1440" w:right="1803" w:bottom="1440" w:left="1803"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2">
    <w:panose1 w:val="05020102010507070707"/>
    <w:charset w:val="02"/>
    <w:family w:val="decorative"/>
    <w:pitch w:val="default"/>
    <w:sig w:usb0="00000000" w:usb1="00000000" w:usb2="00000000" w:usb3="00000000" w:csb0="80000000" w:csb1="00000000"/>
  </w:font>
  <w:font w:name="Lucida Sans Unicode">
    <w:panose1 w:val="020B0602030504020204"/>
    <w:charset w:val="00"/>
    <w:family w:val="swiss"/>
    <w:pitch w:val="default"/>
    <w:sig w:usb0="80001AFF" w:usb1="0000396B" w:usb2="00000000" w:usb3="00000000" w:csb0="200000BF" w:csb1="D7F70000"/>
  </w:font>
  <w:font w:name="微软雅黑">
    <w:panose1 w:val="020B0503020204020204"/>
    <w:charset w:val="86"/>
    <w:family w:val="swiss"/>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a:effectLst/>
                    </wps:spPr>
                    <wps:txbx>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8240;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gF4ko0gAAAAMBAAAPAAAAAAAA&#10;AAEAIAAAACIAAABkcnMvZG93bnJldi54bWxQSwECFAAUAAAACACHTuJAMMdBZBgCAAATBAAADgAA&#10;AAAAAAABACAAAAAhAQAAZHJzL2Uyb0RvYy54bWxQSwUGAAAAAAYABgBZAQAAqwUAAAAA&#10;">
              <v:fill on="f" focussize="0,0"/>
              <v:stroke on="f" weight="0.5pt"/>
              <v:imagedata o:title=""/>
              <o:lock v:ext="edit" aspectratio="f"/>
              <v:textbox inset="0mm,0mm,0mm,0mm" style="mso-fit-shape-to-text:t;">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B4FDF470"/>
    <w:multiLevelType w:val="singleLevel"/>
    <w:tmpl w:val="B4FDF470"/>
    <w:lvl w:ilvl="0" w:tentative="0">
      <w:start w:val="1"/>
      <w:numFmt w:val="decimal"/>
      <w:suff w:val="nothing"/>
      <w:lvlText w:val="（%1）"/>
      <w:lvlJc w:val="left"/>
    </w:lvl>
  </w:abstractNum>
  <w:abstractNum w:abstractNumId="2">
    <w:nsid w:val="B9A1E8D1"/>
    <w:multiLevelType w:val="singleLevel"/>
    <w:tmpl w:val="B9A1E8D1"/>
    <w:lvl w:ilvl="0" w:tentative="0">
      <w:start w:val="1"/>
      <w:numFmt w:val="decimal"/>
      <w:suff w:val="nothing"/>
      <w:lvlText w:val="（%1）"/>
      <w:lvlJc w:val="left"/>
    </w:lvl>
  </w:abstractNum>
  <w:abstractNum w:abstractNumId="3">
    <w:nsid w:val="EE8E3184"/>
    <w:multiLevelType w:val="singleLevel"/>
    <w:tmpl w:val="EE8E3184"/>
    <w:lvl w:ilvl="0" w:tentative="0">
      <w:start w:val="1"/>
      <w:numFmt w:val="decimal"/>
      <w:suff w:val="nothing"/>
      <w:lvlText w:val="（%1）"/>
      <w:lvlJc w:val="left"/>
    </w:lvl>
  </w:abstractNum>
  <w:abstractNum w:abstractNumId="4">
    <w:nsid w:val="27E8E525"/>
    <w:multiLevelType w:val="singleLevel"/>
    <w:tmpl w:val="27E8E525"/>
    <w:lvl w:ilvl="0" w:tentative="0">
      <w:start w:val="1"/>
      <w:numFmt w:val="decimal"/>
      <w:suff w:val="nothing"/>
      <w:lvlText w:val="（%1）"/>
      <w:lvlJc w:val="left"/>
    </w:lvl>
  </w:abstractNum>
  <w:abstractNum w:abstractNumId="5">
    <w:nsid w:val="74454E3A"/>
    <w:multiLevelType w:val="multilevel"/>
    <w:tmpl w:val="74454E3A"/>
    <w:lvl w:ilvl="0" w:tentative="0">
      <w:start w:val="1"/>
      <w:numFmt w:val="decimal"/>
      <w:lvlText w:val="%1."/>
      <w:lvlJc w:val="left"/>
      <w:pPr>
        <w:ind w:left="480" w:hanging="36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6">
    <w:nsid w:val="7B4156D0"/>
    <w:multiLevelType w:val="singleLevel"/>
    <w:tmpl w:val="7B4156D0"/>
    <w:lvl w:ilvl="0" w:tentative="0">
      <w:start w:val="1"/>
      <w:numFmt w:val="decimal"/>
      <w:suff w:val="nothing"/>
      <w:lvlText w:val="（%1）"/>
      <w:lvlJc w:val="left"/>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26654E"/>
    <w:rsid w:val="0005741F"/>
    <w:rsid w:val="000A785E"/>
    <w:rsid w:val="000F479D"/>
    <w:rsid w:val="00111401"/>
    <w:rsid w:val="001312CB"/>
    <w:rsid w:val="00133930"/>
    <w:rsid w:val="0014706E"/>
    <w:rsid w:val="00147209"/>
    <w:rsid w:val="00163C3D"/>
    <w:rsid w:val="001850D1"/>
    <w:rsid w:val="001A3926"/>
    <w:rsid w:val="001B748C"/>
    <w:rsid w:val="001C041D"/>
    <w:rsid w:val="001F2CAA"/>
    <w:rsid w:val="00252F6F"/>
    <w:rsid w:val="00265831"/>
    <w:rsid w:val="002F6F47"/>
    <w:rsid w:val="00315C23"/>
    <w:rsid w:val="0032770F"/>
    <w:rsid w:val="00331F95"/>
    <w:rsid w:val="003948BA"/>
    <w:rsid w:val="003A295D"/>
    <w:rsid w:val="004643BB"/>
    <w:rsid w:val="00492619"/>
    <w:rsid w:val="00492C40"/>
    <w:rsid w:val="00494464"/>
    <w:rsid w:val="004975CE"/>
    <w:rsid w:val="004C119B"/>
    <w:rsid w:val="004C45B5"/>
    <w:rsid w:val="00523542"/>
    <w:rsid w:val="005A2241"/>
    <w:rsid w:val="005B021C"/>
    <w:rsid w:val="005C39D2"/>
    <w:rsid w:val="005E4DC5"/>
    <w:rsid w:val="005F1C46"/>
    <w:rsid w:val="00636EBA"/>
    <w:rsid w:val="00642988"/>
    <w:rsid w:val="0066271C"/>
    <w:rsid w:val="00677ACF"/>
    <w:rsid w:val="006C2F40"/>
    <w:rsid w:val="00754ABF"/>
    <w:rsid w:val="007607AB"/>
    <w:rsid w:val="007A37D3"/>
    <w:rsid w:val="007B259A"/>
    <w:rsid w:val="00830938"/>
    <w:rsid w:val="00861554"/>
    <w:rsid w:val="0087668D"/>
    <w:rsid w:val="008A2B2E"/>
    <w:rsid w:val="008A5606"/>
    <w:rsid w:val="008C483C"/>
    <w:rsid w:val="008D5981"/>
    <w:rsid w:val="00903750"/>
    <w:rsid w:val="009217D3"/>
    <w:rsid w:val="009A4C11"/>
    <w:rsid w:val="009A7B46"/>
    <w:rsid w:val="00A748F8"/>
    <w:rsid w:val="00AD0529"/>
    <w:rsid w:val="00B4135A"/>
    <w:rsid w:val="00B45624"/>
    <w:rsid w:val="00B65FC2"/>
    <w:rsid w:val="00BD289B"/>
    <w:rsid w:val="00C24621"/>
    <w:rsid w:val="00C72E84"/>
    <w:rsid w:val="00C84F1B"/>
    <w:rsid w:val="00CF08BB"/>
    <w:rsid w:val="00D2384A"/>
    <w:rsid w:val="00D26DB8"/>
    <w:rsid w:val="00D46A82"/>
    <w:rsid w:val="00DA32D0"/>
    <w:rsid w:val="00DF2294"/>
    <w:rsid w:val="00E30FB5"/>
    <w:rsid w:val="00E62136"/>
    <w:rsid w:val="00E62446"/>
    <w:rsid w:val="00EC572D"/>
    <w:rsid w:val="00ED1DD1"/>
    <w:rsid w:val="00EE775B"/>
    <w:rsid w:val="00F171EC"/>
    <w:rsid w:val="00F60BF8"/>
    <w:rsid w:val="00F71E2F"/>
    <w:rsid w:val="00F72FCE"/>
    <w:rsid w:val="00F847DB"/>
    <w:rsid w:val="00FE6704"/>
    <w:rsid w:val="01653F86"/>
    <w:rsid w:val="01967974"/>
    <w:rsid w:val="01E700D6"/>
    <w:rsid w:val="01F07F98"/>
    <w:rsid w:val="027D7594"/>
    <w:rsid w:val="02CB055A"/>
    <w:rsid w:val="03F52D93"/>
    <w:rsid w:val="04100C00"/>
    <w:rsid w:val="048F2B5F"/>
    <w:rsid w:val="0544192E"/>
    <w:rsid w:val="058A3BB2"/>
    <w:rsid w:val="05980DCD"/>
    <w:rsid w:val="05FC5752"/>
    <w:rsid w:val="06A7131B"/>
    <w:rsid w:val="070E3850"/>
    <w:rsid w:val="07282BF8"/>
    <w:rsid w:val="07362B49"/>
    <w:rsid w:val="078C35F9"/>
    <w:rsid w:val="07AA7D6F"/>
    <w:rsid w:val="07B96EDF"/>
    <w:rsid w:val="08366A95"/>
    <w:rsid w:val="08AB6EC2"/>
    <w:rsid w:val="08FF4F9F"/>
    <w:rsid w:val="095226B6"/>
    <w:rsid w:val="09AD05D3"/>
    <w:rsid w:val="0A1811A6"/>
    <w:rsid w:val="0A3A5C5E"/>
    <w:rsid w:val="0A882DEA"/>
    <w:rsid w:val="0B405FC1"/>
    <w:rsid w:val="0BB47DF0"/>
    <w:rsid w:val="0BF0245C"/>
    <w:rsid w:val="0BFC2379"/>
    <w:rsid w:val="0C6A35EF"/>
    <w:rsid w:val="0CC93824"/>
    <w:rsid w:val="0CEB1E93"/>
    <w:rsid w:val="0D1D49B4"/>
    <w:rsid w:val="0D5A0424"/>
    <w:rsid w:val="0D75298A"/>
    <w:rsid w:val="0D937000"/>
    <w:rsid w:val="0D983193"/>
    <w:rsid w:val="0E6C25B0"/>
    <w:rsid w:val="0ED6585E"/>
    <w:rsid w:val="0F2E012B"/>
    <w:rsid w:val="100F5355"/>
    <w:rsid w:val="105A5CE3"/>
    <w:rsid w:val="10611A9D"/>
    <w:rsid w:val="10776967"/>
    <w:rsid w:val="10811A28"/>
    <w:rsid w:val="10E2377F"/>
    <w:rsid w:val="11186330"/>
    <w:rsid w:val="11623C39"/>
    <w:rsid w:val="11963A5F"/>
    <w:rsid w:val="120168E6"/>
    <w:rsid w:val="12055B15"/>
    <w:rsid w:val="120830FB"/>
    <w:rsid w:val="121D76B5"/>
    <w:rsid w:val="12435B6C"/>
    <w:rsid w:val="124859ED"/>
    <w:rsid w:val="130E2A4C"/>
    <w:rsid w:val="14EE3DE0"/>
    <w:rsid w:val="15054089"/>
    <w:rsid w:val="15402ECD"/>
    <w:rsid w:val="159E5DAA"/>
    <w:rsid w:val="15C51BFF"/>
    <w:rsid w:val="15EB2A92"/>
    <w:rsid w:val="16311E2A"/>
    <w:rsid w:val="16D35EF6"/>
    <w:rsid w:val="16EA1852"/>
    <w:rsid w:val="16EB41EB"/>
    <w:rsid w:val="1774194D"/>
    <w:rsid w:val="17804DD3"/>
    <w:rsid w:val="188D2FEE"/>
    <w:rsid w:val="18A77D57"/>
    <w:rsid w:val="19AA6D35"/>
    <w:rsid w:val="19E10DF3"/>
    <w:rsid w:val="19E61994"/>
    <w:rsid w:val="1A6162C5"/>
    <w:rsid w:val="1AA733BD"/>
    <w:rsid w:val="1ABD3739"/>
    <w:rsid w:val="1AD0252A"/>
    <w:rsid w:val="1AE170EF"/>
    <w:rsid w:val="1B154D1E"/>
    <w:rsid w:val="1BD2798D"/>
    <w:rsid w:val="1C1C3C61"/>
    <w:rsid w:val="1C4F1B90"/>
    <w:rsid w:val="1C5E5E06"/>
    <w:rsid w:val="1DFE2738"/>
    <w:rsid w:val="1E21093E"/>
    <w:rsid w:val="1ECD6A80"/>
    <w:rsid w:val="1F9069CE"/>
    <w:rsid w:val="1FC00175"/>
    <w:rsid w:val="1FD04A2C"/>
    <w:rsid w:val="20440924"/>
    <w:rsid w:val="204F5237"/>
    <w:rsid w:val="2112739A"/>
    <w:rsid w:val="21274EAD"/>
    <w:rsid w:val="21370FAF"/>
    <w:rsid w:val="214F1DB9"/>
    <w:rsid w:val="21756CB1"/>
    <w:rsid w:val="21850304"/>
    <w:rsid w:val="21A13CB6"/>
    <w:rsid w:val="21B82639"/>
    <w:rsid w:val="21F478CC"/>
    <w:rsid w:val="225219ED"/>
    <w:rsid w:val="22D84AA7"/>
    <w:rsid w:val="22E14355"/>
    <w:rsid w:val="23777ACD"/>
    <w:rsid w:val="23863BE4"/>
    <w:rsid w:val="242F697C"/>
    <w:rsid w:val="244F6FF8"/>
    <w:rsid w:val="25764AFB"/>
    <w:rsid w:val="26B41111"/>
    <w:rsid w:val="26C5677B"/>
    <w:rsid w:val="2718781B"/>
    <w:rsid w:val="272F10D7"/>
    <w:rsid w:val="27997E1C"/>
    <w:rsid w:val="28255C46"/>
    <w:rsid w:val="28335208"/>
    <w:rsid w:val="28650B13"/>
    <w:rsid w:val="2867550A"/>
    <w:rsid w:val="287C7D23"/>
    <w:rsid w:val="28B722D0"/>
    <w:rsid w:val="28F96CB2"/>
    <w:rsid w:val="29236843"/>
    <w:rsid w:val="2AD41EFD"/>
    <w:rsid w:val="2B3C2120"/>
    <w:rsid w:val="2B6E1349"/>
    <w:rsid w:val="2BAB367C"/>
    <w:rsid w:val="2DBA4628"/>
    <w:rsid w:val="2DC45375"/>
    <w:rsid w:val="2DE45A1E"/>
    <w:rsid w:val="2E2D3451"/>
    <w:rsid w:val="2E59616F"/>
    <w:rsid w:val="2E91093F"/>
    <w:rsid w:val="2F04338D"/>
    <w:rsid w:val="2F712547"/>
    <w:rsid w:val="2F8E2D76"/>
    <w:rsid w:val="2FD74BDB"/>
    <w:rsid w:val="2FF56D17"/>
    <w:rsid w:val="30044D4A"/>
    <w:rsid w:val="30747DF7"/>
    <w:rsid w:val="308503B5"/>
    <w:rsid w:val="30866179"/>
    <w:rsid w:val="31064337"/>
    <w:rsid w:val="31423A83"/>
    <w:rsid w:val="31501D65"/>
    <w:rsid w:val="31B7646E"/>
    <w:rsid w:val="31B9318A"/>
    <w:rsid w:val="31D40D9A"/>
    <w:rsid w:val="31E213DF"/>
    <w:rsid w:val="31F1683A"/>
    <w:rsid w:val="31FE4D5D"/>
    <w:rsid w:val="32DA6ACA"/>
    <w:rsid w:val="334A256D"/>
    <w:rsid w:val="33D71355"/>
    <w:rsid w:val="33EB257A"/>
    <w:rsid w:val="34301E8B"/>
    <w:rsid w:val="343C69F5"/>
    <w:rsid w:val="343D227B"/>
    <w:rsid w:val="34575787"/>
    <w:rsid w:val="34631B36"/>
    <w:rsid w:val="34715179"/>
    <w:rsid w:val="34A01E1F"/>
    <w:rsid w:val="34BB67F8"/>
    <w:rsid w:val="34ED7BEB"/>
    <w:rsid w:val="350F000E"/>
    <w:rsid w:val="3522542B"/>
    <w:rsid w:val="353C6651"/>
    <w:rsid w:val="362B3356"/>
    <w:rsid w:val="36BF0EB0"/>
    <w:rsid w:val="375437BC"/>
    <w:rsid w:val="37632631"/>
    <w:rsid w:val="377A643C"/>
    <w:rsid w:val="37B0685B"/>
    <w:rsid w:val="38E8450F"/>
    <w:rsid w:val="392E41DC"/>
    <w:rsid w:val="3A6A32D5"/>
    <w:rsid w:val="3AA57904"/>
    <w:rsid w:val="3AF66734"/>
    <w:rsid w:val="3B9B53ED"/>
    <w:rsid w:val="3BB91864"/>
    <w:rsid w:val="3BF95674"/>
    <w:rsid w:val="3C746C30"/>
    <w:rsid w:val="3CF91201"/>
    <w:rsid w:val="3D46484F"/>
    <w:rsid w:val="3D704FFF"/>
    <w:rsid w:val="3DDE0FD0"/>
    <w:rsid w:val="3E1118CA"/>
    <w:rsid w:val="3E3B1697"/>
    <w:rsid w:val="3E8C7A57"/>
    <w:rsid w:val="3EAA655F"/>
    <w:rsid w:val="3ED51235"/>
    <w:rsid w:val="3EEB6825"/>
    <w:rsid w:val="3F860D48"/>
    <w:rsid w:val="3FDF45F5"/>
    <w:rsid w:val="3FE3593D"/>
    <w:rsid w:val="406B1DDD"/>
    <w:rsid w:val="407B55AE"/>
    <w:rsid w:val="409453E2"/>
    <w:rsid w:val="40EB75CF"/>
    <w:rsid w:val="41310BAA"/>
    <w:rsid w:val="413E6AA8"/>
    <w:rsid w:val="41A71D20"/>
    <w:rsid w:val="4209282E"/>
    <w:rsid w:val="42605866"/>
    <w:rsid w:val="42C37381"/>
    <w:rsid w:val="433120B1"/>
    <w:rsid w:val="43943300"/>
    <w:rsid w:val="439D1BF9"/>
    <w:rsid w:val="43D20161"/>
    <w:rsid w:val="443F2BA2"/>
    <w:rsid w:val="44EA53F8"/>
    <w:rsid w:val="45331830"/>
    <w:rsid w:val="45371508"/>
    <w:rsid w:val="45824F07"/>
    <w:rsid w:val="459F3387"/>
    <w:rsid w:val="45DA202C"/>
    <w:rsid w:val="45F83B4F"/>
    <w:rsid w:val="464F60A7"/>
    <w:rsid w:val="4726654E"/>
    <w:rsid w:val="472C31EB"/>
    <w:rsid w:val="47560D8B"/>
    <w:rsid w:val="476700A4"/>
    <w:rsid w:val="47B16683"/>
    <w:rsid w:val="4802503C"/>
    <w:rsid w:val="4804696D"/>
    <w:rsid w:val="485152C7"/>
    <w:rsid w:val="48615E50"/>
    <w:rsid w:val="488D665B"/>
    <w:rsid w:val="48A324AE"/>
    <w:rsid w:val="48B8164E"/>
    <w:rsid w:val="48D06FBF"/>
    <w:rsid w:val="492A715D"/>
    <w:rsid w:val="49A43ED1"/>
    <w:rsid w:val="49D25D27"/>
    <w:rsid w:val="49DC18F6"/>
    <w:rsid w:val="4A170069"/>
    <w:rsid w:val="4A1E7C68"/>
    <w:rsid w:val="4AC32F03"/>
    <w:rsid w:val="4B324439"/>
    <w:rsid w:val="4BF81570"/>
    <w:rsid w:val="4C6A1523"/>
    <w:rsid w:val="4C6B3B2B"/>
    <w:rsid w:val="4C9F3847"/>
    <w:rsid w:val="4CA94068"/>
    <w:rsid w:val="4CB57852"/>
    <w:rsid w:val="4CCA6305"/>
    <w:rsid w:val="4CE1766C"/>
    <w:rsid w:val="4CFB3EFB"/>
    <w:rsid w:val="4D863D08"/>
    <w:rsid w:val="4DB201F1"/>
    <w:rsid w:val="4DC8482E"/>
    <w:rsid w:val="4DEC23E0"/>
    <w:rsid w:val="4E2346B0"/>
    <w:rsid w:val="4E9522EC"/>
    <w:rsid w:val="4F072961"/>
    <w:rsid w:val="4F3012DF"/>
    <w:rsid w:val="4F6722A2"/>
    <w:rsid w:val="4F6D3E7F"/>
    <w:rsid w:val="50051055"/>
    <w:rsid w:val="501678AA"/>
    <w:rsid w:val="501841F5"/>
    <w:rsid w:val="505B15BC"/>
    <w:rsid w:val="505F5A62"/>
    <w:rsid w:val="50BE79B5"/>
    <w:rsid w:val="52796D65"/>
    <w:rsid w:val="53683735"/>
    <w:rsid w:val="538643A2"/>
    <w:rsid w:val="54EA5760"/>
    <w:rsid w:val="555B5AD6"/>
    <w:rsid w:val="558758C6"/>
    <w:rsid w:val="55CE593E"/>
    <w:rsid w:val="5604188A"/>
    <w:rsid w:val="566F3477"/>
    <w:rsid w:val="569171AC"/>
    <w:rsid w:val="56B17458"/>
    <w:rsid w:val="56E02645"/>
    <w:rsid w:val="56F122B1"/>
    <w:rsid w:val="575A2261"/>
    <w:rsid w:val="5776342E"/>
    <w:rsid w:val="57A670BE"/>
    <w:rsid w:val="57FB2EC1"/>
    <w:rsid w:val="581C1F0B"/>
    <w:rsid w:val="583D062F"/>
    <w:rsid w:val="585D022B"/>
    <w:rsid w:val="586F105F"/>
    <w:rsid w:val="58A43231"/>
    <w:rsid w:val="58CC5802"/>
    <w:rsid w:val="58E6489A"/>
    <w:rsid w:val="59001611"/>
    <w:rsid w:val="59107D09"/>
    <w:rsid w:val="59182A13"/>
    <w:rsid w:val="599F2B74"/>
    <w:rsid w:val="59C44DE0"/>
    <w:rsid w:val="59C92BE7"/>
    <w:rsid w:val="59D35521"/>
    <w:rsid w:val="5A4A2419"/>
    <w:rsid w:val="5A714B40"/>
    <w:rsid w:val="5B397462"/>
    <w:rsid w:val="5BD60CBA"/>
    <w:rsid w:val="5C0D03ED"/>
    <w:rsid w:val="5C4E2639"/>
    <w:rsid w:val="5D4045F0"/>
    <w:rsid w:val="5D6C3DCF"/>
    <w:rsid w:val="5D724AC3"/>
    <w:rsid w:val="5DFC3AAB"/>
    <w:rsid w:val="5E3B0BCF"/>
    <w:rsid w:val="5E3F6FBF"/>
    <w:rsid w:val="5E4706EC"/>
    <w:rsid w:val="5E653EE2"/>
    <w:rsid w:val="5F5D3011"/>
    <w:rsid w:val="5F80567A"/>
    <w:rsid w:val="5FCE5079"/>
    <w:rsid w:val="5FDA386F"/>
    <w:rsid w:val="5FFF454D"/>
    <w:rsid w:val="609045EA"/>
    <w:rsid w:val="60A6404B"/>
    <w:rsid w:val="616A327B"/>
    <w:rsid w:val="61742B1F"/>
    <w:rsid w:val="61760774"/>
    <w:rsid w:val="61BC0F80"/>
    <w:rsid w:val="62A114BB"/>
    <w:rsid w:val="63530B93"/>
    <w:rsid w:val="63855CFF"/>
    <w:rsid w:val="64917D1D"/>
    <w:rsid w:val="64A40A27"/>
    <w:rsid w:val="65117327"/>
    <w:rsid w:val="65122BB7"/>
    <w:rsid w:val="654D77E2"/>
    <w:rsid w:val="656E1EBA"/>
    <w:rsid w:val="658456D8"/>
    <w:rsid w:val="65BA0DF8"/>
    <w:rsid w:val="66737992"/>
    <w:rsid w:val="66982CE9"/>
    <w:rsid w:val="66AB7995"/>
    <w:rsid w:val="66B26662"/>
    <w:rsid w:val="67135C6D"/>
    <w:rsid w:val="673C7926"/>
    <w:rsid w:val="677166B1"/>
    <w:rsid w:val="68206B9D"/>
    <w:rsid w:val="683D66A9"/>
    <w:rsid w:val="68E7642F"/>
    <w:rsid w:val="69153AED"/>
    <w:rsid w:val="6971131E"/>
    <w:rsid w:val="69B50CD1"/>
    <w:rsid w:val="69F04C69"/>
    <w:rsid w:val="6A1014C8"/>
    <w:rsid w:val="6A214F06"/>
    <w:rsid w:val="6AF51762"/>
    <w:rsid w:val="6B425267"/>
    <w:rsid w:val="6BAF6B81"/>
    <w:rsid w:val="6C1405BE"/>
    <w:rsid w:val="6C34342A"/>
    <w:rsid w:val="6C5C6B80"/>
    <w:rsid w:val="6C8B0B52"/>
    <w:rsid w:val="6C9A0512"/>
    <w:rsid w:val="6CA1102F"/>
    <w:rsid w:val="6CD60228"/>
    <w:rsid w:val="6CD70ACD"/>
    <w:rsid w:val="6CEE625A"/>
    <w:rsid w:val="6D282141"/>
    <w:rsid w:val="6DC84661"/>
    <w:rsid w:val="6EE2049F"/>
    <w:rsid w:val="6EFE548C"/>
    <w:rsid w:val="6F0344BE"/>
    <w:rsid w:val="6F8424EF"/>
    <w:rsid w:val="6F9E5654"/>
    <w:rsid w:val="701D5D7D"/>
    <w:rsid w:val="706E4CC2"/>
    <w:rsid w:val="70C433C7"/>
    <w:rsid w:val="71203235"/>
    <w:rsid w:val="71776E2F"/>
    <w:rsid w:val="71781F77"/>
    <w:rsid w:val="71994BDD"/>
    <w:rsid w:val="71B808C4"/>
    <w:rsid w:val="71D70171"/>
    <w:rsid w:val="722344B9"/>
    <w:rsid w:val="723431D7"/>
    <w:rsid w:val="72F70DE4"/>
    <w:rsid w:val="732A0185"/>
    <w:rsid w:val="739D6BCD"/>
    <w:rsid w:val="73A36B76"/>
    <w:rsid w:val="74076DED"/>
    <w:rsid w:val="743C6635"/>
    <w:rsid w:val="74C31661"/>
    <w:rsid w:val="74D53BA3"/>
    <w:rsid w:val="74DB7FF0"/>
    <w:rsid w:val="750A4148"/>
    <w:rsid w:val="75336796"/>
    <w:rsid w:val="75495BF3"/>
    <w:rsid w:val="757D3525"/>
    <w:rsid w:val="75E23DD3"/>
    <w:rsid w:val="76075FC5"/>
    <w:rsid w:val="769525F8"/>
    <w:rsid w:val="776B3894"/>
    <w:rsid w:val="77852559"/>
    <w:rsid w:val="77B941A9"/>
    <w:rsid w:val="78427AB0"/>
    <w:rsid w:val="787D7AF0"/>
    <w:rsid w:val="78850212"/>
    <w:rsid w:val="78D9765A"/>
    <w:rsid w:val="79BD7AFC"/>
    <w:rsid w:val="79FD3BB0"/>
    <w:rsid w:val="7A001A35"/>
    <w:rsid w:val="7A0B1D76"/>
    <w:rsid w:val="7A0E0FAE"/>
    <w:rsid w:val="7A7D7D9A"/>
    <w:rsid w:val="7BDC3480"/>
    <w:rsid w:val="7C446A2C"/>
    <w:rsid w:val="7D1131D8"/>
    <w:rsid w:val="7D7F0CCE"/>
    <w:rsid w:val="7D974B39"/>
    <w:rsid w:val="7D9F1611"/>
    <w:rsid w:val="7DA1523C"/>
    <w:rsid w:val="7DE803C2"/>
    <w:rsid w:val="7E042213"/>
    <w:rsid w:val="7EB921E4"/>
    <w:rsid w:val="7EC820AB"/>
    <w:rsid w:val="7ED11840"/>
    <w:rsid w:val="7F2C054B"/>
    <w:rsid w:val="7FEA49FB"/>
    <w:rsid w:val="DFF9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21"/>
      <w:szCs w:val="24"/>
      <w:lang w:val="en-US" w:eastAsia="zh-CN" w:bidi="ar-SA"/>
    </w:rPr>
  </w:style>
  <w:style w:type="paragraph" w:styleId="4">
    <w:name w:val="heading 1"/>
    <w:basedOn w:val="1"/>
    <w:next w:val="1"/>
    <w:qFormat/>
    <w:uiPriority w:val="0"/>
    <w:pPr>
      <w:keepNext/>
      <w:keepLines/>
      <w:spacing w:before="120" w:after="120"/>
      <w:jc w:val="center"/>
      <w:outlineLvl w:val="0"/>
    </w:pPr>
    <w:rPr>
      <w:b/>
      <w:kern w:val="44"/>
      <w:sz w:val="44"/>
    </w:rPr>
  </w:style>
  <w:style w:type="paragraph" w:styleId="5">
    <w:name w:val="heading 2"/>
    <w:basedOn w:val="1"/>
    <w:next w:val="1"/>
    <w:qFormat/>
    <w:uiPriority w:val="0"/>
    <w:pPr>
      <w:keepNext/>
      <w:keepLines/>
      <w:spacing w:before="140" w:after="140" w:line="413" w:lineRule="auto"/>
      <w:jc w:val="center"/>
      <w:outlineLvl w:val="1"/>
    </w:pPr>
    <w:rPr>
      <w:rFonts w:ascii="Arial" w:hAnsi="Arial"/>
      <w:b/>
      <w:sz w:val="28"/>
    </w:rPr>
  </w:style>
  <w:style w:type="paragraph" w:styleId="6">
    <w:name w:val="heading 4"/>
    <w:basedOn w:val="1"/>
    <w:next w:val="1"/>
    <w:qFormat/>
    <w:uiPriority w:val="0"/>
    <w:pPr>
      <w:keepNext/>
      <w:keepLines/>
      <w:outlineLvl w:val="3"/>
    </w:pPr>
    <w:rPr>
      <w:rFonts w:ascii="Arial" w:hAnsi="Arial" w:eastAsia="黑体"/>
      <w:bCs/>
      <w:kern w:val="0"/>
      <w:sz w:val="24"/>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spacing w:line="520" w:lineRule="exact"/>
      <w:ind w:firstLine="210"/>
      <w:textAlignment w:val="baseline"/>
    </w:pPr>
    <w:rPr>
      <w:rFonts w:ascii="黑体" w:hAnsi="Arial" w:eastAsia="黑体"/>
    </w:rPr>
  </w:style>
  <w:style w:type="paragraph" w:styleId="3">
    <w:name w:val="Body Text Indent"/>
    <w:basedOn w:val="1"/>
    <w:qFormat/>
    <w:uiPriority w:val="0"/>
    <w:pPr>
      <w:spacing w:line="360" w:lineRule="auto"/>
      <w:ind w:firstLine="480" w:firstLineChars="200"/>
    </w:pPr>
    <w:rPr>
      <w:rFonts w:ascii="宋体"/>
      <w:sz w:val="24"/>
      <w:szCs w:val="20"/>
    </w:rPr>
  </w:style>
  <w:style w:type="paragraph" w:styleId="7">
    <w:name w:val="Normal Indent"/>
    <w:basedOn w:val="1"/>
    <w:qFormat/>
    <w:uiPriority w:val="99"/>
    <w:pPr>
      <w:ind w:firstLine="420"/>
    </w:pPr>
    <w:rPr>
      <w:kern w:val="0"/>
      <w:szCs w:val="20"/>
    </w:rPr>
  </w:style>
  <w:style w:type="paragraph" w:styleId="8">
    <w:name w:val="annotation text"/>
    <w:basedOn w:val="1"/>
    <w:link w:val="23"/>
    <w:unhideWhenUsed/>
    <w:qFormat/>
    <w:uiPriority w:val="99"/>
    <w:pPr>
      <w:jc w:val="left"/>
    </w:pPr>
  </w:style>
  <w:style w:type="paragraph" w:styleId="9">
    <w:name w:val="Body Text"/>
    <w:basedOn w:val="1"/>
    <w:qFormat/>
    <w:uiPriority w:val="0"/>
  </w:style>
  <w:style w:type="paragraph" w:styleId="10">
    <w:name w:val="Plain Text"/>
    <w:basedOn w:val="1"/>
    <w:qFormat/>
    <w:uiPriority w:val="99"/>
    <w:rPr>
      <w:rFonts w:ascii="宋体" w:hAnsi="Courier New" w:cs="Courier New"/>
      <w:szCs w:val="21"/>
    </w:rPr>
  </w:style>
  <w:style w:type="paragraph" w:styleId="11">
    <w:name w:val="Balloon Text"/>
    <w:basedOn w:val="1"/>
    <w:link w:val="22"/>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6">
    <w:name w:val="annotation subject"/>
    <w:basedOn w:val="8"/>
    <w:next w:val="8"/>
    <w:link w:val="24"/>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annotation reference"/>
    <w:basedOn w:val="19"/>
    <w:qFormat/>
    <w:uiPriority w:val="0"/>
    <w:rPr>
      <w:sz w:val="21"/>
      <w:szCs w:val="21"/>
    </w:rPr>
  </w:style>
  <w:style w:type="paragraph" w:customStyle="1" w:styleId="21">
    <w:name w:val="列表段落1"/>
    <w:basedOn w:val="1"/>
    <w:qFormat/>
    <w:uiPriority w:val="34"/>
    <w:pPr>
      <w:ind w:firstLine="420" w:firstLineChars="200"/>
    </w:pPr>
  </w:style>
  <w:style w:type="character" w:customStyle="1" w:styleId="22">
    <w:name w:val="批注框文本 字符"/>
    <w:basedOn w:val="19"/>
    <w:link w:val="11"/>
    <w:qFormat/>
    <w:uiPriority w:val="0"/>
    <w:rPr>
      <w:rFonts w:eastAsia="仿宋"/>
      <w:kern w:val="2"/>
      <w:sz w:val="18"/>
      <w:szCs w:val="18"/>
    </w:rPr>
  </w:style>
  <w:style w:type="character" w:customStyle="1" w:styleId="23">
    <w:name w:val="批注文字 字符"/>
    <w:basedOn w:val="19"/>
    <w:link w:val="8"/>
    <w:qFormat/>
    <w:uiPriority w:val="99"/>
    <w:rPr>
      <w:rFonts w:eastAsia="仿宋"/>
      <w:kern w:val="2"/>
      <w:sz w:val="21"/>
      <w:szCs w:val="24"/>
    </w:rPr>
  </w:style>
  <w:style w:type="character" w:customStyle="1" w:styleId="24">
    <w:name w:val="批注主题 字符"/>
    <w:basedOn w:val="23"/>
    <w:link w:val="16"/>
    <w:qFormat/>
    <w:uiPriority w:val="0"/>
    <w:rPr>
      <w:rFonts w:eastAsia="仿宋"/>
      <w:b/>
      <w:bCs/>
      <w:kern w:val="2"/>
      <w:sz w:val="21"/>
      <w:szCs w:val="24"/>
    </w:rPr>
  </w:style>
  <w:style w:type="paragraph" w:styleId="25">
    <w:name w:val="List Paragraph"/>
    <w:basedOn w:val="1"/>
    <w:qFormat/>
    <w:uiPriority w:val="99"/>
    <w:pPr>
      <w:ind w:firstLine="420" w:firstLineChars="200"/>
    </w:pPr>
  </w:style>
  <w:style w:type="character" w:customStyle="1" w:styleId="26">
    <w:name w:val="页眉 字符"/>
    <w:basedOn w:val="19"/>
    <w:link w:val="13"/>
    <w:qFormat/>
    <w:uiPriority w:val="0"/>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F7E829-9EB3-4ACB-A0B1-42B1E4CD435B}">
  <ds:schemaRefs/>
</ds:datastoreItem>
</file>

<file path=docProps/app.xml><?xml version="1.0" encoding="utf-8"?>
<Properties xmlns="http://schemas.openxmlformats.org/officeDocument/2006/extended-properties" xmlns:vt="http://schemas.openxmlformats.org/officeDocument/2006/docPropsVTypes">
  <Template>Normal</Template>
  <Pages>71</Pages>
  <Words>6469</Words>
  <Characters>36878</Characters>
  <Lines>307</Lines>
  <Paragraphs>86</Paragraphs>
  <TotalTime>2</TotalTime>
  <ScaleCrop>false</ScaleCrop>
  <LinksUpToDate>false</LinksUpToDate>
  <CharactersWithSpaces>43261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2020-11-08T11:42:00Z</dcterms:created>
  <dc:creator>天干+</dc:creator>
  <cp:lastModifiedBy>SSW</cp:lastModifiedBy>
  <cp:lastPrinted>2020-11-23T04:15:00Z</cp:lastPrinted>
  <dcterms:modified xsi:type="dcterms:W3CDTF">2021-02-01T05:09:41Z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