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宋体" w:hAnsi="宋体"/>
          <w:b/>
          <w:bCs/>
          <w:color w:val="auto"/>
          <w:sz w:val="36"/>
          <w:szCs w:val="36"/>
          <w:highlight w:val="none"/>
          <w:lang w:eastAsia="zh-CN"/>
        </w:rPr>
      </w:pPr>
      <w:r>
        <w:rPr>
          <w:rFonts w:hint="eastAsia" w:ascii="宋体" w:hAnsi="宋体"/>
          <w:b/>
          <w:bCs/>
          <w:color w:val="auto"/>
          <w:sz w:val="36"/>
          <w:szCs w:val="36"/>
          <w:highlight w:val="none"/>
          <w:lang w:eastAsia="zh-CN"/>
        </w:rPr>
        <w:t>采购需求</w:t>
      </w:r>
    </w:p>
    <w:p>
      <w:pPr>
        <w:spacing w:line="240" w:lineRule="auto"/>
        <w:jc w:val="left"/>
        <w:rPr>
          <w:rFonts w:hint="eastAsia" w:ascii="宋体" w:hAnsi="宋体" w:eastAsia="宋体" w:cs="宋体"/>
          <w:b/>
          <w:bCs/>
          <w:color w:val="auto"/>
          <w:sz w:val="24"/>
          <w:szCs w:val="22"/>
          <w:highlight w:val="none"/>
          <w:lang w:eastAsia="zh-CN"/>
        </w:rPr>
      </w:pPr>
    </w:p>
    <w:p>
      <w:pPr>
        <w:spacing w:line="240" w:lineRule="auto"/>
        <w:jc w:val="left"/>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eastAsia="zh-CN"/>
        </w:rPr>
        <w:t>项目名称：合江县环境应急能力建设</w:t>
      </w:r>
      <w:r>
        <w:rPr>
          <w:rFonts w:hint="eastAsia" w:ascii="宋体" w:hAnsi="宋体" w:eastAsia="宋体" w:cs="宋体"/>
          <w:b/>
          <w:bCs/>
          <w:color w:val="auto"/>
          <w:sz w:val="24"/>
          <w:szCs w:val="22"/>
          <w:highlight w:val="none"/>
          <w:lang w:val="en-US" w:eastAsia="zh-CN"/>
        </w:rPr>
        <w:t>项目</w:t>
      </w:r>
    </w:p>
    <w:p>
      <w:pPr>
        <w:spacing w:line="240" w:lineRule="auto"/>
        <w:jc w:val="left"/>
        <w:rPr>
          <w:rFonts w:hint="default"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eastAsia="zh-CN"/>
        </w:rPr>
        <w:t>采购预算：</w:t>
      </w:r>
      <w:r>
        <w:rPr>
          <w:rFonts w:hint="eastAsia" w:ascii="宋体" w:hAnsi="宋体" w:eastAsia="宋体" w:cs="宋体"/>
          <w:b/>
          <w:bCs/>
          <w:color w:val="auto"/>
          <w:sz w:val="24"/>
          <w:szCs w:val="22"/>
          <w:highlight w:val="none"/>
          <w:lang w:val="en-US" w:eastAsia="zh-CN"/>
        </w:rPr>
        <w:t>1包172.3万元，2包49.7万元</w:t>
      </w:r>
    </w:p>
    <w:p>
      <w:pPr>
        <w:spacing w:line="240" w:lineRule="auto"/>
        <w:jc w:val="left"/>
        <w:rPr>
          <w:rFonts w:hint="default"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eastAsia="zh-CN"/>
        </w:rPr>
        <w:t>采购方式：</w:t>
      </w:r>
      <w:r>
        <w:rPr>
          <w:rFonts w:hint="eastAsia" w:ascii="宋体" w:hAnsi="宋体" w:eastAsia="宋体" w:cs="宋体"/>
          <w:b/>
          <w:bCs/>
          <w:color w:val="auto"/>
          <w:sz w:val="24"/>
          <w:szCs w:val="22"/>
          <w:highlight w:val="none"/>
          <w:lang w:val="en-US" w:eastAsia="zh-CN"/>
        </w:rPr>
        <w:t>公开招标</w:t>
      </w:r>
    </w:p>
    <w:p>
      <w:pPr>
        <w:spacing w:line="240" w:lineRule="auto"/>
        <w:jc w:val="left"/>
        <w:rPr>
          <w:rFonts w:hint="eastAsia" w:ascii="宋体" w:hAnsi="宋体" w:eastAsia="宋体" w:cs="宋体"/>
          <w:b/>
          <w:bCs/>
          <w:color w:val="auto"/>
          <w:sz w:val="24"/>
          <w:szCs w:val="22"/>
          <w:highlight w:val="none"/>
          <w:lang w:eastAsia="zh-CN"/>
        </w:rPr>
      </w:pPr>
      <w:r>
        <w:rPr>
          <w:rFonts w:hint="eastAsia" w:ascii="宋体" w:hAnsi="宋体" w:eastAsia="宋体" w:cs="宋体"/>
          <w:b/>
          <w:bCs/>
          <w:color w:val="auto"/>
          <w:sz w:val="24"/>
          <w:szCs w:val="22"/>
          <w:highlight w:val="none"/>
          <w:lang w:eastAsia="zh-CN"/>
        </w:rPr>
        <w:t>评分办法：综合评分法</w:t>
      </w:r>
    </w:p>
    <w:p>
      <w:pPr>
        <w:pStyle w:val="2"/>
        <w:rPr>
          <w:rFonts w:hint="eastAsia"/>
          <w:color w:val="auto"/>
          <w:highlight w:val="none"/>
          <w:lang w:eastAsia="zh-CN"/>
        </w:rPr>
      </w:pPr>
    </w:p>
    <w:p>
      <w:pPr>
        <w:pStyle w:val="5"/>
        <w:numPr>
          <w:ilvl w:val="0"/>
          <w:numId w:val="1"/>
        </w:numPr>
        <w:bidi w:val="0"/>
        <w:rPr>
          <w:rFonts w:hint="eastAsia"/>
          <w:color w:val="auto"/>
          <w:highlight w:val="none"/>
          <w:lang w:eastAsia="zh-CN"/>
        </w:rPr>
      </w:pPr>
      <w:r>
        <w:rPr>
          <w:rFonts w:hint="eastAsia"/>
          <w:color w:val="auto"/>
          <w:highlight w:val="none"/>
        </w:rPr>
        <w:t>项目概述</w:t>
      </w:r>
      <w:r>
        <w:rPr>
          <w:rFonts w:hint="eastAsia"/>
          <w:color w:val="auto"/>
          <w:highlight w:val="none"/>
          <w:lang w:eastAsia="zh-CN"/>
        </w:rPr>
        <w:t>：</w:t>
      </w:r>
    </w:p>
    <w:p>
      <w:pPr>
        <w:pStyle w:val="12"/>
        <w:spacing w:line="240" w:lineRule="auto"/>
        <w:ind w:left="0" w:leftChars="0" w:firstLine="442" w:firstLineChars="200"/>
        <w:rPr>
          <w:rFonts w:hint="eastAsia" w:ascii="Times New Roman" w:hAnsi="Times New Roman" w:eastAsia="宋体" w:cs="Times New Roman"/>
          <w:b/>
          <w:bCs/>
          <w:i w:val="0"/>
          <w:iCs/>
          <w:kern w:val="0"/>
          <w:sz w:val="22"/>
          <w:szCs w:val="22"/>
          <w:lang w:val="en-US" w:eastAsia="zh-CN" w:bidi="ar-SA"/>
        </w:rPr>
      </w:pPr>
      <w:r>
        <w:rPr>
          <w:rFonts w:hint="eastAsia" w:ascii="Times New Roman" w:hAnsi="Times New Roman" w:eastAsia="宋体" w:cs="Times New Roman"/>
          <w:b/>
          <w:bCs/>
          <w:i w:val="0"/>
          <w:iCs/>
          <w:kern w:val="0"/>
          <w:sz w:val="22"/>
          <w:szCs w:val="22"/>
          <w:lang w:val="en-US" w:eastAsia="zh-CN" w:bidi="ar-SA"/>
        </w:rPr>
        <w:t>1、本项目2个包，泸州市合江生态环境局拟采购设备一批，具体详见采购清单。</w:t>
      </w:r>
    </w:p>
    <w:p>
      <w:pPr>
        <w:pStyle w:val="12"/>
        <w:spacing w:line="240" w:lineRule="auto"/>
        <w:ind w:left="0" w:leftChars="0" w:firstLine="442" w:firstLineChars="200"/>
        <w:rPr>
          <w:rFonts w:hint="eastAsia" w:ascii="宋体" w:hAnsi="宋体" w:eastAsia="宋体" w:cs="宋体"/>
          <w:b/>
          <w:bCs/>
          <w:i w:val="0"/>
          <w:iCs/>
          <w:kern w:val="0"/>
          <w:sz w:val="22"/>
          <w:szCs w:val="22"/>
          <w:lang w:val="en-US" w:eastAsia="zh-CN" w:bidi="ar-SA"/>
        </w:rPr>
      </w:pPr>
      <w:r>
        <w:rPr>
          <w:rFonts w:hint="eastAsia" w:ascii="宋体" w:hAnsi="宋体" w:eastAsia="宋体" w:cs="宋体"/>
          <w:b/>
          <w:bCs/>
          <w:i w:val="0"/>
          <w:iCs/>
          <w:kern w:val="0"/>
          <w:sz w:val="22"/>
          <w:szCs w:val="22"/>
          <w:lang w:val="en-US" w:eastAsia="zh-CN" w:bidi="ar-SA"/>
        </w:rPr>
        <w:t>01包</w:t>
      </w:r>
    </w:p>
    <w:tbl>
      <w:tblPr>
        <w:tblStyle w:val="13"/>
        <w:tblW w:w="4725"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2947"/>
        <w:gridCol w:w="1619"/>
        <w:gridCol w:w="960"/>
        <w:gridCol w:w="1550"/>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序号</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设备名称</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数量</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单位</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是否属于核心产品</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无人机</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rPr>
            </w:pPr>
            <w:r>
              <w:rPr>
                <w:rFonts w:hint="eastAsia" w:ascii="宋体" w:hAnsi="宋体" w:eastAsia="宋体" w:cs="宋体"/>
                <w:i w:val="0"/>
                <w:iCs w:val="0"/>
                <w:color w:val="auto"/>
                <w:sz w:val="18"/>
                <w:szCs w:val="18"/>
                <w:highlight w:val="none"/>
                <w:u w:val="none"/>
                <w:lang w:val="en-US"/>
              </w:rPr>
              <w:t>暗管检测设备</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是</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手电筒（LED）</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支</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防爆手电筒</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支</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eastAsia="zh-CN"/>
              </w:rPr>
              <w:t>防护口罩（非医用）</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滤毒盒</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空气呼吸器</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防毒呼吸面罩（半面罩）</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急救箱（非医疗器械）</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防护服</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件</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防化服</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件</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防化护目镜</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副</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13</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抽吸泵</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14</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救生衣</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件</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安全帽</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50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顶</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雨靴</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120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双</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帐篷</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顶</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绳子</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6000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米</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19</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排污泵</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吸油毡</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eastAsia="zh-CN"/>
              </w:rPr>
              <w:t>8</w:t>
            </w:r>
            <w:r>
              <w:rPr>
                <w:rFonts w:hint="eastAsia" w:ascii="宋体" w:hAnsi="宋体" w:eastAsia="宋体" w:cs="宋体"/>
                <w:i w:val="0"/>
                <w:iCs w:val="0"/>
                <w:color w:val="auto"/>
                <w:sz w:val="18"/>
                <w:szCs w:val="18"/>
                <w:highlight w:val="none"/>
                <w:u w:val="none"/>
                <w:lang w:val="en-US" w:eastAsia="zh-CN"/>
              </w:rPr>
              <w:t>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包</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21</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围油栏</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0</w:t>
            </w:r>
            <w:r>
              <w:rPr>
                <w:rFonts w:hint="eastAsia" w:ascii="宋体" w:hAnsi="宋体" w:eastAsia="宋体" w:cs="宋体"/>
                <w:i w:val="0"/>
                <w:iCs w:val="0"/>
                <w:color w:val="auto"/>
                <w:sz w:val="18"/>
                <w:szCs w:val="18"/>
                <w:highlight w:val="none"/>
                <w:u w:val="none"/>
              </w:rPr>
              <w:t>000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米</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22</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隔油浮漂</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23</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编织袋</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5000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24</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货物铭牌</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25</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物资架</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26</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PH试纸</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盒</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27</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COD快速测试包</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盒</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28</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氨氮快速测试包</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盒</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29</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总磷快速测试包</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盒</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30</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六价铬快速测试包</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盒</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65"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31</w:t>
            </w:r>
          </w:p>
        </w:tc>
        <w:tc>
          <w:tcPr>
            <w:tcW w:w="1578"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总铬快速测试包</w:t>
            </w:r>
          </w:p>
        </w:tc>
        <w:tc>
          <w:tcPr>
            <w:tcW w:w="867"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w:t>
            </w:r>
          </w:p>
        </w:tc>
        <w:tc>
          <w:tcPr>
            <w:tcW w:w="51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lang w:val="en-US" w:eastAsia="zh-CN"/>
              </w:rPr>
              <w:t>盒</w:t>
            </w:r>
          </w:p>
        </w:tc>
        <w:tc>
          <w:tcPr>
            <w:tcW w:w="830"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lang w:val="en-US" w:eastAsia="zh-CN"/>
              </w:rPr>
              <w:t>否</w:t>
            </w:r>
          </w:p>
        </w:tc>
        <w:tc>
          <w:tcPr>
            <w:tcW w:w="744"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18"/>
                <w:szCs w:val="18"/>
                <w:highlight w:val="none"/>
                <w:lang w:val="en-US" w:eastAsia="zh-CN"/>
              </w:rPr>
            </w:pPr>
          </w:p>
        </w:tc>
      </w:tr>
    </w:tbl>
    <w:p>
      <w:pPr>
        <w:pStyle w:val="12"/>
        <w:numPr>
          <w:ilvl w:val="0"/>
          <w:numId w:val="0"/>
        </w:numPr>
        <w:spacing w:line="240" w:lineRule="auto"/>
        <w:ind w:firstLine="442" w:firstLineChars="200"/>
        <w:rPr>
          <w:rFonts w:hint="default" w:ascii="Calibri" w:hAnsi="宋体" w:eastAsia="宋体" w:cs="宋体"/>
          <w:b/>
          <w:bCs/>
          <w:color w:val="auto"/>
          <w:kern w:val="2"/>
          <w:sz w:val="22"/>
          <w:szCs w:val="22"/>
          <w:lang w:val="en-US" w:eastAsia="zh-CN" w:bidi="ar-SA"/>
        </w:rPr>
      </w:pPr>
      <w:r>
        <w:rPr>
          <w:rFonts w:hint="eastAsia" w:ascii="Calibri" w:cs="宋体"/>
          <w:b/>
          <w:bCs/>
          <w:color w:val="auto"/>
          <w:kern w:val="2"/>
          <w:sz w:val="22"/>
          <w:szCs w:val="22"/>
          <w:lang w:val="en-US" w:eastAsia="zh-CN" w:bidi="ar-SA"/>
        </w:rPr>
        <w:t>02包</w:t>
      </w:r>
    </w:p>
    <w:tbl>
      <w:tblPr>
        <w:tblStyle w:val="13"/>
        <w:tblW w:w="4861"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2888"/>
        <w:gridCol w:w="1599"/>
        <w:gridCol w:w="1199"/>
        <w:gridCol w:w="1687"/>
        <w:gridCol w:w="136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49" w:type="pct"/>
            <w:tcBorders>
              <w:top w:val="single" w:color="auto" w:sz="18" w:space="0"/>
              <w:left w:val="single" w:color="auto" w:sz="18"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序号</w:t>
            </w:r>
          </w:p>
        </w:tc>
        <w:tc>
          <w:tcPr>
            <w:tcW w:w="1503" w:type="pct"/>
            <w:tcBorders>
              <w:top w:val="single" w:color="auto" w:sz="18"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设备名称</w:t>
            </w:r>
          </w:p>
        </w:tc>
        <w:tc>
          <w:tcPr>
            <w:tcW w:w="832" w:type="pct"/>
            <w:tcBorders>
              <w:top w:val="single" w:color="auto" w:sz="18"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数量</w:t>
            </w:r>
          </w:p>
        </w:tc>
        <w:tc>
          <w:tcPr>
            <w:tcW w:w="624" w:type="pct"/>
            <w:tcBorders>
              <w:top w:val="single" w:color="auto" w:sz="18"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单位</w:t>
            </w:r>
          </w:p>
        </w:tc>
        <w:tc>
          <w:tcPr>
            <w:tcW w:w="878" w:type="pct"/>
            <w:tcBorders>
              <w:top w:val="single" w:color="auto" w:sz="18"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是否属于核心产品</w:t>
            </w:r>
          </w:p>
        </w:tc>
        <w:tc>
          <w:tcPr>
            <w:tcW w:w="710" w:type="pct"/>
            <w:tcBorders>
              <w:top w:val="single" w:color="auto" w:sz="18"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便携式PH计</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否</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水质自动采样器</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否</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3</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便携式有毒气体检测仪</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否</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4</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便携式多参数测试仪</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否</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5</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浊度计</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否</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6</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便携式重金属测定仪</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是</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7</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流动注射分析仪</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是</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49" w:type="pct"/>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8</w:t>
            </w:r>
          </w:p>
        </w:tc>
        <w:tc>
          <w:tcPr>
            <w:tcW w:w="150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i w:val="0"/>
                <w:iCs w:val="0"/>
                <w:color w:val="auto"/>
                <w:sz w:val="21"/>
                <w:szCs w:val="21"/>
                <w:highlight w:val="none"/>
                <w:u w:val="none"/>
                <w:lang w:val="en-US" w:eastAsia="zh-CN"/>
              </w:rPr>
            </w:pPr>
            <w:r>
              <w:rPr>
                <w:rFonts w:hint="default" w:ascii="宋体" w:hAnsi="宋体" w:eastAsia="宋体" w:cs="宋体"/>
                <w:i w:val="0"/>
                <w:iCs w:val="0"/>
                <w:color w:val="auto"/>
                <w:sz w:val="21"/>
                <w:szCs w:val="21"/>
                <w:highlight w:val="none"/>
                <w:u w:val="none"/>
                <w:lang w:val="en-US" w:eastAsia="zh-CN"/>
              </w:rPr>
              <w:t>环境空气综合采样器</w:t>
            </w:r>
          </w:p>
        </w:tc>
        <w:tc>
          <w:tcPr>
            <w:tcW w:w="83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624"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台</w:t>
            </w:r>
          </w:p>
        </w:tc>
        <w:tc>
          <w:tcPr>
            <w:tcW w:w="878"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否</w:t>
            </w:r>
          </w:p>
        </w:tc>
        <w:tc>
          <w:tcPr>
            <w:tcW w:w="710" w:type="pct"/>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eastAsia="zh-CN"/>
              </w:rPr>
            </w:pPr>
          </w:p>
        </w:tc>
      </w:tr>
    </w:tbl>
    <w:p>
      <w:pPr>
        <w:pStyle w:val="12"/>
        <w:numPr>
          <w:ilvl w:val="0"/>
          <w:numId w:val="0"/>
        </w:numPr>
        <w:spacing w:line="240" w:lineRule="auto"/>
        <w:ind w:firstLine="442" w:firstLineChars="200"/>
        <w:rPr>
          <w:rFonts w:hint="eastAsia" w:ascii="Calibri" w:hAnsi="宋体" w:eastAsia="宋体" w:cs="宋体"/>
          <w:b/>
          <w:bCs/>
          <w:color w:val="auto"/>
          <w:kern w:val="2"/>
          <w:sz w:val="22"/>
          <w:szCs w:val="22"/>
          <w:lang w:val="en-US" w:eastAsia="zh-CN" w:bidi="ar-SA"/>
        </w:rPr>
      </w:pPr>
    </w:p>
    <w:p>
      <w:pPr>
        <w:pStyle w:val="12"/>
        <w:numPr>
          <w:ilvl w:val="0"/>
          <w:numId w:val="0"/>
        </w:numPr>
        <w:spacing w:line="240" w:lineRule="auto"/>
        <w:ind w:firstLine="442" w:firstLineChars="200"/>
        <w:rPr>
          <w:rFonts w:hint="eastAsia" w:ascii="Calibri" w:hAnsi="宋体" w:eastAsia="宋体" w:cs="宋体"/>
          <w:b/>
          <w:bCs/>
          <w:color w:val="auto"/>
          <w:kern w:val="2"/>
          <w:sz w:val="22"/>
          <w:szCs w:val="22"/>
          <w:lang w:val="en-US" w:eastAsia="zh-CN" w:bidi="ar-SA"/>
        </w:rPr>
      </w:pPr>
      <w:r>
        <w:rPr>
          <w:rFonts w:hint="eastAsia" w:ascii="Calibri" w:hAnsi="宋体" w:eastAsia="宋体" w:cs="宋体"/>
          <w:b/>
          <w:bCs/>
          <w:color w:val="auto"/>
          <w:kern w:val="2"/>
          <w:sz w:val="22"/>
          <w:szCs w:val="22"/>
          <w:lang w:val="en-US" w:eastAsia="zh-CN" w:bidi="ar-SA"/>
        </w:rPr>
        <w:t>2、本项目2个包均不专门面对中小企业；所属行业：工业（制造业）；项目属性：货物。</w:t>
      </w:r>
    </w:p>
    <w:p>
      <w:pPr>
        <w:pStyle w:val="32"/>
        <w:spacing w:line="360" w:lineRule="auto"/>
        <w:ind w:firstLine="422"/>
        <w:rPr>
          <w:rFonts w:hint="eastAsia" w:ascii="宋体" w:hAnsi="宋体" w:cs="宋体"/>
          <w:b/>
          <w:color w:val="auto"/>
          <w:sz w:val="28"/>
          <w:szCs w:val="28"/>
        </w:rPr>
      </w:pPr>
      <w:r>
        <w:rPr>
          <w:rFonts w:hint="eastAsia" w:hAnsi="宋体" w:cs="宋体"/>
          <w:b/>
          <w:bCs/>
          <w:color w:val="auto"/>
          <w:sz w:val="22"/>
          <w:szCs w:val="22"/>
        </w:rPr>
        <w:t>注：1. “所属行业”即标的所属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以上行业分类详见《国民经济行业分类》（GB/T 4754—2017）。</w:t>
      </w:r>
    </w:p>
    <w:p>
      <w:pPr>
        <w:pStyle w:val="32"/>
        <w:spacing w:line="360" w:lineRule="auto"/>
        <w:ind w:firstLine="422"/>
        <w:rPr>
          <w:rFonts w:hint="eastAsia" w:hAnsi="宋体" w:cs="宋体"/>
          <w:b/>
          <w:bCs/>
          <w:color w:val="auto"/>
          <w:szCs w:val="21"/>
          <w:highlight w:val="none"/>
          <w:lang w:eastAsia="zh-CN"/>
        </w:rPr>
      </w:pPr>
    </w:p>
    <w:p>
      <w:pPr>
        <w:pStyle w:val="5"/>
        <w:numPr>
          <w:ilvl w:val="0"/>
          <w:numId w:val="1"/>
        </w:numPr>
        <w:bidi w:val="0"/>
        <w:rPr>
          <w:rFonts w:hint="eastAsia"/>
          <w:color w:val="auto"/>
          <w:highlight w:val="none"/>
        </w:rPr>
      </w:pPr>
      <w:r>
        <w:rPr>
          <w:rFonts w:hint="eastAsia"/>
          <w:color w:val="auto"/>
          <w:highlight w:val="none"/>
        </w:rPr>
        <w:t>资格要求：</w:t>
      </w:r>
    </w:p>
    <w:p>
      <w:pPr>
        <w:spacing w:line="360" w:lineRule="auto"/>
        <w:rPr>
          <w:rFonts w:hint="eastAsia"/>
          <w:b/>
          <w:bCs w:val="0"/>
          <w:sz w:val="24"/>
          <w:szCs w:val="24"/>
        </w:rPr>
      </w:pPr>
      <w:r>
        <w:rPr>
          <w:rFonts w:hint="eastAsia"/>
          <w:b/>
          <w:bCs w:val="0"/>
          <w:sz w:val="24"/>
          <w:szCs w:val="24"/>
        </w:rPr>
        <w:t>1、符合《中华人民共和国政府采购法》第二十二条规定的条件；</w:t>
      </w:r>
    </w:p>
    <w:p>
      <w:pPr>
        <w:pStyle w:val="2"/>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1.1具有独立承担民事责任的能力【①供应商若为企业法人：提供“统一社会信用代码营业执照”；未换证的提供“营业执照、税务登记证、组织机构代码证或三证合一的营业 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 </w:t>
      </w:r>
    </w:p>
    <w:p>
      <w:pPr>
        <w:pStyle w:val="2"/>
        <w:spacing w:line="360" w:lineRule="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1.2具有良好的商业信誉和健全的财务会计制度【提供良好的商业信誉承诺函；健全的财务制度①可提供20</w:t>
      </w:r>
      <w:r>
        <w:rPr>
          <w:rFonts w:hint="eastAsia" w:ascii="宋体" w:hAnsi="宋体" w:eastAsia="宋体" w:cs="宋体"/>
          <w:color w:val="auto"/>
          <w:sz w:val="22"/>
          <w:szCs w:val="22"/>
          <w:highlight w:val="none"/>
          <w:lang w:val="en-US" w:eastAsia="zh-CN"/>
        </w:rPr>
        <w:t>20</w:t>
      </w:r>
      <w:r>
        <w:rPr>
          <w:rFonts w:hint="eastAsia" w:ascii="宋体" w:hAnsi="宋体" w:eastAsia="宋体" w:cs="宋体"/>
          <w:color w:val="auto"/>
          <w:sz w:val="22"/>
          <w:szCs w:val="22"/>
          <w:highlight w:val="none"/>
        </w:rPr>
        <w:t>年度或20</w:t>
      </w:r>
      <w:r>
        <w:rPr>
          <w:rFonts w:hint="eastAsia" w:ascii="宋体" w:hAnsi="宋体" w:eastAsia="宋体" w:cs="宋体"/>
          <w:color w:val="auto"/>
          <w:sz w:val="22"/>
          <w:szCs w:val="22"/>
          <w:highlight w:val="none"/>
          <w:lang w:val="en-US" w:eastAsia="zh-CN"/>
        </w:rPr>
        <w:t>21</w:t>
      </w:r>
      <w:r>
        <w:rPr>
          <w:rFonts w:hint="eastAsia" w:ascii="宋体" w:hAnsi="宋体" w:eastAsia="宋体" w:cs="宋体"/>
          <w:color w:val="auto"/>
          <w:sz w:val="22"/>
          <w:szCs w:val="22"/>
          <w:highlight w:val="none"/>
        </w:rPr>
        <w:t>年度经审计的财务报告复印件（包含审计报告和审计报告中所涉及的财务报表和报表附注），②也可提供20</w:t>
      </w:r>
      <w:r>
        <w:rPr>
          <w:rFonts w:hint="eastAsia" w:ascii="宋体" w:hAnsi="宋体" w:eastAsia="宋体" w:cs="宋体"/>
          <w:color w:val="auto"/>
          <w:sz w:val="22"/>
          <w:szCs w:val="22"/>
          <w:highlight w:val="none"/>
          <w:lang w:val="en-US" w:eastAsia="zh-CN"/>
        </w:rPr>
        <w:t>20</w:t>
      </w:r>
      <w:r>
        <w:rPr>
          <w:rFonts w:hint="eastAsia" w:ascii="宋体" w:hAnsi="宋体" w:eastAsia="宋体" w:cs="宋体"/>
          <w:color w:val="auto"/>
          <w:sz w:val="22"/>
          <w:szCs w:val="22"/>
          <w:highlight w:val="none"/>
        </w:rPr>
        <w:t>年度或20</w:t>
      </w:r>
      <w:r>
        <w:rPr>
          <w:rFonts w:hint="eastAsia" w:ascii="宋体" w:hAnsi="宋体" w:eastAsia="宋体" w:cs="宋体"/>
          <w:color w:val="auto"/>
          <w:sz w:val="22"/>
          <w:szCs w:val="22"/>
          <w:highlight w:val="none"/>
          <w:lang w:val="en-US" w:eastAsia="zh-CN"/>
        </w:rPr>
        <w:t>21</w:t>
      </w:r>
      <w:r>
        <w:rPr>
          <w:rFonts w:hint="eastAsia" w:ascii="宋体" w:hAnsi="宋体" w:eastAsia="宋体" w:cs="宋体"/>
          <w:color w:val="auto"/>
          <w:sz w:val="22"/>
          <w:szCs w:val="22"/>
          <w:highlight w:val="none"/>
        </w:rPr>
        <w:t>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r>
        <w:rPr>
          <w:rFonts w:hint="eastAsia" w:ascii="宋体" w:hAnsi="宋体" w:eastAsia="宋体" w:cs="宋体"/>
          <w:color w:val="auto"/>
          <w:sz w:val="22"/>
          <w:szCs w:val="22"/>
          <w:highlight w:val="none"/>
          <w:lang w:eastAsia="zh-CN"/>
        </w:rPr>
        <w:t>；</w:t>
      </w:r>
    </w:p>
    <w:p>
      <w:pPr>
        <w:pStyle w:val="2"/>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1.3具有依法缴纳税收和社会保障资金的良好记录【提供20</w:t>
      </w:r>
      <w:r>
        <w:rPr>
          <w:rFonts w:hint="eastAsia" w:ascii="宋体" w:hAnsi="宋体" w:eastAsia="宋体" w:cs="宋体"/>
          <w:color w:val="auto"/>
          <w:sz w:val="22"/>
          <w:szCs w:val="22"/>
          <w:highlight w:val="none"/>
          <w:lang w:val="en-US" w:eastAsia="zh-CN"/>
        </w:rPr>
        <w:t>21</w:t>
      </w:r>
      <w:r>
        <w:rPr>
          <w:rFonts w:hint="eastAsia" w:ascii="宋体" w:hAnsi="宋体" w:eastAsia="宋体" w:cs="宋体"/>
          <w:color w:val="auto"/>
          <w:sz w:val="22"/>
          <w:szCs w:val="22"/>
          <w:highlight w:val="none"/>
        </w:rPr>
        <w:t>年1月1日至今任意一个月的缴纳税收凭证和缴纳社保相关凭证或相关部门出具的证明材料（如免税企业须提供税务机关出具的免税证明材料），新成立不足一年的公司无法提供的须提供具有依法缴纳税收和社会保障资金的良好记录的承诺函】；</w:t>
      </w:r>
    </w:p>
    <w:p>
      <w:pPr>
        <w:pStyle w:val="2"/>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1.4具有履行合同所必</w:t>
      </w:r>
      <w:r>
        <w:rPr>
          <w:rFonts w:hint="eastAsia" w:ascii="宋体" w:hAnsi="宋体" w:eastAsia="宋体" w:cs="宋体"/>
          <w:color w:val="auto"/>
          <w:sz w:val="22"/>
          <w:szCs w:val="22"/>
          <w:highlight w:val="none"/>
          <w:lang w:val="en-US" w:eastAsia="zh-CN"/>
        </w:rPr>
        <w:t>需</w:t>
      </w:r>
      <w:r>
        <w:rPr>
          <w:rFonts w:hint="eastAsia" w:ascii="宋体" w:hAnsi="宋体" w:eastAsia="宋体" w:cs="宋体"/>
          <w:color w:val="auto"/>
          <w:sz w:val="22"/>
          <w:szCs w:val="22"/>
          <w:highlight w:val="none"/>
        </w:rPr>
        <w:t>的</w:t>
      </w:r>
      <w:r>
        <w:rPr>
          <w:rFonts w:hint="eastAsia" w:ascii="宋体" w:hAnsi="宋体" w:eastAsia="宋体" w:cs="宋体"/>
          <w:color w:val="auto"/>
          <w:sz w:val="22"/>
          <w:szCs w:val="22"/>
          <w:highlight w:val="none"/>
          <w:lang w:eastAsia="zh-CN"/>
        </w:rPr>
        <w:t>货物</w:t>
      </w:r>
      <w:r>
        <w:rPr>
          <w:rFonts w:hint="eastAsia" w:ascii="宋体" w:hAnsi="宋体" w:eastAsia="宋体" w:cs="宋体"/>
          <w:color w:val="auto"/>
          <w:sz w:val="22"/>
          <w:szCs w:val="22"/>
          <w:highlight w:val="none"/>
        </w:rPr>
        <w:t>和专业技术能力【提供承诺函】；</w:t>
      </w:r>
    </w:p>
    <w:p>
      <w:pPr>
        <w:pStyle w:val="2"/>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1.5参加本次政府采购活动前三年内，在经营活动中没有重大违法记录【提供承诺函】； </w:t>
      </w:r>
    </w:p>
    <w:p>
      <w:pPr>
        <w:pStyle w:val="12"/>
        <w:spacing w:line="360" w:lineRule="auto"/>
        <w:ind w:left="0" w:leftChars="0" w:firstLine="0" w:firstLineChars="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1.6符合法律、</w:t>
      </w:r>
      <w:r>
        <w:rPr>
          <w:rFonts w:hint="eastAsia" w:ascii="宋体" w:hAnsi="宋体" w:eastAsia="宋体" w:cs="宋体"/>
          <w:color w:val="auto"/>
          <w:sz w:val="22"/>
          <w:szCs w:val="22"/>
          <w:highlight w:val="none"/>
          <w:lang w:val="en-US" w:eastAsia="zh-CN"/>
        </w:rPr>
        <w:fldChar w:fldCharType="begin"/>
      </w:r>
      <w:r>
        <w:rPr>
          <w:rFonts w:hint="eastAsia" w:ascii="宋体" w:hAnsi="宋体" w:eastAsia="宋体" w:cs="宋体"/>
          <w:color w:val="auto"/>
          <w:sz w:val="22"/>
          <w:szCs w:val="22"/>
          <w:highlight w:val="none"/>
          <w:lang w:val="en-US" w:eastAsia="zh-CN"/>
        </w:rPr>
        <w:instrText xml:space="preserve"> HYPERLINK "http://www.lawtime.cn/info/sifakaoshi/xingzhengfa/" \t "_blank" </w:instrText>
      </w:r>
      <w:r>
        <w:rPr>
          <w:rFonts w:hint="eastAsia" w:ascii="宋体" w:hAnsi="宋体" w:eastAsia="宋体" w:cs="宋体"/>
          <w:color w:val="auto"/>
          <w:sz w:val="22"/>
          <w:szCs w:val="22"/>
          <w:highlight w:val="none"/>
          <w:lang w:val="en-US" w:eastAsia="zh-CN"/>
        </w:rPr>
        <w:fldChar w:fldCharType="separate"/>
      </w:r>
      <w:r>
        <w:rPr>
          <w:rFonts w:hint="eastAsia" w:ascii="宋体" w:hAnsi="宋体" w:eastAsia="宋体" w:cs="宋体"/>
          <w:color w:val="auto"/>
          <w:sz w:val="22"/>
          <w:szCs w:val="22"/>
          <w:highlight w:val="none"/>
          <w:lang w:val="en-US" w:eastAsia="zh-CN"/>
        </w:rPr>
        <w:t>行政法</w:t>
      </w:r>
      <w:r>
        <w:rPr>
          <w:rFonts w:hint="eastAsia" w:ascii="宋体" w:hAnsi="宋体" w:eastAsia="宋体" w:cs="宋体"/>
          <w:color w:val="auto"/>
          <w:sz w:val="22"/>
          <w:szCs w:val="22"/>
          <w:highlight w:val="none"/>
          <w:lang w:val="en-US" w:eastAsia="zh-CN"/>
        </w:rPr>
        <w:fldChar w:fldCharType="end"/>
      </w:r>
      <w:r>
        <w:rPr>
          <w:rFonts w:hint="eastAsia" w:ascii="宋体" w:hAnsi="宋体" w:eastAsia="宋体" w:cs="宋体"/>
          <w:color w:val="auto"/>
          <w:sz w:val="22"/>
          <w:szCs w:val="22"/>
          <w:highlight w:val="none"/>
          <w:lang w:val="en-US" w:eastAsia="zh-CN"/>
        </w:rPr>
        <w:t>规规定的其他条件【提供承诺函】；</w:t>
      </w:r>
    </w:p>
    <w:p>
      <w:pPr>
        <w:pStyle w:val="12"/>
        <w:spacing w:line="360" w:lineRule="auto"/>
        <w:ind w:left="0" w:leftChars="0"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w:t>
      </w:r>
      <w:r>
        <w:rPr>
          <w:rFonts w:hint="eastAsia" w:ascii="宋体" w:hAnsi="宋体" w:eastAsia="宋体" w:cs="宋体"/>
          <w:b/>
          <w:bCs/>
          <w:color w:val="auto"/>
          <w:sz w:val="22"/>
          <w:szCs w:val="22"/>
          <w:highlight w:val="none"/>
          <w:lang w:val="en-US" w:eastAsia="zh-CN"/>
        </w:rPr>
        <w:t>采购人根据本项目提出的特定资格条件：无</w:t>
      </w:r>
    </w:p>
    <w:p>
      <w:pPr>
        <w:spacing w:after="120" w:afterLines="50" w:line="360" w:lineRule="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3.本项目不接受联合体；【无须佐证，以投标文件为准】</w:t>
      </w:r>
    </w:p>
    <w:p>
      <w:pPr>
        <w:pStyle w:val="5"/>
        <w:bidi w:val="0"/>
        <w:rPr>
          <w:rFonts w:hint="eastAsia"/>
          <w:color w:val="auto"/>
          <w:highlight w:val="none"/>
          <w:lang w:val="en-US" w:eastAsia="zh-CN"/>
        </w:rPr>
      </w:pPr>
      <w:r>
        <w:rPr>
          <w:rFonts w:hint="eastAsia"/>
          <w:color w:val="auto"/>
          <w:highlight w:val="none"/>
          <w:lang w:val="en-US" w:eastAsia="zh-CN"/>
        </w:rPr>
        <w:t>三、商务要求：</w:t>
      </w:r>
    </w:p>
    <w:p>
      <w:pPr>
        <w:spacing w:line="240" w:lineRule="auto"/>
        <w:rPr>
          <w:rFonts w:hint="eastAsia" w:ascii="宋体" w:hAnsi="宋体" w:eastAsia="宋体" w:cs="宋体"/>
          <w:b/>
          <w:bCs/>
          <w:color w:val="auto"/>
          <w:sz w:val="22"/>
          <w:szCs w:val="22"/>
        </w:rPr>
      </w:pPr>
      <w:r>
        <w:rPr>
          <w:rFonts w:hint="eastAsia" w:ascii="宋体" w:hAnsi="宋体" w:eastAsia="宋体" w:cs="宋体"/>
          <w:b/>
          <w:bCs/>
          <w:color w:val="auto"/>
          <w:sz w:val="22"/>
          <w:szCs w:val="22"/>
        </w:rPr>
        <w:t>1.交货要求及质保期</w:t>
      </w:r>
    </w:p>
    <w:p>
      <w:pPr>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rPr>
        <w:t>1.1交货期：</w:t>
      </w:r>
      <w:r>
        <w:rPr>
          <w:rFonts w:hint="eastAsia" w:ascii="宋体" w:hAnsi="宋体" w:eastAsia="宋体" w:cs="宋体"/>
          <w:color w:val="auto"/>
          <w:sz w:val="22"/>
          <w:szCs w:val="22"/>
          <w:lang w:eastAsia="zh-CN"/>
        </w:rPr>
        <w:t>合同签订后</w:t>
      </w:r>
      <w:r>
        <w:rPr>
          <w:rFonts w:hint="eastAsia" w:ascii="宋体" w:hAnsi="宋体" w:eastAsia="宋体" w:cs="宋体"/>
          <w:color w:val="auto"/>
          <w:sz w:val="22"/>
          <w:szCs w:val="22"/>
          <w:lang w:val="en-US" w:eastAsia="zh-CN"/>
        </w:rPr>
        <w:t>40天内交货</w:t>
      </w:r>
      <w:r>
        <w:rPr>
          <w:rFonts w:hint="eastAsia" w:ascii="宋体" w:hAnsi="宋体" w:eastAsia="宋体" w:cs="宋体"/>
          <w:color w:val="auto"/>
          <w:sz w:val="22"/>
          <w:szCs w:val="22"/>
        </w:rPr>
        <w:t>；</w:t>
      </w:r>
    </w:p>
    <w:p>
      <w:pPr>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rPr>
        <w:t>1.2交货地点：</w:t>
      </w:r>
      <w:r>
        <w:rPr>
          <w:rFonts w:hint="eastAsia" w:ascii="宋体" w:hAnsi="宋体" w:eastAsia="宋体" w:cs="宋体"/>
          <w:color w:val="auto"/>
          <w:sz w:val="22"/>
          <w:szCs w:val="22"/>
          <w:lang w:eastAsia="zh-CN"/>
        </w:rPr>
        <w:t>泸州市合江生态环境局</w:t>
      </w:r>
      <w:r>
        <w:rPr>
          <w:rFonts w:hint="eastAsia" w:ascii="宋体" w:hAnsi="宋体" w:eastAsia="宋体" w:cs="宋体"/>
          <w:color w:val="auto"/>
          <w:sz w:val="22"/>
          <w:szCs w:val="22"/>
          <w:lang w:val="en-US" w:eastAsia="zh-CN"/>
        </w:rPr>
        <w:t>指定存放地点</w:t>
      </w:r>
      <w:r>
        <w:rPr>
          <w:rFonts w:hint="eastAsia" w:ascii="宋体" w:hAnsi="宋体" w:eastAsia="宋体" w:cs="宋体"/>
          <w:color w:val="auto"/>
          <w:sz w:val="22"/>
          <w:szCs w:val="22"/>
        </w:rPr>
        <w:t>；</w:t>
      </w:r>
    </w:p>
    <w:p>
      <w:pPr>
        <w:spacing w:line="240" w:lineRule="auto"/>
        <w:rPr>
          <w:rFonts w:hint="eastAsia" w:ascii="宋体" w:hAnsi="宋体" w:eastAsia="宋体" w:cs="宋体"/>
          <w:b/>
          <w:bCs/>
          <w:color w:val="auto"/>
          <w:sz w:val="22"/>
          <w:szCs w:val="22"/>
        </w:rPr>
      </w:pPr>
      <w:r>
        <w:rPr>
          <w:rFonts w:hint="eastAsia" w:ascii="宋体" w:hAnsi="宋体" w:eastAsia="宋体" w:cs="宋体"/>
          <w:b/>
          <w:bCs/>
          <w:color w:val="auto"/>
          <w:sz w:val="22"/>
          <w:szCs w:val="22"/>
        </w:rPr>
        <w:t>2.付款方法和条件：</w:t>
      </w:r>
      <w:r>
        <w:rPr>
          <w:rFonts w:hint="eastAsia" w:ascii="宋体" w:hAnsi="宋体" w:eastAsia="宋体" w:cs="宋体"/>
          <w:b/>
          <w:bCs/>
          <w:color w:val="auto"/>
          <w:sz w:val="22"/>
          <w:szCs w:val="22"/>
          <w:lang w:eastAsia="zh-CN"/>
        </w:rPr>
        <w:t>验收合格后二十个工作日内支付合同总资金的</w:t>
      </w:r>
      <w:r>
        <w:rPr>
          <w:rFonts w:hint="eastAsia" w:ascii="宋体" w:hAnsi="宋体" w:eastAsia="宋体" w:cs="宋体"/>
          <w:b/>
          <w:bCs/>
          <w:color w:val="auto"/>
          <w:sz w:val="22"/>
          <w:szCs w:val="22"/>
          <w:lang w:val="en-US" w:eastAsia="zh-CN"/>
        </w:rPr>
        <w:t>97%，质保期满后无质量问题无息支付合同总金额的3%。</w:t>
      </w:r>
    </w:p>
    <w:p>
      <w:pPr>
        <w:autoSpaceDE w:val="0"/>
        <w:autoSpaceDN w:val="0"/>
        <w:adjustRightInd w:val="0"/>
        <w:spacing w:line="360" w:lineRule="auto"/>
        <w:ind w:left="0" w:leftChars="0" w:firstLine="0" w:firstLineChars="0"/>
        <w:jc w:val="left"/>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2"/>
          <w:szCs w:val="22"/>
          <w:lang w:val="en-US" w:eastAsia="zh-CN"/>
        </w:rPr>
        <w:t>4.质保期</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2"/>
          <w:szCs w:val="22"/>
          <w:lang w:val="en-US" w:eastAsia="zh-CN"/>
        </w:rPr>
        <w:t>所有产品质保期为1年（从验收合格之日起计算）</w:t>
      </w:r>
      <w:r>
        <w:rPr>
          <w:rFonts w:hint="eastAsia" w:ascii="宋体" w:hAnsi="宋体" w:eastAsia="宋体" w:cs="宋体"/>
          <w:color w:val="auto"/>
          <w:kern w:val="2"/>
          <w:sz w:val="22"/>
          <w:szCs w:val="22"/>
          <w:lang w:val="en-US" w:eastAsia="zh-CN" w:bidi="ar-SA"/>
        </w:rPr>
        <w:t>。</w:t>
      </w:r>
    </w:p>
    <w:p>
      <w:pPr>
        <w:spacing w:line="240" w:lineRule="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5.报价要求：</w:t>
      </w:r>
    </w:p>
    <w:p>
      <w:pPr>
        <w:pStyle w:val="2"/>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5.1供应商报价包含设备生产、运输、保险、安装（包含设备到达之前的仓储，搬运及辅材成本、人工安装费）、调试、培训、售后服务、税金及安装过程中的安全文明措施费用等所有费用。</w:t>
      </w:r>
    </w:p>
    <w:p>
      <w:pPr>
        <w:bidi w:val="0"/>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b/>
          <w:bCs/>
          <w:color w:val="auto"/>
          <w:sz w:val="22"/>
          <w:szCs w:val="22"/>
          <w:lang w:val="en-US" w:eastAsia="zh-CN"/>
        </w:rPr>
        <w:t>6.验收要求：</w:t>
      </w:r>
      <w:r>
        <w:rPr>
          <w:rFonts w:hint="eastAsia" w:ascii="宋体" w:hAnsi="宋体" w:eastAsia="宋体" w:cs="宋体"/>
          <w:color w:val="auto"/>
          <w:kern w:val="2"/>
          <w:sz w:val="22"/>
          <w:szCs w:val="22"/>
          <w:lang w:val="zh-CN" w:eastAsia="zh-CN" w:bidi="ar-SA"/>
        </w:rPr>
        <w:t>验收严格按照《财政部关于进一步加强政府采购需求和履约验收管理的指导意见》（财库〔2016〕205号）的要求组织验收，以采购文件技术参数及要求及投标文件技术响应为准。如出现未在采购文件中明确规定的，以行业相关标准为准。如采购双方如对质量要求和技术指标的约定标准有相互抵触或异议的事项，由采购方在采购与投标文件中按质量要求和技术指标.行业标准比较优胜的原则确定该项的约定标准进行验收。</w:t>
      </w:r>
    </w:p>
    <w:p>
      <w:pPr>
        <w:pStyle w:val="2"/>
        <w:rPr>
          <w:rFonts w:hint="eastAsia" w:ascii="宋体" w:hAnsi="宋体" w:eastAsia="宋体" w:cs="宋体"/>
          <w:b/>
          <w:bCs/>
          <w:color w:val="auto"/>
          <w:kern w:val="2"/>
          <w:sz w:val="22"/>
          <w:szCs w:val="22"/>
          <w:lang w:val="en-US" w:eastAsia="zh-CN" w:bidi="ar-SA"/>
        </w:rPr>
      </w:pPr>
      <w:r>
        <w:rPr>
          <w:rFonts w:hint="eastAsia" w:ascii="宋体" w:hAnsi="宋体" w:eastAsia="宋体" w:cs="宋体"/>
          <w:b/>
          <w:bCs/>
          <w:color w:val="auto"/>
          <w:kern w:val="2"/>
          <w:sz w:val="22"/>
          <w:szCs w:val="22"/>
          <w:lang w:val="en-US" w:eastAsia="zh-CN" w:bidi="ar-SA"/>
        </w:rPr>
        <w:t>7.安全要求：</w:t>
      </w:r>
    </w:p>
    <w:p>
      <w:pPr>
        <w:pStyle w:val="2"/>
        <w:spacing w:line="360" w:lineRule="auto"/>
        <w:rPr>
          <w:rFonts w:hint="eastAsia" w:ascii="宋体" w:hAnsi="宋体" w:eastAsia="宋体" w:cs="宋体"/>
          <w:color w:val="auto"/>
          <w:kern w:val="2"/>
          <w:sz w:val="22"/>
          <w:szCs w:val="22"/>
          <w:lang w:val="zh-CN" w:eastAsia="zh-CN" w:bidi="ar-SA"/>
        </w:rPr>
      </w:pPr>
      <w:r>
        <w:rPr>
          <w:rFonts w:hint="eastAsia" w:ascii="宋体" w:hAnsi="宋体" w:eastAsia="宋体" w:cs="宋体"/>
          <w:color w:val="auto"/>
          <w:kern w:val="2"/>
          <w:sz w:val="22"/>
          <w:szCs w:val="22"/>
          <w:lang w:val="en-US" w:eastAsia="zh-CN" w:bidi="ar-SA"/>
        </w:rPr>
        <w:t>7</w:t>
      </w:r>
      <w:r>
        <w:rPr>
          <w:rFonts w:hint="eastAsia" w:ascii="宋体" w:hAnsi="宋体" w:eastAsia="宋体" w:cs="宋体"/>
          <w:color w:val="auto"/>
          <w:kern w:val="2"/>
          <w:sz w:val="22"/>
          <w:szCs w:val="22"/>
          <w:lang w:val="zh-CN" w:eastAsia="zh-CN" w:bidi="ar-SA"/>
        </w:rPr>
        <w:t>.1成交供应商如在服务期间发生安全事故、物件损失导致须赔偿时，由成交供应商承担赔偿事宜，均由成交供应商负责，采购人不承担任何赔偿义务。采购人有权将未支付的服务款或履约保证金（如涉及）先行垫付医药费等，成交供应商不得有异议。</w:t>
      </w:r>
    </w:p>
    <w:p>
      <w:pPr>
        <w:pStyle w:val="2"/>
        <w:spacing w:line="360" w:lineRule="auto"/>
        <w:rPr>
          <w:rFonts w:hint="eastAsia" w:ascii="宋体" w:hAnsi="宋体" w:eastAsia="宋体" w:cs="宋体"/>
          <w:color w:val="auto"/>
          <w:kern w:val="2"/>
          <w:sz w:val="22"/>
          <w:szCs w:val="22"/>
          <w:lang w:val="zh-CN" w:eastAsia="zh-CN" w:bidi="ar-SA"/>
        </w:rPr>
      </w:pPr>
      <w:r>
        <w:rPr>
          <w:rFonts w:hint="eastAsia" w:ascii="宋体" w:hAnsi="宋体" w:eastAsia="宋体" w:cs="宋体"/>
          <w:color w:val="auto"/>
          <w:kern w:val="2"/>
          <w:sz w:val="22"/>
          <w:szCs w:val="22"/>
          <w:lang w:val="en-US" w:eastAsia="zh-CN" w:bidi="ar-SA"/>
        </w:rPr>
        <w:t>7</w:t>
      </w:r>
      <w:r>
        <w:rPr>
          <w:rFonts w:hint="eastAsia" w:ascii="宋体" w:hAnsi="宋体" w:eastAsia="宋体" w:cs="宋体"/>
          <w:color w:val="auto"/>
          <w:kern w:val="2"/>
          <w:sz w:val="22"/>
          <w:szCs w:val="22"/>
          <w:lang w:val="zh-CN" w:eastAsia="zh-CN" w:bidi="ar-SA"/>
        </w:rPr>
        <w:t>.2在履约过程中，成交供应商自行负责疫情防控工作，积极配合采购人的疫情防控工作，做好服务全过程的疫情防控措施。</w:t>
      </w:r>
    </w:p>
    <w:p>
      <w:pPr>
        <w:pStyle w:val="2"/>
        <w:rPr>
          <w:rFonts w:hint="eastAsia" w:ascii="宋体" w:hAnsi="宋体" w:eastAsia="宋体" w:cs="宋体"/>
          <w:b/>
          <w:bCs/>
          <w:color w:val="auto"/>
          <w:kern w:val="2"/>
          <w:sz w:val="22"/>
          <w:szCs w:val="22"/>
          <w:lang w:val="zh-CN" w:eastAsia="zh-CN" w:bidi="ar-SA"/>
        </w:rPr>
      </w:pPr>
      <w:r>
        <w:rPr>
          <w:rFonts w:hint="eastAsia" w:ascii="宋体" w:hAnsi="宋体" w:eastAsia="宋体" w:cs="宋体"/>
          <w:b/>
          <w:bCs/>
          <w:color w:val="auto"/>
          <w:kern w:val="2"/>
          <w:sz w:val="22"/>
          <w:szCs w:val="22"/>
          <w:lang w:val="en-US" w:eastAsia="zh-CN" w:bidi="ar-SA"/>
        </w:rPr>
        <w:t>8.</w:t>
      </w:r>
      <w:r>
        <w:rPr>
          <w:rFonts w:hint="eastAsia" w:ascii="宋体" w:hAnsi="宋体" w:eastAsia="宋体" w:cs="宋体"/>
          <w:b/>
          <w:bCs/>
          <w:color w:val="auto"/>
          <w:kern w:val="2"/>
          <w:sz w:val="22"/>
          <w:szCs w:val="22"/>
          <w:lang w:val="zh-CN" w:eastAsia="zh-CN" w:bidi="ar-SA"/>
        </w:rPr>
        <w:t>售后服务：</w:t>
      </w:r>
    </w:p>
    <w:p>
      <w:pPr>
        <w:pStyle w:val="2"/>
        <w:spacing w:line="360" w:lineRule="auto"/>
        <w:rPr>
          <w:rFonts w:hint="eastAsia" w:ascii="宋体" w:hAnsi="宋体" w:eastAsia="宋体" w:cs="宋体"/>
          <w:color w:val="auto"/>
          <w:kern w:val="2"/>
          <w:sz w:val="22"/>
          <w:szCs w:val="22"/>
          <w:lang w:val="zh-CN" w:eastAsia="zh-CN" w:bidi="ar-SA"/>
        </w:rPr>
      </w:pPr>
      <w:r>
        <w:rPr>
          <w:rFonts w:hint="eastAsia" w:ascii="宋体" w:hAnsi="宋体" w:eastAsia="宋体" w:cs="宋体"/>
          <w:color w:val="auto"/>
          <w:kern w:val="2"/>
          <w:sz w:val="22"/>
          <w:szCs w:val="22"/>
          <w:lang w:val="en-US" w:eastAsia="zh-CN" w:bidi="ar-SA"/>
        </w:rPr>
        <w:t>8</w:t>
      </w:r>
      <w:r>
        <w:rPr>
          <w:rFonts w:hint="eastAsia" w:ascii="宋体" w:hAnsi="宋体" w:eastAsia="宋体" w:cs="宋体"/>
          <w:color w:val="auto"/>
          <w:kern w:val="2"/>
          <w:sz w:val="22"/>
          <w:szCs w:val="22"/>
          <w:lang w:val="zh-CN" w:eastAsia="zh-CN" w:bidi="ar-SA"/>
        </w:rPr>
        <w:t>.1中标人售后服务机构在设备保修期间内，每年须对设备至少维护、回访一次，对相关人员再次培训，并获得设备相关使用人员的签字认可回执。使用的维修零配件须为原厂配件，未经用户同意不得使用非原厂配件。</w:t>
      </w:r>
    </w:p>
    <w:p>
      <w:pPr>
        <w:pStyle w:val="2"/>
        <w:spacing w:line="360" w:lineRule="auto"/>
        <w:rPr>
          <w:rFonts w:hint="eastAsia" w:ascii="宋体" w:hAnsi="宋体" w:eastAsia="宋体" w:cs="宋体"/>
          <w:color w:val="auto"/>
          <w:kern w:val="2"/>
          <w:sz w:val="22"/>
          <w:szCs w:val="22"/>
          <w:lang w:val="zh-CN" w:eastAsia="zh-CN" w:bidi="ar-SA"/>
        </w:rPr>
      </w:pPr>
      <w:r>
        <w:rPr>
          <w:rFonts w:hint="eastAsia" w:ascii="宋体" w:hAnsi="宋体" w:eastAsia="宋体" w:cs="宋体"/>
          <w:color w:val="auto"/>
          <w:kern w:val="2"/>
          <w:sz w:val="22"/>
          <w:szCs w:val="22"/>
          <w:lang w:val="en-US" w:eastAsia="zh-CN" w:bidi="ar-SA"/>
        </w:rPr>
        <w:t>8</w:t>
      </w:r>
      <w:r>
        <w:rPr>
          <w:rFonts w:hint="eastAsia" w:ascii="宋体" w:hAnsi="宋体" w:eastAsia="宋体" w:cs="宋体"/>
          <w:color w:val="auto"/>
          <w:kern w:val="2"/>
          <w:sz w:val="22"/>
          <w:szCs w:val="22"/>
          <w:lang w:val="zh-CN" w:eastAsia="zh-CN" w:bidi="ar-SA"/>
        </w:rPr>
        <w:t>.</w:t>
      </w:r>
      <w:r>
        <w:rPr>
          <w:rFonts w:hint="eastAsia" w:ascii="宋体" w:hAnsi="宋体" w:eastAsia="宋体" w:cs="宋体"/>
          <w:color w:val="auto"/>
          <w:kern w:val="2"/>
          <w:sz w:val="22"/>
          <w:szCs w:val="22"/>
          <w:lang w:val="en-US" w:eastAsia="zh-CN" w:bidi="ar-SA"/>
        </w:rPr>
        <w:t>2</w:t>
      </w:r>
      <w:r>
        <w:rPr>
          <w:rFonts w:hint="eastAsia" w:ascii="宋体" w:hAnsi="宋体" w:eastAsia="宋体" w:cs="宋体"/>
          <w:color w:val="auto"/>
          <w:kern w:val="2"/>
          <w:sz w:val="22"/>
          <w:szCs w:val="22"/>
          <w:lang w:val="zh-CN" w:eastAsia="zh-CN" w:bidi="ar-SA"/>
        </w:rPr>
        <w:t>质保期内，中标人提供产品正常使用情况下的维修及保养服务，如货物经中标（成交）人两次维修仍不能达到投标文件技术承诺或采购合同约定的质量标准，同一设备、同一质量问题连续两次维修仍无法正常使用的，无偿更换同品牌、同型号新设备或配件，如无法提供同型号设备时，须提供更高配置同品牌设备。</w:t>
      </w:r>
    </w:p>
    <w:p>
      <w:pPr>
        <w:pStyle w:val="2"/>
        <w:spacing w:line="360" w:lineRule="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2"/>
          <w:sz w:val="22"/>
          <w:szCs w:val="22"/>
          <w:lang w:val="en-US" w:eastAsia="zh-CN" w:bidi="ar-SA"/>
        </w:rPr>
        <w:t>8.3保修期外：终身负责提供技术支持，保证仪器的正常工作，免“上门费”，如有更新的软件免费提供给采购人</w:t>
      </w:r>
      <w:r>
        <w:rPr>
          <w:rFonts w:hint="eastAsia" w:ascii="宋体" w:hAnsi="宋体" w:eastAsia="宋体" w:cs="宋体"/>
          <w:color w:val="auto"/>
          <w:kern w:val="0"/>
          <w:szCs w:val="21"/>
          <w:highlight w:val="none"/>
          <w:lang w:val="en-US" w:eastAsia="zh-CN"/>
        </w:rPr>
        <w:t>。</w:t>
      </w:r>
    </w:p>
    <w:p>
      <w:pPr>
        <w:pStyle w:val="2"/>
        <w:rPr>
          <w:rFonts w:hint="eastAsia" w:ascii="宋体" w:hAnsi="宋体" w:eastAsia="宋体" w:cs="宋体"/>
          <w:b/>
          <w:bCs/>
          <w:color w:val="auto"/>
          <w:kern w:val="2"/>
          <w:sz w:val="22"/>
          <w:szCs w:val="22"/>
          <w:lang w:val="en-US" w:eastAsia="zh-CN" w:bidi="ar-SA"/>
        </w:rPr>
      </w:pPr>
      <w:r>
        <w:rPr>
          <w:rFonts w:hint="eastAsia" w:ascii="宋体" w:hAnsi="宋体" w:eastAsia="宋体" w:cs="宋体"/>
          <w:b/>
          <w:bCs/>
          <w:color w:val="auto"/>
          <w:kern w:val="2"/>
          <w:sz w:val="22"/>
          <w:szCs w:val="22"/>
          <w:lang w:val="en-US" w:eastAsia="zh-CN" w:bidi="ar-SA"/>
        </w:rPr>
        <w:t>9、其他要求：</w:t>
      </w:r>
    </w:p>
    <w:p>
      <w:pPr>
        <w:pStyle w:val="2"/>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9.1中标人按采购人提供的产品清单送货到采购人指定地点，同时附详细的送货清单和采购人签收单，以便验货核对，并在规定的时间内供货。</w:t>
      </w:r>
    </w:p>
    <w:p>
      <w:pPr>
        <w:pStyle w:val="2"/>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9.2在货物到达采购人单位后，在未交付前所有货物的遗失、损坏、安全责任等均由中标人承担。</w:t>
      </w:r>
    </w:p>
    <w:p>
      <w:pPr>
        <w:pStyle w:val="2"/>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9.3中标人应就设备中部分产品的调试、操作、维修、保养等对采购方（使用方）相关2-4名人员进行培训，直至相关人员能完成一般常见故障的维修工作。调试完毕后，中标人应对相关人员进行现场培训，直至相关人员能独立操作，培训时间不得少于3个工作日。</w:t>
      </w:r>
    </w:p>
    <w:p>
      <w:pPr>
        <w:pStyle w:val="2"/>
        <w:spacing w:line="360" w:lineRule="auto"/>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9.4 中标人需免费提供至少4人的飞行驾驶培训，直到采购人的人员取得UTC无人驾驶航空器系统操作手合格证为止。</w:t>
      </w:r>
    </w:p>
    <w:p>
      <w:pPr>
        <w:pStyle w:val="2"/>
        <w:spacing w:line="360" w:lineRule="auto"/>
        <w:rPr>
          <w:rFonts w:hint="eastAsia" w:ascii="宋体" w:hAnsi="宋体" w:eastAsia="宋体" w:cs="宋体"/>
          <w:b/>
          <w:bCs/>
          <w:color w:val="auto"/>
          <w:kern w:val="2"/>
          <w:sz w:val="22"/>
          <w:szCs w:val="22"/>
          <w:lang w:val="en-US" w:eastAsia="zh-CN" w:bidi="ar-SA"/>
        </w:rPr>
      </w:pPr>
      <w:r>
        <w:rPr>
          <w:rFonts w:hint="eastAsia" w:ascii="宋体" w:hAnsi="宋体" w:eastAsia="宋体" w:cs="宋体"/>
          <w:b/>
          <w:bCs/>
          <w:color w:val="auto"/>
          <w:kern w:val="2"/>
          <w:sz w:val="22"/>
          <w:szCs w:val="22"/>
          <w:lang w:val="en-US" w:eastAsia="zh-CN" w:bidi="ar-SA"/>
        </w:rPr>
        <w:t>注：以上商务要求为实质性条款，均不允许负偏离，负偏离视为非实质性响应采购文件，做无效响应处理，供应商须按采购文件要求在商务响应表中予以应答，否则视为负偏离。</w:t>
      </w:r>
    </w:p>
    <w:p>
      <w:pPr>
        <w:pStyle w:val="2"/>
        <w:rPr>
          <w:rFonts w:hint="eastAsia"/>
          <w:color w:val="auto"/>
          <w:highlight w:val="none"/>
          <w:lang w:eastAsia="zh-CN"/>
        </w:rPr>
      </w:pPr>
    </w:p>
    <w:p>
      <w:pPr>
        <w:pStyle w:val="5"/>
        <w:bidi w:val="0"/>
        <w:rPr>
          <w:rFonts w:hint="eastAsia"/>
          <w:color w:val="auto"/>
          <w:highlight w:val="none"/>
          <w:lang w:val="en-US" w:eastAsia="zh-CN"/>
        </w:rPr>
      </w:pPr>
      <w:r>
        <w:rPr>
          <w:rFonts w:hint="eastAsia"/>
          <w:color w:val="auto"/>
          <w:highlight w:val="none"/>
          <w:lang w:val="en-US" w:eastAsia="zh-CN"/>
        </w:rPr>
        <w:t>四、技术、服务要求</w:t>
      </w:r>
    </w:p>
    <w:p>
      <w:pPr>
        <w:widowControl/>
        <w:jc w:val="left"/>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01包</w:t>
      </w:r>
    </w:p>
    <w:tbl>
      <w:tblPr>
        <w:tblStyle w:val="13"/>
        <w:tblW w:w="5072" w:type="pc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00"/>
        <w:gridCol w:w="1109"/>
        <w:gridCol w:w="8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序号</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物品名称</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83"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无人机</w:t>
            </w:r>
          </w:p>
        </w:tc>
        <w:tc>
          <w:tcPr>
            <w:tcW w:w="8167" w:type="dxa"/>
            <w:tcBorders>
              <w:tl2br w:val="nil"/>
              <w:tr2bl w:val="nil"/>
            </w:tcBorders>
            <w:noWrap w:val="0"/>
            <w:tcMar>
              <w:top w:w="15" w:type="dxa"/>
              <w:left w:w="15" w:type="dxa"/>
              <w:right w:w="15" w:type="dxa"/>
            </w:tcMar>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轴距：≤380.1mm（不含桨，降落模式）；最大上升速度：1m/s（平稳挡），6m/s（普通挡），8m/s（运动挡）；最大下降速度：1m/s（平稳挡），6m/s（普通挡，运动挡）；最大水平飞行速度：5m/s（平稳挡），15m/s（普通挡），21m/s（运动挡）；最大飞行海拔高度：5000 m；最大可承受风速：≥10 m/s；最大飞行时间：≥30 min；双频双通道图像传输、两轴FPV摄像；最大信号有效距离：≥8000m；最大飞行高度:≥500m；</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★2.GPS悬停精度：垂直：±0.5 m（下视视觉系统启用：±0.1 m）、水平：±1.5 m（下视视觉系统启用：±0.3 m）；</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★3.视觉系统：下视视觉系统：高度测量范围&lt;10m，超声波高度测量范围0.3-18m；上视视觉系统：障碍物感知范围0.2-10m；</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4.顶部红外感知系统：障碍物感知范围 0 - 5 m；云台：3轴机械云台</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5．相机：照片分辨率:相机：5280×3956；长焦相机：4000×3000；录像分辨率：相机；5.1K：5120×2700@24/25/30/48/50fps；DCI 4K：4096×2160@24/25/30/48/50/60/120*fps</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H264/H.265；5.1K：5120×2700@24/25/30/48/50fps；DCI 4K：4096×2160@24/25/30/48/50/60/120*fps；FHD：1920×1080@24/25/30/48/50/60/120*/200*fps；</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长焦相机：H264/H.265；4K：3840×2160@30fps；FHD：1920×1080@30fps；</w:t>
            </w:r>
          </w:p>
          <w:p>
            <w:pPr>
              <w:keepNext w:val="0"/>
              <w:keepLines w:val="0"/>
              <w:widowControl/>
              <w:numPr>
                <w:ilvl w:val="0"/>
                <w:numId w:val="2"/>
              </w:numPr>
              <w:suppressLineNumbers w:val="0"/>
              <w:spacing w:line="240" w:lineRule="auto"/>
              <w:ind w:left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有效像素≥20MP；储存：≥256G；电池容量：≥5000 mAh；飞行器具备计量质量检验报告；</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▲7.配置：飞行器一台、云台相机及镜头、储存卡6张（内存256G）、原装电池3组、客户端控制器一台；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709" w:hRule="atLeast"/>
        </w:trPr>
        <w:tc>
          <w:tcPr>
            <w:tcW w:w="60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w:t>
            </w:r>
          </w:p>
        </w:tc>
        <w:tc>
          <w:tcPr>
            <w:tcW w:w="1113"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暗管检测设备</w:t>
            </w:r>
          </w:p>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（核心产品）</w:t>
            </w:r>
          </w:p>
        </w:tc>
        <w:tc>
          <w:tcPr>
            <w:tcW w:w="8167" w:type="dxa"/>
            <w:vMerge w:val="restart"/>
            <w:tcBorders>
              <w:tl2br w:val="nil"/>
              <w:tr2bl w:val="nil"/>
            </w:tcBorders>
            <w:noWrap w:val="0"/>
            <w:tcMar>
              <w:top w:w="15" w:type="dxa"/>
              <w:left w:w="15" w:type="dxa"/>
              <w:right w:w="15" w:type="dxa"/>
            </w:tcMar>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▲1.产品用途：应用于环境执法、环境应急、环保监测、水处理监测等工作中，对暗管、渗井、渗坑、裂隙、溶洞等探测排查与现场检测；</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★2.采集软件可生成环保专用暗管排查确认报告并可调取市面上各个品牌数据；</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★3.GPS定位精度2.2m（单点定位3～5米,SBAS1～3米），数据通过USB传输至计算机；</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4.采用屏蔽功能，消除操作者对数据的影响，内置温度补偿装置可消除环境对数据的影响；</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★5.探底雷达工作时离开地面2cm,可以不接触地面，四角由四个支撑便于使用和运行；</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6.探测雷达技术参数：</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★6.1中心频率：具有200MHz和500MHz （提供第三方具有检测资质的检测机构出具的检测报告复印件）；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★6.2时窗范围 ：5ns~4000ns；</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6.3分辨率： ≤5psec；采样点数：256/512/1024/2048；最大扫描率： 312线/秒；测量方式：连续测/点测/轮测模式自由选择；功耗： ≤ 6W；供电方式： 主机内置可充电锂电池；显示方式： 彩色和灰度方式可选；动态范围： 168dB；工作温度： -50～+80°；探测深度 ： ≥8m；常温环境下可待机：≥6个月；设备连续使用72小时（电池可更换）；</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7.暗管油污检测设备参数</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▲7.1检测原理：采用激光诱导荧光方法进行非接触原位远距离油污探测；重量：≤6kg；工作时间：充满电后能够≥2000次检测；</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7.2具有油污报警功能，油污种类识别功能；激光工作方式：脉冲；数据传输方式：WIFI/4G/5G；</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★7.3水面油膜厚度测量＞1μm （提供第三方具有检测资质的检测机构出具的检测报告复印件）；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★7.4探测距离：1m-10m （提供第三方具有检测资质的检测机构出具的检测报告复印件）；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★7.5光谱测量范围：400-800nm （提供第三方具有检测资质的检测机构出具的检测报告复印件）；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★7.6光谱分辨率：2nm （提供第三方具有检测资质的检测机构出具的检测报告复印件）；</w:t>
            </w:r>
          </w:p>
          <w:p>
            <w:pPr>
              <w:keepNext w:val="0"/>
              <w:keepLines w:val="0"/>
              <w:widowControl/>
              <w:suppressLineNumbers w:val="0"/>
              <w:spacing w:line="240" w:lineRule="auto"/>
              <w:jc w:val="left"/>
              <w:textAlignment w:val="center"/>
              <w:rPr>
                <w:rFonts w:hint="default" w:eastAsia="宋体"/>
                <w:lang w:val="en-US" w:eastAsia="zh-CN"/>
              </w:rPr>
            </w:pPr>
            <w:r>
              <w:rPr>
                <w:rFonts w:hint="eastAsia" w:ascii="宋体" w:hAnsi="宋体" w:eastAsia="宋体" w:cs="宋体"/>
                <w:color w:val="auto"/>
                <w:kern w:val="2"/>
                <w:sz w:val="21"/>
                <w:szCs w:val="21"/>
                <w:lang w:val="en-US" w:eastAsia="zh-CN" w:bidi="ar-SA"/>
              </w:rPr>
              <w:t>★7.7测量时间：≤2s/次 （提供第三方具有检测资质的检测机构出具的检测报告复印件）；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▲8.移动外置第三方工作站：CPU≥i5（主频≥2.5GHz）；内存：&gt;4G; 硬盘容量&gt;500G；独立显卡；屏幕尺寸≥14寸；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58" w:hRule="atLeast"/>
        </w:trPr>
        <w:tc>
          <w:tcPr>
            <w:tcW w:w="60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zh-CN" w:eastAsia="zh-CN" w:bidi="ar-SA"/>
              </w:rPr>
            </w:pPr>
          </w:p>
        </w:tc>
        <w:tc>
          <w:tcPr>
            <w:tcW w:w="1113"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zh-CN" w:eastAsia="zh-CN" w:bidi="ar-SA"/>
              </w:rPr>
            </w:pPr>
          </w:p>
        </w:tc>
        <w:tc>
          <w:tcPr>
            <w:tcW w:w="8167" w:type="dxa"/>
            <w:vMerge w:val="continue"/>
            <w:tcBorders>
              <w:tl2br w:val="nil"/>
              <w:tr2bl w:val="nil"/>
            </w:tcBorders>
            <w:noWrap w:val="0"/>
            <w:tcMar>
              <w:top w:w="15" w:type="dxa"/>
              <w:left w:w="15" w:type="dxa"/>
              <w:right w:w="15" w:type="dxa"/>
            </w:tcMar>
            <w:vAlign w:val="top"/>
          </w:tcPr>
          <w:p>
            <w:pPr>
              <w:jc w:val="left"/>
              <w:rPr>
                <w:rFonts w:hint="eastAsia" w:ascii="宋体" w:hAnsi="宋体" w:eastAsia="宋体" w:cs="宋体"/>
                <w:color w:val="auto"/>
                <w:kern w:val="2"/>
                <w:sz w:val="21"/>
                <w:szCs w:val="21"/>
                <w:lang w:val="zh-CN"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12"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3</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手电筒（LED）</w:t>
            </w:r>
          </w:p>
        </w:tc>
        <w:tc>
          <w:tcPr>
            <w:tcW w:w="8167" w:type="dxa"/>
            <w:tcBorders>
              <w:tl2br w:val="nil"/>
              <w:tr2bl w:val="nil"/>
            </w:tcBorders>
            <w:noWrap w:val="0"/>
            <w:tcMar>
              <w:top w:w="15" w:type="dxa"/>
              <w:left w:w="15" w:type="dxa"/>
              <w:right w:w="15" w:type="dxa"/>
            </w:tcMar>
            <w:vAlign w:val="center"/>
          </w:tcPr>
          <w:p>
            <w:pPr>
              <w:pStyle w:val="2"/>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1.LED灯源，射程≥500米；有工作光、强光、频闪功能；连续工作时间：强光：≥5h，工作光：≥10h；光源使用寿命:≥100000h；防护等级≥IP67；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4</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防爆手电筒</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★1.防爆性能：符合Exd IIC T6的要求；（提供防爆合格证复印件）；防护等级≥IP68（提供第三方具有检测资质的检测机构出具的检测报告复印件）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2.光源采用LED；射程≥500米；工作时间：强光≥4h，弱光≥10h；充电时间≤6h，电池使用寿命：≥1000h（循环）；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03"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5</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防护口罩</w:t>
            </w:r>
          </w:p>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（非医用）</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1.口罩佩戴方式:耳戴式；KN95口罩，NaCl颗粒检测，过滤效率≥95%；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05"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6</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滤毒盒</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1.防护气体：有机、无机、酸性气体或蒸气、氨及氨的有机衍生物及硫化氢等气体，梯形盒设计，三层结构，可有效过滤有毒气体和污染物；静电过滤棉：可过滤0.3微米的颗粒物；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62"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7</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空气呼吸器</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1.填充气体：空气；气瓶工作压力:30Mpa；气密性实验压力：30Mpa；水压试验压力：50Mpa；气瓶容积：6.8L；气瓶材质：铝内胆碳纤维全缠绕复合气瓶；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2.气瓶产品标准符合GB/T28053-2011；整体相关认证符合GB/T 16556-2007；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62"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8</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防毒呼吸面罩（半面罩）</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▲1.执行标准：符合GB2890-2009 《呼吸防护自吸过滤式防毒面具》标准；</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2.配套：双滤毒盒/双滤棉；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3.口鼻罩胶体材质：硅胶；头架材料：ABS工程塑料；吸气阻力：≤20Pa；呼气阻力：≤50Pa；接口：旋转卡口；</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4.半面罩泄漏率：≤1.8%；面罩死腔：≤0.7%；双目视野：≥75%；下方视野：≥55%（提供第三方具有检测资质的检测机构出具的检测报告复印件）；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09"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9</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急救箱</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（非医疗器械）</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1.采用高强度铝合金外框，铁皮包角，内部绒布采用环保材料，高强度铁质提手，可手提；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8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10</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防护服</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1.材质：合成纤维+PU抗菌涂层、耐酸碱、防渗透、耐洗涤、阻燃、防撕裂，可抵御多种酸碱类化学品，可用于石油化工及其他需要防护危险化学品液体泼溅的环境里人体的身体防护，可消毒后重复使用；对在工作时接触的有感染性体液，患者血液，分泌物，空气中的颗粒物等提供阻隔和防护作用；                                                       </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★2.抗合成血液穿透性为6级，在20kPa压力下，保持5min后，可视面观察无液体穿透（提供第三方具有检测资质的检测机构出具的检测报告复印件）；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51"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11</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防化服</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1.连体式半封闭结构，除面部裸露，其余部位采用密封形式，整套防化服是由带帽连靴连体衣和卡环式腕部连接防化手套组成，缝纫接缝处全部采用内外双层密封条密封，确保服装的密封性能；阻燃性能：有焰燃烧时间≤3秒，无焰燃烧时间≤1秒，损毁长度≤10cm；强力性能：粘附强度≥1.5KN/m，拉伸强度≥200KN/m，撕裂强力≥50N，断裂强力：≥500N，接缝断裂强力：≥200N； </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▲2.防酸渗透性能：面料分别在98%H2SO4、60%HNO3、30%HCI的酸液下240min不渗透；防碱渗透性能：面料在40%NaOH的碱液下240min不渗透；</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3.耐寒性能：在-25℃±1℃温度下5min后 无裂痕；强力下降率：面料经耐酸碱渗透测试后强力下降率≤20%；耐曲挠性能：屈挠1000次后无破坏、断裂；抗刺穿性能：≥40N；防化手套抗穿刺性能≥22N，防化手套灵巧性能≥4级；（提供第三方具有检测资质的检测机构出具的检测报告复印件）</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★4.化学防护靴应符合GA6-2004标准中关于鞋面抗切割的要求，鞋面经抗切割实验后，不应被割穿；（提供第三方具有检测资质的检测机构出具的检测报告复印件）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7"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12</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防化护目镜</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1.材质:PC镜片/乙烯镜框；镜片颜色:无色透明；功能:防冲击/防化学飞溅；涂层:内侧防雾一片式大视野。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13</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抽吸泵</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1.整机304不锈钢，流量≥15m3/h；扬程≥30m；转速≥2900R/min；功率≥3KW.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14</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救生衣</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▲1.执行标准：GB/T 4303-2008《船用救生衣》 浮力≧80N；浮力损失＜5% </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2.面 料：≥240D 涤纶牛津布；浮力材料：EPE；两肩附有反光标。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15</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安全帽</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▲1.符合GB2811-2019标准；</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2.ABS 安全帽，防撞功能强，带荧条设计，内衬带吸汗条，五色可选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16</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雨靴</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▲1.PVC，耐酸碱，防滑，筒高37CM（允许±1cm），39－44码各20双。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2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17</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帐篷</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1.帐篷容量: 3人-4人；帐篷重量:≤5.0KG；内帐材料: 150D牛津PU1000mm；外帐防水指数: 2000mm(含)-3000mm(含)；帐底防水指数: 2000mm(含)-3000mm(含)；帐底材质: 210D压胶防水牛津布；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18</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绳子</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▲1.材质：高强涤纶；直径：≥8MM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19</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排污泵</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1.整机304不锈钢，流量≥30m3/h；扬程范围20-40m；转速≥2900R/min。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35"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20</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吸油毡</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1.有较高的强度，耐海水、淡水和溢油的浸泡，不分解、不沉降、不破损；吸油量≥10倍自重；</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2.吸油毡符合交通部标准 JT/T560-2004《船用吸油毡》的要求；</w:t>
            </w: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▲3.每张尺寸规格：2000mm（长）*1000 mm（宽）*5mm（厚度）；含量≥40平方/包；材料：100%聚丙烯。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05"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21</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围油栏</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1.每包30米，直径≥12CM,长度≥3米；材质：惰性聚丙烯；  吸油量≥135L/BAG。具有优越的亲油性，比重小，不变形；不亲水，吸油前后均浮于水面。无污染，焚烧不产生毒气；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22</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隔油浮漂</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▲1.材质：PE塑料。浮力≥300KG。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23</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编织袋</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▲1.规格：75*50cm（±1cm）、材质：黄麻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24</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货物铭牌</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▲1.材质：不锈钢；可擦写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7"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25</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物资架</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▲1.尺寸：定制 2000*600*2000（mm）；单层承重300斤；材质：优选冷轧钢；外观工艺：环保喷塑工艺；层高组装时可随意调节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26</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PH试纸</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▲1.PH：1-14，≥20本/盒，≥80片/本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6"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27</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COD快速测试包</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▲1.测试范围：0—250mg/l,≥50次/盒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6"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28</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氨氮快速测试包</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▲1.测试范围：0—20mg/l,≥50次/盒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6"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29</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总磷快速测试包</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▲1.总磷测试范围：0—20mg/l,≥50次/盒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6"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30</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六价铬快速测试包</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▲1.测试范围：0—5mg/l,≥50次/盒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75" w:hRule="atLeast"/>
        </w:trPr>
        <w:tc>
          <w:tcPr>
            <w:tcW w:w="60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31</w:t>
            </w:r>
          </w:p>
        </w:tc>
        <w:tc>
          <w:tcPr>
            <w:tcW w:w="111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总铬快速测试包</w:t>
            </w:r>
          </w:p>
        </w:tc>
        <w:tc>
          <w:tcPr>
            <w:tcW w:w="8167" w:type="dxa"/>
            <w:tcBorders>
              <w:tl2br w:val="nil"/>
              <w:tr2bl w:val="nil"/>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▲1.测试范围：0—20mg/l,，≥50次/盒</w:t>
            </w:r>
          </w:p>
        </w:tc>
      </w:tr>
    </w:tbl>
    <w:p>
      <w:pPr>
        <w:widowControl/>
        <w:jc w:val="left"/>
        <w:rPr>
          <w:rFonts w:hint="eastAsia" w:ascii="宋体" w:hAnsi="宋体" w:eastAsia="宋体" w:cs="宋体"/>
          <w:b/>
          <w:bCs/>
          <w:color w:val="auto"/>
          <w:sz w:val="22"/>
          <w:szCs w:val="22"/>
          <w:lang w:val="en-US" w:eastAsia="zh-CN"/>
        </w:rPr>
      </w:pPr>
    </w:p>
    <w:p>
      <w:pPr>
        <w:widowControl/>
        <w:jc w:val="left"/>
        <w:rPr>
          <w:rFonts w:hint="eastAsia" w:ascii="宋体" w:hAnsi="宋体" w:eastAsia="宋体" w:cs="宋体"/>
          <w:b/>
          <w:bCs/>
          <w:color w:val="auto"/>
          <w:sz w:val="22"/>
          <w:szCs w:val="22"/>
          <w:lang w:val="en-US" w:eastAsia="zh-CN"/>
        </w:rPr>
      </w:pPr>
    </w:p>
    <w:p>
      <w:pPr>
        <w:widowControl/>
        <w:jc w:val="left"/>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02包</w:t>
      </w:r>
    </w:p>
    <w:tbl>
      <w:tblPr>
        <w:tblStyle w:val="13"/>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065"/>
        <w:gridCol w:w="809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7" w:type="dxa"/>
            <w:tcBorders>
              <w:top w:val="single" w:color="auto" w:sz="18" w:space="0"/>
              <w:left w:val="single" w:color="auto" w:sz="18"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1065" w:type="dxa"/>
            <w:tcBorders>
              <w:top w:val="single" w:color="auto" w:sz="18"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设备名称</w:t>
            </w:r>
          </w:p>
        </w:tc>
        <w:tc>
          <w:tcPr>
            <w:tcW w:w="8099" w:type="dxa"/>
            <w:tcBorders>
              <w:top w:val="single" w:color="auto" w:sz="18"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具体参数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18"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便携式PH计</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1.采用高清彩色液晶触摸屏，显示清晰；支持中英文；分辨率可选：pH支持0.001pH 、0.01pH和0.1pH，mV支持0.01 mV、0.1 mV和1mV；温度单位可选：℃ 和 °F；支持开机自诊断、自动关机、断电保护和恢复出厂设置等功能；支持固件升级功能，允许功能扩展和个性化要求；支持IP65防护等级；标配三复合pH电极、电极挂架、硅胶保护套、腕带、便携式手提箱、校准缓冲溶液；智能操作系统，具有方法管理、电极管理、数据管理和用户管理等功能；支持用户分级权限管理，支持密码管理；智能判别终点，支持自动读数、定时读数、定时间隔读数、手动读数；支持自动/手动温度补偿；</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★2.支持1~5点pH电极标定；</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支持1点ORP电极标定；具有标定提醒和报警功能；自动识别GB、DIN、NIST、USA、MERK、JIS等6组标准缓冲溶液，支持标液组管理，支持自定义pH缓冲溶液和标液组；支持数据存储（各1000套）、查阅、删除、统计、分析、传输；符合GLP，实现数据追溯和统计分析；具有USB接口，通过专用通信软件与PC连接，实现数据传输；支持U盘读写；支持扫描枪；内置蓝牙，支持无线传输；</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★4.大容量锂电池供电，支持连接PC和移动电源充电；</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5.具有电池欠压提醒功能和充电状态提醒功能；支持背光调节；测量范围：（-2000.00～2000.00）mV；（-2.000～20.000）pH；(-10.0～135.0) ℃/(14.0～275.0) °F；最小分辨率：0.01mV；0.001pH；0.1 ℃/0.1°F；电子单元示值误差：±0.03%或±0.1mV；±0.002pH；±0.1 ℃；电源：可充锂电池，电源适配器（输入：AC100~240V，输出：DC5V）；尺寸（mm）、重量（kg）：90×255×40（±10mm），0.5（±0.02kg）；</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水质自动采样器</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▲1.产品用途：用于各类环境条件下的水质采样。</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2.功能要求</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2.1仪器符合国家水质自动采样器技术要求及检测方法（HJ/T372-2007），触摸彩屏，内置锂电池（连续运行6小时），可靠稳定的蠕动泵和防水步进电机驱动，12个取样瓶，满足各类环境条件下的水质采样。</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2.2分瓶留样功能：仪器可实现 1～12 瓶分瓶留样，瓶数可自由设定；采样功能：可实现定时采样、时间等比、流量等比、外控采样、 串口控制等多种采样方式；留样记录功能：可记录每次采样的留样瓶号、留样时间、留样量，可记录最新 1000 条数据记录；对外接口：流量计模拟接口，RS485 接口；断电保护功能：仪器在运行状态下断电并重新通电后，仪器能自动恢复原 运行状态，断电后仪器参数不丢失；自动排空功能：每次采样完毕，系统可自动排空管内存水，以保证采样管 路不产生沉积堵塞；防溢功能：用户可设置留样瓶数量，完成设定瓶数的留样后停止留样；水样冷藏功能：采用高效制冷装置，可使留存的水样保存在 0℃～4℃环 境。</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3.技术参数</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3.1采样间隔：1min～9999min 可设； 留样瓶数：≥12 瓶；单次留样样量：10ml～900ml；</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留样量误差：±10%（留样 200ml 时）；等比例留样量误差：±10%；</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★3.2内置采样泵吸程：≥6.5 米；</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★3.3 水平采样距离：≥60 米；</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3.4水样保存温度：0℃～4℃（±1.5℃）；管路系统气密性：≤-0.07MPa；平均无故障连续运行时间：≥1440h/次；绝缘阻抗：＞20MΩ；模拟接口：4mA～20mAμg/m3；数字量输入接口：开关量、RS485；流量测量接入形式：流量计模拟信号；重量：不大于20kg；功率：不大于110W；</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4.工作环境：工作电压：AC220V±10%，50Hz±1Hz；工作温度：10℃～40℃；工作湿度：≤85％RH；</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▲5.配置：主机一台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667"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便携式有毒气体检测仪</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▲1.产品用途：主要用于现场环境空气及土壤中的有毒有害气体的监测，应急(泄漏) 监测。可检测CO、SO2、NO、NH3、H2S等多种有毒有害气体的浓度；</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 技术功能：不同传感器模块盒挂载方便，挂载后气路、电路自动连接，无需手动配置； 每个传感器模块盒可安装 9 只传感器，可挂载 3 个传感器模块盒；数据采集：可记录来自每个传感器的不少于3000个数据，显示信息包括仪器序列号、用户编号、现场信息(需另配GPS系统)；测量界面可显示：瞬时值、气体种类、瞬时值、STEL、TWA、MAC、电池电量、仪器工作时间等；具备抗EM干扰能力；具备声光警报功能；具有气体浓度超限的声光报警功能； 可独立设置不同种类有毒有害气体的限值：TWA、STEL、MAC；具有低电量报警和传感器出错报警提示功能；数据能通过 U 盘导出；可安装于无人机，通过地面手操器可实现远程操控，具有GPS和北斗定位功能。</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3.技术参数及传感器配置：</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3.1工作温度：（-10—50）℃；工作湿度：0—95%相对湿度（无冷凝）；电源适配器：输入 AC100～240V 50/60Hz   输出 DC5V 3A，满足我方设备使用需求；充电时间：&lt;8h；电池工作时间：&gt;10h；数据存储量：20万组(可用U盘扩展)；</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★3.2传感器如下：</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二氧化硫SO2：(0～150)ppm ；分辨率：0.1ppm</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一氧化氮NO：(0～250)ppm；分辨率：1ppm</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氨气NH3：(0～100)ppm；分辨率：0.1ppm</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一氧化碳CO：(0～1000)ppm；分辨率：1ppm</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硫化氢H2S：(0～500)ppm；分辨率：0.1ppm</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▲4.单套配置：</w:t>
            </w:r>
          </w:p>
          <w:tbl>
            <w:tblPr>
              <w:tblStyle w:val="13"/>
              <w:tblW w:w="7838" w:type="dxa"/>
              <w:tblInd w:w="-17"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728"/>
              <w:gridCol w:w="1268"/>
              <w:gridCol w:w="409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46" w:type="dxa"/>
                  <w:tcBorders>
                    <w:top w:val="single" w:color="auto" w:sz="18"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1728"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名称</w:t>
                  </w:r>
                </w:p>
              </w:tc>
              <w:tc>
                <w:tcPr>
                  <w:tcW w:w="1268"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单位数量</w:t>
                  </w:r>
                </w:p>
              </w:tc>
              <w:tc>
                <w:tcPr>
                  <w:tcW w:w="4096" w:type="dxa"/>
                  <w:tcBorders>
                    <w:top w:val="single" w:color="auto" w:sz="18"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4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172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主机</w:t>
                  </w:r>
                </w:p>
              </w:tc>
              <w:tc>
                <w:tcPr>
                  <w:tcW w:w="126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1台</w:t>
                  </w:r>
                </w:p>
              </w:tc>
              <w:tc>
                <w:tcPr>
                  <w:tcW w:w="4096"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包含二氧化硫、一氧化氮、氨气、一氧化碳、硫化氢5种传感器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172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附件包</w:t>
                  </w:r>
                </w:p>
              </w:tc>
              <w:tc>
                <w:tcPr>
                  <w:tcW w:w="126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4096"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46"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1728"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本机配备气体清单</w:t>
                  </w:r>
                </w:p>
              </w:tc>
              <w:tc>
                <w:tcPr>
                  <w:tcW w:w="1268"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4096" w:type="dxa"/>
                  <w:tcBorders>
                    <w:top w:val="single" w:color="auto" w:sz="4" w:space="0"/>
                    <w:left w:val="single" w:color="auto" w:sz="4" w:space="0"/>
                    <w:bottom w:val="single" w:color="auto" w:sz="18"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CO、SO2、NO、NH3、H2S </w:t>
                  </w:r>
                </w:p>
              </w:tc>
            </w:tr>
          </w:tbl>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便携式多参数测试仪</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▲1.产品用途：适用于现场快速测量pH值、电导率、溶解氧等项目，可广泛应用于地表水、河湖水、工业废水、应急监测等。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2.功能特点：</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 大屏彩色触控屏设计，全中文界面，操作简便快捷； 仪器设计小巧轻便，内置大容量锂电池，方便野外水质测定操作；测定指标灵活切换，测定迅速、响应时间块、测量准确度高；整机采用ABS加强塑料，耐腐蚀、强度高，防水效果好；大容量数据存储，便于对历史测量数据的查询、打印；可外接便携式热敏打印机，现场打印测定结果；配套有数据采集分析软件，可远程将数据上传至计算机；可通过蓝牙方式将数据导出至手机APP，实现远程的数据分享，可网络升级，保证仪器永不过时；仪器操作简便，内置教学视频，用户无需掌握复杂的专业知识，运行成本低，抗干扰能力强；IP65 防尘防水设计，短时间入水不会造成仪器损伤，自带便携箱；≥ 5000 组数据储存能力，并且能够记录最少最近的 10 组校正数据； 电导测量具备自动量程选择功能，自动识别 3 种标准溶液，最多 3点校正能力；配置荧光法溶解氧探头；溶解氧具备自动压力补偿、自动温度补偿；</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★2.2技术参数： pH：测量范围：0~14pH；电极法；分辨率：0.01pH；准确度：≤±0.02pH；溶解氧：测量范围：0~20.0mg/L；电化学探头法；分辨率：0.1mg/L；准确度：≤±0.3mg/L；电导率：测量范围：0~200mS/cm；电极法；分辨率：1mS/cmL；准确度：≤±1％；温度：测量范围：-20.0~120℃；电极法；分辨率：0.1℃；准确度：≤±0.5℃；浊度：测量范围：0~400NTU；测定方法：电极法；</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▲2.3 配置清单：</w:t>
            </w:r>
          </w:p>
          <w:tbl>
            <w:tblPr>
              <w:tblStyle w:val="13"/>
              <w:tblW w:w="0" w:type="auto"/>
              <w:tblInd w:w="-17"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4063"/>
              <w:gridCol w:w="1587"/>
              <w:gridCol w:w="87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18"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4063"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名称</w:t>
                  </w:r>
                </w:p>
              </w:tc>
              <w:tc>
                <w:tcPr>
                  <w:tcW w:w="1587"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单位数量</w:t>
                  </w:r>
                </w:p>
              </w:tc>
              <w:tc>
                <w:tcPr>
                  <w:tcW w:w="875" w:type="dxa"/>
                  <w:tcBorders>
                    <w:top w:val="single" w:color="auto" w:sz="18"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测定仪主机</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1台</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便携仪器箱</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1只</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充电器8.4V/2A</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软件光盘</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USB数据线方口</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1根</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塑料烧杯100ml</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塑料烧杯250ml</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洗瓶器150ml</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pH电极</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1支</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溶解氧电极</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1支</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电导率电极</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1支</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12</w:t>
                  </w:r>
                </w:p>
              </w:tc>
              <w:tc>
                <w:tcPr>
                  <w:tcW w:w="40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温度电极</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1支</w:t>
                  </w:r>
                </w:p>
              </w:tc>
              <w:tc>
                <w:tcPr>
                  <w:tcW w:w="875"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13</w:t>
                  </w:r>
                </w:p>
              </w:tc>
              <w:tc>
                <w:tcPr>
                  <w:tcW w:w="4063"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浊度电极</w:t>
                  </w:r>
                </w:p>
              </w:tc>
              <w:tc>
                <w:tcPr>
                  <w:tcW w:w="1587"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1支</w:t>
                  </w:r>
                </w:p>
              </w:tc>
              <w:tc>
                <w:tcPr>
                  <w:tcW w:w="875" w:type="dxa"/>
                  <w:tcBorders>
                    <w:top w:val="single" w:color="auto" w:sz="4" w:space="0"/>
                    <w:left w:val="single" w:color="auto" w:sz="4" w:space="0"/>
                    <w:bottom w:val="single" w:color="auto" w:sz="18" w:space="0"/>
                    <w:right w:val="single" w:color="auto" w:sz="18"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bl>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18"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浊度计</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▲1.产品用途：适用于饮用水、污水、环境水体和工业用水等多种环境水样浊度的现场快速检测；</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功能要求：便携式，交、直流供电，具有低电压指示及自动关机功能。串行RS232通讯接口可配接微型打印机；微电脑低功耗配置，触摸式键盘，带背光液晶显示屏，可同时显示日期、时间、测量值及测量单位；可人工选择或自动切换测量量程。可任意编程设置校正标准值，可快速任意选择1-7点自动校正；设有平均测量模式和数据查询模式，具有测量数据非线性处理及平滑功能，配有自诊断信息提示；内置时钟记忆储存系统，实时储存测量和校正数据，可长期储存和调用最近20组测量数据；多种测量模式，预设有NTU、FTU、EBC、度（Unit）、ppm、mg/L、%等单位；配有色度补偿系统，有效避免试样颜色引起的干扰，能正确反映浊度的概念。</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3.≥10万小时长寿命高强度光源，可免维护长期使用，符合ISO浊度测量标准。</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4.测定原理：90°散射光；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★5.最小示值（NTU）：0.01；</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6.测量范围(NTU)：0～1000；示值误差：±6％（±2％F.S）；重复性：≤0.5%；零点漂移：±0.5％F.S；</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18"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便携式重金属测定仪（核心产品）</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产品用途：应用于现场污染事件监测、地表水环境监测、饮用水安全监测等场所。可实现至少14种重金属指标的快速检测，包括：铜、镉、铅、锌、汞、三价砷、铊、铋、锰、锡、三价锑、总砷、四价硒、碲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2.功能要求：</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★2.1采用阳极溶出伏安法原理对重金属进行检测分析，可实现至少14种重金属指标的快速检测，包括：铜、镉、铅、锌、汞、三价砷、铊、铋、锰、锡、三价锑、总砷、四价硒、碲等。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自带集成显示屏，可在野外通过手操器独立使用，也可连接到电脑使用软件控制操作和数据分析；最快检测时间：不大于10分钟；现场单机检测：10种可编程单机检测菜单，10种可编程电极调节菜单，具备减去空白基线和标准加入法选项；</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3.技术参数：</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3.1分析方法：阳极溶出；扫描波型：线性、方波、差示脉冲；伏安法电压范围：-2V~+2V；灵敏度：2nA；</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★3.2精确度：5-10% CV；</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3.3定量方法：可选择面积定量或峰高定量；结果输出：伏安法曲线、被测物浓度、历史数据；电极：配备汞膜电极组、金膜电极组，其中：工作电极：可镀汞膜电极、可镀金膜电极；对电极：铂金电极；参比电极：Ag/AgCl参数比电极，填充液可自行补充；分析室材料：丙烯酸高分子材料、聚四氟乙烯材料；分析室含搅拌桨；</w:t>
            </w: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★3.4可测量14项目和最低检出限（按所配电极种类决定）（详见下表）</w:t>
            </w:r>
          </w:p>
          <w:tbl>
            <w:tblPr>
              <w:tblStyle w:val="13"/>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363"/>
              <w:gridCol w:w="2437"/>
              <w:gridCol w:w="292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96" w:type="dxa"/>
                  <w:tcBorders>
                    <w:top w:val="single" w:color="auto" w:sz="18"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1363"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金属元素</w:t>
                  </w:r>
                </w:p>
              </w:tc>
              <w:tc>
                <w:tcPr>
                  <w:tcW w:w="2437"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金属名称</w:t>
                  </w:r>
                </w:p>
              </w:tc>
              <w:tc>
                <w:tcPr>
                  <w:tcW w:w="2921" w:type="dxa"/>
                  <w:tcBorders>
                    <w:top w:val="single" w:color="auto" w:sz="18"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最低检出限（ppb, μg/L）</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Cu</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铜</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Cd</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镉</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Pb</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铅</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Zn</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锌</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Mn</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锰</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Tl</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铊</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Sn</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锡</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Sb (III)</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三价锑</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Bi</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铋</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As (III)</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三价砷</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As</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砷</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12</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Se（IV）</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四价硒</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13</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Hg</w:t>
                  </w:r>
                </w:p>
              </w:tc>
              <w:tc>
                <w:tcPr>
                  <w:tcW w:w="24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汞</w:t>
                  </w:r>
                </w:p>
              </w:tc>
              <w:tc>
                <w:tcPr>
                  <w:tcW w:w="2921"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96"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14</w:t>
                  </w:r>
                </w:p>
              </w:tc>
              <w:tc>
                <w:tcPr>
                  <w:tcW w:w="1363"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Te</w:t>
                  </w:r>
                </w:p>
              </w:tc>
              <w:tc>
                <w:tcPr>
                  <w:tcW w:w="2437"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碲</w:t>
                  </w:r>
                </w:p>
              </w:tc>
              <w:tc>
                <w:tcPr>
                  <w:tcW w:w="2921" w:type="dxa"/>
                  <w:tcBorders>
                    <w:top w:val="single" w:color="auto" w:sz="4" w:space="0"/>
                    <w:left w:val="single" w:color="auto" w:sz="4" w:space="0"/>
                    <w:bottom w:val="single" w:color="auto" w:sz="18"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w:t>
                  </w:r>
                </w:p>
              </w:tc>
            </w:tr>
          </w:tbl>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4.工作条件：供电，主供电AC, 110 - 240V 或DC 8 - 12V；野外供电 4节AA电池；</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▲5.配置要求：</w:t>
            </w:r>
          </w:p>
          <w:tbl>
            <w:tblPr>
              <w:tblStyle w:val="13"/>
              <w:tblW w:w="0" w:type="auto"/>
              <w:tblInd w:w="-17"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2912"/>
              <w:gridCol w:w="1850"/>
              <w:gridCol w:w="203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18"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2912"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名称</w:t>
                  </w:r>
                </w:p>
              </w:tc>
              <w:tc>
                <w:tcPr>
                  <w:tcW w:w="1850"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单位数量</w:t>
                  </w:r>
                </w:p>
              </w:tc>
              <w:tc>
                <w:tcPr>
                  <w:tcW w:w="2038" w:type="dxa"/>
                  <w:tcBorders>
                    <w:top w:val="single" w:color="auto" w:sz="18"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分析仪主机</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1台</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预置专用数据分析软件及数据处理系统（平板电脑）</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分析室和搅拌器</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USB数据线</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电源线及适配器</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防水硬便携箱</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汞膜电极组</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含工作电极、对电极和参比电极各1支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金膜电极组</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含工作电极、对电极和参比电极各1支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w:t>
                  </w:r>
                </w:p>
              </w:tc>
              <w:tc>
                <w:tcPr>
                  <w:tcW w:w="291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14 指标对应的标液</w:t>
                  </w:r>
                </w:p>
              </w:tc>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20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762"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w:t>
                  </w:r>
                </w:p>
              </w:tc>
              <w:tc>
                <w:tcPr>
                  <w:tcW w:w="2912"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14 指标对应的试剂（各50次）</w:t>
                  </w:r>
                </w:p>
              </w:tc>
              <w:tc>
                <w:tcPr>
                  <w:tcW w:w="1850"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2038" w:type="dxa"/>
                  <w:tcBorders>
                    <w:top w:val="single" w:color="auto" w:sz="4" w:space="0"/>
                    <w:left w:val="single" w:color="auto" w:sz="4" w:space="0"/>
                    <w:bottom w:val="single" w:color="auto" w:sz="18"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bl>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667"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流动注射分析仪（核心产品）</w:t>
            </w:r>
          </w:p>
        </w:tc>
        <w:tc>
          <w:tcPr>
            <w:tcW w:w="8099" w:type="dxa"/>
            <w:tcBorders>
              <w:top w:val="single" w:color="auto" w:sz="4" w:space="0"/>
              <w:left w:val="single" w:color="auto" w:sz="4" w:space="0"/>
              <w:bottom w:val="single" w:color="auto" w:sz="4"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1、仪器原理：</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仪器基于非稳态流动注射分析（FIA）的基本原理，试剂在封闭的管路中连续流动，一定体积的样品通过样品注入阀注入载流，载流携带样品在封闭的编结反应器与试剂混合，形成具有一定吸光度的混合物，在非完全反应的条件下，进入流动检测池，进行光度检测，形成检测峰形，通过峰面积进行检测值的计算。</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1.2样品与样品之间，样品与试剂之间，无需加入气泡，无需达到物理混合和化学反应平衡状态即可重复测定，实现快速准确地分析；仪器用途：用于测定地表水、地下水、饮用水和环境水中的氰化物、总氰化物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3、仪器组成：</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3.1仪器为一体机通道式设计，可配置1-16个通道同时分析，每个通道包括一个自动进样装置（包括40个10ml样品位和2个50ml样品位及一个两位载流槽）一个12通道蠕动泵，一套化学分析流路，一个双光束检测器及与化学分析流路配套的温度控制器、控制电路等。</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3.2通道间无需共用主机，每个模块独立与电脑连接，通道与工作站软件通过网线接口直接进行数据传输，通讯更加可靠，避免串口或者USB连接过程中软件容易死机导致检测数据丢失，且无需在计算机安装电路板；仪器无需使用压缩气体，所有化学分析流路使用FEP全化学惰性透明管, 无翻边管路接头；不同分析通道可以放在完全不同实验室固定使用，无需搬动主机和自动进样器，满足不同实验人员负责不同检测项目的使用要求；主机、自动进样器、分析通道只需要一个电源供电，满足现场供电与携带的使用要求；流路板为倾斜设计，避免漏液存留面板上腐蚀元器件；分析通道可以全自动在线稀释配比标准曲线，无需手动稀释配比标准曲线。内置式比例稀释装置，无需外接比例稀释装置，无需手动连接分析通道和比例稀释装置，减少了多个分析项目检测配比曲线的繁琐操作；</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4、仪器的工作环境：仪器可供在室内使用或车载使用，环境温度 10—40℃；电源供给：220VAC，50HZ，相对湿度：25%—85%；</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5、仪器性能指标：</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5.1不同分析通道模块包括相应的在线加热、冷凝、蒸馏、萃取、还原等系统，所有系统在分析通道模块上实现（不需要额外配置加热、冷凝、蒸馏、萃取、还原等辅助设备）。</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★5.2（总）氰化物技术指标：方法原理：异烟酸巴比妥酸光度法；线性范围：0.002-0.2mg/L；检出限：≤0.0005mg/L；样品分析频率：18样/小时；精密度：≤ 1%；准确度：误差在±3%以内；</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 系统配置</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6.1 本仪器的各个通道可独立工作，无需额外配置主机或自动进样装置等其他配件。各个通道之间可独立工作，也可同时工作，互不影响，最多可连接16-254个同系列分析仪同时工作。同系列分析仪同时工作时，除电脑外，无其他共用装置，彼此之间完全独立；1个与检测通道连接一体式自动进样器，非通道与进样器拼接式，节省仪器使用空间。载流不但携带样品与试剂混合，还可起到清洁样品输送管路的作用，在不同的样品之间泵入载流，可清洗取样针、完全避免样品滞留引起交叉污染；蠕动泵为整体压块式设计，操作简单方便。无需在使用仪器前使用压片将管路固定在蠕动泵上并且单独调节蠕动泵压片的松紧，无需在使用后将每个管路压片松开；避免人为调节带来的进样误差从而影响检测结果的稳定性和准确度；每个通道都包括一个专用的电动六孔阀，六孔阀上的六个孔位两两相通，通过电机带动转换位置，六孔阀上连接有样品环，用于注入一定体积的样品到连续流动的载流中；每个通道都包括一个专用的检测器, 检测器为双光束设计，通过窄带滤光片分光，不同的系列分析仪可以使用相同的滤光片，也可使用不同的滤光片，滤光片更换方便。检测器使用400-1100nm的卤钨灯作为光源，还包括一个流通式比色皿，光程10mm；若通道配置有电加热器，温度可通过电脑进行控制，温度控制区间为室温到220℃，温度精度0.1℃，数字显示；全中文操作软件，可控制1-16个通道同时工作；</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6.2 仪器控制及数据处理系统： 数据处理输出系统；分析软件：全中文操作软件及帮助文件，可在winxp/win7以上的操作系统工作，可同时显示所有同系列分析仪的实时谱图及过往图谱，可一边进行测试一边进行以往数据的查看及处理。仪器软件易于操作，能够进行多窗口同时操作，操作界面全部为中文；</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6.3每个通道都具有配套的中文方法手册，详细说明该分析仪的方法原理，应用领域，试剂配制方法，操作程序及详细列举工作曲线、检出限、精密度等指标的测试数据及图谱。</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6.4使用进口三卡头泵管，通过调换泵管的不同卡头位置来延长泵管的使用寿命，降低运行成本；98%采用国产试剂，降低运行成本。</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▲7.仪器配置清单：</w:t>
            </w:r>
          </w:p>
          <w:tbl>
            <w:tblPr>
              <w:tblStyle w:val="13"/>
              <w:tblW w:w="0" w:type="auto"/>
              <w:tblInd w:w="-17"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4539"/>
              <w:gridCol w:w="1187"/>
              <w:gridCol w:w="120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18"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4539"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名称</w:t>
                  </w:r>
                </w:p>
              </w:tc>
              <w:tc>
                <w:tcPr>
                  <w:tcW w:w="1187"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单位数量</w:t>
                  </w:r>
                </w:p>
              </w:tc>
              <w:tc>
                <w:tcPr>
                  <w:tcW w:w="1200" w:type="dxa"/>
                  <w:tcBorders>
                    <w:top w:val="single" w:color="auto" w:sz="18"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全自动（总）氰化物分析通道</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1台</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工作站软件</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路由器</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1台</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泵管、接头、进样针等</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说明书：软件、仪器及方法说明</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数据处理输出系统</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独立极坐标自动进样器（与检测项目一体，不占用单独空间）</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检测器（与检测项目一体，不占用单独空间）</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w:t>
                  </w:r>
                </w:p>
              </w:tc>
              <w:tc>
                <w:tcPr>
                  <w:tcW w:w="453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独立主机（与检测项目一体，不占用单独空间）</w:t>
                  </w:r>
                </w:p>
              </w:tc>
              <w:tc>
                <w:tcPr>
                  <w:tcW w:w="118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w:t>
                  </w:r>
                </w:p>
              </w:tc>
              <w:tc>
                <w:tcPr>
                  <w:tcW w:w="4539"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内置式在线稀释配比标准曲线装置（全自动（总）氰化物分析通道）</w:t>
                  </w:r>
                </w:p>
              </w:tc>
              <w:tc>
                <w:tcPr>
                  <w:tcW w:w="1187"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200" w:type="dxa"/>
                  <w:tcBorders>
                    <w:top w:val="single" w:color="auto" w:sz="4" w:space="0"/>
                    <w:left w:val="single" w:color="auto" w:sz="4" w:space="0"/>
                    <w:bottom w:val="single" w:color="auto" w:sz="18"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bl>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1065"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default" w:ascii="宋体" w:hAnsi="宋体" w:eastAsia="宋体" w:cs="宋体"/>
                <w:color w:val="auto"/>
                <w:kern w:val="2"/>
                <w:sz w:val="21"/>
                <w:szCs w:val="21"/>
                <w:lang w:val="en-US" w:eastAsia="zh-CN" w:bidi="ar-SA"/>
              </w:rPr>
            </w:pP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环境空气综合采样器</w:t>
            </w:r>
          </w:p>
        </w:tc>
        <w:tc>
          <w:tcPr>
            <w:tcW w:w="8099" w:type="dxa"/>
            <w:tcBorders>
              <w:top w:val="single" w:color="auto" w:sz="4" w:space="0"/>
              <w:left w:val="single" w:color="auto" w:sz="4" w:space="0"/>
              <w:bottom w:val="single" w:color="auto" w:sz="18" w:space="0"/>
              <w:right w:val="single" w:color="auto" w:sz="18" w:space="0"/>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▲1.用途：用于捕集环境大气中的可吸入微粒(PM10)和采集环境大气、室内空气中各种污染性气体(SO2、NOx等)。满足《环境空气颗粒物(PM10和PM2.5)采样器技术要求及检测方法》（HJ 93-2013 ）和《环境空气采样器技术要求及检测方法》（HJ/T 375-2007）。</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2.技术参数：颗粒物采样流量：（80-120）L/min，工作点流量为100 L/min；准确度不超过±2%。大气采样流量：A路( 0~1.0)L/min；B路( 0~1.0)L/min；准确度不超过±2%。采样时间：99h59min内任意设置，20min计时误差不超过±1s。流量重复性：不超过2%。流量稳定性：不超过5%。 PM10切割特性：Da50=( 10±0.5)μm σg=1.5±0.1。数据存储：9999组。仪器噪音：≤62dB(A)。工作电源：AC(220±22)V，50Hz；</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3.性能要求</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3.1采样流量自动控制：采用高精度、耐腐蚀电子流量计，微电脑系统检测采样流量，自动补偿因为电压波动和阻力、温度变化引起的流量变化；采用引风式环境温度检测模块，大幅减小环境温度测量误差，进一步提高流量准确度；自动计算累计采样体积，并同时根据气压、温度换算参比采样体积（25℃、101.325kPa 参比状态的体积，出厂默认）或标况采样体积；采样过程停电自动保存工作数据，来电后可恢复采样； 大气采样A/B两路设计，采样方式灵活，可分别单独控制；可以实现即时采样、定时采样、间隔采样等多种采样模式；内置蓝牙模块，可连接便携式蓝牙打印机轻松掌握实时数据；提供USB接口，可将采样数据文件导出，同时支持升级仪器主板程序；</w:t>
            </w:r>
          </w:p>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▲4.配置清单：</w:t>
            </w:r>
          </w:p>
          <w:tbl>
            <w:tblPr>
              <w:tblStyle w:val="13"/>
              <w:tblW w:w="0" w:type="auto"/>
              <w:tblInd w:w="-17"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801"/>
              <w:gridCol w:w="1750"/>
              <w:gridCol w:w="143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18"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3801"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名称</w:t>
                  </w:r>
                </w:p>
              </w:tc>
              <w:tc>
                <w:tcPr>
                  <w:tcW w:w="1750" w:type="dxa"/>
                  <w:tcBorders>
                    <w:top w:val="single" w:color="auto" w:sz="18"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单位数量</w:t>
                  </w:r>
                </w:p>
              </w:tc>
              <w:tc>
                <w:tcPr>
                  <w:tcW w:w="1438" w:type="dxa"/>
                  <w:tcBorders>
                    <w:top w:val="single" w:color="auto" w:sz="18"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3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主机</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4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3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PM10采样头</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4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3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三脚支架</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438" w:type="dxa"/>
                  <w:tcBorders>
                    <w:top w:val="single" w:color="auto" w:sz="4" w:space="0"/>
                    <w:left w:val="single" w:color="auto" w:sz="4" w:space="0"/>
                    <w:bottom w:val="single" w:color="auto" w:sz="4"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18"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3801"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Φ90mm玻璃纤维滤膜</w:t>
                  </w:r>
                </w:p>
              </w:tc>
              <w:tc>
                <w:tcPr>
                  <w:tcW w:w="1750" w:type="dxa"/>
                  <w:tcBorders>
                    <w:top w:val="single" w:color="auto" w:sz="4" w:space="0"/>
                    <w:left w:val="single" w:color="auto" w:sz="4" w:space="0"/>
                    <w:bottom w:val="single" w:color="auto" w:sz="18" w:space="0"/>
                    <w:right w:val="single" w:color="auto" w:sz="4"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1套</w:t>
                  </w:r>
                </w:p>
              </w:tc>
              <w:tc>
                <w:tcPr>
                  <w:tcW w:w="1438" w:type="dxa"/>
                  <w:tcBorders>
                    <w:top w:val="single" w:color="auto" w:sz="4" w:space="0"/>
                    <w:left w:val="single" w:color="auto" w:sz="4" w:space="0"/>
                    <w:bottom w:val="single" w:color="auto" w:sz="18" w:space="0"/>
                    <w:right w:val="single" w:color="auto" w:sz="18" w:space="0"/>
                    <w:tl2br w:val="nil"/>
                    <w:tr2bl w:val="nil"/>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color w:val="auto"/>
                      <w:kern w:val="2"/>
                      <w:sz w:val="21"/>
                      <w:szCs w:val="21"/>
                      <w:lang w:val="en-US" w:eastAsia="zh-CN" w:bidi="ar-SA"/>
                    </w:rPr>
                  </w:pPr>
                </w:p>
              </w:tc>
            </w:tr>
          </w:tbl>
          <w:p>
            <w:pPr>
              <w:keepNext w:val="0"/>
              <w:keepLines w:val="0"/>
              <w:widowControl/>
              <w:suppressLineNumbers w:val="0"/>
              <w:spacing w:line="240" w:lineRule="auto"/>
              <w:jc w:val="left"/>
              <w:textAlignment w:val="center"/>
              <w:rPr>
                <w:rFonts w:hint="eastAsia" w:ascii="宋体" w:hAnsi="宋体" w:eastAsia="宋体" w:cs="宋体"/>
                <w:color w:val="auto"/>
                <w:kern w:val="2"/>
                <w:sz w:val="21"/>
                <w:szCs w:val="21"/>
                <w:lang w:val="en-US" w:eastAsia="zh-CN" w:bidi="ar-SA"/>
              </w:rPr>
            </w:pPr>
          </w:p>
        </w:tc>
      </w:tr>
    </w:tbl>
    <w:p>
      <w:pPr>
        <w:pStyle w:val="2"/>
        <w:rPr>
          <w:rFonts w:hint="default"/>
          <w:lang w:val="en-US" w:eastAsia="zh-CN"/>
        </w:rPr>
      </w:pPr>
    </w:p>
    <w:p>
      <w:pPr>
        <w:spacing w:line="240" w:lineRule="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注：1.</w:t>
      </w:r>
      <w:r>
        <w:rPr>
          <w:rFonts w:hint="eastAsia" w:ascii="宋体" w:hAnsi="宋体" w:eastAsia="宋体" w:cs="宋体"/>
          <w:b/>
          <w:bCs/>
          <w:color w:val="auto"/>
          <w:sz w:val="22"/>
          <w:szCs w:val="22"/>
          <w:highlight w:val="none"/>
          <w:lang w:eastAsia="zh-CN"/>
        </w:rPr>
        <w:t>以上所有技术、服务要求</w:t>
      </w:r>
      <w:r>
        <w:rPr>
          <w:rFonts w:hint="eastAsia" w:ascii="宋体" w:hAnsi="宋体" w:eastAsia="宋体" w:cs="宋体"/>
          <w:b/>
          <w:bCs/>
          <w:color w:val="auto"/>
          <w:sz w:val="22"/>
          <w:szCs w:val="22"/>
          <w:highlight w:val="none"/>
        </w:rPr>
        <w:t>中“★”条款为产品重要参数，技术参数中有明确要求的按要求提供佐证材料，未做明确要求的</w:t>
      </w:r>
      <w:r>
        <w:rPr>
          <w:rFonts w:hint="eastAsia" w:ascii="宋体" w:hAnsi="宋体" w:eastAsia="宋体" w:cs="宋体"/>
          <w:b/>
          <w:bCs/>
          <w:color w:val="auto"/>
          <w:sz w:val="22"/>
          <w:szCs w:val="22"/>
          <w:highlight w:val="none"/>
          <w:lang w:eastAsia="zh-CN"/>
        </w:rPr>
        <w:t>提供产品功能截图或所投产品制造厂家出具的产品图册或第三方检测、测试机构出具的检测、测试报告复印件或制造厂家技术白皮书并加盖供应商公章。</w:t>
      </w:r>
      <w:r>
        <w:rPr>
          <w:rFonts w:hint="eastAsia" w:ascii="宋体" w:hAnsi="宋体" w:eastAsia="宋体" w:cs="宋体"/>
          <w:b/>
          <w:bCs/>
          <w:color w:val="auto"/>
          <w:sz w:val="22"/>
          <w:szCs w:val="22"/>
          <w:highlight w:val="none"/>
        </w:rPr>
        <w:t>未按要求提供相关佐证材料或虽提供但无法佐证，自行承担被评审小组视为负偏离的风险</w:t>
      </w:r>
      <w:r>
        <w:rPr>
          <w:rFonts w:hint="eastAsia" w:ascii="宋体" w:hAnsi="宋体" w:eastAsia="宋体" w:cs="宋体"/>
          <w:b/>
          <w:bCs/>
          <w:color w:val="auto"/>
          <w:sz w:val="22"/>
          <w:szCs w:val="22"/>
          <w:highlight w:val="none"/>
          <w:lang w:eastAsia="zh-CN"/>
        </w:rPr>
        <w:t>。</w:t>
      </w:r>
    </w:p>
    <w:p>
      <w:pPr>
        <w:spacing w:line="240" w:lineRule="auto"/>
        <w:ind w:firstLine="221" w:firstLineChars="1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.供应商须严格按照招标文件产品参数描述进行响应，不得曲解招标文件产品参数描述意思或以其他参数描述来响应招标文件参数，否则自行承担被评标委员会视为技术参数负偏离的风险。</w:t>
      </w:r>
    </w:p>
    <w:p>
      <w:pPr>
        <w:spacing w:line="240" w:lineRule="auto"/>
        <w:ind w:firstLine="221" w:firstLineChars="100"/>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rPr>
        <w:t>参数表中“</w:t>
      </w:r>
      <w:r>
        <w:rPr>
          <w:rFonts w:hint="eastAsia" w:ascii="宋体" w:hAnsi="宋体" w:eastAsia="宋体" w:cs="宋体"/>
          <w:i w:val="0"/>
          <w:iCs w:val="0"/>
          <w:color w:val="auto"/>
          <w:sz w:val="22"/>
          <w:szCs w:val="22"/>
          <w:highlight w:val="none"/>
          <w:u w:val="none"/>
          <w:lang w:val="en-US" w:eastAsia="zh-CN"/>
        </w:rPr>
        <w:t>▲</w:t>
      </w:r>
      <w:r>
        <w:rPr>
          <w:rFonts w:hint="eastAsia" w:ascii="宋体" w:hAnsi="宋体" w:eastAsia="宋体" w:cs="宋体"/>
          <w:b/>
          <w:bCs/>
          <w:color w:val="auto"/>
          <w:sz w:val="22"/>
          <w:szCs w:val="22"/>
          <w:highlight w:val="none"/>
        </w:rPr>
        <w:t>”条款</w:t>
      </w:r>
      <w:r>
        <w:rPr>
          <w:rFonts w:hint="eastAsia" w:ascii="宋体" w:hAnsi="宋体" w:eastAsia="宋体" w:cs="宋体"/>
          <w:b/>
          <w:bCs/>
          <w:color w:val="auto"/>
          <w:sz w:val="22"/>
          <w:szCs w:val="22"/>
          <w:highlight w:val="none"/>
          <w:lang w:val="en-US" w:eastAsia="zh-CN"/>
        </w:rPr>
        <w:t>为实质性要求，不允许负偏离，负偏离视为无效投标。</w:t>
      </w:r>
    </w:p>
    <w:p>
      <w:pPr>
        <w:spacing w:line="240" w:lineRule="auto"/>
        <w:ind w:left="210" w:leftChars="100" w:firstLine="0" w:firstLineChars="0"/>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4.以上以上技术、服务要求须在技术、服务响应表中响应，否则视为负偏离</w:t>
      </w:r>
    </w:p>
    <w:p>
      <w:pPr>
        <w:pStyle w:val="12"/>
        <w:ind w:left="0" w:leftChars="0" w:firstLine="0" w:firstLineChars="0"/>
        <w:rPr>
          <w:rFonts w:hint="eastAsia" w:eastAsia="等线 Light" w:cs="宋体"/>
          <w:b/>
          <w:bCs/>
          <w:color w:val="auto"/>
          <w:kern w:val="2"/>
          <w:sz w:val="21"/>
          <w:szCs w:val="21"/>
          <w:highlight w:val="none"/>
          <w:lang w:val="en-US" w:eastAsia="zh-CN" w:bidi="ar-SA"/>
        </w:rPr>
      </w:pPr>
      <w:r>
        <w:rPr>
          <w:rFonts w:hint="eastAsia" w:ascii="宋体" w:hAnsi="宋体" w:eastAsia="宋体" w:cs="宋体"/>
          <w:b/>
          <w:bCs/>
          <w:color w:val="auto"/>
          <w:sz w:val="22"/>
          <w:szCs w:val="22"/>
          <w:highlight w:val="none"/>
          <w:lang w:val="en-US" w:eastAsia="zh-CN"/>
        </w:rPr>
        <w:t>5.签订合同前，采购人有权对中标人提供所投产品的检测报告或者认证证书原件进行查验,如所提供的资料与投标文件不一致或未提供，采购方有权拒绝签订合同，并按政府采购相关法律法规向采购方同级财政部门汇报，追究其相关法律责任。</w:t>
      </w:r>
      <w:r>
        <w:rPr>
          <w:rFonts w:hint="eastAsia" w:eastAsia="等线 Light" w:cs="宋体"/>
          <w:b/>
          <w:bCs/>
          <w:color w:val="auto"/>
          <w:kern w:val="2"/>
          <w:sz w:val="21"/>
          <w:szCs w:val="21"/>
          <w:highlight w:val="none"/>
          <w:lang w:val="en-US" w:eastAsia="zh-CN" w:bidi="ar-SA"/>
        </w:rPr>
        <w:t xml:space="preserve"> </w:t>
      </w:r>
    </w:p>
    <w:p>
      <w:pPr>
        <w:pStyle w:val="12"/>
        <w:ind w:left="0" w:leftChars="0" w:firstLine="0" w:firstLineChars="0"/>
        <w:rPr>
          <w:rFonts w:hint="default" w:eastAsia="等线 Light" w:cs="宋体"/>
          <w:b/>
          <w:bCs/>
          <w:color w:val="auto"/>
          <w:kern w:val="2"/>
          <w:sz w:val="21"/>
          <w:szCs w:val="21"/>
          <w:highlight w:val="none"/>
          <w:lang w:val="en-US" w:eastAsia="zh-CN" w:bidi="ar-SA"/>
        </w:rPr>
      </w:pPr>
    </w:p>
    <w:p>
      <w:pPr>
        <w:rPr>
          <w:rFonts w:hint="eastAsia" w:ascii="宋体" w:hAnsi="宋体" w:eastAsia="等线 Light" w:cs="宋体"/>
          <w:b/>
          <w:bCs/>
          <w:color w:val="auto"/>
          <w:kern w:val="2"/>
          <w:sz w:val="21"/>
          <w:szCs w:val="21"/>
          <w:highlight w:val="none"/>
          <w:lang w:val="en-US" w:eastAsia="zh-CN" w:bidi="ar-SA"/>
        </w:rPr>
      </w:pPr>
      <w:r>
        <w:rPr>
          <w:rFonts w:hint="eastAsia" w:ascii="宋体" w:hAnsi="宋体" w:eastAsia="等线 Light" w:cs="宋体"/>
          <w:b/>
          <w:bCs/>
          <w:color w:val="auto"/>
          <w:kern w:val="2"/>
          <w:sz w:val="21"/>
          <w:szCs w:val="21"/>
          <w:highlight w:val="none"/>
          <w:lang w:val="en-US" w:eastAsia="zh-CN" w:bidi="ar-SA"/>
        </w:rPr>
        <w:br w:type="page"/>
      </w:r>
    </w:p>
    <w:p>
      <w:pPr>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01包评分细则：</w:t>
      </w:r>
    </w:p>
    <w:tbl>
      <w:tblPr>
        <w:tblStyle w:val="13"/>
        <w:tblpPr w:leftFromText="180" w:rightFromText="180" w:vertAnchor="text" w:horzAnchor="margin" w:tblpXSpec="center" w:tblpY="209"/>
        <w:tblW w:w="9385" w:type="dxa"/>
        <w:tblInd w:w="3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28"/>
        <w:gridCol w:w="944"/>
        <w:gridCol w:w="850"/>
        <w:gridCol w:w="4568"/>
        <w:gridCol w:w="1254"/>
        <w:gridCol w:w="94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54" w:hRule="atLeast"/>
        </w:trPr>
        <w:tc>
          <w:tcPr>
            <w:tcW w:w="828"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944"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评分因素及权重</w:t>
            </w:r>
          </w:p>
        </w:tc>
        <w:tc>
          <w:tcPr>
            <w:tcW w:w="850"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分值</w:t>
            </w:r>
          </w:p>
        </w:tc>
        <w:tc>
          <w:tcPr>
            <w:tcW w:w="4568"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评分标准</w:t>
            </w:r>
          </w:p>
        </w:tc>
        <w:tc>
          <w:tcPr>
            <w:tcW w:w="1254"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说明</w:t>
            </w:r>
          </w:p>
        </w:tc>
        <w:tc>
          <w:tcPr>
            <w:tcW w:w="941"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298" w:hRule="atLeast"/>
        </w:trPr>
        <w:tc>
          <w:tcPr>
            <w:tcW w:w="82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944"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报价3</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w:t>
            </w:r>
          </w:p>
        </w:tc>
        <w:tc>
          <w:tcPr>
            <w:tcW w:w="850"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tc>
        <w:tc>
          <w:tcPr>
            <w:tcW w:w="456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以本次有效最低投标报价为评标基准价，投标报价得分=（评标基准价/有效投标报价）×3</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注：</w:t>
            </w:r>
            <w:r>
              <w:rPr>
                <w:rFonts w:hint="eastAsia" w:ascii="宋体" w:hAnsi="宋体" w:eastAsia="宋体" w:cs="宋体"/>
                <w:color w:val="auto"/>
                <w:sz w:val="18"/>
                <w:szCs w:val="18"/>
                <w:highlight w:val="none"/>
              </w:rPr>
              <w:t>1.根据“财库〔2020〕46号”文，对于非专门面向中小企业的项目，对小型和微型制造企业产品，监狱企业产品的价格给予10%的扣除，用扣除后的价格参与评审。小型、微型企业提供中型企业制造的货物的，视同为中型企业。</w:t>
            </w:r>
          </w:p>
        </w:tc>
        <w:tc>
          <w:tcPr>
            <w:tcW w:w="1254"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w:t>
            </w:r>
            <w:r>
              <w:rPr>
                <w:rFonts w:hint="eastAsia" w:ascii="宋体" w:hAnsi="宋体" w:eastAsia="宋体" w:cs="宋体"/>
                <w:color w:val="auto"/>
                <w:sz w:val="18"/>
                <w:szCs w:val="18"/>
                <w:highlight w:val="none"/>
                <w:lang w:eastAsia="zh-CN"/>
              </w:rPr>
              <w:t>采购</w:t>
            </w:r>
            <w:r>
              <w:rPr>
                <w:rFonts w:hint="eastAsia" w:ascii="宋体" w:hAnsi="宋体" w:eastAsia="宋体" w:cs="宋体"/>
                <w:color w:val="auto"/>
                <w:sz w:val="18"/>
                <w:szCs w:val="18"/>
                <w:highlight w:val="none"/>
              </w:rPr>
              <w:t>文件第二章前附表规定执行。</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6" w:hRule="atLeast"/>
        </w:trPr>
        <w:tc>
          <w:tcPr>
            <w:tcW w:w="82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944" w:type="dxa"/>
            <w:noWrap w:val="0"/>
            <w:vAlign w:val="center"/>
          </w:tcPr>
          <w:p>
            <w:pPr>
              <w:ind w:left="0" w:leftChars="0" w:firstLine="0" w:firstLineChars="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技术指标</w:t>
            </w:r>
            <w:r>
              <w:rPr>
                <w:rFonts w:hint="eastAsia" w:ascii="宋体" w:hAnsi="宋体" w:eastAsia="宋体" w:cs="宋体"/>
                <w:color w:val="auto"/>
                <w:sz w:val="18"/>
                <w:szCs w:val="18"/>
                <w:highlight w:val="none"/>
                <w:lang w:val="en-US" w:eastAsia="zh-CN"/>
              </w:rPr>
              <w:t>59</w:t>
            </w:r>
            <w:r>
              <w:rPr>
                <w:rFonts w:hint="eastAsia" w:ascii="宋体" w:hAnsi="宋体" w:eastAsia="宋体" w:cs="宋体"/>
                <w:color w:val="auto"/>
                <w:sz w:val="18"/>
                <w:szCs w:val="18"/>
                <w:highlight w:val="none"/>
              </w:rPr>
              <w:t>%</w:t>
            </w:r>
          </w:p>
        </w:tc>
        <w:tc>
          <w:tcPr>
            <w:tcW w:w="850"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59</w:t>
            </w:r>
            <w:r>
              <w:rPr>
                <w:rFonts w:hint="eastAsia" w:ascii="宋体" w:hAnsi="宋体" w:eastAsia="宋体" w:cs="宋体"/>
                <w:color w:val="auto"/>
                <w:sz w:val="18"/>
                <w:szCs w:val="18"/>
                <w:highlight w:val="none"/>
              </w:rPr>
              <w:t>分</w:t>
            </w:r>
          </w:p>
        </w:tc>
        <w:tc>
          <w:tcPr>
            <w:tcW w:w="456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投标产品完全符合招标文件技术要求没负偏离</w:t>
            </w:r>
            <w:r>
              <w:rPr>
                <w:rFonts w:hint="eastAsia" w:ascii="宋体" w:hAnsi="宋体" w:eastAsia="宋体" w:cs="宋体"/>
                <w:color w:val="auto"/>
                <w:sz w:val="18"/>
                <w:szCs w:val="18"/>
                <w:highlight w:val="none"/>
                <w:lang w:val="en-US" w:eastAsia="zh-CN"/>
              </w:rPr>
              <w:t>的</w:t>
            </w:r>
            <w:r>
              <w:rPr>
                <w:rFonts w:hint="eastAsia" w:ascii="宋体" w:hAnsi="宋体" w:eastAsia="宋体" w:cs="宋体"/>
                <w:color w:val="auto"/>
                <w:sz w:val="18"/>
                <w:szCs w:val="18"/>
                <w:highlight w:val="none"/>
              </w:rPr>
              <w:t>得</w:t>
            </w:r>
            <w:r>
              <w:rPr>
                <w:rFonts w:hint="eastAsia" w:ascii="宋体" w:hAnsi="宋体" w:eastAsia="宋体" w:cs="宋体"/>
                <w:color w:val="auto"/>
                <w:sz w:val="18"/>
                <w:szCs w:val="18"/>
                <w:highlight w:val="none"/>
                <w:lang w:val="en-US" w:eastAsia="zh-CN"/>
              </w:rPr>
              <w:t>59</w:t>
            </w:r>
            <w:r>
              <w:rPr>
                <w:rFonts w:hint="eastAsia" w:ascii="宋体" w:hAnsi="宋体" w:eastAsia="宋体" w:cs="宋体"/>
                <w:color w:val="auto"/>
                <w:sz w:val="18"/>
                <w:szCs w:val="18"/>
                <w:highlight w:val="none"/>
              </w:rPr>
              <w:t>分；每有1条“★”条款负偏扣</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rPr>
              <w:t>分（</w:t>
            </w:r>
            <w:r>
              <w:rPr>
                <w:rFonts w:hint="eastAsia" w:ascii="宋体" w:hAnsi="宋体" w:eastAsia="宋体" w:cs="宋体"/>
                <w:color w:val="auto"/>
                <w:sz w:val="18"/>
                <w:szCs w:val="18"/>
                <w:highlight w:val="none"/>
                <w:lang w:val="en-US" w:eastAsia="zh-CN"/>
              </w:rPr>
              <w:t>共15</w:t>
            </w:r>
            <w:r>
              <w:rPr>
                <w:rFonts w:hint="eastAsia" w:ascii="宋体" w:hAnsi="宋体" w:eastAsia="宋体" w:cs="宋体"/>
                <w:color w:val="auto"/>
                <w:sz w:val="18"/>
                <w:szCs w:val="18"/>
                <w:highlight w:val="none"/>
              </w:rPr>
              <w:t>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合计</w:t>
            </w:r>
            <w:r>
              <w:rPr>
                <w:rFonts w:hint="eastAsia" w:ascii="宋体" w:hAnsi="宋体" w:cs="宋体"/>
                <w:color w:val="auto"/>
                <w:sz w:val="18"/>
                <w:szCs w:val="18"/>
                <w:highlight w:val="none"/>
                <w:lang w:val="en-US" w:eastAsia="zh-CN"/>
              </w:rPr>
              <w:t>45</w:t>
            </w:r>
            <w:r>
              <w:rPr>
                <w:rFonts w:hint="eastAsia" w:ascii="宋体" w:hAnsi="宋体" w:eastAsia="宋体" w:cs="宋体"/>
                <w:color w:val="auto"/>
                <w:sz w:val="18"/>
                <w:szCs w:val="18"/>
                <w:highlight w:val="none"/>
                <w:lang w:val="en-US" w:eastAsia="zh-CN"/>
              </w:rPr>
              <w:t>分</w:t>
            </w:r>
            <w:r>
              <w:rPr>
                <w:rFonts w:hint="eastAsia" w:ascii="宋体" w:hAnsi="宋体" w:eastAsia="宋体" w:cs="宋体"/>
                <w:color w:val="auto"/>
                <w:sz w:val="18"/>
                <w:szCs w:val="18"/>
                <w:highlight w:val="none"/>
              </w:rPr>
              <w:t>），每有1条非“★”条款负偏离一条扣</w:t>
            </w:r>
            <w:r>
              <w:rPr>
                <w:rFonts w:hint="eastAsia" w:ascii="宋体" w:hAnsi="宋体" w:cs="宋体"/>
                <w:color w:val="auto"/>
                <w:sz w:val="18"/>
                <w:szCs w:val="18"/>
                <w:highlight w:val="none"/>
                <w:lang w:val="en-US" w:eastAsia="zh-CN"/>
              </w:rPr>
              <w:t>0.5</w:t>
            </w:r>
            <w:r>
              <w:rPr>
                <w:rFonts w:hint="eastAsia" w:ascii="宋体" w:hAnsi="宋体" w:eastAsia="宋体" w:cs="宋体"/>
                <w:color w:val="auto"/>
                <w:sz w:val="18"/>
                <w:szCs w:val="18"/>
                <w:highlight w:val="none"/>
              </w:rPr>
              <w:t>分（</w:t>
            </w:r>
            <w:r>
              <w:rPr>
                <w:rFonts w:hint="eastAsia" w:ascii="宋体" w:hAnsi="宋体" w:eastAsia="宋体" w:cs="宋体"/>
                <w:color w:val="auto"/>
                <w:sz w:val="18"/>
                <w:szCs w:val="18"/>
                <w:highlight w:val="none"/>
                <w:lang w:val="en-US" w:eastAsia="zh-CN"/>
              </w:rPr>
              <w:t>共</w:t>
            </w:r>
            <w:r>
              <w:rPr>
                <w:rFonts w:hint="eastAsia" w:ascii="宋体" w:hAnsi="宋体" w:cs="宋体"/>
                <w:color w:val="auto"/>
                <w:sz w:val="18"/>
                <w:szCs w:val="18"/>
                <w:highlight w:val="none"/>
                <w:lang w:val="en-US" w:eastAsia="zh-CN"/>
              </w:rPr>
              <w:t>28</w:t>
            </w:r>
            <w:r>
              <w:rPr>
                <w:rFonts w:hint="eastAsia" w:ascii="宋体" w:hAnsi="宋体" w:eastAsia="宋体" w:cs="宋体"/>
                <w:color w:val="auto"/>
                <w:sz w:val="18"/>
                <w:szCs w:val="18"/>
                <w:highlight w:val="none"/>
              </w:rPr>
              <w:t>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合计</w:t>
            </w:r>
            <w:r>
              <w:rPr>
                <w:rFonts w:hint="eastAsia" w:ascii="宋体" w:hAnsi="宋体" w:cs="宋体"/>
                <w:color w:val="auto"/>
                <w:sz w:val="18"/>
                <w:szCs w:val="18"/>
                <w:highlight w:val="none"/>
                <w:lang w:val="en-US" w:eastAsia="zh-CN"/>
              </w:rPr>
              <w:t>14</w:t>
            </w:r>
            <w:r>
              <w:rPr>
                <w:rFonts w:hint="eastAsia" w:ascii="宋体" w:hAnsi="宋体" w:eastAsia="宋体" w:cs="宋体"/>
                <w:color w:val="auto"/>
                <w:sz w:val="18"/>
                <w:szCs w:val="18"/>
                <w:highlight w:val="none"/>
                <w:lang w:val="en-US" w:eastAsia="zh-CN"/>
              </w:rPr>
              <w:t>分</w:t>
            </w:r>
            <w:r>
              <w:rPr>
                <w:rFonts w:hint="eastAsia" w:ascii="宋体" w:hAnsi="宋体" w:eastAsia="宋体" w:cs="宋体"/>
                <w:color w:val="auto"/>
                <w:sz w:val="18"/>
                <w:szCs w:val="18"/>
                <w:highlight w:val="none"/>
              </w:rPr>
              <w:t>），扣完为止；</w:t>
            </w:r>
          </w:p>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注：</w:t>
            </w:r>
            <w:r>
              <w:rPr>
                <w:rFonts w:hint="eastAsia" w:ascii="宋体" w:hAnsi="宋体" w:eastAsia="宋体" w:cs="宋体"/>
                <w:b/>
                <w:bCs/>
                <w:color w:val="auto"/>
                <w:sz w:val="18"/>
                <w:szCs w:val="18"/>
                <w:highlight w:val="none"/>
              </w:rPr>
              <w:t>“</w:t>
            </w:r>
            <w:r>
              <w:rPr>
                <w:rFonts w:hint="eastAsia" w:ascii="宋体" w:hAnsi="宋体" w:eastAsia="宋体" w:cs="宋体"/>
                <w:b/>
                <w:bCs/>
                <w:color w:val="auto"/>
                <w:sz w:val="18"/>
                <w:szCs w:val="18"/>
                <w:highlight w:val="none"/>
                <w:lang w:val="en-US" w:eastAsia="zh-CN"/>
              </w:rPr>
              <w:t>▲</w:t>
            </w:r>
            <w:r>
              <w:rPr>
                <w:rFonts w:hint="eastAsia" w:ascii="宋体" w:hAnsi="宋体" w:eastAsia="宋体" w:cs="宋体"/>
                <w:b/>
                <w:bCs/>
                <w:color w:val="auto"/>
                <w:sz w:val="18"/>
                <w:szCs w:val="18"/>
                <w:highlight w:val="none"/>
              </w:rPr>
              <w:t>”</w:t>
            </w:r>
            <w:r>
              <w:rPr>
                <w:rFonts w:hint="eastAsia" w:ascii="宋体" w:hAnsi="宋体" w:eastAsia="宋体" w:cs="宋体"/>
                <w:b/>
                <w:bCs/>
                <w:color w:val="auto"/>
                <w:sz w:val="18"/>
                <w:szCs w:val="18"/>
                <w:highlight w:val="none"/>
                <w:lang w:val="en-US" w:eastAsia="zh-CN"/>
              </w:rPr>
              <w:t>为实质性条款，不允许负偏离，不参与打分</w:t>
            </w:r>
          </w:p>
        </w:tc>
        <w:tc>
          <w:tcPr>
            <w:tcW w:w="1254"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按照招标文件要求提供佐证材料。</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5" w:hRule="atLeast"/>
        </w:trPr>
        <w:tc>
          <w:tcPr>
            <w:tcW w:w="828" w:type="dxa"/>
            <w:noWrap w:val="0"/>
            <w:vAlign w:val="center"/>
          </w:tcPr>
          <w:p>
            <w:pPr>
              <w:ind w:left="0" w:leftChars="0" w:firstLine="0" w:firstLineChars="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c>
          <w:tcPr>
            <w:tcW w:w="944"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项目实施方案8%</w:t>
            </w:r>
          </w:p>
        </w:tc>
        <w:tc>
          <w:tcPr>
            <w:tcW w:w="850"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8分</w:t>
            </w:r>
          </w:p>
        </w:tc>
        <w:tc>
          <w:tcPr>
            <w:tcW w:w="4568"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投标人根据本项目实际情况提供详细的项目实施方案，方案须包含：1.实施进度安排；2.质量管控措施；3.人员团队安排；4.应急处理措施。具有针对性、可操作性且适合本项目实际情况的得8分；每缺少一项扣2分，每有一项不具有针对性或缺乏可操作性或不适用于本项目的扣1分，本项扣完为止。未提供的不得分。</w:t>
            </w:r>
          </w:p>
        </w:tc>
        <w:tc>
          <w:tcPr>
            <w:tcW w:w="1254" w:type="dxa"/>
            <w:noWrap w:val="0"/>
            <w:vAlign w:val="center"/>
          </w:tcPr>
          <w:p>
            <w:pPr>
              <w:ind w:left="0" w:leftChars="0" w:firstLine="0" w:firstLineChars="0"/>
              <w:rPr>
                <w:rFonts w:hint="eastAsia" w:ascii="宋体" w:hAnsi="宋体" w:eastAsia="宋体" w:cs="宋体"/>
                <w:color w:val="auto"/>
                <w:sz w:val="18"/>
                <w:szCs w:val="18"/>
                <w:highlight w:val="none"/>
              </w:rPr>
            </w:pPr>
          </w:p>
        </w:tc>
        <w:tc>
          <w:tcPr>
            <w:tcW w:w="941"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48" w:hRule="atLeast"/>
        </w:trPr>
        <w:tc>
          <w:tcPr>
            <w:tcW w:w="82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default" w:ascii="宋体" w:hAnsi="宋体" w:eastAsia="宋体" w:cs="宋体"/>
                <w:color w:val="auto"/>
                <w:sz w:val="18"/>
                <w:szCs w:val="18"/>
                <w:highlight w:val="none"/>
              </w:rPr>
              <w:t>4</w:t>
            </w:r>
          </w:p>
        </w:tc>
        <w:tc>
          <w:tcPr>
            <w:tcW w:w="944"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节能、环境标志产品</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w:t>
            </w:r>
          </w:p>
        </w:tc>
        <w:tc>
          <w:tcPr>
            <w:tcW w:w="850"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tc>
        <w:tc>
          <w:tcPr>
            <w:tcW w:w="456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投标人提供投标产品产品中每有一项为节能产品</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环境标志产品</w:t>
            </w:r>
            <w:r>
              <w:rPr>
                <w:rFonts w:hint="eastAsia" w:ascii="宋体" w:hAnsi="宋体" w:eastAsia="宋体" w:cs="宋体"/>
                <w:color w:val="auto"/>
                <w:sz w:val="18"/>
                <w:szCs w:val="18"/>
                <w:highlight w:val="none"/>
                <w:lang w:eastAsia="zh-CN"/>
              </w:rPr>
              <w:t>或者</w:t>
            </w:r>
            <w:r>
              <w:rPr>
                <w:rFonts w:hint="eastAsia" w:ascii="宋体" w:hAnsi="宋体" w:eastAsia="宋体" w:cs="宋体"/>
                <w:color w:val="auto"/>
                <w:sz w:val="18"/>
                <w:szCs w:val="18"/>
                <w:highlight w:val="none"/>
              </w:rPr>
              <w:t>无线局域网产品政府采购清单中的产品的得</w:t>
            </w:r>
            <w:r>
              <w:rPr>
                <w:rFonts w:hint="eastAsia" w:ascii="宋体" w:hAnsi="宋体" w:eastAsia="宋体" w:cs="宋体"/>
                <w:color w:val="auto"/>
                <w:sz w:val="18"/>
                <w:szCs w:val="18"/>
                <w:highlight w:val="none"/>
                <w:lang w:val="en-US" w:eastAsia="zh-CN"/>
              </w:rPr>
              <w:t>0.5</w:t>
            </w:r>
            <w:r>
              <w:rPr>
                <w:rFonts w:hint="eastAsia" w:ascii="宋体" w:hAnsi="宋体" w:eastAsia="宋体" w:cs="宋体"/>
                <w:color w:val="auto"/>
                <w:sz w:val="18"/>
                <w:szCs w:val="18"/>
                <w:highlight w:val="none"/>
              </w:rPr>
              <w:t>分，非政府采购节能、环境标志产品的、无线局域网产品的不得分。本项最多得</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分。本项打分只针对优先采购进行加分，属于强制采购节能产品的，必须采购节能产品。</w:t>
            </w:r>
          </w:p>
        </w:tc>
        <w:tc>
          <w:tcPr>
            <w:tcW w:w="1254"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w:t>
            </w:r>
            <w:r>
              <w:rPr>
                <w:rFonts w:hint="eastAsia" w:ascii="宋体" w:hAnsi="宋体" w:eastAsia="宋体" w:cs="宋体"/>
                <w:color w:val="auto"/>
                <w:sz w:val="18"/>
                <w:szCs w:val="18"/>
                <w:highlight w:val="none"/>
                <w:lang w:eastAsia="zh-CN"/>
              </w:rPr>
              <w:t>采购</w:t>
            </w:r>
            <w:r>
              <w:rPr>
                <w:rFonts w:hint="eastAsia" w:ascii="宋体" w:hAnsi="宋体" w:eastAsia="宋体" w:cs="宋体"/>
                <w:color w:val="auto"/>
                <w:sz w:val="18"/>
                <w:szCs w:val="18"/>
                <w:highlight w:val="none"/>
              </w:rPr>
              <w:t>文件第二章前附表规定执行。</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共同评审</w:t>
            </w:r>
            <w:r>
              <w:rPr>
                <w:rFonts w:hint="eastAsia" w:ascii="宋体" w:hAnsi="宋体" w:eastAsia="宋体" w:cs="宋体"/>
                <w:color w:val="auto"/>
                <w:sz w:val="18"/>
                <w:szCs w:val="18"/>
                <w:highlight w:val="none"/>
                <w:lang w:val="en-US" w:eastAsia="zh-CN"/>
              </w:rPr>
              <w:t>/政策性评审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11" w:hRule="atLeast"/>
        </w:trPr>
        <w:tc>
          <w:tcPr>
            <w:tcW w:w="828" w:type="dxa"/>
            <w:noWrap w:val="0"/>
            <w:vAlign w:val="center"/>
          </w:tcPr>
          <w:p>
            <w:pPr>
              <w:ind w:left="0" w:leftChars="0" w:firstLine="0" w:firstLineChars="0"/>
              <w:rPr>
                <w:rFonts w:hint="eastAsia" w:ascii="宋体" w:hAnsi="宋体" w:eastAsia="宋体" w:cs="宋体"/>
                <w:color w:val="auto"/>
                <w:sz w:val="18"/>
                <w:szCs w:val="18"/>
                <w:highlight w:val="none"/>
                <w:lang w:eastAsia="zh-CN"/>
              </w:rPr>
            </w:pPr>
            <w:r>
              <w:rPr>
                <w:rFonts w:hint="default" w:ascii="宋体" w:hAnsi="宋体" w:eastAsia="宋体" w:cs="宋体"/>
                <w:color w:val="auto"/>
                <w:sz w:val="18"/>
                <w:szCs w:val="18"/>
                <w:highlight w:val="none"/>
                <w:lang w:eastAsia="zh-CN"/>
              </w:rPr>
              <w:t>5</w:t>
            </w:r>
          </w:p>
        </w:tc>
        <w:tc>
          <w:tcPr>
            <w:tcW w:w="944"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eastAsia="zh-CN"/>
              </w:rPr>
              <w:t>售后服务</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w:t>
            </w:r>
          </w:p>
        </w:tc>
        <w:tc>
          <w:tcPr>
            <w:tcW w:w="850"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2分</w:t>
            </w:r>
          </w:p>
        </w:tc>
        <w:tc>
          <w:tcPr>
            <w:tcW w:w="456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投标人承诺提供核心产品质保，在1年质保期的基础上每有一个核心产品质保期增加一年加1分，此项最多得2分；</w:t>
            </w:r>
          </w:p>
        </w:tc>
        <w:tc>
          <w:tcPr>
            <w:tcW w:w="1254" w:type="dxa"/>
            <w:noWrap w:val="0"/>
            <w:vAlign w:val="center"/>
          </w:tcPr>
          <w:p>
            <w:pPr>
              <w:ind w:left="0" w:leftChars="0" w:firstLine="0" w:firstLineChars="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提供售后承诺函</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共同评审</w:t>
            </w:r>
          </w:p>
        </w:tc>
      </w:tr>
    </w:tbl>
    <w:p>
      <w:pPr>
        <w:pStyle w:val="5"/>
        <w:bidi w:val="0"/>
        <w:rPr>
          <w:rFonts w:hint="eastAsia" w:ascii="宋体" w:hAnsi="宋体" w:eastAsia="宋体" w:cs="宋体"/>
          <w:b/>
          <w:bCs/>
          <w:color w:val="auto"/>
          <w:kern w:val="2"/>
          <w:sz w:val="22"/>
          <w:szCs w:val="22"/>
          <w:lang w:val="en-US" w:eastAsia="zh-CN" w:bidi="ar-SA"/>
        </w:rPr>
      </w:pPr>
      <w:r>
        <w:rPr>
          <w:rFonts w:hint="eastAsia" w:ascii="宋体" w:hAnsi="宋体" w:eastAsia="宋体" w:cs="宋体"/>
          <w:b/>
          <w:bCs/>
          <w:color w:val="auto"/>
          <w:kern w:val="2"/>
          <w:sz w:val="22"/>
          <w:szCs w:val="22"/>
          <w:lang w:val="en-US" w:eastAsia="zh-CN" w:bidi="ar-SA"/>
        </w:rPr>
        <w:t>02包评分细则：</w:t>
      </w:r>
    </w:p>
    <w:tbl>
      <w:tblPr>
        <w:tblStyle w:val="13"/>
        <w:tblpPr w:leftFromText="180" w:rightFromText="180" w:vertAnchor="text" w:horzAnchor="margin" w:tblpXSpec="center" w:tblpY="209"/>
        <w:tblW w:w="9178" w:type="dxa"/>
        <w:tblInd w:w="49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47"/>
        <w:gridCol w:w="941"/>
        <w:gridCol w:w="847"/>
        <w:gridCol w:w="4555"/>
        <w:gridCol w:w="1250"/>
        <w:gridCol w:w="93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647"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941"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评分因素及权重</w:t>
            </w:r>
          </w:p>
        </w:tc>
        <w:tc>
          <w:tcPr>
            <w:tcW w:w="847"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分值</w:t>
            </w:r>
          </w:p>
        </w:tc>
        <w:tc>
          <w:tcPr>
            <w:tcW w:w="4555"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评分标准</w:t>
            </w:r>
          </w:p>
        </w:tc>
        <w:tc>
          <w:tcPr>
            <w:tcW w:w="1250"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说明</w:t>
            </w:r>
          </w:p>
        </w:tc>
        <w:tc>
          <w:tcPr>
            <w:tcW w:w="938" w:type="dxa"/>
            <w:tcBorders>
              <w:top w:val="single" w:color="auto" w:sz="18" w:space="0"/>
            </w:tcBorders>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597" w:hRule="atLeast"/>
        </w:trPr>
        <w:tc>
          <w:tcPr>
            <w:tcW w:w="647" w:type="dxa"/>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报价3</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w:t>
            </w:r>
          </w:p>
        </w:tc>
        <w:tc>
          <w:tcPr>
            <w:tcW w:w="847"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tc>
        <w:tc>
          <w:tcPr>
            <w:tcW w:w="4555"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以本次有效最低投标报价为评标基准价，投标报价得分=（评标基准价/有效投标报价）×3</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注：</w:t>
            </w:r>
            <w:r>
              <w:rPr>
                <w:rFonts w:hint="eastAsia" w:ascii="宋体" w:hAnsi="宋体" w:eastAsia="宋体" w:cs="宋体"/>
                <w:color w:val="auto"/>
                <w:sz w:val="18"/>
                <w:szCs w:val="18"/>
                <w:highlight w:val="none"/>
              </w:rPr>
              <w:t>1.根据“财库〔2020〕46号”文，对于非专门面向中小企业的项目，对小型和微型制造企业产品，监狱企业产品的价格给予10%的扣除，用扣除后的价格参与评审。小型、微型企业提供中型企业制造的货物的，视同为中型企业。</w:t>
            </w:r>
          </w:p>
        </w:tc>
        <w:tc>
          <w:tcPr>
            <w:tcW w:w="1250"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w:t>
            </w:r>
            <w:r>
              <w:rPr>
                <w:rFonts w:hint="eastAsia" w:ascii="宋体" w:hAnsi="宋体" w:eastAsia="宋体" w:cs="宋体"/>
                <w:color w:val="auto"/>
                <w:sz w:val="18"/>
                <w:szCs w:val="18"/>
                <w:highlight w:val="none"/>
                <w:lang w:eastAsia="zh-CN"/>
              </w:rPr>
              <w:t>采购</w:t>
            </w:r>
            <w:r>
              <w:rPr>
                <w:rFonts w:hint="eastAsia" w:ascii="宋体" w:hAnsi="宋体" w:eastAsia="宋体" w:cs="宋体"/>
                <w:color w:val="auto"/>
                <w:sz w:val="18"/>
                <w:szCs w:val="18"/>
                <w:highlight w:val="none"/>
              </w:rPr>
              <w:t>文件第二章前附表规定执行。</w:t>
            </w:r>
          </w:p>
        </w:tc>
        <w:tc>
          <w:tcPr>
            <w:tcW w:w="93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48" w:hRule="atLeast"/>
        </w:trPr>
        <w:tc>
          <w:tcPr>
            <w:tcW w:w="647" w:type="dxa"/>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技术指标</w:t>
            </w:r>
            <w:r>
              <w:rPr>
                <w:rFonts w:hint="eastAsia" w:ascii="宋体" w:hAnsi="宋体" w:eastAsia="宋体" w:cs="宋体"/>
                <w:color w:val="auto"/>
                <w:sz w:val="18"/>
                <w:szCs w:val="18"/>
                <w:highlight w:val="none"/>
                <w:lang w:val="en-US" w:eastAsia="zh-CN"/>
              </w:rPr>
              <w:t>59</w:t>
            </w:r>
            <w:r>
              <w:rPr>
                <w:rFonts w:hint="eastAsia" w:ascii="宋体" w:hAnsi="宋体" w:eastAsia="宋体" w:cs="宋体"/>
                <w:color w:val="auto"/>
                <w:sz w:val="18"/>
                <w:szCs w:val="18"/>
                <w:highlight w:val="none"/>
              </w:rPr>
              <w:t>%</w:t>
            </w:r>
          </w:p>
        </w:tc>
        <w:tc>
          <w:tcPr>
            <w:tcW w:w="847"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59</w:t>
            </w:r>
            <w:r>
              <w:rPr>
                <w:rFonts w:hint="eastAsia" w:ascii="宋体" w:hAnsi="宋体" w:eastAsia="宋体" w:cs="宋体"/>
                <w:color w:val="auto"/>
                <w:sz w:val="18"/>
                <w:szCs w:val="18"/>
                <w:highlight w:val="none"/>
              </w:rPr>
              <w:t>分</w:t>
            </w:r>
          </w:p>
        </w:tc>
        <w:tc>
          <w:tcPr>
            <w:tcW w:w="4555"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投标产品完全符合招标文件技术要求没负偏离</w:t>
            </w:r>
            <w:r>
              <w:rPr>
                <w:rFonts w:hint="eastAsia" w:ascii="宋体" w:hAnsi="宋体" w:eastAsia="宋体" w:cs="宋体"/>
                <w:color w:val="auto"/>
                <w:sz w:val="18"/>
                <w:szCs w:val="18"/>
                <w:highlight w:val="none"/>
                <w:lang w:val="en-US" w:eastAsia="zh-CN"/>
              </w:rPr>
              <w:t>的</w:t>
            </w:r>
            <w:r>
              <w:rPr>
                <w:rFonts w:hint="eastAsia" w:ascii="宋体" w:hAnsi="宋体" w:eastAsia="宋体" w:cs="宋体"/>
                <w:color w:val="auto"/>
                <w:sz w:val="18"/>
                <w:szCs w:val="18"/>
                <w:highlight w:val="none"/>
              </w:rPr>
              <w:t>得</w:t>
            </w:r>
            <w:r>
              <w:rPr>
                <w:rFonts w:hint="eastAsia" w:ascii="宋体" w:hAnsi="宋体" w:eastAsia="宋体" w:cs="宋体"/>
                <w:color w:val="auto"/>
                <w:sz w:val="18"/>
                <w:szCs w:val="18"/>
                <w:highlight w:val="none"/>
                <w:lang w:val="en-US" w:eastAsia="zh-CN"/>
              </w:rPr>
              <w:t>59</w:t>
            </w:r>
            <w:r>
              <w:rPr>
                <w:rFonts w:hint="eastAsia" w:ascii="宋体" w:hAnsi="宋体" w:eastAsia="宋体" w:cs="宋体"/>
                <w:color w:val="auto"/>
                <w:sz w:val="18"/>
                <w:szCs w:val="18"/>
                <w:highlight w:val="none"/>
              </w:rPr>
              <w:t>分；每有1条“★”条款负偏扣</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分（</w:t>
            </w:r>
            <w:r>
              <w:rPr>
                <w:rFonts w:hint="eastAsia" w:ascii="宋体" w:hAnsi="宋体" w:eastAsia="宋体" w:cs="宋体"/>
                <w:color w:val="auto"/>
                <w:sz w:val="18"/>
                <w:szCs w:val="18"/>
                <w:highlight w:val="none"/>
                <w:lang w:val="en-US" w:eastAsia="zh-CN"/>
              </w:rPr>
              <w:t>共1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rPr>
              <w:t>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合计</w:t>
            </w:r>
            <w:r>
              <w:rPr>
                <w:rFonts w:hint="eastAsia" w:ascii="宋体" w:hAnsi="宋体" w:cs="宋体"/>
                <w:color w:val="auto"/>
                <w:sz w:val="18"/>
                <w:szCs w:val="18"/>
                <w:highlight w:val="none"/>
                <w:lang w:val="en-US" w:eastAsia="zh-CN"/>
              </w:rPr>
              <w:t>52</w:t>
            </w:r>
            <w:r>
              <w:rPr>
                <w:rFonts w:hint="eastAsia" w:ascii="宋体" w:hAnsi="宋体" w:eastAsia="宋体" w:cs="宋体"/>
                <w:color w:val="auto"/>
                <w:sz w:val="18"/>
                <w:szCs w:val="18"/>
                <w:highlight w:val="none"/>
                <w:lang w:val="en-US" w:eastAsia="zh-CN"/>
              </w:rPr>
              <w:t>分</w:t>
            </w:r>
            <w:r>
              <w:rPr>
                <w:rFonts w:hint="eastAsia" w:ascii="宋体" w:hAnsi="宋体" w:eastAsia="宋体" w:cs="宋体"/>
                <w:color w:val="auto"/>
                <w:sz w:val="18"/>
                <w:szCs w:val="18"/>
                <w:highlight w:val="none"/>
              </w:rPr>
              <w:t>），每有1条非“★”条款负偏离一条扣</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25</w:t>
            </w:r>
            <w:r>
              <w:rPr>
                <w:rFonts w:hint="eastAsia" w:ascii="宋体" w:hAnsi="宋体" w:eastAsia="宋体" w:cs="宋体"/>
                <w:color w:val="auto"/>
                <w:sz w:val="18"/>
                <w:szCs w:val="18"/>
                <w:highlight w:val="none"/>
              </w:rPr>
              <w:t>分（</w:t>
            </w:r>
            <w:r>
              <w:rPr>
                <w:rFonts w:hint="eastAsia" w:ascii="宋体" w:hAnsi="宋体" w:eastAsia="宋体" w:cs="宋体"/>
                <w:color w:val="auto"/>
                <w:sz w:val="18"/>
                <w:szCs w:val="18"/>
                <w:highlight w:val="none"/>
                <w:lang w:val="en-US" w:eastAsia="zh-CN"/>
              </w:rPr>
              <w:t>共</w:t>
            </w:r>
            <w:r>
              <w:rPr>
                <w:rFonts w:hint="eastAsia" w:ascii="宋体" w:hAnsi="宋体" w:cs="宋体"/>
                <w:color w:val="auto"/>
                <w:sz w:val="18"/>
                <w:szCs w:val="18"/>
                <w:highlight w:val="none"/>
                <w:lang w:val="en-US" w:eastAsia="zh-CN"/>
              </w:rPr>
              <w:t>28</w:t>
            </w:r>
            <w:r>
              <w:rPr>
                <w:rFonts w:hint="eastAsia" w:ascii="宋体" w:hAnsi="宋体" w:eastAsia="宋体" w:cs="宋体"/>
                <w:color w:val="auto"/>
                <w:sz w:val="18"/>
                <w:szCs w:val="18"/>
                <w:highlight w:val="none"/>
              </w:rPr>
              <w:t>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合计</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分</w:t>
            </w:r>
            <w:r>
              <w:rPr>
                <w:rFonts w:hint="eastAsia" w:ascii="宋体" w:hAnsi="宋体" w:eastAsia="宋体" w:cs="宋体"/>
                <w:color w:val="auto"/>
                <w:sz w:val="18"/>
                <w:szCs w:val="18"/>
                <w:highlight w:val="none"/>
              </w:rPr>
              <w:t>），扣完为止；</w:t>
            </w:r>
          </w:p>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注：</w:t>
            </w:r>
            <w:r>
              <w:rPr>
                <w:rFonts w:hint="eastAsia" w:ascii="宋体" w:hAnsi="宋体" w:eastAsia="宋体" w:cs="宋体"/>
                <w:b/>
                <w:bCs/>
                <w:color w:val="auto"/>
                <w:sz w:val="18"/>
                <w:szCs w:val="18"/>
                <w:highlight w:val="none"/>
              </w:rPr>
              <w:t>“</w:t>
            </w:r>
            <w:r>
              <w:rPr>
                <w:rFonts w:hint="eastAsia" w:ascii="宋体" w:hAnsi="宋体" w:eastAsia="宋体" w:cs="宋体"/>
                <w:b/>
                <w:bCs/>
                <w:color w:val="auto"/>
                <w:sz w:val="18"/>
                <w:szCs w:val="18"/>
                <w:highlight w:val="none"/>
                <w:lang w:val="en-US" w:eastAsia="zh-CN"/>
              </w:rPr>
              <w:t>▲</w:t>
            </w:r>
            <w:r>
              <w:rPr>
                <w:rFonts w:hint="eastAsia" w:ascii="宋体" w:hAnsi="宋体" w:eastAsia="宋体" w:cs="宋体"/>
                <w:b/>
                <w:bCs/>
                <w:color w:val="auto"/>
                <w:sz w:val="18"/>
                <w:szCs w:val="18"/>
                <w:highlight w:val="none"/>
              </w:rPr>
              <w:t>”</w:t>
            </w:r>
            <w:r>
              <w:rPr>
                <w:rFonts w:hint="eastAsia" w:ascii="宋体" w:hAnsi="宋体" w:eastAsia="宋体" w:cs="宋体"/>
                <w:b/>
                <w:bCs/>
                <w:color w:val="auto"/>
                <w:sz w:val="18"/>
                <w:szCs w:val="18"/>
                <w:highlight w:val="none"/>
                <w:lang w:val="en-US" w:eastAsia="zh-CN"/>
              </w:rPr>
              <w:t>为实质性条款，不允许负偏离，不参与打分</w:t>
            </w:r>
          </w:p>
        </w:tc>
        <w:tc>
          <w:tcPr>
            <w:tcW w:w="1250"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按照招标文件要求提供佐证材料。</w:t>
            </w:r>
          </w:p>
        </w:tc>
        <w:tc>
          <w:tcPr>
            <w:tcW w:w="93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67" w:hRule="atLeast"/>
        </w:trPr>
        <w:tc>
          <w:tcPr>
            <w:tcW w:w="647" w:type="dxa"/>
            <w:noWrap w:val="0"/>
            <w:vAlign w:val="center"/>
          </w:tcPr>
          <w:p>
            <w:pPr>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c>
          <w:tcPr>
            <w:tcW w:w="941"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项目实施方案8%</w:t>
            </w:r>
          </w:p>
        </w:tc>
        <w:tc>
          <w:tcPr>
            <w:tcW w:w="847"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8分</w:t>
            </w:r>
          </w:p>
        </w:tc>
        <w:tc>
          <w:tcPr>
            <w:tcW w:w="4555"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投标人根据本项目实际情况提供详细的项目实施方案，方案须包含：1.实施进度安排；2.质量管控措施；3.人员团队安排；4.应急处理措施。具有针对性、可操作性且适合本项目实际情况的得8分；每缺少一项扣2分，每有一项不具有针对性或缺乏可操作性或不适用于本项目的扣1分，本项扣完为止。未提供的不得分。</w:t>
            </w:r>
          </w:p>
        </w:tc>
        <w:tc>
          <w:tcPr>
            <w:tcW w:w="1250" w:type="dxa"/>
            <w:noWrap w:val="0"/>
            <w:vAlign w:val="center"/>
          </w:tcPr>
          <w:p>
            <w:pPr>
              <w:ind w:left="0" w:leftChars="0" w:firstLine="0" w:firstLineChars="0"/>
              <w:rPr>
                <w:rFonts w:hint="eastAsia" w:ascii="宋体" w:hAnsi="宋体" w:eastAsia="宋体" w:cs="宋体"/>
                <w:color w:val="auto"/>
                <w:sz w:val="18"/>
                <w:szCs w:val="18"/>
                <w:highlight w:val="none"/>
              </w:rPr>
            </w:pPr>
          </w:p>
        </w:tc>
        <w:tc>
          <w:tcPr>
            <w:tcW w:w="93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18" w:hRule="atLeast"/>
        </w:trPr>
        <w:tc>
          <w:tcPr>
            <w:tcW w:w="647" w:type="dxa"/>
            <w:noWrap w:val="0"/>
            <w:vAlign w:val="center"/>
          </w:tcPr>
          <w:p>
            <w:pPr>
              <w:ind w:left="0" w:leftChars="0" w:firstLine="0" w:firstLineChars="0"/>
              <w:jc w:val="center"/>
              <w:rPr>
                <w:rFonts w:hint="eastAsia" w:ascii="宋体" w:hAnsi="宋体" w:eastAsia="宋体" w:cs="宋体"/>
                <w:color w:val="auto"/>
                <w:sz w:val="18"/>
                <w:szCs w:val="18"/>
                <w:highlight w:val="none"/>
              </w:rPr>
            </w:pPr>
            <w:r>
              <w:rPr>
                <w:rFonts w:hint="default" w:ascii="宋体" w:hAnsi="宋体" w:eastAsia="宋体" w:cs="宋体"/>
                <w:color w:val="auto"/>
                <w:sz w:val="18"/>
                <w:szCs w:val="18"/>
                <w:highlight w:val="none"/>
              </w:rPr>
              <w:t>4</w:t>
            </w:r>
          </w:p>
        </w:tc>
        <w:tc>
          <w:tcPr>
            <w:tcW w:w="941"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节能、环境标志产品</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w:t>
            </w:r>
          </w:p>
        </w:tc>
        <w:tc>
          <w:tcPr>
            <w:tcW w:w="847"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tc>
        <w:tc>
          <w:tcPr>
            <w:tcW w:w="4555"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投标人提供投标产品产品中每有一项为节能产品</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环境标志产品</w:t>
            </w:r>
            <w:r>
              <w:rPr>
                <w:rFonts w:hint="eastAsia" w:ascii="宋体" w:hAnsi="宋体" w:eastAsia="宋体" w:cs="宋体"/>
                <w:color w:val="auto"/>
                <w:sz w:val="18"/>
                <w:szCs w:val="18"/>
                <w:highlight w:val="none"/>
                <w:lang w:eastAsia="zh-CN"/>
              </w:rPr>
              <w:t>或者</w:t>
            </w:r>
            <w:r>
              <w:rPr>
                <w:rFonts w:hint="eastAsia" w:ascii="宋体" w:hAnsi="宋体" w:eastAsia="宋体" w:cs="宋体"/>
                <w:color w:val="auto"/>
                <w:sz w:val="18"/>
                <w:szCs w:val="18"/>
                <w:highlight w:val="none"/>
              </w:rPr>
              <w:t>无线局域网产品政府采购清单中的产品的得</w:t>
            </w:r>
            <w:r>
              <w:rPr>
                <w:rFonts w:hint="eastAsia" w:ascii="宋体" w:hAnsi="宋体" w:eastAsia="宋体" w:cs="宋体"/>
                <w:color w:val="auto"/>
                <w:sz w:val="18"/>
                <w:szCs w:val="18"/>
                <w:highlight w:val="none"/>
                <w:lang w:val="en-US" w:eastAsia="zh-CN"/>
              </w:rPr>
              <w:t>0.5</w:t>
            </w:r>
            <w:r>
              <w:rPr>
                <w:rFonts w:hint="eastAsia" w:ascii="宋体" w:hAnsi="宋体" w:eastAsia="宋体" w:cs="宋体"/>
                <w:color w:val="auto"/>
                <w:sz w:val="18"/>
                <w:szCs w:val="18"/>
                <w:highlight w:val="none"/>
              </w:rPr>
              <w:t>分，非政府采购节能、环境标志产品的、无线局域网产品的不得分。本项最多得</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分。本项打分只针对优先采购进行加分，属于强制采购节能产品的，必须采购节能产品。</w:t>
            </w:r>
          </w:p>
        </w:tc>
        <w:tc>
          <w:tcPr>
            <w:tcW w:w="1250"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w:t>
            </w:r>
            <w:r>
              <w:rPr>
                <w:rFonts w:hint="eastAsia" w:ascii="宋体" w:hAnsi="宋体" w:eastAsia="宋体" w:cs="宋体"/>
                <w:color w:val="auto"/>
                <w:sz w:val="18"/>
                <w:szCs w:val="18"/>
                <w:highlight w:val="none"/>
                <w:lang w:eastAsia="zh-CN"/>
              </w:rPr>
              <w:t>采购</w:t>
            </w:r>
            <w:r>
              <w:rPr>
                <w:rFonts w:hint="eastAsia" w:ascii="宋体" w:hAnsi="宋体" w:eastAsia="宋体" w:cs="宋体"/>
                <w:color w:val="auto"/>
                <w:sz w:val="18"/>
                <w:szCs w:val="18"/>
                <w:highlight w:val="none"/>
              </w:rPr>
              <w:t>文件第二章前附表规定执行。</w:t>
            </w:r>
          </w:p>
        </w:tc>
        <w:tc>
          <w:tcPr>
            <w:tcW w:w="938" w:type="dxa"/>
            <w:noWrap w:val="0"/>
            <w:vAlign w:val="center"/>
          </w:tcPr>
          <w:p>
            <w:pPr>
              <w:ind w:left="0" w:leftChars="0" w:firstLine="0" w:firstLineChars="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共同评审</w:t>
            </w:r>
            <w:r>
              <w:rPr>
                <w:rFonts w:hint="eastAsia" w:ascii="宋体" w:hAnsi="宋体" w:eastAsia="宋体" w:cs="宋体"/>
                <w:color w:val="auto"/>
                <w:sz w:val="18"/>
                <w:szCs w:val="18"/>
                <w:highlight w:val="none"/>
                <w:lang w:val="en-US" w:eastAsia="zh-CN"/>
              </w:rPr>
              <w:t>/政策性评审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87" w:hRule="atLeast"/>
        </w:trPr>
        <w:tc>
          <w:tcPr>
            <w:tcW w:w="647" w:type="dxa"/>
            <w:noWrap w:val="0"/>
            <w:vAlign w:val="center"/>
          </w:tcPr>
          <w:p>
            <w:pPr>
              <w:ind w:left="0" w:leftChars="0" w:firstLine="0" w:firstLineChars="0"/>
              <w:jc w:val="center"/>
              <w:rPr>
                <w:rFonts w:hint="eastAsia" w:ascii="宋体" w:hAnsi="宋体" w:eastAsia="宋体" w:cs="宋体"/>
                <w:color w:val="auto"/>
                <w:sz w:val="18"/>
                <w:szCs w:val="18"/>
                <w:highlight w:val="none"/>
                <w:lang w:eastAsia="zh-CN"/>
              </w:rPr>
            </w:pPr>
            <w:r>
              <w:rPr>
                <w:rFonts w:hint="default" w:ascii="宋体" w:hAnsi="宋体" w:eastAsia="宋体" w:cs="宋体"/>
                <w:color w:val="auto"/>
                <w:sz w:val="18"/>
                <w:szCs w:val="18"/>
                <w:highlight w:val="none"/>
                <w:lang w:eastAsia="zh-CN"/>
              </w:rPr>
              <w:t>5</w:t>
            </w:r>
          </w:p>
        </w:tc>
        <w:tc>
          <w:tcPr>
            <w:tcW w:w="941"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eastAsia="zh-CN"/>
              </w:rPr>
              <w:t>售后服务</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w:t>
            </w:r>
          </w:p>
        </w:tc>
        <w:tc>
          <w:tcPr>
            <w:tcW w:w="847" w:type="dxa"/>
            <w:noWrap w:val="0"/>
            <w:vAlign w:val="center"/>
          </w:tcPr>
          <w:p>
            <w:pPr>
              <w:ind w:left="0" w:leftChars="0" w:firstLine="0" w:firstLineChars="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2分</w:t>
            </w:r>
          </w:p>
        </w:tc>
        <w:tc>
          <w:tcPr>
            <w:tcW w:w="4555"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投标人承诺提供核心产品质保，在1年质保期的基础上每有一个核心产品质保期增加一年加1分，此项最多得2分；</w:t>
            </w:r>
          </w:p>
        </w:tc>
        <w:tc>
          <w:tcPr>
            <w:tcW w:w="1250" w:type="dxa"/>
            <w:noWrap w:val="0"/>
            <w:vAlign w:val="center"/>
          </w:tcPr>
          <w:p>
            <w:pPr>
              <w:ind w:left="0" w:leftChars="0" w:firstLine="0" w:firstLineChars="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提供售后承诺函</w:t>
            </w:r>
          </w:p>
        </w:tc>
        <w:tc>
          <w:tcPr>
            <w:tcW w:w="938" w:type="dxa"/>
            <w:noWrap w:val="0"/>
            <w:vAlign w:val="center"/>
          </w:tcPr>
          <w:p>
            <w:pPr>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共同评审</w:t>
            </w:r>
          </w:p>
        </w:tc>
      </w:tr>
    </w:tbl>
    <w:p>
      <w:pPr>
        <w:pStyle w:val="8"/>
        <w:tabs>
          <w:tab w:val="left" w:pos="600"/>
        </w:tabs>
        <w:spacing w:line="240" w:lineRule="auto"/>
        <w:ind w:firstLine="0"/>
        <w:rPr>
          <w:rFonts w:hint="eastAsia" w:ascii="宋体" w:hAnsi="宋体" w:eastAsia="宋体" w:cs="宋体"/>
          <w:color w:val="auto"/>
          <w:sz w:val="18"/>
          <w:szCs w:val="18"/>
        </w:rPr>
      </w:pPr>
    </w:p>
    <w:p>
      <w:pPr>
        <w:rPr>
          <w:color w:val="auto"/>
          <w:highlight w:val="none"/>
        </w:rPr>
      </w:pPr>
      <w:bookmarkStart w:id="0" w:name="_GoBack"/>
      <w:bookmarkEnd w:id="0"/>
    </w:p>
    <w:sectPr>
      <w:footerReference r:id="rId3" w:type="default"/>
      <w:pgSz w:w="11906" w:h="16838"/>
      <w:pgMar w:top="1440" w:right="1066" w:bottom="1440" w:left="11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6"/>
      <w:numFmt w:val="decimal"/>
      <w:lvlText w:val="%1."/>
      <w:lvlJc w:val="left"/>
      <w:pPr>
        <w:tabs>
          <w:tab w:val="left" w:pos="312"/>
        </w:tabs>
      </w:pPr>
    </w:lvl>
  </w:abstractNum>
  <w:abstractNum w:abstractNumId="1">
    <w:nsid w:val="3BD3537E"/>
    <w:multiLevelType w:val="singleLevel"/>
    <w:tmpl w:val="3BD353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204C6"/>
    <w:rsid w:val="014F219D"/>
    <w:rsid w:val="028E4F47"/>
    <w:rsid w:val="043D687C"/>
    <w:rsid w:val="058B39C0"/>
    <w:rsid w:val="07AF75AD"/>
    <w:rsid w:val="0826098E"/>
    <w:rsid w:val="08335D8B"/>
    <w:rsid w:val="0A353BBF"/>
    <w:rsid w:val="0D206682"/>
    <w:rsid w:val="0E6A3D27"/>
    <w:rsid w:val="0FC46DA6"/>
    <w:rsid w:val="10AF4A06"/>
    <w:rsid w:val="12330421"/>
    <w:rsid w:val="123F381E"/>
    <w:rsid w:val="13AB0000"/>
    <w:rsid w:val="13E93CA6"/>
    <w:rsid w:val="14221993"/>
    <w:rsid w:val="14F53A9E"/>
    <w:rsid w:val="17727CD6"/>
    <w:rsid w:val="195425EF"/>
    <w:rsid w:val="1D83660F"/>
    <w:rsid w:val="1EDD7A31"/>
    <w:rsid w:val="1FF64400"/>
    <w:rsid w:val="202D07D8"/>
    <w:rsid w:val="22800CC7"/>
    <w:rsid w:val="231672ED"/>
    <w:rsid w:val="23B42383"/>
    <w:rsid w:val="24137A33"/>
    <w:rsid w:val="24BD4765"/>
    <w:rsid w:val="26047ED6"/>
    <w:rsid w:val="268D2C2D"/>
    <w:rsid w:val="27473793"/>
    <w:rsid w:val="27677991"/>
    <w:rsid w:val="2818512F"/>
    <w:rsid w:val="290A58C1"/>
    <w:rsid w:val="296E14AB"/>
    <w:rsid w:val="29BE5044"/>
    <w:rsid w:val="2A5F65E2"/>
    <w:rsid w:val="2BC7980B"/>
    <w:rsid w:val="2C267E1B"/>
    <w:rsid w:val="2E5A0250"/>
    <w:rsid w:val="2FB976E1"/>
    <w:rsid w:val="31455261"/>
    <w:rsid w:val="327318E0"/>
    <w:rsid w:val="33E95424"/>
    <w:rsid w:val="34C71A6F"/>
    <w:rsid w:val="390959FD"/>
    <w:rsid w:val="39EB2102"/>
    <w:rsid w:val="3AC727C9"/>
    <w:rsid w:val="3BE75453"/>
    <w:rsid w:val="3BFC3324"/>
    <w:rsid w:val="3C5A6B84"/>
    <w:rsid w:val="3D287817"/>
    <w:rsid w:val="3DA60DBB"/>
    <w:rsid w:val="3DC334BD"/>
    <w:rsid w:val="3DC7222F"/>
    <w:rsid w:val="3FBD3AE8"/>
    <w:rsid w:val="419F4A9E"/>
    <w:rsid w:val="41A35652"/>
    <w:rsid w:val="43B21B3C"/>
    <w:rsid w:val="43E252FA"/>
    <w:rsid w:val="44260631"/>
    <w:rsid w:val="44F27DEE"/>
    <w:rsid w:val="452A192A"/>
    <w:rsid w:val="464B7E1C"/>
    <w:rsid w:val="4B7A38EB"/>
    <w:rsid w:val="4C1E523C"/>
    <w:rsid w:val="4C2204C6"/>
    <w:rsid w:val="4C33005B"/>
    <w:rsid w:val="4D2B2EF3"/>
    <w:rsid w:val="4D6B0C4B"/>
    <w:rsid w:val="4DD14E4C"/>
    <w:rsid w:val="4EDE412D"/>
    <w:rsid w:val="4F567FDC"/>
    <w:rsid w:val="4FC20ECE"/>
    <w:rsid w:val="50E41B11"/>
    <w:rsid w:val="51167AE7"/>
    <w:rsid w:val="524E5126"/>
    <w:rsid w:val="52EB0BC7"/>
    <w:rsid w:val="532A16EF"/>
    <w:rsid w:val="55626368"/>
    <w:rsid w:val="55980B27"/>
    <w:rsid w:val="563D798B"/>
    <w:rsid w:val="57BA33E5"/>
    <w:rsid w:val="5A455061"/>
    <w:rsid w:val="5AFB0043"/>
    <w:rsid w:val="5C0E4C0E"/>
    <w:rsid w:val="5F047298"/>
    <w:rsid w:val="5FDFC725"/>
    <w:rsid w:val="60D46B48"/>
    <w:rsid w:val="60EC1627"/>
    <w:rsid w:val="62AB28B9"/>
    <w:rsid w:val="64540CC2"/>
    <w:rsid w:val="648D1ADE"/>
    <w:rsid w:val="65E16585"/>
    <w:rsid w:val="67E4235D"/>
    <w:rsid w:val="68011AD5"/>
    <w:rsid w:val="693C2413"/>
    <w:rsid w:val="693D19C6"/>
    <w:rsid w:val="6BDF0F82"/>
    <w:rsid w:val="6D1B1925"/>
    <w:rsid w:val="6DD53C11"/>
    <w:rsid w:val="6FCFB20F"/>
    <w:rsid w:val="71825E0D"/>
    <w:rsid w:val="71AD4179"/>
    <w:rsid w:val="71D6316C"/>
    <w:rsid w:val="725664C7"/>
    <w:rsid w:val="74B40023"/>
    <w:rsid w:val="75C13CDD"/>
    <w:rsid w:val="762A1882"/>
    <w:rsid w:val="762C4DA1"/>
    <w:rsid w:val="77855837"/>
    <w:rsid w:val="78267E28"/>
    <w:rsid w:val="786C73F5"/>
    <w:rsid w:val="78DF745D"/>
    <w:rsid w:val="78F82340"/>
    <w:rsid w:val="7B211741"/>
    <w:rsid w:val="7CD429C8"/>
    <w:rsid w:val="7DBE3CD3"/>
    <w:rsid w:val="7E90249F"/>
    <w:rsid w:val="7EC211E3"/>
    <w:rsid w:val="7EDA27AB"/>
    <w:rsid w:val="D7FF4F65"/>
    <w:rsid w:val="FEDF9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8" w:lineRule="auto"/>
      <w:outlineLvl w:val="0"/>
    </w:pPr>
    <w:rPr>
      <w:b/>
      <w:kern w:val="44"/>
      <w:sz w:val="32"/>
    </w:rPr>
  </w:style>
  <w:style w:type="paragraph" w:styleId="4">
    <w:name w:val="heading 2"/>
    <w:basedOn w:val="1"/>
    <w:next w:val="1"/>
    <w:qFormat/>
    <w:uiPriority w:val="9"/>
    <w:pPr>
      <w:keepNext/>
      <w:keepLines/>
      <w:spacing w:before="260" w:after="260" w:line="416" w:lineRule="auto"/>
      <w:ind w:firstLine="200" w:firstLineChars="200"/>
      <w:outlineLvl w:val="1"/>
    </w:pPr>
    <w:rPr>
      <w:rFonts w:ascii="等线 Light" w:hAnsi="等线 Light" w:eastAsia="等线 Light" w:cs="Times New Roman"/>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240" w:lineRule="auto"/>
      <w:jc w:val="left"/>
      <w:outlineLvl w:val="2"/>
    </w:pPr>
    <w:rPr>
      <w:rFonts w:ascii="Calibri" w:hAnsi="Calibri" w:eastAsia="宋体" w:cs="Times New Roman"/>
      <w:b/>
      <w:sz w:val="24"/>
    </w:rPr>
  </w:style>
  <w:style w:type="paragraph" w:styleId="6">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annotation text"/>
    <w:basedOn w:val="1"/>
    <w:qFormat/>
    <w:uiPriority w:val="0"/>
    <w:pPr>
      <w:jc w:val="left"/>
    </w:pPr>
  </w:style>
  <w:style w:type="paragraph" w:styleId="8">
    <w:name w:val="Body Text Indent"/>
    <w:basedOn w:val="1"/>
    <w:uiPriority w:val="0"/>
    <w:pPr>
      <w:ind w:firstLine="630"/>
    </w:pPr>
    <w:rPr>
      <w:rFonts w:ascii="Times New Roman" w:hAnsi="Times New Roman" w:eastAsia="宋体" w:cs="Times New Roman"/>
      <w:sz w:val="32"/>
      <w:szCs w:val="20"/>
    </w:rPr>
  </w:style>
  <w:style w:type="paragraph" w:styleId="9">
    <w:name w:val="Date"/>
    <w:basedOn w:val="1"/>
    <w:next w:val="1"/>
    <w:qFormat/>
    <w:uiPriority w:val="0"/>
    <w:rPr>
      <w:color w:val="000000"/>
      <w:kern w:val="0"/>
      <w:sz w:val="30"/>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2">
    <w:name w:val="Body Text First Indent"/>
    <w:basedOn w:val="2"/>
    <w:qFormat/>
    <w:uiPriority w:val="0"/>
    <w:pPr>
      <w:spacing w:line="360" w:lineRule="auto"/>
      <w:ind w:left="30" w:leftChars="30" w:firstLine="420" w:firstLineChars="100"/>
    </w:pPr>
    <w:rPr>
      <w:rFonts w:ascii="宋体" w:hAnsi="宋体"/>
      <w:sz w:val="24"/>
      <w:szCs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qFormat/>
    <w:uiPriority w:val="0"/>
    <w:rPr>
      <w:color w:val="2D64B3"/>
      <w:u w:val="none"/>
    </w:rPr>
  </w:style>
  <w:style w:type="character" w:styleId="17">
    <w:name w:val="Emphasis"/>
    <w:basedOn w:val="15"/>
    <w:qFormat/>
    <w:uiPriority w:val="0"/>
  </w:style>
  <w:style w:type="character" w:styleId="18">
    <w:name w:val="HTML Definition"/>
    <w:basedOn w:val="15"/>
    <w:qFormat/>
    <w:uiPriority w:val="0"/>
  </w:style>
  <w:style w:type="character" w:styleId="19">
    <w:name w:val="HTML Variable"/>
    <w:basedOn w:val="15"/>
    <w:qFormat/>
    <w:uiPriority w:val="0"/>
  </w:style>
  <w:style w:type="character" w:styleId="20">
    <w:name w:val="Hyperlink"/>
    <w:basedOn w:val="15"/>
    <w:qFormat/>
    <w:uiPriority w:val="0"/>
    <w:rPr>
      <w:color w:val="2D64B3"/>
      <w:u w:val="none"/>
    </w:rPr>
  </w:style>
  <w:style w:type="character" w:styleId="21">
    <w:name w:val="HTML Code"/>
    <w:basedOn w:val="15"/>
    <w:qFormat/>
    <w:uiPriority w:val="0"/>
    <w:rPr>
      <w:rFonts w:hint="default" w:ascii="Arial" w:hAnsi="Arial" w:cs="Arial"/>
      <w:sz w:val="20"/>
    </w:rPr>
  </w:style>
  <w:style w:type="character" w:styleId="22">
    <w:name w:val="HTML Cite"/>
    <w:basedOn w:val="15"/>
    <w:qFormat/>
    <w:uiPriority w:val="0"/>
  </w:style>
  <w:style w:type="character" w:styleId="23">
    <w:name w:val="HTML Keyboard"/>
    <w:basedOn w:val="15"/>
    <w:qFormat/>
    <w:uiPriority w:val="0"/>
    <w:rPr>
      <w:rFonts w:hint="eastAsia" w:ascii="Arial" w:hAnsi="Arial" w:cs="Arial"/>
      <w:sz w:val="20"/>
    </w:rPr>
  </w:style>
  <w:style w:type="character" w:styleId="24">
    <w:name w:val="HTML Sample"/>
    <w:basedOn w:val="15"/>
    <w:qFormat/>
    <w:uiPriority w:val="0"/>
    <w:rPr>
      <w:rFonts w:hint="default" w:ascii="Arial" w:hAnsi="Arial" w:cs="Arial"/>
    </w:rPr>
  </w:style>
  <w:style w:type="paragraph" w:customStyle="1" w:styleId="25">
    <w:name w:val="Quote"/>
    <w:basedOn w:val="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6">
    <w:name w:val="Quote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27">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8">
    <w:name w:val="引用1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9">
    <w:name w:val="（符号）二标题总则"/>
    <w:basedOn w:val="1"/>
    <w:qFormat/>
    <w:uiPriority w:val="0"/>
    <w:pPr>
      <w:spacing w:beforeLines="50" w:afterLines="50" w:line="420" w:lineRule="exact"/>
      <w:jc w:val="center"/>
      <w:outlineLvl w:val="1"/>
    </w:pPr>
    <w:rPr>
      <w:rFonts w:ascii="黑体" w:eastAsia="黑体" w:cs="宋体"/>
      <w:b/>
      <w:bCs/>
      <w:sz w:val="32"/>
      <w:szCs w:val="32"/>
    </w:rPr>
  </w:style>
  <w:style w:type="paragraph" w:customStyle="1" w:styleId="30">
    <w:name w:val="正文首行缩进两字符"/>
    <w:basedOn w:val="1"/>
    <w:qFormat/>
    <w:uiPriority w:val="99"/>
    <w:pPr>
      <w:spacing w:line="360" w:lineRule="auto"/>
      <w:ind w:firstLine="200" w:firstLineChars="200"/>
    </w:pPr>
  </w:style>
  <w:style w:type="paragraph" w:customStyle="1" w:styleId="31">
    <w:name w:val="Table Paragraph"/>
    <w:basedOn w:val="1"/>
    <w:qFormat/>
    <w:uiPriority w:val="1"/>
    <w:rPr>
      <w:rFonts w:ascii="仿宋" w:hAnsi="仿宋" w:eastAsia="仿宋" w:cs="仿宋"/>
      <w:lang w:val="zh-CN" w:eastAsia="zh-CN" w:bidi="zh-CN"/>
    </w:rPr>
  </w:style>
  <w:style w:type="paragraph" w:customStyle="1" w:styleId="32">
    <w:name w:val="列出段落1"/>
    <w:basedOn w:val="1"/>
    <w:qFormat/>
    <w:uiPriority w:val="99"/>
    <w:pPr>
      <w:ind w:firstLine="420" w:firstLineChars="200"/>
    </w:pPr>
  </w:style>
  <w:style w:type="character" w:customStyle="1" w:styleId="33">
    <w:name w:val="font01"/>
    <w:basedOn w:val="15"/>
    <w:qFormat/>
    <w:uiPriority w:val="0"/>
    <w:rPr>
      <w:rFonts w:hint="default" w:ascii="Times New Roman" w:hAnsi="Times New Roman" w:cs="Times New Roman"/>
      <w:color w:val="000000"/>
      <w:sz w:val="20"/>
      <w:szCs w:val="20"/>
      <w:u w:val="none"/>
    </w:rPr>
  </w:style>
  <w:style w:type="character" w:customStyle="1" w:styleId="34">
    <w:name w:val="font41"/>
    <w:basedOn w:val="15"/>
    <w:qFormat/>
    <w:uiPriority w:val="0"/>
    <w:rPr>
      <w:rFonts w:hint="eastAsia" w:ascii="宋体" w:hAnsi="宋体" w:eastAsia="宋体" w:cs="宋体"/>
      <w:color w:val="000000"/>
      <w:sz w:val="20"/>
      <w:szCs w:val="20"/>
      <w:u w:val="none"/>
    </w:rPr>
  </w:style>
  <w:style w:type="character" w:customStyle="1" w:styleId="35">
    <w:name w:val="font161"/>
    <w:basedOn w:val="15"/>
    <w:qFormat/>
    <w:uiPriority w:val="0"/>
    <w:rPr>
      <w:rFonts w:hint="eastAsia" w:ascii="宋体" w:hAnsi="宋体" w:eastAsia="宋体" w:cs="宋体"/>
      <w:color w:val="000000"/>
      <w:sz w:val="20"/>
      <w:szCs w:val="20"/>
      <w:u w:val="none"/>
    </w:rPr>
  </w:style>
  <w:style w:type="character" w:customStyle="1" w:styleId="36">
    <w:name w:val="font151"/>
    <w:basedOn w:val="15"/>
    <w:qFormat/>
    <w:uiPriority w:val="0"/>
    <w:rPr>
      <w:rFonts w:hint="default" w:ascii="方正仿宋简体" w:hAnsi="方正仿宋简体" w:eastAsia="方正仿宋简体" w:cs="方正仿宋简体"/>
      <w:color w:val="000000"/>
      <w:sz w:val="20"/>
      <w:szCs w:val="20"/>
      <w:u w:val="none"/>
    </w:rPr>
  </w:style>
  <w:style w:type="character" w:customStyle="1" w:styleId="37">
    <w:name w:val="font91"/>
    <w:basedOn w:val="15"/>
    <w:qFormat/>
    <w:uiPriority w:val="0"/>
    <w:rPr>
      <w:rFonts w:hint="default" w:ascii="Times New Roman" w:hAnsi="Times New Roman" w:cs="Times New Roman"/>
      <w:color w:val="000000"/>
      <w:sz w:val="20"/>
      <w:szCs w:val="20"/>
      <w:u w:val="none"/>
    </w:rPr>
  </w:style>
  <w:style w:type="character" w:customStyle="1" w:styleId="38">
    <w:name w:val="font13"/>
    <w:basedOn w:val="15"/>
    <w:qFormat/>
    <w:uiPriority w:val="0"/>
    <w:rPr>
      <w:rFonts w:hint="eastAsia" w:ascii="宋体" w:hAnsi="宋体" w:eastAsia="宋体" w:cs="宋体"/>
      <w:color w:val="000000"/>
      <w:sz w:val="20"/>
      <w:szCs w:val="20"/>
      <w:u w:val="none"/>
    </w:rPr>
  </w:style>
  <w:style w:type="character" w:customStyle="1" w:styleId="39">
    <w:name w:val="font132"/>
    <w:basedOn w:val="15"/>
    <w:qFormat/>
    <w:uiPriority w:val="0"/>
    <w:rPr>
      <w:rFonts w:hint="default" w:ascii="Times New Roman" w:hAnsi="Times New Roman" w:cs="Times New Roman"/>
      <w:color w:val="000000"/>
      <w:sz w:val="20"/>
      <w:szCs w:val="20"/>
      <w:u w:val="none"/>
    </w:rPr>
  </w:style>
  <w:style w:type="character" w:customStyle="1" w:styleId="40">
    <w:name w:val="font61"/>
    <w:basedOn w:val="15"/>
    <w:qFormat/>
    <w:uiPriority w:val="0"/>
    <w:rPr>
      <w:rFonts w:hint="default" w:ascii="方正仿宋简体" w:hAnsi="方正仿宋简体" w:eastAsia="方正仿宋简体" w:cs="方正仿宋简体"/>
      <w:color w:val="000000"/>
      <w:sz w:val="20"/>
      <w:szCs w:val="20"/>
      <w:u w:val="none"/>
    </w:rPr>
  </w:style>
  <w:style w:type="character" w:customStyle="1" w:styleId="41">
    <w:name w:val="font81"/>
    <w:basedOn w:val="15"/>
    <w:qFormat/>
    <w:uiPriority w:val="0"/>
    <w:rPr>
      <w:rFonts w:hint="default" w:ascii="方正仿宋简体" w:hAnsi="方正仿宋简体" w:eastAsia="方正仿宋简体" w:cs="方正仿宋简体"/>
      <w:color w:val="000000"/>
      <w:sz w:val="20"/>
      <w:szCs w:val="20"/>
      <w:u w:val="none"/>
    </w:rPr>
  </w:style>
  <w:style w:type="character" w:customStyle="1" w:styleId="42">
    <w:name w:val="font141"/>
    <w:basedOn w:val="15"/>
    <w:qFormat/>
    <w:uiPriority w:val="0"/>
    <w:rPr>
      <w:rFonts w:hint="default" w:ascii="方正仿宋简体" w:hAnsi="方正仿宋简体" w:eastAsia="方正仿宋简体" w:cs="方正仿宋简体"/>
      <w:color w:val="000000"/>
      <w:sz w:val="20"/>
      <w:szCs w:val="20"/>
      <w:u w:val="none"/>
    </w:rPr>
  </w:style>
  <w:style w:type="character" w:customStyle="1" w:styleId="43">
    <w:name w:val="font21"/>
    <w:basedOn w:val="1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14758</Words>
  <Characters>16929</Characters>
  <Lines>0</Lines>
  <Paragraphs>0</Paragraphs>
  <TotalTime>1</TotalTime>
  <ScaleCrop>false</ScaleCrop>
  <LinksUpToDate>false</LinksUpToDate>
  <CharactersWithSpaces>17146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2021-10-11T17:35:00Z</dcterms:created>
  <dc:creator>Super -Li</dc:creator>
  <cp:lastModifiedBy>朱元江</cp:lastModifiedBy>
  <cp:lastPrinted>2021-10-21T18:23:00Z</cp:lastPrinted>
  <dcterms:modified xsi:type="dcterms:W3CDTF">2022-04-12T02:06:04Z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6A0FE025EC924DB0A98ADD03D9082381</vt:lpwstr>
  </property>
</Properties>
</file>