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hint="eastAsia" w:ascii="宋体" w:hAnsi="宋体" w:eastAsia="宋体" w:cs="宋体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sz w:val="48"/>
          <w:szCs w:val="48"/>
          <w:highlight w:val="none"/>
        </w:rPr>
        <w:t>项目需求</w:t>
      </w:r>
    </w:p>
    <w:p>
      <w:pPr>
        <w:spacing w:line="360" w:lineRule="auto"/>
        <w:ind w:left="434" w:hanging="434" w:hangingChars="180"/>
        <w:jc w:val="center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br w:type="page"/>
      </w:r>
    </w:p>
    <w:p>
      <w:pPr>
        <w:numPr>
          <w:ilvl w:val="2"/>
          <w:numId w:val="1"/>
        </w:numPr>
        <w:adjustRightInd w:val="0"/>
        <w:snapToGrid w:val="0"/>
        <w:jc w:val="left"/>
        <w:rPr>
          <w:rFonts w:hint="eastAsia" w:ascii="宋体" w:hAnsi="宋体" w:cs="宋体"/>
          <w:b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z w:val="30"/>
          <w:szCs w:val="30"/>
          <w:highlight w:val="none"/>
        </w:rPr>
        <w:t>货物需求一览表</w:t>
      </w:r>
    </w:p>
    <w:p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  <w:highlight w:val="none"/>
        </w:rPr>
      </w:pPr>
    </w:p>
    <w:tbl>
      <w:tblPr>
        <w:tblStyle w:val="7"/>
        <w:tblW w:w="891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9"/>
        <w:gridCol w:w="2784"/>
        <w:gridCol w:w="821"/>
        <w:gridCol w:w="2009"/>
        <w:gridCol w:w="2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7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包号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货物名称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数量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交货期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  <w:shd w:val="pct10" w:color="auto" w:fill="FFFFFF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项目现场（交货地点）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2"/>
                <w:highlight w:val="none"/>
              </w:rPr>
              <w:t>1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2"/>
                <w:highlight w:val="none"/>
              </w:rPr>
              <w:t>高分辨液质联用仪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2"/>
                <w:highlight w:val="none"/>
              </w:rPr>
              <w:t>1台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2"/>
                <w:highlight w:val="none"/>
              </w:rPr>
              <w:t>合同签订后的3个月内交货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2"/>
                <w:highlight w:val="none"/>
              </w:rPr>
              <w:t>中国农业科学院深圳农业基因组研究所指定地点</w:t>
            </w:r>
          </w:p>
        </w:tc>
      </w:tr>
    </w:tbl>
    <w:p>
      <w:pPr>
        <w:jc w:val="center"/>
        <w:rPr>
          <w:rFonts w:hint="eastAsia" w:ascii="宋体" w:hAnsi="宋体" w:cs="宋体"/>
          <w:sz w:val="24"/>
          <w:szCs w:val="22"/>
          <w:highlight w:val="none"/>
        </w:rPr>
      </w:pP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注：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投标人须对上述投标内容中完整的一包或几包进行投标，不完整的投标将视为非响应性投标予以拒绝。</w:t>
      </w:r>
    </w:p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kern w:val="2"/>
          <w:sz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highlight w:val="none"/>
          <w:lang w:val="en-US" w:eastAsia="zh-CN" w:bidi="ar-SA"/>
        </w:rPr>
        <w:t>2、本项目可接受非全新产品。</w:t>
      </w:r>
    </w:p>
    <w:p>
      <w:pPr>
        <w:spacing w:line="360" w:lineRule="auto"/>
        <w:rPr>
          <w:rFonts w:hint="eastAsia" w:ascii="宋体" w:hAnsi="宋体" w:cs="宋体"/>
          <w:b/>
          <w:sz w:val="30"/>
          <w:szCs w:val="30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br w:type="page"/>
      </w:r>
    </w:p>
    <w:p>
      <w:pPr>
        <w:spacing w:line="360" w:lineRule="auto"/>
        <w:ind w:left="600" w:hanging="600"/>
        <w:rPr>
          <w:rFonts w:hint="eastAsia" w:ascii="宋体" w:hAnsi="宋体" w:cs="宋体"/>
          <w:b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z w:val="30"/>
          <w:szCs w:val="30"/>
          <w:highlight w:val="none"/>
        </w:rPr>
        <w:t>二、总  则</w:t>
      </w:r>
    </w:p>
    <w:p>
      <w:pPr>
        <w:spacing w:before="120" w:beforeLines="50" w:after="120" w:afterLines="50" w:line="360" w:lineRule="auto"/>
        <w:ind w:left="601" w:hanging="601"/>
        <w:rPr>
          <w:rFonts w:hint="eastAsia" w:ascii="宋体" w:hAnsi="宋体" w:cs="宋体"/>
          <w:b/>
          <w:sz w:val="28"/>
          <w:highlight w:val="none"/>
        </w:rPr>
      </w:pPr>
      <w:r>
        <w:rPr>
          <w:rFonts w:hint="eastAsia" w:ascii="宋体" w:hAnsi="宋体" w:cs="宋体"/>
          <w:b/>
          <w:sz w:val="28"/>
          <w:highlight w:val="none"/>
        </w:rPr>
        <w:t>1、投标要求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1.1  投标人在准备投标书时，务必在所提供的商品的技术规格文件中，标明型号、商标名称、目录号。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1.2  </w:t>
      </w:r>
      <w:r>
        <w:rPr>
          <w:rFonts w:hint="eastAsia" w:ascii="宋体" w:hAnsi="宋体" w:cs="宋体"/>
          <w:b/>
          <w:bCs/>
          <w:sz w:val="24"/>
          <w:highlight w:val="none"/>
        </w:rPr>
        <w:t>投标人提供的货物应是成熟产品，</w:t>
      </w:r>
      <w:r>
        <w:rPr>
          <w:rFonts w:hint="eastAsia" w:ascii="宋体" w:hAnsi="宋体" w:cs="宋体"/>
          <w:sz w:val="24"/>
          <w:highlight w:val="none"/>
        </w:rPr>
        <w:t>其技术规格应符合招标文件的要求。如与招标文件的技术规格有偏差，应提供技术规格偏差的量值或说明（偏离表）。如投标人有意隐瞒对规格要求的偏差或在开标后提出新的偏差，买方有权拒绝其投标。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1.3  投标人提供的产品样本，必须是“原件”而非复印件，图表、简图、电路图以及印刷电路板图等都应清晰易读。买方有权不付任何附加费用复制这些资料以供参考。</w:t>
      </w:r>
    </w:p>
    <w:p>
      <w:pPr>
        <w:spacing w:before="120" w:beforeLines="50" w:after="120" w:afterLines="50" w:line="360" w:lineRule="auto"/>
        <w:ind w:left="601" w:hanging="601"/>
        <w:rPr>
          <w:rFonts w:hint="eastAsia" w:ascii="宋体" w:hAnsi="宋体" w:cs="宋体"/>
          <w:b/>
          <w:sz w:val="28"/>
          <w:highlight w:val="none"/>
        </w:rPr>
      </w:pPr>
      <w:r>
        <w:rPr>
          <w:rFonts w:hint="eastAsia" w:ascii="宋体" w:hAnsi="宋体" w:cs="宋体"/>
          <w:b/>
          <w:sz w:val="28"/>
          <w:highlight w:val="none"/>
        </w:rPr>
        <w:t>2、评标标准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2.1 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2.2 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2.3  为便于用户进行接收仪器的准备工作，卖方应在合同生效后</w:t>
      </w:r>
      <w:r>
        <w:rPr>
          <w:rFonts w:hint="eastAsia" w:ascii="宋体" w:hAnsi="宋体" w:cs="宋体"/>
          <w:b/>
          <w:sz w:val="24"/>
          <w:highlight w:val="none"/>
        </w:rPr>
        <w:t>60</w:t>
      </w:r>
      <w:r>
        <w:rPr>
          <w:rFonts w:hint="eastAsia" w:ascii="宋体" w:hAnsi="宋体" w:cs="宋体"/>
          <w:sz w:val="24"/>
          <w:highlight w:val="none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2.4  关于设备的安装调试，如果有必要的安装准备条件，卖方应在合同生效后一个月内向买方提出详细的要求或计划。安装调试的费用应计入投标价中，并应单独列出，供评标使用。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2.5  制造厂家提供的培训指的是涉及货物的基本原理、操作使用和保养维修等有关内容的培训。培训教员的培训费、旅费、食宿费等费用和培训场地费及培训资料费均应由卖方支付。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2.6  在评标过程中，买方有权向投标人索取任何与评标有关的资料，投标人务必在接到此类要求后，在规定时间内予以答复。对于无答复的投标人，买方有权拒绝其投标。</w:t>
      </w:r>
    </w:p>
    <w:p>
      <w:pPr>
        <w:spacing w:before="120" w:beforeLines="50" w:after="120" w:afterLines="50" w:line="360" w:lineRule="auto"/>
        <w:ind w:left="601" w:hanging="601"/>
        <w:rPr>
          <w:rFonts w:hint="eastAsia" w:ascii="宋体" w:hAnsi="宋体" w:cs="宋体"/>
          <w:b/>
          <w:sz w:val="28"/>
          <w:highlight w:val="none"/>
        </w:rPr>
      </w:pPr>
      <w:r>
        <w:rPr>
          <w:rFonts w:hint="eastAsia" w:ascii="宋体" w:hAnsi="宋体" w:cs="宋体"/>
          <w:b/>
          <w:sz w:val="28"/>
          <w:highlight w:val="none"/>
        </w:rPr>
        <w:t>3、工作条件</w:t>
      </w:r>
    </w:p>
    <w:p>
      <w:pPr>
        <w:spacing w:after="240" w:afterLines="100"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除非在技术规格中另有说明，所有仪器、设备和系统都应符合下列要求： 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3.1  适于在气温为摄氏</w:t>
      </w:r>
      <w:r>
        <w:rPr>
          <w:rFonts w:hint="eastAsia" w:ascii="宋体" w:hAnsi="宋体" w:cs="宋体"/>
          <w:b/>
          <w:sz w:val="24"/>
          <w:highlight w:val="none"/>
        </w:rPr>
        <w:t>-40℃～＋50℃</w:t>
      </w:r>
      <w:r>
        <w:rPr>
          <w:rFonts w:hint="eastAsia" w:ascii="宋体" w:hAnsi="宋体" w:cs="宋体"/>
          <w:sz w:val="24"/>
          <w:highlight w:val="none"/>
        </w:rPr>
        <w:t>和相对湿度为</w:t>
      </w:r>
      <w:r>
        <w:rPr>
          <w:rFonts w:hint="eastAsia" w:ascii="宋体" w:hAnsi="宋体" w:cs="宋体"/>
          <w:b/>
          <w:sz w:val="24"/>
          <w:highlight w:val="none"/>
        </w:rPr>
        <w:t>90％</w:t>
      </w:r>
      <w:r>
        <w:rPr>
          <w:rFonts w:hint="eastAsia" w:ascii="宋体" w:hAnsi="宋体" w:cs="宋体"/>
          <w:sz w:val="24"/>
          <w:highlight w:val="none"/>
        </w:rPr>
        <w:t>的环境条件下运输和贮存。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3.2  适于在电源</w:t>
      </w:r>
      <w:r>
        <w:rPr>
          <w:rFonts w:hint="eastAsia" w:ascii="宋体" w:hAnsi="宋体" w:cs="宋体"/>
          <w:b/>
          <w:sz w:val="24"/>
          <w:highlight w:val="none"/>
        </w:rPr>
        <w:t>220V（</w:t>
      </w:r>
      <w:r>
        <w:rPr>
          <w:rFonts w:hint="eastAsia" w:ascii="宋体" w:hAnsi="宋体" w:cs="宋体"/>
          <w:b/>
          <w:sz w:val="24"/>
          <w:highlight w:val="none"/>
        </w:rPr>
        <w:sym w:font="Symbol" w:char="F0B1"/>
      </w:r>
      <w:r>
        <w:rPr>
          <w:rFonts w:hint="eastAsia" w:ascii="宋体" w:hAnsi="宋体" w:cs="宋体"/>
          <w:b/>
          <w:sz w:val="24"/>
          <w:highlight w:val="none"/>
        </w:rPr>
        <w:t>10％）/50Hz</w:t>
      </w:r>
      <w:r>
        <w:rPr>
          <w:rFonts w:hint="eastAsia" w:ascii="宋体" w:hAnsi="宋体" w:cs="宋体"/>
          <w:sz w:val="24"/>
          <w:highlight w:val="none"/>
        </w:rPr>
        <w:t>、气温摄氏</w:t>
      </w:r>
      <w:r>
        <w:rPr>
          <w:rFonts w:hint="eastAsia" w:ascii="宋体" w:hAnsi="宋体" w:cs="宋体"/>
          <w:b/>
          <w:sz w:val="24"/>
          <w:highlight w:val="none"/>
        </w:rPr>
        <w:t>+15℃～＋30℃</w:t>
      </w:r>
      <w:r>
        <w:rPr>
          <w:rFonts w:hint="eastAsia" w:ascii="宋体" w:hAnsi="宋体" w:cs="宋体"/>
          <w:sz w:val="24"/>
          <w:highlight w:val="none"/>
        </w:rPr>
        <w:t>和相对湿度小于</w:t>
      </w:r>
      <w:r>
        <w:rPr>
          <w:rFonts w:hint="eastAsia" w:ascii="宋体" w:hAnsi="宋体" w:cs="宋体"/>
          <w:b/>
          <w:sz w:val="24"/>
          <w:highlight w:val="none"/>
        </w:rPr>
        <w:t>80％</w:t>
      </w:r>
      <w:r>
        <w:rPr>
          <w:rFonts w:hint="eastAsia" w:ascii="宋体" w:hAnsi="宋体" w:cs="宋体"/>
          <w:sz w:val="24"/>
          <w:highlight w:val="none"/>
        </w:rPr>
        <w:t>的环境条件下运行。</w:t>
      </w:r>
      <w:r>
        <w:rPr>
          <w:rFonts w:hint="eastAsia" w:ascii="宋体" w:hAnsi="宋体" w:cs="宋体"/>
          <w:b/>
          <w:sz w:val="24"/>
          <w:highlight w:val="none"/>
        </w:rPr>
        <w:t>能够连续正常工作。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3.3  配置符合中国有关标准要求的插头，如果没有这样的插头，则需提供适当的转换插座。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>
      <w:pPr>
        <w:rPr>
          <w:rFonts w:hint="eastAsia" w:ascii="宋体" w:hAnsi="宋体" w:cs="宋体"/>
          <w:b/>
          <w:bCs/>
          <w:kern w:val="44"/>
          <w:sz w:val="24"/>
          <w:highlight w:val="none"/>
        </w:rPr>
      </w:pPr>
    </w:p>
    <w:p>
      <w:pPr>
        <w:spacing w:before="120" w:beforeLines="50" w:after="120" w:afterLines="50" w:line="360" w:lineRule="auto"/>
        <w:ind w:left="601" w:hanging="601"/>
        <w:rPr>
          <w:rFonts w:hint="eastAsia" w:ascii="宋体" w:hAnsi="宋体" w:cs="宋体"/>
          <w:b/>
          <w:sz w:val="28"/>
          <w:highlight w:val="none"/>
        </w:rPr>
      </w:pPr>
      <w:r>
        <w:rPr>
          <w:rFonts w:hint="eastAsia" w:ascii="宋体" w:hAnsi="宋体" w:cs="宋体"/>
          <w:b/>
          <w:sz w:val="28"/>
          <w:highlight w:val="none"/>
        </w:rPr>
        <w:t>4、验收标准</w:t>
      </w:r>
    </w:p>
    <w:p>
      <w:pPr>
        <w:spacing w:after="240" w:afterLines="100"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除非在技术规格中另有说明，所有仪器、设备和系统按下列要求进行验收： 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4.1  仪器设备运抵安装现场后，买方将与卖方共同开箱验收, 如卖方届时不派人来, 则验收结果应以买方的验收报告为最终验收结果。验收时发现短缺、破损, 买方有权要求卖方负责更换。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4.2  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>
      <w:pPr>
        <w:spacing w:line="360" w:lineRule="auto"/>
        <w:ind w:left="554" w:hanging="554" w:hangingChars="231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4.3  验收由采购人、中标人及相关人员依国家有关标准、合同及有关附件要求进行，验收完毕由采购人及中标人在验收报告上签名。</w:t>
      </w:r>
    </w:p>
    <w:p>
      <w:pPr>
        <w:pStyle w:val="6"/>
        <w:spacing w:line="360" w:lineRule="auto"/>
        <w:ind w:left="410" w:hanging="410" w:hangingChars="170"/>
        <w:rPr>
          <w:rFonts w:hint="eastAsia" w:hAnsi="宋体" w:cs="宋体"/>
          <w:b/>
          <w:sz w:val="24"/>
          <w:szCs w:val="24"/>
          <w:highlight w:val="none"/>
        </w:rPr>
      </w:pPr>
    </w:p>
    <w:p>
      <w:pPr>
        <w:spacing w:before="120" w:beforeLines="50" w:after="120" w:afterLines="50" w:line="360" w:lineRule="auto"/>
        <w:ind w:left="601" w:hanging="601"/>
        <w:rPr>
          <w:rFonts w:hint="eastAsia" w:ascii="宋体" w:hAnsi="宋体" w:cs="宋体"/>
          <w:b/>
          <w:sz w:val="28"/>
          <w:highlight w:val="none"/>
        </w:rPr>
      </w:pPr>
      <w:r>
        <w:rPr>
          <w:rFonts w:hint="eastAsia" w:ascii="宋体" w:hAnsi="宋体" w:cs="宋体"/>
          <w:b/>
          <w:sz w:val="28"/>
          <w:highlight w:val="none"/>
        </w:rPr>
        <w:t>5、本技术规格书中标注“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*</w:t>
      </w:r>
      <w:r>
        <w:rPr>
          <w:rFonts w:hint="eastAsia" w:ascii="宋体" w:hAnsi="宋体" w:cs="宋体"/>
          <w:b/>
          <w:sz w:val="28"/>
          <w:highlight w:val="none"/>
        </w:rPr>
        <w:t>”号的为关键技术参数，对这些关键技术参数的任何负偏离将导致废标。</w:t>
      </w:r>
    </w:p>
    <w:p>
      <w:pPr>
        <w:spacing w:before="120" w:beforeLines="50" w:after="120" w:afterLines="50" w:line="360" w:lineRule="auto"/>
        <w:ind w:left="601" w:hanging="601"/>
        <w:rPr>
          <w:rFonts w:hint="eastAsia" w:ascii="宋体" w:hAnsi="宋体" w:cs="宋体"/>
          <w:b/>
          <w:sz w:val="28"/>
          <w:highlight w:val="none"/>
        </w:rPr>
      </w:pPr>
    </w:p>
    <w:p>
      <w:pPr>
        <w:spacing w:before="120" w:beforeLines="50" w:after="120" w:afterLines="50" w:line="360" w:lineRule="auto"/>
        <w:ind w:left="601" w:hanging="601"/>
        <w:rPr>
          <w:rFonts w:hint="eastAsia" w:ascii="宋体" w:hAnsi="宋体" w:cs="宋体"/>
          <w:b/>
          <w:sz w:val="28"/>
          <w:highlight w:val="none"/>
        </w:rPr>
      </w:pPr>
      <w:r>
        <w:rPr>
          <w:rFonts w:hint="eastAsia" w:ascii="宋体" w:hAnsi="宋体" w:cs="宋体"/>
          <w:b/>
          <w:sz w:val="28"/>
          <w:highlight w:val="none"/>
        </w:rPr>
        <w:t>6、如在具体技术规格中有本总则不一致之处，以具体技术规格中的要求为准。</w:t>
      </w:r>
    </w:p>
    <w:p>
      <w:pPr>
        <w:spacing w:after="120" w:afterLines="50"/>
        <w:rPr>
          <w:rFonts w:hint="eastAsia" w:ascii="宋体" w:hAnsi="宋体" w:cs="宋体"/>
          <w:b/>
          <w:sz w:val="28"/>
          <w:highlight w:val="none"/>
        </w:rPr>
      </w:pPr>
      <w:r>
        <w:rPr>
          <w:rFonts w:hint="eastAsia" w:ascii="宋体" w:hAnsi="宋体" w:cs="宋体"/>
          <w:b/>
          <w:sz w:val="28"/>
          <w:highlight w:val="none"/>
        </w:rPr>
        <w:br w:type="page"/>
      </w:r>
      <w:r>
        <w:rPr>
          <w:rFonts w:hint="eastAsia" w:ascii="宋体" w:hAnsi="宋体" w:cs="宋体"/>
          <w:b/>
          <w:sz w:val="28"/>
          <w:highlight w:val="none"/>
        </w:rPr>
        <w:t>三、具体技术规格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8"/>
          <w:szCs w:val="24"/>
          <w:highlight w:val="none"/>
        </w:rPr>
        <w:t>高分辨液质联用仪</w:t>
      </w:r>
    </w:p>
    <w:p>
      <w:pPr>
        <w:pStyle w:val="2"/>
        <w:spacing w:line="360" w:lineRule="auto"/>
        <w:ind w:firstLine="0" w:firstLineChars="0"/>
        <w:rPr>
          <w:rFonts w:hint="eastAsia" w:ascii="宋体" w:eastAsia="宋体" w:cs="宋体"/>
          <w:b/>
          <w:sz w:val="22"/>
          <w:szCs w:val="18"/>
          <w:highlight w:val="none"/>
        </w:rPr>
      </w:pPr>
      <w:r>
        <w:rPr>
          <w:rFonts w:hint="eastAsia" w:ascii="宋体" w:eastAsia="宋体" w:cs="宋体"/>
          <w:b/>
          <w:sz w:val="24"/>
          <w:highlight w:val="none"/>
        </w:rPr>
        <w:t>一、技术要求：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1 设备用途说明：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kern w:val="24"/>
          <w:sz w:val="24"/>
          <w:highlight w:val="none"/>
        </w:rPr>
        <w:t>主要用于</w:t>
      </w:r>
      <w:r>
        <w:rPr>
          <w:rFonts w:hAnsi="宋体"/>
          <w:szCs w:val="21"/>
          <w:highlight w:val="none"/>
        </w:rPr>
        <w:t>代谢组学、脂质组学</w:t>
      </w:r>
      <w:r>
        <w:rPr>
          <w:rFonts w:hint="eastAsia" w:hAnsi="宋体"/>
          <w:szCs w:val="21"/>
          <w:highlight w:val="none"/>
        </w:rPr>
        <w:t>、</w:t>
      </w:r>
      <w:r>
        <w:rPr>
          <w:rFonts w:hAnsi="宋体"/>
          <w:szCs w:val="21"/>
          <w:highlight w:val="none"/>
        </w:rPr>
        <w:t>小分子和生物大分子的相互作用</w:t>
      </w:r>
      <w:r>
        <w:rPr>
          <w:rFonts w:hint="eastAsia" w:hAnsi="宋体"/>
          <w:szCs w:val="21"/>
          <w:highlight w:val="none"/>
        </w:rPr>
        <w:t>、</w:t>
      </w:r>
      <w:r>
        <w:rPr>
          <w:szCs w:val="21"/>
          <w:highlight w:val="none"/>
        </w:rPr>
        <w:t xml:space="preserve"> </w:t>
      </w:r>
      <w:r>
        <w:rPr>
          <w:rFonts w:hAnsi="宋体"/>
          <w:szCs w:val="21"/>
          <w:highlight w:val="none"/>
        </w:rPr>
        <w:t>天然产物</w:t>
      </w:r>
      <w:r>
        <w:rPr>
          <w:rFonts w:hint="eastAsia" w:hAnsi="宋体"/>
          <w:szCs w:val="21"/>
          <w:highlight w:val="none"/>
        </w:rPr>
        <w:t>结构</w:t>
      </w:r>
      <w:r>
        <w:rPr>
          <w:rFonts w:hAnsi="宋体"/>
          <w:szCs w:val="21"/>
          <w:highlight w:val="none"/>
        </w:rPr>
        <w:t>分析等</w:t>
      </w:r>
      <w:r>
        <w:rPr>
          <w:rFonts w:hint="eastAsia" w:hAnsi="宋体"/>
          <w:szCs w:val="21"/>
          <w:highlight w:val="none"/>
        </w:rPr>
        <w:t>领域</w:t>
      </w:r>
      <w:r>
        <w:rPr>
          <w:rFonts w:hAnsi="宋体"/>
          <w:szCs w:val="21"/>
          <w:highlight w:val="none"/>
        </w:rPr>
        <w:t>。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2 技术要求及参数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一．质谱部分：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1.1 离子源部分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</w:t>
      </w:r>
      <w:r>
        <w:rPr>
          <w:rFonts w:ascii="宋体" w:hAnsi="宋体" w:cs="宋体"/>
          <w:sz w:val="24"/>
          <w:highlight w:val="none"/>
        </w:rPr>
        <w:t>.1.1</w:t>
      </w:r>
      <w:r>
        <w:rPr>
          <w:rFonts w:hint="eastAsia" w:ascii="宋体" w:hAnsi="宋体" w:cs="宋体"/>
          <w:sz w:val="24"/>
          <w:highlight w:val="none"/>
        </w:rPr>
        <w:t>独立的可加热电喷雾离子源（ESI源），集成式气路电路设计，安装离子源时即可实现气路电路连接，自动识别，无需进行额外操作；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1.1.2</w:t>
      </w:r>
      <w:r>
        <w:rPr>
          <w:rFonts w:hint="eastAsia" w:ascii="宋体" w:hAnsi="宋体" w:cs="宋体"/>
          <w:sz w:val="24"/>
          <w:highlight w:val="none"/>
        </w:rPr>
        <w:t>可加热ESI源，离子源加热温度最高可达550℃，不分流的情况下采用纯水作为溶剂，流速为1ul-2000ul/min；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1.1.3</w:t>
      </w:r>
      <w:r>
        <w:rPr>
          <w:rFonts w:hint="eastAsia" w:ascii="宋体" w:hAnsi="宋体" w:cs="宋体"/>
          <w:sz w:val="24"/>
          <w:highlight w:val="none"/>
        </w:rPr>
        <w:t>全自动注射泵实现质谱直接进样，自动调谐和校正，可通过软件自动切换模式。</w:t>
      </w:r>
    </w:p>
    <w:p>
      <w:pPr>
        <w:spacing w:line="360" w:lineRule="auto"/>
        <w:rPr>
          <w:rFonts w:hint="eastAsia" w:ascii="Times New Roman" w:hAnsi="宋体"/>
          <w:szCs w:val="21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.1.4</w:t>
      </w:r>
      <w:r>
        <w:rPr>
          <w:rFonts w:hint="eastAsia" w:ascii="Times New Roman" w:hAnsi="宋体"/>
          <w:szCs w:val="21"/>
          <w:highlight w:val="none"/>
        </w:rPr>
        <w:t>电动离子漏斗（EDIF）：有效捕获离子并聚焦，提高传输效率，减少离子损失，独立一体化设计，采用不锈钢材质，拆卸清晰方便；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1.2 离子传输部分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</w:t>
      </w:r>
      <w:r>
        <w:rPr>
          <w:rFonts w:ascii="宋体" w:hAnsi="宋体" w:cs="宋体"/>
          <w:sz w:val="24"/>
          <w:highlight w:val="none"/>
        </w:rPr>
        <w:t>.2.1</w:t>
      </w:r>
      <w:r>
        <w:rPr>
          <w:rFonts w:hint="eastAsia" w:ascii="宋体" w:hAnsi="宋体" w:cs="宋体"/>
          <w:sz w:val="24"/>
          <w:highlight w:val="none"/>
        </w:rPr>
        <w:t>离子传输系统必须配有金属离子传输管设计，保护分子涡轮泵，减少真空负担；1</w:t>
      </w:r>
      <w:r>
        <w:rPr>
          <w:rFonts w:ascii="宋体" w:hAnsi="宋体" w:cs="宋体"/>
          <w:sz w:val="24"/>
          <w:highlight w:val="none"/>
        </w:rPr>
        <w:t>.2.2</w:t>
      </w:r>
      <w:r>
        <w:rPr>
          <w:rFonts w:hint="eastAsia" w:ascii="宋体" w:hAnsi="宋体" w:cs="宋体"/>
          <w:sz w:val="24"/>
          <w:highlight w:val="none"/>
        </w:rPr>
        <w:t>离子传输管必须为全金属设计，可重复使用，如为其他材质，必须加配20根传输管为备件保证仪器正常使用。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1.2.3</w:t>
      </w:r>
      <w:r>
        <w:rPr>
          <w:rFonts w:hint="eastAsia" w:ascii="宋体" w:hAnsi="宋体" w:cs="宋体"/>
          <w:sz w:val="24"/>
          <w:highlight w:val="none"/>
        </w:rPr>
        <w:t>离子传输管独立加热，最高温度可达400℃，进一步提高去溶剂效果和确保离子传输系统抗污染能力；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1.2.4</w:t>
      </w:r>
      <w:r>
        <w:rPr>
          <w:rFonts w:hint="eastAsia" w:ascii="宋体" w:hAnsi="宋体" w:cs="宋体"/>
          <w:sz w:val="24"/>
          <w:highlight w:val="none"/>
        </w:rPr>
        <w:t>具有真空隔断阀设计，在移去、清洗离子传输部件时，不需破坏真空, 待机时不需要消耗氮气；</w:t>
      </w:r>
      <w:r>
        <w:rPr>
          <w:rFonts w:hint="eastAsia" w:ascii="宋体" w:hAnsi="宋体" w:cs="宋体"/>
          <w:sz w:val="24"/>
          <w:highlight w:val="none"/>
        </w:rPr>
        <w:tab/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1.3 质量分析器部分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Ansi="宋体"/>
          <w:szCs w:val="21"/>
          <w:highlight w:val="none"/>
        </w:rPr>
        <w:t>▲</w:t>
      </w:r>
      <w:r>
        <w:rPr>
          <w:rFonts w:hint="eastAsia" w:ascii="宋体" w:hAnsi="宋体" w:cs="宋体"/>
          <w:sz w:val="24"/>
          <w:highlight w:val="none"/>
        </w:rPr>
        <w:t>1</w:t>
      </w:r>
      <w:r>
        <w:rPr>
          <w:rFonts w:ascii="宋体" w:hAnsi="宋体" w:cs="宋体"/>
          <w:sz w:val="24"/>
          <w:highlight w:val="none"/>
        </w:rPr>
        <w:t>.3.1</w:t>
      </w:r>
      <w:r>
        <w:rPr>
          <w:rFonts w:hint="eastAsia" w:ascii="宋体" w:hAnsi="宋体" w:cs="宋体"/>
          <w:sz w:val="24"/>
          <w:highlight w:val="none"/>
        </w:rPr>
        <w:t>质量分析器采用四极杆与静电场轨道阱串联的组合，或四极杆与飞行时间串联的组合，若是四级杆-飞行时间串联组合，则必须配备离子淌度功能；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1.3.2</w:t>
      </w:r>
      <w:r>
        <w:rPr>
          <w:rFonts w:hint="eastAsia" w:ascii="宋体" w:hAnsi="宋体" w:cs="宋体"/>
          <w:sz w:val="24"/>
          <w:highlight w:val="none"/>
        </w:rPr>
        <w:t>质量范围50-</w:t>
      </w:r>
      <w:r>
        <w:rPr>
          <w:rFonts w:ascii="宋体" w:hAnsi="宋体" w:cs="宋体"/>
          <w:sz w:val="24"/>
          <w:highlight w:val="none"/>
        </w:rPr>
        <w:t>8</w:t>
      </w:r>
      <w:r>
        <w:rPr>
          <w:rFonts w:hint="eastAsia" w:ascii="宋体" w:hAnsi="宋体" w:cs="宋体"/>
          <w:sz w:val="24"/>
          <w:highlight w:val="none"/>
        </w:rPr>
        <w:t>000m/z。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Ansi="宋体"/>
          <w:szCs w:val="21"/>
          <w:highlight w:val="none"/>
        </w:rPr>
        <w:t>▲</w:t>
      </w:r>
      <w:r>
        <w:rPr>
          <w:rFonts w:hint="eastAsia" w:ascii="宋体" w:hAnsi="宋体" w:cs="宋体"/>
          <w:sz w:val="24"/>
          <w:highlight w:val="none"/>
        </w:rPr>
        <w:t>1</w:t>
      </w:r>
      <w:r>
        <w:rPr>
          <w:rFonts w:ascii="宋体" w:hAnsi="宋体" w:cs="宋体"/>
          <w:sz w:val="24"/>
          <w:highlight w:val="none"/>
        </w:rPr>
        <w:t>.3.2</w:t>
      </w:r>
      <w:r>
        <w:rPr>
          <w:rFonts w:hint="eastAsia" w:ascii="宋体" w:hAnsi="宋体" w:cs="宋体"/>
          <w:sz w:val="24"/>
          <w:highlight w:val="none"/>
        </w:rPr>
        <w:t>仪器分辨率：240,000 FWHM  ( m/z≤200)以上；≥4档可调；</w:t>
      </w:r>
    </w:p>
    <w:p>
      <w:pPr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▲1.3.3</w:t>
      </w:r>
      <w:r>
        <w:rPr>
          <w:rFonts w:hint="eastAsia" w:ascii="宋体" w:hAnsi="宋体" w:cs="宋体"/>
          <w:sz w:val="24"/>
          <w:highlight w:val="none"/>
        </w:rPr>
        <w:t>前</w:t>
      </w:r>
      <w:r>
        <w:rPr>
          <w:rFonts w:ascii="宋体" w:hAnsi="宋体" w:cs="宋体"/>
          <w:sz w:val="24"/>
          <w:highlight w:val="none"/>
        </w:rPr>
        <w:t>级四极杆母离子选择：前级四极杆为</w:t>
      </w:r>
      <w:r>
        <w:rPr>
          <w:rFonts w:hint="eastAsia" w:ascii="宋体" w:hAnsi="宋体" w:cs="宋体"/>
          <w:sz w:val="24"/>
          <w:highlight w:val="none"/>
        </w:rPr>
        <w:t>三</w:t>
      </w:r>
      <w:r>
        <w:rPr>
          <w:rFonts w:ascii="宋体" w:hAnsi="宋体" w:cs="宋体"/>
          <w:sz w:val="24"/>
          <w:highlight w:val="none"/>
        </w:rPr>
        <w:t>段式金属钼共轭双曲面四极杆，高分辨母离子选择≤0.4Da；</w:t>
      </w:r>
    </w:p>
    <w:p>
      <w:pPr>
        <w:widowControl/>
        <w:snapToGrid w:val="0"/>
        <w:spacing w:line="360" w:lineRule="auto"/>
        <w:rPr>
          <w:rFonts w:ascii="Times New Roman" w:hAnsi="Times New Roman"/>
          <w:color w:val="000000"/>
          <w:szCs w:val="21"/>
          <w:highlight w:val="none"/>
          <w:vertAlign w:val="superscript"/>
        </w:rPr>
      </w:pPr>
      <w:r>
        <w:rPr>
          <w:rFonts w:hint="eastAsia" w:ascii="宋体" w:hAnsi="宋体" w:cs="宋体"/>
          <w:sz w:val="24"/>
          <w:highlight w:val="none"/>
        </w:rPr>
        <w:t>1</w:t>
      </w:r>
      <w:r>
        <w:rPr>
          <w:rFonts w:ascii="宋体" w:hAnsi="宋体" w:cs="宋体"/>
          <w:sz w:val="24"/>
          <w:highlight w:val="none"/>
        </w:rPr>
        <w:t>.3.4</w:t>
      </w:r>
      <w:r>
        <w:rPr>
          <w:rFonts w:hint="eastAsia" w:ascii="宋体" w:hAnsi="宋体" w:cs="宋体"/>
          <w:sz w:val="24"/>
          <w:highlight w:val="none"/>
        </w:rPr>
        <w:t>线性范围：</w:t>
      </w:r>
      <w:r>
        <w:rPr>
          <w:rFonts w:ascii="宋体" w:hAnsi="宋体" w:cs="宋体"/>
          <w:sz w:val="24"/>
          <w:highlight w:val="none"/>
        </w:rPr>
        <w:t>≥</w:t>
      </w:r>
      <w:r>
        <w:rPr>
          <w:rFonts w:ascii="Times New Roman" w:hAnsi="Times New Roman"/>
          <w:color w:val="000000"/>
          <w:szCs w:val="21"/>
          <w:highlight w:val="none"/>
        </w:rPr>
        <w:t>10</w:t>
      </w:r>
      <w:r>
        <w:rPr>
          <w:rFonts w:ascii="Times New Roman" w:hAnsi="Times New Roman"/>
          <w:color w:val="000000"/>
          <w:szCs w:val="21"/>
          <w:highlight w:val="none"/>
          <w:vertAlign w:val="superscript"/>
        </w:rPr>
        <w:t>5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▲</w:t>
      </w:r>
      <w:r>
        <w:rPr>
          <w:rFonts w:hint="eastAsia" w:ascii="宋体" w:hAnsi="宋体" w:cs="宋体"/>
          <w:sz w:val="24"/>
          <w:highlight w:val="none"/>
        </w:rPr>
        <w:t>1</w:t>
      </w:r>
      <w:r>
        <w:rPr>
          <w:rFonts w:ascii="宋体" w:hAnsi="宋体" w:cs="宋体"/>
          <w:sz w:val="24"/>
          <w:highlight w:val="none"/>
        </w:rPr>
        <w:t>.3.5质谱采集速率：最高40Hz；分辨率≥60000 FWHM时，不少于3张/秒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Ansi="宋体"/>
          <w:szCs w:val="21"/>
          <w:highlight w:val="none"/>
        </w:rPr>
        <w:t>▲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1</w:t>
      </w:r>
      <w:r>
        <w:rPr>
          <w:rFonts w:ascii="宋体" w:hAnsi="宋体"/>
          <w:color w:val="000000"/>
          <w:sz w:val="24"/>
          <w:szCs w:val="24"/>
          <w:highlight w:val="none"/>
        </w:rPr>
        <w:t>.3.6</w:t>
      </w:r>
      <w:r>
        <w:rPr>
          <w:rFonts w:ascii="Times New Roman" w:hAnsi="宋体"/>
          <w:color w:val="000000"/>
          <w:szCs w:val="21"/>
          <w:highlight w:val="none"/>
        </w:rPr>
        <w:t>正</w:t>
      </w:r>
      <w:r>
        <w:rPr>
          <w:rFonts w:ascii="宋体" w:hAnsi="宋体" w:cs="宋体"/>
          <w:sz w:val="24"/>
          <w:highlight w:val="none"/>
        </w:rPr>
        <w:t>负离子切换速度：小于1秒</w:t>
      </w:r>
      <w:r>
        <w:rPr>
          <w:rFonts w:hint="eastAsia" w:ascii="宋体" w:hAnsi="宋体" w:cs="宋体"/>
          <w:sz w:val="24"/>
          <w:highlight w:val="none"/>
        </w:rPr>
        <w:t>（即每秒可获得正负离子谱图各一张）</w:t>
      </w:r>
      <w:r>
        <w:rPr>
          <w:rFonts w:ascii="宋体" w:hAnsi="宋体" w:cs="宋体"/>
          <w:sz w:val="24"/>
          <w:highlight w:val="none"/>
        </w:rPr>
        <w:t>，在进行快速</w:t>
      </w:r>
      <w:r>
        <w:rPr>
          <w:rFonts w:hint="eastAsia" w:ascii="宋体" w:hAnsi="宋体" w:cs="宋体"/>
          <w:sz w:val="24"/>
          <w:highlight w:val="none"/>
        </w:rPr>
        <w:t>正负</w:t>
      </w:r>
      <w:r>
        <w:rPr>
          <w:rFonts w:ascii="宋体" w:hAnsi="宋体" w:cs="宋体"/>
          <w:sz w:val="24"/>
          <w:highlight w:val="none"/>
        </w:rPr>
        <w:t>切换</w:t>
      </w:r>
      <w:r>
        <w:rPr>
          <w:rFonts w:hint="eastAsia" w:ascii="宋体" w:hAnsi="宋体" w:cs="宋体"/>
          <w:sz w:val="24"/>
          <w:highlight w:val="none"/>
        </w:rPr>
        <w:t>模式下</w:t>
      </w:r>
      <w:r>
        <w:rPr>
          <w:rFonts w:ascii="宋体" w:hAnsi="宋体" w:cs="宋体"/>
          <w:sz w:val="24"/>
          <w:highlight w:val="none"/>
        </w:rPr>
        <w:t>连续运行2小时，质量轴的稳定性</w:t>
      </w:r>
      <w:r>
        <w:rPr>
          <w:rFonts w:ascii="Times New Roman" w:hAnsi="Times New Roman"/>
          <w:sz w:val="24"/>
          <w:highlight w:val="none"/>
        </w:rPr>
        <w:t>&lt;</w:t>
      </w:r>
      <w:r>
        <w:rPr>
          <w:rFonts w:ascii="宋体" w:hAnsi="宋体" w:cs="宋体"/>
          <w:sz w:val="24"/>
          <w:highlight w:val="none"/>
        </w:rPr>
        <w:t>3ppm；即用0.5ppb氯霉素和0.5ppb克伦特罗混合溶液作为测试液，蠕动泵连续进样2小时，正负快速扫描同时监测氯霉素和克伦特罗分子离子峰，两者质量偏差小于3ppm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Ansi="宋体"/>
          <w:szCs w:val="21"/>
          <w:highlight w:val="none"/>
        </w:rPr>
        <w:t>▲</w:t>
      </w:r>
      <w:r>
        <w:rPr>
          <w:rFonts w:hint="eastAsia" w:ascii="宋体" w:hAnsi="宋体" w:cs="宋体"/>
          <w:sz w:val="24"/>
          <w:highlight w:val="none"/>
        </w:rPr>
        <w:t>1</w:t>
      </w:r>
      <w:r>
        <w:rPr>
          <w:rFonts w:ascii="宋体" w:hAnsi="宋体" w:cs="宋体"/>
          <w:sz w:val="24"/>
          <w:highlight w:val="none"/>
        </w:rPr>
        <w:t>.3.6</w:t>
      </w:r>
      <w:r>
        <w:rPr>
          <w:rFonts w:hint="eastAsia" w:ascii="宋体" w:hAnsi="宋体" w:cs="宋体"/>
          <w:sz w:val="24"/>
          <w:highlight w:val="none"/>
        </w:rPr>
        <w:t>灵敏度：全扫描Full Scan（m/z 100-900）灵敏度（分辨率保持在60000 FWHM或以上）：50fg 利血平进样，S/N</w:t>
      </w:r>
      <w:r>
        <w:rPr>
          <w:rFonts w:ascii="Times New Roman" w:hAnsi="Times New Roman"/>
          <w:sz w:val="24"/>
          <w:highlight w:val="none"/>
        </w:rPr>
        <w:t>&gt;</w:t>
      </w:r>
      <w:r>
        <w:rPr>
          <w:rFonts w:hint="eastAsia" w:ascii="宋体" w:hAnsi="宋体" w:cs="宋体"/>
          <w:sz w:val="24"/>
          <w:highlight w:val="none"/>
        </w:rPr>
        <w:t>500:1；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选择离子扫描SIM灵敏度（分辨率保持在60000 FWHM或以上）：50fg 利血平进样 S/N</w:t>
      </w:r>
      <w:r>
        <w:rPr>
          <w:rFonts w:ascii="Times New Roman" w:hAnsi="Times New Roman"/>
          <w:sz w:val="24"/>
          <w:highlight w:val="none"/>
        </w:rPr>
        <w:t>&gt;</w:t>
      </w:r>
      <w:r>
        <w:rPr>
          <w:rFonts w:hint="eastAsia" w:ascii="宋体" w:hAnsi="宋体" w:cs="宋体"/>
          <w:sz w:val="24"/>
          <w:highlight w:val="none"/>
        </w:rPr>
        <w:t>1000:1；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MS/MS灵敏度（分辨率保持在6</w:t>
      </w:r>
      <w:r>
        <w:rPr>
          <w:rFonts w:ascii="宋体" w:hAnsi="宋体" w:cs="宋体"/>
          <w:sz w:val="24"/>
          <w:highlight w:val="none"/>
        </w:rPr>
        <w:t>0</w:t>
      </w:r>
      <w:r>
        <w:rPr>
          <w:rFonts w:hint="eastAsia" w:ascii="宋体" w:hAnsi="宋体" w:cs="宋体"/>
          <w:sz w:val="24"/>
          <w:highlight w:val="none"/>
        </w:rPr>
        <w:t>000 FWHM或以上）：50fg 利血平进样 S/N&gt;1000:1；作为验收指标，如灵敏度不满足要求，需加配一套高端三重四极杆液质以弥补灵敏度的不足。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Ansi="宋体"/>
          <w:szCs w:val="21"/>
          <w:highlight w:val="none"/>
        </w:rPr>
        <w:t>▲</w:t>
      </w:r>
      <w:r>
        <w:rPr>
          <w:rFonts w:hint="eastAsia" w:ascii="宋体" w:hAnsi="宋体" w:cs="宋体"/>
          <w:sz w:val="24"/>
          <w:highlight w:val="none"/>
        </w:rPr>
        <w:t>1.</w:t>
      </w:r>
      <w:r>
        <w:rPr>
          <w:rFonts w:ascii="宋体" w:hAnsi="宋体" w:cs="宋体"/>
          <w:sz w:val="24"/>
          <w:highlight w:val="none"/>
        </w:rPr>
        <w:t>4</w:t>
      </w:r>
      <w:r>
        <w:rPr>
          <w:rFonts w:hint="eastAsia" w:ascii="宋体" w:hAnsi="宋体" w:cs="宋体"/>
          <w:sz w:val="24"/>
          <w:highlight w:val="none"/>
        </w:rPr>
        <w:t>检测器: FT无损检测；质谱如果采用微通道板（MCP）或电子倍增器等消耗型检测器，请额外提供相应备用检测器至少5个；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二. 液相部分技术参数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2.1泵 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</w:t>
      </w:r>
      <w:r>
        <w:rPr>
          <w:rFonts w:ascii="宋体" w:hAnsi="宋体" w:cs="宋体"/>
          <w:sz w:val="24"/>
          <w:highlight w:val="none"/>
        </w:rPr>
        <w:t>.1.1</w:t>
      </w:r>
      <w:r>
        <w:rPr>
          <w:rFonts w:hint="eastAsia" w:ascii="宋体" w:hAnsi="宋体" w:cs="宋体"/>
          <w:sz w:val="24"/>
          <w:highlight w:val="none"/>
        </w:rPr>
        <w:t>二元高压梯度混合，压力范围：最高到15,000 psi；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2.1.2</w:t>
      </w:r>
      <w:r>
        <w:rPr>
          <w:rFonts w:hint="eastAsia" w:ascii="宋体" w:hAnsi="宋体" w:cs="宋体"/>
          <w:sz w:val="24"/>
          <w:highlight w:val="none"/>
        </w:rPr>
        <w:t>压力波动：</w:t>
      </w:r>
      <w:r>
        <w:rPr>
          <w:rFonts w:ascii="Times New Roman" w:hAnsi="Times New Roman"/>
          <w:sz w:val="24"/>
          <w:highlight w:val="none"/>
        </w:rPr>
        <w:t>&lt;</w:t>
      </w:r>
      <w:r>
        <w:rPr>
          <w:rFonts w:hint="eastAsia" w:ascii="宋体" w:hAnsi="宋体" w:cs="宋体"/>
          <w:sz w:val="24"/>
          <w:highlight w:val="none"/>
        </w:rPr>
        <w:t>1%或0.2Mpa；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2.1.3</w:t>
      </w:r>
      <w:r>
        <w:rPr>
          <w:rFonts w:hint="eastAsia" w:ascii="宋体" w:hAnsi="宋体" w:cs="宋体"/>
          <w:sz w:val="24"/>
          <w:highlight w:val="none"/>
        </w:rPr>
        <w:t>流速范围：0.001~ 8mL/min，步进0.001 mL/min；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2.1.4</w:t>
      </w:r>
      <w:r>
        <w:rPr>
          <w:rFonts w:hint="eastAsia" w:ascii="宋体" w:hAnsi="宋体" w:cs="宋体"/>
          <w:sz w:val="24"/>
          <w:highlight w:val="none"/>
        </w:rPr>
        <w:t>流速准确度：±0.1%；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Ansi="宋体"/>
          <w:szCs w:val="21"/>
          <w:highlight w:val="none"/>
        </w:rPr>
        <w:t>▲</w:t>
      </w:r>
      <w:r>
        <w:rPr>
          <w:rFonts w:ascii="宋体" w:hAnsi="宋体" w:cs="宋体"/>
          <w:sz w:val="24"/>
          <w:highlight w:val="none"/>
        </w:rPr>
        <w:t>2.1.5</w:t>
      </w:r>
      <w:r>
        <w:rPr>
          <w:rFonts w:hint="eastAsia" w:ascii="宋体" w:hAnsi="宋体" w:cs="宋体"/>
          <w:sz w:val="24"/>
          <w:highlight w:val="none"/>
        </w:rPr>
        <w:t>流量精度</w:t>
      </w:r>
      <w:r>
        <w:rPr>
          <w:rFonts w:hint="eastAsia" w:ascii="宋体" w:hAnsi="宋体" w:cs="宋体"/>
          <w:sz w:val="24"/>
          <w:highlight w:val="none"/>
        </w:rPr>
        <w:tab/>
      </w:r>
      <w:r>
        <w:rPr>
          <w:rFonts w:ascii="Times New Roman" w:hAnsi="Times New Roman"/>
          <w:sz w:val="24"/>
          <w:highlight w:val="none"/>
        </w:rPr>
        <w:t>&lt;</w:t>
      </w:r>
      <w:r>
        <w:rPr>
          <w:rFonts w:hint="eastAsia" w:ascii="宋体" w:hAnsi="宋体" w:cs="宋体"/>
          <w:sz w:val="24"/>
          <w:highlight w:val="none"/>
        </w:rPr>
        <w:t>0.05% RSD；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2.1.6</w:t>
      </w:r>
      <w:r>
        <w:rPr>
          <w:rFonts w:hint="eastAsia" w:ascii="宋体" w:hAnsi="宋体" w:cs="宋体"/>
          <w:sz w:val="24"/>
          <w:highlight w:val="none"/>
        </w:rPr>
        <w:t>梯度组成比例范围：0-100%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2.2自动进样器 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</w:t>
      </w:r>
      <w:r>
        <w:rPr>
          <w:rFonts w:ascii="宋体" w:hAnsi="宋体" w:cs="宋体"/>
          <w:sz w:val="24"/>
          <w:highlight w:val="none"/>
        </w:rPr>
        <w:t>.2.1</w:t>
      </w:r>
      <w:r>
        <w:rPr>
          <w:rFonts w:hint="eastAsia" w:ascii="宋体" w:hAnsi="宋体" w:cs="宋体"/>
          <w:sz w:val="24"/>
          <w:highlight w:val="none"/>
        </w:rPr>
        <w:t>加样体积：0.01-100ul，增量0.01 ul；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2.2.2</w:t>
      </w:r>
      <w:r>
        <w:rPr>
          <w:rFonts w:hint="eastAsia" w:ascii="宋体" w:hAnsi="宋体" w:cs="宋体"/>
          <w:sz w:val="24"/>
          <w:highlight w:val="none"/>
        </w:rPr>
        <w:t>加样体积准确度：±0.5%；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</w:t>
      </w:r>
      <w:r>
        <w:rPr>
          <w:rFonts w:ascii="宋体" w:hAnsi="宋体" w:cs="宋体"/>
          <w:sz w:val="24"/>
          <w:highlight w:val="none"/>
        </w:rPr>
        <w:t>.2.3</w:t>
      </w:r>
      <w:r>
        <w:rPr>
          <w:rFonts w:hint="eastAsia" w:ascii="宋体" w:hAnsi="宋体" w:cs="宋体"/>
          <w:sz w:val="24"/>
          <w:highlight w:val="none"/>
        </w:rPr>
        <w:t>多种样品盘选择：2ml样品瓶最多能放216个；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2.2.4</w:t>
      </w:r>
      <w:r>
        <w:rPr>
          <w:rFonts w:hint="eastAsia" w:ascii="宋体" w:hAnsi="宋体" w:cs="宋体"/>
          <w:sz w:val="24"/>
          <w:highlight w:val="none"/>
        </w:rPr>
        <w:t>样品盘温度范围：4-40℃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2.3柱温箱 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</w:t>
      </w:r>
      <w:r>
        <w:rPr>
          <w:rFonts w:ascii="宋体" w:hAnsi="宋体" w:cs="宋体"/>
          <w:sz w:val="24"/>
          <w:highlight w:val="none"/>
        </w:rPr>
        <w:t>.3.1</w:t>
      </w:r>
      <w:r>
        <w:rPr>
          <w:rFonts w:hint="eastAsia" w:ascii="宋体" w:hAnsi="宋体" w:cs="宋体"/>
          <w:sz w:val="24"/>
          <w:highlight w:val="none"/>
        </w:rPr>
        <w:t>标配2µL的预热器，减少溶剂进入色谱柱的温度歧视影响；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2.3.2</w:t>
      </w:r>
      <w:r>
        <w:rPr>
          <w:rFonts w:hint="eastAsia" w:ascii="宋体" w:hAnsi="宋体" w:cs="宋体"/>
          <w:sz w:val="24"/>
          <w:highlight w:val="none"/>
        </w:rPr>
        <w:t>控温范围：5-120℃，室温下18℃（带降温功能）；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2.3.3</w:t>
      </w:r>
      <w:r>
        <w:rPr>
          <w:rFonts w:hint="eastAsia" w:ascii="宋体" w:hAnsi="宋体" w:cs="宋体"/>
          <w:sz w:val="24"/>
          <w:highlight w:val="none"/>
        </w:rPr>
        <w:t>温度精确度：±0.5℃；温控稳定性：±0.05℃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三. 数据处理系统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品牌主流电脑工作站（质谱分析软件、Windows与Office软件）一台；工作站及软件具备数据采集、数据处理、定性定量分析、建立数据库、谱库检索等功能。</w:t>
      </w:r>
    </w:p>
    <w:p>
      <w:pPr>
        <w:pStyle w:val="2"/>
        <w:ind w:firstLine="560"/>
        <w:rPr>
          <w:rFonts w:hint="eastAsia"/>
          <w:highlight w:val="none"/>
        </w:rPr>
      </w:pPr>
    </w:p>
    <w:p>
      <w:pPr>
        <w:widowControl/>
        <w:snapToGrid w:val="0"/>
        <w:spacing w:before="120" w:beforeLines="50" w:after="120" w:after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3配置清单及零配件（包括专用工具）：</w:t>
      </w:r>
    </w:p>
    <w:tbl>
      <w:tblPr>
        <w:tblStyle w:val="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序号</w:t>
            </w:r>
          </w:p>
        </w:tc>
        <w:tc>
          <w:tcPr>
            <w:tcW w:w="5386" w:type="dxa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名称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单位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高分辨质谱主机（含安装工具包等启动工具）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超高效液相色谱基座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3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超高效二元高压泵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4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柱温箱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5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带温控的自动进样器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6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质谱连接组件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7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定量软件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8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组学应用软件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9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ascii="宋体" w:hAnsi="宋体" w:cs="宋体"/>
                <w:bCs/>
                <w:sz w:val="24"/>
                <w:highlight w:val="none"/>
              </w:rPr>
              <w:t>32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L或以上氮气发生器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10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数据输出装置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</w:tr>
    </w:tbl>
    <w:p>
      <w:pPr>
        <w:widowControl/>
        <w:snapToGrid w:val="0"/>
        <w:spacing w:before="120" w:beforeLines="50" w:line="360" w:lineRule="auto"/>
        <w:rPr>
          <w:rFonts w:hint="eastAsia" w:ascii="宋体" w:hAnsi="宋体" w:cs="宋体"/>
          <w:b/>
          <w:sz w:val="24"/>
          <w:highlight w:val="none"/>
        </w:rPr>
      </w:pPr>
    </w:p>
    <w:p>
      <w:pPr>
        <w:widowControl/>
        <w:snapToGrid w:val="0"/>
        <w:spacing w:before="120" w:before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二、商务要求：</w:t>
      </w:r>
    </w:p>
    <w:p>
      <w:pPr>
        <w:widowControl/>
        <w:snapToGrid w:val="0"/>
        <w:spacing w:before="120" w:before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1 技术服务条款：</w:t>
      </w:r>
    </w:p>
    <w:p>
      <w:pPr>
        <w:widowControl/>
        <w:spacing w:before="120" w:beforeLines="50" w:line="360" w:lineRule="auto"/>
        <w:ind w:firstLine="240" w:firstLineChars="1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售后服务要求：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1）投标人需为本项目配备足够的售后服务力量，具有国内本地化的服务团队。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2）投标人售后服务响应时间：电话响应时间要求4小时内，到场响应时间要求2个工作日内（指从接到报障至到达故障现场的时间）。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3）投标人免费提供技术支持热线电话。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4）投标人免费提供email技术支持，并且在24小时内回复。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5）投标人提供仪器设备的</w:t>
      </w:r>
      <w:r>
        <w:rPr>
          <w:rFonts w:hint="eastAsia" w:ascii="宋体" w:hAnsi="宋体" w:cs="宋体"/>
          <w:b/>
          <w:bCs/>
          <w:sz w:val="24"/>
          <w:highlight w:val="none"/>
        </w:rPr>
        <w:t>免费保修期主</w:t>
      </w:r>
      <w:r>
        <w:rPr>
          <w:rFonts w:hint="eastAsia" w:ascii="宋体" w:hAnsi="宋体" w:cs="宋体"/>
          <w:b/>
          <w:bCs/>
          <w:color w:val="0C0C0C"/>
          <w:sz w:val="24"/>
          <w:highlight w:val="none"/>
        </w:rPr>
        <w:t>机三年，</w:t>
      </w:r>
      <w:r>
        <w:rPr>
          <w:rFonts w:hint="eastAsia" w:ascii="宋体" w:hAnsi="宋体" w:cs="宋体"/>
          <w:b/>
          <w:bCs/>
          <w:sz w:val="24"/>
          <w:highlight w:val="none"/>
        </w:rPr>
        <w:t>配件一年</w:t>
      </w:r>
      <w:r>
        <w:rPr>
          <w:rFonts w:hint="eastAsia" w:ascii="宋体" w:hAnsi="宋体" w:cs="宋体"/>
          <w:sz w:val="24"/>
          <w:highlight w:val="none"/>
        </w:rPr>
        <w:t>（保修期内免费维修并更换除消耗品以外的零部件，维修人员的路费、食宿等自理）。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6）投标人提供该设备的技术使用说明书及外购配件仪器说明书，并指导在使用该设备时的操作注意事项等。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7）投标人提供配套软件</w:t>
      </w:r>
      <w:r>
        <w:rPr>
          <w:rFonts w:hint="eastAsia" w:ascii="宋体" w:hAnsi="宋体" w:cs="宋体"/>
          <w:b/>
          <w:bCs/>
          <w:color w:val="0C0C0C"/>
          <w:sz w:val="24"/>
          <w:highlight w:val="none"/>
        </w:rPr>
        <w:t>至少三年</w:t>
      </w:r>
      <w:r>
        <w:rPr>
          <w:rFonts w:hint="eastAsia" w:ascii="宋体" w:hAnsi="宋体" w:cs="宋体"/>
          <w:color w:val="0C0C0C"/>
          <w:sz w:val="24"/>
          <w:highlight w:val="none"/>
        </w:rPr>
        <w:t>的免费</w:t>
      </w:r>
      <w:r>
        <w:rPr>
          <w:rFonts w:hint="eastAsia" w:ascii="宋体" w:hAnsi="宋体" w:cs="宋体"/>
          <w:sz w:val="24"/>
          <w:highlight w:val="none"/>
        </w:rPr>
        <w:t>升级服务。</w:t>
      </w:r>
    </w:p>
    <w:p>
      <w:pPr>
        <w:widowControl/>
        <w:spacing w:before="120" w:before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培训要求：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1）为保证投标人所提供的仪器设备安全、可靠运行，便于采购人的运行维护，必须对采购人培训合格的维护和管理人员。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2）投标人负责对采购人提供至少一次现场技术培训，以便工作人员在培训后能熟练地掌握系统的维护工作，并能及时排除大部分的系统障碍。</w:t>
      </w:r>
    </w:p>
    <w:p>
      <w:pPr>
        <w:widowControl/>
        <w:spacing w:before="120" w:before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2 包装要求：</w:t>
      </w:r>
    </w:p>
    <w:p>
      <w:pPr>
        <w:widowControl/>
        <w:spacing w:before="120" w:beforeLines="50"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>
      <w:pPr>
        <w:widowControl/>
        <w:snapToGrid w:val="0"/>
        <w:spacing w:before="120" w:before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3 交货日期：</w:t>
      </w:r>
    </w:p>
    <w:p>
      <w:pPr>
        <w:autoSpaceDE w:val="0"/>
        <w:autoSpaceDN w:val="0"/>
        <w:spacing w:before="120" w:beforeLines="50"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合同签订后的3月内交货</w:t>
      </w:r>
    </w:p>
    <w:p>
      <w:pPr>
        <w:widowControl/>
        <w:snapToGrid w:val="0"/>
        <w:spacing w:before="120" w:before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4 到货口岸及交货地点：</w:t>
      </w:r>
    </w:p>
    <w:p>
      <w:pPr>
        <w:widowControl/>
        <w:snapToGrid w:val="0"/>
        <w:spacing w:before="120" w:beforeLines="50"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深圳机场，项目现场：广东省深圳市大鹏新区布新路97号</w:t>
      </w:r>
    </w:p>
    <w:p>
      <w:pPr>
        <w:widowControl/>
        <w:snapToGrid w:val="0"/>
        <w:spacing w:before="120" w:before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5 验收标准：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1）仪器设备运抵安装现场后，买方将与卖方共同开箱验收,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2）卖方应提出仪器设备测试的内容、项目、指标和方法,卖方有责任对买方的技术人员提出的问题作出解答。测试应进行详细记录,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3）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>
      <w:pPr>
        <w:widowControl/>
        <w:snapToGrid w:val="0"/>
        <w:spacing w:before="120" w:beforeLines="50"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6其它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对仪器设备生产厂家要求：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1）厂家应具备一定规模的科研、生产、技术支持及售后服务能力。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2）厂家在国内设有技术支持中心及维修中心 。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sz w:val="24"/>
          <w:highlight w:val="none"/>
        </w:rPr>
      </w:pPr>
    </w:p>
    <w:p>
      <w:pPr>
        <w:widowControl/>
        <w:snapToGrid w:val="0"/>
        <w:spacing w:before="120" w:beforeLines="50" w:line="360" w:lineRule="auto"/>
        <w:rPr>
          <w:rFonts w:hint="eastAsia" w:ascii="宋体" w:hAnsi="宋体" w:cs="宋体"/>
          <w:b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sz w:val="24"/>
          <w:highlight w:val="none"/>
        </w:rPr>
        <w:t>*7</w:t>
      </w:r>
      <w:r>
        <w:rPr>
          <w:rFonts w:hint="eastAsia" w:ascii="宋体" w:hAnsi="宋体" w:cs="宋体"/>
          <w:b/>
          <w:sz w:val="24"/>
          <w:highlight w:val="none"/>
          <w:lang w:val="zh-CN"/>
        </w:rPr>
        <w:t xml:space="preserve"> 报价方式：</w:t>
      </w:r>
    </w:p>
    <w:p>
      <w:pPr>
        <w:widowControl/>
        <w:tabs>
          <w:tab w:val="left" w:pos="900"/>
        </w:tabs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7.1进口货物与服务报CIP指定项目现场人民币免税价。（包含但不仅限于进口外贸代理费、清关杂费、运输费、保险费等所有费用）。</w:t>
      </w:r>
    </w:p>
    <w:p>
      <w:pPr>
        <w:widowControl/>
        <w:tabs>
          <w:tab w:val="left" w:pos="900"/>
        </w:tabs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7.2国产产品与服务报项目现场人民币含税价。报价中需包括制造、装配和发运货物所使用的材料、部件及货物本身已支付或将支付的产品税、销售税和其它税费。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7.3上述价格的构成须按在分项报价表中格式要求详细列出。如所投产品中既有进口又有国产设备，报价应该分开报价采用免税价+人民币含税价的形式。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7.4 对原产于美国的产品，中国政府加征的特殊关税由中标人承担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7.5 投标人需就整个包进行响应，不完整的投标将被拒绝。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7.6投标报价不得超出采购预算（即最高限价），否则投标将被拒绝。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7.7如因政策变动本产品不能减免税，供应商须承担所有相关税费。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*8 付款方式</w:t>
      </w:r>
    </w:p>
    <w:p>
      <w:pPr>
        <w:pStyle w:val="2"/>
        <w:spacing w:line="360" w:lineRule="auto"/>
        <w:ind w:left="0" w:firstLine="480"/>
        <w:rPr>
          <w:rFonts w:ascii="宋体" w:eastAsia="宋体"/>
          <w:sz w:val="24"/>
          <w:szCs w:val="24"/>
          <w:highlight w:val="none"/>
        </w:rPr>
      </w:pPr>
      <w:r>
        <w:rPr>
          <w:rFonts w:ascii="宋体" w:eastAsia="宋体"/>
          <w:sz w:val="24"/>
          <w:szCs w:val="24"/>
          <w:highlight w:val="none"/>
        </w:rPr>
        <w:t>签订合同后待中标方提供20%银行履约保函后5个工作日内付款</w:t>
      </w:r>
      <w:r>
        <w:rPr>
          <w:rFonts w:hint="eastAsia" w:ascii="宋体" w:eastAsia="宋体"/>
          <w:sz w:val="24"/>
          <w:szCs w:val="24"/>
          <w:highlight w:val="none"/>
        </w:rPr>
        <w:t>75</w:t>
      </w:r>
      <w:r>
        <w:rPr>
          <w:rFonts w:ascii="宋体" w:eastAsia="宋体"/>
          <w:sz w:val="24"/>
          <w:szCs w:val="24"/>
          <w:highlight w:val="none"/>
        </w:rPr>
        <w:t>%（20%履约保函待货物验收合格后退还），2</w:t>
      </w:r>
      <w:r>
        <w:rPr>
          <w:rFonts w:hint="eastAsia" w:ascii="宋体" w:eastAsia="宋体"/>
          <w:sz w:val="24"/>
          <w:szCs w:val="24"/>
          <w:highlight w:val="none"/>
        </w:rPr>
        <w:t>5</w:t>
      </w:r>
      <w:r>
        <w:rPr>
          <w:rFonts w:ascii="宋体" w:eastAsia="宋体"/>
          <w:sz w:val="24"/>
          <w:szCs w:val="24"/>
          <w:highlight w:val="none"/>
        </w:rPr>
        <w:t>%尾款待验收合格后中标方提供5%银行质量保函后支付（5%质量保函待质保到期后退还）。</w:t>
      </w:r>
    </w:p>
    <w:p>
      <w:pPr>
        <w:pStyle w:val="2"/>
        <w:spacing w:line="360" w:lineRule="auto"/>
        <w:ind w:left="0" w:firstLine="480"/>
        <w:rPr>
          <w:rFonts w:ascii="宋体" w:eastAsia="宋体"/>
          <w:sz w:val="24"/>
          <w:szCs w:val="24"/>
          <w:highlight w:val="none"/>
        </w:rPr>
      </w:pPr>
      <w:r>
        <w:rPr>
          <w:rFonts w:ascii="宋体" w:eastAsia="宋体"/>
          <w:sz w:val="24"/>
          <w:szCs w:val="24"/>
          <w:highlight w:val="none"/>
        </w:rPr>
        <w:t>若签订合同时项目资金还未到位，首付款支付时间需在经费到位后5个工作日内支付。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03D9C"/>
    <w:multiLevelType w:val="singleLevel"/>
    <w:tmpl w:val="59F03D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F84946"/>
    <w:multiLevelType w:val="multilevel"/>
    <w:tmpl w:val="68F84946"/>
    <w:lvl w:ilvl="0" w:tentative="0">
      <w:start w:val="1"/>
      <w:numFmt w:val="decimal"/>
      <w:lvlText w:val="%1）"/>
      <w:lvlJc w:val="left"/>
      <w:pPr>
        <w:tabs>
          <w:tab w:val="left" w:pos="1896"/>
        </w:tabs>
        <w:ind w:left="1896" w:hanging="396"/>
      </w:pPr>
      <w:rPr>
        <w:rFonts w:hint="eastAsia" w:eastAsia="仿宋_GB2312"/>
        <w:b w:val="0"/>
        <w:i w:val="0"/>
        <w:color w:val="auto"/>
      </w:rPr>
    </w:lvl>
    <w:lvl w:ilvl="1" w:tentative="0">
      <w:start w:val="8"/>
      <w:numFmt w:val="japaneseCounting"/>
      <w:lvlText w:val="第%2章"/>
      <w:lvlJc w:val="left"/>
      <w:pPr>
        <w:tabs>
          <w:tab w:val="left" w:pos="1935"/>
        </w:tabs>
        <w:ind w:left="1935" w:hanging="1515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428E2"/>
    <w:rsid w:val="11B4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楷体_GB2312"/>
      <w:b/>
      <w:kern w:val="44"/>
      <w:sz w:val="7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700" w:firstLineChars="250"/>
    </w:pPr>
    <w:rPr>
      <w:rFonts w:ascii="楷体_GB2312" w:hAnsi="宋体" w:eastAsia="楷体_GB2312"/>
      <w:sz w:val="28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2022-02-07T02:25:00Z</dcterms:created>
  <dc:creator>MJ</dc:creator>
  <cp:lastModifiedBy>MJ</cp:lastModifiedBy>
  <dcterms:modified xsi:type="dcterms:W3CDTF">2022-02-07T02:26:07Z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598223D8A8D54043BAB0BA89481E2CB7</vt:lpwstr>
  </property>
</Properties>
</file>