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bookmarkStart w:id="1" w:name="_GoBack"/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、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仪器名称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：拉曼光谱仪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2、仪器用途：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该设备主要是用来鉴定材料结构和分子相互作用，能够提供材料本身以及表面上物种的结构信息。可实现多波长拉曼光谱测试、2D/3D扫描共聚焦拉曼光谱和光致发光光谱快速成像、微区白光反射光谱及成像以及光电流快速成像。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3、技术规格及要求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3.1工作条件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3.1.1 电源：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220V 50/60Hz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3.1.2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相对湿度：20%～80%；环境温度：+19℃至+25℃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3.2技术指标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3.2.1光谱仪与检测器系统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3.2.1.1 高灵敏度光谱仪焦长：≥300毫米；内无反射镜损耗信号；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*3.2.1.2 同时配备300, 600及1800刻线三块光栅，可实现软件控制自动切换，无需手动更换光栅；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3.2.1.3 光谱分辨率：优于1.5 cm-1；（正常测试条件）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3.2.1.4 光谱重复性：优于0.02 cm-1；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#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3.2.1.5共聚焦高灵敏度（空间横向分辨率350nm，纵向分辨率800nm条件下）：能清晰观察到硅的四阶拉曼峰，其中硅的三阶拉曼峰（约1440 cm-1）信噪比好于25:1，要求无明显的N2和O2拉曼峰;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3.2.1.6 CCD检测器：高端低噪音CCD，1650*200 Pixel，一英寸大芯片CCD，最短积分时间小于10ms。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 xml:space="preserve">3.2.2 共聚焦拉曼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 xml:space="preserve">*3.2.2.1真实针孔共聚焦系统；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3.2.2.2无需自动和手动调整狭缝和共聚焦孔径大小，时刻保证系统共聚焦特性；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3.2.2.3 快速（积分时间&lt;=0.01 s）实时监测拉曼光谱；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*3.2.2.4 空间分辨率：横向（XY方向）：≤350 nm；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纵向（Z方向）：≤ 800 nm；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3.2.2.5 可实现高速正置显微拉曼光谱2D和3D成像。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3.2.3 研究级共聚焦光学显微镜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#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3.2.3.1 开放式显微镜，具有大的样品空间，适用于加载各种原位反应池；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3.2.3.2 光学显微镜具有原装科勒照明系统；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#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3.2.3.3 具有景深合成功能，实现白光三维照片在二维呈现；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3.2.3.4 配备物镜：10倍物镜，50X物镜，50倍长焦物镜（NA 0.55，工作距离大于9 mm），100倍物镜（NA = 0.9，工作距离大于300um）；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3.2.3.5 全自动机械平台大于50*50mm，最小步长100 nm；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 xml:space="preserve">3.2.3.6 高精度自动Z轴电机，要求移动范围：&gt;= 25 mm, 最小步长的精度高于15 nm。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3.2.4 激光器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3.2.4.1 488 nm TEM00单频激光器，功率≥75 mW; 光谱范围：100-9000 cm-1;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#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3.2.4.2 532nm TEM00单频激光器，功率≥30 mW; 光谱范围：10-9000 cm-1(超低波数可以到10 cm-1)；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3.2.4.3 633nm TEM00单频激光器，功率≥50 mW; 光谱范围：100-6000 cm-1;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*3.2.4.4 以上激光器均采用数字化软件控制，软件输入样品表面功率，连续可调，精度好于0.1mw；内置激光功率计，软件实时显示样品表面功率。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*3.2.5 光电流成像附件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3.2.5.1 光电流信号数字化接口，16位模数转换器，数据读取速率5M/秒；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3.2.5.2内置电源表；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3.2.5.3光电流成像空间分辨率好于500nm。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3.2.6 微区白光反射吸收光谱成像附件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3.2.6.1 可单窗口采集光谱范围400nm的微区白光反射吸收光谱；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3.2.6.2 可实现白光光谱横向空间分辨率：≤ 400 nm；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3.2.6.3 具有快速成像功能。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3.2.7 全偏振附件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3.2.7.1 入射光路1/2波片，可360度改变激光偏振方向；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3.2.7.2 收集光路偏振片，可收集任意偏振方向散射光；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3.2.7.3 光谱仪入口前有去偏附件，保证光谱仪对于不同偏振光的响应不变。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3.2.8 原位电化学反应池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温度变化范围：-20到70度；与整套系统有耦合接口，可以实现原位电化学反应过程的快速成像功能.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3.2.9 Linkam催化反应池 CCR1000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3.2.9.1 温度范围：室温到1000℃；升温速率：1到130℃/min；温度稳定性：1℃；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3.2.9.2 样品尺寸：7mm直径，约70到100mg样品；标准1/16英寸气体管线连接；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3.2.9.3 物镜工作距离：6mm；可以用于原位拉曼反应监测。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3.2.10 高稳定光学平台800*800mm。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3.2.11高端计算机：i7-8700处理器，32GB RAM，1000G硬盘，250G 固态硬盘Windows 10 pro 64位操作系统，至少27”LCD显示器。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3.3 数据分析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3.3.1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>高级数据处理软件，可实现具有团簇分析，PCA，NMF等高级软件功能；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3.3.2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</w:rPr>
        <w:t xml:space="preserve"> Windows下光谱专业软件-包括仪器控制，快速生成拉曼图像及图像计算，化学成分分析等各项功能。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  <w:kern w:val="2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</w:rPr>
        <w:t>4.技术配置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4.1 研究级开放式显微镜                   1台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4.2 488nm激光器                          1台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*4.3 532nm激光器                 1台，配置超低波数滤光片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4.4 633nm 激光器                         1台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4.5 高灵敏度光谱仪（含三块光栅自动切换） 1台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4.6高精度自动平台                        1台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*4.7 光电流成像附件                       1套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4.8 Linkam催化反应池                     1套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4.9 电化学反应池                         1套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4.10 全偏振附件                          1套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4.11 计算机（含光谱专业软件）            1台</w:t>
      </w:r>
    </w:p>
    <w:p>
      <w:pPr>
        <w:pStyle w:val="6"/>
        <w:spacing w:line="360" w:lineRule="auto"/>
        <w:ind w:left="424" w:leftChars="202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4.12 光学平台                            1个</w:t>
      </w:r>
    </w:p>
    <w:p>
      <w:pPr>
        <w:tabs>
          <w:tab w:val="left" w:pos="-7513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  <w:t>4.5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  <w:t>上述仪器设备的相应配件、工具和消耗品虽然在招标文件中没有明确约定，但确实属于仪器设备必备的配件、工具和消耗品，投标人应无条件提供，不再另行计价。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  <w:t>4.6所投产品中国海关进口货物编码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  <w:t>4.7上述技术配置仪器设备(是/否)需向出口国家政府或国际组织申请出口许可证。</w:t>
      </w:r>
    </w:p>
    <w:p>
      <w:pPr>
        <w:tabs>
          <w:tab w:val="left" w:pos="-7513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5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、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技术文件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bookmarkStart w:id="0" w:name="OLE_LINK9"/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5.1 投标人应提供仪器及主要附件的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详细的中英文操作指南与维护有关的资料；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5.2投标人应说明具备仪器安装使用的实验室条件要求；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 xml:space="preserve">5.3 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投标人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应提供仪器验收标准和验收方法步骤；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5.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4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投标人应提供仪器使用软件的所有说明书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5.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5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投标人应提供电子版说明书。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6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、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技术服务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6.1 设备安装、调试和验收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仪器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设备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到达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学校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后，在接到用户通知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指定日期内由买方提供生产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厂商原厂工程师到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现场免费安装、调试设备，进行操作试验，直至运行正常并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通过验收。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6.2 技术培训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在用户所在地对用户进行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不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少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于2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人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/2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天的培训。培训内容包括仪器的技术原理、仪器操作、数据处理、仪器基本维护等。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6.3 保修期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仪器设备软硬件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免费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保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修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期不少于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1年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，保修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期自仪器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设备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验收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合格，双方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签字之日起计算。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6.4软件及零部件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软件升级免费，对软件实际使用中出现的明显影响正常功能的情况，确属软件开发缺陷的，应等同其它故障进行售后维修服务，予以及时修复。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维修零部件按投标价同等优惠幅度供货。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6.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5售后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维修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响应时间：卖方应在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4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小时内对用户的服务要求作出响应；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免费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提供电话诊断和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远程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检测，需要在现场解决问题的，应在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48小时内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到达仪器现场。卖方维修时间不得超过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15天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，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设备无法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使用超过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1个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月，保修期顺延。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卖方应在仪器设备保修期满前15天，免费对仪器进行一次全面的检查、维护，如发现潜在问题，应负责排除。</w:t>
      </w:r>
    </w:p>
    <w:p>
      <w:pPr>
        <w:pStyle w:val="6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6.6</w:t>
      </w:r>
      <w:r>
        <w:rPr>
          <w:rFonts w:hint="eastAsia" w:ascii="微软雅黑" w:hAnsi="微软雅黑" w:eastAsia="微软雅黑" w:cs="微软雅黑"/>
          <w:b w:val="0"/>
          <w:bCs/>
        </w:rPr>
        <w:t>投标人须提供所投产品生产</w:t>
      </w:r>
      <w:r>
        <w:rPr>
          <w:rFonts w:hint="eastAsia" w:ascii="微软雅黑" w:hAnsi="微软雅黑" w:eastAsia="微软雅黑" w:cs="微软雅黑"/>
          <w:b w:val="0"/>
          <w:bCs/>
        </w:rPr>
        <w:t>制造商在中国境内的售后技术</w:t>
      </w:r>
      <w:r>
        <w:rPr>
          <w:rFonts w:hint="eastAsia" w:ascii="微软雅黑" w:hAnsi="微软雅黑" w:eastAsia="微软雅黑" w:cs="微软雅黑"/>
          <w:b w:val="0"/>
          <w:bCs/>
        </w:rPr>
        <w:t>服务机构情况，包括地址、联系方式及技术人员数量</w:t>
      </w:r>
      <w:r>
        <w:rPr>
          <w:rFonts w:hint="eastAsia" w:ascii="微软雅黑" w:hAnsi="微软雅黑" w:eastAsia="微软雅黑" w:cs="微软雅黑"/>
          <w:b w:val="0"/>
          <w:bCs/>
        </w:rPr>
        <w:t>以及主要联系人</w:t>
      </w:r>
      <w:r>
        <w:rPr>
          <w:rFonts w:hint="eastAsia" w:ascii="微软雅黑" w:hAnsi="微软雅黑" w:eastAsia="微软雅黑" w:cs="微软雅黑"/>
          <w:b w:val="0"/>
          <w:bCs/>
        </w:rPr>
        <w:t>等。</w:t>
      </w:r>
    </w:p>
    <w:p>
      <w:pPr>
        <w:pStyle w:val="6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6.7用户接受卖方优于以上条款的其他技术服务项目。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7、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订货数量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拉曼光谱仪  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  <w:szCs w:val="24"/>
        </w:rPr>
        <w:t>1台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4"/>
        </w:rPr>
        <w:t>8、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4"/>
        </w:rPr>
        <w:t>付款方式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外币付款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：100%不可撤消即期信用证，其中90%货款凭装运单据支付，10%尾款凭用户签字确认且加盖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主管部门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公章的验收报告支付。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（最终以签订的合同为准）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人民币付款：合同签订后预付40%的合同款项，货到验收安装合格后支付总款项的60%。（具体情况以合同为准）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9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4"/>
        </w:rPr>
        <w:t>、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交货时间、到货口岸及到货地点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进口仪器交货时间：收到信用证后2个月内；到货口岸：CIP北京首都机场/天津滨海国际机场; 到货地点：甲方指定;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国产仪器或非免税仪器交货时间：合同签订后2个月内；到货地点：甲方指定;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10、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投标人须提供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进口仪器设备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签订外贸合同的卖方公司信息，包括公司名称、地址、联系人及联系方式等。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11、违约赔偿：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厂商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如果没有按照合同规定的时间交货和提供服务的，采购人可要求厂商支付违约金。违约金按每周迟交货物或未提供服务交货价的0.5%计收。但违约金的最高限额为迟交货物或没有提供服务的合同价的5%。一周按7天计算，不足7天按一周计算。如果达到最高限额，采购人有权解除合同。而厂商仍有义务支付上述违约金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12、变更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：合同内容与招标文件要求以及承诺书内容不一致的，必须经主管部门同意并双方签署备忘录。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4"/>
        </w:rPr>
        <w:t>13、其他</w:t>
      </w:r>
    </w:p>
    <w:p>
      <w:pPr>
        <w:adjustRightInd w:val="0"/>
        <w:snapToGrid w:val="0"/>
        <w:spacing w:line="360" w:lineRule="auto"/>
        <w:ind w:firstLine="484" w:firstLineChars="202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 xml:space="preserve">13.1 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以上打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★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号的为本次招标项目的实质性要求，不允许有负偏离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，否则按废标处理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。</w:t>
      </w:r>
      <w:bookmarkEnd w:id="0"/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13.2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仪器设备进口的外贸代理公司由招标人确定。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3.3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仪器设备进口的减免关税。减免进口关税手续由学校自行办理，供应商应予以配合</w:t>
      </w: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。</w:t>
      </w:r>
    </w:p>
    <w:p>
      <w:pPr>
        <w:adjustRightInd w:val="0"/>
        <w:snapToGrid w:val="0"/>
        <w:spacing w:line="360" w:lineRule="auto"/>
        <w:ind w:firstLine="470" w:firstLineChars="196"/>
        <w:jc w:val="left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13.4 廉政廉洁承诺书</w:t>
      </w:r>
    </w:p>
    <w:p>
      <w:pPr>
        <w:adjustRightInd w:val="0"/>
        <w:snapToGrid w:val="0"/>
        <w:spacing w:line="360" w:lineRule="auto"/>
        <w:ind w:firstLine="470" w:firstLineChars="196"/>
        <w:jc w:val="left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成交人应在南开大学主页中的“资料下载”栏中下载《南开大学维修工程、物资设备采购招投标成交项目廉政廉洁承诺书》。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14. 声明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napToGrid w:val="0"/>
          <w:kern w:val="0"/>
          <w:sz w:val="24"/>
        </w:rPr>
        <w:t>本文件中凡是与本需求内容表达不一致的，均以本需求内容为准。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b w:val="0"/>
          <w:bCs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CC2"/>
    <w:rsid w:val="008F16C0"/>
    <w:rsid w:val="009E04A0"/>
    <w:rsid w:val="009F2385"/>
    <w:rsid w:val="00A06AC8"/>
    <w:rsid w:val="00B364DC"/>
    <w:rsid w:val="00C6063F"/>
    <w:rsid w:val="00DD2B95"/>
    <w:rsid w:val="00DF3A4F"/>
    <w:rsid w:val="00E74B90"/>
    <w:rsid w:val="00FF0CC2"/>
    <w:rsid w:val="76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widowControl/>
      <w:spacing w:before="100" w:beforeAutospacing="1" w:after="100" w:afterAutospacing="1" w:line="400" w:lineRule="exact"/>
      <w:ind w:firstLine="200" w:firstLineChars="200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">
    <w:name w:val="p0"/>
    <w:basedOn w:val="1"/>
    <w:qFormat/>
    <w:uiPriority w:val="0"/>
    <w:pPr>
      <w:widowControl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602</Words>
  <Characters>3436</Characters>
  <Lines>28</Lines>
  <Paragraphs>8</Paragraphs>
  <TotalTime>1</TotalTime>
  <ScaleCrop>false</ScaleCrop>
  <LinksUpToDate>false</LinksUpToDate>
  <CharactersWithSpaces>4030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2019-06-18T00:22:00Z</dcterms:created>
  <dc:creator>lenovo</dc:creator>
  <cp:lastModifiedBy>于洋</cp:lastModifiedBy>
  <dcterms:modified xsi:type="dcterms:W3CDTF">2019-06-18T01:30:42Z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