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宋体" w:hAnsi="宋体"/>
          <w:b/>
          <w:sz w:val="32"/>
          <w:szCs w:val="32"/>
        </w:rPr>
      </w:pPr>
      <w:r>
        <w:rPr>
          <w:rFonts w:hint="eastAsia" w:ascii="宋体" w:hAnsi="宋体"/>
          <w:b/>
          <w:sz w:val="32"/>
          <w:szCs w:val="32"/>
        </w:rPr>
        <w:t>采购</w:t>
      </w:r>
      <w:r>
        <w:rPr>
          <w:rFonts w:ascii="宋体" w:hAnsi="宋体"/>
          <w:b/>
          <w:sz w:val="32"/>
          <w:szCs w:val="32"/>
        </w:rPr>
        <w:t>需求</w:t>
      </w:r>
    </w:p>
    <w:p>
      <w:pPr>
        <w:snapToGrid w:val="0"/>
        <w:spacing w:line="360" w:lineRule="auto"/>
        <w:jc w:val="center"/>
        <w:rPr>
          <w:rFonts w:ascii="宋体" w:hAnsi="宋体"/>
          <w:b/>
          <w:sz w:val="24"/>
          <w:szCs w:val="24"/>
        </w:rPr>
      </w:pPr>
    </w:p>
    <w:p>
      <w:pPr>
        <w:pStyle w:val="8"/>
        <w:numPr>
          <w:ilvl w:val="0"/>
          <w:numId w:val="1"/>
        </w:numPr>
        <w:snapToGrid w:val="0"/>
        <w:spacing w:line="360" w:lineRule="auto"/>
        <w:ind w:firstLineChars="0"/>
        <w:rPr>
          <w:rFonts w:ascii="宋体" w:hAnsi="宋体"/>
          <w:b/>
          <w:sz w:val="24"/>
          <w:szCs w:val="24"/>
        </w:rPr>
      </w:pPr>
      <w:r>
        <w:rPr>
          <w:rFonts w:hint="eastAsia" w:ascii="宋体" w:hAnsi="宋体"/>
          <w:b/>
          <w:sz w:val="24"/>
          <w:szCs w:val="24"/>
        </w:rPr>
        <w:t>技术参数</w:t>
      </w:r>
    </w:p>
    <w:p>
      <w:pPr>
        <w:snapToGrid w:val="0"/>
        <w:spacing w:line="360" w:lineRule="auto"/>
        <w:rPr>
          <w:rFonts w:asciiTheme="minorEastAsia" w:hAnsiTheme="minorEastAsia" w:eastAsiaTheme="minorEastAsia"/>
          <w:sz w:val="24"/>
          <w:szCs w:val="24"/>
        </w:rPr>
      </w:pPr>
      <w:bookmarkStart w:id="0" w:name="_GoBack"/>
      <w:r>
        <w:rPr>
          <w:rFonts w:asciiTheme="minorEastAsia" w:hAnsiTheme="minorEastAsia" w:eastAsiaTheme="minorEastAsia"/>
          <w:sz w:val="24"/>
          <w:szCs w:val="24"/>
        </w:rPr>
        <w:t xml:space="preserve">1 </w:t>
      </w:r>
      <w:r>
        <w:rPr>
          <w:rFonts w:hint="eastAsia" w:asciiTheme="minorEastAsia" w:hAnsiTheme="minorEastAsia" w:eastAsiaTheme="minorEastAsia"/>
          <w:sz w:val="24"/>
          <w:szCs w:val="24"/>
        </w:rPr>
        <w:t>质谱部分</w:t>
      </w:r>
    </w:p>
    <w:bookmarkEnd w:id="0"/>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1.1 </w:t>
      </w:r>
      <w:r>
        <w:rPr>
          <w:rFonts w:hint="eastAsia" w:asciiTheme="minorEastAsia" w:hAnsiTheme="minorEastAsia" w:eastAsiaTheme="minorEastAsia"/>
          <w:sz w:val="24"/>
          <w:szCs w:val="24"/>
        </w:rPr>
        <w:t>离子源</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1.1.1 </w:t>
      </w:r>
      <w:r>
        <w:rPr>
          <w:rFonts w:hint="eastAsia" w:asciiTheme="minorEastAsia" w:hAnsiTheme="minorEastAsia" w:eastAsiaTheme="minorEastAsia"/>
          <w:sz w:val="24"/>
          <w:szCs w:val="24"/>
        </w:rPr>
        <w:t>配备独立的可加热的电喷雾离子源（</w:t>
      </w:r>
      <w:r>
        <w:rPr>
          <w:rFonts w:asciiTheme="minorEastAsia" w:hAnsiTheme="minorEastAsia" w:eastAsiaTheme="minorEastAsia"/>
          <w:sz w:val="24"/>
          <w:szCs w:val="24"/>
        </w:rPr>
        <w:t>ESI源）、大气压化学电离源（APCI源），安装离子源时即可实现气路电路连接，自动识别，无需进行额外操作；</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1.1.2 </w:t>
      </w:r>
      <w:r>
        <w:rPr>
          <w:rFonts w:hint="eastAsia" w:asciiTheme="minorEastAsia" w:hAnsiTheme="minorEastAsia" w:eastAsiaTheme="minorEastAsia"/>
          <w:sz w:val="24"/>
          <w:szCs w:val="24"/>
        </w:rPr>
        <w:t>离子源加热温度最高可达</w:t>
      </w:r>
      <w:r>
        <w:rPr>
          <w:rFonts w:asciiTheme="minorEastAsia" w:hAnsiTheme="minorEastAsia" w:eastAsiaTheme="minorEastAsia"/>
          <w:sz w:val="24"/>
          <w:szCs w:val="24"/>
        </w:rPr>
        <w:t>550℃，不分流的情况下采用纯水作为溶剂，流速为1-1500ul/min；</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1.1.3 </w:t>
      </w:r>
      <w:r>
        <w:rPr>
          <w:rFonts w:hint="eastAsia" w:asciiTheme="minorEastAsia" w:hAnsiTheme="minorEastAsia" w:eastAsiaTheme="minorEastAsia"/>
          <w:sz w:val="24"/>
          <w:szCs w:val="24"/>
        </w:rPr>
        <w:t>全自动注射泵实现质谱直接进样，自动调谐和校正，可通过软件自动切换模式，具备实时监控并反馈喷雾稳定性功能；</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1.1.4 </w:t>
      </w:r>
      <w:r>
        <w:rPr>
          <w:rFonts w:hint="eastAsia" w:asciiTheme="minorEastAsia" w:hAnsiTheme="minorEastAsia" w:eastAsiaTheme="minorEastAsia"/>
          <w:sz w:val="24"/>
          <w:szCs w:val="24"/>
        </w:rPr>
        <w:t>兼容纳升离子源；</w:t>
      </w:r>
    </w:p>
    <w:p>
      <w:pPr>
        <w:snapToGrid w:val="0"/>
        <w:spacing w:line="360" w:lineRule="auto"/>
        <w:rPr>
          <w:rFonts w:asciiTheme="minorEastAsia" w:hAnsiTheme="minorEastAsia" w:eastAsiaTheme="minorEastAsia"/>
          <w:sz w:val="24"/>
          <w:szCs w:val="24"/>
        </w:rPr>
      </w:pP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1.2 </w:t>
      </w:r>
      <w:r>
        <w:rPr>
          <w:rFonts w:hint="eastAsia" w:asciiTheme="minorEastAsia" w:hAnsiTheme="minorEastAsia" w:eastAsiaTheme="minorEastAsia"/>
          <w:sz w:val="24"/>
          <w:szCs w:val="24"/>
        </w:rPr>
        <w:t>离子传输系统</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b/>
          <w:sz w:val="24"/>
          <w:szCs w:val="24"/>
        </w:rPr>
        <w:t>#</w:t>
      </w:r>
      <w:r>
        <w:rPr>
          <w:rFonts w:asciiTheme="minorEastAsia" w:hAnsiTheme="minorEastAsia" w:eastAsiaTheme="minorEastAsia"/>
          <w:sz w:val="24"/>
          <w:szCs w:val="24"/>
        </w:rPr>
        <w:t>1.2.1离子传输系统必须配有离子传输管设计，保护分子涡轮泵，减少真空负担；</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1.2.2 </w:t>
      </w:r>
      <w:r>
        <w:rPr>
          <w:rFonts w:hint="eastAsia" w:asciiTheme="minorEastAsia" w:hAnsiTheme="minorEastAsia" w:eastAsiaTheme="minorEastAsia"/>
          <w:sz w:val="24"/>
          <w:szCs w:val="24"/>
        </w:rPr>
        <w:t>离子传输管独立加热，最高温度可达</w:t>
      </w:r>
      <w:r>
        <w:rPr>
          <w:rFonts w:asciiTheme="minorEastAsia" w:hAnsiTheme="minorEastAsia" w:eastAsiaTheme="minorEastAsia"/>
          <w:sz w:val="24"/>
          <w:szCs w:val="24"/>
        </w:rPr>
        <w:t>400℃；</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1.2.3 </w:t>
      </w:r>
      <w:r>
        <w:rPr>
          <w:rFonts w:hint="eastAsia" w:asciiTheme="minorEastAsia" w:hAnsiTheme="minorEastAsia" w:eastAsiaTheme="minorEastAsia"/>
          <w:sz w:val="24"/>
          <w:szCs w:val="24"/>
        </w:rPr>
        <w:t>具有真空隔断阀设计，在移去、清洗离子传输部件时，不需破坏真空</w:t>
      </w:r>
      <w:r>
        <w:rPr>
          <w:rFonts w:asciiTheme="minorEastAsia" w:hAnsiTheme="minorEastAsia" w:eastAsiaTheme="minorEastAsia"/>
          <w:sz w:val="24"/>
          <w:szCs w:val="24"/>
        </w:rPr>
        <w:t>,待机时不需要消耗氮气；</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电动离子漏斗：有效捕获离子并聚焦，提高传输效率，减少离子损失，独立一体化设计，采用不锈钢材质，拆卸清洗方便；</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b/>
          <w:sz w:val="24"/>
          <w:szCs w:val="24"/>
        </w:rPr>
        <w:t>#</w:t>
      </w:r>
      <w:r>
        <w:rPr>
          <w:rFonts w:asciiTheme="minorEastAsia" w:hAnsiTheme="minorEastAsia" w:eastAsiaTheme="minorEastAsia"/>
          <w:sz w:val="24"/>
          <w:szCs w:val="24"/>
        </w:rPr>
        <w:t xml:space="preserve">1.2.5 </w:t>
      </w:r>
      <w:r>
        <w:rPr>
          <w:rFonts w:hint="eastAsia" w:asciiTheme="minorEastAsia" w:hAnsiTheme="minorEastAsia" w:eastAsiaTheme="minorEastAsia"/>
          <w:sz w:val="24"/>
          <w:szCs w:val="24"/>
        </w:rPr>
        <w:t>离子束传输组件：弯曲且有轴向直流电场的四极杆离子束导向装置，阻挡中性粒子和高速分子团，保持离子传输通道的干净，减少噪音，提高灵敏度；</w:t>
      </w:r>
    </w:p>
    <w:p>
      <w:pPr>
        <w:snapToGrid w:val="0"/>
        <w:spacing w:line="360" w:lineRule="auto"/>
        <w:rPr>
          <w:rFonts w:asciiTheme="minorEastAsia" w:hAnsiTheme="minorEastAsia" w:eastAsiaTheme="minorEastAsia"/>
          <w:sz w:val="24"/>
          <w:szCs w:val="24"/>
        </w:rPr>
      </w:pP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1.3 </w:t>
      </w:r>
      <w:r>
        <w:rPr>
          <w:rFonts w:hint="eastAsia" w:asciiTheme="minorEastAsia" w:hAnsiTheme="minorEastAsia" w:eastAsiaTheme="minorEastAsia"/>
          <w:sz w:val="24"/>
          <w:szCs w:val="24"/>
        </w:rPr>
        <w:t>质量分析器</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1.3.1 </w:t>
      </w:r>
      <w:r>
        <w:rPr>
          <w:rFonts w:hint="eastAsia" w:asciiTheme="minorEastAsia" w:hAnsiTheme="minorEastAsia" w:eastAsiaTheme="minorEastAsia"/>
          <w:sz w:val="24"/>
          <w:szCs w:val="24"/>
        </w:rPr>
        <w:t>分段双曲四极杆质量分析器：双曲面分段四极杆，分辨率可到</w:t>
      </w:r>
      <w:r>
        <w:rPr>
          <w:rFonts w:asciiTheme="minorEastAsia" w:hAnsiTheme="minorEastAsia" w:eastAsiaTheme="minorEastAsia"/>
          <w:sz w:val="24"/>
          <w:szCs w:val="24"/>
        </w:rPr>
        <w:t>0.4Da；可选择隔离窗口宽度0.4-1200 m/z，MS/MS母离子选择质量范围50-2000m/z；</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b/>
          <w:sz w:val="24"/>
          <w:szCs w:val="24"/>
        </w:rPr>
        <w:t>#</w:t>
      </w:r>
      <w:r>
        <w:rPr>
          <w:rFonts w:asciiTheme="minorEastAsia" w:hAnsiTheme="minorEastAsia" w:eastAsiaTheme="minorEastAsia"/>
          <w:sz w:val="24"/>
          <w:szCs w:val="24"/>
        </w:rPr>
        <w:t xml:space="preserve">1.3.2 </w:t>
      </w:r>
      <w:r>
        <w:rPr>
          <w:rFonts w:hint="eastAsia" w:asciiTheme="minorEastAsia" w:hAnsiTheme="minorEastAsia" w:eastAsiaTheme="minorEastAsia"/>
          <w:sz w:val="24"/>
          <w:szCs w:val="24"/>
        </w:rPr>
        <w:t>双压线性离子阱：对于在</w:t>
      </w:r>
      <w:r>
        <w:rPr>
          <w:rFonts w:asciiTheme="minorEastAsia" w:hAnsiTheme="minorEastAsia" w:eastAsiaTheme="minorEastAsia"/>
          <w:sz w:val="24"/>
          <w:szCs w:val="24"/>
        </w:rPr>
        <w:t xml:space="preserve"> 50-1800 Da质量范围内的前体离子，隔离宽度范围为0.2至3000m/z；当m/z为1800时，最小隔离宽度为2 m/z；最大前体离子隔离宽度为4000 m/z。低压单元能够保证高扫描速度，高分辨率以及质量精度；</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1.3.2.1 </w:t>
      </w:r>
      <w:r>
        <w:rPr>
          <w:rFonts w:hint="eastAsia" w:asciiTheme="minorEastAsia" w:hAnsiTheme="minorEastAsia" w:eastAsiaTheme="minorEastAsia"/>
          <w:sz w:val="24"/>
          <w:szCs w:val="24"/>
        </w:rPr>
        <w:t>质量范围</w:t>
      </w:r>
      <w:r>
        <w:rPr>
          <w:rFonts w:asciiTheme="minorEastAsia" w:hAnsiTheme="minorEastAsia" w:eastAsiaTheme="minorEastAsia"/>
          <w:sz w:val="24"/>
          <w:szCs w:val="24"/>
        </w:rPr>
        <w:t>m/z：标准模式50-2000m/z；高质量模式200-4000 m/z；</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1.3.2.2 </w:t>
      </w:r>
      <w:r>
        <w:rPr>
          <w:rFonts w:hint="eastAsia" w:asciiTheme="minorEastAsia" w:hAnsiTheme="minorEastAsia" w:eastAsiaTheme="minorEastAsia"/>
          <w:sz w:val="24"/>
          <w:szCs w:val="24"/>
        </w:rPr>
        <w:t>双压线性离子阱扫描速度：</w:t>
      </w:r>
      <w:r>
        <w:rPr>
          <w:rFonts w:asciiTheme="minorEastAsia" w:hAnsiTheme="minorEastAsia" w:eastAsiaTheme="minorEastAsia"/>
          <w:sz w:val="24"/>
          <w:szCs w:val="24"/>
        </w:rPr>
        <w:t>45Hz；</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b/>
          <w:sz w:val="24"/>
          <w:szCs w:val="24"/>
        </w:rPr>
        <w:t>#</w:t>
      </w:r>
      <w:r>
        <w:rPr>
          <w:rFonts w:asciiTheme="minorEastAsia" w:hAnsiTheme="minorEastAsia" w:eastAsiaTheme="minorEastAsia"/>
          <w:sz w:val="24"/>
          <w:szCs w:val="24"/>
        </w:rPr>
        <w:t xml:space="preserve">1.3.2.3 </w:t>
      </w:r>
      <w:r>
        <w:rPr>
          <w:rFonts w:hint="eastAsia" w:asciiTheme="minorEastAsia" w:hAnsiTheme="minorEastAsia" w:eastAsiaTheme="minorEastAsia"/>
          <w:sz w:val="24"/>
          <w:szCs w:val="24"/>
        </w:rPr>
        <w:t>灵敏度（</w:t>
      </w:r>
      <w:r>
        <w:rPr>
          <w:rFonts w:asciiTheme="minorEastAsia" w:hAnsiTheme="minorEastAsia" w:eastAsiaTheme="minorEastAsia"/>
          <w:sz w:val="24"/>
          <w:szCs w:val="24"/>
        </w:rPr>
        <w:t>ESI）：100 fg利血平，全扫描MS/MS，信噪比&gt;200:1。即在全扫描MS/MS模式下以单位分辨率操作，扫描范围设置为：165-615，m/z 609的信号最高两个子离子：m/z 397,m/z 448的S/N比为200：1；</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1.3.2.4 </w:t>
      </w:r>
      <w:r>
        <w:rPr>
          <w:rFonts w:hint="eastAsia" w:asciiTheme="minorEastAsia" w:hAnsiTheme="minorEastAsia" w:eastAsiaTheme="minorEastAsia"/>
          <w:sz w:val="24"/>
          <w:szCs w:val="24"/>
        </w:rPr>
        <w:t>具有自动增益控制，能全自动优化进入离子阱的离子数量达到最佳值，能有效提高对低丰度蛋白的鉴定；</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1.3.2.5 </w:t>
      </w:r>
      <w:r>
        <w:rPr>
          <w:rFonts w:hint="eastAsia" w:asciiTheme="minorEastAsia" w:hAnsiTheme="minorEastAsia" w:eastAsiaTheme="minorEastAsia"/>
          <w:sz w:val="24"/>
          <w:szCs w:val="24"/>
        </w:rPr>
        <w:t>具有宽带激发功能，在</w:t>
      </w:r>
      <w:r>
        <w:rPr>
          <w:rFonts w:asciiTheme="minorEastAsia" w:hAnsiTheme="minorEastAsia" w:eastAsiaTheme="minorEastAsia"/>
          <w:sz w:val="24"/>
          <w:szCs w:val="24"/>
        </w:rPr>
        <w:t>MS/MS中自动断裂M-H2O离子，得到丰富的被分析化合物的特征“指纹”谱图，保证产生具有更多结构信息的多级质谱图；</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1.3.2.6 </w:t>
      </w:r>
      <w:r>
        <w:rPr>
          <w:rFonts w:hint="eastAsia" w:asciiTheme="minorEastAsia" w:hAnsiTheme="minorEastAsia" w:eastAsiaTheme="minorEastAsia"/>
          <w:sz w:val="24"/>
          <w:szCs w:val="24"/>
        </w:rPr>
        <w:t>碰撞能量归一化：离子阱质谱仪特有的质谱能量自动补偿，使串联质谱的碎片谱图按归一化能量裂解，得到稳定信息；</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1.3.2.7 </w:t>
      </w:r>
      <w:r>
        <w:rPr>
          <w:rFonts w:hint="eastAsia" w:asciiTheme="minorEastAsia" w:hAnsiTheme="minorEastAsia" w:eastAsiaTheme="minorEastAsia"/>
          <w:sz w:val="24"/>
          <w:szCs w:val="24"/>
        </w:rPr>
        <w:t>检测系统：配有两个</w:t>
      </w:r>
      <w:r>
        <w:rPr>
          <w:rFonts w:asciiTheme="minorEastAsia" w:hAnsiTheme="minorEastAsia" w:eastAsiaTheme="minorEastAsia"/>
          <w:sz w:val="24"/>
          <w:szCs w:val="24"/>
        </w:rPr>
        <w:t>90度离轴带有扩展动态范围的连续打拿极，可延长使用寿命并提高稳定性；</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b/>
          <w:sz w:val="24"/>
          <w:szCs w:val="24"/>
        </w:rPr>
        <w:t>#</w:t>
      </w:r>
      <w:r>
        <w:rPr>
          <w:rFonts w:asciiTheme="minorEastAsia" w:hAnsiTheme="minorEastAsia" w:eastAsiaTheme="minorEastAsia"/>
          <w:sz w:val="24"/>
          <w:szCs w:val="24"/>
        </w:rPr>
        <w:t xml:space="preserve">1.3.2.8 </w:t>
      </w:r>
      <w:r>
        <w:rPr>
          <w:rFonts w:hint="eastAsia" w:asciiTheme="minorEastAsia" w:hAnsiTheme="minorEastAsia" w:eastAsiaTheme="minorEastAsia"/>
          <w:sz w:val="24"/>
          <w:szCs w:val="24"/>
        </w:rPr>
        <w:t>多级能力</w:t>
      </w:r>
      <w:r>
        <w:rPr>
          <w:rFonts w:asciiTheme="minorEastAsia" w:hAnsiTheme="minorEastAsia" w:eastAsiaTheme="minorEastAsia"/>
          <w:sz w:val="24"/>
          <w:szCs w:val="24"/>
        </w:rPr>
        <w:t>MS/MS级数：1-10级；</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1.3.3 </w:t>
      </w:r>
      <w:r>
        <w:rPr>
          <w:rFonts w:hint="eastAsia" w:asciiTheme="minorEastAsia" w:hAnsiTheme="minorEastAsia" w:eastAsiaTheme="minorEastAsia"/>
          <w:sz w:val="24"/>
          <w:szCs w:val="24"/>
        </w:rPr>
        <w:t>高分辨质量分析器：离子在静电场作用下做周期运动，具有高分辨率，高质量精度，高速实时采集性能；</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1.3.3.1 </w:t>
      </w:r>
      <w:r>
        <w:rPr>
          <w:rFonts w:hint="eastAsia" w:asciiTheme="minorEastAsia" w:hAnsiTheme="minorEastAsia" w:eastAsiaTheme="minorEastAsia"/>
          <w:sz w:val="24"/>
          <w:szCs w:val="24"/>
        </w:rPr>
        <w:t>质量范围：标准模式</w:t>
      </w:r>
      <w:r>
        <w:rPr>
          <w:rFonts w:asciiTheme="minorEastAsia" w:hAnsiTheme="minorEastAsia" w:eastAsiaTheme="minorEastAsia"/>
          <w:sz w:val="24"/>
          <w:szCs w:val="24"/>
        </w:rPr>
        <w:t>50-2000m/z，中等质量模式200-6000m/z；</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b/>
          <w:sz w:val="24"/>
          <w:szCs w:val="24"/>
        </w:rPr>
        <w:t>#</w:t>
      </w:r>
      <w:r>
        <w:rPr>
          <w:rFonts w:asciiTheme="minorEastAsia" w:hAnsiTheme="minorEastAsia" w:eastAsiaTheme="minorEastAsia"/>
          <w:sz w:val="24"/>
          <w:szCs w:val="24"/>
        </w:rPr>
        <w:t xml:space="preserve">1.3.3.2 </w:t>
      </w:r>
      <w:r>
        <w:rPr>
          <w:rFonts w:hint="eastAsia" w:asciiTheme="minorEastAsia" w:hAnsiTheme="minorEastAsia" w:eastAsiaTheme="minorEastAsia"/>
          <w:sz w:val="24"/>
          <w:szCs w:val="24"/>
        </w:rPr>
        <w:t>仪器分辨率：</w:t>
      </w:r>
      <w:r>
        <w:rPr>
          <w:rFonts w:asciiTheme="minorEastAsia" w:hAnsiTheme="minorEastAsia" w:eastAsiaTheme="minorEastAsia"/>
          <w:sz w:val="24"/>
          <w:szCs w:val="24"/>
        </w:rPr>
        <w:t>50,0000(m/z=200)；灵敏度不随分辨率增加而降低；</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1.3.3.3 </w:t>
      </w:r>
      <w:r>
        <w:rPr>
          <w:rFonts w:hint="eastAsia" w:asciiTheme="minorEastAsia" w:hAnsiTheme="minorEastAsia" w:eastAsiaTheme="minorEastAsia"/>
          <w:sz w:val="24"/>
          <w:szCs w:val="24"/>
        </w:rPr>
        <w:t>扫描速度：满足</w:t>
      </w:r>
      <w:r>
        <w:rPr>
          <w:rFonts w:asciiTheme="minorEastAsia" w:hAnsiTheme="minorEastAsia" w:eastAsiaTheme="minorEastAsia"/>
          <w:sz w:val="24"/>
          <w:szCs w:val="24"/>
        </w:rPr>
        <w:t>40Hz；</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b/>
          <w:sz w:val="24"/>
          <w:szCs w:val="24"/>
        </w:rPr>
        <w:t>#</w:t>
      </w:r>
      <w:r>
        <w:rPr>
          <w:rFonts w:asciiTheme="minorEastAsia" w:hAnsiTheme="minorEastAsia" w:eastAsiaTheme="minorEastAsia"/>
          <w:sz w:val="24"/>
          <w:szCs w:val="24"/>
        </w:rPr>
        <w:t xml:space="preserve">1.3.3.4 </w:t>
      </w:r>
      <w:r>
        <w:rPr>
          <w:rFonts w:hint="eastAsia" w:asciiTheme="minorEastAsia" w:hAnsiTheme="minorEastAsia" w:eastAsiaTheme="minorEastAsia"/>
          <w:sz w:val="24"/>
          <w:szCs w:val="24"/>
        </w:rPr>
        <w:t>正负离子切换速度：</w:t>
      </w:r>
      <w:r>
        <w:rPr>
          <w:rFonts w:asciiTheme="minorEastAsia" w:hAnsiTheme="minorEastAsia" w:eastAsiaTheme="minorEastAsia"/>
          <w:sz w:val="24"/>
          <w:szCs w:val="24"/>
        </w:rPr>
        <w:t>1次全扫描周期1.1秒（正负切换采集全扫谱，分辨率为30,000）</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b/>
          <w:sz w:val="24"/>
          <w:szCs w:val="24"/>
        </w:rPr>
        <w:t>#</w:t>
      </w:r>
      <w:r>
        <w:rPr>
          <w:rFonts w:asciiTheme="minorEastAsia" w:hAnsiTheme="minorEastAsia" w:eastAsiaTheme="minorEastAsia"/>
          <w:sz w:val="24"/>
          <w:szCs w:val="24"/>
        </w:rPr>
        <w:t xml:space="preserve">1.3.3.5 质量准确度：外标法&lt;3ppm；内标法&lt;1ppm； </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1.3.3.6 </w:t>
      </w:r>
      <w:r>
        <w:rPr>
          <w:rFonts w:hint="eastAsia" w:asciiTheme="minorEastAsia" w:hAnsiTheme="minorEastAsia" w:eastAsiaTheme="minorEastAsia"/>
          <w:sz w:val="24"/>
          <w:szCs w:val="24"/>
        </w:rPr>
        <w:t>真空系统：提供机械泵，分子泵等，提供真空检测和自动保护装置，深度高真空技术可将超高真空区域的压力降至</w:t>
      </w:r>
      <w:r>
        <w:rPr>
          <w:rFonts w:asciiTheme="minorEastAsia" w:hAnsiTheme="minorEastAsia" w:eastAsiaTheme="minorEastAsia"/>
          <w:sz w:val="24"/>
          <w:szCs w:val="24"/>
        </w:rPr>
        <w:t>&lt;10e-10Torr；</w:t>
      </w:r>
    </w:p>
    <w:p>
      <w:pPr>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1.3.3.7 </w:t>
      </w:r>
      <w:r>
        <w:rPr>
          <w:rFonts w:hint="eastAsia" w:asciiTheme="minorEastAsia" w:hAnsiTheme="minorEastAsia" w:eastAsiaTheme="minorEastAsia"/>
          <w:sz w:val="24"/>
          <w:szCs w:val="24"/>
        </w:rPr>
        <w:t>检测器</w:t>
      </w:r>
      <w:r>
        <w:rPr>
          <w:rFonts w:asciiTheme="minorEastAsia" w:hAnsiTheme="minorEastAsia" w:eastAsiaTheme="minorEastAsia"/>
          <w:sz w:val="24"/>
          <w:szCs w:val="24"/>
        </w:rPr>
        <w:t>:FT无损检测；质谱如果采用微通道板（MCP）或电子倍增器等消耗型检测器，请额外提供相应备用检测器至少5个；</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1.3.4 </w:t>
      </w:r>
      <w:r>
        <w:rPr>
          <w:rFonts w:hint="eastAsia" w:asciiTheme="minorEastAsia" w:hAnsiTheme="minorEastAsia" w:eastAsiaTheme="minorEastAsia"/>
          <w:sz w:val="24"/>
          <w:szCs w:val="24"/>
        </w:rPr>
        <w:t>多种碰撞模式：任一级质谱均可进行碰撞诱导解离</w:t>
      </w:r>
      <w:r>
        <w:rPr>
          <w:rFonts w:asciiTheme="minorEastAsia" w:hAnsiTheme="minorEastAsia" w:eastAsiaTheme="minorEastAsia"/>
          <w:sz w:val="24"/>
          <w:szCs w:val="24"/>
        </w:rPr>
        <w:t>CID，高能碰撞HCD两种模式（n=1到10）；</w:t>
      </w:r>
    </w:p>
    <w:p>
      <w:pPr>
        <w:snapToGrid w:val="0"/>
        <w:spacing w:line="360" w:lineRule="auto"/>
        <w:rPr>
          <w:rFonts w:asciiTheme="minorEastAsia" w:hAnsiTheme="minorEastAsia" w:eastAsiaTheme="minorEastAsia"/>
          <w:sz w:val="24"/>
          <w:szCs w:val="24"/>
        </w:rPr>
      </w:pP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2 </w:t>
      </w:r>
      <w:r>
        <w:rPr>
          <w:rFonts w:hint="eastAsia" w:asciiTheme="minorEastAsia" w:hAnsiTheme="minorEastAsia" w:eastAsiaTheme="minorEastAsia"/>
          <w:sz w:val="24"/>
          <w:szCs w:val="24"/>
        </w:rPr>
        <w:t>超高效液相色谱仪</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b/>
          <w:sz w:val="24"/>
          <w:szCs w:val="24"/>
        </w:rPr>
        <w:t>#</w:t>
      </w:r>
      <w:r>
        <w:rPr>
          <w:rFonts w:asciiTheme="minorEastAsia" w:hAnsiTheme="minorEastAsia" w:eastAsiaTheme="minorEastAsia"/>
          <w:sz w:val="24"/>
          <w:szCs w:val="24"/>
        </w:rPr>
        <w:t xml:space="preserve">2.1 </w:t>
      </w:r>
      <w:r>
        <w:rPr>
          <w:rFonts w:hint="eastAsia" w:asciiTheme="minorEastAsia" w:hAnsiTheme="minorEastAsia" w:eastAsiaTheme="minorEastAsia"/>
          <w:sz w:val="24"/>
          <w:szCs w:val="24"/>
        </w:rPr>
        <w:t>压力范围：</w:t>
      </w:r>
      <w:r>
        <w:rPr>
          <w:rFonts w:asciiTheme="minorEastAsia" w:hAnsiTheme="minorEastAsia" w:eastAsiaTheme="minorEastAsia"/>
          <w:sz w:val="24"/>
          <w:szCs w:val="24"/>
        </w:rPr>
        <w:t>0-15000psi；</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2.2 </w:t>
      </w:r>
      <w:r>
        <w:rPr>
          <w:rFonts w:hint="eastAsia" w:asciiTheme="minorEastAsia" w:hAnsiTheme="minorEastAsia" w:eastAsiaTheme="minorEastAsia"/>
          <w:sz w:val="24"/>
          <w:szCs w:val="24"/>
        </w:rPr>
        <w:t>流量范围：</w:t>
      </w:r>
      <w:r>
        <w:rPr>
          <w:rFonts w:asciiTheme="minorEastAsia" w:hAnsiTheme="minorEastAsia" w:eastAsiaTheme="minorEastAsia"/>
          <w:sz w:val="24"/>
          <w:szCs w:val="24"/>
        </w:rPr>
        <w:t>0-8.000 mL/min，步进0.001 mL/min；</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2.3 </w:t>
      </w:r>
      <w:r>
        <w:rPr>
          <w:rFonts w:hint="eastAsia" w:asciiTheme="minorEastAsia" w:hAnsiTheme="minorEastAsia" w:eastAsiaTheme="minorEastAsia"/>
          <w:sz w:val="24"/>
          <w:szCs w:val="24"/>
        </w:rPr>
        <w:t>流量准确度：±</w:t>
      </w:r>
      <w:r>
        <w:rPr>
          <w:rFonts w:asciiTheme="minorEastAsia" w:hAnsiTheme="minorEastAsia" w:eastAsiaTheme="minorEastAsia"/>
          <w:sz w:val="24"/>
          <w:szCs w:val="24"/>
        </w:rPr>
        <w:t>0.15%；</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2.4 </w:t>
      </w:r>
      <w:r>
        <w:rPr>
          <w:rFonts w:hint="eastAsia" w:asciiTheme="minorEastAsia" w:hAnsiTheme="minorEastAsia" w:eastAsiaTheme="minorEastAsia"/>
          <w:sz w:val="24"/>
          <w:szCs w:val="24"/>
        </w:rPr>
        <w:t>流量精密度：</w:t>
      </w:r>
      <w:r>
        <w:rPr>
          <w:rFonts w:asciiTheme="minorEastAsia" w:hAnsiTheme="minorEastAsia" w:eastAsiaTheme="minorEastAsia"/>
          <w:sz w:val="24"/>
          <w:szCs w:val="24"/>
        </w:rPr>
        <w:t>&lt;0.075%；</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2.5 </w:t>
      </w:r>
      <w:r>
        <w:rPr>
          <w:rFonts w:hint="eastAsia" w:asciiTheme="minorEastAsia" w:hAnsiTheme="minorEastAsia" w:eastAsiaTheme="minorEastAsia"/>
          <w:sz w:val="24"/>
          <w:szCs w:val="24"/>
        </w:rPr>
        <w:t>柱温箱：温控范围：</w:t>
      </w:r>
      <w:r>
        <w:rPr>
          <w:rFonts w:asciiTheme="minorEastAsia" w:hAnsiTheme="minorEastAsia" w:eastAsiaTheme="minorEastAsia"/>
          <w:sz w:val="24"/>
          <w:szCs w:val="24"/>
        </w:rPr>
        <w:t>5~45℃；温度准确度：±0.5℃；温度精度：±0.1℃；</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2.6 </w:t>
      </w:r>
      <w:r>
        <w:rPr>
          <w:rFonts w:hint="eastAsia" w:asciiTheme="minorEastAsia" w:hAnsiTheme="minorEastAsia" w:eastAsiaTheme="minorEastAsia"/>
          <w:sz w:val="24"/>
          <w:szCs w:val="24"/>
        </w:rPr>
        <w:t>自动进样器</w:t>
      </w:r>
      <w:r>
        <w:rPr>
          <w:rFonts w:asciiTheme="minorEastAsia" w:hAnsiTheme="minorEastAsia" w:eastAsiaTheme="minorEastAsia"/>
          <w:sz w:val="24"/>
          <w:szCs w:val="24"/>
        </w:rPr>
        <w:t>: 120位1.8mL或2mL样品瓶，兼容96孔板或384孔板；</w:t>
      </w:r>
    </w:p>
    <w:p>
      <w:pPr>
        <w:snapToGrid w:val="0"/>
        <w:spacing w:line="360" w:lineRule="auto"/>
        <w:rPr>
          <w:rFonts w:asciiTheme="minorEastAsia" w:hAnsiTheme="minorEastAsia" w:eastAsiaTheme="minorEastAsia"/>
          <w:sz w:val="24"/>
          <w:szCs w:val="24"/>
        </w:rPr>
      </w:pP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3 </w:t>
      </w:r>
      <w:r>
        <w:rPr>
          <w:rFonts w:hint="eastAsia" w:asciiTheme="minorEastAsia" w:hAnsiTheme="minorEastAsia" w:eastAsiaTheme="minorEastAsia"/>
          <w:sz w:val="24"/>
          <w:szCs w:val="24"/>
        </w:rPr>
        <w:t>数据处理系统</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3.1 </w:t>
      </w:r>
      <w:r>
        <w:rPr>
          <w:rFonts w:hint="eastAsia" w:asciiTheme="minorEastAsia" w:hAnsiTheme="minorEastAsia" w:eastAsiaTheme="minorEastAsia"/>
          <w:sz w:val="24"/>
          <w:szCs w:val="24"/>
        </w:rPr>
        <w:t>蛋白组学软件用于蛋白质组学定性和相对定量软件：具有序列分析功能、翻译后修饰</w:t>
      </w:r>
      <w:r>
        <w:rPr>
          <w:rFonts w:asciiTheme="minorEastAsia" w:hAnsiTheme="minorEastAsia" w:eastAsiaTheme="minorEastAsia"/>
          <w:sz w:val="24"/>
          <w:szCs w:val="24"/>
        </w:rPr>
        <w:t>PTM鉴定功能、建库功能等；</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3.2 </w:t>
      </w:r>
      <w:r>
        <w:rPr>
          <w:rFonts w:hint="eastAsia" w:asciiTheme="minorEastAsia" w:hAnsiTheme="minorEastAsia" w:eastAsiaTheme="minorEastAsia"/>
          <w:sz w:val="24"/>
          <w:szCs w:val="24"/>
        </w:rPr>
        <w:t>代谢组学软件具有化合物识别功能、峰对齐功能、统计学分析功能和通路分析功能。可以通过自建的数据库或者</w:t>
      </w:r>
      <w:r>
        <w:rPr>
          <w:rFonts w:asciiTheme="minorEastAsia" w:hAnsiTheme="minorEastAsia" w:eastAsiaTheme="minorEastAsia"/>
          <w:sz w:val="24"/>
          <w:szCs w:val="24"/>
        </w:rPr>
        <w:t>ChemSpider来进行鉴定识别，同时可以通过搜索KEGG来进行代谢通路分析；</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3.3 </w:t>
      </w:r>
      <w:r>
        <w:rPr>
          <w:rFonts w:hint="eastAsia" w:asciiTheme="minorEastAsia" w:hAnsiTheme="minorEastAsia" w:eastAsiaTheme="minorEastAsia"/>
          <w:sz w:val="24"/>
          <w:szCs w:val="24"/>
        </w:rPr>
        <w:t>质保期内软件免费升级，数据库支持永久免费联网更新；全部软件及数据库支持搭建在大设施平台服务器上；</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3.4 </w:t>
      </w:r>
      <w:r>
        <w:rPr>
          <w:rFonts w:hint="eastAsia" w:asciiTheme="minorEastAsia" w:hAnsiTheme="minorEastAsia" w:eastAsiaTheme="minorEastAsia"/>
          <w:sz w:val="24"/>
          <w:szCs w:val="24"/>
        </w:rPr>
        <w:t>配置主流工作站</w:t>
      </w:r>
      <w:r>
        <w:rPr>
          <w:rFonts w:asciiTheme="minorEastAsia" w:hAnsiTheme="minorEastAsia" w:eastAsiaTheme="minorEastAsia"/>
          <w:sz w:val="24"/>
          <w:szCs w:val="24"/>
        </w:rPr>
        <w:t>3台，正版Window 10操作系统（64bit）：其中1台可实现对液相的全自动控制、数据采集和处理分析；1台可实现对MS和LC-MS的全自动控制、数据采集和处理分析；1台可安装蛋白组学和代谢组学软件，数据检索速度符合分析检测实验室要求；</w:t>
      </w:r>
    </w:p>
    <w:p>
      <w:pPr>
        <w:snapToGrid w:val="0"/>
        <w:spacing w:line="360" w:lineRule="auto"/>
        <w:rPr>
          <w:rFonts w:asciiTheme="minorEastAsia" w:hAnsiTheme="minorEastAsia" w:eastAsiaTheme="minorEastAsia"/>
          <w:sz w:val="24"/>
          <w:szCs w:val="24"/>
        </w:rPr>
      </w:pP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4 </w:t>
      </w:r>
      <w:r>
        <w:rPr>
          <w:rFonts w:hint="eastAsia" w:asciiTheme="minorEastAsia" w:hAnsiTheme="minorEastAsia" w:eastAsiaTheme="minorEastAsia"/>
          <w:sz w:val="24"/>
          <w:szCs w:val="24"/>
        </w:rPr>
        <w:t>配套附件</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4.1 </w:t>
      </w:r>
      <w:r>
        <w:rPr>
          <w:rFonts w:hint="eastAsia" w:asciiTheme="minorEastAsia" w:hAnsiTheme="minorEastAsia" w:eastAsiaTheme="minorEastAsia"/>
          <w:sz w:val="24"/>
          <w:szCs w:val="24"/>
        </w:rPr>
        <w:t>细胞、微生物培养系统（由</w:t>
      </w:r>
      <w:r>
        <w:rPr>
          <w:rFonts w:asciiTheme="minorEastAsia" w:hAnsiTheme="minorEastAsia" w:eastAsiaTheme="minorEastAsia"/>
          <w:sz w:val="24"/>
          <w:szCs w:val="24"/>
        </w:rPr>
        <w:t xml:space="preserve">2台CO2培养箱、1台三气CO2培养箱、2台细菌培养箱、1台恒温摇床组成） </w:t>
      </w:r>
      <w:r>
        <w:rPr>
          <w:rFonts w:hint="eastAsia" w:asciiTheme="minorEastAsia" w:hAnsiTheme="minorEastAsia" w:eastAsiaTheme="minorEastAsia"/>
          <w:sz w:val="24"/>
          <w:szCs w:val="24"/>
        </w:rPr>
        <w:t>数量：</w:t>
      </w:r>
      <w:r>
        <w:rPr>
          <w:rFonts w:asciiTheme="minorEastAsia" w:hAnsiTheme="minorEastAsia" w:eastAsiaTheme="minorEastAsia"/>
          <w:sz w:val="24"/>
          <w:szCs w:val="24"/>
        </w:rPr>
        <w:t>1套。</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4.1.1 CO2培养箱，工作体积范围180L-190L之间，温度控制范围高于室温5℃～50℃，温度均一性±0.3℃(在37℃时)，具备腔体内HEPA滤器和风扇系统,每隔60秒对腔体内空气自动过滤循环一次，具有140摄氏度干热灭菌程序，包含不锈钢隔板3块；</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4.1.2 </w:t>
      </w:r>
      <w:r>
        <w:rPr>
          <w:rFonts w:hint="eastAsia" w:asciiTheme="minorEastAsia" w:hAnsiTheme="minorEastAsia" w:eastAsiaTheme="minorEastAsia"/>
          <w:sz w:val="24"/>
          <w:szCs w:val="24"/>
        </w:rPr>
        <w:t>三气</w:t>
      </w:r>
      <w:r>
        <w:rPr>
          <w:rFonts w:asciiTheme="minorEastAsia" w:hAnsiTheme="minorEastAsia" w:eastAsiaTheme="minorEastAsia"/>
          <w:sz w:val="24"/>
          <w:szCs w:val="24"/>
        </w:rPr>
        <w:t>CO2培养箱，工作容积≥165L，温度控制范围RT+3～55℃，CO2范围0～20%，CO2传感器为红外探头，采用硅基MEMS发射器，无水盘设计，内置3L下沉式水库，具备水位检测探头，具备主动气流技术，配备箱体内HEPA过滤器，具有180度</w:t>
      </w:r>
      <w:r>
        <w:rPr>
          <w:rFonts w:hint="eastAsia" w:asciiTheme="minorEastAsia" w:hAnsiTheme="minorEastAsia" w:eastAsiaTheme="minorEastAsia"/>
          <w:sz w:val="24"/>
          <w:szCs w:val="24"/>
        </w:rPr>
        <w:t>干热灭菌程序，玻璃内门具备磁吸附功能，包含不锈钢隔板</w:t>
      </w:r>
      <w:r>
        <w:rPr>
          <w:rFonts w:asciiTheme="minorEastAsia" w:hAnsiTheme="minorEastAsia" w:eastAsiaTheme="minorEastAsia"/>
          <w:sz w:val="24"/>
          <w:szCs w:val="24"/>
        </w:rPr>
        <w:t>3块；</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4.1.3 </w:t>
      </w:r>
      <w:r>
        <w:rPr>
          <w:rFonts w:hint="eastAsia" w:asciiTheme="minorEastAsia" w:hAnsiTheme="minorEastAsia" w:eastAsiaTheme="minorEastAsia"/>
          <w:sz w:val="24"/>
          <w:szCs w:val="24"/>
        </w:rPr>
        <w:t>细菌培养箱，控温范围</w:t>
      </w:r>
      <w:r>
        <w:rPr>
          <w:rFonts w:asciiTheme="minorEastAsia" w:hAnsiTheme="minorEastAsia" w:eastAsiaTheme="minorEastAsia"/>
          <w:sz w:val="24"/>
          <w:szCs w:val="24"/>
        </w:rPr>
        <w:t>0～60℃；温度分辨率：0.1℃；温度波动度≤±1.0℃；温度均匀度：±1.5℃(测试点为25℃)；</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4.1.4 </w:t>
      </w:r>
      <w:r>
        <w:rPr>
          <w:rFonts w:hint="eastAsia" w:asciiTheme="minorEastAsia" w:hAnsiTheme="minorEastAsia" w:eastAsiaTheme="minorEastAsia"/>
          <w:sz w:val="24"/>
          <w:szCs w:val="24"/>
        </w:rPr>
        <w:t>恒温摇床，单层</w:t>
      </w:r>
      <w:r>
        <w:rPr>
          <w:rFonts w:asciiTheme="minorEastAsia" w:hAnsiTheme="minorEastAsia" w:eastAsiaTheme="minorEastAsia"/>
          <w:sz w:val="24"/>
          <w:szCs w:val="24"/>
        </w:rPr>
        <w:t>250ml×25或500ml×16或1000ml×9共两层；三角瓶夹具须为一次性成型塑胶夹具；温控范围4～60℃（at23℃~25℃）；温度调节精度：±0.1℃；温度均匀度：±1℃（at37℃）；空载振荡频率10-320rpm；振荡频率精度：±1rpm；摇板振幅：Ф26mm；具有紫外线灭菌功能、超温报警功能和断电恢复功能；</w:t>
      </w:r>
    </w:p>
    <w:p>
      <w:pPr>
        <w:snapToGrid w:val="0"/>
        <w:spacing w:line="360" w:lineRule="auto"/>
        <w:rPr>
          <w:rFonts w:asciiTheme="minorEastAsia" w:hAnsiTheme="minorEastAsia" w:eastAsiaTheme="minorEastAsia"/>
          <w:sz w:val="24"/>
          <w:szCs w:val="24"/>
        </w:rPr>
      </w:pP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4.2 </w:t>
      </w:r>
      <w:r>
        <w:rPr>
          <w:rFonts w:hint="eastAsia" w:asciiTheme="minorEastAsia" w:hAnsiTheme="minorEastAsia" w:eastAsiaTheme="minorEastAsia"/>
          <w:sz w:val="24"/>
          <w:szCs w:val="24"/>
        </w:rPr>
        <w:t>样本低温储存系统（由</w:t>
      </w:r>
      <w:r>
        <w:rPr>
          <w:rFonts w:asciiTheme="minorEastAsia" w:hAnsiTheme="minorEastAsia" w:eastAsiaTheme="minorEastAsia"/>
          <w:sz w:val="24"/>
          <w:szCs w:val="24"/>
        </w:rPr>
        <w:t xml:space="preserve">2台2-8℃医用冰箱、4台2-8℃/-20℃医用冰箱、2台-80℃医用冰箱组成） </w:t>
      </w:r>
      <w:r>
        <w:rPr>
          <w:rFonts w:hint="eastAsia" w:asciiTheme="minorEastAsia" w:hAnsiTheme="minorEastAsia" w:eastAsiaTheme="minorEastAsia"/>
          <w:sz w:val="24"/>
          <w:szCs w:val="24"/>
        </w:rPr>
        <w:t>数量：</w:t>
      </w:r>
      <w:r>
        <w:rPr>
          <w:rFonts w:asciiTheme="minorEastAsia" w:hAnsiTheme="minorEastAsia" w:eastAsiaTheme="minorEastAsia"/>
          <w:sz w:val="24"/>
          <w:szCs w:val="24"/>
        </w:rPr>
        <w:t>1套。</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4.2.1 2-8℃医用冰箱，有效容积≥395L，箱内温度波动范围±1.5℃以内；双锁结构；门体加热模式实现32℃环温80%湿度条件下无凝露；具有多种报警功能；蓄电池可提供不少于48小时显示及报警功能；标配RS485接口、远程报警接口；</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4.2.2 2-8℃/-20℃医用冰箱，有效容积≥450L，样式采用立式，上下双门；双压缩机双系统，上冷藏室和下冷冻室可独立控制运行；上冷藏室箱内温度保持在2℃～8℃范围内，下冷冻室箱内温度保持在-10℃～-26℃范围内，显示精度0.1℃；搭载DC/DC电源管理模块；具备声光报警功能；上下室发泡层厚度均达80mm； </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4.2.3 -80℃医用冰箱，有效容积≥850L，温度控制在-40℃～-86℃范围内，控温精度0.1℃；双独立制冷系统双压缩机运行；25℃环温时，空载降温到-80℃时间≤5.0h，空载稳定运行断电回温至-50℃时间≥310min； VIP保温板厚度≥20mm，箱体发泡层≥130mm；可存储2英寸标准冻存盒600个，2ml标准冻存管60000支；</w:t>
      </w:r>
    </w:p>
    <w:p>
      <w:pPr>
        <w:snapToGrid w:val="0"/>
        <w:spacing w:line="360" w:lineRule="auto"/>
        <w:rPr>
          <w:rFonts w:asciiTheme="minorEastAsia" w:hAnsiTheme="minorEastAsia" w:eastAsiaTheme="minorEastAsia"/>
          <w:sz w:val="24"/>
          <w:szCs w:val="24"/>
        </w:rPr>
      </w:pP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4.3 </w:t>
      </w:r>
      <w:r>
        <w:rPr>
          <w:rFonts w:hint="eastAsia" w:asciiTheme="minorEastAsia" w:hAnsiTheme="minorEastAsia" w:eastAsiaTheme="minorEastAsia"/>
          <w:sz w:val="24"/>
          <w:szCs w:val="24"/>
        </w:rPr>
        <w:t>样品量取转移系统（由</w:t>
      </w:r>
      <w:r>
        <w:rPr>
          <w:rFonts w:asciiTheme="minorEastAsia" w:hAnsiTheme="minorEastAsia" w:eastAsiaTheme="minorEastAsia"/>
          <w:sz w:val="24"/>
          <w:szCs w:val="24"/>
        </w:rPr>
        <w:t xml:space="preserve">1台超纯水仪、10套单道移液器、3套八道手动移液器组成） </w:t>
      </w:r>
      <w:r>
        <w:rPr>
          <w:rFonts w:hint="eastAsia" w:asciiTheme="minorEastAsia" w:hAnsiTheme="minorEastAsia" w:eastAsiaTheme="minorEastAsia"/>
          <w:sz w:val="24"/>
          <w:szCs w:val="24"/>
        </w:rPr>
        <w:t>数量：</w:t>
      </w:r>
      <w:r>
        <w:rPr>
          <w:rFonts w:asciiTheme="minorEastAsia" w:hAnsiTheme="minorEastAsia" w:eastAsiaTheme="minorEastAsia"/>
          <w:sz w:val="24"/>
          <w:szCs w:val="24"/>
        </w:rPr>
        <w:t>1套。其中超纯水仪产I级纯水速度可达2L/min，标配双波长紫外灯；单道移液器0.5-10µl，10-100µl，20-200µl，100-1000µl四种量程为1套，八道手动移液器0.5-10µl，10-100µl，30-300µl三种量程为1套；</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4.4 </w:t>
      </w:r>
      <w:r>
        <w:rPr>
          <w:rFonts w:hint="eastAsia" w:asciiTheme="minorEastAsia" w:hAnsiTheme="minorEastAsia" w:eastAsiaTheme="minorEastAsia"/>
          <w:sz w:val="24"/>
          <w:szCs w:val="24"/>
        </w:rPr>
        <w:t>样品电泳分离系统（由电泳仪电源、水平电泳、四板垂直电泳、转膜电泳组成）</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数量：</w:t>
      </w:r>
      <w:r>
        <w:rPr>
          <w:rFonts w:asciiTheme="minorEastAsia" w:hAnsiTheme="minorEastAsia" w:eastAsiaTheme="minorEastAsia"/>
          <w:sz w:val="24"/>
          <w:szCs w:val="24"/>
        </w:rPr>
        <w:t>6套。</w:t>
      </w:r>
    </w:p>
    <w:p>
      <w:pPr>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4.5 </w:t>
      </w:r>
      <w:r>
        <w:rPr>
          <w:rFonts w:hint="eastAsia" w:asciiTheme="minorEastAsia" w:hAnsiTheme="minorEastAsia" w:eastAsiaTheme="minorEastAsia"/>
          <w:sz w:val="24"/>
          <w:szCs w:val="24"/>
        </w:rPr>
        <w:t>样品预处理系统（由</w:t>
      </w:r>
      <w:r>
        <w:rPr>
          <w:rFonts w:asciiTheme="minorEastAsia" w:hAnsiTheme="minorEastAsia" w:eastAsiaTheme="minorEastAsia"/>
          <w:sz w:val="24"/>
          <w:szCs w:val="24"/>
        </w:rPr>
        <w:t xml:space="preserve">3台控温振荡器、3台三孔三温水浴锅、2台低速离心机、15台迷你离心机组成） </w:t>
      </w:r>
      <w:r>
        <w:rPr>
          <w:rFonts w:hint="eastAsia" w:asciiTheme="minorEastAsia" w:hAnsiTheme="minorEastAsia" w:eastAsiaTheme="minorEastAsia"/>
          <w:sz w:val="24"/>
          <w:szCs w:val="24"/>
        </w:rPr>
        <w:t>数量：</w:t>
      </w:r>
      <w:r>
        <w:rPr>
          <w:rFonts w:asciiTheme="minorEastAsia" w:hAnsiTheme="minorEastAsia" w:eastAsiaTheme="minorEastAsia"/>
          <w:sz w:val="24"/>
          <w:szCs w:val="24"/>
        </w:rPr>
        <w:t>1套。</w:t>
      </w:r>
    </w:p>
    <w:p>
      <w:pPr>
        <w:snapToGrid w:val="0"/>
        <w:spacing w:line="360" w:lineRule="auto"/>
        <w:rPr>
          <w:rFonts w:ascii="宋体" w:hAnsi="宋体"/>
          <w:sz w:val="24"/>
          <w:szCs w:val="24"/>
        </w:rPr>
      </w:pPr>
    </w:p>
    <w:p>
      <w:pPr>
        <w:snapToGrid w:val="0"/>
        <w:spacing w:line="360" w:lineRule="auto"/>
        <w:rPr>
          <w:rFonts w:ascii="宋体" w:hAnsi="宋体"/>
          <w:b/>
          <w:sz w:val="24"/>
          <w:szCs w:val="24"/>
        </w:rPr>
      </w:pPr>
      <w:r>
        <w:rPr>
          <w:rFonts w:hint="eastAsia" w:ascii="宋体" w:hAnsi="宋体"/>
          <w:b/>
          <w:sz w:val="24"/>
          <w:szCs w:val="24"/>
        </w:rPr>
        <w:t>二、技术服务</w:t>
      </w:r>
    </w:p>
    <w:p>
      <w:pPr>
        <w:snapToGrid w:val="0"/>
        <w:spacing w:line="360" w:lineRule="auto"/>
        <w:rPr>
          <w:rFonts w:ascii="宋体" w:hAnsi="宋体"/>
          <w:sz w:val="24"/>
          <w:szCs w:val="24"/>
        </w:rPr>
      </w:pPr>
      <w:r>
        <w:rPr>
          <w:rFonts w:hint="eastAsia" w:ascii="宋体" w:hAnsi="宋体"/>
          <w:sz w:val="24"/>
          <w:szCs w:val="24"/>
        </w:rPr>
        <w:t>2</w:t>
      </w:r>
      <w:r>
        <w:rPr>
          <w:rFonts w:ascii="宋体" w:hAnsi="宋体"/>
          <w:sz w:val="24"/>
          <w:szCs w:val="24"/>
        </w:rPr>
        <w:t>.1</w:t>
      </w:r>
      <w:r>
        <w:rPr>
          <w:rFonts w:hint="eastAsia" w:ascii="宋体" w:hAnsi="宋体"/>
          <w:sz w:val="24"/>
          <w:szCs w:val="24"/>
        </w:rPr>
        <w:t>安装调试：仪器于合同约定的时间内到货，投标人负责派合格的工程师到现场进行设备安装、调试、运行、性能测试并提供完整的检测报告，保证买方正常使用。设备的安装调试应由厂家有经验的工程技术人员到现场进行实施，同时必须在买方技术人员在场的情况下进行，直至验收合格；</w:t>
      </w:r>
    </w:p>
    <w:p>
      <w:pPr>
        <w:snapToGrid w:val="0"/>
        <w:spacing w:line="360" w:lineRule="auto"/>
        <w:rPr>
          <w:rFonts w:ascii="宋体" w:hAnsi="宋体"/>
          <w:sz w:val="24"/>
          <w:szCs w:val="24"/>
        </w:rPr>
      </w:pPr>
      <w:r>
        <w:rPr>
          <w:rFonts w:hint="eastAsia" w:ascii="宋体" w:hAnsi="宋体"/>
          <w:sz w:val="24"/>
          <w:szCs w:val="24"/>
        </w:rPr>
        <w:t>2</w:t>
      </w:r>
      <w:r>
        <w:rPr>
          <w:rFonts w:ascii="宋体" w:hAnsi="宋体"/>
          <w:sz w:val="24"/>
          <w:szCs w:val="24"/>
        </w:rPr>
        <w:t>.2</w:t>
      </w:r>
      <w:r>
        <w:rPr>
          <w:rFonts w:hint="eastAsia" w:ascii="宋体" w:hAnsi="宋体"/>
          <w:sz w:val="24"/>
          <w:szCs w:val="24"/>
        </w:rPr>
        <w:t>质保期：</w:t>
      </w:r>
    </w:p>
    <w:p>
      <w:pPr>
        <w:snapToGrid w:val="0"/>
        <w:spacing w:line="360" w:lineRule="auto"/>
        <w:rPr>
          <w:rFonts w:ascii="宋体" w:hAnsi="宋体"/>
          <w:sz w:val="24"/>
          <w:szCs w:val="24"/>
        </w:rPr>
      </w:pPr>
      <w:r>
        <w:rPr>
          <w:rFonts w:hint="eastAsia" w:ascii="宋体" w:hAnsi="宋体"/>
          <w:sz w:val="24"/>
          <w:szCs w:val="24"/>
        </w:rPr>
        <w:t xml:space="preserve">2.2.1以上设备自验收之日起，至少提供三年整机免费质保服务。 </w:t>
      </w:r>
    </w:p>
    <w:p>
      <w:pPr>
        <w:snapToGrid w:val="0"/>
        <w:spacing w:line="360" w:lineRule="auto"/>
        <w:rPr>
          <w:rFonts w:ascii="宋体" w:hAnsi="宋体"/>
          <w:sz w:val="24"/>
          <w:szCs w:val="24"/>
        </w:rPr>
      </w:pPr>
      <w:r>
        <w:rPr>
          <w:rFonts w:hint="eastAsia" w:ascii="宋体" w:hAnsi="宋体"/>
          <w:sz w:val="24"/>
          <w:szCs w:val="24"/>
        </w:rPr>
        <w:t>2.2.2配套附件-样本低温存储系统应提供六年免费质保服务。</w:t>
      </w:r>
    </w:p>
    <w:p>
      <w:pPr>
        <w:snapToGrid w:val="0"/>
        <w:spacing w:line="360" w:lineRule="auto"/>
        <w:rPr>
          <w:rFonts w:ascii="宋体" w:hAnsi="宋体"/>
          <w:sz w:val="24"/>
          <w:szCs w:val="24"/>
        </w:rPr>
      </w:pPr>
      <w:r>
        <w:rPr>
          <w:rFonts w:hint="eastAsia" w:ascii="宋体" w:hAnsi="宋体"/>
          <w:sz w:val="24"/>
          <w:szCs w:val="24"/>
        </w:rPr>
        <w:t>2</w:t>
      </w:r>
      <w:r>
        <w:rPr>
          <w:rFonts w:ascii="宋体" w:hAnsi="宋体"/>
          <w:sz w:val="24"/>
          <w:szCs w:val="24"/>
        </w:rPr>
        <w:t>.3</w:t>
      </w:r>
      <w:r>
        <w:rPr>
          <w:rFonts w:hint="eastAsia" w:ascii="宋体" w:hAnsi="宋体"/>
          <w:sz w:val="24"/>
          <w:szCs w:val="24"/>
        </w:rPr>
        <w:t>维修及应用技术支持响应时间投标人应在24小时内对用户的服务要求作出响应，一般问题应在48小时内解决，重大问题或其它无法迅速解决的问题应在一周内解决或提出明确解决方案，否则投标人应赔偿相应损失；质保期内维修及应用技术支持免费发生任何设备及部件损坏，供应商应承担全部原厂维修与部件更换的费用。</w:t>
      </w:r>
    </w:p>
    <w:p>
      <w:pPr>
        <w:snapToGrid w:val="0"/>
        <w:spacing w:line="360" w:lineRule="auto"/>
        <w:rPr>
          <w:rFonts w:ascii="宋体" w:hAnsi="宋体"/>
          <w:sz w:val="24"/>
          <w:szCs w:val="24"/>
        </w:rPr>
      </w:pPr>
      <w:r>
        <w:rPr>
          <w:rFonts w:hint="eastAsia" w:ascii="宋体" w:hAnsi="宋体"/>
          <w:sz w:val="24"/>
          <w:szCs w:val="24"/>
        </w:rPr>
        <w:t>2</w:t>
      </w:r>
      <w:r>
        <w:rPr>
          <w:rFonts w:ascii="宋体" w:hAnsi="宋体"/>
          <w:sz w:val="24"/>
          <w:szCs w:val="24"/>
        </w:rPr>
        <w:t>.4</w:t>
      </w:r>
      <w:r>
        <w:rPr>
          <w:rFonts w:hint="eastAsia" w:ascii="宋体" w:hAnsi="宋体"/>
          <w:sz w:val="24"/>
          <w:szCs w:val="24"/>
        </w:rPr>
        <w:t>技术培训</w:t>
      </w:r>
    </w:p>
    <w:p>
      <w:pPr>
        <w:snapToGrid w:val="0"/>
        <w:spacing w:line="360" w:lineRule="auto"/>
        <w:rPr>
          <w:rFonts w:ascii="宋体" w:hAnsi="宋体"/>
          <w:sz w:val="24"/>
          <w:szCs w:val="24"/>
        </w:rPr>
      </w:pPr>
      <w:r>
        <w:rPr>
          <w:rFonts w:hint="eastAsia" w:ascii="宋体" w:hAnsi="宋体"/>
          <w:sz w:val="24"/>
          <w:szCs w:val="24"/>
        </w:rPr>
        <w:t xml:space="preserve">2.4.1培训地点：用户项目现场； </w:t>
      </w:r>
    </w:p>
    <w:p>
      <w:pPr>
        <w:snapToGrid w:val="0"/>
        <w:spacing w:line="360" w:lineRule="auto"/>
        <w:rPr>
          <w:rFonts w:ascii="宋体" w:hAnsi="宋体"/>
          <w:sz w:val="24"/>
          <w:szCs w:val="24"/>
        </w:rPr>
      </w:pPr>
      <w:r>
        <w:rPr>
          <w:rFonts w:hint="eastAsia" w:ascii="宋体" w:hAnsi="宋体"/>
          <w:sz w:val="24"/>
          <w:szCs w:val="24"/>
        </w:rPr>
        <w:t xml:space="preserve">2.4.2培训时间：设备安装调试完毕后； </w:t>
      </w:r>
    </w:p>
    <w:p>
      <w:pPr>
        <w:snapToGrid w:val="0"/>
        <w:spacing w:line="360" w:lineRule="auto"/>
        <w:rPr>
          <w:rFonts w:ascii="宋体" w:hAnsi="宋体"/>
          <w:sz w:val="24"/>
          <w:szCs w:val="24"/>
        </w:rPr>
      </w:pPr>
      <w:r>
        <w:rPr>
          <w:rFonts w:hint="eastAsia" w:ascii="宋体" w:hAnsi="宋体"/>
          <w:sz w:val="24"/>
          <w:szCs w:val="24"/>
        </w:rPr>
        <w:t>2.4.3师资配备：资深的技术工程师；</w:t>
      </w:r>
    </w:p>
    <w:p>
      <w:pPr>
        <w:snapToGrid w:val="0"/>
        <w:spacing w:line="360" w:lineRule="auto"/>
        <w:rPr>
          <w:rFonts w:ascii="宋体" w:hAnsi="宋体"/>
          <w:sz w:val="24"/>
          <w:szCs w:val="24"/>
        </w:rPr>
      </w:pPr>
      <w:r>
        <w:rPr>
          <w:rFonts w:hint="eastAsia" w:ascii="宋体" w:hAnsi="宋体"/>
          <w:sz w:val="24"/>
          <w:szCs w:val="24"/>
        </w:rPr>
        <w:t xml:space="preserve">2.4.4学员数量：3-5 人； </w:t>
      </w:r>
    </w:p>
    <w:p>
      <w:pPr>
        <w:snapToGrid w:val="0"/>
        <w:spacing w:line="360" w:lineRule="auto"/>
        <w:rPr>
          <w:rFonts w:ascii="宋体" w:hAnsi="宋体"/>
          <w:sz w:val="24"/>
          <w:szCs w:val="24"/>
        </w:rPr>
      </w:pPr>
      <w:r>
        <w:rPr>
          <w:rFonts w:hint="eastAsia" w:ascii="宋体" w:hAnsi="宋体"/>
          <w:sz w:val="24"/>
          <w:szCs w:val="24"/>
        </w:rPr>
        <w:t>2.4.5经费预算：免费；</w:t>
      </w:r>
    </w:p>
    <w:p>
      <w:pPr>
        <w:snapToGrid w:val="0"/>
        <w:spacing w:line="360" w:lineRule="auto"/>
        <w:rPr>
          <w:rFonts w:ascii="宋体" w:hAnsi="宋体"/>
          <w:sz w:val="24"/>
          <w:szCs w:val="24"/>
        </w:rPr>
      </w:pPr>
      <w:r>
        <w:rPr>
          <w:rFonts w:hint="eastAsia" w:ascii="宋体" w:hAnsi="宋体"/>
          <w:sz w:val="24"/>
          <w:szCs w:val="24"/>
        </w:rPr>
        <w:t xml:space="preserve">2.4.6培训内容：包括最新技术的解读，仪器功能、应用、基本原理、操作方法数据处理、仪器基本维护等，使培训人员能够正确、熟练的操作及掌握仪器简易、常见故障的判别及排除、维修等； </w:t>
      </w:r>
    </w:p>
    <w:p>
      <w:pPr>
        <w:snapToGrid w:val="0"/>
        <w:spacing w:line="360" w:lineRule="auto"/>
        <w:rPr>
          <w:rFonts w:ascii="宋体" w:hAnsi="宋体"/>
          <w:sz w:val="24"/>
          <w:szCs w:val="24"/>
        </w:rPr>
      </w:pPr>
      <w:r>
        <w:rPr>
          <w:rFonts w:hint="eastAsia" w:ascii="宋体" w:hAnsi="宋体"/>
          <w:sz w:val="24"/>
          <w:szCs w:val="24"/>
        </w:rPr>
        <w:t>2.4.7培训要求：设备厂家派遣合格的技术人员到购方所在地培训，除装机培训外，买方可要求卖方提供每年不少于 3 次的免费上门培训与技术指导；</w:t>
      </w:r>
    </w:p>
    <w:p>
      <w:pPr>
        <w:snapToGrid w:val="0"/>
        <w:spacing w:line="360" w:lineRule="auto"/>
        <w:rPr>
          <w:rFonts w:ascii="宋体" w:hAnsi="宋体"/>
          <w:sz w:val="24"/>
          <w:szCs w:val="24"/>
        </w:rPr>
      </w:pPr>
      <w:r>
        <w:rPr>
          <w:rFonts w:hint="eastAsia" w:ascii="宋体" w:hAnsi="宋体"/>
          <w:sz w:val="24"/>
          <w:szCs w:val="24"/>
        </w:rPr>
        <w:t>2</w:t>
      </w:r>
      <w:r>
        <w:rPr>
          <w:rFonts w:ascii="宋体" w:hAnsi="宋体"/>
          <w:sz w:val="24"/>
          <w:szCs w:val="24"/>
        </w:rPr>
        <w:t xml:space="preserve">.4.8 </w:t>
      </w:r>
      <w:r>
        <w:rPr>
          <w:rFonts w:hint="eastAsia" w:ascii="宋体" w:hAnsi="宋体"/>
          <w:sz w:val="24"/>
          <w:szCs w:val="24"/>
        </w:rPr>
        <w:t>技术支持：投标人应用支持应针对用户提出的特殊实验需求，协助建立实验方案，如果用户将来有新的技术应用，厂家应派专业技术人员协助。</w:t>
      </w:r>
    </w:p>
    <w:p>
      <w:pPr>
        <w:snapToGrid w:val="0"/>
        <w:spacing w:line="360" w:lineRule="auto"/>
        <w:rPr>
          <w:rFonts w:ascii="宋体" w:hAnsi="宋体"/>
          <w:sz w:val="24"/>
          <w:szCs w:val="24"/>
        </w:rPr>
      </w:pPr>
      <w:r>
        <w:rPr>
          <w:rFonts w:hint="eastAsia" w:ascii="宋体" w:hAnsi="宋体"/>
          <w:sz w:val="24"/>
          <w:szCs w:val="24"/>
        </w:rPr>
        <w:t>2.5投标人所投产品均需满足行业标准，提供设备易损件等主要配件报价单，并承诺在质保期满后按市场最优价格提供相关配件供应和维修服务。</w:t>
      </w:r>
    </w:p>
    <w:p>
      <w:pPr>
        <w:snapToGrid w:val="0"/>
        <w:spacing w:line="360" w:lineRule="auto"/>
        <w:rPr>
          <w:rFonts w:ascii="宋体" w:hAnsi="宋体"/>
          <w:sz w:val="24"/>
          <w:szCs w:val="24"/>
        </w:rPr>
      </w:pPr>
      <w:r>
        <w:rPr>
          <w:rFonts w:hint="eastAsia" w:ascii="宋体" w:hAnsi="宋体"/>
          <w:sz w:val="24"/>
          <w:szCs w:val="24"/>
        </w:rPr>
        <w:t>2.6履约时间：自合同签订后，支付信用证或预付款后90天内到货。</w:t>
      </w:r>
    </w:p>
    <w:p>
      <w:pPr>
        <w:snapToGrid w:val="0"/>
        <w:spacing w:line="360" w:lineRule="auto"/>
        <w:rPr>
          <w:rFonts w:asciiTheme="minorEastAsia" w:hAnsiTheme="minorEastAsia" w:eastAsiaTheme="minorEastAsia"/>
          <w:w w:val="90"/>
          <w:szCs w:val="21"/>
        </w:rPr>
      </w:pPr>
      <w:r>
        <w:rPr>
          <w:rFonts w:hint="eastAsia" w:ascii="宋体" w:hAnsi="宋体"/>
          <w:sz w:val="24"/>
          <w:szCs w:val="24"/>
        </w:rPr>
        <w:t>2.7履约地点：河北省涿州市东城坊镇涿涞路模式动物项目质谱分析室。</w:t>
      </w:r>
    </w:p>
    <w:p>
      <w:pPr>
        <w:snapToGrid w:val="0"/>
        <w:spacing w:line="360" w:lineRule="auto"/>
        <w:rPr>
          <w:rFonts w:asciiTheme="minorEastAsia" w:hAnsiTheme="minorEastAsia" w:eastAsiaTheme="minorEastAsia"/>
          <w:w w:val="90"/>
          <w:szCs w:val="21"/>
        </w:rPr>
      </w:pPr>
    </w:p>
    <w:p>
      <w:pPr>
        <w:snapToGrid w:val="0"/>
        <w:spacing w:line="360" w:lineRule="auto"/>
        <w:rPr>
          <w:rFonts w:asciiTheme="minorEastAsia" w:hAnsiTheme="minorEastAsia" w:eastAsiaTheme="minorEastAsia"/>
          <w:w w:val="90"/>
          <w:szCs w:val="21"/>
        </w:rPr>
      </w:pPr>
    </w:p>
    <w:p>
      <w:pPr>
        <w:snapToGrid w:val="0"/>
        <w:spacing w:line="360" w:lineRule="auto"/>
        <w:rPr>
          <w:rFonts w:asciiTheme="minorEastAsia" w:hAnsiTheme="minorEastAsia" w:eastAsiaTheme="minorEastAsia"/>
          <w:w w:val="90"/>
          <w:szCs w:val="21"/>
        </w:rPr>
      </w:pPr>
    </w:p>
    <w:p>
      <w:pPr>
        <w:snapToGrid w:val="0"/>
        <w:spacing w:line="360" w:lineRule="auto"/>
        <w:rPr>
          <w:rFonts w:asciiTheme="minorEastAsia" w:hAnsiTheme="minorEastAsia" w:eastAsiaTheme="minorEastAsia"/>
          <w:w w:val="90"/>
          <w:szCs w:val="21"/>
        </w:rPr>
      </w:pPr>
    </w:p>
    <w:p>
      <w:pPr>
        <w:snapToGrid w:val="0"/>
        <w:spacing w:line="360" w:lineRule="auto"/>
        <w:rPr>
          <w:rFonts w:asciiTheme="minorEastAsia" w:hAnsiTheme="minorEastAsia" w:eastAsiaTheme="minorEastAsia"/>
          <w:w w:val="90"/>
          <w:szCs w:val="21"/>
        </w:rPr>
      </w:pPr>
    </w:p>
    <w:p>
      <w:pPr>
        <w:snapToGrid w:val="0"/>
        <w:spacing w:line="360" w:lineRule="auto"/>
        <w:rPr>
          <w:rFonts w:asciiTheme="minorEastAsia" w:hAnsiTheme="minorEastAsia" w:eastAsiaTheme="minorEastAsia"/>
          <w:w w:val="90"/>
          <w:szCs w:val="21"/>
        </w:rPr>
      </w:pPr>
    </w:p>
    <w:p>
      <w:pPr>
        <w:snapToGrid w:val="0"/>
        <w:spacing w:line="360" w:lineRule="auto"/>
        <w:rPr>
          <w:rFonts w:asciiTheme="minorEastAsia" w:hAnsiTheme="minorEastAsia" w:eastAsiaTheme="minorEastAsia"/>
          <w:w w:val="90"/>
          <w:szCs w:val="21"/>
        </w:rPr>
      </w:pPr>
    </w:p>
    <w:p>
      <w:pPr>
        <w:snapToGrid w:val="0"/>
        <w:spacing w:line="360" w:lineRule="auto"/>
        <w:rPr>
          <w:rFonts w:asciiTheme="minorEastAsia" w:hAnsiTheme="minorEastAsia" w:eastAsiaTheme="minorEastAsia"/>
          <w:w w:val="90"/>
          <w:szCs w:val="21"/>
        </w:rPr>
      </w:pPr>
    </w:p>
    <w:p>
      <w:pPr>
        <w:snapToGrid w:val="0"/>
        <w:spacing w:line="360" w:lineRule="auto"/>
        <w:rPr>
          <w:rFonts w:asciiTheme="minorEastAsia" w:hAnsiTheme="minorEastAsia" w:eastAsiaTheme="minorEastAsia"/>
          <w:w w:val="90"/>
          <w:szCs w:val="21"/>
        </w:rPr>
      </w:pPr>
    </w:p>
    <w:p>
      <w:pPr>
        <w:snapToGrid w:val="0"/>
        <w:spacing w:line="360" w:lineRule="auto"/>
        <w:rPr>
          <w:rFonts w:asciiTheme="minorEastAsia" w:hAnsiTheme="minorEastAsia" w:eastAsiaTheme="minorEastAsia"/>
          <w:w w:val="90"/>
          <w:szCs w:val="21"/>
        </w:rPr>
      </w:pPr>
    </w:p>
    <w:p>
      <w:pPr>
        <w:snapToGrid w:val="0"/>
        <w:spacing w:line="360" w:lineRule="auto"/>
        <w:rPr>
          <w:rFonts w:asciiTheme="minorEastAsia" w:hAnsiTheme="minorEastAsia" w:eastAsiaTheme="minorEastAsia"/>
          <w:w w:val="90"/>
          <w:szCs w:val="21"/>
        </w:rPr>
      </w:pPr>
    </w:p>
    <w:p>
      <w:pPr>
        <w:snapToGrid w:val="0"/>
        <w:spacing w:line="360" w:lineRule="auto"/>
        <w:rPr>
          <w:rFonts w:asciiTheme="minorEastAsia" w:hAnsiTheme="minorEastAsia" w:eastAsiaTheme="minorEastAsia"/>
          <w:w w:val="90"/>
          <w:szCs w:val="21"/>
        </w:rPr>
      </w:pPr>
    </w:p>
    <w:p>
      <w:pPr>
        <w:snapToGrid w:val="0"/>
        <w:spacing w:line="360" w:lineRule="auto"/>
        <w:rPr>
          <w:rFonts w:asciiTheme="minorEastAsia" w:hAnsiTheme="minorEastAsia" w:eastAsiaTheme="minorEastAsia"/>
          <w:w w:val="90"/>
          <w:szCs w:val="21"/>
        </w:rPr>
      </w:pPr>
    </w:p>
    <w:p>
      <w:pPr>
        <w:snapToGrid w:val="0"/>
        <w:spacing w:line="360" w:lineRule="auto"/>
        <w:rPr>
          <w:rFonts w:asciiTheme="minorEastAsia" w:hAnsiTheme="minorEastAsia" w:eastAsiaTheme="minorEastAsia"/>
          <w:w w:val="90"/>
          <w:szCs w:val="21"/>
        </w:rPr>
      </w:pPr>
    </w:p>
    <w:p>
      <w:pPr>
        <w:snapToGrid w:val="0"/>
        <w:spacing w:line="360" w:lineRule="auto"/>
        <w:rPr>
          <w:rFonts w:asciiTheme="minorEastAsia" w:hAnsiTheme="minorEastAsia" w:eastAsiaTheme="minorEastAsia"/>
          <w:w w:val="90"/>
          <w:szCs w:val="21"/>
        </w:rPr>
      </w:pPr>
    </w:p>
    <w:p>
      <w:pPr>
        <w:snapToGrid w:val="0"/>
        <w:spacing w:line="360" w:lineRule="auto"/>
        <w:rPr>
          <w:rFonts w:asciiTheme="minorEastAsia" w:hAnsiTheme="minorEastAsia" w:eastAsiaTheme="minorEastAsia"/>
          <w:w w:val="90"/>
          <w:szCs w:val="21"/>
        </w:rPr>
      </w:pPr>
    </w:p>
    <w:p>
      <w:pPr>
        <w:snapToGrid w:val="0"/>
        <w:spacing w:line="360" w:lineRule="auto"/>
        <w:rPr>
          <w:rFonts w:asciiTheme="minorEastAsia" w:hAnsiTheme="minorEastAsia" w:eastAsiaTheme="minorEastAsia"/>
          <w:w w:val="90"/>
          <w:szCs w:val="21"/>
        </w:rPr>
      </w:pPr>
    </w:p>
    <w:p>
      <w:pPr>
        <w:snapToGrid w:val="0"/>
        <w:spacing w:line="360" w:lineRule="auto"/>
        <w:rPr>
          <w:rFonts w:asciiTheme="minorEastAsia" w:hAnsiTheme="minorEastAsia" w:eastAsiaTheme="minorEastAsia"/>
          <w:w w:val="90"/>
          <w:szCs w:val="21"/>
        </w:rPr>
      </w:pPr>
    </w:p>
    <w:p>
      <w:pPr>
        <w:snapToGrid w:val="0"/>
        <w:spacing w:line="360" w:lineRule="auto"/>
        <w:rPr>
          <w:rFonts w:asciiTheme="minorEastAsia" w:hAnsiTheme="minorEastAsia" w:eastAsiaTheme="minorEastAsia"/>
          <w:w w:val="90"/>
          <w:szCs w:val="21"/>
        </w:rPr>
      </w:pPr>
    </w:p>
    <w:p>
      <w:pPr>
        <w:snapToGrid w:val="0"/>
        <w:spacing w:line="360" w:lineRule="auto"/>
        <w:rPr>
          <w:rFonts w:asciiTheme="minorEastAsia" w:hAnsiTheme="minorEastAsia" w:eastAsiaTheme="minorEastAsia"/>
          <w:w w:val="90"/>
          <w:szCs w:val="21"/>
        </w:rPr>
      </w:pPr>
    </w:p>
    <w:p>
      <w:pPr>
        <w:snapToGrid w:val="0"/>
        <w:spacing w:line="360" w:lineRule="auto"/>
        <w:rPr>
          <w:rFonts w:asciiTheme="minorEastAsia" w:hAnsiTheme="minorEastAsia" w:eastAsiaTheme="minorEastAsia"/>
          <w:w w:val="90"/>
          <w:szCs w:val="21"/>
        </w:rPr>
      </w:pPr>
    </w:p>
    <w:p>
      <w:pPr>
        <w:snapToGrid w:val="0"/>
        <w:spacing w:line="360" w:lineRule="auto"/>
        <w:rPr>
          <w:rFonts w:asciiTheme="minorEastAsia" w:hAnsiTheme="minorEastAsia" w:eastAsiaTheme="minorEastAsia"/>
          <w:w w:val="90"/>
          <w:szCs w:val="21"/>
        </w:rPr>
      </w:pPr>
    </w:p>
    <w:p>
      <w:pPr>
        <w:snapToGrid w:val="0"/>
        <w:spacing w:line="360" w:lineRule="auto"/>
        <w:rPr>
          <w:rFonts w:asciiTheme="minorEastAsia" w:hAnsiTheme="minorEastAsia" w:eastAsiaTheme="minorEastAsia"/>
          <w:w w:val="90"/>
          <w:szCs w:val="21"/>
        </w:rPr>
      </w:pPr>
    </w:p>
    <w:p>
      <w:pPr>
        <w:snapToGrid w:val="0"/>
        <w:spacing w:line="360" w:lineRule="auto"/>
        <w:rPr>
          <w:rFonts w:asciiTheme="minorEastAsia" w:hAnsiTheme="minorEastAsia" w:eastAsiaTheme="minorEastAsia"/>
          <w:w w:val="90"/>
          <w:szCs w:val="21"/>
        </w:rPr>
      </w:pPr>
    </w:p>
    <w:p>
      <w:pPr>
        <w:snapToGrid w:val="0"/>
        <w:spacing w:line="360" w:lineRule="auto"/>
        <w:rPr>
          <w:rFonts w:asciiTheme="minorEastAsia" w:hAnsiTheme="minorEastAsia" w:eastAsiaTheme="minorEastAsia"/>
          <w:w w:val="90"/>
          <w:szCs w:val="21"/>
        </w:rPr>
      </w:pPr>
    </w:p>
    <w:p>
      <w:pPr>
        <w:snapToGrid w:val="0"/>
        <w:spacing w:line="360" w:lineRule="auto"/>
        <w:rPr>
          <w:rFonts w:asciiTheme="minorEastAsia" w:hAnsiTheme="minorEastAsia" w:eastAsiaTheme="minorEastAsia"/>
          <w:w w:val="90"/>
          <w:szCs w:val="21"/>
        </w:rPr>
      </w:pPr>
    </w:p>
    <w:p>
      <w:pPr>
        <w:snapToGrid w:val="0"/>
        <w:spacing w:line="360" w:lineRule="auto"/>
        <w:rPr>
          <w:rFonts w:asciiTheme="minorEastAsia" w:hAnsiTheme="minorEastAsia" w:eastAsiaTheme="minorEastAsia"/>
          <w:w w:val="90"/>
          <w:szCs w:val="21"/>
        </w:rPr>
      </w:pPr>
    </w:p>
    <w:p>
      <w:pPr>
        <w:snapToGrid w:val="0"/>
        <w:spacing w:line="360" w:lineRule="auto"/>
        <w:rPr>
          <w:rFonts w:asciiTheme="minorEastAsia" w:hAnsiTheme="minorEastAsia" w:eastAsiaTheme="minorEastAsia"/>
          <w:w w:val="90"/>
          <w:szCs w:val="21"/>
        </w:rPr>
      </w:pPr>
    </w:p>
    <w:p>
      <w:pPr>
        <w:snapToGrid w:val="0"/>
        <w:spacing w:line="360" w:lineRule="auto"/>
        <w:rPr>
          <w:rFonts w:asciiTheme="minorEastAsia" w:hAnsiTheme="minorEastAsia" w:eastAsiaTheme="minorEastAsia"/>
          <w:w w:val="90"/>
          <w:szCs w:val="21"/>
        </w:rPr>
      </w:pPr>
    </w:p>
    <w:p>
      <w:pPr>
        <w:snapToGrid w:val="0"/>
        <w:spacing w:line="360" w:lineRule="auto"/>
        <w:rPr>
          <w:rFonts w:asciiTheme="minorEastAsia" w:hAnsiTheme="minorEastAsia" w:eastAsiaTheme="minorEastAsia"/>
          <w:w w:val="90"/>
          <w:szCs w:val="21"/>
        </w:rPr>
      </w:pPr>
    </w:p>
    <w:p>
      <w:pPr>
        <w:snapToGrid w:val="0"/>
        <w:spacing w:line="360" w:lineRule="auto"/>
        <w:rPr>
          <w:rFonts w:asciiTheme="minorEastAsia" w:hAnsiTheme="minorEastAsia" w:eastAsiaTheme="minorEastAsia"/>
          <w:w w:val="90"/>
          <w:szCs w:val="21"/>
        </w:rPr>
      </w:pPr>
    </w:p>
    <w:p>
      <w:pPr>
        <w:snapToGrid w:val="0"/>
        <w:spacing w:line="360" w:lineRule="auto"/>
        <w:rPr>
          <w:rFonts w:asciiTheme="minorEastAsia" w:hAnsiTheme="minorEastAsia" w:eastAsiaTheme="minorEastAsia"/>
          <w:w w:val="90"/>
          <w:szCs w:val="21"/>
        </w:rPr>
      </w:pPr>
    </w:p>
    <w:p>
      <w:pPr>
        <w:adjustRightInd w:val="0"/>
        <w:snapToGrid w:val="0"/>
        <w:spacing w:line="360" w:lineRule="auto"/>
        <w:rPr>
          <w:rFonts w:ascii="宋体" w:hAnsi="宋体"/>
          <w:b/>
          <w:sz w:val="24"/>
          <w:szCs w:val="24"/>
        </w:rPr>
      </w:pPr>
      <w:r>
        <w:rPr>
          <w:rFonts w:hint="eastAsia" w:ascii="宋体" w:hAnsi="宋体"/>
          <w:b/>
          <w:sz w:val="24"/>
          <w:szCs w:val="24"/>
        </w:rPr>
        <w:t>项目说明：</w:t>
      </w:r>
    </w:p>
    <w:p>
      <w:pPr>
        <w:adjustRightInd w:val="0"/>
        <w:snapToGrid w:val="0"/>
        <w:spacing w:line="360" w:lineRule="auto"/>
        <w:rPr>
          <w:rFonts w:ascii="宋体" w:hAnsi="宋体"/>
        </w:rPr>
      </w:pPr>
      <w:r>
        <w:rPr>
          <w:rFonts w:hint="eastAsia" w:ascii="宋体" w:hAnsi="宋体"/>
        </w:rPr>
        <w:t>1、</w:t>
      </w:r>
      <w:r>
        <w:rPr>
          <w:rFonts w:hint="eastAsia" w:ascii="宋体" w:hAnsi="宋体"/>
          <w:sz w:val="18"/>
          <w:szCs w:val="18"/>
        </w:rPr>
        <w:t>★</w:t>
      </w:r>
      <w:r>
        <w:rPr>
          <w:rFonts w:hint="eastAsia" w:ascii="宋体" w:hAnsi="宋体"/>
        </w:rPr>
        <w:t>号指标（如有）为必须满足指标，否则将视为非实质性响应招标文件要求。</w:t>
      </w:r>
    </w:p>
    <w:p>
      <w:pPr>
        <w:snapToGrid w:val="0"/>
        <w:spacing w:line="360" w:lineRule="auto"/>
        <w:rPr>
          <w:rFonts w:ascii="宋体" w:hAnsi="宋体"/>
        </w:rPr>
      </w:pPr>
      <w:r>
        <w:rPr>
          <w:rFonts w:hint="eastAsia" w:ascii="宋体" w:hAnsi="宋体"/>
        </w:rPr>
        <w:t>2、</w:t>
      </w:r>
      <w:r>
        <w:rPr>
          <w:rFonts w:hint="eastAsia" w:ascii="宋体" w:hAnsi="宋体"/>
          <w:b/>
        </w:rPr>
        <w:t>#</w:t>
      </w:r>
      <w:r>
        <w:rPr>
          <w:rFonts w:hint="eastAsia" w:ascii="宋体" w:hAnsi="宋体"/>
        </w:rPr>
        <w:t>号指标（如有）为重要指标，将按照评标办法</w:t>
      </w:r>
      <w:r>
        <w:rPr>
          <w:rFonts w:ascii="宋体" w:hAnsi="宋体"/>
        </w:rPr>
        <w:t>进行打分</w:t>
      </w:r>
      <w:r>
        <w:rPr>
          <w:rFonts w:hint="eastAsia" w:ascii="宋体" w:hAnsi="宋体"/>
        </w:rPr>
        <w:t>。</w:t>
      </w:r>
    </w:p>
    <w:p>
      <w:pPr>
        <w:snapToGrid w:val="0"/>
        <w:spacing w:line="360" w:lineRule="auto"/>
        <w:rPr>
          <w:rFonts w:ascii="宋体" w:hAnsi="宋体"/>
        </w:rPr>
      </w:pPr>
      <w:r>
        <w:rPr>
          <w:rFonts w:hint="eastAsia" w:ascii="宋体" w:hAnsi="宋体"/>
        </w:rPr>
        <w:t>3、供应商数量的认定：</w:t>
      </w:r>
    </w:p>
    <w:p>
      <w:pPr>
        <w:adjustRightInd w:val="0"/>
        <w:snapToGrid w:val="0"/>
        <w:spacing w:line="360" w:lineRule="auto"/>
        <w:rPr>
          <w:rFonts w:ascii="宋体" w:hAnsi="宋体"/>
        </w:rPr>
      </w:pPr>
      <w:r>
        <w:rPr>
          <w:rFonts w:hint="eastAsia" w:ascii="宋体" w:hAnsi="宋体"/>
        </w:rPr>
        <w:t>（1）提供相同品牌产品且通过资格审查、符合性审查的不同供应商参加同一合同项下投标的，按一家供应商计算，评审后得分最高的同品牌供应商获得中标人推荐资格，评审得分相同的，由评标委员会确定技术指标评审得分最高的同品牌供应商获得中标人推荐资格，技术指标评审得分相同的，由评标委员会确定投标报价最低的同品牌供应商获得中标人推荐资格，如仍不能确定，采取随机抽取方式确定。其他同品牌供应商不作为中标候选人。</w:t>
      </w:r>
    </w:p>
    <w:p>
      <w:pPr>
        <w:adjustRightInd w:val="0"/>
        <w:snapToGrid w:val="0"/>
        <w:spacing w:line="360" w:lineRule="auto"/>
        <w:rPr>
          <w:rFonts w:ascii="宋体" w:hAnsi="宋体"/>
        </w:rPr>
      </w:pPr>
      <w:r>
        <w:rPr>
          <w:rFonts w:hint="eastAsia" w:ascii="宋体" w:hAnsi="宋体"/>
        </w:rPr>
        <w:t>（2）非单一产品采购项目，根据第五章采购需求中标注“▲”符号的货物为核心产品；多家供应商提供的核心产品品牌相同的，按第（1）条规定处理。</w:t>
      </w:r>
    </w:p>
    <w:p>
      <w:pPr>
        <w:snapToGrid w:val="0"/>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A719A6"/>
    <w:multiLevelType w:val="multilevel"/>
    <w:tmpl w:val="70A719A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E09"/>
    <w:rsid w:val="00314E09"/>
    <w:rsid w:val="009470E6"/>
    <w:rsid w:val="00C973BD"/>
    <w:rsid w:val="2C5D1AC1"/>
    <w:rsid w:val="472F2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0"/>
      <w:lang w:val="en-US" w:eastAsia="zh-CN" w:bidi="ar-SA"/>
      <w14:ligatures w14:val="none"/>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tabs>
        <w:tab w:val="center" w:pos="4153"/>
        <w:tab w:val="right" w:pos="8306"/>
      </w:tabs>
      <w:snapToGrid w:val="0"/>
      <w:jc w:val="center"/>
    </w:pPr>
    <w:rPr>
      <w:sz w:val="18"/>
      <w:szCs w:val="18"/>
    </w:rPr>
  </w:style>
  <w:style w:type="character" w:customStyle="1" w:styleId="6">
    <w:name w:val="页眉 字符"/>
    <w:basedOn w:val="5"/>
    <w:link w:val="3"/>
    <w:autoRedefine/>
    <w:qFormat/>
    <w:uiPriority w:val="99"/>
    <w:rPr>
      <w:sz w:val="18"/>
      <w:szCs w:val="18"/>
    </w:rPr>
  </w:style>
  <w:style w:type="character" w:customStyle="1" w:styleId="7">
    <w:name w:val="页脚 字符"/>
    <w:basedOn w:val="5"/>
    <w:link w:val="2"/>
    <w:autoRedefine/>
    <w:qFormat/>
    <w:uiPriority w:val="99"/>
    <w:rPr>
      <w:sz w:val="18"/>
      <w:szCs w:val="18"/>
    </w:rPr>
  </w:style>
  <w:style w:type="paragraph" w:styleId="8">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714</Words>
  <Characters>4074</Characters>
  <Lines>33</Lines>
  <Paragraphs>9</Paragraphs>
  <TotalTime>6</TotalTime>
  <ScaleCrop>false</ScaleCrop>
  <LinksUpToDate>false</LinksUpToDate>
  <CharactersWithSpaces>4779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2024-02-01T02:39:00Z</dcterms:created>
  <dc:creator>云驰 张</dc:creator>
  <cp:lastModifiedBy>Andy敢梦成真</cp:lastModifiedBy>
  <dcterms:modified xsi:type="dcterms:W3CDTF">2024-02-01T06:34:34Z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2372DBD30C47413DA080451EF43BDEFA_13</vt:lpwstr>
  </property>
</Properties>
</file>