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60" w:lineRule="auto"/>
        <w:ind w:left="1325" w:hanging="1325"/>
        <w:jc w:val="center"/>
        <w:textAlignment w:val="auto"/>
        <w:rPr>
          <w:rFonts w:ascii="宋体" w:hAnsi="宋体" w:cs="宋体"/>
          <w:sz w:val="24"/>
        </w:rPr>
      </w:pPr>
      <w:bookmarkStart w:id="0" w:name="_Toc15679"/>
      <w:bookmarkStart w:id="1" w:name="_Toc28782"/>
      <w:r>
        <w:rPr>
          <w:rFonts w:hint="eastAsia" w:ascii="宋体" w:hAnsi="宋体" w:cs="宋体"/>
          <w:bCs/>
          <w:szCs w:val="44"/>
        </w:rPr>
        <w:t>第三部分  技术需求书</w:t>
      </w:r>
      <w:bookmarkEnd w:id="0"/>
      <w:bookmarkEnd w:id="1"/>
    </w:p>
    <w:p>
      <w:pPr>
        <w:pStyle w:val="3"/>
        <w:spacing w:before="156" w:beforeLines="50" w:after="156" w:afterLines="50" w:line="360" w:lineRule="auto"/>
        <w:ind w:firstLine="0"/>
        <w:rPr>
          <w:rFonts w:ascii="宋体" w:hAnsi="宋体" w:cs="宋体"/>
          <w:sz w:val="24"/>
          <w:szCs w:val="24"/>
        </w:rPr>
      </w:pPr>
      <w:bookmarkStart w:id="2" w:name="_Toc12520880"/>
      <w:r>
        <w:rPr>
          <w:rFonts w:hint="eastAsia" w:ascii="宋体" w:hAnsi="宋体" w:cs="宋体"/>
          <w:sz w:val="24"/>
          <w:szCs w:val="24"/>
        </w:rPr>
        <w:t>一、</w:t>
      </w:r>
      <w:bookmarkEnd w:id="2"/>
      <w:r>
        <w:rPr>
          <w:rFonts w:hint="eastAsia" w:ascii="宋体" w:hAnsi="宋体" w:cs="宋体"/>
          <w:sz w:val="24"/>
          <w:szCs w:val="24"/>
        </w:rPr>
        <w:t>采购内容</w:t>
      </w:r>
    </w:p>
    <w:tbl>
      <w:tblPr>
        <w:tblStyle w:val="9"/>
        <w:tblW w:w="8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91"/>
        <w:gridCol w:w="1487"/>
        <w:gridCol w:w="1155"/>
        <w:gridCol w:w="1395"/>
        <w:gridCol w:w="1034"/>
      </w:tblGrid>
      <w:tr>
        <w:trPr>
          <w:trHeight w:val="1004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是否允许进口产品参与投标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交货期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交货地点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CH4/CO2同位素分析仪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合同签订后90个日历天内完成货物的供货及安装调试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北京师范大学珠海校区（珠海市）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TOC分析仪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1台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sz w:val="24"/>
        </w:rPr>
        <w:t>注</w:t>
      </w:r>
      <w:r>
        <w:rPr>
          <w:rFonts w:hint="eastAsia" w:ascii="宋体" w:hAnsi="宋体" w:cs="宋体"/>
          <w:bCs/>
          <w:sz w:val="24"/>
        </w:rPr>
        <w:t>：</w:t>
      </w:r>
      <w:r>
        <w:rPr>
          <w:rFonts w:hint="eastAsia" w:ascii="宋体" w:hAnsi="宋体" w:cs="宋体"/>
          <w:b/>
          <w:sz w:val="24"/>
        </w:rPr>
        <w:t>完成上述设备的供货、运输、安装、调试、使用培训、配合后期验收、售后服务等。</w:t>
      </w:r>
    </w:p>
    <w:p>
      <w:pPr>
        <w:spacing w:before="312" w:beforeLines="100" w:after="156" w:afterLines="50"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二、设备参数</w:t>
      </w:r>
    </w:p>
    <w:p>
      <w:pPr>
        <w:pStyle w:val="2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以下设备参数中“★”条款为废标条款；其他无标记条款为一般条款。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>
      <w:pPr>
        <w:widowControl/>
        <w:spacing w:after="156" w:afterLines="50"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CH4/CO2同位素分析仪技术指标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1.1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sz w:val="24"/>
        </w:rPr>
        <w:t>系统采用光谱扫描技术和光腔衰荡光谱技术(WS-CRDS)，应用</w:t>
      </w:r>
      <w:r>
        <w:rPr>
          <w:rFonts w:hint="eastAsia" w:ascii="宋体" w:hAnsi="宋体" w:cs="宋体"/>
          <w:kern w:val="0"/>
          <w:sz w:val="24"/>
        </w:rPr>
        <w:t>三面高放射率的镜面对红外激光进行连续反射，有效路径可达20千米，通过计算衰荡时间差进行痕量气体和同位素的检测。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1.2</w:t>
      </w:r>
      <w:r>
        <w:rPr>
          <w:rFonts w:hint="eastAsia" w:ascii="宋体" w:hAnsi="宋体" w:cs="宋体"/>
          <w:b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稳定的温度压力控制：温度控制精度为0.005℃；温控目标同时包含被测气体、测量腔室和主机单元三部分；压力控制精度为0.0002atm。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1.3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检测室物理长度≤25cm，容积≤35ml, 确保低的样品需求和更快的转换速率，满足土壤、植物或微生物呼吸测量需求；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1.4</w:t>
      </w:r>
      <w:r>
        <w:rPr>
          <w:rFonts w:hint="eastAsia" w:ascii="宋体" w:hAnsi="宋体" w:cs="宋体"/>
          <w:kern w:val="0"/>
          <w:sz w:val="24"/>
        </w:rPr>
        <w:t>对外界温度和压力变化不敏感，对震动不敏感：抗震抗冲击和震动检测标准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kern w:val="24"/>
          <w:sz w:val="24"/>
        </w:rPr>
        <w:t>震动测试：2 axis, 25 Hz, 1gp-p加速，15min/轴线</w:t>
      </w:r>
    </w:p>
    <w:p>
      <w:pPr>
        <w:spacing w:line="360" w:lineRule="auto"/>
        <w:rPr>
          <w:rFonts w:ascii="宋体" w:hAnsi="宋体" w:cs="宋体"/>
          <w:kern w:val="24"/>
          <w:sz w:val="24"/>
        </w:rPr>
      </w:pPr>
      <w:r>
        <w:rPr>
          <w:rFonts w:hint="eastAsia" w:ascii="宋体" w:hAnsi="宋体" w:cs="宋体"/>
          <w:kern w:val="24"/>
          <w:sz w:val="24"/>
        </w:rPr>
        <w:t>1.5供电中断试验：&gt; 5 AC循环启动，确保设备长时间运行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1.6激光扩展通道：≥3个激光扩展通道，方便以后设备升级，以便测量更多组分。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1.7 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+CH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同步模式，即一个主机同时分析CO2+CH4浓度和CO2、CH4碳同位素比率，确保样品分析的同步性，非串联或并联的两个分析仪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1.8CH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同位素测量模式(单一CH4模式)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确保精度δ</w:t>
      </w:r>
      <w:r>
        <w:rPr>
          <w:rFonts w:hint="eastAsia" w:ascii="宋体" w:hAnsi="宋体" w:cs="宋体"/>
          <w:kern w:val="0"/>
          <w:sz w:val="24"/>
          <w:vertAlign w:val="superscript"/>
        </w:rPr>
        <w:t>13</w:t>
      </w:r>
      <w:r>
        <w:rPr>
          <w:rFonts w:hint="eastAsia" w:ascii="宋体" w:hAnsi="宋体" w:cs="宋体"/>
          <w:kern w:val="0"/>
          <w:sz w:val="24"/>
        </w:rPr>
        <w:t>C比率（1σ）：低浓度测量模式&lt;0.8‰；高浓度测量模式 &lt; 0.4 ‰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1.9 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同位素测量模式(单一CO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模式)</w:t>
      </w:r>
    </w:p>
    <w:p>
      <w:pPr>
        <w:spacing w:line="360" w:lineRule="auto"/>
        <w:rPr>
          <w:rFonts w:ascii="宋体" w:hAnsi="宋体" w:cs="宋体"/>
          <w:kern w:val="0"/>
          <w:sz w:val="24"/>
          <w:vertAlign w:val="subscript"/>
        </w:rPr>
      </w:pPr>
      <w:r>
        <w:rPr>
          <w:rFonts w:hint="eastAsia" w:ascii="宋体" w:hAnsi="宋体" w:cs="宋体"/>
          <w:kern w:val="0"/>
          <w:sz w:val="24"/>
        </w:rPr>
        <w:t>确保精度δ</w:t>
      </w:r>
      <w:r>
        <w:rPr>
          <w:rFonts w:hint="eastAsia" w:ascii="宋体" w:hAnsi="宋体" w:cs="宋体"/>
          <w:kern w:val="0"/>
          <w:sz w:val="24"/>
          <w:vertAlign w:val="superscript"/>
        </w:rPr>
        <w:t>13</w:t>
      </w:r>
      <w:r>
        <w:rPr>
          <w:rFonts w:hint="eastAsia" w:ascii="宋体" w:hAnsi="宋体" w:cs="宋体"/>
          <w:kern w:val="0"/>
          <w:sz w:val="24"/>
        </w:rPr>
        <w:t>C比率（1σ）：确保精度&lt;0.12‰</w:t>
      </w:r>
      <w:r>
        <w:rPr>
          <w:rFonts w:hint="eastAsia" w:ascii="宋体" w:hAnsi="宋体" w:cs="宋体"/>
          <w:kern w:val="0"/>
          <w:sz w:val="24"/>
          <w:vertAlign w:val="subscript"/>
        </w:rPr>
        <w:t xml:space="preserve"> </w:t>
      </w:r>
    </w:p>
    <w:p>
      <w:pPr>
        <w:spacing w:line="360" w:lineRule="auto"/>
        <w:rPr>
          <w:rFonts w:ascii="宋体" w:hAnsi="宋体" w:cs="宋体"/>
          <w:kern w:val="0"/>
          <w:sz w:val="24"/>
          <w:vertAlign w:val="subscript"/>
        </w:rPr>
      </w:pPr>
      <w:r>
        <w:rPr>
          <w:rFonts w:hint="eastAsia" w:ascii="宋体" w:hAnsi="宋体" w:cs="宋体"/>
          <w:kern w:val="0"/>
          <w:sz w:val="24"/>
        </w:rPr>
        <w:t>1.10 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+CH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同步模式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确保精度δ</w:t>
      </w:r>
      <w:r>
        <w:rPr>
          <w:rFonts w:hint="eastAsia" w:ascii="宋体" w:hAnsi="宋体" w:cs="宋体"/>
          <w:kern w:val="0"/>
          <w:sz w:val="24"/>
          <w:vertAlign w:val="superscript"/>
        </w:rPr>
        <w:t>13</w:t>
      </w:r>
      <w:r>
        <w:rPr>
          <w:rFonts w:hint="eastAsia" w:ascii="宋体" w:hAnsi="宋体" w:cs="宋体"/>
          <w:kern w:val="0"/>
          <w:sz w:val="24"/>
        </w:rPr>
        <w:t>C比率（1σ）：CO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&lt;0.16‰；CH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低浓度测量模式&lt;1.15‰；CH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高浓度测量模式&lt; 0.55‰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1.11 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浓度精度（30s，1σ）：5ppb+0.05%读数(</w:t>
      </w:r>
      <w:r>
        <w:rPr>
          <w:rFonts w:hint="eastAsia" w:ascii="宋体" w:hAnsi="宋体" w:cs="宋体"/>
          <w:kern w:val="0"/>
          <w:sz w:val="24"/>
          <w:vertAlign w:val="superscript"/>
        </w:rPr>
        <w:t>12</w:t>
      </w:r>
      <w:r>
        <w:rPr>
          <w:rFonts w:hint="eastAsia" w:ascii="宋体" w:hAnsi="宋体" w:cs="宋体"/>
          <w:kern w:val="0"/>
          <w:sz w:val="24"/>
        </w:rPr>
        <w:t>C)；1ppb+0.05%读数(</w:t>
      </w:r>
      <w:r>
        <w:rPr>
          <w:rFonts w:hint="eastAsia" w:ascii="宋体" w:hAnsi="宋体" w:cs="宋体"/>
          <w:kern w:val="0"/>
          <w:sz w:val="24"/>
          <w:vertAlign w:val="superscript"/>
        </w:rPr>
        <w:t>13</w:t>
      </w:r>
      <w:r>
        <w:rPr>
          <w:rFonts w:hint="eastAsia" w:ascii="宋体" w:hAnsi="宋体" w:cs="宋体"/>
          <w:kern w:val="0"/>
          <w:sz w:val="24"/>
        </w:rPr>
        <w:t xml:space="preserve">C); 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1.12 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浓度精度（30s，1σ）：200ppb + 0.05 % 读数 (</w:t>
      </w:r>
      <w:r>
        <w:rPr>
          <w:rFonts w:hint="eastAsia" w:ascii="宋体" w:hAnsi="宋体" w:cs="宋体"/>
          <w:kern w:val="0"/>
          <w:sz w:val="24"/>
          <w:vertAlign w:val="superscript"/>
        </w:rPr>
        <w:t>12</w:t>
      </w:r>
      <w:r>
        <w:rPr>
          <w:rFonts w:hint="eastAsia" w:ascii="宋体" w:hAnsi="宋体" w:cs="宋体"/>
          <w:kern w:val="0"/>
          <w:sz w:val="24"/>
        </w:rPr>
        <w:t>C)；10ppb + 0.05 % 读数 (</w:t>
      </w:r>
      <w:r>
        <w:rPr>
          <w:rFonts w:hint="eastAsia" w:ascii="宋体" w:hAnsi="宋体" w:cs="宋体"/>
          <w:kern w:val="0"/>
          <w:sz w:val="24"/>
          <w:vertAlign w:val="superscript"/>
        </w:rPr>
        <w:t>13</w:t>
      </w:r>
      <w:r>
        <w:rPr>
          <w:rFonts w:hint="eastAsia" w:ascii="宋体" w:hAnsi="宋体" w:cs="宋体"/>
          <w:kern w:val="0"/>
          <w:sz w:val="24"/>
        </w:rPr>
        <w:t>C)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1.13最大漂移（＞24 hrs，1h平均）：CO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&lt;0.6 ‰；CH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  <w:r>
        <w:rPr>
          <w:rFonts w:hint="eastAsia" w:ascii="宋体" w:hAnsi="宋体" w:cs="宋体"/>
          <w:kern w:val="0"/>
          <w:sz w:val="24"/>
        </w:rPr>
        <w:t>&lt;1.15 ‰@10ppm CH</w:t>
      </w:r>
      <w:r>
        <w:rPr>
          <w:rFonts w:hint="eastAsia" w:ascii="宋体" w:hAnsi="宋体" w:cs="宋体"/>
          <w:kern w:val="0"/>
          <w:sz w:val="24"/>
          <w:vertAlign w:val="subscript"/>
        </w:rPr>
        <w:t>4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1.14 环境温度依赖性：确保&lt; ± 0.06 ‰ / ºC， 典型&lt; ± 0.025 ‰ /ºC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1.15 取样压力：300~1000托（40~133 kPa）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1.16 输出：RS-232，网卡，USB, 模拟输出（可选）0~10V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1.17 尺寸：主机不大于44x18x45cm；外置泵不大于19 x 10.2 x 28 cm， </w:t>
      </w:r>
      <w:r>
        <w:rPr>
          <w:rFonts w:hint="eastAsia" w:ascii="宋体" w:hAnsi="宋体" w:cs="宋体"/>
          <w:bCs/>
          <w:sz w:val="24"/>
        </w:rPr>
        <w:t>总</w:t>
      </w:r>
      <w:r>
        <w:rPr>
          <w:rFonts w:hint="eastAsia" w:ascii="宋体" w:hAnsi="宋体" w:cs="宋体"/>
          <w:kern w:val="0"/>
          <w:sz w:val="24"/>
        </w:rPr>
        <w:t>重量：不大于26Kg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1.18 主机流速&lt;50ml/min，典型&lt;25ml/min满足低流速产品测试需要。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1.19 需要提供厂家授权原件。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附件：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含分析仪主机（内置windows </w:t>
      </w:r>
      <w:r>
        <w:rPr>
          <w:rFonts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</w:rPr>
        <w:t xml:space="preserve"> 操控平台电脑主机，250G硬盘），外置泵，液晶显示器，干燥剂 干燥管，8L标2瓶（包含2个浓度和同位素梯度），40L合成空气一瓶，连接模块，减压阀3个，量程扩展，小样品进样模块。</w:t>
      </w:r>
    </w:p>
    <w:p>
      <w:pPr>
        <w:widowControl/>
        <w:numPr>
          <w:ilvl w:val="255"/>
          <w:numId w:val="0"/>
        </w:numPr>
        <w:tabs>
          <w:tab w:val="left" w:pos="548"/>
        </w:tabs>
        <w:spacing w:before="312" w:beforeLines="100" w:after="156" w:afterLines="50" w:line="360" w:lineRule="auto"/>
        <w:jc w:val="center"/>
        <w:rPr>
          <w:b/>
          <w:bCs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TOC分析仪技术指标</w:t>
      </w:r>
    </w:p>
    <w:p>
      <w:pPr>
        <w:widowControl/>
        <w:tabs>
          <w:tab w:val="left" w:pos="548"/>
        </w:tabs>
        <w:spacing w:line="360" w:lineRule="auto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2.1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sz w:val="24"/>
        </w:rPr>
        <w:t>氧化方式：100℃过硫酸盐氧化法(湿法氧化)</w:t>
      </w:r>
      <w:r>
        <w:rPr>
          <w:rFonts w:hint="eastAsia"/>
          <w:sz w:val="24"/>
        </w:rPr>
        <w:t>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2.2检测器：固态光源非散射红外检测器(SSNDIR)，线性范围0-240μg C。检测器终身寿命内无需校正。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2.3进样方式：全自动的自动进样器进样，无人值守。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2.4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sz w:val="24"/>
        </w:rPr>
        <w:t>采用隔离环设计，使样品和试剂不直接与注射器接触，以保其最大使用寿命。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2.5空气冷凝管，脱水渗透管，干燥指示剂，三重脱水保护避免了水蒸气对NDIR检测器的影响，保证了SSNDIR的使用寿命。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2.6检测范围：总碳：2ppb-30000ppm。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2.7分析模式：TC-TIC，NPOC等。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2.8气路</w:t>
      </w:r>
      <w:bookmarkStart w:id="4" w:name="_GoBack"/>
      <w:bookmarkEnd w:id="4"/>
      <w:r>
        <w:rPr>
          <w:rFonts w:hint="eastAsia" w:ascii="宋体" w:hAnsi="宋体" w:cs="宋体"/>
          <w:sz w:val="24"/>
        </w:rPr>
        <w:t>控制：采用电子压力控制(EPC)控制全部气路(包括：载气，吹扫气，脱水吹扫气等)。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2.9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sz w:val="24"/>
        </w:rPr>
        <w:t>样品颗粒物：软性颗粒(破碎的絮状悬浮物)允许达到750μm。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2.10</w:t>
      </w:r>
      <w:r>
        <w:rPr>
          <w:rFonts w:hint="eastAsia" w:ascii="宋体" w:hAnsi="宋体" w:cs="Arial"/>
          <w:bCs/>
          <w:sz w:val="24"/>
        </w:rPr>
        <w:t>★</w:t>
      </w:r>
      <w:r>
        <w:rPr>
          <w:rFonts w:hint="eastAsia" w:ascii="宋体" w:hAnsi="宋体" w:cs="宋体"/>
          <w:sz w:val="24"/>
        </w:rPr>
        <w:t>可以同时和CH4/CO2同位素分析仪连接测试液体样品。</w:t>
      </w:r>
    </w:p>
    <w:p>
      <w:pPr>
        <w:widowControl/>
        <w:tabs>
          <w:tab w:val="left" w:pos="54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附件：TOC主机、88位自动进样器、耗材包一套、40L高纯氮气一瓶。</w:t>
      </w:r>
    </w:p>
    <w:p>
      <w:pPr>
        <w:rPr>
          <w:rFonts w:ascii="宋体" w:hAnsi="宋体" w:cs="宋体"/>
          <w:sz w:val="24"/>
        </w:rPr>
      </w:pPr>
      <w:bookmarkStart w:id="3" w:name="_Toc12520883"/>
    </w:p>
    <w:p>
      <w:pPr>
        <w:pStyle w:val="3"/>
        <w:spacing w:before="312" w:beforeLines="100" w:after="312" w:afterLines="100" w:line="36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三、实施内容</w:t>
      </w:r>
      <w:bookmarkEnd w:id="3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包括：设备供货、运输、安装、调试、人员培训、配合后期验收、售后服务等，供应商应根据采购文件，结合功能需求、结合实际情况，从有利于用户的角度出发，提供出完整的项目管理实施方案。项目管理实施方案应包括以下几点：实施人员分工、实施计划、送货响应、安装调试。供应商送货上门并负责安装调试，同时要求现场进行对产品的使用及日常维护的培训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从</w:t>
      </w:r>
      <w:r>
        <w:rPr>
          <w:rFonts w:hint="eastAsia" w:ascii="宋体" w:hAnsi="宋体"/>
          <w:color w:val="000000"/>
          <w:sz w:val="24"/>
          <w:szCs w:val="32"/>
        </w:rPr>
        <w:t>安装验收合格之日</w:t>
      </w:r>
      <w:r>
        <w:rPr>
          <w:rFonts w:hint="eastAsia" w:ascii="宋体" w:hAnsi="宋体" w:cs="宋体"/>
          <w:sz w:val="24"/>
        </w:rPr>
        <w:t>起进入保修服务期，保修范围应包括提供的所有货物和安装调试服务。在保修期内应提供维修和技术咨询服务，矫正和免费更换有缺陷的货物或部件、排除所完成系统出现的故障。</w:t>
      </w:r>
    </w:p>
    <w:p>
      <w:pPr>
        <w:pStyle w:val="3"/>
        <w:spacing w:before="312" w:beforeLines="100" w:after="312" w:afterLines="100" w:line="36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四、人员培训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1、技术文件中要求培训和其他所有的服务费用应包括在投标报价中。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2、提供技术培训，培训为现场培训。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培训内容：详细介绍系统设备的基本原理、功能、安装、调试、操作使用及保养、维护和检修等方面的内容。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培训目的：保证参加培训的人员能够掌握系统的基本工作原理，能独立进行操作、使用保养及软件应用，并通过实践逐步掌握简单的维护和检修技能。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培训时间：由双方商量确定。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培训人数：不限。</w:t>
      </w:r>
    </w:p>
    <w:p>
      <w:pPr>
        <w:pStyle w:val="2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供应商需要提供详细的人员培训方案。</w:t>
      </w:r>
    </w:p>
    <w:p>
      <w:pPr>
        <w:pStyle w:val="3"/>
        <w:spacing w:before="312" w:beforeLines="100" w:after="312" w:afterLines="100" w:line="36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五、售后服务</w:t>
      </w:r>
    </w:p>
    <w:p>
      <w:pPr>
        <w:pStyle w:val="24"/>
        <w:ind w:firstLine="0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 xml:space="preserve"> 1、质保期：12个月，自安装验收合格之日开始计算。</w:t>
      </w:r>
    </w:p>
    <w:p>
      <w:pPr>
        <w:pStyle w:val="24"/>
        <w:ind w:firstLine="0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 xml:space="preserve"> 2、供应商需要提供详细的售后服务方案，包括服务人员、服务内容和措施、应急预案等内容。服务响应时间：提供每周7×24小时电话咨询服务，确保随时能到现场解决技术、质量问题。提供现场维护3年，每季度现场维护。接到用户报修通知响应时间：30分钟之内响应，4小时之内到达现场，8小时之内解决问题。质量保证期限：验收合格、双方签署验收书之日起，硬件设备提供不少于1年质保期，若设备原厂商提供的质保期超过1年的，按设备原厂商提供的质保期执行。</w:t>
      </w:r>
    </w:p>
    <w:p>
      <w:pPr>
        <w:pStyle w:val="24"/>
        <w:ind w:firstLine="0"/>
        <w:rPr>
          <w:rFonts w:ascii="宋体" w:hAnsi="宋体" w:cs="宋体-18030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3、</w:t>
      </w:r>
      <w:r>
        <w:rPr>
          <w:rFonts w:hint="eastAsia" w:ascii="宋体" w:hAnsi="宋体" w:cs="宋体-18030"/>
          <w:color w:val="000000"/>
          <w:szCs w:val="24"/>
        </w:rPr>
        <w:t>质保期内及质保期外的活动保障：采购方有重大活动任务时，在接到采购方现场保驾通知后，按采购方通知所要求的时间免费派出专职技术人员，“保驾护航”，确保活动的顺利进行。</w:t>
      </w:r>
    </w:p>
    <w:p>
      <w:pPr>
        <w:pStyle w:val="24"/>
        <w:ind w:firstLine="0"/>
        <w:rPr>
          <w:rFonts w:ascii="宋体" w:hAnsi="宋体" w:cs="宋体-18030"/>
          <w:color w:val="000000"/>
          <w:szCs w:val="24"/>
        </w:rPr>
      </w:pPr>
      <w:r>
        <w:rPr>
          <w:rFonts w:hint="eastAsia" w:ascii="宋体" w:hAnsi="宋体" w:cs="宋体-18030"/>
          <w:color w:val="000000"/>
          <w:szCs w:val="24"/>
        </w:rPr>
        <w:t>4、</w:t>
      </w:r>
      <w:r>
        <w:rPr>
          <w:rFonts w:hint="eastAsia" w:ascii="宋体" w:hAnsi="宋体" w:cs="宋体-18030"/>
          <w:bCs/>
          <w:color w:val="000000"/>
          <w:szCs w:val="24"/>
        </w:rPr>
        <w:t>提供长期的维修维护服务，满足货品长期使用需求</w:t>
      </w:r>
      <w:r>
        <w:rPr>
          <w:rFonts w:hint="eastAsia" w:ascii="宋体" w:hAnsi="宋体" w:cs="宋体-18030"/>
          <w:color w:val="000000"/>
          <w:szCs w:val="24"/>
        </w:rPr>
        <w:t>：定期对所投入产品例行检查与维护保养，包括常规检查、维护保养和各项指标的详细检测，并书面向使用方提交维护保养结果。</w:t>
      </w:r>
    </w:p>
    <w:p>
      <w:pPr>
        <w:pStyle w:val="24"/>
        <w:ind w:firstLine="0"/>
        <w:rPr>
          <w:rFonts w:ascii="宋体" w:hAnsi="宋体" w:cs="宋体-18030"/>
          <w:color w:val="000000"/>
          <w:szCs w:val="24"/>
        </w:rPr>
      </w:pPr>
      <w:r>
        <w:rPr>
          <w:rFonts w:hint="eastAsia" w:ascii="宋体" w:hAnsi="宋体" w:cs="宋体-18030"/>
          <w:color w:val="000000"/>
          <w:szCs w:val="24"/>
        </w:rPr>
        <w:t>5、附所投设备详细操作指南、仪器维护相关资料及中英文使用说明书。</w:t>
      </w:r>
    </w:p>
    <w:p>
      <w:pPr>
        <w:pStyle w:val="3"/>
        <w:spacing w:before="312" w:beforeLines="100" w:after="312" w:afterLines="100" w:line="360" w:lineRule="auto"/>
        <w:ind w:firstLine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六、验收要求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1、在交货前，中标供应商应对货物的质量、规格、性能、数量和重量等进行详细而全面的检验，并出具证明货物符合合同规定的文件。该文件将作为申请付款单据的一部分，但有关质量、规格、性能、数量或重量的检验不应视为最终检验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2、货物运抵现场后，买方应在 </w:t>
      </w:r>
      <w:r>
        <w:rPr>
          <w:rFonts w:ascii="宋体" w:hAnsi="宋体"/>
          <w:color w:val="000000"/>
          <w:sz w:val="24"/>
        </w:rPr>
        <w:t>45</w:t>
      </w:r>
      <w:r>
        <w:rPr>
          <w:rFonts w:hint="eastAsia" w:ascii="宋体" w:hAnsi="宋体"/>
          <w:color w:val="000000"/>
          <w:sz w:val="24"/>
        </w:rPr>
        <w:t xml:space="preserve"> 日内组织验收，并制作验收备忘录，签署验收意见 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采购方在收到货物时的验收仅是对产品表面等进行初步查验，如果产品存在内在瑕疵或质量等或其他不易发觉的问题，中标供应商仍需对该产品承担相应的责任。采购方有权要求中标供应商提供满足合同要求的产品。</w:t>
      </w:r>
    </w:p>
    <w:p>
      <w:pPr>
        <w:pStyle w:val="2"/>
        <w:spacing w:line="360" w:lineRule="auto"/>
        <w:ind w:firstLine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4、供应商需根据验收要求、验收程序、验收时间提出详细的配合验收方案供采购单位使用。</w:t>
      </w:r>
    </w:p>
    <w:p>
      <w:pPr>
        <w:spacing w:line="276" w:lineRule="auto"/>
        <w:rPr>
          <w:rFonts w:ascii="宋体" w:hAnsi="宋体"/>
          <w:color w:val="000000"/>
          <w:sz w:val="24"/>
        </w:rPr>
      </w:pPr>
    </w:p>
    <w:p>
      <w:pPr>
        <w:pStyle w:val="2"/>
        <w:spacing w:line="360" w:lineRule="auto"/>
        <w:ind w:firstLine="0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>03-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>03-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0"/>
    <w:rsid w:val="00002928"/>
    <w:rsid w:val="00097671"/>
    <w:rsid w:val="000A4C0E"/>
    <w:rsid w:val="000F3F90"/>
    <w:rsid w:val="001102B0"/>
    <w:rsid w:val="00112B09"/>
    <w:rsid w:val="001428C6"/>
    <w:rsid w:val="001B373D"/>
    <w:rsid w:val="00220329"/>
    <w:rsid w:val="00231849"/>
    <w:rsid w:val="00284179"/>
    <w:rsid w:val="0029172A"/>
    <w:rsid w:val="00312203"/>
    <w:rsid w:val="00330885"/>
    <w:rsid w:val="00390894"/>
    <w:rsid w:val="003967B7"/>
    <w:rsid w:val="003E4563"/>
    <w:rsid w:val="003E5C2A"/>
    <w:rsid w:val="00432C46"/>
    <w:rsid w:val="004B29C6"/>
    <w:rsid w:val="004B4A92"/>
    <w:rsid w:val="004B5EC3"/>
    <w:rsid w:val="00595874"/>
    <w:rsid w:val="00595E88"/>
    <w:rsid w:val="005B1731"/>
    <w:rsid w:val="005E7F73"/>
    <w:rsid w:val="005F67CE"/>
    <w:rsid w:val="00634447"/>
    <w:rsid w:val="00642043"/>
    <w:rsid w:val="00671558"/>
    <w:rsid w:val="00696789"/>
    <w:rsid w:val="006A196A"/>
    <w:rsid w:val="006A46D7"/>
    <w:rsid w:val="006C7C50"/>
    <w:rsid w:val="006D1AB3"/>
    <w:rsid w:val="00772E53"/>
    <w:rsid w:val="00782AF9"/>
    <w:rsid w:val="007B4CB4"/>
    <w:rsid w:val="007C1BC7"/>
    <w:rsid w:val="00856B33"/>
    <w:rsid w:val="00864AFB"/>
    <w:rsid w:val="00870F9E"/>
    <w:rsid w:val="00885F4A"/>
    <w:rsid w:val="008A1018"/>
    <w:rsid w:val="008B4A66"/>
    <w:rsid w:val="008D09BE"/>
    <w:rsid w:val="008D580C"/>
    <w:rsid w:val="008F50F4"/>
    <w:rsid w:val="009011F0"/>
    <w:rsid w:val="009022CF"/>
    <w:rsid w:val="00920D69"/>
    <w:rsid w:val="009519DA"/>
    <w:rsid w:val="00990E3F"/>
    <w:rsid w:val="009A0773"/>
    <w:rsid w:val="009B0D4A"/>
    <w:rsid w:val="009C593E"/>
    <w:rsid w:val="009F7ABF"/>
    <w:rsid w:val="00A97CF5"/>
    <w:rsid w:val="00AC5207"/>
    <w:rsid w:val="00AC7E25"/>
    <w:rsid w:val="00AE5933"/>
    <w:rsid w:val="00BD43AC"/>
    <w:rsid w:val="00CA7E73"/>
    <w:rsid w:val="00CD165F"/>
    <w:rsid w:val="00D1509B"/>
    <w:rsid w:val="00D335C4"/>
    <w:rsid w:val="00D81BCD"/>
    <w:rsid w:val="00DE07F9"/>
    <w:rsid w:val="00E257B4"/>
    <w:rsid w:val="00ED41E5"/>
    <w:rsid w:val="00EE7DF0"/>
    <w:rsid w:val="00FC25C1"/>
    <w:rsid w:val="00FE6C49"/>
    <w:rsid w:val="02191517"/>
    <w:rsid w:val="041F23BF"/>
    <w:rsid w:val="05192639"/>
    <w:rsid w:val="05692CC3"/>
    <w:rsid w:val="05787589"/>
    <w:rsid w:val="05994B3F"/>
    <w:rsid w:val="08577C59"/>
    <w:rsid w:val="087331A3"/>
    <w:rsid w:val="09015728"/>
    <w:rsid w:val="09CE315A"/>
    <w:rsid w:val="0A2F5774"/>
    <w:rsid w:val="0B816D7E"/>
    <w:rsid w:val="0CCD57CE"/>
    <w:rsid w:val="0D076ADB"/>
    <w:rsid w:val="0DDA1FBD"/>
    <w:rsid w:val="0E8C2753"/>
    <w:rsid w:val="0F1358AD"/>
    <w:rsid w:val="10693BA5"/>
    <w:rsid w:val="11836EB7"/>
    <w:rsid w:val="121B6BC6"/>
    <w:rsid w:val="13692FAD"/>
    <w:rsid w:val="13ED5152"/>
    <w:rsid w:val="156375E6"/>
    <w:rsid w:val="16503B0E"/>
    <w:rsid w:val="165B36B7"/>
    <w:rsid w:val="17B37EB6"/>
    <w:rsid w:val="183D6EBD"/>
    <w:rsid w:val="1A280C87"/>
    <w:rsid w:val="1AB8357B"/>
    <w:rsid w:val="1AC83891"/>
    <w:rsid w:val="1AFD39E1"/>
    <w:rsid w:val="1BF72903"/>
    <w:rsid w:val="1F215F5F"/>
    <w:rsid w:val="1F522FE4"/>
    <w:rsid w:val="24DC5655"/>
    <w:rsid w:val="24FA19B4"/>
    <w:rsid w:val="25B61887"/>
    <w:rsid w:val="25E6253A"/>
    <w:rsid w:val="26DD3047"/>
    <w:rsid w:val="298406FD"/>
    <w:rsid w:val="29BD29D4"/>
    <w:rsid w:val="2A1E6B19"/>
    <w:rsid w:val="2A9C6268"/>
    <w:rsid w:val="2AF743B4"/>
    <w:rsid w:val="2B103C6E"/>
    <w:rsid w:val="2B415808"/>
    <w:rsid w:val="2E0708FA"/>
    <w:rsid w:val="2E1D037C"/>
    <w:rsid w:val="2E2D4B98"/>
    <w:rsid w:val="2FED2409"/>
    <w:rsid w:val="30223466"/>
    <w:rsid w:val="30CA100F"/>
    <w:rsid w:val="31DF1858"/>
    <w:rsid w:val="325377A0"/>
    <w:rsid w:val="325C3F5C"/>
    <w:rsid w:val="32630C0D"/>
    <w:rsid w:val="351846CE"/>
    <w:rsid w:val="36615B84"/>
    <w:rsid w:val="37CC0770"/>
    <w:rsid w:val="37F805EA"/>
    <w:rsid w:val="397B46A0"/>
    <w:rsid w:val="39B97D92"/>
    <w:rsid w:val="3A224957"/>
    <w:rsid w:val="3A27447F"/>
    <w:rsid w:val="3C5378A8"/>
    <w:rsid w:val="3C5C3626"/>
    <w:rsid w:val="3C5E0C8E"/>
    <w:rsid w:val="3CB02335"/>
    <w:rsid w:val="3E6B556D"/>
    <w:rsid w:val="3FE20145"/>
    <w:rsid w:val="403114AB"/>
    <w:rsid w:val="40621A11"/>
    <w:rsid w:val="42846E51"/>
    <w:rsid w:val="42C13E19"/>
    <w:rsid w:val="439C73A5"/>
    <w:rsid w:val="465B31EB"/>
    <w:rsid w:val="490245A0"/>
    <w:rsid w:val="493716FB"/>
    <w:rsid w:val="49B8371C"/>
    <w:rsid w:val="4A394C5D"/>
    <w:rsid w:val="4A752DB4"/>
    <w:rsid w:val="4B4911ED"/>
    <w:rsid w:val="4BDB0067"/>
    <w:rsid w:val="4C115418"/>
    <w:rsid w:val="4CF51548"/>
    <w:rsid w:val="4D5D1A07"/>
    <w:rsid w:val="4D605BF2"/>
    <w:rsid w:val="4D9505E1"/>
    <w:rsid w:val="4F3935A8"/>
    <w:rsid w:val="5112228F"/>
    <w:rsid w:val="5155041B"/>
    <w:rsid w:val="5274279B"/>
    <w:rsid w:val="52B52BA7"/>
    <w:rsid w:val="53294550"/>
    <w:rsid w:val="532D21DD"/>
    <w:rsid w:val="54720BA7"/>
    <w:rsid w:val="54ED06B7"/>
    <w:rsid w:val="55895F12"/>
    <w:rsid w:val="562E168D"/>
    <w:rsid w:val="568C2578"/>
    <w:rsid w:val="57611523"/>
    <w:rsid w:val="578C2438"/>
    <w:rsid w:val="57CD38C2"/>
    <w:rsid w:val="59E96345"/>
    <w:rsid w:val="5A8D674D"/>
    <w:rsid w:val="5CB55F24"/>
    <w:rsid w:val="608B4056"/>
    <w:rsid w:val="61730E68"/>
    <w:rsid w:val="620A3D17"/>
    <w:rsid w:val="62226A39"/>
    <w:rsid w:val="64627F18"/>
    <w:rsid w:val="662170F9"/>
    <w:rsid w:val="695C49EA"/>
    <w:rsid w:val="6A1A27A4"/>
    <w:rsid w:val="6A216752"/>
    <w:rsid w:val="6A4C3D2A"/>
    <w:rsid w:val="6A9632E8"/>
    <w:rsid w:val="6ADF2ADA"/>
    <w:rsid w:val="6B062A45"/>
    <w:rsid w:val="6B826716"/>
    <w:rsid w:val="6C03036D"/>
    <w:rsid w:val="6E945896"/>
    <w:rsid w:val="6F666935"/>
    <w:rsid w:val="71086724"/>
    <w:rsid w:val="71094866"/>
    <w:rsid w:val="731A7E99"/>
    <w:rsid w:val="74B14033"/>
    <w:rsid w:val="752B7384"/>
    <w:rsid w:val="765B7B58"/>
    <w:rsid w:val="76A86364"/>
    <w:rsid w:val="77C67175"/>
    <w:rsid w:val="79731955"/>
    <w:rsid w:val="79D2177E"/>
    <w:rsid w:val="7B50518E"/>
    <w:rsid w:val="7EA46838"/>
    <w:rsid w:val="7EA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adjustRightInd w:val="0"/>
      <w:spacing w:before="340" w:after="330" w:line="578" w:lineRule="atLeast"/>
      <w:ind w:firstLine="288"/>
      <w:jc w:val="left"/>
      <w:textAlignment w:val="baseline"/>
      <w:outlineLvl w:val="0"/>
    </w:pPr>
    <w:rPr>
      <w:b/>
      <w:kern w:val="44"/>
      <w:sz w:val="44"/>
      <w:szCs w:val="22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annotation text"/>
    <w:basedOn w:val="1"/>
    <w:link w:val="12"/>
    <w:unhideWhenUsed/>
    <w:qFormat/>
    <w:uiPriority w:val="0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unhideWhenUsed/>
    <w:qFormat/>
    <w:uiPriority w:val="99"/>
    <w:rPr>
      <w:b/>
      <w:bCs/>
    </w:rPr>
  </w:style>
  <w:style w:type="character" w:styleId="11">
    <w:name w:val="annotation reference"/>
    <w:unhideWhenUsed/>
    <w:qFormat/>
    <w:uiPriority w:val="0"/>
    <w:rPr>
      <w:sz w:val="21"/>
      <w:szCs w:val="21"/>
    </w:rPr>
  </w:style>
  <w:style w:type="character" w:customStyle="1" w:styleId="12">
    <w:name w:val="批注文字 字符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文字 字符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码1"/>
    <w:qFormat/>
    <w:uiPriority w:val="0"/>
    <w:rPr>
      <w:rFonts w:ascii="Tahoma" w:hAnsi="Tahoma" w:eastAsia="宋体"/>
      <w:kern w:val="2"/>
      <w:sz w:val="24"/>
      <w:szCs w:val="24"/>
      <w:lang w:val="en-US" w:eastAsia="zh-CN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批注主题 字符"/>
    <w:link w:val="8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主题 字符1"/>
    <w:basedOn w:val="1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标题 1 字符"/>
    <w:basedOn w:val="10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1 字符1"/>
    <w:link w:val="3"/>
    <w:qFormat/>
    <w:uiPriority w:val="0"/>
    <w:rPr>
      <w:rFonts w:ascii="Times New Roman" w:hAnsi="Times New Roman" w:eastAsia="宋体" w:cs="Times New Roman"/>
      <w:b/>
      <w:kern w:val="44"/>
      <w:sz w:val="44"/>
      <w:lang w:val="zh-CN" w:eastAsia="zh-CN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ZW 4L P1.5 2W"/>
    <w:basedOn w:val="1"/>
    <w:qFormat/>
    <w:uiPriority w:val="0"/>
    <w:pPr>
      <w:spacing w:line="360" w:lineRule="auto"/>
      <w:ind w:firstLine="480"/>
    </w:pPr>
    <w:rPr>
      <w:sz w:val="24"/>
      <w:szCs w:val="20"/>
    </w:rPr>
  </w:style>
  <w:style w:type="character" w:customStyle="1" w:styleId="25">
    <w:name w:val="font01"/>
    <w:basedOn w:val="10"/>
    <w:qFormat/>
    <w:uiPriority w:val="0"/>
    <w:rPr>
      <w:rFonts w:ascii="Helvetica Neue" w:hAnsi="Helvetica Neue" w:eastAsia="Helvetica Neue" w:cs="Helvetica Neue"/>
      <w:color w:val="000000"/>
      <w:sz w:val="20"/>
      <w:szCs w:val="20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461</Words>
  <Characters>2633</Characters>
  <Lines>21</Lines>
  <Paragraphs>6</Paragraphs>
  <TotalTime>6</TotalTime>
  <ScaleCrop>false</ScaleCrop>
  <LinksUpToDate>false</LinksUpToDate>
  <CharactersWithSpaces>3088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2020-11-10T02:56:00Z</dcterms:created>
  <dcterms:modified xsi:type="dcterms:W3CDTF">2020-11-26T06:36:17Z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