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482" w:firstLineChars="20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北京师范大学珠海校区生物科技实验室、地表过程与资源生态国家重点实验室实验家具设备采购公开招标</w:t>
      </w:r>
      <w:r>
        <w:rPr>
          <w:rFonts w:hint="eastAsia" w:ascii="宋体" w:hAnsi="宋体" w:eastAsia="宋体" w:cs="宋体"/>
          <w:b/>
          <w:bCs/>
          <w:color w:val="auto"/>
          <w:sz w:val="24"/>
          <w:szCs w:val="24"/>
          <w:lang w:val="en-US" w:eastAsia="zh-CN"/>
        </w:rPr>
        <w:t>公告</w:t>
      </w:r>
    </w:p>
    <w:p>
      <w:pPr>
        <w:spacing w:before="120" w:beforeLines="50" w:after="120" w:afterLines="50"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国金招标有限公司受北京师范大学委托，对北京师范大学珠海校区生物科技实验室、地表过程与资源生态国家重点实验室实验家具设备采购进行国内公开招标。现欢迎合格投标人参加投标。</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项目名称：北京师范大学珠海校区生物科技实验室、地表过程与资源生态国家重点实验室实验家具设备采购</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项目编号：CFTC-BJ01-2001001</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采购人名称：北京师范大学</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采购人地址：北京市新街口外大街19号</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采购人联系方式：滕老师zfcg@bnu.edu.cn</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采购代理机构全称：国金招标有限公司</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采购代理机构地址：北京市东城区东直门南大街9号华普花园C座1705室</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采购代理机构联系方式：杨振豪、王珊珊010-56215050</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主要设备名称、数量等：</w:t>
      </w:r>
    </w:p>
    <w:tbl>
      <w:tblPr>
        <w:tblStyle w:val="4"/>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235"/>
        <w:gridCol w:w="913"/>
        <w:gridCol w:w="1080"/>
        <w:gridCol w:w="238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34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财政预算项目名称</w:t>
            </w:r>
          </w:p>
        </w:tc>
        <w:tc>
          <w:tcPr>
            <w:tcW w:w="1235"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预算项目总金额</w:t>
            </w:r>
          </w:p>
        </w:tc>
        <w:tc>
          <w:tcPr>
            <w:tcW w:w="913"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用途</w:t>
            </w:r>
          </w:p>
        </w:tc>
        <w:tc>
          <w:tcPr>
            <w:tcW w:w="108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238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简要技术参数或要求描述</w:t>
            </w:r>
          </w:p>
        </w:tc>
        <w:tc>
          <w:tcPr>
            <w:tcW w:w="110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344" w:type="dxa"/>
            <w:noWrap w:val="0"/>
            <w:vAlign w:val="center"/>
          </w:tcPr>
          <w:p>
            <w:pPr>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北京师范大学珠海校区生物科技实验室、地表过程与资源生态国家重点实验室实验家具设备采购</w:t>
            </w:r>
          </w:p>
          <w:p>
            <w:pPr>
              <w:jc w:val="center"/>
              <w:rPr>
                <w:rFonts w:hint="eastAsia" w:ascii="宋体" w:hAnsi="宋体" w:eastAsia="宋体" w:cs="宋体"/>
                <w:color w:val="auto"/>
                <w:szCs w:val="21"/>
              </w:rPr>
            </w:pPr>
          </w:p>
        </w:tc>
        <w:tc>
          <w:tcPr>
            <w:tcW w:w="1235"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180万元</w:t>
            </w:r>
          </w:p>
        </w:tc>
        <w:tc>
          <w:tcPr>
            <w:tcW w:w="913"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科研</w:t>
            </w:r>
          </w:p>
        </w:tc>
        <w:tc>
          <w:tcPr>
            <w:tcW w:w="1080" w:type="dxa"/>
            <w:noWrap w:val="0"/>
            <w:vAlign w:val="center"/>
          </w:tcPr>
          <w:p>
            <w:pPr>
              <w:spacing w:before="120" w:beforeLines="50" w:after="120" w:afterLines="50" w:line="360" w:lineRule="auto"/>
              <w:ind w:firstLine="210" w:firstLineChars="100"/>
              <w:jc w:val="left"/>
              <w:rPr>
                <w:rFonts w:hint="eastAsia" w:ascii="宋体" w:hAnsi="宋体" w:eastAsia="宋体" w:cs="宋体"/>
                <w:color w:val="auto"/>
                <w:szCs w:val="21"/>
              </w:rPr>
            </w:pPr>
            <w:r>
              <w:rPr>
                <w:rFonts w:hint="eastAsia" w:ascii="宋体" w:hAnsi="宋体" w:eastAsia="宋体" w:cs="宋体"/>
                <w:color w:val="auto"/>
                <w:szCs w:val="21"/>
              </w:rPr>
              <w:t>一批</w:t>
            </w:r>
          </w:p>
        </w:tc>
        <w:tc>
          <w:tcPr>
            <w:tcW w:w="2380" w:type="dxa"/>
            <w:noWrap w:val="0"/>
            <w:vAlign w:val="center"/>
          </w:tcPr>
          <w:p>
            <w:pPr>
              <w:spacing w:before="120" w:beforeLines="50" w:line="320" w:lineRule="exact"/>
              <w:rPr>
                <w:rFonts w:hint="eastAsia" w:ascii="宋体" w:hAnsi="宋体" w:eastAsia="宋体" w:cs="宋体"/>
                <w:color w:val="auto"/>
                <w:szCs w:val="21"/>
              </w:rPr>
            </w:pPr>
            <w:r>
              <w:rPr>
                <w:rFonts w:hint="eastAsia" w:ascii="宋体" w:hAnsi="宋体" w:eastAsia="宋体" w:cs="宋体"/>
                <w:color w:val="auto"/>
                <w:szCs w:val="21"/>
              </w:rPr>
              <w:t>采购生物科技实验室、地表过程与资源生态国家重点实验室实验家具设备，包括中央实验台、试剂架、试剂毒品柜、通风柜、玻璃钢离心风机装置、排风控制系统等，详见招标文件。</w:t>
            </w:r>
          </w:p>
        </w:tc>
        <w:tc>
          <w:tcPr>
            <w:tcW w:w="1104" w:type="dxa"/>
            <w:noWrap w:val="0"/>
            <w:vAlign w:val="center"/>
          </w:tcPr>
          <w:p>
            <w:pPr>
              <w:spacing w:before="120" w:beforeLines="50" w:after="120" w:afterLines="50" w:line="360" w:lineRule="auto"/>
              <w:jc w:val="center"/>
              <w:rPr>
                <w:rFonts w:hint="eastAsia" w:ascii="宋体" w:hAnsi="宋体" w:eastAsia="宋体" w:cs="宋体"/>
                <w:color w:val="auto"/>
                <w:kern w:val="0"/>
                <w:sz w:val="20"/>
              </w:rPr>
            </w:pPr>
            <w:r>
              <w:rPr>
                <w:rFonts w:hint="eastAsia" w:ascii="宋体" w:hAnsi="宋体" w:eastAsia="宋体" w:cs="宋体"/>
                <w:color w:val="auto"/>
                <w:szCs w:val="21"/>
              </w:rPr>
              <w:t>否</w:t>
            </w:r>
          </w:p>
        </w:tc>
      </w:tr>
    </w:tbl>
    <w:p>
      <w:pPr>
        <w:spacing w:before="120" w:beforeLines="50" w:after="120" w:afterLines="50" w:line="360" w:lineRule="auto"/>
        <w:jc w:val="left"/>
        <w:rPr>
          <w:rFonts w:hint="eastAsia" w:ascii="宋体" w:hAnsi="宋体" w:eastAsia="宋体" w:cs="宋体"/>
          <w:color w:val="auto"/>
          <w:szCs w:val="21"/>
        </w:rPr>
      </w:pP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采购项目需要落实的政府采购政策：</w:t>
      </w:r>
    </w:p>
    <w:p>
      <w:pPr>
        <w:spacing w:before="120" w:beforeLines="50" w:after="120" w:afterLines="50"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节能产品强制采购；节能产品、环境标志产品优先采购；政府采购促进中小企业发展；政府采购支持监狱企业发展；政府采购促进残疾人就业；政府采购信用担保；进口产品管理</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投标人的资格条件：</w:t>
      </w:r>
    </w:p>
    <w:p>
      <w:pPr>
        <w:numPr>
          <w:ilvl w:val="0"/>
          <w:numId w:val="2"/>
        </w:numPr>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投标人必须符合《中华人民共和国政府采购法》第二十二条第一款的规定：</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1）具有独立承担民事责任的能力；</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2）具有良好的商业信誉和健全的财务会计制度；</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3）具有履行合同所必需的设备和专业技术能力；</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4）有依法缴纳税收和社会保障资金的良好记录；</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5）参加政府采购活动前三年内，在经营活动中没有重大违法记录；</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6）法律、行政法规规定的其他条件。</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2、投标人不得被列入失信被执行人、重大税收违法案件当事人名单、政府采购严重违法失信行为记录名单。</w:t>
      </w:r>
    </w:p>
    <w:p>
      <w:pPr>
        <w:spacing w:before="120" w:beforeLines="50" w:after="120" w:afterLines="50" w:line="360" w:lineRule="auto"/>
        <w:rPr>
          <w:rStyle w:val="6"/>
          <w:rFonts w:hint="eastAsia" w:ascii="宋体" w:hAnsi="宋体" w:eastAsia="宋体" w:cs="宋体"/>
          <w:color w:val="auto"/>
        </w:rPr>
      </w:pPr>
      <w:r>
        <w:rPr>
          <w:rFonts w:hint="eastAsia" w:ascii="宋体" w:hAnsi="宋体" w:eastAsia="宋体" w:cs="宋体"/>
          <w:color w:val="auto"/>
          <w:szCs w:val="21"/>
        </w:rPr>
        <w:t>3、本项目不接受联合体投标。</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十二、获取招标文件的时间：2020年01月</w:t>
      </w:r>
      <w:r>
        <w:rPr>
          <w:rFonts w:hint="eastAsia" w:ascii="宋体" w:hAnsi="宋体" w:eastAsia="宋体" w:cs="宋体"/>
          <w:color w:val="auto"/>
          <w:szCs w:val="21"/>
          <w:lang w:val="en-US" w:eastAsia="zh-CN"/>
        </w:rPr>
        <w:t>15</w:t>
      </w:r>
      <w:r>
        <w:rPr>
          <w:rFonts w:hint="eastAsia" w:ascii="宋体" w:hAnsi="宋体" w:eastAsia="宋体" w:cs="宋体"/>
          <w:color w:val="auto"/>
          <w:szCs w:val="21"/>
        </w:rPr>
        <w:t>日至2020年01月</w:t>
      </w:r>
      <w:r>
        <w:rPr>
          <w:rFonts w:hint="eastAsia" w:ascii="宋体" w:hAnsi="宋体" w:eastAsia="宋体" w:cs="宋体"/>
          <w:color w:val="auto"/>
          <w:szCs w:val="21"/>
          <w:lang w:val="en-US" w:eastAsia="zh-CN"/>
        </w:rPr>
        <w:t>21</w:t>
      </w:r>
      <w:r>
        <w:rPr>
          <w:rFonts w:hint="eastAsia" w:ascii="宋体" w:hAnsi="宋体" w:eastAsia="宋体" w:cs="宋体"/>
          <w:color w:val="auto"/>
          <w:szCs w:val="21"/>
        </w:rPr>
        <w:t xml:space="preserve">日，每天09:30至11:30，13:30-16:00（北京时间）(双休日及法定节假日除外) </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十三、获取招标文件的地点：北京市东城区东直门南大街9号华普花园C座1705室</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十四、获取招标文件的方式及文件售价：报名获取，文件售价：人民币200元/本，售后不退。</w:t>
      </w:r>
    </w:p>
    <w:p>
      <w:pPr>
        <w:spacing w:before="120" w:beforeLines="50" w:after="120" w:afterLines="50"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购买招标文件须由被授权人本人携带以下资料：</w:t>
      </w:r>
    </w:p>
    <w:p>
      <w:pPr>
        <w:tabs>
          <w:tab w:val="left" w:pos="567"/>
        </w:tabs>
        <w:spacing w:before="120" w:beforeLines="50" w:after="120" w:afterLines="50" w:line="360" w:lineRule="auto"/>
        <w:rPr>
          <w:rFonts w:hint="eastAsia" w:ascii="宋体" w:hAnsi="宋体" w:eastAsia="宋体" w:cs="宋体"/>
          <w:color w:val="auto"/>
        </w:rPr>
      </w:pPr>
      <w:r>
        <w:rPr>
          <w:rFonts w:hint="eastAsia" w:ascii="宋体" w:hAnsi="宋体" w:eastAsia="宋体" w:cs="宋体"/>
          <w:color w:val="auto"/>
        </w:rPr>
        <w:t>（1）投标人需开具针对本项目的法人代表授权委托书原件.</w:t>
      </w:r>
    </w:p>
    <w:p>
      <w:pPr>
        <w:tabs>
          <w:tab w:val="left" w:pos="567"/>
        </w:tabs>
        <w:spacing w:before="120" w:beforeLines="50" w:after="120" w:afterLines="50" w:line="360" w:lineRule="auto"/>
        <w:outlineLvl w:val="0"/>
        <w:rPr>
          <w:rFonts w:hint="eastAsia" w:ascii="宋体" w:hAnsi="宋体" w:eastAsia="宋体" w:cs="宋体"/>
          <w:color w:val="auto"/>
        </w:rPr>
      </w:pPr>
      <w:r>
        <w:rPr>
          <w:rFonts w:hint="eastAsia" w:ascii="宋体" w:hAnsi="宋体" w:eastAsia="宋体" w:cs="宋体"/>
          <w:color w:val="auto"/>
        </w:rPr>
        <w:t>（2）被授权人身份证复印件，并加盖公章。</w:t>
      </w:r>
      <w:bookmarkStart w:id="0" w:name="_GoBack"/>
      <w:bookmarkEnd w:id="0"/>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十五、投标截止时间：2020年0</w:t>
      </w:r>
      <w:r>
        <w:rPr>
          <w:rFonts w:hint="eastAsia" w:ascii="宋体" w:hAnsi="宋体" w:eastAsia="宋体" w:cs="宋体"/>
          <w:color w:val="auto"/>
          <w:szCs w:val="21"/>
          <w:lang w:val="en-US" w:eastAsia="zh-CN"/>
        </w:rPr>
        <w:t>2</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日09：30(北京时间)，逾期收到或不符合规定的投标文件恕不接受。</w:t>
      </w:r>
    </w:p>
    <w:p>
      <w:pPr>
        <w:spacing w:line="360" w:lineRule="auto"/>
        <w:rPr>
          <w:rFonts w:hint="eastAsia" w:ascii="宋体" w:hAnsi="宋体" w:eastAsia="宋体" w:cs="宋体"/>
          <w:color w:val="auto"/>
        </w:rPr>
      </w:pPr>
      <w:r>
        <w:rPr>
          <w:rFonts w:hint="eastAsia" w:ascii="宋体" w:hAnsi="宋体" w:eastAsia="宋体" w:cs="宋体"/>
          <w:color w:val="auto"/>
        </w:rPr>
        <w:t>十六、投标文件递交地点及开标地点：</w:t>
      </w:r>
      <w:r>
        <w:rPr>
          <w:rFonts w:hint="eastAsia" w:ascii="宋体" w:hAnsi="宋体" w:eastAsia="宋体" w:cs="宋体"/>
          <w:color w:val="auto"/>
          <w:szCs w:val="21"/>
        </w:rPr>
        <w:t>北京市海淀区新街口外大街19号北京师范大学二号院219（财经处往南10米院内）</w:t>
      </w:r>
      <w:r>
        <w:rPr>
          <w:rFonts w:hint="eastAsia" w:ascii="宋体" w:hAnsi="宋体" w:eastAsia="宋体" w:cs="宋体"/>
          <w:color w:val="auto"/>
          <w:szCs w:val="22"/>
        </w:rPr>
        <w:t>。</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十七、开标时间：2020年0</w:t>
      </w:r>
      <w:r>
        <w:rPr>
          <w:rFonts w:hint="eastAsia" w:ascii="宋体" w:hAnsi="宋体" w:eastAsia="宋体" w:cs="宋体"/>
          <w:color w:val="auto"/>
          <w:szCs w:val="21"/>
          <w:lang w:val="en-US" w:eastAsia="zh-CN"/>
        </w:rPr>
        <w:t>2</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日09：30(北京时间)</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十八、评分方法和标准：综合评分法</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十九、项目联系人：杨振豪、王珊珊</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二十、联系电话：010-56215050；传真：010-64059120；电子邮箱：guojinzhaobiao@126.com</w:t>
      </w:r>
    </w:p>
    <w:p>
      <w:pPr>
        <w:spacing w:before="120" w:beforeLines="50" w:after="120" w:afterLines="50" w:line="36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二十一、本公告在中国政府采购网发布，公告期限为5个工作日。</w:t>
      </w:r>
    </w:p>
    <w:p>
      <w:pPr>
        <w:spacing w:line="360" w:lineRule="auto"/>
        <w:jc w:val="right"/>
        <w:rPr>
          <w:rFonts w:hint="eastAsia" w:ascii="宋体" w:hAnsi="宋体" w:eastAsia="宋体" w:cs="宋体"/>
          <w:color w:val="auto"/>
          <w:kern w:val="0"/>
          <w:szCs w:val="21"/>
        </w:rPr>
      </w:pPr>
      <w:r>
        <w:rPr>
          <w:rFonts w:hint="eastAsia" w:ascii="宋体" w:hAnsi="宋体" w:eastAsia="宋体" w:cs="宋体"/>
          <w:color w:val="auto"/>
          <w:kern w:val="0"/>
          <w:szCs w:val="21"/>
        </w:rPr>
        <w:t>国金招标有限公司</w:t>
      </w:r>
    </w:p>
    <w:p>
      <w:pPr>
        <w:pStyle w:val="3"/>
        <w:spacing w:before="0" w:after="0" w:line="360" w:lineRule="auto"/>
        <w:jc w:val="right"/>
        <w:rPr>
          <w:rFonts w:hint="eastAsia" w:ascii="宋体" w:hAnsi="宋体" w:eastAsia="宋体" w:cs="宋体"/>
          <w:b w:val="0"/>
          <w:color w:val="auto"/>
          <w:sz w:val="21"/>
          <w:szCs w:val="21"/>
        </w:rPr>
      </w:pPr>
      <w:r>
        <w:rPr>
          <w:rFonts w:hint="eastAsia" w:ascii="宋体" w:hAnsi="宋体" w:eastAsia="宋体" w:cs="宋体"/>
          <w:b w:val="0"/>
          <w:color w:val="auto"/>
          <w:sz w:val="21"/>
          <w:szCs w:val="21"/>
        </w:rPr>
        <w:t>2020年01月</w:t>
      </w:r>
      <w:r>
        <w:rPr>
          <w:rFonts w:hint="eastAsia" w:ascii="宋体" w:hAnsi="宋体" w:eastAsia="宋体" w:cs="宋体"/>
          <w:b w:val="0"/>
          <w:color w:val="auto"/>
          <w:sz w:val="21"/>
          <w:szCs w:val="21"/>
          <w:lang w:val="en-US" w:eastAsia="zh-CN"/>
        </w:rPr>
        <w:t>15</w:t>
      </w:r>
      <w:r>
        <w:rPr>
          <w:rFonts w:hint="eastAsia" w:ascii="宋体" w:hAnsi="宋体" w:eastAsia="宋体" w:cs="宋体"/>
          <w:b w:val="0"/>
          <w:color w:val="auto"/>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A62"/>
    <w:multiLevelType w:val="multilevel"/>
    <w:tmpl w:val="17653A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98FF4CE"/>
    <w:multiLevelType w:val="singleLevel"/>
    <w:tmpl w:val="498FF4CE"/>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710C9"/>
    <w:rsid w:val="31C46471"/>
    <w:rsid w:val="7ABA7C27"/>
    <w:rsid w:val="7C55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annotation reference"/>
    <w:semiHidden/>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2020-01-15T06:34:00Z</dcterms:created>
  <dc:creator>a</dc:creator>
  <cp:lastModifiedBy>小敏</cp:lastModifiedBy>
  <dcterms:modified xsi:type="dcterms:W3CDTF">2020-01-15T06:56:58Z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