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jc w:val="center"/>
        <w:rPr>
          <w:rFonts w:hint="eastAsia"/>
          <w:lang w:val="en-US" w:eastAsia="zh-CN"/>
        </w:rPr>
      </w:pPr>
      <w:r>
        <w:rPr>
          <w:rFonts w:hint="eastAsia"/>
          <w:lang w:val="en-US" w:eastAsia="zh-CN"/>
        </w:rPr>
        <w:t>招标</w:t>
      </w:r>
      <w:bookmarkStart w:id="0" w:name="_GoBack"/>
      <w:bookmarkEnd w:id="0"/>
      <w:r>
        <w:rPr>
          <w:rFonts w:hint="eastAsia"/>
          <w:lang w:val="en-US" w:eastAsia="zh-CN"/>
        </w:rPr>
        <w:t>公告</w:t>
      </w:r>
    </w:p>
    <w:p>
      <w:pPr>
        <w:pStyle w:val="42"/>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中盛隆国际招标（北京）有限公司受</w:t>
      </w:r>
      <w:r>
        <w:rPr>
          <w:rFonts w:hint="eastAsia" w:asciiTheme="minorEastAsia" w:hAnsiTheme="minorEastAsia" w:eastAsiaTheme="minorEastAsia" w:cstheme="minorEastAsia"/>
          <w:bCs/>
          <w:color w:val="auto"/>
          <w:sz w:val="24"/>
          <w:szCs w:val="24"/>
          <w:highlight w:val="none"/>
        </w:rPr>
        <w:t>北京师范大学</w:t>
      </w:r>
      <w:r>
        <w:rPr>
          <w:rFonts w:hint="eastAsia" w:asciiTheme="minorEastAsia" w:hAnsiTheme="minorEastAsia" w:eastAsiaTheme="minorEastAsia" w:cstheme="minorEastAsia"/>
          <w:color w:val="auto"/>
          <w:sz w:val="24"/>
          <w:szCs w:val="24"/>
          <w:highlight w:val="none"/>
        </w:rPr>
        <w:t>的委托，并根据《中华人民共和国政府采购法》和其他法律、法规的有关规定，拟对</w:t>
      </w:r>
      <w:r>
        <w:rPr>
          <w:rFonts w:hint="eastAsia" w:hAnsiTheme="minorEastAsia" w:cstheme="minorEastAsia"/>
          <w:color w:val="auto"/>
          <w:sz w:val="24"/>
          <w:szCs w:val="24"/>
          <w:highlight w:val="none"/>
          <w:lang w:eastAsia="zh-CN"/>
        </w:rPr>
        <w:t>北京师范大学高性能水生生物培养分析器设备采购项目</w:t>
      </w:r>
      <w:r>
        <w:rPr>
          <w:rFonts w:hint="eastAsia" w:asciiTheme="minorEastAsia" w:hAnsiTheme="minorEastAsia" w:eastAsiaTheme="minorEastAsia" w:cstheme="minorEastAsia"/>
          <w:color w:val="auto"/>
          <w:sz w:val="24"/>
          <w:szCs w:val="24"/>
          <w:highlight w:val="none"/>
        </w:rPr>
        <w:t>进行国内公开招标。现邀请国内合格</w:t>
      </w: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参加投标。</w:t>
      </w:r>
    </w:p>
    <w:p>
      <w:pPr>
        <w:pStyle w:val="46"/>
        <w:spacing w:line="360" w:lineRule="auto"/>
        <w:ind w:left="72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招标编号：</w:t>
      </w:r>
      <w:r>
        <w:rPr>
          <w:rFonts w:hint="eastAsia" w:hAnsiTheme="minorEastAsia" w:cstheme="minorEastAsia"/>
          <w:color w:val="auto"/>
          <w:sz w:val="24"/>
          <w:szCs w:val="24"/>
          <w:highlight w:val="none"/>
          <w:lang w:eastAsia="zh-CN"/>
        </w:rPr>
        <w:t>ZSLTC-2018-S058</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资金来源：财政性资金</w:t>
      </w:r>
    </w:p>
    <w:p>
      <w:p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三、  预算金额及最高限价：4</w:t>
      </w:r>
      <w:r>
        <w:rPr>
          <w:rFonts w:hint="eastAsia" w:hAnsi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万元</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采购需求：</w:t>
      </w:r>
    </w:p>
    <w:tbl>
      <w:tblPr>
        <w:tblStyle w:val="24"/>
        <w:tblW w:w="9223" w:type="dxa"/>
        <w:tblInd w:w="-3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27"/>
        <w:gridCol w:w="674"/>
        <w:gridCol w:w="607"/>
        <w:gridCol w:w="758"/>
        <w:gridCol w:w="691"/>
        <w:gridCol w:w="624"/>
        <w:gridCol w:w="47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48" w:hRule="atLeast"/>
        </w:trPr>
        <w:tc>
          <w:tcPr>
            <w:tcW w:w="1127" w:type="dxa"/>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名称</w:t>
            </w:r>
          </w:p>
        </w:tc>
        <w:tc>
          <w:tcPr>
            <w:tcW w:w="674" w:type="dxa"/>
            <w:tcBorders>
              <w:right w:val="single" w:color="auto" w:sz="4" w:space="0"/>
            </w:tcBorders>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数量</w:t>
            </w:r>
          </w:p>
        </w:tc>
        <w:tc>
          <w:tcPr>
            <w:tcW w:w="607" w:type="dxa"/>
            <w:tcBorders>
              <w:left w:val="single" w:color="auto" w:sz="4" w:space="0"/>
            </w:tcBorders>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单位</w:t>
            </w:r>
          </w:p>
        </w:tc>
        <w:tc>
          <w:tcPr>
            <w:tcW w:w="758" w:type="dxa"/>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是否接受进口产品</w:t>
            </w:r>
          </w:p>
        </w:tc>
        <w:tc>
          <w:tcPr>
            <w:tcW w:w="691" w:type="dxa"/>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交货期</w:t>
            </w:r>
          </w:p>
        </w:tc>
        <w:tc>
          <w:tcPr>
            <w:tcW w:w="624" w:type="dxa"/>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交货地点</w:t>
            </w:r>
          </w:p>
        </w:tc>
        <w:tc>
          <w:tcPr>
            <w:tcW w:w="4742" w:type="dxa"/>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技术参数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6" w:hRule="atLeast"/>
        </w:trPr>
        <w:tc>
          <w:tcPr>
            <w:tcW w:w="1127" w:type="dxa"/>
            <w:tcBorders>
              <w:bottom w:val="single" w:color="auto" w:sz="4" w:space="0"/>
            </w:tcBorders>
            <w:shd w:val="clear" w:color="auto" w:fill="auto"/>
            <w:tcMar>
              <w:top w:w="28" w:type="dxa"/>
              <w:left w:w="28" w:type="dxa"/>
              <w:bottom w:w="28" w:type="dxa"/>
              <w:right w:w="28" w:type="dxa"/>
            </w:tcMar>
            <w:vAlign w:val="center"/>
          </w:tcPr>
          <w:p>
            <w:pPr>
              <w:widowControl/>
              <w:tabs>
                <w:tab w:val="left" w:pos="1085"/>
              </w:tabs>
              <w:spacing w:line="360" w:lineRule="auto"/>
              <w:jc w:val="left"/>
              <w:rPr>
                <w:rFonts w:hint="eastAsia" w:asciiTheme="minorEastAsia" w:hAnsiTheme="minorEastAsia" w:eastAsiaTheme="minorEastAsia" w:cstheme="minorEastAsia"/>
                <w:b w:val="0"/>
                <w:bCs/>
                <w:color w:val="auto"/>
                <w:sz w:val="24"/>
                <w:szCs w:val="24"/>
                <w:highlight w:val="none"/>
                <w:lang w:eastAsia="zh-CN"/>
              </w:rPr>
            </w:pPr>
            <w:r>
              <w:rPr>
                <w:rFonts w:hint="eastAsia" w:hAnsiTheme="minorEastAsia" w:cstheme="minorEastAsia"/>
                <w:color w:val="auto"/>
                <w:sz w:val="24"/>
                <w:szCs w:val="24"/>
                <w:highlight w:val="none"/>
                <w:lang w:eastAsia="zh-CN"/>
              </w:rPr>
              <w:t>高性能水生生物培养分析器设备</w:t>
            </w:r>
          </w:p>
        </w:tc>
        <w:tc>
          <w:tcPr>
            <w:tcW w:w="674" w:type="dxa"/>
            <w:tcBorders>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hAnsiTheme="minorEastAsia" w:cstheme="minorEastAsia"/>
                <w:color w:val="auto"/>
                <w:sz w:val="24"/>
                <w:szCs w:val="24"/>
                <w:highlight w:val="none"/>
                <w:lang w:val="en-US" w:eastAsia="zh-CN"/>
              </w:rPr>
              <w:t>1</w:t>
            </w:r>
          </w:p>
        </w:tc>
        <w:tc>
          <w:tcPr>
            <w:tcW w:w="607" w:type="dxa"/>
            <w:tcBorders>
              <w:left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hAnsiTheme="minorEastAsia" w:cstheme="minorEastAsia"/>
                <w:color w:val="auto"/>
                <w:sz w:val="24"/>
                <w:szCs w:val="24"/>
                <w:highlight w:val="none"/>
                <w:lang w:val="en-US" w:eastAsia="zh-CN"/>
              </w:rPr>
              <w:t>套</w:t>
            </w:r>
          </w:p>
        </w:tc>
        <w:tc>
          <w:tcPr>
            <w:tcW w:w="758" w:type="dxa"/>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hAnsiTheme="minorEastAsia" w:cstheme="minorEastAsia"/>
                <w:color w:val="auto"/>
                <w:sz w:val="24"/>
                <w:szCs w:val="24"/>
                <w:highlight w:val="none"/>
                <w:lang w:val="en-US" w:eastAsia="zh-CN"/>
              </w:rPr>
              <w:t>是</w:t>
            </w:r>
          </w:p>
        </w:tc>
        <w:tc>
          <w:tcPr>
            <w:tcW w:w="691" w:type="dxa"/>
            <w:shd w:val="clear" w:color="auto" w:fill="auto"/>
            <w:tcMar>
              <w:top w:w="15" w:type="dxa"/>
              <w:left w:w="15" w:type="dxa"/>
              <w:bottom w:w="0" w:type="dxa"/>
              <w:right w:w="15" w:type="dxa"/>
            </w:tcMar>
            <w:vAlign w:val="center"/>
          </w:tcPr>
          <w:p>
            <w:p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合同签订后两个月</w:t>
            </w:r>
          </w:p>
        </w:tc>
        <w:tc>
          <w:tcPr>
            <w:tcW w:w="624" w:type="dxa"/>
            <w:shd w:val="clear" w:color="auto" w:fill="auto"/>
            <w:tcMar>
              <w:top w:w="15" w:type="dxa"/>
              <w:left w:w="15" w:type="dxa"/>
              <w:bottom w:w="0" w:type="dxa"/>
              <w:right w:w="15" w:type="dxa"/>
            </w:tcMar>
            <w:vAlign w:val="center"/>
          </w:tcPr>
          <w:p>
            <w:pPr>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hAnsiTheme="minorEastAsia" w:cstheme="minorEastAsia"/>
                <w:color w:val="auto"/>
                <w:sz w:val="24"/>
                <w:szCs w:val="24"/>
                <w:highlight w:val="none"/>
                <w:lang w:val="en-US" w:eastAsia="zh-CN"/>
              </w:rPr>
              <w:t>北京师范大学</w:t>
            </w:r>
          </w:p>
        </w:tc>
        <w:tc>
          <w:tcPr>
            <w:tcW w:w="4742" w:type="dxa"/>
            <w:shd w:val="clear" w:color="auto" w:fill="auto"/>
            <w:tcMar>
              <w:top w:w="15" w:type="dxa"/>
              <w:left w:w="15" w:type="dxa"/>
              <w:bottom w:w="0" w:type="dxa"/>
              <w:right w:w="15" w:type="dxa"/>
            </w:tcMar>
            <w:vAlign w:val="center"/>
          </w:tcPr>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10L夹套式反应釜体，材质要求硼硅酸玻璃，最大工作容量10L，当使用pH探头及温度探头时最小工作容量6L。</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夹套反应釜体工作温度为4-60℃</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釜体内所有部件均无金属成分</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釜盖由Ultem® 热塑性塑料制成，经久耐用，带九个连接口，尺寸为6、8 和 12mm 带½” NPT 螺纹，可自定义使用方式</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釜体及釜盖可高压灭菌，确保无菌</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灯板：可安装多达四个 LED 灯板，提供单一和可变光照条件，可调整光照强度0-100%，光照可以执行手动或全自动日间夜间模拟运行</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带顶置式机械搅拌器，搅拌器马达连接到可拆卸的联轴器上，不影响反应容器的完整性，符合 GMP 标准。速度范围：10-100 rpm，保证低速稳定搅拌。搅拌桨为PTFE材质螺旋桨叶，双桨叶，高度可调。</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带两个气体接口（最大进气压力 1 bar），可通过气体流量计调节流量， 可手动调节阀门开关，标配气体分布器可使气体均匀分布于介质中。</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标配两个蠕动泵。</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标配pH电极，测量范围0-13</w:t>
            </w:r>
            <w:r>
              <w:rPr>
                <w:rFonts w:hint="eastAsia" w:ascii="宋体" w:hAnsi="宋体" w:eastAsia="宋体" w:cs="宋体"/>
                <w:sz w:val="24"/>
                <w:szCs w:val="24"/>
                <w:lang w:eastAsia="zh-CN"/>
              </w:rPr>
              <w:t>。</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标配带有PTFE涂层的PT100温度探头。</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两个大显示屏，高分辨率(480 x 272px)</w:t>
            </w:r>
            <w:r>
              <w:rPr>
                <w:rFonts w:hint="eastAsia" w:ascii="宋体" w:hAnsi="宋体" w:eastAsia="宋体" w:cs="宋体"/>
                <w:sz w:val="24"/>
                <w:szCs w:val="24"/>
                <w:lang w:eastAsia="zh-CN"/>
              </w:rPr>
              <w:t>。</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通过控制单元可轻松调节光照、温度、搅拌、pH、补液及补气，光照及搅拌可设置定时及间歇运行。</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可连接同品牌恒温循环器，实现一体化高精度温度控制</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数据管理，控制器可记录参数，采用 ASCII 格式，可使用 U 盘轻松转移到 PC，并可进行处理以用于后续分析、报告和文档编写。</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控制单元接口：USB，RS232，pH 传感器，PT 100温度探头</w:t>
            </w:r>
          </w:p>
          <w:p>
            <w:pPr>
              <w:pStyle w:val="43"/>
              <w:widowControl/>
              <w:numPr>
                <w:ilvl w:val="0"/>
                <w:numId w:val="5"/>
              </w:numPr>
              <w:spacing w:after="200" w:line="276" w:lineRule="auto"/>
              <w:ind w:firstLineChars="0"/>
              <w:contextualSpacing/>
              <w:rPr>
                <w:rFonts w:hint="eastAsia" w:ascii="宋体" w:hAnsi="宋体" w:eastAsia="宋体" w:cs="宋体"/>
                <w:sz w:val="24"/>
                <w:szCs w:val="24"/>
              </w:rPr>
            </w:pPr>
            <w:r>
              <w:rPr>
                <w:rFonts w:hint="eastAsia" w:ascii="宋体" w:hAnsi="宋体" w:eastAsia="宋体" w:cs="宋体"/>
                <w:sz w:val="24"/>
                <w:szCs w:val="24"/>
              </w:rPr>
              <w:t>工作环境：电压：110或230 V，50/60Hz；允许环境温度：5~40℃</w:t>
            </w:r>
          </w:p>
          <w:p>
            <w:pPr>
              <w:pStyle w:val="43"/>
              <w:widowControl/>
              <w:numPr>
                <w:ilvl w:val="0"/>
                <w:numId w:val="5"/>
              </w:numPr>
              <w:spacing w:after="200" w:line="276" w:lineRule="auto"/>
              <w:ind w:firstLineChars="0"/>
              <w:contextualSpacing/>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sz w:val="24"/>
                <w:szCs w:val="24"/>
              </w:rPr>
              <w:t>配置专门的藻类细胞计数仪，以配合培养检测系统：检测藻类直径：5-300um；上样体积：15-20ul；耗材：无需额外特殊试剂</w:t>
            </w:r>
            <w:r>
              <w:rPr>
                <w:rFonts w:hint="eastAsia" w:ascii="宋体" w:hAnsi="宋体" w:eastAsia="宋体" w:cs="宋体"/>
                <w:sz w:val="24"/>
                <w:szCs w:val="24"/>
                <w:lang w:eastAsia="zh-CN"/>
              </w:rPr>
              <w:t>。</w:t>
            </w:r>
          </w:p>
          <w:p>
            <w:pPr>
              <w:pStyle w:val="43"/>
              <w:widowControl/>
              <w:numPr>
                <w:ilvl w:val="0"/>
                <w:numId w:val="0"/>
              </w:numPr>
              <w:spacing w:after="200" w:line="276" w:lineRule="auto"/>
              <w:ind w:left="142" w:leftChars="0"/>
              <w:contextualSpacing/>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b/>
                <w:bCs/>
                <w:sz w:val="24"/>
                <w:szCs w:val="24"/>
                <w:lang w:val="en-US" w:eastAsia="zh-CN"/>
              </w:rPr>
              <w:t>具体详见招标文件第三部分。</w:t>
            </w:r>
          </w:p>
        </w:tc>
      </w:tr>
    </w:tbl>
    <w:p>
      <w:pPr>
        <w:rPr>
          <w:rFonts w:hint="eastAsia" w:asciiTheme="minorEastAsia" w:hAnsiTheme="minorEastAsia" w:eastAsiaTheme="minorEastAsia" w:cstheme="minorEastAsia"/>
          <w:b/>
          <w:bCs/>
          <w:color w:val="auto"/>
          <w:sz w:val="24"/>
          <w:szCs w:val="24"/>
          <w:highlight w:val="yellow"/>
          <w:lang w:val="en-US" w:eastAsia="zh-CN"/>
        </w:rPr>
      </w:pPr>
      <w:r>
        <w:rPr>
          <w:rFonts w:hint="eastAsia" w:asciiTheme="minorEastAsia" w:hAnsiTheme="minorEastAsia" w:eastAsiaTheme="minorEastAsia" w:cstheme="minorEastAsia"/>
          <w:b/>
          <w:bCs/>
          <w:color w:val="auto"/>
          <w:sz w:val="24"/>
          <w:szCs w:val="24"/>
          <w:highlight w:val="none"/>
          <w:lang w:val="en-US" w:eastAsia="zh-CN"/>
        </w:rPr>
        <w:t>注：</w:t>
      </w:r>
      <w:r>
        <w:rPr>
          <w:rFonts w:hint="eastAsia"/>
          <w:b/>
          <w:bCs/>
          <w:highlight w:val="none"/>
          <w:lang w:val="en-US" w:eastAsia="zh-CN"/>
        </w:rPr>
        <w:t>进口产品可报进口免税价，指在北京师范大学项目现场交货人民币价，须包含除进口税以外其他一切费用，包括安装、培训、进口代理等费用，进口代理公司由北京师范大学指定。</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hAnsi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采购项目的属性：货物</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hAnsi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资格要求（须同时满足）：</w:t>
      </w:r>
    </w:p>
    <w:p>
      <w:pPr>
        <w:pStyle w:val="46"/>
        <w:spacing w:line="360" w:lineRule="auto"/>
        <w:ind w:left="1416" w:leftChars="29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有生产或供应能力的</w:t>
      </w: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，包括法人、其他组织或者自然人；</w:t>
      </w:r>
    </w:p>
    <w:p>
      <w:pPr>
        <w:pStyle w:val="46"/>
        <w:spacing w:line="360" w:lineRule="auto"/>
        <w:ind w:left="1416" w:leftChars="29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符合《中华人民共和国政府采购法》第二十二条相关规定，即：</w:t>
      </w:r>
    </w:p>
    <w:p>
      <w:pPr>
        <w:pStyle w:val="46"/>
        <w:spacing w:line="360" w:lineRule="auto"/>
        <w:ind w:left="1080" w:leftChars="200" w:hanging="600" w:hanging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（1）具有独立承担民事责任的能力；</w:t>
      </w:r>
    </w:p>
    <w:p>
      <w:pPr>
        <w:pStyle w:val="46"/>
        <w:spacing w:line="360" w:lineRule="auto"/>
        <w:ind w:left="1080" w:leftChars="200" w:hanging="600" w:hanging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（2）具有良好的商业信誉和健全的财务会计制度；</w:t>
      </w:r>
    </w:p>
    <w:p>
      <w:pPr>
        <w:pStyle w:val="46"/>
        <w:spacing w:line="360" w:lineRule="auto"/>
        <w:ind w:left="1080" w:leftChars="200" w:hanging="600" w:hanging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（3）具有履行合同所必需的设备和专业技术能力；</w:t>
      </w:r>
    </w:p>
    <w:p>
      <w:pPr>
        <w:pStyle w:val="46"/>
        <w:spacing w:line="360" w:lineRule="auto"/>
        <w:ind w:left="1080" w:leftChars="200" w:hanging="600" w:hanging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（4）有依法缴纳税收和社会保障资金的良好记录；</w:t>
      </w:r>
    </w:p>
    <w:p>
      <w:pPr>
        <w:pStyle w:val="46"/>
        <w:spacing w:line="360" w:lineRule="auto"/>
        <w:ind w:left="1080" w:leftChars="200" w:hanging="600" w:hanging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（5）参加政府采购活动前三年内，在经营活动中没有重大违法记录；</w:t>
      </w:r>
    </w:p>
    <w:p>
      <w:pPr>
        <w:pStyle w:val="46"/>
        <w:spacing w:line="360" w:lineRule="auto"/>
        <w:ind w:left="1080" w:leftChars="200" w:hanging="600" w:hanging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（6）法律、行政法规规定的其他条件。</w:t>
      </w:r>
    </w:p>
    <w:p>
      <w:pPr>
        <w:pStyle w:val="46"/>
        <w:spacing w:line="360" w:lineRule="auto"/>
        <w:ind w:left="1056" w:leftChars="290" w:hanging="360" w:hanging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 符合《财政部关于在政府采购活动中查询及使用信用记录有关问题的通知》（财库〔2016〕125号）的相关要求；</w:t>
      </w:r>
    </w:p>
    <w:p>
      <w:pPr>
        <w:pStyle w:val="46"/>
        <w:spacing w:line="360" w:lineRule="auto"/>
        <w:ind w:left="1416" w:leftChars="29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 本项目不接受联合体投标。</w:t>
      </w:r>
    </w:p>
    <w:p>
      <w:pPr>
        <w:pStyle w:val="46"/>
        <w:spacing w:line="360" w:lineRule="auto"/>
        <w:ind w:left="1056" w:leftChars="290" w:hanging="360" w:hanging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 </w:t>
      </w: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必须向采购代理机构购买招标文件并登记备案，未向采购代理机构购买招标文件并登记备案的潜在</w:t>
      </w: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均无资格参加投标。</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hAnsi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本项目扶持中小企业及监狱企业发展，促进残疾人就业,鼓励节能环保产品，具体政府采购政策落实情况详见招标文件。</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hAnsi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本项目为非专门面向中小企业的项目。</w:t>
      </w:r>
    </w:p>
    <w:p>
      <w:pPr>
        <w:pStyle w:val="46"/>
        <w:spacing w:line="360" w:lineRule="auto"/>
        <w:ind w:firstLine="0" w:firstLineChars="0"/>
        <w:rPr>
          <w:rFonts w:hint="eastAsia" w:asciiTheme="minorEastAsia" w:hAnsiTheme="minorEastAsia" w:eastAsiaTheme="minorEastAsia" w:cstheme="minorEastAsia"/>
          <w:color w:val="auto"/>
          <w:sz w:val="24"/>
          <w:szCs w:val="24"/>
          <w:highlight w:val="none"/>
        </w:rPr>
      </w:pPr>
      <w:r>
        <w:rPr>
          <w:rFonts w:hint="eastAsia" w:hAnsiTheme="minorEastAsia" w:cstheme="minorEastAsia"/>
          <w:color w:val="auto"/>
          <w:sz w:val="24"/>
          <w:szCs w:val="24"/>
          <w:highlight w:val="none"/>
          <w:lang w:val="en-US" w:eastAsia="zh-CN"/>
        </w:rPr>
        <w:t>九</w:t>
      </w:r>
      <w:r>
        <w:rPr>
          <w:rFonts w:hint="eastAsia" w:asciiTheme="minorEastAsia" w:hAnsiTheme="minorEastAsia" w:eastAsiaTheme="minorEastAsia" w:cstheme="minorEastAsia"/>
          <w:color w:val="auto"/>
          <w:sz w:val="24"/>
          <w:szCs w:val="24"/>
          <w:highlight w:val="none"/>
        </w:rPr>
        <w:t>、获取招标文件的时间期限、地点、方式及招标文件售价：</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有意向的</w:t>
      </w: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可从2018年</w:t>
      </w:r>
      <w:r>
        <w:rPr>
          <w:rFonts w:hint="eastAsia" w:asciiTheme="minorEastAsia" w:hAnsiTheme="minorEastAsia" w:eastAsiaTheme="minorEastAsia" w:cstheme="minorEastAsia"/>
          <w:color w:val="auto"/>
          <w:sz w:val="24"/>
          <w:szCs w:val="24"/>
          <w:highlight w:val="none"/>
          <w:lang w:val="en-US" w:eastAsia="zh-CN"/>
        </w:rPr>
        <w:t>1</w:t>
      </w:r>
      <w:r>
        <w:rPr>
          <w:rFonts w:hint="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月</w:t>
      </w:r>
      <w:r>
        <w:rPr>
          <w:rFonts w:hint="eastAsia" w:hAnsiTheme="minorEastAsia" w:cstheme="minorEastAsia"/>
          <w:color w:val="auto"/>
          <w:sz w:val="24"/>
          <w:szCs w:val="24"/>
          <w:highlight w:val="none"/>
          <w:lang w:val="en-US" w:eastAsia="zh-CN"/>
        </w:rPr>
        <w:t>21</w:t>
      </w:r>
      <w:r>
        <w:rPr>
          <w:rFonts w:hint="eastAsia" w:asciiTheme="minorEastAsia" w:hAnsiTheme="minorEastAsia" w:eastAsiaTheme="minorEastAsia" w:cstheme="minorEastAsia"/>
          <w:color w:val="auto"/>
          <w:sz w:val="24"/>
          <w:szCs w:val="24"/>
          <w:highlight w:val="none"/>
        </w:rPr>
        <w:t>日起至2018年</w:t>
      </w:r>
      <w:r>
        <w:rPr>
          <w:rFonts w:hint="eastAsia" w:asciiTheme="minorEastAsia" w:hAnsiTheme="minorEastAsia" w:eastAsiaTheme="minorEastAsia" w:cstheme="minorEastAsia"/>
          <w:color w:val="auto"/>
          <w:sz w:val="24"/>
          <w:szCs w:val="24"/>
          <w:highlight w:val="none"/>
          <w:lang w:val="en-US" w:eastAsia="zh-CN"/>
        </w:rPr>
        <w:t>1</w:t>
      </w:r>
      <w:r>
        <w:rPr>
          <w:rFonts w:hint="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月</w:t>
      </w:r>
      <w:r>
        <w:rPr>
          <w:rFonts w:hint="eastAsia" w:hAnsiTheme="minorEastAsia" w:cstheme="minorEastAsia"/>
          <w:color w:val="auto"/>
          <w:sz w:val="24"/>
          <w:szCs w:val="24"/>
          <w:highlight w:val="none"/>
          <w:lang w:val="en-US" w:eastAsia="zh-CN"/>
        </w:rPr>
        <w:t>27</w:t>
      </w:r>
      <w:r>
        <w:rPr>
          <w:rFonts w:hint="eastAsia" w:asciiTheme="minorEastAsia" w:hAnsiTheme="minorEastAsia" w:eastAsiaTheme="minorEastAsia" w:cstheme="minorEastAsia"/>
          <w:color w:val="auto"/>
          <w:sz w:val="24"/>
          <w:szCs w:val="24"/>
          <w:highlight w:val="none"/>
        </w:rPr>
        <w:t>日止，每天上午9:00～11:30、下午1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:30～</w:t>
      </w:r>
      <w:r>
        <w:rPr>
          <w:rFonts w:hint="eastAsia" w:asciiTheme="minorEastAsia" w:hAnsiTheme="minorEastAsia" w:eastAsiaTheme="minorEastAsia" w:cstheme="minorEastAsia"/>
          <w:color w:val="auto"/>
          <w:sz w:val="24"/>
          <w:szCs w:val="24"/>
          <w:highlight w:val="none"/>
          <w:lang w:val="en-US" w:eastAsia="zh-CN"/>
        </w:rPr>
        <w:t>16</w:t>
      </w:r>
      <w:r>
        <w:rPr>
          <w:rFonts w:hint="eastAsia" w:asciiTheme="minorEastAsia" w:hAnsiTheme="minorEastAsia" w:eastAsiaTheme="minorEastAsia" w:cstheme="minorEastAsia"/>
          <w:color w:val="auto"/>
          <w:sz w:val="24"/>
          <w:szCs w:val="24"/>
          <w:highlight w:val="none"/>
        </w:rPr>
        <w:t>:30（北京时间、节假日除外），到</w:t>
      </w:r>
      <w:r>
        <w:rPr>
          <w:rFonts w:hint="eastAsia" w:asciiTheme="minorEastAsia" w:hAnsiTheme="minorEastAsia" w:eastAsiaTheme="minorEastAsia" w:cstheme="minorEastAsia"/>
          <w:bCs/>
          <w:color w:val="auto"/>
          <w:sz w:val="24"/>
          <w:szCs w:val="24"/>
          <w:highlight w:val="none"/>
        </w:rPr>
        <w:t>中盛隆国际招标（北京）有限公司</w:t>
      </w:r>
      <w:r>
        <w:rPr>
          <w:rFonts w:hint="eastAsia" w:asciiTheme="minorEastAsia" w:hAnsiTheme="minorEastAsia" w:eastAsiaTheme="minorEastAsia" w:cstheme="minorEastAsia"/>
          <w:color w:val="auto"/>
          <w:sz w:val="24"/>
          <w:szCs w:val="24"/>
          <w:highlight w:val="none"/>
        </w:rPr>
        <w:t>购买招标文件，每包/本售价人民币300.00元，售后不退。若需邮购，需另加人民币100元。</w:t>
      </w:r>
      <w:r>
        <w:rPr>
          <w:rFonts w:hint="eastAsia" w:asciiTheme="minorEastAsia" w:hAnsiTheme="minorEastAsia" w:eastAsiaTheme="minorEastAsia" w:cstheme="minorEastAsia"/>
          <w:color w:val="auto"/>
          <w:kern w:val="1"/>
          <w:sz w:val="24"/>
          <w:szCs w:val="24"/>
          <w:highlight w:val="none"/>
        </w:rPr>
        <w:t>领取招标文件时须提供以下资料（复印件需加盖单位公章）：1）法人授权委托书（原件）、被授权人身份证原件及复印件；2）《营业执照》或《事业单位法人证书》副本复印件。</w:t>
      </w:r>
      <w:r>
        <w:rPr>
          <w:rFonts w:hint="eastAsia" w:asciiTheme="minorEastAsia" w:hAnsiTheme="minorEastAsia" w:eastAsiaTheme="minorEastAsia" w:cstheme="minorEastAsia"/>
          <w:color w:val="auto"/>
          <w:sz w:val="24"/>
          <w:szCs w:val="24"/>
          <w:highlight w:val="none"/>
        </w:rPr>
        <w:t>注：邮购时请按我公司账户汇款，然后将汇款单复印件及招标文件购买登记表传真或电子邮件发送给我公司，我公司收到后将尽快用特快专递将招标文件邮寄给贵方。招标文件售后不退。</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十、投标截止时间和开标时间：201</w:t>
      </w:r>
      <w:r>
        <w:rPr>
          <w:rFonts w:hint="eastAsia" w:hAnsi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年</w:t>
      </w:r>
      <w:r>
        <w:rPr>
          <w:rFonts w:hint="eastAsia" w:hAnsi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月</w:t>
      </w:r>
      <w:r>
        <w:rPr>
          <w:rFonts w:hint="eastAsia" w:hAnsi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日</w:t>
      </w:r>
      <w:r>
        <w:rPr>
          <w:rFonts w:hint="eastAsia" w:hAnsiTheme="minorEastAsia" w:cstheme="minorEastAsia"/>
          <w:color w:val="auto"/>
          <w:sz w:val="24"/>
          <w:szCs w:val="24"/>
          <w:highlight w:val="none"/>
          <w:lang w:val="en-US" w:eastAsia="zh-CN"/>
        </w:rPr>
        <w:t>下</w:t>
      </w:r>
      <w:r>
        <w:rPr>
          <w:rFonts w:hint="eastAsia" w:asciiTheme="minorEastAsia" w:hAnsiTheme="minorEastAsia" w:eastAsiaTheme="minorEastAsia" w:cstheme="minorEastAsia"/>
          <w:color w:val="auto"/>
          <w:sz w:val="24"/>
          <w:szCs w:val="24"/>
          <w:highlight w:val="none"/>
        </w:rPr>
        <w:t>午</w:t>
      </w:r>
      <w:r>
        <w:rPr>
          <w:rFonts w:hint="eastAsia" w:hAnsi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0（北京时间），届时请参加投标的单位派代表出席开标仪式。</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w:t>
      </w:r>
      <w:r>
        <w:rPr>
          <w:rFonts w:hint="eastAsia" w:hAnsi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rPr>
        <w:t>、开标地点：北京市海淀区新街口外大街19号北京师范大学校内英东学术会场二小。</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w:t>
      </w:r>
      <w:r>
        <w:rPr>
          <w:rFonts w:hint="eastAsia" w:hAnsi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rPr>
        <w:t>、投标文件的递交：投标文件请于开标当日、投标截止时间之前由专人送达开标地点,以电报、电话、传真、电子邮件形式递交的投标文件将不予接受，逾期送达或者未按照招标文件要求密封的投标文件，采购人、采购代理机构将拒收。</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w:t>
      </w:r>
      <w:r>
        <w:rPr>
          <w:rFonts w:hint="eastAsia" w:hAnsi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、本项目招标公告在中国政府采购网上发布。</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w:t>
      </w:r>
      <w:r>
        <w:rPr>
          <w:rFonts w:hint="eastAsia" w:hAnsi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rPr>
        <w:t>、公告期限：自发布之日起5个工作日。</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w:t>
      </w:r>
      <w:r>
        <w:rPr>
          <w:rFonts w:hint="eastAsia" w:hAnsi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rPr>
        <w:t>、采购人信息：</w:t>
      </w:r>
    </w:p>
    <w:p>
      <w:pPr>
        <w:spacing w:line="360" w:lineRule="auto"/>
        <w:ind w:firstLine="840" w:firstLineChars="35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名        称：北京师范大学</w:t>
      </w:r>
    </w:p>
    <w:p>
      <w:pPr>
        <w:spacing w:line="360" w:lineRule="auto"/>
        <w:ind w:firstLine="840" w:firstLineChars="35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地        址：北京市海淀区新街口外大街19号</w:t>
      </w:r>
    </w:p>
    <w:p>
      <w:pPr>
        <w:spacing w:line="360" w:lineRule="auto"/>
        <w:ind w:firstLine="840" w:firstLineChars="35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联 系  </w:t>
      </w:r>
      <w:r>
        <w:rPr>
          <w:rFonts w:hint="eastAsia" w:asciiTheme="minorEastAsia" w:hAnsiTheme="minorEastAsia" w:eastAsiaTheme="minorEastAsia" w:cstheme="minorEastAsia"/>
          <w:color w:val="auto"/>
          <w:sz w:val="24"/>
          <w:szCs w:val="24"/>
          <w:highlight w:val="none"/>
          <w:lang w:val="en-US" w:eastAsia="zh-CN"/>
        </w:rPr>
        <w:t>方 式</w:t>
      </w:r>
      <w:r>
        <w:rPr>
          <w:rFonts w:hint="eastAsia" w:asciiTheme="minorEastAsia" w:hAnsiTheme="minorEastAsia" w:eastAsiaTheme="minorEastAsia" w:cstheme="minorEastAsia"/>
          <w:color w:val="auto"/>
          <w:sz w:val="24"/>
          <w:szCs w:val="24"/>
          <w:highlight w:val="none"/>
        </w:rPr>
        <w:t>：</w:t>
      </w:r>
      <w:r>
        <w:rPr>
          <w:rFonts w:hint="eastAsia" w:hAnsiTheme="minorEastAsia" w:cstheme="minorEastAsia"/>
          <w:color w:val="auto"/>
          <w:sz w:val="24"/>
          <w:szCs w:val="24"/>
          <w:highlight w:val="none"/>
          <w:lang w:val="en-US" w:eastAsia="zh-CN"/>
        </w:rPr>
        <w:t>腾</w:t>
      </w:r>
      <w:r>
        <w:rPr>
          <w:rFonts w:hint="eastAsia" w:asciiTheme="minorEastAsia" w:hAnsiTheme="minorEastAsia" w:eastAsiaTheme="minorEastAsia" w:cstheme="minorEastAsia"/>
          <w:color w:val="auto"/>
          <w:sz w:val="24"/>
          <w:szCs w:val="24"/>
          <w:highlight w:val="none"/>
        </w:rPr>
        <w:t>老师010-58802582</w:t>
      </w:r>
    </w:p>
    <w:p>
      <w:pPr>
        <w:pStyle w:val="46"/>
        <w:spacing w:line="360" w:lineRule="auto"/>
        <w:ind w:left="7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w:t>
      </w:r>
      <w:r>
        <w:rPr>
          <w:rFonts w:hint="eastAsia" w:hAnsi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rPr>
        <w:t>、招标代理机构信息：</w:t>
      </w:r>
    </w:p>
    <w:p>
      <w:pPr>
        <w:spacing w:line="360" w:lineRule="auto"/>
        <w:ind w:firstLine="720" w:firstLineChars="3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名        称：中盛隆国际招标（北京）有限公司</w:t>
      </w:r>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址：北京市海淀区紫竹院路81号院北方地产大厦612室</w:t>
      </w:r>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        编：100089</w:t>
      </w:r>
    </w:p>
    <w:p>
      <w:pPr>
        <w:spacing w:line="360" w:lineRule="auto"/>
        <w:ind w:firstLine="720" w:firstLineChars="3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   系   人：</w:t>
      </w:r>
      <w:r>
        <w:rPr>
          <w:rFonts w:hint="eastAsia" w:asciiTheme="minorEastAsia" w:hAnsiTheme="minorEastAsia" w:eastAsiaTheme="minorEastAsia" w:cstheme="minorEastAsia"/>
          <w:color w:val="auto"/>
          <w:sz w:val="24"/>
          <w:szCs w:val="24"/>
          <w:highlight w:val="none"/>
          <w:lang w:val="en-US" w:eastAsia="zh-CN"/>
        </w:rPr>
        <w:t>吴</w:t>
      </w:r>
      <w:r>
        <w:rPr>
          <w:rFonts w:hint="eastAsia" w:asciiTheme="minorEastAsia" w:hAnsiTheme="minorEastAsia" w:eastAsiaTheme="minorEastAsia" w:cstheme="minorEastAsia"/>
          <w:color w:val="auto"/>
          <w:sz w:val="24"/>
          <w:szCs w:val="24"/>
          <w:highlight w:val="none"/>
        </w:rPr>
        <w:t>女士</w:t>
      </w:r>
      <w:r>
        <w:rPr>
          <w:rFonts w:hint="eastAsia" w:hAnsiTheme="minorEastAsia" w:cstheme="minorEastAsia"/>
          <w:color w:val="auto"/>
          <w:sz w:val="24"/>
          <w:szCs w:val="24"/>
          <w:highlight w:val="none"/>
          <w:lang w:val="en-US" w:eastAsia="zh-CN"/>
        </w:rPr>
        <w:t xml:space="preserve"> </w:t>
      </w:r>
    </w:p>
    <w:p>
      <w:pPr>
        <w:spacing w:line="360" w:lineRule="auto"/>
        <w:ind w:firstLine="720" w:firstLineChars="3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 系  电 话：010-88956517-805</w:t>
      </w:r>
      <w:r>
        <w:rPr>
          <w:rFonts w:hint="eastAsia" w:hAnsiTheme="minorEastAsia" w:cstheme="minorEastAsia"/>
          <w:color w:val="auto"/>
          <w:sz w:val="24"/>
          <w:szCs w:val="24"/>
          <w:highlight w:val="none"/>
          <w:lang w:val="en-US" w:eastAsia="zh-CN"/>
        </w:rPr>
        <w:t xml:space="preserve"> </w:t>
      </w:r>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        真：010-88956527</w:t>
      </w:r>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 户  名 称：中盛隆国际招标（北京）有限公司</w:t>
      </w:r>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 户  银 行：中国农业银行北京紫竹桥支行</w:t>
      </w:r>
    </w:p>
    <w:p>
      <w:pPr>
        <w:spacing w:line="360" w:lineRule="auto"/>
        <w:ind w:firstLine="720" w:firstLineChars="3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        号：11 0545 0104 0001 556</w:t>
      </w:r>
    </w:p>
    <w:p>
      <w:pPr>
        <w:spacing w:line="360" w:lineRule="auto"/>
        <w:rPr>
          <w:rFonts w:hint="eastAsia" w:asciiTheme="minorEastAsia" w:hAnsiTheme="minorEastAsia" w:eastAsiaTheme="minorEastAsia" w:cstheme="minorEastAsia"/>
          <w:color w:val="auto"/>
          <w:sz w:val="24"/>
          <w:szCs w:val="24"/>
          <w:highlight w:val="none"/>
        </w:rPr>
      </w:pPr>
    </w:p>
    <w:sectPr>
      <w:footerReference r:id="rId3" w:type="default"/>
      <w:pgSz w:w="11906" w:h="16838"/>
      <w:pgMar w:top="1134" w:right="1418" w:bottom="1134" w:left="1418" w:header="851" w:footer="589"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01-</w:t>
    </w: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849"/>
    <w:multiLevelType w:val="multilevel"/>
    <w:tmpl w:val="0E230849"/>
    <w:lvl w:ilvl="0" w:tentative="0">
      <w:start w:val="1"/>
      <w:numFmt w:val="decimal"/>
      <w:pStyle w:val="37"/>
      <w:lvlText w:val="%1"/>
      <w:lvlJc w:val="left"/>
      <w:pPr>
        <w:ind w:left="680" w:hanging="680"/>
      </w:pPr>
      <w:rPr>
        <w:rFonts w:hint="eastAsia" w:asciiTheme="minorEastAsia" w:hAnsiTheme="minorEastAsia" w:eastAsiaTheme="minorEastAsia"/>
      </w:rPr>
    </w:lvl>
    <w:lvl w:ilvl="1" w:tentative="0">
      <w:start w:val="1"/>
      <w:numFmt w:val="decimal"/>
      <w:pStyle w:val="38"/>
      <w:lvlText w:val="%1.%2"/>
      <w:lvlJc w:val="left"/>
      <w:pPr>
        <w:ind w:left="680" w:hanging="680"/>
      </w:pPr>
      <w:rPr>
        <w:rFonts w:hint="eastAsia" w:asciiTheme="minorEastAsia" w:hAnsiTheme="minorEastAsia" w:eastAsiaTheme="minorEastAsia"/>
        <w:color w:val="0070C0"/>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1">
    <w:nsid w:val="0EC66F66"/>
    <w:multiLevelType w:val="multilevel"/>
    <w:tmpl w:val="0EC66F66"/>
    <w:lvl w:ilvl="0" w:tentative="0">
      <w:start w:val="1"/>
      <w:numFmt w:val="decimal"/>
      <w:lvlText w:val="%1."/>
      <w:lvlJc w:val="left"/>
      <w:pPr>
        <w:ind w:left="50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12748DE"/>
    <w:multiLevelType w:val="multilevel"/>
    <w:tmpl w:val="412748DE"/>
    <w:lvl w:ilvl="0" w:tentative="0">
      <w:start w:val="1"/>
      <w:numFmt w:val="decimal"/>
      <w:pStyle w:val="45"/>
      <w:lvlText w:val="%1、"/>
      <w:lvlJc w:val="left"/>
      <w:pPr>
        <w:ind w:left="420" w:hanging="420"/>
      </w:pPr>
      <w:rPr>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6FEF60BF"/>
    <w:multiLevelType w:val="multilevel"/>
    <w:tmpl w:val="6FEF60BF"/>
    <w:lvl w:ilvl="0" w:tentative="0">
      <w:start w:val="1"/>
      <w:numFmt w:val="decimal"/>
      <w:pStyle w:val="44"/>
      <w:lvlText w:val="6-%1、"/>
      <w:lvlJc w:val="left"/>
      <w:pPr>
        <w:ind w:left="-289" w:hanging="420"/>
      </w:pPr>
      <w:rPr>
        <w:rFonts w:hint="eastAsia" w:asciiTheme="minorEastAsia" w:hAnsiTheme="minorEastAsia" w:eastAsiaTheme="minorEastAsia"/>
      </w:rPr>
    </w:lvl>
    <w:lvl w:ilvl="1" w:tentative="0">
      <w:start w:val="1"/>
      <w:numFmt w:val="lowerLetter"/>
      <w:lvlText w:val="%2)"/>
      <w:lvlJc w:val="left"/>
      <w:pPr>
        <w:ind w:left="131" w:hanging="420"/>
      </w:pPr>
    </w:lvl>
    <w:lvl w:ilvl="2" w:tentative="0">
      <w:start w:val="1"/>
      <w:numFmt w:val="lowerRoman"/>
      <w:lvlText w:val="%3."/>
      <w:lvlJc w:val="right"/>
      <w:pPr>
        <w:ind w:left="551" w:hanging="420"/>
      </w:pPr>
    </w:lvl>
    <w:lvl w:ilvl="3" w:tentative="0">
      <w:start w:val="1"/>
      <w:numFmt w:val="decimal"/>
      <w:lvlText w:val="%4."/>
      <w:lvlJc w:val="left"/>
      <w:pPr>
        <w:ind w:left="971" w:hanging="420"/>
      </w:pPr>
    </w:lvl>
    <w:lvl w:ilvl="4" w:tentative="0">
      <w:start w:val="1"/>
      <w:numFmt w:val="lowerLetter"/>
      <w:lvlText w:val="%5)"/>
      <w:lvlJc w:val="left"/>
      <w:pPr>
        <w:ind w:left="1391" w:hanging="420"/>
      </w:pPr>
    </w:lvl>
    <w:lvl w:ilvl="5" w:tentative="0">
      <w:start w:val="1"/>
      <w:numFmt w:val="lowerRoman"/>
      <w:lvlText w:val="%6."/>
      <w:lvlJc w:val="right"/>
      <w:pPr>
        <w:ind w:left="1811" w:hanging="420"/>
      </w:pPr>
    </w:lvl>
    <w:lvl w:ilvl="6" w:tentative="0">
      <w:start w:val="1"/>
      <w:numFmt w:val="decimal"/>
      <w:lvlText w:val="%7."/>
      <w:lvlJc w:val="left"/>
      <w:pPr>
        <w:ind w:left="2231" w:hanging="420"/>
      </w:pPr>
    </w:lvl>
    <w:lvl w:ilvl="7" w:tentative="0">
      <w:start w:val="1"/>
      <w:numFmt w:val="lowerLetter"/>
      <w:lvlText w:val="%8)"/>
      <w:lvlJc w:val="left"/>
      <w:pPr>
        <w:ind w:left="2651" w:hanging="420"/>
      </w:pPr>
    </w:lvl>
    <w:lvl w:ilvl="8" w:tentative="0">
      <w:start w:val="1"/>
      <w:numFmt w:val="lowerRoman"/>
      <w:lvlText w:val="%9."/>
      <w:lvlJc w:val="right"/>
      <w:pPr>
        <w:ind w:left="3071" w:hanging="420"/>
      </w:pPr>
    </w:lvl>
  </w:abstractNum>
  <w:abstractNum w:abstractNumId="4">
    <w:nsid w:val="76D3462B"/>
    <w:multiLevelType w:val="multilevel"/>
    <w:tmpl w:val="76D3462B"/>
    <w:lvl w:ilvl="0" w:tentative="0">
      <w:start w:val="1"/>
      <w:numFmt w:val="decimal"/>
      <w:pStyle w:val="27"/>
      <w:lvlText w:val="%1"/>
      <w:lvlJc w:val="left"/>
      <w:pPr>
        <w:ind w:left="425" w:hanging="425"/>
      </w:pPr>
      <w:rPr>
        <w:rFonts w:hint="eastAsia"/>
        <w:lang w:val="en-US"/>
      </w:rPr>
    </w:lvl>
    <w:lvl w:ilvl="1" w:tentative="0">
      <w:start w:val="1"/>
      <w:numFmt w:val="decimal"/>
      <w:pStyle w:val="25"/>
      <w:lvlText w:val="%1.%2"/>
      <w:lvlJc w:val="left"/>
      <w:pPr>
        <w:ind w:left="992" w:hanging="567"/>
      </w:pPr>
      <w:rPr>
        <w:rFonts w:hint="eastAsia"/>
      </w:rPr>
    </w:lvl>
    <w:lvl w:ilvl="2" w:tentative="0">
      <w:start w:val="1"/>
      <w:numFmt w:val="decimal"/>
      <w:pStyle w:val="29"/>
      <w:lvlText w:val="%1.%2.%3"/>
      <w:lvlJc w:val="left"/>
      <w:pPr>
        <w:ind w:left="1418" w:hanging="567"/>
      </w:pPr>
      <w:rPr>
        <w:rFonts w:hint="eastAsia"/>
      </w:rPr>
    </w:lvl>
    <w:lvl w:ilvl="3" w:tentative="0">
      <w:start w:val="1"/>
      <w:numFmt w:val="decimal"/>
      <w:pStyle w:val="28"/>
      <w:lvlText w:val="%1.%2.%3.%4"/>
      <w:lvlJc w:val="left"/>
      <w:pPr>
        <w:ind w:left="1984" w:hanging="708"/>
      </w:pPr>
      <w:rPr>
        <w:rFonts w:hint="eastAsia" w:ascii="宋体" w:eastAsia="宋体"/>
        <w:b/>
        <w:i w:val="0"/>
        <w:sz w:val="24"/>
      </w:rPr>
    </w:lvl>
    <w:lvl w:ilvl="4" w:tentative="0">
      <w:start w:val="1"/>
      <w:numFmt w:val="decimal"/>
      <w:pStyle w:val="26"/>
      <w:lvlText w:val="%1.%2.%3.%4.%5"/>
      <w:lvlJc w:val="left"/>
      <w:pPr>
        <w:ind w:left="2551" w:hanging="850"/>
      </w:pPr>
      <w:rPr>
        <w:rFonts w:hint="default" w:ascii="宋体" w:eastAsia="宋体"/>
        <w:b/>
        <w:i w:val="0"/>
        <w:sz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attachedTemplate r:id="rId1"/>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20"/>
    <w:rsid w:val="00000F3C"/>
    <w:rsid w:val="0002352D"/>
    <w:rsid w:val="0002363B"/>
    <w:rsid w:val="00031633"/>
    <w:rsid w:val="00041FE6"/>
    <w:rsid w:val="00043D71"/>
    <w:rsid w:val="00045385"/>
    <w:rsid w:val="000463F9"/>
    <w:rsid w:val="00046998"/>
    <w:rsid w:val="00047B6C"/>
    <w:rsid w:val="000512F6"/>
    <w:rsid w:val="00053881"/>
    <w:rsid w:val="00054934"/>
    <w:rsid w:val="0005596B"/>
    <w:rsid w:val="000635A5"/>
    <w:rsid w:val="00070365"/>
    <w:rsid w:val="00072D45"/>
    <w:rsid w:val="00073200"/>
    <w:rsid w:val="000856E2"/>
    <w:rsid w:val="00086D01"/>
    <w:rsid w:val="000A0C26"/>
    <w:rsid w:val="000A1140"/>
    <w:rsid w:val="000A1564"/>
    <w:rsid w:val="000A26C9"/>
    <w:rsid w:val="000A586A"/>
    <w:rsid w:val="000A67CC"/>
    <w:rsid w:val="000A773E"/>
    <w:rsid w:val="000B2E09"/>
    <w:rsid w:val="000B588A"/>
    <w:rsid w:val="000E192A"/>
    <w:rsid w:val="000E3175"/>
    <w:rsid w:val="000F1D8B"/>
    <w:rsid w:val="000F5AE1"/>
    <w:rsid w:val="000F6404"/>
    <w:rsid w:val="000F7292"/>
    <w:rsid w:val="00112456"/>
    <w:rsid w:val="00130ECB"/>
    <w:rsid w:val="0013208E"/>
    <w:rsid w:val="00140B3E"/>
    <w:rsid w:val="00144C20"/>
    <w:rsid w:val="00144CB3"/>
    <w:rsid w:val="001459F7"/>
    <w:rsid w:val="00145C72"/>
    <w:rsid w:val="0015217F"/>
    <w:rsid w:val="00152675"/>
    <w:rsid w:val="0015524E"/>
    <w:rsid w:val="00156CCF"/>
    <w:rsid w:val="00166781"/>
    <w:rsid w:val="00171360"/>
    <w:rsid w:val="00185199"/>
    <w:rsid w:val="00190070"/>
    <w:rsid w:val="001902EB"/>
    <w:rsid w:val="0019138B"/>
    <w:rsid w:val="001A4BBD"/>
    <w:rsid w:val="001A5A24"/>
    <w:rsid w:val="001B3A2B"/>
    <w:rsid w:val="001B6150"/>
    <w:rsid w:val="001C1BD1"/>
    <w:rsid w:val="001C5099"/>
    <w:rsid w:val="001D20B3"/>
    <w:rsid w:val="001E1DF0"/>
    <w:rsid w:val="001F4743"/>
    <w:rsid w:val="00204545"/>
    <w:rsid w:val="00206085"/>
    <w:rsid w:val="002119BE"/>
    <w:rsid w:val="002123D8"/>
    <w:rsid w:val="00214082"/>
    <w:rsid w:val="00216102"/>
    <w:rsid w:val="00217857"/>
    <w:rsid w:val="00220B2D"/>
    <w:rsid w:val="00223D60"/>
    <w:rsid w:val="0023421D"/>
    <w:rsid w:val="00241E70"/>
    <w:rsid w:val="00251AE2"/>
    <w:rsid w:val="00255DFB"/>
    <w:rsid w:val="00260223"/>
    <w:rsid w:val="00265C27"/>
    <w:rsid w:val="002706EA"/>
    <w:rsid w:val="00280F1B"/>
    <w:rsid w:val="002856B6"/>
    <w:rsid w:val="00287F89"/>
    <w:rsid w:val="002924C5"/>
    <w:rsid w:val="002934E6"/>
    <w:rsid w:val="00294873"/>
    <w:rsid w:val="00294E06"/>
    <w:rsid w:val="002A1A69"/>
    <w:rsid w:val="002A2C82"/>
    <w:rsid w:val="002B5CD2"/>
    <w:rsid w:val="002B6772"/>
    <w:rsid w:val="002C2BA6"/>
    <w:rsid w:val="002C45E8"/>
    <w:rsid w:val="002D321B"/>
    <w:rsid w:val="002D50EB"/>
    <w:rsid w:val="002E2730"/>
    <w:rsid w:val="003039DF"/>
    <w:rsid w:val="00310687"/>
    <w:rsid w:val="00312C0E"/>
    <w:rsid w:val="003257A1"/>
    <w:rsid w:val="003261A5"/>
    <w:rsid w:val="00327E13"/>
    <w:rsid w:val="00342C77"/>
    <w:rsid w:val="00343521"/>
    <w:rsid w:val="0034643F"/>
    <w:rsid w:val="00350A3B"/>
    <w:rsid w:val="00350BDC"/>
    <w:rsid w:val="00354E7F"/>
    <w:rsid w:val="00366A6A"/>
    <w:rsid w:val="003717E4"/>
    <w:rsid w:val="0037724C"/>
    <w:rsid w:val="00386B95"/>
    <w:rsid w:val="00390C7E"/>
    <w:rsid w:val="00392658"/>
    <w:rsid w:val="00393ADB"/>
    <w:rsid w:val="00395D1B"/>
    <w:rsid w:val="003A2D1F"/>
    <w:rsid w:val="003A485E"/>
    <w:rsid w:val="003A5B73"/>
    <w:rsid w:val="003B017C"/>
    <w:rsid w:val="003B03A2"/>
    <w:rsid w:val="003B78D2"/>
    <w:rsid w:val="003C11D2"/>
    <w:rsid w:val="003C2AE6"/>
    <w:rsid w:val="003D1127"/>
    <w:rsid w:val="003D79EE"/>
    <w:rsid w:val="003E6093"/>
    <w:rsid w:val="003F4605"/>
    <w:rsid w:val="004004AC"/>
    <w:rsid w:val="004032B2"/>
    <w:rsid w:val="00414AB3"/>
    <w:rsid w:val="00415011"/>
    <w:rsid w:val="004243D4"/>
    <w:rsid w:val="00435EAC"/>
    <w:rsid w:val="00436F13"/>
    <w:rsid w:val="00440976"/>
    <w:rsid w:val="00442E62"/>
    <w:rsid w:val="00446667"/>
    <w:rsid w:val="004528E5"/>
    <w:rsid w:val="0045611E"/>
    <w:rsid w:val="00457530"/>
    <w:rsid w:val="00457A33"/>
    <w:rsid w:val="00457E7F"/>
    <w:rsid w:val="0046147E"/>
    <w:rsid w:val="004618AA"/>
    <w:rsid w:val="00464F6C"/>
    <w:rsid w:val="004678F7"/>
    <w:rsid w:val="00477E83"/>
    <w:rsid w:val="00481270"/>
    <w:rsid w:val="00487F56"/>
    <w:rsid w:val="004A0898"/>
    <w:rsid w:val="004A520B"/>
    <w:rsid w:val="004A73F6"/>
    <w:rsid w:val="004B1C08"/>
    <w:rsid w:val="004B2BF0"/>
    <w:rsid w:val="004B47AF"/>
    <w:rsid w:val="004B632C"/>
    <w:rsid w:val="004B6FB2"/>
    <w:rsid w:val="004C2B56"/>
    <w:rsid w:val="004C3C72"/>
    <w:rsid w:val="004C64CC"/>
    <w:rsid w:val="004C79E5"/>
    <w:rsid w:val="004D39BD"/>
    <w:rsid w:val="004D7920"/>
    <w:rsid w:val="004D7C87"/>
    <w:rsid w:val="004E070E"/>
    <w:rsid w:val="004E2A2D"/>
    <w:rsid w:val="004E7107"/>
    <w:rsid w:val="004F02E7"/>
    <w:rsid w:val="004F0782"/>
    <w:rsid w:val="004F177A"/>
    <w:rsid w:val="00501668"/>
    <w:rsid w:val="005075D8"/>
    <w:rsid w:val="0051578F"/>
    <w:rsid w:val="0053012F"/>
    <w:rsid w:val="0053083F"/>
    <w:rsid w:val="005362E4"/>
    <w:rsid w:val="00542832"/>
    <w:rsid w:val="00555A5D"/>
    <w:rsid w:val="00555B76"/>
    <w:rsid w:val="00556E31"/>
    <w:rsid w:val="00563CBB"/>
    <w:rsid w:val="00570296"/>
    <w:rsid w:val="005710AE"/>
    <w:rsid w:val="00571F80"/>
    <w:rsid w:val="00572BE5"/>
    <w:rsid w:val="005741AB"/>
    <w:rsid w:val="00581FF7"/>
    <w:rsid w:val="005833C2"/>
    <w:rsid w:val="00583891"/>
    <w:rsid w:val="005849C9"/>
    <w:rsid w:val="00595F2C"/>
    <w:rsid w:val="0059653C"/>
    <w:rsid w:val="005B01CC"/>
    <w:rsid w:val="005B0E9A"/>
    <w:rsid w:val="005B2AAE"/>
    <w:rsid w:val="005B4EE1"/>
    <w:rsid w:val="005B5C9A"/>
    <w:rsid w:val="005C2512"/>
    <w:rsid w:val="005C5766"/>
    <w:rsid w:val="005C6D9C"/>
    <w:rsid w:val="005D365A"/>
    <w:rsid w:val="005D3706"/>
    <w:rsid w:val="005E1323"/>
    <w:rsid w:val="005E21BC"/>
    <w:rsid w:val="005E3002"/>
    <w:rsid w:val="005E7421"/>
    <w:rsid w:val="005F0EE1"/>
    <w:rsid w:val="005F22B7"/>
    <w:rsid w:val="005F60F3"/>
    <w:rsid w:val="005F7E68"/>
    <w:rsid w:val="00610794"/>
    <w:rsid w:val="0062347C"/>
    <w:rsid w:val="006337C5"/>
    <w:rsid w:val="006346BB"/>
    <w:rsid w:val="00637E2A"/>
    <w:rsid w:val="00647DCD"/>
    <w:rsid w:val="00650026"/>
    <w:rsid w:val="00651C1F"/>
    <w:rsid w:val="0065736A"/>
    <w:rsid w:val="006614B6"/>
    <w:rsid w:val="00662439"/>
    <w:rsid w:val="006634FF"/>
    <w:rsid w:val="00663F7A"/>
    <w:rsid w:val="006659A7"/>
    <w:rsid w:val="006670E4"/>
    <w:rsid w:val="00672019"/>
    <w:rsid w:val="00672606"/>
    <w:rsid w:val="00675BDB"/>
    <w:rsid w:val="00676F15"/>
    <w:rsid w:val="00677BD0"/>
    <w:rsid w:val="00683517"/>
    <w:rsid w:val="006923C3"/>
    <w:rsid w:val="00692C3E"/>
    <w:rsid w:val="006951A0"/>
    <w:rsid w:val="00696813"/>
    <w:rsid w:val="006A03F6"/>
    <w:rsid w:val="006A211A"/>
    <w:rsid w:val="006A486B"/>
    <w:rsid w:val="006A4AC0"/>
    <w:rsid w:val="006A525C"/>
    <w:rsid w:val="006A6F1B"/>
    <w:rsid w:val="006B0110"/>
    <w:rsid w:val="006B27AB"/>
    <w:rsid w:val="006B3366"/>
    <w:rsid w:val="006B47E2"/>
    <w:rsid w:val="006C0AC4"/>
    <w:rsid w:val="006C6FEB"/>
    <w:rsid w:val="006D07A1"/>
    <w:rsid w:val="006D0B33"/>
    <w:rsid w:val="006D11EE"/>
    <w:rsid w:val="006D3FC4"/>
    <w:rsid w:val="006D40AC"/>
    <w:rsid w:val="006D5513"/>
    <w:rsid w:val="006D77CE"/>
    <w:rsid w:val="006E1813"/>
    <w:rsid w:val="006E5D7D"/>
    <w:rsid w:val="006F2C3F"/>
    <w:rsid w:val="00707F80"/>
    <w:rsid w:val="00711347"/>
    <w:rsid w:val="007139C3"/>
    <w:rsid w:val="007154BB"/>
    <w:rsid w:val="00725809"/>
    <w:rsid w:val="0072613D"/>
    <w:rsid w:val="00732A58"/>
    <w:rsid w:val="00733496"/>
    <w:rsid w:val="00734F7B"/>
    <w:rsid w:val="007357CA"/>
    <w:rsid w:val="00740446"/>
    <w:rsid w:val="00744CEF"/>
    <w:rsid w:val="00745A01"/>
    <w:rsid w:val="00747704"/>
    <w:rsid w:val="00754C25"/>
    <w:rsid w:val="0075556C"/>
    <w:rsid w:val="0075557C"/>
    <w:rsid w:val="00756CEB"/>
    <w:rsid w:val="00756D9A"/>
    <w:rsid w:val="00760B2D"/>
    <w:rsid w:val="00762763"/>
    <w:rsid w:val="00772DAF"/>
    <w:rsid w:val="00777AA0"/>
    <w:rsid w:val="00783068"/>
    <w:rsid w:val="0078414F"/>
    <w:rsid w:val="007843E2"/>
    <w:rsid w:val="00792E7D"/>
    <w:rsid w:val="007943D1"/>
    <w:rsid w:val="00795D4C"/>
    <w:rsid w:val="0079635F"/>
    <w:rsid w:val="007B06F5"/>
    <w:rsid w:val="007B1061"/>
    <w:rsid w:val="007B1201"/>
    <w:rsid w:val="007B6880"/>
    <w:rsid w:val="007B71E1"/>
    <w:rsid w:val="007B7B88"/>
    <w:rsid w:val="007C354B"/>
    <w:rsid w:val="007C3616"/>
    <w:rsid w:val="007D0576"/>
    <w:rsid w:val="007D344B"/>
    <w:rsid w:val="007D659A"/>
    <w:rsid w:val="007E5569"/>
    <w:rsid w:val="007E6487"/>
    <w:rsid w:val="007F0FCF"/>
    <w:rsid w:val="007F36C2"/>
    <w:rsid w:val="007F4E13"/>
    <w:rsid w:val="00800608"/>
    <w:rsid w:val="00804BCA"/>
    <w:rsid w:val="00806E65"/>
    <w:rsid w:val="00810359"/>
    <w:rsid w:val="00810BA8"/>
    <w:rsid w:val="008151AD"/>
    <w:rsid w:val="00817BC3"/>
    <w:rsid w:val="00824B45"/>
    <w:rsid w:val="00827A6B"/>
    <w:rsid w:val="008312D3"/>
    <w:rsid w:val="00832662"/>
    <w:rsid w:val="00843B93"/>
    <w:rsid w:val="00844956"/>
    <w:rsid w:val="008451B4"/>
    <w:rsid w:val="008507F4"/>
    <w:rsid w:val="00853630"/>
    <w:rsid w:val="00857696"/>
    <w:rsid w:val="008635AB"/>
    <w:rsid w:val="00866B9E"/>
    <w:rsid w:val="00867B93"/>
    <w:rsid w:val="008707AD"/>
    <w:rsid w:val="00872B23"/>
    <w:rsid w:val="008732FB"/>
    <w:rsid w:val="00874AFF"/>
    <w:rsid w:val="00875F88"/>
    <w:rsid w:val="00876A0B"/>
    <w:rsid w:val="00877EF8"/>
    <w:rsid w:val="00883351"/>
    <w:rsid w:val="00887D06"/>
    <w:rsid w:val="00893375"/>
    <w:rsid w:val="008A075F"/>
    <w:rsid w:val="008A1BEA"/>
    <w:rsid w:val="008A286B"/>
    <w:rsid w:val="008A3AFC"/>
    <w:rsid w:val="008A3CD5"/>
    <w:rsid w:val="008B220F"/>
    <w:rsid w:val="008B7920"/>
    <w:rsid w:val="008C4498"/>
    <w:rsid w:val="008C5511"/>
    <w:rsid w:val="008C616C"/>
    <w:rsid w:val="008D036B"/>
    <w:rsid w:val="008D65DE"/>
    <w:rsid w:val="008E22CD"/>
    <w:rsid w:val="008E37A2"/>
    <w:rsid w:val="008E6576"/>
    <w:rsid w:val="008F6E81"/>
    <w:rsid w:val="008F7315"/>
    <w:rsid w:val="008F78EA"/>
    <w:rsid w:val="00902CE2"/>
    <w:rsid w:val="009121FC"/>
    <w:rsid w:val="00916CDF"/>
    <w:rsid w:val="00920036"/>
    <w:rsid w:val="00925FD5"/>
    <w:rsid w:val="0093466B"/>
    <w:rsid w:val="0094475D"/>
    <w:rsid w:val="00955E77"/>
    <w:rsid w:val="00960567"/>
    <w:rsid w:val="00961BC0"/>
    <w:rsid w:val="00965CC5"/>
    <w:rsid w:val="00967886"/>
    <w:rsid w:val="00967DFD"/>
    <w:rsid w:val="00971099"/>
    <w:rsid w:val="00985839"/>
    <w:rsid w:val="00991226"/>
    <w:rsid w:val="00992451"/>
    <w:rsid w:val="009924C5"/>
    <w:rsid w:val="00993730"/>
    <w:rsid w:val="00996E53"/>
    <w:rsid w:val="009A4B71"/>
    <w:rsid w:val="009A5212"/>
    <w:rsid w:val="009B090B"/>
    <w:rsid w:val="009B1814"/>
    <w:rsid w:val="009B4A8F"/>
    <w:rsid w:val="009B60D2"/>
    <w:rsid w:val="009B779C"/>
    <w:rsid w:val="009C7BEC"/>
    <w:rsid w:val="009D250B"/>
    <w:rsid w:val="009D27E6"/>
    <w:rsid w:val="009E020B"/>
    <w:rsid w:val="009F76B6"/>
    <w:rsid w:val="00A01B6C"/>
    <w:rsid w:val="00A04C49"/>
    <w:rsid w:val="00A1465D"/>
    <w:rsid w:val="00A1481D"/>
    <w:rsid w:val="00A14CAA"/>
    <w:rsid w:val="00A20F81"/>
    <w:rsid w:val="00A255DC"/>
    <w:rsid w:val="00A26EBA"/>
    <w:rsid w:val="00A26F04"/>
    <w:rsid w:val="00A37658"/>
    <w:rsid w:val="00A42681"/>
    <w:rsid w:val="00A44C20"/>
    <w:rsid w:val="00A51B14"/>
    <w:rsid w:val="00A51C68"/>
    <w:rsid w:val="00A6229E"/>
    <w:rsid w:val="00A64677"/>
    <w:rsid w:val="00A64C7B"/>
    <w:rsid w:val="00A651ED"/>
    <w:rsid w:val="00A72B93"/>
    <w:rsid w:val="00A776B3"/>
    <w:rsid w:val="00A8084C"/>
    <w:rsid w:val="00A83507"/>
    <w:rsid w:val="00A83C4A"/>
    <w:rsid w:val="00A8458D"/>
    <w:rsid w:val="00A90F50"/>
    <w:rsid w:val="00A950DF"/>
    <w:rsid w:val="00AB12AF"/>
    <w:rsid w:val="00AB3184"/>
    <w:rsid w:val="00AB645D"/>
    <w:rsid w:val="00AB7FC7"/>
    <w:rsid w:val="00AC2C4B"/>
    <w:rsid w:val="00AC49A4"/>
    <w:rsid w:val="00AC4E13"/>
    <w:rsid w:val="00AC5D2C"/>
    <w:rsid w:val="00AC6E18"/>
    <w:rsid w:val="00AD0F75"/>
    <w:rsid w:val="00AD20A3"/>
    <w:rsid w:val="00AD7832"/>
    <w:rsid w:val="00AE0E2A"/>
    <w:rsid w:val="00AE273D"/>
    <w:rsid w:val="00AE7687"/>
    <w:rsid w:val="00AF3373"/>
    <w:rsid w:val="00AF5492"/>
    <w:rsid w:val="00AF5EDD"/>
    <w:rsid w:val="00AF7072"/>
    <w:rsid w:val="00B00E5A"/>
    <w:rsid w:val="00B06E86"/>
    <w:rsid w:val="00B07ED4"/>
    <w:rsid w:val="00B14EEE"/>
    <w:rsid w:val="00B22F73"/>
    <w:rsid w:val="00B23ED8"/>
    <w:rsid w:val="00B308BD"/>
    <w:rsid w:val="00B32499"/>
    <w:rsid w:val="00B325B4"/>
    <w:rsid w:val="00B35290"/>
    <w:rsid w:val="00B37745"/>
    <w:rsid w:val="00B536EB"/>
    <w:rsid w:val="00B56880"/>
    <w:rsid w:val="00B6360E"/>
    <w:rsid w:val="00B703F6"/>
    <w:rsid w:val="00B7231D"/>
    <w:rsid w:val="00B72E50"/>
    <w:rsid w:val="00B778FC"/>
    <w:rsid w:val="00B933FF"/>
    <w:rsid w:val="00B9381F"/>
    <w:rsid w:val="00B93FCB"/>
    <w:rsid w:val="00B96321"/>
    <w:rsid w:val="00B97A71"/>
    <w:rsid w:val="00BA1DD9"/>
    <w:rsid w:val="00BA20D7"/>
    <w:rsid w:val="00BA24C7"/>
    <w:rsid w:val="00BA2DD9"/>
    <w:rsid w:val="00BA52B3"/>
    <w:rsid w:val="00BA5618"/>
    <w:rsid w:val="00BA7A1F"/>
    <w:rsid w:val="00BB0559"/>
    <w:rsid w:val="00BB27AD"/>
    <w:rsid w:val="00BB4C9C"/>
    <w:rsid w:val="00BC288C"/>
    <w:rsid w:val="00BC3F0F"/>
    <w:rsid w:val="00BC65EB"/>
    <w:rsid w:val="00BD14DD"/>
    <w:rsid w:val="00BD2E8A"/>
    <w:rsid w:val="00BD3DCE"/>
    <w:rsid w:val="00BD7893"/>
    <w:rsid w:val="00BE13EA"/>
    <w:rsid w:val="00BE374C"/>
    <w:rsid w:val="00BE421B"/>
    <w:rsid w:val="00BF45FD"/>
    <w:rsid w:val="00BF4875"/>
    <w:rsid w:val="00BF57F3"/>
    <w:rsid w:val="00C025FF"/>
    <w:rsid w:val="00C03142"/>
    <w:rsid w:val="00C031F0"/>
    <w:rsid w:val="00C10647"/>
    <w:rsid w:val="00C13011"/>
    <w:rsid w:val="00C14AC0"/>
    <w:rsid w:val="00C15291"/>
    <w:rsid w:val="00C20B21"/>
    <w:rsid w:val="00C23A54"/>
    <w:rsid w:val="00C24C64"/>
    <w:rsid w:val="00C31492"/>
    <w:rsid w:val="00C47075"/>
    <w:rsid w:val="00C53CD6"/>
    <w:rsid w:val="00C5528D"/>
    <w:rsid w:val="00C55E90"/>
    <w:rsid w:val="00C57242"/>
    <w:rsid w:val="00C65D85"/>
    <w:rsid w:val="00C72F16"/>
    <w:rsid w:val="00C75A06"/>
    <w:rsid w:val="00C827DB"/>
    <w:rsid w:val="00C86EF9"/>
    <w:rsid w:val="00CA30C2"/>
    <w:rsid w:val="00CA556F"/>
    <w:rsid w:val="00CA5EE2"/>
    <w:rsid w:val="00CA6009"/>
    <w:rsid w:val="00CB0AA9"/>
    <w:rsid w:val="00CB5120"/>
    <w:rsid w:val="00CC40BA"/>
    <w:rsid w:val="00CC49C6"/>
    <w:rsid w:val="00CD5EA7"/>
    <w:rsid w:val="00CE0982"/>
    <w:rsid w:val="00CE1AAA"/>
    <w:rsid w:val="00CE64EA"/>
    <w:rsid w:val="00CF630E"/>
    <w:rsid w:val="00D010EB"/>
    <w:rsid w:val="00D029B4"/>
    <w:rsid w:val="00D11E39"/>
    <w:rsid w:val="00D24343"/>
    <w:rsid w:val="00D313A8"/>
    <w:rsid w:val="00D3144A"/>
    <w:rsid w:val="00D31869"/>
    <w:rsid w:val="00D3193B"/>
    <w:rsid w:val="00D44F1E"/>
    <w:rsid w:val="00D46502"/>
    <w:rsid w:val="00D46F44"/>
    <w:rsid w:val="00D47FA1"/>
    <w:rsid w:val="00D50652"/>
    <w:rsid w:val="00D55337"/>
    <w:rsid w:val="00D642ED"/>
    <w:rsid w:val="00D6470B"/>
    <w:rsid w:val="00D72C73"/>
    <w:rsid w:val="00D764BF"/>
    <w:rsid w:val="00D7680D"/>
    <w:rsid w:val="00D84017"/>
    <w:rsid w:val="00D866DB"/>
    <w:rsid w:val="00D908FF"/>
    <w:rsid w:val="00D96149"/>
    <w:rsid w:val="00DA3362"/>
    <w:rsid w:val="00DA342E"/>
    <w:rsid w:val="00DA496E"/>
    <w:rsid w:val="00DB4FFC"/>
    <w:rsid w:val="00DC1940"/>
    <w:rsid w:val="00DC42A4"/>
    <w:rsid w:val="00DC4633"/>
    <w:rsid w:val="00DC6512"/>
    <w:rsid w:val="00DD12FF"/>
    <w:rsid w:val="00DD3C38"/>
    <w:rsid w:val="00DD5080"/>
    <w:rsid w:val="00DE0B8A"/>
    <w:rsid w:val="00DE17A3"/>
    <w:rsid w:val="00DE558F"/>
    <w:rsid w:val="00DE70F4"/>
    <w:rsid w:val="00DF1374"/>
    <w:rsid w:val="00DF24B5"/>
    <w:rsid w:val="00DF5192"/>
    <w:rsid w:val="00E014AE"/>
    <w:rsid w:val="00E10DA5"/>
    <w:rsid w:val="00E113A3"/>
    <w:rsid w:val="00E15465"/>
    <w:rsid w:val="00E20536"/>
    <w:rsid w:val="00E20F50"/>
    <w:rsid w:val="00E21755"/>
    <w:rsid w:val="00E25727"/>
    <w:rsid w:val="00E27DF8"/>
    <w:rsid w:val="00E332ED"/>
    <w:rsid w:val="00E35C01"/>
    <w:rsid w:val="00E36517"/>
    <w:rsid w:val="00E44F60"/>
    <w:rsid w:val="00E518A2"/>
    <w:rsid w:val="00E51A79"/>
    <w:rsid w:val="00E54F4F"/>
    <w:rsid w:val="00E6082E"/>
    <w:rsid w:val="00E610FE"/>
    <w:rsid w:val="00E62011"/>
    <w:rsid w:val="00E746BC"/>
    <w:rsid w:val="00E76E3A"/>
    <w:rsid w:val="00E86E74"/>
    <w:rsid w:val="00EA2234"/>
    <w:rsid w:val="00EB20A9"/>
    <w:rsid w:val="00EB2CE1"/>
    <w:rsid w:val="00EB302B"/>
    <w:rsid w:val="00EB34E9"/>
    <w:rsid w:val="00EC75DE"/>
    <w:rsid w:val="00ED7A32"/>
    <w:rsid w:val="00EE1F88"/>
    <w:rsid w:val="00EE2487"/>
    <w:rsid w:val="00EE479B"/>
    <w:rsid w:val="00F052D1"/>
    <w:rsid w:val="00F05E9A"/>
    <w:rsid w:val="00F13F4A"/>
    <w:rsid w:val="00F15421"/>
    <w:rsid w:val="00F17D01"/>
    <w:rsid w:val="00F26CE1"/>
    <w:rsid w:val="00F304D2"/>
    <w:rsid w:val="00F35E75"/>
    <w:rsid w:val="00F36BA7"/>
    <w:rsid w:val="00F423CB"/>
    <w:rsid w:val="00F44E6C"/>
    <w:rsid w:val="00F53A01"/>
    <w:rsid w:val="00F53B46"/>
    <w:rsid w:val="00F55C29"/>
    <w:rsid w:val="00F55DBC"/>
    <w:rsid w:val="00F55F84"/>
    <w:rsid w:val="00F56E85"/>
    <w:rsid w:val="00F60ECB"/>
    <w:rsid w:val="00F66811"/>
    <w:rsid w:val="00F74215"/>
    <w:rsid w:val="00F75E17"/>
    <w:rsid w:val="00F80318"/>
    <w:rsid w:val="00F82FB5"/>
    <w:rsid w:val="00F862E4"/>
    <w:rsid w:val="00F87888"/>
    <w:rsid w:val="00F87C63"/>
    <w:rsid w:val="00F90CB7"/>
    <w:rsid w:val="00F94E8A"/>
    <w:rsid w:val="00F9568C"/>
    <w:rsid w:val="00F9667F"/>
    <w:rsid w:val="00FA0006"/>
    <w:rsid w:val="00FA4CF0"/>
    <w:rsid w:val="00FA60C5"/>
    <w:rsid w:val="00FB029E"/>
    <w:rsid w:val="00FB106E"/>
    <w:rsid w:val="00FB5505"/>
    <w:rsid w:val="00FB74E1"/>
    <w:rsid w:val="00FC3541"/>
    <w:rsid w:val="00FC625A"/>
    <w:rsid w:val="00FD1A4E"/>
    <w:rsid w:val="00FD396D"/>
    <w:rsid w:val="00FD3A7F"/>
    <w:rsid w:val="00FD55B2"/>
    <w:rsid w:val="00FE028B"/>
    <w:rsid w:val="00FE1368"/>
    <w:rsid w:val="00FE1F75"/>
    <w:rsid w:val="00FE2A80"/>
    <w:rsid w:val="00FF0CF7"/>
    <w:rsid w:val="02636D94"/>
    <w:rsid w:val="02FC43B0"/>
    <w:rsid w:val="05264BD8"/>
    <w:rsid w:val="05A914E8"/>
    <w:rsid w:val="064267E4"/>
    <w:rsid w:val="09211A5E"/>
    <w:rsid w:val="0A905B8B"/>
    <w:rsid w:val="0AD2011B"/>
    <w:rsid w:val="106A74E1"/>
    <w:rsid w:val="111D1FA3"/>
    <w:rsid w:val="11724B89"/>
    <w:rsid w:val="13106765"/>
    <w:rsid w:val="136E6C9D"/>
    <w:rsid w:val="13E67DC4"/>
    <w:rsid w:val="14B238EB"/>
    <w:rsid w:val="15DE1BCF"/>
    <w:rsid w:val="171B0BAC"/>
    <w:rsid w:val="1A3A60E5"/>
    <w:rsid w:val="1A832D4A"/>
    <w:rsid w:val="1E4C515E"/>
    <w:rsid w:val="1FF15CF1"/>
    <w:rsid w:val="21C65FA0"/>
    <w:rsid w:val="229A1A11"/>
    <w:rsid w:val="23000649"/>
    <w:rsid w:val="242C408E"/>
    <w:rsid w:val="27DF5C97"/>
    <w:rsid w:val="28F545F3"/>
    <w:rsid w:val="2B5334A0"/>
    <w:rsid w:val="2BE649FF"/>
    <w:rsid w:val="2C1F4677"/>
    <w:rsid w:val="2EC772D6"/>
    <w:rsid w:val="3567030A"/>
    <w:rsid w:val="3B6B5194"/>
    <w:rsid w:val="3B7B7A83"/>
    <w:rsid w:val="3C2F6FA8"/>
    <w:rsid w:val="3C406533"/>
    <w:rsid w:val="3D096950"/>
    <w:rsid w:val="3D396654"/>
    <w:rsid w:val="3E0F47E4"/>
    <w:rsid w:val="3FC178AE"/>
    <w:rsid w:val="40CE50FA"/>
    <w:rsid w:val="41343B9F"/>
    <w:rsid w:val="41AE7A68"/>
    <w:rsid w:val="43C020A0"/>
    <w:rsid w:val="44F333F6"/>
    <w:rsid w:val="49C51F52"/>
    <w:rsid w:val="4A8560EF"/>
    <w:rsid w:val="4BB104A3"/>
    <w:rsid w:val="4BC373AF"/>
    <w:rsid w:val="4C997A04"/>
    <w:rsid w:val="4CBB2A7B"/>
    <w:rsid w:val="51F2729A"/>
    <w:rsid w:val="53723652"/>
    <w:rsid w:val="54163A3B"/>
    <w:rsid w:val="5ABB27D4"/>
    <w:rsid w:val="5DD3106D"/>
    <w:rsid w:val="5F7A580F"/>
    <w:rsid w:val="60CB000A"/>
    <w:rsid w:val="617E59BB"/>
    <w:rsid w:val="64291F9D"/>
    <w:rsid w:val="65691D4C"/>
    <w:rsid w:val="68247BB0"/>
    <w:rsid w:val="69175A4A"/>
    <w:rsid w:val="693F0182"/>
    <w:rsid w:val="69B67D34"/>
    <w:rsid w:val="6B5344F0"/>
    <w:rsid w:val="75AE3E5E"/>
    <w:rsid w:val="75C33CDD"/>
    <w:rsid w:val="76106F8E"/>
    <w:rsid w:val="774C0EDB"/>
    <w:rsid w:val="77A5207E"/>
    <w:rsid w:val="793A005C"/>
    <w:rsid w:val="7AD618EF"/>
    <w:rsid w:val="7C372B45"/>
    <w:rsid w:val="7D267936"/>
    <w:rsid w:val="7D661DDA"/>
    <w:rsid w:val="7E8671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jc w:val="both"/>
    </w:pPr>
    <w:rPr>
      <w:rFonts w:asciiTheme="minorEastAsia" w:hAnsiTheme="minorHAnsi" w:eastAsiaTheme="minorEastAsia" w:cstheme="minorBidi"/>
      <w:kern w:val="2"/>
      <w:sz w:val="24"/>
      <w:szCs w:val="21"/>
      <w:lang w:val="en-US" w:eastAsia="zh-CN" w:bidi="ar-SA"/>
    </w:rPr>
  </w:style>
  <w:style w:type="paragraph" w:styleId="2">
    <w:name w:val="heading 1"/>
    <w:basedOn w:val="1"/>
    <w:next w:val="1"/>
    <w:link w:val="35"/>
    <w:qFormat/>
    <w:uiPriority w:val="9"/>
    <w:pPr>
      <w:keepNext/>
      <w:keepLines/>
      <w:spacing w:line="360" w:lineRule="auto"/>
      <w:ind w:left="1325" w:hanging="1325"/>
      <w:jc w:val="center"/>
      <w:outlineLvl w:val="0"/>
    </w:pPr>
    <w:rPr>
      <w:rFonts w:hAnsi="Calibri" w:cs="Times New Roman"/>
      <w:b/>
      <w:bCs/>
      <w:kern w:val="44"/>
      <w:sz w:val="44"/>
      <w:szCs w:val="44"/>
    </w:rPr>
  </w:style>
  <w:style w:type="paragraph" w:styleId="3">
    <w:name w:val="heading 2"/>
    <w:basedOn w:val="1"/>
    <w:next w:val="1"/>
    <w:link w:val="32"/>
    <w:unhideWhenUsed/>
    <w:qFormat/>
    <w:uiPriority w:val="9"/>
    <w:pPr>
      <w:keepNext/>
      <w:keepLines/>
      <w:spacing w:line="360" w:lineRule="auto"/>
      <w:ind w:left="964" w:hanging="964"/>
      <w:jc w:val="center"/>
      <w:outlineLvl w:val="1"/>
    </w:pPr>
    <w:rPr>
      <w:rFonts w:hAnsi="Cambria" w:cs="Times New Roman"/>
      <w:b/>
      <w:bCs/>
      <w:kern w:val="0"/>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1"/>
    <w:semiHidden/>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18">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63"/>
    <w:semiHidden/>
    <w:unhideWhenUsed/>
    <w:qFormat/>
    <w:uiPriority w:val="99"/>
    <w:rPr>
      <w:b/>
      <w:bCs/>
    </w:rPr>
  </w:style>
  <w:style w:type="paragraph" w:styleId="9">
    <w:name w:val="annotation text"/>
    <w:basedOn w:val="1"/>
    <w:link w:val="61"/>
    <w:semiHidden/>
    <w:unhideWhenUsed/>
    <w:qFormat/>
    <w:uiPriority w:val="99"/>
    <w:pPr>
      <w:jc w:val="left"/>
    </w:pPr>
  </w:style>
  <w:style w:type="paragraph" w:styleId="10">
    <w:name w:val="toc 3"/>
    <w:basedOn w:val="1"/>
    <w:next w:val="1"/>
    <w:unhideWhenUsed/>
    <w:qFormat/>
    <w:uiPriority w:val="39"/>
    <w:pPr>
      <w:ind w:left="840" w:leftChars="400"/>
    </w:pPr>
  </w:style>
  <w:style w:type="paragraph" w:styleId="11">
    <w:name w:val="Balloon Text"/>
    <w:basedOn w:val="1"/>
    <w:link w:val="62"/>
    <w:semiHidden/>
    <w:unhideWhenUsed/>
    <w:qFormat/>
    <w:uiPriority w:val="99"/>
    <w:pPr>
      <w:spacing w:line="240" w:lineRule="auto"/>
    </w:pPr>
    <w:rPr>
      <w:sz w:val="18"/>
      <w:szCs w:val="18"/>
    </w:rPr>
  </w:style>
  <w:style w:type="paragraph" w:styleId="12">
    <w:name w:val="footer"/>
    <w:basedOn w:val="1"/>
    <w:link w:val="40"/>
    <w:unhideWhenUsed/>
    <w:qFormat/>
    <w:uiPriority w:val="99"/>
    <w:pPr>
      <w:tabs>
        <w:tab w:val="center" w:pos="4153"/>
        <w:tab w:val="right" w:pos="8306"/>
      </w:tabs>
      <w:spacing w:line="240" w:lineRule="auto"/>
      <w:jc w:val="left"/>
    </w:pPr>
    <w:rPr>
      <w:sz w:val="18"/>
      <w:szCs w:val="18"/>
    </w:rPr>
  </w:style>
  <w:style w:type="paragraph" w:styleId="13">
    <w:name w:val="header"/>
    <w:basedOn w:val="1"/>
    <w:link w:val="39"/>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4">
    <w:name w:val="toc 1"/>
    <w:basedOn w:val="1"/>
    <w:next w:val="1"/>
    <w:unhideWhenUsed/>
    <w:qFormat/>
    <w:uiPriority w:val="39"/>
  </w:style>
  <w:style w:type="paragraph" w:styleId="15">
    <w:name w:val="Subtitle"/>
    <w:basedOn w:val="1"/>
    <w:next w:val="1"/>
    <w:link w:val="5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6">
    <w:name w:val="toc 2"/>
    <w:basedOn w:val="1"/>
    <w:next w:val="1"/>
    <w:unhideWhenUsed/>
    <w:qFormat/>
    <w:uiPriority w:val="39"/>
    <w:pPr>
      <w:ind w:left="420" w:leftChars="200"/>
    </w:pPr>
  </w:style>
  <w:style w:type="paragraph" w:styleId="17">
    <w:name w:val="Title"/>
    <w:basedOn w:val="1"/>
    <w:next w:val="1"/>
    <w:link w:val="50"/>
    <w:qFormat/>
    <w:uiPriority w:val="10"/>
    <w:pPr>
      <w:spacing w:before="240" w:after="60"/>
      <w:jc w:val="center"/>
      <w:outlineLvl w:val="0"/>
    </w:pPr>
    <w:rPr>
      <w:rFonts w:asciiTheme="majorHAnsi" w:hAnsiTheme="majorHAnsi" w:cstheme="majorBidi"/>
      <w:b/>
      <w:bCs/>
      <w:sz w:val="32"/>
      <w:szCs w:val="32"/>
    </w:rPr>
  </w:style>
  <w:style w:type="character" w:styleId="19">
    <w:name w:val="Strong"/>
    <w:basedOn w:val="18"/>
    <w:qFormat/>
    <w:uiPriority w:val="22"/>
    <w:rPr>
      <w:b/>
      <w:bCs/>
    </w:rPr>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Emphasis"/>
    <w:basedOn w:val="18"/>
    <w:qFormat/>
    <w:uiPriority w:val="20"/>
    <w:rPr>
      <w:i/>
      <w:iCs/>
    </w:rPr>
  </w:style>
  <w:style w:type="character" w:styleId="22">
    <w:name w:val="Hyperlink"/>
    <w:basedOn w:val="18"/>
    <w:unhideWhenUsed/>
    <w:qFormat/>
    <w:uiPriority w:val="99"/>
    <w:rPr>
      <w:color w:val="0000FF" w:themeColor="hyperlink"/>
      <w:u w:val="single"/>
      <w14:textFill>
        <w14:solidFill>
          <w14:schemeClr w14:val="hlink"/>
        </w14:solidFill>
      </w14:textFill>
    </w:rPr>
  </w:style>
  <w:style w:type="character" w:styleId="23">
    <w:name w:val="annotation reference"/>
    <w:basedOn w:val="18"/>
    <w:semiHidden/>
    <w:unhideWhenUsed/>
    <w:qFormat/>
    <w:uiPriority w:val="99"/>
    <w:rPr>
      <w:sz w:val="21"/>
      <w:szCs w:val="21"/>
    </w:rPr>
  </w:style>
  <w:style w:type="paragraph" w:customStyle="1" w:styleId="25">
    <w:name w:val="标题3-技术需求"/>
    <w:basedOn w:val="4"/>
    <w:qFormat/>
    <w:uiPriority w:val="0"/>
    <w:pPr>
      <w:numPr>
        <w:ilvl w:val="1"/>
        <w:numId w:val="1"/>
      </w:numPr>
      <w:spacing w:before="0" w:after="0" w:line="360" w:lineRule="auto"/>
    </w:pPr>
    <w:rPr>
      <w:rFonts w:hAnsi="宋体" w:cs="宋体"/>
      <w:kern w:val="0"/>
      <w:sz w:val="24"/>
      <w:szCs w:val="24"/>
    </w:rPr>
  </w:style>
  <w:style w:type="paragraph" w:customStyle="1" w:styleId="26">
    <w:name w:val="标题6-技术需求"/>
    <w:basedOn w:val="7"/>
    <w:qFormat/>
    <w:uiPriority w:val="0"/>
    <w:pPr>
      <w:numPr>
        <w:ilvl w:val="4"/>
        <w:numId w:val="1"/>
      </w:numPr>
      <w:spacing w:before="0" w:after="0" w:line="360" w:lineRule="auto"/>
    </w:pPr>
    <w:rPr>
      <w:rFonts w:ascii="Cambria" w:hAnsi="Cambria" w:eastAsia="宋体" w:cs="Times New Roman"/>
    </w:rPr>
  </w:style>
  <w:style w:type="paragraph" w:customStyle="1" w:styleId="27">
    <w:name w:val="标题2-技术需求"/>
    <w:basedOn w:val="3"/>
    <w:qFormat/>
    <w:uiPriority w:val="0"/>
    <w:pPr>
      <w:numPr>
        <w:ilvl w:val="0"/>
        <w:numId w:val="1"/>
      </w:numPr>
    </w:pPr>
    <w:rPr>
      <w:rFonts w:hAnsi="宋体" w:cs="宋体"/>
    </w:rPr>
  </w:style>
  <w:style w:type="paragraph" w:customStyle="1" w:styleId="28">
    <w:name w:val="标题5-技术需求"/>
    <w:basedOn w:val="6"/>
    <w:qFormat/>
    <w:uiPriority w:val="0"/>
    <w:pPr>
      <w:numPr>
        <w:ilvl w:val="3"/>
        <w:numId w:val="1"/>
      </w:numPr>
      <w:spacing w:before="0" w:after="0" w:line="360" w:lineRule="auto"/>
    </w:pPr>
    <w:rPr>
      <w:rFonts w:hAnsi="Calibri" w:cs="Times New Roman"/>
      <w:sz w:val="24"/>
    </w:rPr>
  </w:style>
  <w:style w:type="paragraph" w:customStyle="1" w:styleId="29">
    <w:name w:val="标题4-技术需求"/>
    <w:basedOn w:val="5"/>
    <w:qFormat/>
    <w:uiPriority w:val="0"/>
    <w:pPr>
      <w:numPr>
        <w:ilvl w:val="2"/>
        <w:numId w:val="1"/>
      </w:numPr>
      <w:spacing w:before="0" w:after="0" w:line="360" w:lineRule="auto"/>
    </w:pPr>
    <w:rPr>
      <w:rFonts w:ascii="宋体" w:hAnsi="宋体" w:eastAsia="宋体" w:cs="宋体"/>
      <w:sz w:val="24"/>
      <w:szCs w:val="24"/>
    </w:rPr>
  </w:style>
  <w:style w:type="character" w:customStyle="1" w:styleId="30">
    <w:name w:val="标题 3 字符"/>
    <w:basedOn w:val="18"/>
    <w:link w:val="4"/>
    <w:qFormat/>
    <w:uiPriority w:val="9"/>
    <w:rPr>
      <w:b/>
      <w:bCs/>
      <w:sz w:val="32"/>
      <w:szCs w:val="32"/>
    </w:rPr>
  </w:style>
  <w:style w:type="character" w:customStyle="1" w:styleId="31">
    <w:name w:val="标题 6 字符"/>
    <w:basedOn w:val="18"/>
    <w:link w:val="7"/>
    <w:semiHidden/>
    <w:qFormat/>
    <w:uiPriority w:val="9"/>
    <w:rPr>
      <w:rFonts w:asciiTheme="majorHAnsi" w:hAnsiTheme="majorHAnsi" w:eastAsiaTheme="majorEastAsia" w:cstheme="majorBidi"/>
      <w:b/>
      <w:bCs/>
      <w:sz w:val="24"/>
      <w:szCs w:val="24"/>
    </w:rPr>
  </w:style>
  <w:style w:type="character" w:customStyle="1" w:styleId="32">
    <w:name w:val="标题 2 字符"/>
    <w:basedOn w:val="18"/>
    <w:link w:val="3"/>
    <w:qFormat/>
    <w:uiPriority w:val="9"/>
    <w:rPr>
      <w:rFonts w:hAnsi="Cambria" w:cs="Times New Roman" w:asciiTheme="minorEastAsia"/>
      <w:b/>
      <w:bCs/>
      <w:kern w:val="0"/>
      <w:sz w:val="32"/>
      <w:szCs w:val="32"/>
    </w:rPr>
  </w:style>
  <w:style w:type="character" w:customStyle="1" w:styleId="33">
    <w:name w:val="标题 5 字符"/>
    <w:basedOn w:val="18"/>
    <w:link w:val="6"/>
    <w:semiHidden/>
    <w:qFormat/>
    <w:uiPriority w:val="9"/>
    <w:rPr>
      <w:b/>
      <w:bCs/>
      <w:sz w:val="28"/>
      <w:szCs w:val="28"/>
    </w:rPr>
  </w:style>
  <w:style w:type="character" w:customStyle="1" w:styleId="34">
    <w:name w:val="标题 4 字符"/>
    <w:basedOn w:val="18"/>
    <w:link w:val="5"/>
    <w:semiHidden/>
    <w:qFormat/>
    <w:uiPriority w:val="9"/>
    <w:rPr>
      <w:rFonts w:asciiTheme="majorHAnsi" w:hAnsiTheme="majorHAnsi" w:eastAsiaTheme="majorEastAsia" w:cstheme="majorBidi"/>
      <w:b/>
      <w:bCs/>
      <w:sz w:val="28"/>
      <w:szCs w:val="28"/>
    </w:rPr>
  </w:style>
  <w:style w:type="character" w:customStyle="1" w:styleId="35">
    <w:name w:val="标题 1 字符"/>
    <w:basedOn w:val="18"/>
    <w:link w:val="2"/>
    <w:qFormat/>
    <w:uiPriority w:val="9"/>
    <w:rPr>
      <w:rFonts w:ascii="宋体" w:hAnsi="Calibri" w:eastAsia="宋体" w:cs="Times New Roman"/>
      <w:b/>
      <w:bCs/>
      <w:kern w:val="44"/>
      <w:sz w:val="44"/>
      <w:szCs w:val="44"/>
    </w:rPr>
  </w:style>
  <w:style w:type="paragraph" w:customStyle="1" w:styleId="36">
    <w:name w:val="正文-投标邀请"/>
    <w:basedOn w:val="1"/>
    <w:qFormat/>
    <w:uiPriority w:val="0"/>
    <w:pPr>
      <w:spacing w:line="240" w:lineRule="auto"/>
    </w:pPr>
    <w:rPr>
      <w:sz w:val="21"/>
    </w:rPr>
  </w:style>
  <w:style w:type="paragraph" w:customStyle="1" w:styleId="37">
    <w:name w:val="正文须知-1级"/>
    <w:basedOn w:val="1"/>
    <w:next w:val="1"/>
    <w:qFormat/>
    <w:uiPriority w:val="0"/>
    <w:pPr>
      <w:numPr>
        <w:ilvl w:val="0"/>
        <w:numId w:val="2"/>
      </w:numPr>
    </w:pPr>
    <w:rPr>
      <w:rFonts w:hAnsi="Calibri" w:cs="Times New Roman"/>
    </w:rPr>
  </w:style>
  <w:style w:type="paragraph" w:customStyle="1" w:styleId="38">
    <w:name w:val="正文须知-2级"/>
    <w:basedOn w:val="1"/>
    <w:qFormat/>
    <w:uiPriority w:val="0"/>
    <w:pPr>
      <w:numPr>
        <w:ilvl w:val="1"/>
        <w:numId w:val="2"/>
      </w:numPr>
    </w:pPr>
  </w:style>
  <w:style w:type="character" w:customStyle="1" w:styleId="39">
    <w:name w:val="页眉 字符"/>
    <w:basedOn w:val="18"/>
    <w:link w:val="13"/>
    <w:qFormat/>
    <w:uiPriority w:val="99"/>
    <w:rPr>
      <w:rFonts w:ascii="宋体" w:eastAsia="宋体"/>
      <w:sz w:val="18"/>
      <w:szCs w:val="18"/>
    </w:rPr>
  </w:style>
  <w:style w:type="character" w:customStyle="1" w:styleId="40">
    <w:name w:val="页脚 字符"/>
    <w:basedOn w:val="18"/>
    <w:link w:val="12"/>
    <w:qFormat/>
    <w:uiPriority w:val="99"/>
    <w:rPr>
      <w:rFonts w:ascii="宋体" w:eastAsia="宋体"/>
      <w:sz w:val="18"/>
      <w:szCs w:val="18"/>
    </w:rPr>
  </w:style>
  <w:style w:type="paragraph" w:customStyle="1" w:styleId="41">
    <w:name w:val="附件六二级标题"/>
    <w:basedOn w:val="4"/>
    <w:next w:val="1"/>
    <w:qFormat/>
    <w:uiPriority w:val="0"/>
    <w:pPr>
      <w:spacing w:line="240" w:lineRule="auto"/>
      <w:jc w:val="center"/>
    </w:pPr>
    <w:rPr>
      <w:rFonts w:hAnsi="宋体" w:cs="Times New Roman"/>
      <w:sz w:val="28"/>
    </w:rPr>
  </w:style>
  <w:style w:type="paragraph" w:customStyle="1" w:styleId="42">
    <w:name w:val="正文-首缩2字符"/>
    <w:basedOn w:val="1"/>
    <w:qFormat/>
    <w:uiPriority w:val="99"/>
    <w:pPr>
      <w:ind w:firstLine="200" w:firstLineChars="200"/>
      <w:jc w:val="left"/>
    </w:pPr>
    <w:rPr>
      <w:rFonts w:hAnsi="宋体" w:cs="宋体"/>
      <w:szCs w:val="24"/>
    </w:rPr>
  </w:style>
  <w:style w:type="paragraph" w:styleId="43">
    <w:name w:val="List Paragraph"/>
    <w:basedOn w:val="1"/>
    <w:qFormat/>
    <w:uiPriority w:val="34"/>
    <w:pPr>
      <w:ind w:firstLine="420" w:firstLineChars="200"/>
    </w:pPr>
  </w:style>
  <w:style w:type="paragraph" w:customStyle="1" w:styleId="44">
    <w:name w:val="附件六"/>
    <w:basedOn w:val="1"/>
    <w:qFormat/>
    <w:uiPriority w:val="0"/>
    <w:pPr>
      <w:numPr>
        <w:ilvl w:val="0"/>
        <w:numId w:val="3"/>
      </w:numPr>
      <w:spacing w:line="360" w:lineRule="auto"/>
      <w:ind w:hanging="295" w:hangingChars="295"/>
      <w:jc w:val="left"/>
    </w:pPr>
    <w:rPr>
      <w:rFonts w:hAnsi="宋体" w:cs="Times New Roman"/>
    </w:rPr>
  </w:style>
  <w:style w:type="paragraph" w:customStyle="1" w:styleId="45">
    <w:name w:val="须知正文-资格证明文件带自动编号"/>
    <w:basedOn w:val="46"/>
    <w:next w:val="1"/>
    <w:qFormat/>
    <w:uiPriority w:val="0"/>
    <w:pPr>
      <w:numPr>
        <w:ilvl w:val="0"/>
        <w:numId w:val="4"/>
      </w:numPr>
      <w:tabs>
        <w:tab w:val="left" w:pos="735"/>
      </w:tabs>
    </w:pPr>
  </w:style>
  <w:style w:type="paragraph" w:customStyle="1" w:styleId="46">
    <w:name w:val="正文须知"/>
    <w:basedOn w:val="1"/>
    <w:next w:val="1"/>
    <w:qFormat/>
    <w:uiPriority w:val="99"/>
    <w:pPr>
      <w:ind w:hanging="720" w:hangingChars="300"/>
    </w:pPr>
    <w:rPr>
      <w:rFonts w:hAnsi="Calibri" w:cs="Times New Roman"/>
    </w:rPr>
  </w:style>
  <w:style w:type="paragraph" w:customStyle="1" w:styleId="47">
    <w:name w:val="正文-须知前附表"/>
    <w:basedOn w:val="1"/>
    <w:next w:val="1"/>
    <w:qFormat/>
    <w:uiPriority w:val="0"/>
    <w:rPr>
      <w:rFonts w:hAnsi="Calibri" w:cs="Times New Roman"/>
    </w:rPr>
  </w:style>
  <w:style w:type="paragraph" w:customStyle="1" w:styleId="48">
    <w:name w:val="正文-前附表资格证明文件"/>
    <w:basedOn w:val="1"/>
    <w:next w:val="1"/>
    <w:qFormat/>
    <w:uiPriority w:val="0"/>
    <w:pPr>
      <w:ind w:hanging="150" w:hangingChars="150"/>
    </w:pPr>
  </w:style>
  <w:style w:type="paragraph" w:styleId="49">
    <w:name w:val="No Spacing"/>
    <w:qFormat/>
    <w:uiPriority w:val="1"/>
    <w:pPr>
      <w:widowControl w:val="0"/>
      <w:adjustRightInd w:val="0"/>
      <w:snapToGrid w:val="0"/>
      <w:jc w:val="both"/>
    </w:pPr>
    <w:rPr>
      <w:rFonts w:ascii="宋体" w:eastAsia="宋体" w:hAnsiTheme="minorHAnsi" w:cstheme="minorBidi"/>
      <w:kern w:val="2"/>
      <w:sz w:val="24"/>
      <w:szCs w:val="21"/>
      <w:lang w:val="en-US" w:eastAsia="zh-CN" w:bidi="ar-SA"/>
    </w:rPr>
  </w:style>
  <w:style w:type="character" w:customStyle="1" w:styleId="50">
    <w:name w:val="标题 字符"/>
    <w:basedOn w:val="18"/>
    <w:link w:val="17"/>
    <w:qFormat/>
    <w:uiPriority w:val="10"/>
    <w:rPr>
      <w:rFonts w:eastAsia="宋体" w:asciiTheme="majorHAnsi" w:hAnsiTheme="majorHAnsi" w:cstheme="majorBidi"/>
      <w:b/>
      <w:bCs/>
      <w:sz w:val="32"/>
      <w:szCs w:val="32"/>
    </w:rPr>
  </w:style>
  <w:style w:type="character" w:customStyle="1" w:styleId="51">
    <w:name w:val="副标题 字符"/>
    <w:basedOn w:val="18"/>
    <w:link w:val="15"/>
    <w:qFormat/>
    <w:uiPriority w:val="11"/>
    <w:rPr>
      <w:rFonts w:eastAsia="宋体" w:asciiTheme="majorHAnsi" w:hAnsiTheme="majorHAnsi" w:cstheme="majorBidi"/>
      <w:b/>
      <w:bCs/>
      <w:kern w:val="28"/>
      <w:sz w:val="32"/>
      <w:szCs w:val="32"/>
    </w:rPr>
  </w:style>
  <w:style w:type="character" w:customStyle="1" w:styleId="52">
    <w:name w:val="不明显强调1"/>
    <w:basedOn w:val="18"/>
    <w:qFormat/>
    <w:uiPriority w:val="19"/>
    <w:rPr>
      <w:i/>
      <w:iCs/>
      <w:color w:val="808080" w:themeColor="text1" w:themeTint="80"/>
      <w14:textFill>
        <w14:solidFill>
          <w14:schemeClr w14:val="tx1">
            <w14:lumMod w14:val="50000"/>
            <w14:lumOff w14:val="50000"/>
          </w14:schemeClr>
        </w14:solidFill>
      </w14:textFill>
    </w:rPr>
  </w:style>
  <w:style w:type="character" w:customStyle="1" w:styleId="53">
    <w:name w:val="明显强调1"/>
    <w:basedOn w:val="18"/>
    <w:qFormat/>
    <w:uiPriority w:val="21"/>
    <w:rPr>
      <w:b/>
      <w:bCs/>
      <w:i/>
      <w:iCs/>
      <w:color w:val="4F81BD" w:themeColor="accent1"/>
      <w14:textFill>
        <w14:solidFill>
          <w14:schemeClr w14:val="accent1"/>
        </w14:solidFill>
      </w14:textFill>
    </w:rPr>
  </w:style>
  <w:style w:type="paragraph" w:styleId="54">
    <w:name w:val="Quote"/>
    <w:basedOn w:val="1"/>
    <w:next w:val="1"/>
    <w:link w:val="55"/>
    <w:qFormat/>
    <w:uiPriority w:val="29"/>
    <w:rPr>
      <w:i/>
      <w:iCs/>
      <w:color w:val="000000" w:themeColor="text1"/>
      <w14:textFill>
        <w14:solidFill>
          <w14:schemeClr w14:val="tx1"/>
        </w14:solidFill>
      </w14:textFill>
    </w:rPr>
  </w:style>
  <w:style w:type="character" w:customStyle="1" w:styleId="55">
    <w:name w:val="引用 字符"/>
    <w:basedOn w:val="18"/>
    <w:link w:val="54"/>
    <w:qFormat/>
    <w:uiPriority w:val="29"/>
    <w:rPr>
      <w:rFonts w:ascii="宋体" w:eastAsia="宋体"/>
      <w:i/>
      <w:iCs/>
      <w:color w:val="000000" w:themeColor="text1"/>
      <w:sz w:val="24"/>
      <w14:textFill>
        <w14:solidFill>
          <w14:schemeClr w14:val="tx1"/>
        </w14:solidFill>
      </w14:textFill>
    </w:rPr>
  </w:style>
  <w:style w:type="paragraph" w:styleId="56">
    <w:name w:val="Intense Quote"/>
    <w:basedOn w:val="1"/>
    <w:next w:val="1"/>
    <w:link w:val="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57">
    <w:name w:val="明显引用 字符"/>
    <w:basedOn w:val="18"/>
    <w:link w:val="56"/>
    <w:qFormat/>
    <w:uiPriority w:val="30"/>
    <w:rPr>
      <w:rFonts w:ascii="宋体" w:eastAsia="宋体"/>
      <w:b/>
      <w:bCs/>
      <w:i/>
      <w:iCs/>
      <w:color w:val="4F81BD" w:themeColor="accent1"/>
      <w:sz w:val="24"/>
      <w14:textFill>
        <w14:solidFill>
          <w14:schemeClr w14:val="accent1"/>
        </w14:solidFill>
      </w14:textFill>
    </w:rPr>
  </w:style>
  <w:style w:type="character" w:customStyle="1" w:styleId="58">
    <w:name w:val="不明显参考1"/>
    <w:basedOn w:val="18"/>
    <w:qFormat/>
    <w:uiPriority w:val="31"/>
    <w:rPr>
      <w:smallCaps/>
      <w:color w:val="C0504D" w:themeColor="accent2"/>
      <w:u w:val="single"/>
      <w14:textFill>
        <w14:solidFill>
          <w14:schemeClr w14:val="accent2"/>
        </w14:solidFill>
      </w14:textFill>
    </w:rPr>
  </w:style>
  <w:style w:type="character" w:customStyle="1" w:styleId="59">
    <w:name w:val="明显参考1"/>
    <w:basedOn w:val="18"/>
    <w:qFormat/>
    <w:uiPriority w:val="32"/>
    <w:rPr>
      <w:b/>
      <w:bCs/>
      <w:smallCaps/>
      <w:color w:val="C0504D" w:themeColor="accent2"/>
      <w:spacing w:val="5"/>
      <w:u w:val="single"/>
      <w14:textFill>
        <w14:solidFill>
          <w14:schemeClr w14:val="accent2"/>
        </w14:solidFill>
      </w14:textFill>
    </w:rPr>
  </w:style>
  <w:style w:type="character" w:customStyle="1" w:styleId="60">
    <w:name w:val="书籍标题1"/>
    <w:basedOn w:val="18"/>
    <w:qFormat/>
    <w:uiPriority w:val="33"/>
    <w:rPr>
      <w:b/>
      <w:bCs/>
      <w:smallCaps/>
      <w:spacing w:val="5"/>
    </w:rPr>
  </w:style>
  <w:style w:type="character" w:customStyle="1" w:styleId="61">
    <w:name w:val="批注文字 字符"/>
    <w:basedOn w:val="18"/>
    <w:link w:val="9"/>
    <w:semiHidden/>
    <w:qFormat/>
    <w:uiPriority w:val="99"/>
    <w:rPr>
      <w:rFonts w:asciiTheme="minorEastAsia"/>
      <w:sz w:val="24"/>
    </w:rPr>
  </w:style>
  <w:style w:type="character" w:customStyle="1" w:styleId="62">
    <w:name w:val="批注框文本 字符"/>
    <w:basedOn w:val="18"/>
    <w:link w:val="11"/>
    <w:semiHidden/>
    <w:qFormat/>
    <w:uiPriority w:val="99"/>
    <w:rPr>
      <w:rFonts w:asciiTheme="minorEastAsia"/>
      <w:sz w:val="18"/>
      <w:szCs w:val="18"/>
    </w:rPr>
  </w:style>
  <w:style w:type="character" w:customStyle="1" w:styleId="63">
    <w:name w:val="批注主题 字符"/>
    <w:basedOn w:val="61"/>
    <w:link w:val="8"/>
    <w:semiHidden/>
    <w:qFormat/>
    <w:uiPriority w:val="99"/>
    <w:rPr>
      <w:rFonts w:asciiTheme="minorEastAsia"/>
      <w:b/>
      <w:bCs/>
      <w:sz w:val="24"/>
    </w:rPr>
  </w:style>
  <w:style w:type="character" w:customStyle="1" w:styleId="64">
    <w:name w:val="gjfg"/>
    <w:basedOn w:val="18"/>
    <w:qFormat/>
    <w:uiPriority w:val="0"/>
  </w:style>
  <w:style w:type="character" w:customStyle="1" w:styleId="65">
    <w:name w:val="redfilenumber"/>
    <w:basedOn w:val="18"/>
    <w:qFormat/>
    <w:uiPriority w:val="0"/>
    <w:rPr>
      <w:color w:val="BA2636"/>
      <w:sz w:val="18"/>
      <w:szCs w:val="18"/>
    </w:rPr>
  </w:style>
  <w:style w:type="character" w:customStyle="1" w:styleId="66">
    <w:name w:val="redfilefwwh"/>
    <w:basedOn w:val="18"/>
    <w:qFormat/>
    <w:uiPriority w:val="0"/>
    <w:rPr>
      <w:color w:val="BA2636"/>
      <w:sz w:val="18"/>
      <w:szCs w:val="18"/>
    </w:rPr>
  </w:style>
  <w:style w:type="character" w:customStyle="1" w:styleId="67">
    <w:name w:val="displayarti"/>
    <w:basedOn w:val="18"/>
    <w:qFormat/>
    <w:uiPriority w:val="0"/>
    <w:rPr>
      <w:color w:val="FFFFFF"/>
      <w:shd w:val="clear" w:fill="A00000"/>
    </w:rPr>
  </w:style>
  <w:style w:type="character" w:customStyle="1" w:styleId="68">
    <w:name w:val="qxdate"/>
    <w:basedOn w:val="18"/>
    <w:qFormat/>
    <w:uiPriority w:val="0"/>
    <w:rPr>
      <w:color w:val="333333"/>
      <w:sz w:val="18"/>
      <w:szCs w:val="18"/>
    </w:rPr>
  </w:style>
  <w:style w:type="character" w:customStyle="1" w:styleId="69">
    <w:name w:val="cfdate"/>
    <w:basedOn w:val="18"/>
    <w:qFormat/>
    <w:uiPriority w:val="0"/>
    <w:rPr>
      <w:color w:val="333333"/>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DeskTop&#26700;&#38754;\bidding%20document-&#36135;&#29289;&#26381;&#21153;&#36890;&#29992;&#29256;&#264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31B59-ADFA-4CE6-B4C9-B3033674C8D8}">
  <ds:schemaRefs/>
</ds:datastoreItem>
</file>

<file path=docProps/app.xml><?xml version="1.0" encoding="utf-8"?>
<Properties xmlns="http://schemas.openxmlformats.org/officeDocument/2006/extended-properties" xmlns:vt="http://schemas.openxmlformats.org/officeDocument/2006/docPropsVTypes">
  <Template>bidding document-货物服务通用版本</Template>
  <Company>Sky123.Org</Company>
  <Pages>1</Pages>
  <Words>268</Words>
  <Characters>1531</Characters>
  <Lines>12</Lines>
  <Paragraphs>3</Paragraphs>
  <TotalTime>26</TotalTime>
  <ScaleCrop>false</ScaleCrop>
  <LinksUpToDate>false</LinksUpToDate>
  <CharactersWithSpaces>1796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2017-09-05T01:51:00Z</dcterms:created>
  <dc:creator>cliu</dc:creator>
  <cp:lastModifiedBy>WXY</cp:lastModifiedBy>
  <dcterms:modified xsi:type="dcterms:W3CDTF">2018-12-20T08:28:02Z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