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Courier New"/>
          <w:b/>
          <w:bCs/>
          <w:iCs/>
          <w:color w:val="000000"/>
          <w:sz w:val="36"/>
          <w:szCs w:val="36"/>
        </w:rPr>
      </w:pPr>
      <w:r>
        <w:rPr>
          <w:rFonts w:hint="eastAsia" w:hAnsi="宋体" w:cs="Courier New"/>
          <w:b/>
          <w:bCs/>
          <w:iCs/>
          <w:color w:val="000000"/>
          <w:sz w:val="36"/>
          <w:szCs w:val="36"/>
        </w:rPr>
        <w:t>西吉县农牧局2017年农产品可追溯体系建设所需软件和设备政府采购项目公开方式招标公告</w:t>
      </w:r>
    </w:p>
    <w:p>
      <w:pPr>
        <w:pStyle w:val="2"/>
        <w:spacing w:line="500" w:lineRule="exact"/>
        <w:ind w:firstLine="480" w:firstLineChars="200"/>
        <w:rPr>
          <w:rFonts w:hAnsi="宋体"/>
          <w:color w:val="000000"/>
          <w:sz w:val="24"/>
          <w:szCs w:val="24"/>
        </w:rPr>
      </w:pPr>
      <w:r>
        <w:rPr>
          <w:rFonts w:hint="eastAsia" w:hAnsi="宋体"/>
          <w:color w:val="000000"/>
          <w:sz w:val="24"/>
          <w:szCs w:val="24"/>
        </w:rPr>
        <w:t>根据《中华人民共和国政府采购法》、《中华人民共和国政府采购法实施条例》、《政府采购货物和服务招标投标管理办法》（财政部87号令）、《固原市政府投资项目管理办法（试行）》（固政发[2017]55号）等法律法规规定，</w:t>
      </w:r>
      <w:r>
        <w:rPr>
          <w:rFonts w:hint="eastAsia" w:hAnsi="宋体"/>
          <w:iCs/>
          <w:color w:val="000000"/>
          <w:sz w:val="24"/>
          <w:szCs w:val="24"/>
          <w:u w:val="single"/>
        </w:rPr>
        <w:t xml:space="preserve"> 宁夏鼎新工程咨询有限公司</w:t>
      </w:r>
      <w:r>
        <w:rPr>
          <w:rFonts w:hint="eastAsia" w:hAnsi="宋体"/>
          <w:iCs/>
          <w:color w:val="000000"/>
          <w:sz w:val="24"/>
          <w:szCs w:val="24"/>
        </w:rPr>
        <w:t>受</w:t>
      </w:r>
      <w:r>
        <w:rPr>
          <w:rFonts w:hint="eastAsia" w:hAnsi="宋体"/>
          <w:iCs/>
          <w:color w:val="000000"/>
          <w:sz w:val="24"/>
          <w:szCs w:val="24"/>
          <w:u w:val="single"/>
        </w:rPr>
        <w:t xml:space="preserve">  西吉县农牧局</w:t>
      </w:r>
      <w:r>
        <w:rPr>
          <w:rFonts w:hint="eastAsia" w:hAnsi="宋体"/>
          <w:iCs/>
          <w:color w:val="000000"/>
          <w:sz w:val="24"/>
          <w:szCs w:val="24"/>
        </w:rPr>
        <w:t>的委托，对</w:t>
      </w:r>
      <w:r>
        <w:rPr>
          <w:rFonts w:hint="eastAsia" w:hAnsi="宋体"/>
          <w:iCs/>
          <w:color w:val="000000"/>
          <w:sz w:val="24"/>
          <w:szCs w:val="24"/>
          <w:u w:val="single"/>
        </w:rPr>
        <w:t xml:space="preserve">西吉县农牧局2017年农产品可追溯体系建设所需软件和设备政府采购项目 </w:t>
      </w:r>
      <w:r>
        <w:rPr>
          <w:rFonts w:hint="eastAsia" w:hAnsi="宋体"/>
          <w:iCs/>
          <w:color w:val="000000"/>
          <w:sz w:val="24"/>
          <w:szCs w:val="24"/>
        </w:rPr>
        <w:t>（</w:t>
      </w:r>
      <w:bookmarkStart w:id="0" w:name="_GoBack"/>
      <w:r>
        <w:rPr>
          <w:rFonts w:hint="eastAsia" w:hAnsi="宋体"/>
          <w:iCs/>
          <w:color w:val="000000"/>
          <w:sz w:val="24"/>
          <w:szCs w:val="24"/>
          <w:u w:val="single"/>
        </w:rPr>
        <w:t>固（西）交政采【2018】</w:t>
      </w:r>
      <w:r>
        <w:rPr>
          <w:rFonts w:hint="eastAsia" w:hAnsi="宋体"/>
          <w:iCs/>
          <w:color w:val="000000"/>
          <w:sz w:val="24"/>
          <w:szCs w:val="24"/>
          <w:u w:val="single"/>
          <w:lang w:val="en-US" w:eastAsia="zh-CN"/>
        </w:rPr>
        <w:t>51</w:t>
      </w:r>
      <w:r>
        <w:rPr>
          <w:rFonts w:hint="eastAsia" w:hAnsi="宋体"/>
          <w:iCs/>
          <w:color w:val="000000"/>
          <w:sz w:val="24"/>
          <w:szCs w:val="24"/>
          <w:u w:val="single"/>
        </w:rPr>
        <w:t>号</w:t>
      </w:r>
      <w:bookmarkEnd w:id="0"/>
      <w:r>
        <w:rPr>
          <w:rFonts w:hint="eastAsia" w:hAnsi="宋体"/>
          <w:iCs/>
          <w:color w:val="000000"/>
          <w:sz w:val="24"/>
          <w:szCs w:val="24"/>
        </w:rPr>
        <w:t>、</w:t>
      </w:r>
      <w:r>
        <w:rPr>
          <w:rFonts w:hint="eastAsia" w:hAnsi="宋体"/>
          <w:iCs/>
          <w:color w:val="000000"/>
          <w:sz w:val="24"/>
          <w:szCs w:val="24"/>
          <w:u w:val="single"/>
        </w:rPr>
        <w:t>NXDXZC[2018]11</w:t>
      </w:r>
      <w:r>
        <w:rPr>
          <w:rFonts w:hint="eastAsia" w:hAnsi="宋体"/>
          <w:iCs/>
          <w:color w:val="000000"/>
          <w:sz w:val="24"/>
          <w:szCs w:val="24"/>
        </w:rPr>
        <w:t>）项目采用公开方式组织政府采购，现邀请</w:t>
      </w:r>
      <w:r>
        <w:rPr>
          <w:rFonts w:hint="eastAsia" w:hAnsi="宋体"/>
          <w:color w:val="000000"/>
          <w:sz w:val="24"/>
          <w:szCs w:val="24"/>
        </w:rPr>
        <w:t>具备供货和提供服务能力的供应商参加投标</w:t>
      </w:r>
      <w:r>
        <w:rPr>
          <w:rFonts w:hint="eastAsia" w:hAnsi="宋体"/>
          <w:iCs/>
          <w:color w:val="000000"/>
          <w:sz w:val="24"/>
          <w:szCs w:val="24"/>
        </w:rPr>
        <w:t>。</w:t>
      </w:r>
    </w:p>
    <w:p>
      <w:pPr>
        <w:spacing w:line="500" w:lineRule="exact"/>
        <w:ind w:firstLine="482" w:firstLineChars="200"/>
        <w:rPr>
          <w:rFonts w:ascii="宋体" w:hAnsi="宋体"/>
          <w:b/>
          <w:color w:val="000000"/>
          <w:sz w:val="24"/>
          <w:u w:val="single"/>
        </w:rPr>
      </w:pPr>
      <w:r>
        <w:rPr>
          <w:rFonts w:hint="eastAsia" w:ascii="宋体" w:hAnsi="宋体"/>
          <w:b/>
          <w:color w:val="000000"/>
          <w:sz w:val="24"/>
        </w:rPr>
        <w:t>1.项目名称、标段划分及采购内容</w:t>
      </w:r>
    </w:p>
    <w:p>
      <w:pPr>
        <w:spacing w:line="500" w:lineRule="exact"/>
        <w:ind w:firstLine="480" w:firstLineChars="200"/>
        <w:rPr>
          <w:rFonts w:ascii="宋体" w:hAnsi="宋体"/>
          <w:color w:val="000000"/>
          <w:sz w:val="24"/>
        </w:rPr>
      </w:pPr>
      <w:r>
        <w:rPr>
          <w:rFonts w:hint="eastAsia" w:ascii="宋体" w:hAnsi="宋体"/>
          <w:color w:val="000000"/>
          <w:sz w:val="24"/>
        </w:rPr>
        <w:t>1.1项目名称：</w:t>
      </w:r>
      <w:r>
        <w:rPr>
          <w:rFonts w:hint="eastAsia" w:hAnsi="宋体" w:cs="Courier New"/>
          <w:iCs/>
          <w:color w:val="000000"/>
          <w:sz w:val="24"/>
        </w:rPr>
        <w:t>西吉县农牧局2017年农产品可追溯体系建设所需软件和设备政府采购项目</w:t>
      </w:r>
    </w:p>
    <w:p>
      <w:pPr>
        <w:spacing w:line="500" w:lineRule="exact"/>
        <w:ind w:firstLine="480" w:firstLineChars="200"/>
        <w:rPr>
          <w:rFonts w:ascii="宋体" w:hAnsi="宋体"/>
          <w:color w:val="000000"/>
          <w:sz w:val="24"/>
        </w:rPr>
      </w:pPr>
      <w:r>
        <w:rPr>
          <w:rFonts w:hint="eastAsia" w:ascii="宋体" w:hAnsi="宋体"/>
          <w:color w:val="000000"/>
          <w:sz w:val="24"/>
        </w:rPr>
        <w:t>1.2标段划分：共一个标段</w:t>
      </w:r>
    </w:p>
    <w:p>
      <w:pPr>
        <w:spacing w:line="500" w:lineRule="exact"/>
        <w:ind w:firstLine="480" w:firstLineChars="200"/>
        <w:rPr>
          <w:rFonts w:ascii="宋体" w:hAnsi="宋体"/>
          <w:color w:val="000000"/>
          <w:sz w:val="24"/>
        </w:rPr>
      </w:pPr>
      <w:r>
        <w:rPr>
          <w:rFonts w:hint="eastAsia" w:ascii="宋体" w:hAnsi="宋体"/>
          <w:color w:val="000000"/>
          <w:sz w:val="24"/>
        </w:rPr>
        <w:t>1.3采购内容：</w:t>
      </w:r>
    </w:p>
    <w:tbl>
      <w:tblPr>
        <w:tblStyle w:val="5"/>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43"/>
        <w:gridCol w:w="3802"/>
        <w:gridCol w:w="600"/>
        <w:gridCol w:w="60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序号</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材料名称</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型号及规格</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单位</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数量</w:t>
            </w:r>
          </w:p>
        </w:tc>
        <w:tc>
          <w:tcPr>
            <w:tcW w:w="121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其他说明</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FPD检测器</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GC-2014气相色谱仪专用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restart"/>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1、供货结束后，甲方组织验收，验收合格后支付合同总额的90%。10%质量保证金待1年后仪器设备正常运行，没有质量问题后核付剩余资金。         2、合同签订后30日内供货结束。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石墨垫</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GC-2014气相色谱仪专用0.5mm</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马弗炉</w:t>
            </w:r>
          </w:p>
        </w:tc>
        <w:tc>
          <w:tcPr>
            <w:tcW w:w="3802"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型号SX2-5-12N,最高温度1200℃,炉膛尺寸W×P×H=200mm×300mm×120mm,外形尺寸W×P×H=520×650×660mm,容积7L,电源220V/50Hz，输入功率5 KW，加热原件：镍铬丝，控温精度：±1℃  温度均匀度：5℃</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液相色谱柱</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880975-902-C18 5um   4.6*250mm</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进样针</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原子吸收分光光度计A*6300C专用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100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石墨管（热解型）</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原子吸收分光光度计A*6300C专用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7</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石墨管（高密管）</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原子吸收分光光度计A*6300C专用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石墨锥、石墨帽</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原子吸收分光光度计A*6300C专用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9</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雾化器</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原子吸收分光光度计A*6300C专用</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cem微波消解仪</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Mars</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11</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空心阴极灯</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原子荧光分光光度计专用HAF-2砷灯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12</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空心阴极灯</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原子荧光分光光度计专用AF-2汞灯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13</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空心阴极灯</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原子吸收分光光度计专用镉灯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14</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空心阴极灯</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原子吸收分光光度计专用铅灯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15</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一体复印机</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257</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多功能农药残留速测仪</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16通道，全彩触摸屏+100次试剂，加配锂电池充电功能，内置打印机</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17</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便携式速测仪</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外形尺寸长350mm,宽97mm，高35mm.液晶显示屏。仪器全套+50次速测卡，12通道，恒温温度38℃，反应时间10分钟，显示时间3分钟，输出100-240VAC  50、60H20.3A 输入CDC 3A</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18</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组织捣碎机</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JJ-2B型，电源：AC220V 50Hz，额定功率200W， 工作方法断续，额定转速12000r/min</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处理量1.5L, 玻璃杯。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restart"/>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19</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样品粉碎机</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JS66D-300</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移液枪</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单道可调试固定移液枪0.5-10ul</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把</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21</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移液枪</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单道可调试固定移液枪10-100ul</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把</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22</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移液枪</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单道可调试固定移液枪100-1000ul</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把</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23</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标准物质贮存瓶</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50ml塑料</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24</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标准物质贮存瓶</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100ml塑料</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25</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氯化钾</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500g（分析纯）</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瓶</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26</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重铬酸钾</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500g（分析纯）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27</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乙腈</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4L(色谱纯）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28</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正己烷</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4L(色谱纯)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29</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氯化钠</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30</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甲醇</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4L(色谱纯）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31</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抗坏血酸</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25g</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32</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氢氧化钠</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33</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磷酸氢二钾</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34</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磷酸</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500ml优级纯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35</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甲酸</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500ml优级纯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36</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偏磷酸</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500ml优级纯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37</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乙酸乙酯</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4L(色谱纯）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38</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高氯酸</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39</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硝酸</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60</w:t>
            </w:r>
          </w:p>
        </w:tc>
        <w:tc>
          <w:tcPr>
            <w:tcW w:w="121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硼氢化钾</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41</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硫脲溶液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42</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硝酸钯</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500g优级纯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43</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氢氟酸</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500ml优级纯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44</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二氯甲烷</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4L(色谱纯）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45</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氨基柱</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500mg，6ml,30支/盒 </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46</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佛罗里矽柱</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1000mg，6ml,30支/盒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47</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针式过滤器</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有机系0.22um100只/盒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48</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进样瓶</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1.5ml白色盖红色硅胶垫  100支/盒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49</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标准物质</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35克</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瓶</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50</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毒死蜱标液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 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51</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克百威溶液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 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52</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多菌灵标液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53</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百菌清标液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54</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氯氰菊酯标液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55</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三唑酮溶液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100mg/ml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56</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甲氰菊酯溶液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 100mg/ 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57</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汞标准溶液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 1000mg/ ml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58</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镉标准溶液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1000mg/l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59</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砷标准溶液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1000mg/l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60</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铅标准溶液</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1000mg/l</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61</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丁腈手套</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100只/盒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62</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橡胶手套</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100只/盒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63</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标准型铝箔纸</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锡纸15"（38cm），</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原料LLOY:8011   TEMPER:O、一级</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64</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氮气</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高纯氮气</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瓶</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65</w:t>
            </w:r>
          </w:p>
        </w:tc>
        <w:tc>
          <w:tcPr>
            <w:tcW w:w="1443"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氩气</w:t>
            </w:r>
          </w:p>
        </w:tc>
        <w:tc>
          <w:tcPr>
            <w:tcW w:w="3802"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高纯氩气</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瓶</w:t>
            </w:r>
          </w:p>
        </w:tc>
        <w:tc>
          <w:tcPr>
            <w:tcW w:w="600"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66</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全自动软水器</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UP-10T.844</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套</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67</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雷磁PH复合电极</w:t>
            </w:r>
          </w:p>
        </w:tc>
        <w:tc>
          <w:tcPr>
            <w:tcW w:w="380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型号：E-201-C，测量范围：5-60℃，盐桥材料：聚碳酸酯，填充液：3.0kcl/mol/L,外形尺寸：</w:t>
            </w:r>
            <w:r>
              <w:rPr>
                <w:rFonts w:cs="Arial" w:asciiTheme="minorEastAsia" w:hAnsiTheme="minorEastAsia"/>
                <w:color w:val="000000"/>
                <w:kern w:val="0"/>
                <w:sz w:val="18"/>
                <w:szCs w:val="18"/>
              </w:rPr>
              <w:t>θ</w:t>
            </w:r>
            <w:r>
              <w:rPr>
                <w:rFonts w:hint="eastAsia" w:cs="宋体" w:asciiTheme="minorEastAsia" w:hAnsiTheme="minorEastAsia"/>
                <w:color w:val="000000"/>
                <w:kern w:val="0"/>
                <w:sz w:val="18"/>
                <w:szCs w:val="18"/>
              </w:rPr>
              <w:t>12*120mm,电机基本特征：BNC</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210"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24"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68</w:t>
            </w:r>
          </w:p>
        </w:tc>
        <w:tc>
          <w:tcPr>
            <w:tcW w:w="14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农残速测试剂</w:t>
            </w:r>
          </w:p>
        </w:tc>
        <w:tc>
          <w:tcPr>
            <w:tcW w:w="380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200份</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盒</w:t>
            </w:r>
          </w:p>
        </w:tc>
        <w:tc>
          <w:tcPr>
            <w:tcW w:w="60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80</w:t>
            </w:r>
          </w:p>
        </w:tc>
        <w:tc>
          <w:tcPr>
            <w:tcW w:w="1210" w:type="dxa"/>
            <w:vMerge w:val="continue"/>
            <w:vAlign w:val="center"/>
          </w:tcPr>
          <w:p>
            <w:pPr>
              <w:widowControl/>
              <w:jc w:val="left"/>
              <w:rPr>
                <w:rFonts w:cs="宋体" w:asciiTheme="minorEastAsia" w:hAnsiTheme="minorEastAsia"/>
                <w:color w:val="000000"/>
                <w:kern w:val="0"/>
                <w:sz w:val="18"/>
                <w:szCs w:val="18"/>
              </w:rPr>
            </w:pPr>
          </w:p>
        </w:tc>
      </w:tr>
    </w:tbl>
    <w:p>
      <w:pPr>
        <w:ind w:firstLine="480" w:firstLineChars="200"/>
        <w:rPr>
          <w:rFonts w:ascii="宋体" w:hAnsi="宋体" w:eastAsia="宋体" w:cs="宋体"/>
          <w:color w:val="000000"/>
          <w:kern w:val="0"/>
          <w:sz w:val="20"/>
          <w:szCs w:val="20"/>
        </w:rPr>
      </w:pPr>
      <w:r>
        <w:rPr>
          <w:rFonts w:hint="eastAsia" w:ascii="宋体" w:hAnsi="宋体"/>
          <w:color w:val="000000"/>
          <w:sz w:val="24"/>
        </w:rPr>
        <w:t>1.4采购预算：499139.00元。</w:t>
      </w:r>
    </w:p>
    <w:p>
      <w:pPr>
        <w:spacing w:line="500" w:lineRule="exact"/>
        <w:ind w:firstLine="482" w:firstLineChars="200"/>
        <w:rPr>
          <w:rFonts w:ascii="宋体" w:hAnsi="宋体"/>
          <w:b/>
          <w:color w:val="000000"/>
          <w:sz w:val="24"/>
        </w:rPr>
      </w:pPr>
      <w:r>
        <w:rPr>
          <w:rFonts w:hint="eastAsia" w:ascii="宋体" w:hAnsi="宋体"/>
          <w:b/>
          <w:color w:val="000000"/>
          <w:sz w:val="24"/>
        </w:rPr>
        <w:t>2.项目编号</w:t>
      </w:r>
    </w:p>
    <w:p>
      <w:pPr>
        <w:spacing w:line="500" w:lineRule="exact"/>
        <w:ind w:firstLine="480" w:firstLineChars="200"/>
        <w:rPr>
          <w:rFonts w:ascii="宋体" w:hAnsi="宋体"/>
          <w:color w:val="000000"/>
          <w:sz w:val="24"/>
        </w:rPr>
      </w:pPr>
      <w:r>
        <w:rPr>
          <w:rFonts w:hint="eastAsia" w:ascii="宋体" w:hAnsi="宋体"/>
          <w:color w:val="000000"/>
          <w:sz w:val="24"/>
        </w:rPr>
        <w:t>2.1政府采购编号：固（西）交政采【2018】</w:t>
      </w:r>
      <w:r>
        <w:rPr>
          <w:rFonts w:hint="eastAsia" w:ascii="宋体" w:hAnsi="宋体"/>
          <w:color w:val="000000"/>
          <w:sz w:val="24"/>
          <w:lang w:val="en-US" w:eastAsia="zh-CN"/>
        </w:rPr>
        <w:t>51</w:t>
      </w:r>
      <w:r>
        <w:rPr>
          <w:rFonts w:hint="eastAsia" w:ascii="宋体" w:hAnsi="宋体"/>
          <w:color w:val="000000"/>
          <w:sz w:val="24"/>
        </w:rPr>
        <w:t>号</w:t>
      </w:r>
    </w:p>
    <w:p>
      <w:pPr>
        <w:spacing w:line="500" w:lineRule="exact"/>
        <w:ind w:firstLine="480" w:firstLineChars="200"/>
        <w:rPr>
          <w:rFonts w:ascii="宋体" w:hAnsi="宋体"/>
          <w:color w:val="000000"/>
          <w:sz w:val="24"/>
        </w:rPr>
      </w:pPr>
      <w:r>
        <w:rPr>
          <w:rFonts w:hint="eastAsia" w:ascii="宋体" w:hAnsi="宋体"/>
          <w:color w:val="000000"/>
          <w:sz w:val="24"/>
        </w:rPr>
        <w:t xml:space="preserve">2.2委托代理编号：NXDXZC[2018]11 </w:t>
      </w:r>
    </w:p>
    <w:p>
      <w:pPr>
        <w:spacing w:line="500" w:lineRule="exact"/>
        <w:ind w:firstLine="482" w:firstLineChars="200"/>
        <w:rPr>
          <w:rFonts w:ascii="宋体" w:hAnsi="宋体"/>
          <w:b/>
          <w:color w:val="000000"/>
          <w:sz w:val="24"/>
        </w:rPr>
      </w:pPr>
      <w:r>
        <w:rPr>
          <w:rFonts w:hint="eastAsia" w:ascii="宋体" w:hAnsi="宋体"/>
          <w:b/>
          <w:color w:val="000000"/>
          <w:sz w:val="24"/>
        </w:rPr>
        <w:t>3.</w:t>
      </w:r>
      <w:r>
        <w:rPr>
          <w:rFonts w:hint="eastAsia" w:ascii="宋体" w:hAnsi="宋体"/>
          <w:b/>
          <w:iCs/>
          <w:color w:val="000000"/>
          <w:sz w:val="24"/>
        </w:rPr>
        <w:t>供应商</w:t>
      </w:r>
      <w:r>
        <w:rPr>
          <w:rFonts w:hint="eastAsia" w:ascii="宋体" w:hAnsi="宋体"/>
          <w:b/>
          <w:color w:val="000000"/>
          <w:sz w:val="24"/>
        </w:rPr>
        <w:t>资格</w:t>
      </w:r>
    </w:p>
    <w:p>
      <w:pPr>
        <w:spacing w:line="500" w:lineRule="exact"/>
        <w:ind w:firstLine="480" w:firstLineChars="200"/>
        <w:rPr>
          <w:rFonts w:ascii="宋体" w:hAnsi="宋体"/>
          <w:color w:val="000000"/>
          <w:sz w:val="24"/>
        </w:rPr>
      </w:pPr>
      <w:r>
        <w:rPr>
          <w:rFonts w:hint="eastAsia" w:ascii="宋体" w:hAnsi="宋体"/>
          <w:color w:val="000000"/>
          <w:sz w:val="24"/>
        </w:rPr>
        <w:t>3.1</w:t>
      </w:r>
      <w:r>
        <w:rPr>
          <w:rFonts w:hint="eastAsia" w:ascii="宋体" w:hAnsi="宋体"/>
          <w:iCs/>
          <w:color w:val="000000"/>
          <w:sz w:val="24"/>
        </w:rPr>
        <w:t>供应商</w:t>
      </w:r>
      <w:r>
        <w:rPr>
          <w:rFonts w:hint="eastAsia" w:ascii="宋体" w:hAnsi="宋体"/>
          <w:color w:val="000000"/>
          <w:sz w:val="24"/>
        </w:rPr>
        <w:t>基本资格</w:t>
      </w:r>
    </w:p>
    <w:p>
      <w:pPr>
        <w:spacing w:line="500" w:lineRule="exact"/>
        <w:ind w:firstLine="480" w:firstLineChars="200"/>
        <w:rPr>
          <w:rFonts w:ascii="宋体" w:hAnsi="宋体"/>
          <w:color w:val="000000"/>
          <w:sz w:val="24"/>
        </w:rPr>
      </w:pPr>
      <w:r>
        <w:rPr>
          <w:rFonts w:hint="eastAsia" w:ascii="宋体" w:hAnsi="宋体"/>
          <w:color w:val="000000"/>
          <w:sz w:val="24"/>
        </w:rPr>
        <w:t>（1）营业执照副本</w:t>
      </w:r>
    </w:p>
    <w:p>
      <w:pPr>
        <w:spacing w:line="500" w:lineRule="exact"/>
        <w:ind w:firstLine="480" w:firstLineChars="200"/>
        <w:rPr>
          <w:rFonts w:ascii="宋体" w:hAnsi="宋体"/>
          <w:color w:val="000000"/>
          <w:sz w:val="24"/>
        </w:rPr>
      </w:pPr>
      <w:r>
        <w:rPr>
          <w:rFonts w:hint="eastAsia" w:ascii="宋体" w:hAnsi="宋体"/>
          <w:color w:val="000000"/>
          <w:sz w:val="24"/>
        </w:rPr>
        <w:t>（2）税务登记证</w:t>
      </w:r>
    </w:p>
    <w:p>
      <w:pPr>
        <w:spacing w:line="500" w:lineRule="exact"/>
        <w:ind w:firstLine="480" w:firstLineChars="200"/>
        <w:rPr>
          <w:rFonts w:ascii="宋体" w:hAnsi="宋体"/>
          <w:color w:val="000000"/>
          <w:sz w:val="24"/>
        </w:rPr>
      </w:pPr>
      <w:r>
        <w:rPr>
          <w:rFonts w:hint="eastAsia" w:ascii="宋体" w:hAnsi="宋体"/>
          <w:color w:val="000000"/>
          <w:sz w:val="24"/>
        </w:rPr>
        <w:t>（3）组织机构代码证</w:t>
      </w:r>
    </w:p>
    <w:p>
      <w:pPr>
        <w:spacing w:line="500" w:lineRule="exact"/>
        <w:ind w:firstLine="480" w:firstLineChars="200"/>
        <w:rPr>
          <w:rFonts w:ascii="宋体" w:hAnsi="宋体"/>
          <w:color w:val="000000"/>
          <w:sz w:val="24"/>
        </w:rPr>
      </w:pPr>
      <w:r>
        <w:rPr>
          <w:rFonts w:hint="eastAsia" w:ascii="宋体" w:hAnsi="宋体"/>
          <w:color w:val="000000"/>
          <w:sz w:val="24"/>
        </w:rPr>
        <w:t>（4）检察机关出具的近三年内有无行贿犯罪记录告知函（告知函必须在有效期内）</w:t>
      </w:r>
    </w:p>
    <w:p>
      <w:pPr>
        <w:spacing w:line="500" w:lineRule="exact"/>
        <w:ind w:firstLine="480" w:firstLineChars="200"/>
        <w:rPr>
          <w:rFonts w:ascii="宋体" w:hAnsi="宋体"/>
          <w:color w:val="000000"/>
          <w:sz w:val="24"/>
        </w:rPr>
      </w:pPr>
      <w:r>
        <w:rPr>
          <w:rFonts w:hint="eastAsia" w:ascii="宋体" w:hAnsi="宋体"/>
          <w:color w:val="000000"/>
          <w:sz w:val="24"/>
        </w:rPr>
        <w:t>（5）法定代表人资格证明（非法人参加的投标人必须提供法定代表人授权委托书）</w:t>
      </w:r>
    </w:p>
    <w:p>
      <w:pPr>
        <w:spacing w:line="500" w:lineRule="exact"/>
        <w:ind w:firstLine="482" w:firstLineChars="200"/>
        <w:rPr>
          <w:rFonts w:ascii="宋体" w:hAnsi="宋体"/>
          <w:b/>
          <w:color w:val="000000"/>
          <w:sz w:val="24"/>
        </w:rPr>
      </w:pPr>
      <w:r>
        <w:rPr>
          <w:rFonts w:hint="eastAsia" w:ascii="宋体" w:hAnsi="宋体"/>
          <w:b/>
          <w:color w:val="000000"/>
          <w:sz w:val="24"/>
        </w:rPr>
        <w:t>三证合一的只提供营业执照副本，不提供税务登记证和组织机构代码证。</w:t>
      </w:r>
    </w:p>
    <w:p>
      <w:pPr>
        <w:spacing w:line="500" w:lineRule="exact"/>
        <w:ind w:firstLine="480" w:firstLineChars="200"/>
        <w:rPr>
          <w:rFonts w:hint="eastAsia" w:ascii="宋体" w:hAnsi="宋体"/>
          <w:color w:val="000000"/>
          <w:sz w:val="24"/>
        </w:rPr>
      </w:pPr>
      <w:r>
        <w:rPr>
          <w:rFonts w:hint="eastAsia" w:ascii="宋体" w:hAnsi="宋体"/>
          <w:color w:val="000000"/>
          <w:sz w:val="24"/>
        </w:rPr>
        <w:t>3.2</w:t>
      </w:r>
      <w:r>
        <w:rPr>
          <w:rFonts w:hint="eastAsia" w:ascii="宋体" w:hAnsi="宋体"/>
          <w:iCs/>
          <w:color w:val="000000"/>
          <w:sz w:val="24"/>
        </w:rPr>
        <w:t>供应商</w:t>
      </w:r>
      <w:r>
        <w:rPr>
          <w:rFonts w:hint="eastAsia" w:ascii="宋体" w:hAnsi="宋体"/>
          <w:color w:val="000000"/>
          <w:sz w:val="24"/>
        </w:rPr>
        <w:t>特定资格</w:t>
      </w:r>
    </w:p>
    <w:p>
      <w:pPr>
        <w:spacing w:line="500" w:lineRule="exact"/>
        <w:ind w:firstLine="480" w:firstLineChars="200"/>
        <w:rPr>
          <w:rFonts w:hint="eastAsia" w:ascii="宋体" w:hAnsi="宋体"/>
          <w:iCs/>
          <w:color w:val="000000"/>
          <w:sz w:val="24"/>
          <w:lang w:val="en-US" w:eastAsia="zh-CN"/>
        </w:rPr>
      </w:pPr>
      <w:r>
        <w:rPr>
          <w:rFonts w:hint="eastAsia" w:ascii="宋体" w:hAnsi="宋体"/>
          <w:iCs/>
          <w:color w:val="000000"/>
          <w:sz w:val="24"/>
          <w:lang w:val="en-US" w:eastAsia="zh-CN"/>
        </w:rPr>
        <w:t>（1）投标企业必须具备实验仪器、仪器配件及实验试剂的经营范围。</w:t>
      </w:r>
    </w:p>
    <w:p>
      <w:pPr>
        <w:spacing w:line="500" w:lineRule="exact"/>
        <w:ind w:firstLine="480" w:firstLineChars="200"/>
        <w:rPr>
          <w:rFonts w:hint="eastAsia" w:ascii="宋体" w:hAnsi="宋体"/>
          <w:iCs/>
          <w:color w:val="000000"/>
          <w:sz w:val="24"/>
        </w:rPr>
      </w:pPr>
      <w:r>
        <w:rPr>
          <w:rFonts w:hint="eastAsia" w:ascii="宋体" w:hAnsi="宋体"/>
          <w:iCs/>
          <w:color w:val="000000"/>
          <w:sz w:val="24"/>
        </w:rPr>
        <w:t>注：①开标时提供上述所有资格原件由专家进行审查。 </w:t>
      </w:r>
    </w:p>
    <w:p>
      <w:pPr>
        <w:spacing w:line="500" w:lineRule="exact"/>
        <w:ind w:firstLine="960" w:firstLineChars="400"/>
        <w:rPr>
          <w:rFonts w:hint="eastAsia" w:ascii="宋体" w:hAnsi="宋体"/>
          <w:iCs/>
          <w:color w:val="000000"/>
          <w:sz w:val="24"/>
        </w:rPr>
      </w:pPr>
      <w:r>
        <w:rPr>
          <w:rFonts w:hint="eastAsia" w:ascii="宋体" w:hAnsi="宋体"/>
          <w:iCs/>
          <w:color w:val="000000"/>
          <w:sz w:val="24"/>
        </w:rPr>
        <w:t>②供应商仔细阅读本次招标项目资格设定条件，严格按照本次资格设定条件进行网上报名，代理机构不对资格进行初审</w:t>
      </w:r>
      <w:r>
        <w:rPr>
          <w:rFonts w:hint="eastAsia" w:ascii="宋体" w:hAnsi="宋体"/>
          <w:iCs/>
          <w:color w:val="000000"/>
          <w:sz w:val="24"/>
          <w:lang w:eastAsia="zh-CN"/>
        </w:rPr>
        <w:t>；</w:t>
      </w:r>
      <w:r>
        <w:rPr>
          <w:rFonts w:hint="eastAsia" w:ascii="宋体" w:hAnsi="宋体"/>
          <w:iCs/>
          <w:color w:val="000000"/>
          <w:sz w:val="24"/>
        </w:rPr>
        <w:t>供应商因资格条件不符参与投标造成的损失代理机构与采购人概不负责。</w:t>
      </w:r>
    </w:p>
    <w:p>
      <w:pPr>
        <w:spacing w:line="500" w:lineRule="exact"/>
        <w:ind w:firstLine="482" w:firstLineChars="200"/>
        <w:rPr>
          <w:rFonts w:hAnsi="宋体"/>
          <w:b/>
          <w:color w:val="000000"/>
        </w:rPr>
      </w:pPr>
      <w:r>
        <w:rPr>
          <w:rFonts w:hint="eastAsia" w:hAnsi="宋体"/>
          <w:b/>
          <w:color w:val="000000"/>
          <w:sz w:val="24"/>
        </w:rPr>
        <w:t>4.报名时间</w:t>
      </w:r>
    </w:p>
    <w:p>
      <w:pPr>
        <w:spacing w:line="500" w:lineRule="exact"/>
        <w:ind w:firstLine="480" w:firstLineChars="200"/>
        <w:rPr>
          <w:rFonts w:ascii="宋体" w:hAnsi="宋体"/>
          <w:iCs/>
          <w:color w:val="000000"/>
          <w:sz w:val="24"/>
        </w:rPr>
      </w:pPr>
      <w:r>
        <w:rPr>
          <w:rFonts w:hint="eastAsia" w:ascii="宋体" w:hAnsi="宋体"/>
          <w:iCs/>
          <w:color w:val="000000"/>
          <w:sz w:val="24"/>
        </w:rPr>
        <w:t>4.1 公告时间：</w:t>
      </w:r>
      <w:r>
        <w:rPr>
          <w:rFonts w:hint="eastAsia" w:ascii="宋体" w:hAnsi="宋体"/>
          <w:color w:val="000000"/>
          <w:sz w:val="24"/>
          <w:u w:val="single"/>
        </w:rPr>
        <w:t xml:space="preserve">2018 </w:t>
      </w:r>
      <w:r>
        <w:rPr>
          <w:rFonts w:hint="eastAsia" w:ascii="宋体" w:hAnsi="宋体"/>
          <w:color w:val="000000"/>
          <w:sz w:val="24"/>
        </w:rPr>
        <w:t>年</w:t>
      </w:r>
      <w:r>
        <w:rPr>
          <w:rFonts w:hint="eastAsia" w:ascii="宋体" w:hAnsi="宋体"/>
          <w:color w:val="000000"/>
          <w:sz w:val="24"/>
          <w:u w:val="single"/>
        </w:rPr>
        <w:t xml:space="preserve"> 4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24</w:t>
      </w:r>
      <w:r>
        <w:rPr>
          <w:rFonts w:hint="eastAsia" w:ascii="宋体" w:hAnsi="宋体"/>
          <w:color w:val="000000"/>
          <w:sz w:val="24"/>
        </w:rPr>
        <w:t>日至</w:t>
      </w:r>
      <w:r>
        <w:rPr>
          <w:rFonts w:hint="eastAsia" w:ascii="宋体" w:hAnsi="宋体"/>
          <w:color w:val="000000"/>
          <w:sz w:val="24"/>
          <w:u w:val="single"/>
        </w:rPr>
        <w:t xml:space="preserve"> </w:t>
      </w:r>
      <w:r>
        <w:rPr>
          <w:rFonts w:hint="eastAsia" w:ascii="宋体" w:hAnsi="宋体"/>
          <w:color w:val="000000"/>
          <w:sz w:val="24"/>
          <w:u w:val="single"/>
          <w:lang w:val="en-US" w:eastAsia="zh-CN"/>
        </w:rPr>
        <w:t>5</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w:t>
      </w:r>
      <w:r>
        <w:rPr>
          <w:rFonts w:hint="eastAsia" w:ascii="宋体" w:hAnsi="宋体"/>
          <w:color w:val="000000"/>
          <w:sz w:val="24"/>
        </w:rPr>
        <w:t>日</w:t>
      </w:r>
      <w:r>
        <w:rPr>
          <w:rFonts w:hint="eastAsia" w:ascii="宋体" w:hAnsi="宋体"/>
          <w:iCs/>
          <w:color w:val="000000"/>
          <w:sz w:val="24"/>
        </w:rPr>
        <w:t>；</w:t>
      </w:r>
    </w:p>
    <w:p>
      <w:pPr>
        <w:spacing w:line="500" w:lineRule="exact"/>
        <w:ind w:firstLine="480" w:firstLineChars="200"/>
        <w:rPr>
          <w:rFonts w:ascii="宋体" w:hAnsi="宋体"/>
          <w:iCs/>
          <w:color w:val="000000"/>
          <w:sz w:val="24"/>
        </w:rPr>
      </w:pPr>
      <w:r>
        <w:rPr>
          <w:rFonts w:hint="eastAsia" w:ascii="宋体" w:hAnsi="宋体"/>
          <w:iCs/>
          <w:color w:val="000000"/>
          <w:sz w:val="24"/>
        </w:rPr>
        <w:t>4.2 报名时间：凡有意参加投标者，请于</w:t>
      </w:r>
      <w:r>
        <w:rPr>
          <w:rFonts w:hint="eastAsia" w:ascii="宋体" w:hAnsi="宋体"/>
          <w:color w:val="000000"/>
          <w:sz w:val="24"/>
          <w:u w:val="single"/>
        </w:rPr>
        <w:t xml:space="preserve">2018 </w:t>
      </w:r>
      <w:r>
        <w:rPr>
          <w:rFonts w:hint="eastAsia" w:ascii="宋体" w:hAnsi="宋体"/>
          <w:color w:val="000000"/>
          <w:sz w:val="24"/>
        </w:rPr>
        <w:t>年</w:t>
      </w:r>
      <w:r>
        <w:rPr>
          <w:rFonts w:hint="eastAsia" w:ascii="宋体" w:hAnsi="宋体"/>
          <w:color w:val="000000"/>
          <w:sz w:val="24"/>
          <w:u w:val="single"/>
        </w:rPr>
        <w:t xml:space="preserve"> 4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24</w:t>
      </w:r>
      <w:r>
        <w:rPr>
          <w:rFonts w:hint="eastAsia" w:ascii="宋体" w:hAnsi="宋体"/>
          <w:color w:val="000000"/>
          <w:sz w:val="24"/>
        </w:rPr>
        <w:t>日至</w:t>
      </w:r>
      <w:r>
        <w:rPr>
          <w:rFonts w:hint="eastAsia" w:ascii="宋体" w:hAnsi="宋体"/>
          <w:color w:val="000000"/>
          <w:sz w:val="24"/>
          <w:u w:val="single"/>
          <w:lang w:val="en-US" w:eastAsia="zh-CN"/>
        </w:rPr>
        <w:t>5</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w:t>
      </w:r>
      <w:r>
        <w:rPr>
          <w:rFonts w:hint="eastAsia" w:ascii="宋体" w:hAnsi="宋体"/>
          <w:color w:val="000000"/>
          <w:sz w:val="24"/>
        </w:rPr>
        <w:t>日</w:t>
      </w:r>
      <w:r>
        <w:rPr>
          <w:rFonts w:hint="eastAsia" w:ascii="宋体" w:hAnsi="宋体"/>
          <w:iCs/>
          <w:color w:val="000000"/>
          <w:sz w:val="24"/>
        </w:rPr>
        <w:t>。</w:t>
      </w:r>
    </w:p>
    <w:p>
      <w:pPr>
        <w:spacing w:line="500" w:lineRule="exact"/>
        <w:ind w:firstLine="480" w:firstLineChars="200"/>
        <w:rPr>
          <w:rFonts w:ascii="宋体" w:hAnsi="宋体"/>
          <w:iCs/>
          <w:color w:val="000000"/>
          <w:sz w:val="24"/>
        </w:rPr>
      </w:pPr>
      <w:r>
        <w:rPr>
          <w:rFonts w:hint="eastAsia" w:ascii="宋体" w:hAnsi="宋体"/>
          <w:iCs/>
          <w:color w:val="000000"/>
          <w:sz w:val="24"/>
        </w:rPr>
        <w:t>4.3报名方式：原则上登陆“宁夏公共资源交易网（固原市）（http://www.nxggzyjy.org/ningxiaweb/）”报名。特殊项目须经管理部门审核同意后进行现场报名。报名成功、缴纳标书费后，即可下载招标文件。</w:t>
      </w:r>
    </w:p>
    <w:p>
      <w:pPr>
        <w:spacing w:line="500" w:lineRule="exact"/>
        <w:ind w:firstLine="480" w:firstLineChars="200"/>
        <w:rPr>
          <w:rFonts w:ascii="宋体" w:hAnsi="宋体"/>
          <w:iCs/>
          <w:color w:val="000000"/>
          <w:sz w:val="24"/>
        </w:rPr>
      </w:pPr>
      <w:r>
        <w:rPr>
          <w:rFonts w:hint="eastAsia" w:ascii="宋体" w:hAnsi="宋体"/>
          <w:iCs/>
          <w:color w:val="000000"/>
          <w:sz w:val="24"/>
        </w:rPr>
        <w:t>注：①在规定时间内未按以上程序进行网上报名登记的供应商，投标一律不予接受。</w:t>
      </w:r>
    </w:p>
    <w:p>
      <w:pPr>
        <w:spacing w:line="500" w:lineRule="exact"/>
        <w:ind w:firstLine="480" w:firstLineChars="200"/>
        <w:rPr>
          <w:rFonts w:ascii="宋体" w:hAnsi="宋体"/>
          <w:iCs/>
          <w:color w:val="000000"/>
          <w:sz w:val="24"/>
        </w:rPr>
      </w:pPr>
      <w:r>
        <w:rPr>
          <w:rFonts w:hint="eastAsia" w:ascii="宋体" w:hAnsi="宋体"/>
          <w:iCs/>
          <w:color w:val="000000"/>
          <w:sz w:val="24"/>
        </w:rPr>
        <w:t>②该交易管理平台系统实行CA锁认证安全登陆管理，办理CA锁业务及平台操作事宜，请咨询江苏国泰新点软件有限公司。联系电话：0951-6891120</w:t>
      </w:r>
    </w:p>
    <w:p>
      <w:pPr>
        <w:spacing w:line="500" w:lineRule="exact"/>
        <w:ind w:firstLine="482" w:firstLineChars="200"/>
        <w:rPr>
          <w:rFonts w:ascii="宋体" w:hAnsi="宋体"/>
          <w:b/>
          <w:color w:val="000000"/>
          <w:sz w:val="24"/>
        </w:rPr>
      </w:pPr>
      <w:r>
        <w:rPr>
          <w:rFonts w:hint="eastAsia" w:ascii="宋体" w:hAnsi="宋体"/>
          <w:b/>
          <w:color w:val="000000"/>
          <w:sz w:val="24"/>
        </w:rPr>
        <w:t>5.招标文件获取</w:t>
      </w:r>
    </w:p>
    <w:p>
      <w:pPr>
        <w:spacing w:line="500" w:lineRule="exact"/>
        <w:ind w:firstLine="480" w:firstLineChars="200"/>
        <w:rPr>
          <w:rFonts w:ascii="宋体" w:hAnsi="宋体"/>
          <w:iCs/>
          <w:color w:val="000000"/>
          <w:sz w:val="24"/>
        </w:rPr>
      </w:pPr>
      <w:r>
        <w:rPr>
          <w:rFonts w:hint="eastAsia" w:ascii="宋体" w:hAnsi="宋体"/>
          <w:iCs/>
          <w:color w:val="000000"/>
          <w:sz w:val="24"/>
        </w:rPr>
        <w:t xml:space="preserve">5.1 </w:t>
      </w:r>
      <w:r>
        <w:rPr>
          <w:rFonts w:hint="eastAsia" w:ascii="宋体" w:hAnsi="宋体"/>
          <w:color w:val="000000"/>
          <w:sz w:val="24"/>
          <w:u w:val="single"/>
        </w:rPr>
        <w:t xml:space="preserve">2018 </w:t>
      </w:r>
      <w:r>
        <w:rPr>
          <w:rFonts w:hint="eastAsia" w:ascii="宋体" w:hAnsi="宋体"/>
          <w:color w:val="000000"/>
          <w:sz w:val="24"/>
        </w:rPr>
        <w:t>年</w:t>
      </w:r>
      <w:r>
        <w:rPr>
          <w:rFonts w:hint="eastAsia" w:ascii="宋体" w:hAnsi="宋体"/>
          <w:color w:val="000000"/>
          <w:sz w:val="24"/>
          <w:u w:val="single"/>
        </w:rPr>
        <w:t xml:space="preserve"> 4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24</w:t>
      </w:r>
      <w:r>
        <w:rPr>
          <w:rFonts w:hint="eastAsia" w:ascii="宋体" w:hAnsi="宋体"/>
          <w:color w:val="000000"/>
          <w:sz w:val="24"/>
        </w:rPr>
        <w:t>日至</w:t>
      </w:r>
      <w:r>
        <w:rPr>
          <w:rFonts w:hint="eastAsia" w:ascii="宋体" w:hAnsi="宋体"/>
          <w:color w:val="000000"/>
          <w:sz w:val="24"/>
          <w:u w:val="single"/>
        </w:rPr>
        <w:t xml:space="preserve"> </w:t>
      </w:r>
      <w:r>
        <w:rPr>
          <w:rFonts w:hint="eastAsia" w:ascii="宋体" w:hAnsi="宋体"/>
          <w:color w:val="000000"/>
          <w:sz w:val="24"/>
          <w:u w:val="single"/>
          <w:lang w:val="en-US" w:eastAsia="zh-CN"/>
        </w:rPr>
        <w:t>5</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2</w:t>
      </w:r>
      <w:r>
        <w:rPr>
          <w:rFonts w:hint="eastAsia" w:ascii="宋体" w:hAnsi="宋体"/>
          <w:color w:val="000000"/>
          <w:sz w:val="24"/>
        </w:rPr>
        <w:t>日</w:t>
      </w:r>
      <w:r>
        <w:rPr>
          <w:rFonts w:hint="eastAsia" w:ascii="宋体" w:hAnsi="宋体"/>
          <w:iCs/>
          <w:color w:val="000000"/>
          <w:sz w:val="24"/>
        </w:rPr>
        <w:t>，获取招标文件截止时间后未缴纳标书费的视为自动放弃投标资格。</w:t>
      </w:r>
    </w:p>
    <w:p>
      <w:pPr>
        <w:spacing w:line="500" w:lineRule="exact"/>
        <w:ind w:firstLine="480" w:firstLineChars="200"/>
        <w:rPr>
          <w:rFonts w:ascii="宋体" w:hAnsi="宋体"/>
          <w:iCs/>
          <w:color w:val="000000"/>
          <w:sz w:val="24"/>
        </w:rPr>
      </w:pPr>
      <w:r>
        <w:rPr>
          <w:rFonts w:hint="eastAsia" w:ascii="宋体" w:hAnsi="宋体"/>
          <w:iCs/>
          <w:color w:val="000000"/>
          <w:sz w:val="24"/>
        </w:rPr>
        <w:t>5.2 招标文件售价：每套（每个标段）人民币300元，售出不退。</w:t>
      </w:r>
    </w:p>
    <w:p>
      <w:pPr>
        <w:spacing w:line="500" w:lineRule="exact"/>
        <w:ind w:firstLine="480" w:firstLineChars="200"/>
        <w:rPr>
          <w:rFonts w:ascii="宋体" w:hAnsi="宋体"/>
          <w:iCs/>
          <w:color w:val="000000"/>
          <w:sz w:val="24"/>
        </w:rPr>
      </w:pPr>
      <w:r>
        <w:rPr>
          <w:rFonts w:hint="eastAsia" w:ascii="宋体" w:hAnsi="宋体"/>
          <w:iCs/>
          <w:color w:val="000000"/>
          <w:sz w:val="24"/>
        </w:rPr>
        <w:t>5.3 招标文件费缴纳：报名成功后，供应商在报名系统中找到对应项目标段的招标文件费用，缴纳后会自动在系统中反映出来,若足额则可在宁夏公共资源交易网下载电子版招标文件。</w:t>
      </w:r>
    </w:p>
    <w:p>
      <w:pPr>
        <w:spacing w:line="500" w:lineRule="exact"/>
        <w:ind w:firstLine="480" w:firstLineChars="200"/>
        <w:rPr>
          <w:rFonts w:ascii="宋体" w:hAnsi="宋体" w:cs="宋体"/>
          <w:color w:val="000000"/>
          <w:kern w:val="0"/>
          <w:sz w:val="24"/>
        </w:rPr>
      </w:pPr>
      <w:r>
        <w:rPr>
          <w:rFonts w:hint="eastAsia" w:ascii="宋体" w:hAnsi="宋体" w:cs="宋体"/>
          <w:color w:val="000000"/>
          <w:kern w:val="0"/>
          <w:sz w:val="24"/>
        </w:rPr>
        <w:t>5.4原则上供应商必须从本公司基本账户用转账方式于报名期间缴纳招标文件费，同时注明投标项目名称和标段；开标前1小时将进账单送代理机构核验后，开具标书费收据，开标时审验资质备查。</w:t>
      </w:r>
    </w:p>
    <w:p>
      <w:pPr>
        <w:pStyle w:val="3"/>
        <w:spacing w:after="0" w:line="500" w:lineRule="exact"/>
        <w:ind w:firstLine="480" w:firstLineChars="200"/>
        <w:rPr>
          <w:rFonts w:ascii="宋体" w:hAnsi="宋体" w:cs="宋体"/>
          <w:color w:val="000000"/>
          <w:kern w:val="0"/>
          <w:sz w:val="24"/>
          <w:shd w:val="clear" w:color="auto" w:fill="FFFFFF"/>
        </w:rPr>
      </w:pPr>
      <w:r>
        <w:rPr>
          <w:rFonts w:hint="eastAsia" w:ascii="宋体" w:hAnsi="宋体"/>
          <w:color w:val="000000"/>
          <w:sz w:val="24"/>
        </w:rPr>
        <w:t>5.</w:t>
      </w:r>
      <w:r>
        <w:rPr>
          <w:rFonts w:hint="eastAsia" w:ascii="宋体" w:hAnsi="宋体" w:cs="宋体"/>
          <w:color w:val="000000"/>
          <w:kern w:val="0"/>
          <w:sz w:val="24"/>
          <w:shd w:val="clear" w:color="auto" w:fill="FFFFFF"/>
        </w:rPr>
        <w:t>5报名通过、缴纳招标文件费后各供应商自行在宁夏公共资源交易网（固原市）（http://www.nxggzyjy.org/ningxiaweb/）下载招标文件，恕不另行通知，如有遗漏，采购单位或代理机构概不负责。</w:t>
      </w:r>
    </w:p>
    <w:p>
      <w:pPr>
        <w:spacing w:line="500" w:lineRule="exact"/>
        <w:ind w:firstLine="482" w:firstLineChars="200"/>
        <w:rPr>
          <w:rFonts w:ascii="宋体" w:hAnsi="宋体"/>
          <w:b/>
          <w:color w:val="000000"/>
          <w:sz w:val="24"/>
        </w:rPr>
      </w:pPr>
      <w:r>
        <w:rPr>
          <w:rFonts w:hint="eastAsia" w:ascii="宋体" w:hAnsi="宋体"/>
          <w:b/>
          <w:color w:val="000000"/>
          <w:sz w:val="24"/>
        </w:rPr>
        <w:t>6.投标截止时间、开标时间及地点</w:t>
      </w:r>
    </w:p>
    <w:p>
      <w:pPr>
        <w:pStyle w:val="3"/>
        <w:spacing w:after="0" w:line="500" w:lineRule="exact"/>
        <w:ind w:firstLine="480" w:firstLineChars="200"/>
        <w:rPr>
          <w:color w:val="000000"/>
          <w:sz w:val="24"/>
        </w:rPr>
      </w:pPr>
      <w:r>
        <w:rPr>
          <w:rFonts w:hint="eastAsia" w:ascii="宋体" w:hAnsi="宋体"/>
          <w:bCs/>
          <w:color w:val="000000"/>
          <w:sz w:val="24"/>
        </w:rPr>
        <w:t>6.1</w:t>
      </w:r>
      <w:r>
        <w:rPr>
          <w:rFonts w:hint="eastAsia"/>
          <w:bCs/>
          <w:color w:val="000000"/>
          <w:sz w:val="24"/>
        </w:rPr>
        <w:t>投标截止：</w:t>
      </w:r>
      <w:r>
        <w:rPr>
          <w:rFonts w:hint="eastAsia"/>
          <w:color w:val="auto"/>
          <w:sz w:val="24"/>
          <w:u w:val="single"/>
        </w:rPr>
        <w:t>2018</w:t>
      </w:r>
      <w:r>
        <w:rPr>
          <w:rFonts w:hint="eastAsia"/>
          <w:color w:val="auto"/>
          <w:sz w:val="24"/>
        </w:rPr>
        <w:t>年</w:t>
      </w:r>
      <w:r>
        <w:rPr>
          <w:rFonts w:hint="eastAsia"/>
          <w:color w:val="auto"/>
          <w:sz w:val="24"/>
          <w:u w:val="single"/>
        </w:rPr>
        <w:t xml:space="preserve"> </w:t>
      </w:r>
      <w:r>
        <w:rPr>
          <w:rFonts w:hint="eastAsia"/>
          <w:color w:val="auto"/>
          <w:sz w:val="24"/>
          <w:u w:val="single"/>
          <w:lang w:val="en-US" w:eastAsia="zh-CN"/>
        </w:rPr>
        <w:t>5</w:t>
      </w:r>
      <w:r>
        <w:rPr>
          <w:rFonts w:hint="eastAsia"/>
          <w:color w:val="auto"/>
          <w:sz w:val="24"/>
        </w:rPr>
        <w:t>月</w:t>
      </w:r>
      <w:r>
        <w:rPr>
          <w:rFonts w:hint="eastAsia"/>
          <w:color w:val="auto"/>
          <w:sz w:val="24"/>
          <w:u w:val="single"/>
        </w:rPr>
        <w:t xml:space="preserve"> </w:t>
      </w:r>
      <w:r>
        <w:rPr>
          <w:rFonts w:hint="eastAsia"/>
          <w:color w:val="auto"/>
          <w:sz w:val="24"/>
          <w:u w:val="single"/>
          <w:lang w:val="en-US" w:eastAsia="zh-CN"/>
        </w:rPr>
        <w:t>15</w:t>
      </w:r>
      <w:r>
        <w:rPr>
          <w:rFonts w:hint="eastAsia"/>
          <w:color w:val="auto"/>
          <w:sz w:val="24"/>
        </w:rPr>
        <w:t>日</w:t>
      </w:r>
      <w:r>
        <w:rPr>
          <w:rFonts w:hint="eastAsia"/>
          <w:color w:val="auto"/>
          <w:sz w:val="24"/>
          <w:u w:val="single"/>
        </w:rPr>
        <w:t xml:space="preserve"> </w:t>
      </w:r>
      <w:r>
        <w:rPr>
          <w:rFonts w:hint="eastAsia"/>
          <w:color w:val="auto"/>
          <w:sz w:val="24"/>
          <w:u w:val="single"/>
          <w:lang w:val="en-US" w:eastAsia="zh-CN"/>
        </w:rPr>
        <w:t>9</w:t>
      </w:r>
      <w:r>
        <w:rPr>
          <w:rFonts w:hint="eastAsia"/>
          <w:color w:val="auto"/>
          <w:sz w:val="24"/>
        </w:rPr>
        <w:t>时</w:t>
      </w:r>
      <w:r>
        <w:rPr>
          <w:rFonts w:hint="eastAsia"/>
          <w:color w:val="auto"/>
          <w:sz w:val="24"/>
          <w:u w:val="single"/>
        </w:rPr>
        <w:t xml:space="preserve"> 00 </w:t>
      </w:r>
      <w:r>
        <w:rPr>
          <w:rFonts w:hint="eastAsia"/>
          <w:color w:val="auto"/>
          <w:sz w:val="24"/>
        </w:rPr>
        <w:t>分止</w:t>
      </w:r>
      <w:r>
        <w:rPr>
          <w:rFonts w:hint="eastAsia"/>
          <w:color w:val="000000"/>
          <w:sz w:val="24"/>
        </w:rPr>
        <w:t>，超过截止时间的投标将被拒绝（☆）。</w:t>
      </w:r>
    </w:p>
    <w:p>
      <w:pPr>
        <w:pStyle w:val="3"/>
        <w:spacing w:after="0" w:line="500" w:lineRule="exact"/>
        <w:ind w:firstLine="480" w:firstLineChars="200"/>
        <w:rPr>
          <w:rFonts w:ascii="宋体" w:hAnsi="宋体" w:cs="Arial"/>
          <w:color w:val="000000"/>
          <w:sz w:val="24"/>
        </w:rPr>
      </w:pPr>
      <w:r>
        <w:rPr>
          <w:rFonts w:hint="eastAsia" w:ascii="宋体" w:hAnsi="宋体" w:cs="Arial"/>
          <w:color w:val="000000"/>
          <w:sz w:val="24"/>
        </w:rPr>
        <w:t>6.2逾期送达或者不按</w:t>
      </w:r>
      <w:r>
        <w:rPr>
          <w:rFonts w:hint="eastAsia" w:ascii="宋体" w:hAnsi="宋体"/>
          <w:color w:val="000000"/>
          <w:sz w:val="24"/>
        </w:rPr>
        <w:t>招标</w:t>
      </w:r>
      <w:r>
        <w:rPr>
          <w:rFonts w:hint="eastAsia" w:ascii="宋体" w:hAnsi="宋体" w:cs="Arial"/>
          <w:color w:val="000000"/>
          <w:sz w:val="24"/>
        </w:rPr>
        <w:t>文件要求密封</w:t>
      </w:r>
      <w:r>
        <w:rPr>
          <w:rFonts w:hint="eastAsia" w:ascii="宋体" w:hAnsi="宋体"/>
          <w:color w:val="000000"/>
          <w:sz w:val="24"/>
        </w:rPr>
        <w:t>的投标</w:t>
      </w:r>
      <w:r>
        <w:rPr>
          <w:rFonts w:hint="eastAsia" w:ascii="宋体" w:hAnsi="宋体" w:cs="Arial"/>
          <w:color w:val="000000"/>
          <w:sz w:val="24"/>
        </w:rPr>
        <w:t>文件，</w:t>
      </w:r>
      <w:r>
        <w:rPr>
          <w:rFonts w:hint="eastAsia" w:ascii="宋体" w:hAnsi="宋体"/>
          <w:color w:val="000000"/>
          <w:sz w:val="24"/>
        </w:rPr>
        <w:t>代理机构将拒绝接</w:t>
      </w:r>
      <w:r>
        <w:rPr>
          <w:rFonts w:hint="eastAsia" w:ascii="宋体" w:hAnsi="宋体" w:cs="Arial"/>
          <w:color w:val="000000"/>
          <w:sz w:val="24"/>
        </w:rPr>
        <w:t>收。</w:t>
      </w:r>
    </w:p>
    <w:p>
      <w:pPr>
        <w:pStyle w:val="3"/>
        <w:spacing w:after="0" w:line="500" w:lineRule="exact"/>
        <w:ind w:firstLine="480" w:firstLineChars="200"/>
        <w:rPr>
          <w:color w:val="000000"/>
          <w:sz w:val="24"/>
        </w:rPr>
      </w:pPr>
      <w:r>
        <w:rPr>
          <w:rFonts w:hint="eastAsia" w:ascii="宋体" w:hAnsi="宋体"/>
          <w:color w:val="000000"/>
          <w:sz w:val="24"/>
        </w:rPr>
        <w:t>6.3</w:t>
      </w:r>
      <w:r>
        <w:rPr>
          <w:rFonts w:hint="eastAsia"/>
          <w:color w:val="000000"/>
          <w:sz w:val="24"/>
        </w:rPr>
        <w:t>开标时间：</w:t>
      </w:r>
      <w:r>
        <w:rPr>
          <w:rFonts w:hint="eastAsia"/>
          <w:color w:val="auto"/>
          <w:sz w:val="24"/>
          <w:u w:val="single"/>
        </w:rPr>
        <w:t>2018</w:t>
      </w:r>
      <w:r>
        <w:rPr>
          <w:rFonts w:hint="eastAsia"/>
          <w:color w:val="auto"/>
          <w:sz w:val="24"/>
        </w:rPr>
        <w:t>年</w:t>
      </w:r>
      <w:r>
        <w:rPr>
          <w:rFonts w:hint="eastAsia"/>
          <w:color w:val="auto"/>
          <w:sz w:val="24"/>
          <w:u w:val="single"/>
        </w:rPr>
        <w:t xml:space="preserve"> </w:t>
      </w:r>
      <w:r>
        <w:rPr>
          <w:rFonts w:hint="eastAsia"/>
          <w:color w:val="auto"/>
          <w:sz w:val="24"/>
          <w:u w:val="single"/>
          <w:lang w:val="en-US" w:eastAsia="zh-CN"/>
        </w:rPr>
        <w:t>5</w:t>
      </w:r>
      <w:r>
        <w:rPr>
          <w:rFonts w:hint="eastAsia"/>
          <w:color w:val="auto"/>
          <w:sz w:val="24"/>
        </w:rPr>
        <w:t>月</w:t>
      </w:r>
      <w:r>
        <w:rPr>
          <w:rFonts w:hint="eastAsia"/>
          <w:color w:val="auto"/>
          <w:sz w:val="24"/>
          <w:u w:val="single"/>
        </w:rPr>
        <w:t xml:space="preserve"> </w:t>
      </w:r>
      <w:r>
        <w:rPr>
          <w:rFonts w:hint="eastAsia"/>
          <w:color w:val="auto"/>
          <w:sz w:val="24"/>
          <w:u w:val="single"/>
          <w:lang w:val="en-US" w:eastAsia="zh-CN"/>
        </w:rPr>
        <w:t>15</w:t>
      </w:r>
      <w:r>
        <w:rPr>
          <w:rFonts w:hint="eastAsia"/>
          <w:color w:val="auto"/>
          <w:sz w:val="24"/>
        </w:rPr>
        <w:t>日</w:t>
      </w:r>
      <w:r>
        <w:rPr>
          <w:rFonts w:hint="eastAsia"/>
          <w:color w:val="auto"/>
          <w:sz w:val="24"/>
          <w:u w:val="single"/>
        </w:rPr>
        <w:t xml:space="preserve"> </w:t>
      </w:r>
      <w:r>
        <w:rPr>
          <w:rFonts w:hint="eastAsia"/>
          <w:color w:val="auto"/>
          <w:sz w:val="24"/>
          <w:u w:val="single"/>
          <w:lang w:val="en-US" w:eastAsia="zh-CN"/>
        </w:rPr>
        <w:t>9</w:t>
      </w:r>
      <w:r>
        <w:rPr>
          <w:rFonts w:hint="eastAsia"/>
          <w:color w:val="auto"/>
          <w:sz w:val="24"/>
        </w:rPr>
        <w:t>时</w:t>
      </w:r>
      <w:r>
        <w:rPr>
          <w:rFonts w:hint="eastAsia"/>
          <w:color w:val="auto"/>
          <w:sz w:val="24"/>
          <w:u w:val="single"/>
        </w:rPr>
        <w:t xml:space="preserve"> 00 </w:t>
      </w:r>
      <w:r>
        <w:rPr>
          <w:rFonts w:hint="eastAsia"/>
          <w:color w:val="auto"/>
          <w:sz w:val="24"/>
        </w:rPr>
        <w:t>分</w:t>
      </w:r>
      <w:r>
        <w:rPr>
          <w:rFonts w:hint="eastAsia"/>
          <w:color w:val="000000"/>
          <w:sz w:val="24"/>
        </w:rPr>
        <w:t>。</w:t>
      </w:r>
    </w:p>
    <w:p>
      <w:pPr>
        <w:pStyle w:val="3"/>
        <w:spacing w:after="0" w:line="500" w:lineRule="exact"/>
        <w:ind w:firstLine="480" w:firstLineChars="200"/>
        <w:rPr>
          <w:color w:val="auto"/>
          <w:sz w:val="24"/>
        </w:rPr>
      </w:pPr>
      <w:r>
        <w:rPr>
          <w:rFonts w:hint="eastAsia" w:ascii="宋体" w:hAnsi="宋体"/>
          <w:color w:val="000000"/>
          <w:sz w:val="24"/>
        </w:rPr>
        <w:t>6.4</w:t>
      </w:r>
      <w:r>
        <w:rPr>
          <w:rFonts w:hint="eastAsia"/>
          <w:color w:val="000000"/>
          <w:sz w:val="24"/>
        </w:rPr>
        <w:t>开标地点：固原市公共资源交易中心</w:t>
      </w:r>
      <w:r>
        <w:rPr>
          <w:rFonts w:hint="eastAsia"/>
          <w:color w:val="auto"/>
          <w:sz w:val="24"/>
        </w:rPr>
        <w:t>第</w:t>
      </w:r>
      <w:r>
        <w:rPr>
          <w:rFonts w:hint="eastAsia"/>
          <w:color w:val="auto"/>
          <w:sz w:val="24"/>
          <w:u w:val="none"/>
          <w:lang w:eastAsia="zh-CN"/>
        </w:rPr>
        <w:t>四</w:t>
      </w:r>
      <w:r>
        <w:rPr>
          <w:rFonts w:hint="eastAsia"/>
          <w:color w:val="auto"/>
          <w:sz w:val="24"/>
        </w:rPr>
        <w:t>开标厅第</w:t>
      </w:r>
      <w:r>
        <w:rPr>
          <w:rFonts w:hint="eastAsia"/>
          <w:color w:val="auto"/>
          <w:sz w:val="24"/>
          <w:u w:val="none"/>
        </w:rPr>
        <w:t>一</w:t>
      </w:r>
      <w:r>
        <w:rPr>
          <w:rFonts w:hint="eastAsia"/>
          <w:color w:val="auto"/>
          <w:sz w:val="24"/>
        </w:rPr>
        <w:t>评标室</w:t>
      </w:r>
    </w:p>
    <w:p>
      <w:pPr>
        <w:pStyle w:val="3"/>
        <w:spacing w:after="0" w:line="500" w:lineRule="exact"/>
        <w:ind w:firstLine="480" w:firstLineChars="200"/>
        <w:rPr>
          <w:color w:val="000000"/>
          <w:sz w:val="24"/>
        </w:rPr>
      </w:pPr>
      <w:r>
        <w:rPr>
          <w:rFonts w:hint="eastAsia" w:ascii="宋体" w:hAnsi="宋体"/>
          <w:color w:val="000000"/>
          <w:sz w:val="24"/>
        </w:rPr>
        <w:t>6.5</w:t>
      </w:r>
      <w:r>
        <w:rPr>
          <w:rFonts w:hint="eastAsia"/>
          <w:color w:val="000000"/>
          <w:sz w:val="24"/>
        </w:rPr>
        <w:t>法人代表或授权代表须准时到会，出示身份证原件并签名以示出席；否则，其投标将被拒绝。</w:t>
      </w:r>
    </w:p>
    <w:p>
      <w:pPr>
        <w:spacing w:line="500" w:lineRule="exact"/>
        <w:ind w:firstLine="482" w:firstLineChars="200"/>
        <w:rPr>
          <w:rFonts w:ascii="宋体" w:hAnsi="宋体"/>
          <w:b/>
          <w:sz w:val="24"/>
        </w:rPr>
      </w:pPr>
      <w:r>
        <w:rPr>
          <w:rFonts w:hint="eastAsia" w:ascii="宋体" w:hAnsi="宋体"/>
          <w:b/>
          <w:sz w:val="24"/>
        </w:rPr>
        <w:t>7.投标保证金</w:t>
      </w:r>
    </w:p>
    <w:p>
      <w:pPr>
        <w:spacing w:line="500" w:lineRule="exact"/>
        <w:ind w:firstLine="480" w:firstLineChars="200"/>
        <w:rPr>
          <w:color w:val="000000"/>
          <w:sz w:val="24"/>
        </w:rPr>
      </w:pPr>
      <w:r>
        <w:rPr>
          <w:rFonts w:hint="eastAsia"/>
          <w:color w:val="000000"/>
          <w:sz w:val="24"/>
        </w:rPr>
        <w:t>7.1递送投标文件一个工作日前，供应商须按招标文件相关规定足额缴纳投标保证金。</w:t>
      </w:r>
    </w:p>
    <w:p>
      <w:pPr>
        <w:spacing w:line="500" w:lineRule="exact"/>
        <w:ind w:firstLine="480" w:firstLineChars="200"/>
        <w:rPr>
          <w:color w:val="000000"/>
          <w:sz w:val="24"/>
        </w:rPr>
      </w:pPr>
      <w:r>
        <w:rPr>
          <w:rFonts w:hint="eastAsia"/>
          <w:color w:val="000000"/>
          <w:sz w:val="24"/>
        </w:rPr>
        <w:t>7.2缴纳方式及退付</w:t>
      </w:r>
    </w:p>
    <w:p>
      <w:pPr>
        <w:spacing w:line="500" w:lineRule="exact"/>
        <w:ind w:firstLine="480" w:firstLineChars="200"/>
        <w:rPr>
          <w:color w:val="000000"/>
          <w:sz w:val="24"/>
        </w:rPr>
      </w:pPr>
      <w:r>
        <w:rPr>
          <w:rFonts w:hint="eastAsia"/>
          <w:color w:val="000000"/>
          <w:sz w:val="24"/>
        </w:rPr>
        <w:t>（1）投标保证金请汇至：</w:t>
      </w:r>
    </w:p>
    <w:p>
      <w:pPr>
        <w:spacing w:line="500" w:lineRule="exact"/>
        <w:ind w:firstLine="480" w:firstLineChars="200"/>
        <w:rPr>
          <w:color w:val="000000"/>
          <w:sz w:val="24"/>
        </w:rPr>
      </w:pPr>
      <w:r>
        <w:rPr>
          <w:rFonts w:hint="eastAsia"/>
          <w:color w:val="000000"/>
          <w:sz w:val="24"/>
        </w:rPr>
        <w:t> 帐户名：固原市公共资源交易中心</w:t>
      </w:r>
    </w:p>
    <w:p>
      <w:pPr>
        <w:spacing w:line="500" w:lineRule="exact"/>
        <w:ind w:firstLine="480" w:firstLineChars="200"/>
        <w:rPr>
          <w:color w:val="000000"/>
          <w:sz w:val="24"/>
        </w:rPr>
      </w:pPr>
      <w:r>
        <w:rPr>
          <w:rFonts w:hint="eastAsia"/>
          <w:color w:val="000000"/>
          <w:sz w:val="24"/>
        </w:rPr>
        <w:t> 开户行：石嘴山银行股份有限公司固原分行</w:t>
      </w:r>
    </w:p>
    <w:p>
      <w:pPr>
        <w:spacing w:line="500" w:lineRule="exact"/>
        <w:ind w:firstLine="480" w:firstLineChars="200"/>
        <w:rPr>
          <w:sz w:val="24"/>
        </w:rPr>
      </w:pPr>
      <w:r>
        <w:rPr>
          <w:rFonts w:hint="eastAsia"/>
          <w:sz w:val="24"/>
        </w:rPr>
        <w:t> 账  号：系统内随机提供产生的子账号</w:t>
      </w:r>
    </w:p>
    <w:p>
      <w:pPr>
        <w:spacing w:line="500" w:lineRule="exact"/>
        <w:ind w:firstLine="480" w:firstLineChars="200"/>
        <w:rPr>
          <w:color w:val="000000"/>
          <w:sz w:val="24"/>
        </w:rPr>
      </w:pPr>
      <w:r>
        <w:rPr>
          <w:rFonts w:hint="eastAsia"/>
          <w:color w:val="000000"/>
          <w:sz w:val="24"/>
        </w:rPr>
        <w:t>（2） 投标保证金缴纳截止时间：开标前一个工作日</w:t>
      </w:r>
    </w:p>
    <w:p>
      <w:pPr>
        <w:spacing w:line="500" w:lineRule="exact"/>
        <w:ind w:firstLine="480" w:firstLineChars="200"/>
        <w:rPr>
          <w:color w:val="000000"/>
          <w:sz w:val="24"/>
        </w:rPr>
      </w:pPr>
      <w:r>
        <w:rPr>
          <w:rFonts w:hint="eastAsia"/>
          <w:color w:val="000000"/>
          <w:sz w:val="24"/>
        </w:rPr>
        <w:t>（3）投标人在网上报名成功后，CA网上系统会自动生成一个随机虚拟账户，可按该账户直接缴纳投标保证金。</w:t>
      </w:r>
    </w:p>
    <w:p>
      <w:pPr>
        <w:spacing w:line="500" w:lineRule="exact"/>
        <w:ind w:firstLine="480" w:firstLineChars="200"/>
        <w:rPr>
          <w:color w:val="000000"/>
          <w:sz w:val="24"/>
        </w:rPr>
      </w:pPr>
      <w:r>
        <w:rPr>
          <w:rFonts w:hint="eastAsia"/>
          <w:color w:val="000000"/>
          <w:sz w:val="24"/>
        </w:rPr>
        <w:t>（4）投标人务必按照网上系统提供的子账号缴纳投标保证金，投标保证金必须以投标人的基本户转入(不接收个人网银业务)，其他户转入投标时出现问题、账号填写有误或未及时缴纳将导致投标保证金无法按时到账，后果将由投标人自行承担。</w:t>
      </w:r>
    </w:p>
    <w:p>
      <w:pPr>
        <w:spacing w:line="500" w:lineRule="exact"/>
        <w:ind w:firstLine="480" w:firstLineChars="200"/>
        <w:rPr>
          <w:color w:val="000000"/>
          <w:sz w:val="24"/>
        </w:rPr>
      </w:pPr>
      <w:r>
        <w:rPr>
          <w:rFonts w:hint="eastAsia"/>
          <w:color w:val="000000"/>
          <w:sz w:val="24"/>
        </w:rPr>
        <w:t>（5）投标人需充分考虑保证金缴纳时间段内的银行处理业务时间以及节假日等客观因素，确保在开标前一个工作日及时汇出并保证按时到账。投标保证金的缴纳情况由代理机构进行核实。</w:t>
      </w:r>
    </w:p>
    <w:p>
      <w:pPr>
        <w:spacing w:line="500" w:lineRule="exact"/>
        <w:ind w:firstLine="480" w:firstLineChars="200"/>
        <w:rPr>
          <w:color w:val="000000"/>
          <w:sz w:val="24"/>
        </w:rPr>
      </w:pPr>
      <w:r>
        <w:rPr>
          <w:rFonts w:hint="eastAsia"/>
          <w:color w:val="000000"/>
          <w:sz w:val="24"/>
        </w:rPr>
        <w:t>（6）退付投标保证金通过交易平台系统直接转入投标人的基本账户，未中标人的投标保证金在中标通知书发出之日起五个工作日内退付，中标人的投标保证金在签订合同之日起五个工作日内退付，履约保证金按有关规定办理。具体缴纳及退付方式请参考固原市公共资源交易网发布的“关于推行网上报名和收退投标保证金工作的通知”。网上报名和收退投标保证金工作及平台操作事宜，请咨询江苏国泰新点软件有限公司。联系电话：0951-6891120、4008503300\0954-2039234</w:t>
      </w:r>
    </w:p>
    <w:p>
      <w:pPr>
        <w:spacing w:line="500" w:lineRule="exact"/>
        <w:ind w:firstLine="480" w:firstLineChars="200"/>
        <w:rPr>
          <w:color w:val="000000"/>
          <w:sz w:val="24"/>
        </w:rPr>
      </w:pPr>
      <w:r>
        <w:rPr>
          <w:rFonts w:hint="eastAsia"/>
          <w:color w:val="000000"/>
          <w:sz w:val="24"/>
        </w:rPr>
        <w:t>7.3 未按时足额缴纳投标保证金的，其投标将被拒绝。</w:t>
      </w:r>
    </w:p>
    <w:p>
      <w:pPr>
        <w:spacing w:line="500" w:lineRule="exact"/>
        <w:ind w:firstLine="482" w:firstLineChars="200"/>
        <w:rPr>
          <w:rFonts w:ascii="宋体" w:hAnsi="宋体"/>
          <w:color w:val="000000"/>
          <w:sz w:val="24"/>
        </w:rPr>
      </w:pPr>
      <w:r>
        <w:rPr>
          <w:rFonts w:hint="eastAsia" w:ascii="宋体" w:hAnsi="宋体"/>
          <w:b/>
          <w:color w:val="000000"/>
          <w:sz w:val="24"/>
        </w:rPr>
        <w:t>8.项目完成时间</w:t>
      </w:r>
    </w:p>
    <w:p>
      <w:pPr>
        <w:spacing w:line="500" w:lineRule="exact"/>
        <w:ind w:firstLine="480" w:firstLineChars="200"/>
        <w:rPr>
          <w:rFonts w:hint="eastAsia" w:ascii="宋体" w:hAnsi="宋体"/>
          <w:color w:val="FF0000"/>
          <w:sz w:val="24"/>
        </w:rPr>
      </w:pPr>
      <w:r>
        <w:rPr>
          <w:rFonts w:hint="eastAsia" w:ascii="宋体" w:hAnsi="宋体"/>
          <w:color w:val="auto"/>
          <w:sz w:val="24"/>
        </w:rPr>
        <w:t>合同签订后30日内供货结束</w:t>
      </w:r>
      <w:r>
        <w:rPr>
          <w:rFonts w:hint="eastAsia" w:ascii="宋体" w:hAnsi="宋体"/>
          <w:color w:val="FF0000"/>
          <w:sz w:val="24"/>
        </w:rPr>
        <w:t>。</w:t>
      </w:r>
    </w:p>
    <w:p>
      <w:pPr>
        <w:spacing w:line="500" w:lineRule="exact"/>
        <w:ind w:firstLine="482" w:firstLineChars="200"/>
        <w:rPr>
          <w:rFonts w:ascii="宋体" w:hAnsi="宋体"/>
          <w:b/>
          <w:color w:val="000000"/>
          <w:sz w:val="24"/>
        </w:rPr>
      </w:pPr>
      <w:r>
        <w:rPr>
          <w:rFonts w:hint="eastAsia" w:ascii="宋体" w:hAnsi="宋体"/>
          <w:b/>
          <w:color w:val="000000"/>
          <w:sz w:val="24"/>
        </w:rPr>
        <w:t>9.采购单位及代理机构联系方式</w:t>
      </w:r>
    </w:p>
    <w:p>
      <w:pPr>
        <w:spacing w:line="500" w:lineRule="exact"/>
        <w:ind w:firstLine="480" w:firstLineChars="200"/>
        <w:rPr>
          <w:rFonts w:ascii="宋体" w:hAnsi="宋体"/>
          <w:color w:val="000000"/>
          <w:sz w:val="24"/>
        </w:rPr>
      </w:pPr>
      <w:r>
        <w:rPr>
          <w:rFonts w:hint="eastAsia" w:ascii="宋体" w:hAnsi="宋体"/>
          <w:color w:val="000000"/>
          <w:sz w:val="24"/>
        </w:rPr>
        <w:t>9.1单位名称：西吉县农牧局</w:t>
      </w:r>
    </w:p>
    <w:p>
      <w:pPr>
        <w:spacing w:line="500" w:lineRule="exact"/>
        <w:ind w:firstLine="480" w:firstLineChars="200"/>
        <w:rPr>
          <w:rFonts w:hint="eastAsia" w:ascii="宋体" w:hAnsi="宋体" w:eastAsiaTheme="minorEastAsia"/>
          <w:color w:val="000000"/>
          <w:sz w:val="24"/>
          <w:lang w:eastAsia="zh-CN"/>
        </w:rPr>
      </w:pPr>
      <w:r>
        <w:rPr>
          <w:rFonts w:hint="eastAsia" w:ascii="宋体" w:hAnsi="宋体"/>
          <w:color w:val="000000"/>
          <w:sz w:val="24"/>
        </w:rPr>
        <w:t>联系人：</w:t>
      </w:r>
      <w:r>
        <w:rPr>
          <w:rFonts w:hint="eastAsia" w:ascii="宋体" w:hAnsi="宋体"/>
          <w:color w:val="000000"/>
          <w:sz w:val="24"/>
          <w:lang w:eastAsia="zh-CN"/>
        </w:rPr>
        <w:t>王攀峰</w:t>
      </w:r>
    </w:p>
    <w:p>
      <w:pPr>
        <w:spacing w:line="500" w:lineRule="exact"/>
        <w:ind w:firstLine="480" w:firstLineChars="200"/>
        <w:rPr>
          <w:rFonts w:hint="eastAsia" w:ascii="宋体" w:hAnsi="宋体"/>
          <w:color w:val="000000"/>
          <w:sz w:val="24"/>
          <w:lang w:val="en-US" w:eastAsia="zh-CN"/>
        </w:rPr>
      </w:pPr>
      <w:r>
        <w:rPr>
          <w:rFonts w:hint="eastAsia" w:ascii="宋体" w:hAnsi="宋体"/>
          <w:color w:val="000000"/>
          <w:sz w:val="24"/>
        </w:rPr>
        <w:t>电话：</w:t>
      </w:r>
      <w:r>
        <w:rPr>
          <w:rFonts w:hint="eastAsia" w:ascii="宋体" w:hAnsi="宋体"/>
          <w:color w:val="000000"/>
          <w:sz w:val="24"/>
          <w:lang w:val="en-US" w:eastAsia="zh-CN"/>
        </w:rPr>
        <w:t>18195044638</w:t>
      </w:r>
    </w:p>
    <w:p>
      <w:pPr>
        <w:spacing w:line="500" w:lineRule="exact"/>
        <w:ind w:firstLine="480" w:firstLineChars="200"/>
        <w:rPr>
          <w:rFonts w:ascii="宋体" w:hAnsi="宋体"/>
          <w:color w:val="000000"/>
          <w:sz w:val="24"/>
        </w:rPr>
      </w:pPr>
      <w:r>
        <w:rPr>
          <w:rFonts w:hint="eastAsia" w:ascii="宋体" w:hAnsi="宋体"/>
          <w:color w:val="000000"/>
          <w:sz w:val="24"/>
        </w:rPr>
        <w:t>9.2代理机构：宁夏鼎新工程咨询有限公司</w:t>
      </w:r>
    </w:p>
    <w:p>
      <w:pPr>
        <w:spacing w:line="500" w:lineRule="exact"/>
        <w:ind w:firstLine="480" w:firstLineChars="200"/>
        <w:rPr>
          <w:rFonts w:ascii="宋体" w:hAnsi="宋体"/>
          <w:i/>
          <w:iCs/>
          <w:color w:val="000000"/>
          <w:sz w:val="24"/>
        </w:rPr>
      </w:pPr>
      <w:r>
        <w:rPr>
          <w:rFonts w:hint="eastAsia" w:ascii="宋体" w:hAnsi="宋体"/>
          <w:color w:val="000000"/>
          <w:sz w:val="24"/>
        </w:rPr>
        <w:t>地址：固原市经济开发区九龙路银联机动车检测站对面</w:t>
      </w:r>
    </w:p>
    <w:p>
      <w:pPr>
        <w:spacing w:line="500" w:lineRule="exact"/>
        <w:ind w:firstLine="480" w:firstLineChars="200"/>
        <w:rPr>
          <w:color w:val="000000"/>
          <w:sz w:val="24"/>
        </w:rPr>
      </w:pPr>
      <w:r>
        <w:rPr>
          <w:color w:val="000000"/>
          <w:sz w:val="24"/>
        </w:rPr>
        <w:t>联系人：</w:t>
      </w:r>
      <w:r>
        <w:rPr>
          <w:rFonts w:hint="eastAsia"/>
          <w:color w:val="000000"/>
          <w:sz w:val="24"/>
        </w:rPr>
        <w:t>魏燕华</w:t>
      </w:r>
    </w:p>
    <w:p>
      <w:pPr>
        <w:spacing w:line="500" w:lineRule="exact"/>
        <w:ind w:firstLine="480" w:firstLineChars="200"/>
        <w:rPr>
          <w:color w:val="000000"/>
          <w:sz w:val="24"/>
        </w:rPr>
      </w:pPr>
      <w:r>
        <w:rPr>
          <w:color w:val="000000"/>
          <w:sz w:val="24"/>
        </w:rPr>
        <w:t>电话：</w:t>
      </w:r>
      <w:r>
        <w:rPr>
          <w:rFonts w:hint="eastAsia"/>
          <w:color w:val="000000"/>
          <w:sz w:val="24"/>
        </w:rPr>
        <w:t xml:space="preserve"> 13139542119  0954-2081666</w:t>
      </w:r>
    </w:p>
    <w:p>
      <w:pPr>
        <w:spacing w:line="500" w:lineRule="exact"/>
        <w:ind w:firstLine="480" w:firstLineChars="200"/>
        <w:rPr>
          <w:color w:val="000000"/>
          <w:sz w:val="24"/>
        </w:rPr>
      </w:pPr>
    </w:p>
    <w:p>
      <w:pPr>
        <w:spacing w:line="500" w:lineRule="exact"/>
        <w:ind w:firstLine="480" w:firstLineChars="200"/>
        <w:rPr>
          <w:color w:val="000000"/>
          <w:sz w:val="24"/>
        </w:rPr>
      </w:pPr>
      <w:r>
        <w:rPr>
          <w:rFonts w:hint="eastAsia"/>
          <w:color w:val="000000"/>
          <w:sz w:val="24"/>
        </w:rPr>
        <w:t xml:space="preserve">                                 宁夏鼎新工程咨询有限公司</w:t>
      </w:r>
    </w:p>
    <w:p>
      <w:r>
        <w:rPr>
          <w:rFonts w:hint="eastAsia"/>
          <w:color w:val="000000"/>
          <w:sz w:val="24"/>
        </w:rPr>
        <w:t xml:space="preserve">                                        2018年4月23日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C1ECD"/>
    <w:rsid w:val="00032ABA"/>
    <w:rsid w:val="00662C6F"/>
    <w:rsid w:val="00764E6C"/>
    <w:rsid w:val="009E01A0"/>
    <w:rsid w:val="03431B2B"/>
    <w:rsid w:val="3FCC1ECD"/>
    <w:rsid w:val="4D1F23C1"/>
    <w:rsid w:val="55EE47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ody Text 2"/>
    <w:basedOn w:val="1"/>
    <w:uiPriority w:val="0"/>
    <w:pPr>
      <w:spacing w:after="120" w:line="48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280F2-C17F-4626-8D09-5C7772D74AE8}">
  <ds:schemaRefs/>
</ds:datastoreItem>
</file>

<file path=docProps/app.xml><?xml version="1.0" encoding="utf-8"?>
<Properties xmlns="http://schemas.openxmlformats.org/officeDocument/2006/extended-properties" xmlns:vt="http://schemas.openxmlformats.org/officeDocument/2006/docPropsVTypes">
  <Template>0</Template>
  <Pages>7</Pages>
  <Words>3320</Words>
  <Characters>1571</Characters>
  <Lines>13</Lines>
  <Paragraphs>9</Paragraphs>
  <TotalTime>7</TotalTime>
  <ScaleCrop>false</ScaleCrop>
  <LinksUpToDate>false</LinksUpToDate>
  <CharactersWithSpaces>4882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2018-04-22T01:26:00Z</dcterms:created>
  <dc:creator>若····</dc:creator>
  <cp:lastModifiedBy>蓉嬷嬷</cp:lastModifiedBy>
  <dcterms:modified xsi:type="dcterms:W3CDTF">2018-04-23T05:19:24Z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