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126" y="0"/>
                <wp:lineTo x="-126" y="21257"/>
                <wp:lineTo x="21600" y="21257"/>
                <wp:lineTo x="21600" y="0"/>
                <wp:lineTo x="-126" y="0"/>
              </wp:wrapPolygon>
            </wp:wrapTight>
            <wp:docPr id="1"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b/>
          <w:color w:val="auto"/>
          <w:sz w:val="44"/>
          <w:szCs w:val="44"/>
          <w:highlight w:val="none"/>
        </w:rPr>
      </w:pPr>
    </w:p>
    <w:p>
      <w:pPr>
        <w:spacing w:after="312" w:afterLines="100" w:line="500" w:lineRule="exact"/>
        <w:jc w:val="center"/>
        <w:rPr>
          <w:b/>
          <w:color w:val="auto"/>
          <w:sz w:val="52"/>
          <w:szCs w:val="52"/>
          <w:highlight w:val="none"/>
        </w:rPr>
      </w:pPr>
    </w:p>
    <w:p>
      <w:pPr>
        <w:spacing w:after="312" w:afterLines="100" w:line="500" w:lineRule="exact"/>
        <w:jc w:val="center"/>
        <w:rPr>
          <w:b/>
          <w:color w:val="auto"/>
          <w:sz w:val="52"/>
          <w:szCs w:val="52"/>
          <w:highlight w:val="none"/>
        </w:rPr>
      </w:pPr>
      <w:r>
        <w:rPr>
          <w:rFonts w:hint="eastAsia"/>
          <w:b/>
          <w:color w:val="auto"/>
          <w:sz w:val="52"/>
          <w:szCs w:val="52"/>
          <w:highlight w:val="none"/>
        </w:rPr>
        <w:t>中国科学院新疆生态与地理研究所</w:t>
      </w:r>
    </w:p>
    <w:p>
      <w:pPr>
        <w:spacing w:after="312" w:afterLines="100"/>
        <w:jc w:val="center"/>
        <w:rPr>
          <w:b/>
          <w:color w:val="auto"/>
          <w:sz w:val="52"/>
          <w:szCs w:val="52"/>
          <w:highlight w:val="none"/>
          <w:u w:val="single"/>
        </w:rPr>
      </w:pPr>
      <w:r>
        <w:rPr>
          <w:rFonts w:hint="eastAsia"/>
          <w:b/>
          <w:color w:val="auto"/>
          <w:sz w:val="52"/>
          <w:szCs w:val="52"/>
          <w:highlight w:val="none"/>
          <w:u w:val="single"/>
        </w:rPr>
        <w:t>2022年中亚中心海外联合实验室</w:t>
      </w:r>
    </w:p>
    <w:p>
      <w:pPr>
        <w:spacing w:after="312" w:afterLines="100"/>
        <w:jc w:val="center"/>
        <w:rPr>
          <w:b/>
          <w:color w:val="auto"/>
          <w:sz w:val="52"/>
          <w:szCs w:val="52"/>
          <w:highlight w:val="none"/>
        </w:rPr>
      </w:pPr>
      <w:r>
        <w:rPr>
          <w:rFonts w:hint="eastAsia"/>
          <w:b/>
          <w:color w:val="auto"/>
          <w:sz w:val="52"/>
          <w:szCs w:val="52"/>
          <w:highlight w:val="none"/>
        </w:rPr>
        <w:t>采购项目</w:t>
      </w:r>
    </w:p>
    <w:p>
      <w:pPr>
        <w:spacing w:line="360" w:lineRule="auto"/>
        <w:jc w:val="center"/>
        <w:rPr>
          <w:b/>
          <w:color w:val="auto"/>
          <w:sz w:val="44"/>
          <w:highlight w:val="none"/>
        </w:rPr>
      </w:pPr>
    </w:p>
    <w:p>
      <w:pPr>
        <w:spacing w:line="360" w:lineRule="auto"/>
        <w:jc w:val="center"/>
        <w:rPr>
          <w:rFonts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ascii="宋体" w:hAnsi="宋体"/>
          <w:b/>
          <w:color w:val="auto"/>
          <w:sz w:val="32"/>
          <w:szCs w:val="32"/>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center"/>
        <w:rPr>
          <w:rFonts w:ascii="宋体" w:hAnsi="宋体"/>
          <w:b/>
          <w:color w:val="auto"/>
          <w:sz w:val="30"/>
          <w:szCs w:val="30"/>
          <w:highlight w:val="none"/>
        </w:rPr>
      </w:pPr>
    </w:p>
    <w:p>
      <w:pPr>
        <w:spacing w:line="360" w:lineRule="auto"/>
        <w:ind w:firstLine="2168" w:firstLineChars="600"/>
        <w:rPr>
          <w:b/>
          <w:color w:val="auto"/>
          <w:sz w:val="32"/>
          <w:highlight w:val="none"/>
          <w:u w:val="single"/>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rPr>
        <w:t>OITC-220300325</w:t>
      </w:r>
    </w:p>
    <w:p>
      <w:pPr>
        <w:spacing w:line="360" w:lineRule="auto"/>
        <w:jc w:val="center"/>
        <w:rPr>
          <w:b/>
          <w:color w:val="auto"/>
          <w:sz w:val="32"/>
          <w:highlight w:val="none"/>
        </w:rPr>
      </w:pPr>
    </w:p>
    <w:p>
      <w:pPr>
        <w:adjustRightInd w:val="0"/>
        <w:snapToGrid w:val="0"/>
        <w:spacing w:before="120"/>
        <w:jc w:val="center"/>
        <w:rPr>
          <w:rFonts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color w:val="auto"/>
          <w:sz w:val="32"/>
          <w:szCs w:val="32"/>
          <w:highlight w:val="none"/>
        </w:rPr>
      </w:pPr>
      <w:r>
        <w:rPr>
          <w:rFonts w:hint="eastAsia" w:ascii="宋体" w:hAnsi="宋体"/>
          <w:b/>
          <w:snapToGrid w:val="0"/>
          <w:color w:val="auto"/>
          <w:sz w:val="36"/>
          <w:szCs w:val="36"/>
          <w:highlight w:val="none"/>
        </w:rPr>
        <w:t>2022年</w:t>
      </w:r>
      <w:r>
        <w:rPr>
          <w:rFonts w:hint="eastAsia" w:ascii="宋体" w:hAnsi="宋体"/>
          <w:b/>
          <w:snapToGrid w:val="0"/>
          <w:color w:val="auto"/>
          <w:sz w:val="36"/>
          <w:szCs w:val="36"/>
          <w:highlight w:val="none"/>
          <w:lang w:val="en-US" w:eastAsia="zh-CN"/>
        </w:rPr>
        <w:t>5</w:t>
      </w:r>
      <w:r>
        <w:rPr>
          <w:rFonts w:hint="eastAsia" w:ascii="宋体" w:hAnsi="宋体"/>
          <w:b/>
          <w:snapToGrid w:val="0"/>
          <w:color w:val="auto"/>
          <w:sz w:val="36"/>
          <w:szCs w:val="36"/>
          <w:highlight w:val="none"/>
        </w:rPr>
        <w:t>月</w:t>
      </w:r>
    </w:p>
    <w:p>
      <w:pPr>
        <w:adjustRightInd w:val="0"/>
        <w:snapToGrid w:val="0"/>
        <w:jc w:val="center"/>
        <w:rPr>
          <w:rFonts w:ascii="宋体" w:hAnsi="宋体"/>
          <w:b/>
          <w:color w:val="auto"/>
          <w:sz w:val="24"/>
          <w:highlight w:val="none"/>
        </w:rPr>
      </w:pPr>
      <w:bookmarkStart w:id="1" w:name="_GoBack"/>
      <w:bookmarkEnd w:id="1"/>
      <w:bookmarkStart w:id="0" w:name="_Toc512937852"/>
      <w:r>
        <w:rPr>
          <w:rFonts w:ascii="宋体" w:hAnsi="宋体"/>
          <w:b/>
          <w:color w:val="auto"/>
          <w:sz w:val="24"/>
          <w:highlight w:val="none"/>
        </w:rPr>
        <w:br w:type="page"/>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spacing w:before="936" w:beforeLines="300"/>
        <w:jc w:val="center"/>
        <w:rPr>
          <w:rFonts w:ascii="黑体" w:eastAsia="黑体"/>
          <w:b/>
          <w:color w:val="auto"/>
          <w:kern w:val="44"/>
          <w:sz w:val="48"/>
          <w:szCs w:val="20"/>
          <w:highlight w:val="none"/>
        </w:rPr>
      </w:pPr>
      <w:r>
        <w:rPr>
          <w:rFonts w:hint="eastAsia" w:ascii="黑体" w:eastAsia="黑体"/>
          <w:b/>
          <w:color w:val="auto"/>
          <w:kern w:val="44"/>
          <w:sz w:val="48"/>
          <w:szCs w:val="20"/>
          <w:highlight w:val="none"/>
        </w:rPr>
        <w:t xml:space="preserve">第八部分  </w:t>
      </w:r>
      <w:r>
        <w:rPr>
          <w:rFonts w:hint="eastAsia" w:ascii="黑体" w:eastAsia="黑体"/>
          <w:b/>
          <w:color w:val="auto"/>
          <w:kern w:val="44"/>
          <w:sz w:val="48"/>
          <w:szCs w:val="20"/>
          <w:highlight w:val="none"/>
        </w:rPr>
        <w:t>采购需求</w:t>
      </w:r>
      <w:r>
        <w:rPr>
          <w:rFonts w:ascii="黑体" w:eastAsia="黑体"/>
          <w:b/>
          <w:color w:val="auto"/>
          <w:kern w:val="44"/>
          <w:sz w:val="48"/>
          <w:szCs w:val="20"/>
          <w:highlight w:val="none"/>
        </w:rPr>
        <w:br w:type="page"/>
      </w:r>
    </w:p>
    <w:bookmarkEnd w:id="0"/>
    <w:p>
      <w:pPr>
        <w:numPr>
          <w:ilvl w:val="2"/>
          <w:numId w:val="1"/>
        </w:numPr>
        <w:adjustRightInd w:val="0"/>
        <w:snapToGrid w:val="0"/>
        <w:jc w:val="center"/>
        <w:rPr>
          <w:rFonts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ascii="宋体" w:hAnsi="宋体"/>
          <w:b/>
          <w:color w:val="auto"/>
          <w:sz w:val="30"/>
          <w:szCs w:val="30"/>
          <w:highlight w:val="none"/>
        </w:rPr>
      </w:pPr>
    </w:p>
    <w:tbl>
      <w:tblPr>
        <w:tblStyle w:val="26"/>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2" w:hRule="atLeast"/>
          <w:jc w:val="center"/>
        </w:trPr>
        <w:tc>
          <w:tcPr>
            <w:tcW w:w="762"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包号</w:t>
            </w:r>
          </w:p>
        </w:tc>
        <w:tc>
          <w:tcPr>
            <w:tcW w:w="264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货物名称</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数量</w:t>
            </w:r>
          </w:p>
        </w:tc>
        <w:tc>
          <w:tcPr>
            <w:tcW w:w="132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交货期</w:t>
            </w:r>
          </w:p>
        </w:tc>
        <w:tc>
          <w:tcPr>
            <w:tcW w:w="176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指定到货港</w:t>
            </w:r>
          </w:p>
        </w:tc>
        <w:tc>
          <w:tcPr>
            <w:tcW w:w="2520" w:type="dxa"/>
            <w:vAlign w:val="center"/>
          </w:tcPr>
          <w:p>
            <w:pPr>
              <w:jc w:val="center"/>
              <w:rPr>
                <w:rFonts w:ascii="宋体" w:hAnsi="Bookman Old Style"/>
                <w:color w:val="auto"/>
                <w:sz w:val="24"/>
                <w:highlight w:val="none"/>
                <w:shd w:val="pct10" w:color="auto" w:fill="FFFFFF"/>
              </w:rPr>
            </w:pPr>
            <w:r>
              <w:rPr>
                <w:rFonts w:hint="eastAsia" w:ascii="宋体" w:hAnsi="Bookman Old Style"/>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highlight w:val="none"/>
              </w:rPr>
            </w:pPr>
            <w:r>
              <w:rPr>
                <w:rFonts w:hint="eastAsia" w:ascii="宋体"/>
                <w:color w:val="auto"/>
                <w:sz w:val="24"/>
                <w:highlight w:val="none"/>
              </w:rPr>
              <w:t>1</w:t>
            </w:r>
          </w:p>
        </w:tc>
        <w:tc>
          <w:tcPr>
            <w:tcW w:w="2640" w:type="dxa"/>
            <w:vAlign w:val="center"/>
          </w:tcPr>
          <w:p>
            <w:pPr>
              <w:jc w:val="center"/>
              <w:rPr>
                <w:rFonts w:ascii="Bookman Old Style" w:hAnsi="Bookman Old Style"/>
                <w:color w:val="auto"/>
                <w:sz w:val="24"/>
                <w:highlight w:val="none"/>
              </w:rPr>
            </w:pPr>
            <w:r>
              <w:rPr>
                <w:rFonts w:hint="eastAsia" w:ascii="Bookman Old Style" w:hAnsi="Bookman Old Style"/>
                <w:color w:val="auto"/>
                <w:sz w:val="24"/>
                <w:highlight w:val="none"/>
              </w:rPr>
              <w:t>流动注射分析仪</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1台</w:t>
            </w:r>
          </w:p>
        </w:tc>
        <w:tc>
          <w:tcPr>
            <w:tcW w:w="5605" w:type="dxa"/>
            <w:gridSpan w:val="3"/>
            <w:vAlign w:val="center"/>
          </w:tcPr>
          <w:p>
            <w:pPr>
              <w:jc w:val="center"/>
              <w:rPr>
                <w:rFonts w:ascii="宋体" w:hAnsi="Bookman Old Style"/>
                <w:color w:val="auto"/>
                <w:sz w:val="24"/>
                <w:highlight w:val="none"/>
              </w:rPr>
            </w:pPr>
            <w:r>
              <w:rPr>
                <w:rFonts w:hint="eastAsia" w:ascii="宋体" w:hAnsi="Bookman Old Style"/>
                <w:color w:val="auto"/>
                <w:sz w:val="24"/>
                <w:highlight w:val="none"/>
              </w:rPr>
              <w:t>详见具体技术规格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highlight w:val="none"/>
              </w:rPr>
            </w:pPr>
            <w:r>
              <w:rPr>
                <w:rFonts w:hint="eastAsia" w:ascii="宋体"/>
                <w:color w:val="auto"/>
                <w:sz w:val="24"/>
                <w:highlight w:val="none"/>
              </w:rPr>
              <w:t>2</w:t>
            </w:r>
          </w:p>
        </w:tc>
        <w:tc>
          <w:tcPr>
            <w:tcW w:w="2640" w:type="dxa"/>
            <w:vAlign w:val="center"/>
          </w:tcPr>
          <w:p>
            <w:pPr>
              <w:jc w:val="center"/>
              <w:rPr>
                <w:rFonts w:ascii="Bookman Old Style" w:hAnsi="Bookman Old Style"/>
                <w:color w:val="auto"/>
                <w:sz w:val="24"/>
                <w:highlight w:val="none"/>
              </w:rPr>
            </w:pPr>
            <w:r>
              <w:rPr>
                <w:rFonts w:hint="eastAsia" w:ascii="Bookman Old Style" w:hAnsi="Bookman Old Style"/>
                <w:color w:val="auto"/>
                <w:sz w:val="24"/>
                <w:highlight w:val="none"/>
              </w:rPr>
              <w:t>全自动热脱附仪</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1台</w:t>
            </w:r>
          </w:p>
        </w:tc>
        <w:tc>
          <w:tcPr>
            <w:tcW w:w="5605" w:type="dxa"/>
            <w:gridSpan w:val="3"/>
            <w:vAlign w:val="center"/>
          </w:tcPr>
          <w:p>
            <w:pPr>
              <w:jc w:val="center"/>
              <w:rPr>
                <w:rFonts w:ascii="宋体" w:hAnsi="Bookman Old Style"/>
                <w:color w:val="auto"/>
                <w:sz w:val="24"/>
                <w:highlight w:val="none"/>
              </w:rPr>
            </w:pPr>
            <w:r>
              <w:rPr>
                <w:rFonts w:hint="eastAsia" w:ascii="宋体" w:hAnsi="Bookman Old Style"/>
                <w:color w:val="auto"/>
                <w:sz w:val="24"/>
                <w:highlight w:val="none"/>
              </w:rPr>
              <w:t>详见具体技术规格</w:t>
            </w:r>
          </w:p>
        </w:tc>
      </w:tr>
    </w:tbl>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rPr>
          <w:rFonts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b/>
          <w:color w:val="auto"/>
          <w:sz w:val="30"/>
          <w:szCs w:val="30"/>
          <w:highlight w:val="none"/>
        </w:rPr>
      </w:pPr>
      <w:r>
        <w:rPr>
          <w:rFonts w:ascii="宋体" w:hAnsi="宋体"/>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highlight w:val="none"/>
        </w:rPr>
      </w:pPr>
      <w:r>
        <w:rPr>
          <w:rFonts w:hint="eastAsia" w:ascii="宋体" w:hAnsi="宋体"/>
          <w:b/>
          <w:color w:val="auto"/>
          <w:sz w:val="30"/>
          <w:szCs w:val="30"/>
          <w:highlight w:val="none"/>
        </w:rPr>
        <w:t>总则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1.2  </w:t>
      </w:r>
      <w:r>
        <w:rPr>
          <w:rFonts w:hint="eastAsia" w:ascii="宋体" w:hAnsi="宋体"/>
          <w:color w:val="auto"/>
          <w:sz w:val="24"/>
          <w:highlight w:val="none"/>
        </w:rPr>
        <w:t>投标人提供的货物须是成熟的全新的产品</w:t>
      </w:r>
      <w:r>
        <w:rPr>
          <w:rFonts w:hint="eastAsia" w:ascii="宋体" w:hAnsi="宋体"/>
          <w:color w:val="auto"/>
          <w:sz w:val="24"/>
          <w:highlight w:val="none"/>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line="360" w:lineRule="auto"/>
        <w:ind w:left="554" w:hanging="554" w:hangingChars="231"/>
        <w:rPr>
          <w:rFonts w:ascii="宋体"/>
          <w:color w:val="auto"/>
          <w:sz w:val="24"/>
          <w:highlight w:val="none"/>
        </w:rPr>
      </w:pPr>
      <w:r>
        <w:rPr>
          <w:rFonts w:hint="eastAsia" w:ascii="宋体"/>
          <w:color w:val="auto"/>
          <w:sz w:val="24"/>
          <w:highlight w:val="none"/>
        </w:rPr>
        <w:t xml:space="preserve">1.4  </w:t>
      </w:r>
      <w:r>
        <w:rPr>
          <w:rFonts w:hint="eastAsia" w:ascii="宋体"/>
          <w:color w:val="auto"/>
          <w:sz w:val="24"/>
          <w:highlight w:val="none"/>
        </w:rPr>
        <w:t>投标人的投标产品应符合国家有关部门规定的相应技术、节能、安全和环保标准；如国家有关部门对投标人的投标产品有强制性规定或要求的，则投标人的投标产品必须符合相应规定或要求。</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 xml:space="preserve">6  </w:t>
      </w:r>
      <w:r>
        <w:rPr>
          <w:rFonts w:hint="eastAsia"/>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highlight w:val="none"/>
        </w:rPr>
      </w:pP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pStyle w:val="17"/>
        <w:spacing w:line="360" w:lineRule="auto"/>
        <w:ind w:left="410" w:hanging="410" w:hangingChars="170"/>
        <w:rPr>
          <w:rFonts w:hAnsi="宋体"/>
          <w:b/>
          <w:color w:val="auto"/>
          <w:sz w:val="24"/>
          <w:szCs w:val="24"/>
          <w:highlight w:val="none"/>
        </w:rPr>
      </w:pPr>
    </w:p>
    <w:p>
      <w:pPr>
        <w:pStyle w:val="17"/>
        <w:spacing w:line="360" w:lineRule="auto"/>
        <w:ind w:left="410" w:hanging="410" w:hangingChars="170"/>
        <w:rPr>
          <w:rFonts w:hAnsi="宋体"/>
          <w:b/>
          <w:color w:val="auto"/>
          <w:sz w:val="24"/>
          <w:szCs w:val="24"/>
          <w:highlight w:val="none"/>
        </w:rPr>
      </w:pPr>
      <w:r>
        <w:rPr>
          <w:rFonts w:hint="eastAsia" w:hAnsi="宋体"/>
          <w:b/>
          <w:color w:val="auto"/>
          <w:sz w:val="24"/>
          <w:szCs w:val="24"/>
          <w:highlight w:val="none"/>
        </w:rPr>
        <w:t>5、本技术规格书中标注“*”号的为实质性要求，不满足其投标将被拒绝。</w:t>
      </w:r>
    </w:p>
    <w:p>
      <w:pPr>
        <w:pStyle w:val="17"/>
        <w:spacing w:line="360" w:lineRule="auto"/>
        <w:rPr>
          <w:rFonts w:hAnsi="宋体"/>
          <w:b/>
          <w:color w:val="auto"/>
          <w:sz w:val="24"/>
          <w:szCs w:val="24"/>
          <w:highlight w:val="none"/>
        </w:rPr>
      </w:pPr>
    </w:p>
    <w:p>
      <w:pPr>
        <w:pStyle w:val="17"/>
        <w:spacing w:line="360" w:lineRule="auto"/>
        <w:rPr>
          <w:rFonts w:hAnsi="宋体"/>
          <w:b/>
          <w:color w:val="auto"/>
          <w:sz w:val="24"/>
          <w:szCs w:val="24"/>
          <w:highlight w:val="none"/>
        </w:rPr>
      </w:pPr>
      <w:r>
        <w:rPr>
          <w:rFonts w:hint="eastAsia" w:hAnsi="宋体"/>
          <w:b/>
          <w:color w:val="auto"/>
          <w:sz w:val="24"/>
          <w:szCs w:val="24"/>
          <w:highlight w:val="none"/>
        </w:rPr>
        <w:t>6、如在具体技术规格中有本总则不一致之处，以具体技术规格中的要求为准。</w:t>
      </w:r>
    </w:p>
    <w:p>
      <w:pPr>
        <w:spacing w:after="156" w:afterLines="50"/>
        <w:ind w:left="601" w:hanging="601"/>
        <w:rPr>
          <w:rFonts w:ascii="宋体" w:hAnsi="宋体"/>
          <w:b/>
          <w:color w:val="auto"/>
          <w:sz w:val="28"/>
          <w:highlight w:val="none"/>
        </w:rPr>
      </w:pPr>
      <w:r>
        <w:rPr>
          <w:rFonts w:ascii="宋体" w:hAnsi="宋体"/>
          <w:b/>
          <w:color w:val="auto"/>
          <w:sz w:val="28"/>
          <w:highlight w:val="none"/>
        </w:rPr>
        <w:br w:type="page"/>
      </w:r>
      <w:r>
        <w:rPr>
          <w:rFonts w:hint="eastAsia" w:ascii="宋体" w:hAnsi="宋体"/>
          <w:b/>
          <w:color w:val="auto"/>
          <w:sz w:val="28"/>
          <w:highlight w:val="none"/>
        </w:rPr>
        <w:t>三、具体技术规格</w:t>
      </w:r>
    </w:p>
    <w:p>
      <w:pPr>
        <w:rPr>
          <w:color w:val="auto"/>
          <w:sz w:val="24"/>
          <w:highlight w:val="none"/>
        </w:rPr>
      </w:pPr>
    </w:p>
    <w:p>
      <w:pPr>
        <w:jc w:val="center"/>
        <w:rPr>
          <w:b/>
          <w:color w:val="auto"/>
          <w:sz w:val="24"/>
          <w:highlight w:val="none"/>
        </w:rPr>
      </w:pPr>
      <w:r>
        <w:rPr>
          <w:rFonts w:hint="eastAsia"/>
          <w:b/>
          <w:color w:val="auto"/>
          <w:sz w:val="24"/>
          <w:highlight w:val="none"/>
        </w:rPr>
        <w:t>第1包 流动注射分析仪</w:t>
      </w:r>
    </w:p>
    <w:p>
      <w:pPr>
        <w:rPr>
          <w:b/>
          <w:color w:val="auto"/>
          <w:sz w:val="24"/>
          <w:highlight w:val="none"/>
        </w:rPr>
      </w:pPr>
    </w:p>
    <w:p>
      <w:pPr>
        <w:rPr>
          <w:rFonts w:ascii="宋体" w:hAnsi="宋体" w:cs="宋体"/>
          <w:b/>
          <w:color w:val="auto"/>
          <w:sz w:val="24"/>
          <w:highlight w:val="none"/>
        </w:rPr>
      </w:pPr>
    </w:p>
    <w:p>
      <w:pPr>
        <w:numPr>
          <w:ilvl w:val="0"/>
          <w:numId w:val="2"/>
        </w:numPr>
        <w:rPr>
          <w:rFonts w:ascii="宋体" w:hAnsi="宋体" w:cs="宋体"/>
          <w:b/>
          <w:color w:val="auto"/>
          <w:sz w:val="24"/>
          <w:highlight w:val="none"/>
        </w:rPr>
      </w:pPr>
      <w:r>
        <w:rPr>
          <w:rFonts w:hint="eastAsia" w:ascii="宋体" w:hAnsi="宋体" w:cs="宋体"/>
          <w:b/>
          <w:color w:val="auto"/>
          <w:sz w:val="24"/>
          <w:highlight w:val="none"/>
        </w:rPr>
        <w:t>技术要求：</w:t>
      </w:r>
    </w:p>
    <w:p>
      <w:pPr>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一．应用范围</w:t>
      </w:r>
    </w:p>
    <w:p>
      <w:pPr>
        <w:spacing w:line="360" w:lineRule="auto"/>
        <w:rPr>
          <w:rFonts w:ascii="宋体" w:hAnsi="宋体" w:cs="宋体"/>
          <w:color w:val="auto"/>
          <w:sz w:val="24"/>
          <w:highlight w:val="none"/>
        </w:rPr>
      </w:pPr>
      <w:r>
        <w:rPr>
          <w:rFonts w:hint="eastAsia" w:ascii="宋体" w:hAnsi="宋体" w:cs="宋体"/>
          <w:color w:val="auto"/>
          <w:sz w:val="24"/>
          <w:highlight w:val="none"/>
        </w:rPr>
        <w:t>主要用于土壤、植物、水等样品中氨氮、硝态氮、总氮、磷酸盐、总磷、全氮、全磷等的自动分析。</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二．设备名称：流动注射分析仪</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1．工作条件</w:t>
      </w:r>
    </w:p>
    <w:p>
      <w:pPr>
        <w:spacing w:line="360" w:lineRule="auto"/>
        <w:rPr>
          <w:rFonts w:ascii="宋体" w:hAnsi="宋体" w:cs="宋体"/>
          <w:color w:val="auto"/>
          <w:sz w:val="24"/>
          <w:highlight w:val="none"/>
        </w:rPr>
      </w:pPr>
      <w:r>
        <w:rPr>
          <w:rFonts w:hint="eastAsia" w:ascii="宋体" w:hAnsi="宋体" w:cs="宋体"/>
          <w:color w:val="auto"/>
          <w:sz w:val="24"/>
          <w:highlight w:val="none"/>
        </w:rPr>
        <w:t>1.1 电源：380V和230V±10%，AC(交流)，50/60Hz</w:t>
      </w:r>
    </w:p>
    <w:p>
      <w:pPr>
        <w:spacing w:line="360" w:lineRule="auto"/>
        <w:rPr>
          <w:rFonts w:ascii="宋体" w:hAnsi="宋体" w:cs="宋体"/>
          <w:color w:val="auto"/>
          <w:sz w:val="24"/>
          <w:highlight w:val="none"/>
        </w:rPr>
      </w:pPr>
      <w:r>
        <w:rPr>
          <w:rFonts w:hint="eastAsia" w:ascii="宋体" w:hAnsi="宋体" w:cs="宋体"/>
          <w:color w:val="auto"/>
          <w:sz w:val="24"/>
          <w:highlight w:val="none"/>
        </w:rPr>
        <w:t>1.2 环境温度：15-27℃（最优：18~21℃）</w:t>
      </w:r>
    </w:p>
    <w:p>
      <w:pPr>
        <w:spacing w:line="360" w:lineRule="auto"/>
        <w:rPr>
          <w:rFonts w:ascii="宋体" w:hAnsi="宋体" w:cs="宋体"/>
          <w:color w:val="auto"/>
          <w:sz w:val="24"/>
          <w:highlight w:val="none"/>
        </w:rPr>
      </w:pPr>
      <w:r>
        <w:rPr>
          <w:rFonts w:hint="eastAsia" w:ascii="宋体" w:hAnsi="宋体" w:cs="宋体"/>
          <w:color w:val="auto"/>
          <w:sz w:val="24"/>
          <w:highlight w:val="none"/>
        </w:rPr>
        <w:t>1.3 相对湿度：20-80%</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2．技术要求： </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2.1分析主机及检测通道：</w:t>
      </w:r>
    </w:p>
    <w:p>
      <w:pPr>
        <w:spacing w:line="360" w:lineRule="auto"/>
        <w:rPr>
          <w:rFonts w:ascii="宋体" w:hAnsi="宋体" w:cs="宋体"/>
          <w:color w:val="auto"/>
          <w:sz w:val="24"/>
          <w:highlight w:val="none"/>
        </w:rPr>
      </w:pPr>
      <w:r>
        <w:rPr>
          <w:rFonts w:hint="eastAsia" w:ascii="宋体" w:hAnsi="宋体" w:cs="宋体"/>
          <w:color w:val="auto"/>
          <w:sz w:val="24"/>
          <w:highlight w:val="none"/>
        </w:rPr>
        <w:t>#2.1.1泵、化学模块及检测器必须相互独立，各自是完全独立的机箱，以便于日后扩展及维护</w:t>
      </w:r>
    </w:p>
    <w:p>
      <w:pPr>
        <w:spacing w:line="360" w:lineRule="auto"/>
        <w:rPr>
          <w:rFonts w:ascii="宋体" w:hAnsi="宋体" w:cs="宋体"/>
          <w:color w:val="auto"/>
          <w:sz w:val="24"/>
          <w:highlight w:val="none"/>
        </w:rPr>
      </w:pPr>
      <w:r>
        <w:rPr>
          <w:rFonts w:hint="eastAsia" w:ascii="宋体" w:hAnsi="宋体" w:cs="宋体"/>
          <w:color w:val="auto"/>
          <w:sz w:val="24"/>
          <w:highlight w:val="none"/>
        </w:rPr>
        <w:t>2.1.2 每个通道可独立使用,也可与其它通道同时分析。</w:t>
      </w:r>
    </w:p>
    <w:p>
      <w:pPr>
        <w:spacing w:line="360" w:lineRule="auto"/>
        <w:rPr>
          <w:rFonts w:ascii="宋体" w:hAnsi="宋体" w:cs="宋体"/>
          <w:color w:val="auto"/>
          <w:sz w:val="24"/>
          <w:highlight w:val="none"/>
        </w:rPr>
      </w:pPr>
      <w:r>
        <w:rPr>
          <w:rFonts w:hint="eastAsia" w:ascii="宋体" w:hAnsi="宋体" w:cs="宋体"/>
          <w:color w:val="auto"/>
          <w:sz w:val="24"/>
          <w:highlight w:val="none"/>
        </w:rPr>
        <w:t>2.1.3基线调节和灵敏度的设定由计算机自动控制。</w:t>
      </w:r>
    </w:p>
    <w:p>
      <w:pPr>
        <w:spacing w:line="360" w:lineRule="auto"/>
        <w:rPr>
          <w:rFonts w:ascii="宋体" w:hAnsi="宋体" w:cs="宋体"/>
          <w:color w:val="auto"/>
          <w:sz w:val="24"/>
          <w:highlight w:val="none"/>
        </w:rPr>
      </w:pPr>
      <w:r>
        <w:rPr>
          <w:rFonts w:hint="eastAsia" w:ascii="宋体" w:hAnsi="宋体" w:cs="宋体"/>
          <w:color w:val="auto"/>
          <w:sz w:val="24"/>
          <w:highlight w:val="none"/>
        </w:rPr>
        <w:t>2.1.4检测参数，用于氨氮、硝态氮、总氮、磷酸盐、总磷、全氮、全磷等的分析。</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2.2三维随机自动进样器</w:t>
      </w:r>
    </w:p>
    <w:p>
      <w:pPr>
        <w:spacing w:line="360" w:lineRule="auto"/>
        <w:rPr>
          <w:rFonts w:ascii="宋体" w:hAnsi="宋体" w:cs="宋体"/>
          <w:color w:val="auto"/>
          <w:sz w:val="24"/>
          <w:highlight w:val="none"/>
        </w:rPr>
      </w:pPr>
      <w:r>
        <w:rPr>
          <w:rFonts w:hint="eastAsia" w:ascii="宋体" w:hAnsi="宋体" w:cs="宋体"/>
          <w:color w:val="auto"/>
          <w:sz w:val="24"/>
          <w:highlight w:val="none"/>
        </w:rPr>
        <w:t>#2.2.1  样品杯数量：≥120样品杯。</w:t>
      </w:r>
    </w:p>
    <w:p>
      <w:pPr>
        <w:spacing w:line="360" w:lineRule="auto"/>
        <w:rPr>
          <w:rFonts w:ascii="宋体" w:hAnsi="宋体" w:cs="宋体"/>
          <w:color w:val="auto"/>
          <w:sz w:val="24"/>
          <w:highlight w:val="none"/>
        </w:rPr>
      </w:pPr>
      <w:r>
        <w:rPr>
          <w:rFonts w:hint="eastAsia" w:ascii="宋体" w:hAnsi="宋体" w:cs="宋体"/>
          <w:color w:val="auto"/>
          <w:sz w:val="24"/>
          <w:highlight w:val="none"/>
        </w:rPr>
        <w:t>2.2.2  样品杯容量：5ml以上。</w:t>
      </w:r>
    </w:p>
    <w:p>
      <w:pPr>
        <w:spacing w:line="360" w:lineRule="auto"/>
        <w:rPr>
          <w:rFonts w:ascii="宋体" w:hAnsi="宋体" w:cs="宋体"/>
          <w:color w:val="auto"/>
          <w:sz w:val="24"/>
          <w:highlight w:val="none"/>
        </w:rPr>
      </w:pPr>
      <w:r>
        <w:rPr>
          <w:rFonts w:hint="eastAsia" w:ascii="宋体" w:hAnsi="宋体" w:cs="宋体"/>
          <w:color w:val="auto"/>
          <w:sz w:val="24"/>
          <w:highlight w:val="none"/>
        </w:rPr>
        <w:t>2.2.3  样品进样体积：可调节。</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2.3高精度蠕动泵</w:t>
      </w:r>
    </w:p>
    <w:p>
      <w:pPr>
        <w:spacing w:line="360" w:lineRule="auto"/>
        <w:rPr>
          <w:rFonts w:ascii="宋体" w:hAnsi="宋体" w:cs="宋体"/>
          <w:color w:val="auto"/>
          <w:sz w:val="24"/>
          <w:highlight w:val="none"/>
        </w:rPr>
      </w:pPr>
      <w:r>
        <w:rPr>
          <w:rFonts w:hint="eastAsia" w:ascii="宋体" w:hAnsi="宋体" w:cs="宋体"/>
          <w:color w:val="auto"/>
          <w:sz w:val="24"/>
          <w:highlight w:val="none"/>
        </w:rPr>
        <w:t>2.3.1 高精度蠕动泵。带检漏装置，可自动排出漏液、报警并自动停止运行主机。</w:t>
      </w:r>
    </w:p>
    <w:p>
      <w:pPr>
        <w:spacing w:line="360" w:lineRule="auto"/>
        <w:rPr>
          <w:rFonts w:ascii="宋体" w:hAnsi="宋体" w:cs="宋体"/>
          <w:color w:val="auto"/>
          <w:sz w:val="24"/>
          <w:highlight w:val="none"/>
        </w:rPr>
      </w:pPr>
      <w:r>
        <w:rPr>
          <w:rFonts w:hint="eastAsia" w:ascii="宋体" w:hAnsi="宋体" w:cs="宋体"/>
          <w:color w:val="auto"/>
          <w:sz w:val="24"/>
          <w:highlight w:val="none"/>
        </w:rPr>
        <w:t>#2.3.2 每个蠕动泵的泵管位数≥28道（即一个泵盖压附的泵管数量）。</w:t>
      </w:r>
    </w:p>
    <w:p>
      <w:pPr>
        <w:spacing w:line="360" w:lineRule="auto"/>
        <w:rPr>
          <w:rFonts w:ascii="宋体" w:hAnsi="宋体" w:cs="宋体"/>
          <w:color w:val="auto"/>
          <w:sz w:val="24"/>
          <w:highlight w:val="none"/>
        </w:rPr>
      </w:pPr>
      <w:r>
        <w:rPr>
          <w:rFonts w:hint="eastAsia" w:ascii="宋体" w:hAnsi="宋体" w:cs="宋体"/>
          <w:color w:val="auto"/>
          <w:sz w:val="24"/>
          <w:highlight w:val="none"/>
        </w:rPr>
        <w:t>#2.3.3 空气阀: 电磁阀控制气泡的加入，保证气泡注入均一、同步。</w:t>
      </w:r>
    </w:p>
    <w:p>
      <w:pPr>
        <w:spacing w:line="360" w:lineRule="auto"/>
        <w:rPr>
          <w:rFonts w:ascii="宋体" w:hAnsi="宋体" w:cs="宋体"/>
          <w:color w:val="auto"/>
          <w:sz w:val="24"/>
          <w:highlight w:val="none"/>
        </w:rPr>
      </w:pPr>
      <w:r>
        <w:rPr>
          <w:rFonts w:hint="eastAsia" w:ascii="宋体" w:hAnsi="宋体" w:cs="宋体"/>
          <w:color w:val="auto"/>
          <w:sz w:val="24"/>
          <w:highlight w:val="none"/>
        </w:rPr>
        <w:t>2.3.4 泵速可调；泵的运转可通过计算机控制或手工控制。</w:t>
      </w:r>
    </w:p>
    <w:p>
      <w:pPr>
        <w:spacing w:line="360" w:lineRule="auto"/>
        <w:rPr>
          <w:rFonts w:ascii="宋体" w:hAnsi="宋体" w:cs="宋体"/>
          <w:color w:val="auto"/>
          <w:sz w:val="24"/>
          <w:highlight w:val="none"/>
        </w:rPr>
      </w:pPr>
      <w:r>
        <w:rPr>
          <w:rFonts w:hint="eastAsia" w:ascii="宋体" w:hAnsi="宋体" w:cs="宋体"/>
          <w:color w:val="auto"/>
          <w:sz w:val="24"/>
          <w:highlight w:val="none"/>
        </w:rPr>
        <w:t>2.3.5 泵管压盖具有自动调紧和放松功能。</w:t>
      </w:r>
    </w:p>
    <w:p>
      <w:pPr>
        <w:spacing w:line="360" w:lineRule="auto"/>
        <w:rPr>
          <w:rFonts w:ascii="宋体" w:hAnsi="宋体" w:cs="宋体"/>
          <w:color w:val="auto"/>
          <w:sz w:val="24"/>
          <w:highlight w:val="none"/>
        </w:rPr>
      </w:pPr>
      <w:r>
        <w:rPr>
          <w:rFonts w:hint="eastAsia" w:ascii="宋体" w:hAnsi="宋体" w:cs="宋体"/>
          <w:color w:val="auto"/>
          <w:sz w:val="24"/>
          <w:highlight w:val="none"/>
        </w:rPr>
        <w:t>#2.3.6独立的机箱，不能与检测器、分析模块集成在一个机箱内.</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2.4检测器</w:t>
      </w:r>
    </w:p>
    <w:p>
      <w:pPr>
        <w:spacing w:line="360" w:lineRule="auto"/>
        <w:rPr>
          <w:rFonts w:ascii="宋体" w:hAnsi="宋体" w:cs="宋体"/>
          <w:color w:val="auto"/>
          <w:sz w:val="24"/>
          <w:highlight w:val="none"/>
        </w:rPr>
      </w:pPr>
      <w:r>
        <w:rPr>
          <w:rFonts w:hint="eastAsia" w:ascii="宋体" w:hAnsi="宋体" w:cs="宋体"/>
          <w:color w:val="auto"/>
          <w:sz w:val="24"/>
          <w:highlight w:val="none"/>
        </w:rPr>
        <w:t>2.4.1  双光束检测系统、自动实时空白校正、全密闭系统。.</w:t>
      </w:r>
    </w:p>
    <w:p>
      <w:pPr>
        <w:spacing w:line="360" w:lineRule="auto"/>
        <w:rPr>
          <w:rFonts w:ascii="宋体" w:hAnsi="宋体" w:cs="宋体"/>
          <w:color w:val="auto"/>
          <w:sz w:val="24"/>
          <w:highlight w:val="none"/>
        </w:rPr>
      </w:pPr>
      <w:r>
        <w:rPr>
          <w:rFonts w:hint="eastAsia" w:ascii="宋体" w:hAnsi="宋体" w:cs="宋体"/>
          <w:color w:val="auto"/>
          <w:sz w:val="24"/>
          <w:highlight w:val="none"/>
        </w:rPr>
        <w:t>2.4.2  24位高分辨A/D输转换器，线性范围：0-1.8（Abs）， 检测分辨率：0.1ug/L。</w:t>
      </w:r>
    </w:p>
    <w:p>
      <w:pPr>
        <w:spacing w:line="360" w:lineRule="auto"/>
        <w:rPr>
          <w:rFonts w:ascii="宋体" w:hAnsi="宋体" w:cs="宋体"/>
          <w:color w:val="auto"/>
          <w:sz w:val="24"/>
          <w:highlight w:val="none"/>
        </w:rPr>
      </w:pPr>
      <w:r>
        <w:rPr>
          <w:rFonts w:hint="eastAsia" w:ascii="宋体" w:hAnsi="宋体" w:cs="宋体"/>
          <w:color w:val="auto"/>
          <w:sz w:val="24"/>
          <w:highlight w:val="none"/>
        </w:rPr>
        <w:t>2.4.3  波长范围：340-880nm。</w:t>
      </w:r>
    </w:p>
    <w:p>
      <w:pPr>
        <w:spacing w:line="360" w:lineRule="auto"/>
        <w:rPr>
          <w:rFonts w:ascii="宋体" w:hAnsi="宋体" w:cs="宋体"/>
          <w:color w:val="auto"/>
          <w:sz w:val="24"/>
          <w:highlight w:val="none"/>
        </w:rPr>
      </w:pPr>
      <w:r>
        <w:rPr>
          <w:rFonts w:hint="eastAsia" w:ascii="宋体" w:hAnsi="宋体" w:cs="宋体"/>
          <w:color w:val="auto"/>
          <w:sz w:val="24"/>
          <w:highlight w:val="none"/>
        </w:rPr>
        <w:t>2.4.4  不需除气泡， 灯泡电压可调。</w:t>
      </w:r>
    </w:p>
    <w:p>
      <w:pPr>
        <w:spacing w:line="360" w:lineRule="auto"/>
        <w:rPr>
          <w:rFonts w:ascii="宋体" w:hAnsi="宋体" w:cs="宋体"/>
          <w:color w:val="auto"/>
          <w:sz w:val="24"/>
          <w:highlight w:val="none"/>
        </w:rPr>
      </w:pPr>
      <w:r>
        <w:rPr>
          <w:rFonts w:hint="eastAsia" w:ascii="宋体" w:hAnsi="宋体" w:cs="宋体"/>
          <w:color w:val="auto"/>
          <w:sz w:val="24"/>
          <w:highlight w:val="none"/>
        </w:rPr>
        <w:t>2.4.5  不需数据模拟转换器，USB接口。</w:t>
      </w:r>
    </w:p>
    <w:p>
      <w:pPr>
        <w:spacing w:line="360" w:lineRule="auto"/>
        <w:rPr>
          <w:rFonts w:ascii="宋体" w:hAnsi="宋体" w:cs="宋体"/>
          <w:color w:val="auto"/>
          <w:sz w:val="24"/>
          <w:highlight w:val="none"/>
        </w:rPr>
      </w:pPr>
      <w:r>
        <w:rPr>
          <w:rFonts w:hint="eastAsia" w:ascii="宋体" w:hAnsi="宋体" w:cs="宋体"/>
          <w:color w:val="auto"/>
          <w:sz w:val="24"/>
          <w:highlight w:val="none"/>
        </w:rPr>
        <w:t>#2.4.6独立的机箱，不能与蠕动泵、分析模块集成在一个机箱内.</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2.5分析软件</w:t>
      </w:r>
    </w:p>
    <w:p>
      <w:pPr>
        <w:spacing w:line="360" w:lineRule="auto"/>
        <w:rPr>
          <w:rFonts w:ascii="宋体" w:hAnsi="宋体" w:cs="宋体"/>
          <w:color w:val="auto"/>
          <w:sz w:val="24"/>
          <w:highlight w:val="none"/>
        </w:rPr>
      </w:pPr>
      <w:r>
        <w:rPr>
          <w:rFonts w:hint="eastAsia" w:ascii="宋体" w:hAnsi="宋体" w:cs="宋体"/>
          <w:color w:val="auto"/>
          <w:sz w:val="24"/>
          <w:highlight w:val="none"/>
        </w:rPr>
        <w:t>2.5.1 原厂配套工作站软件，分析控制软件应支持中文Windows10及以上操作系统；通过微软认证；10秒钟快速启动，可跟LIMS连接。</w:t>
      </w:r>
    </w:p>
    <w:p>
      <w:pPr>
        <w:spacing w:line="360" w:lineRule="auto"/>
        <w:rPr>
          <w:rFonts w:ascii="宋体" w:hAnsi="宋体" w:cs="宋体"/>
          <w:color w:val="auto"/>
          <w:sz w:val="24"/>
          <w:highlight w:val="none"/>
        </w:rPr>
      </w:pPr>
      <w:r>
        <w:rPr>
          <w:rFonts w:hint="eastAsia" w:ascii="宋体" w:hAnsi="宋体" w:cs="宋体"/>
          <w:color w:val="auto"/>
          <w:sz w:val="24"/>
          <w:highlight w:val="none"/>
        </w:rPr>
        <w:t>2.5.2 软件能自动控制仪器分析，无须人工干预。</w:t>
      </w:r>
    </w:p>
    <w:p>
      <w:pPr>
        <w:spacing w:line="360" w:lineRule="auto"/>
        <w:rPr>
          <w:rFonts w:ascii="宋体" w:hAnsi="宋体" w:cs="宋体"/>
          <w:color w:val="auto"/>
          <w:sz w:val="24"/>
          <w:highlight w:val="none"/>
        </w:rPr>
      </w:pPr>
      <w:r>
        <w:rPr>
          <w:rFonts w:hint="eastAsia" w:ascii="宋体" w:hAnsi="宋体" w:cs="宋体"/>
          <w:color w:val="auto"/>
          <w:sz w:val="24"/>
          <w:highlight w:val="none"/>
        </w:rPr>
        <w:t>2.5.3自动计算结果，自动校正标准曲线。</w:t>
      </w:r>
    </w:p>
    <w:p>
      <w:pPr>
        <w:spacing w:line="360" w:lineRule="auto"/>
        <w:rPr>
          <w:rFonts w:ascii="宋体" w:hAnsi="宋体" w:cs="宋体"/>
          <w:color w:val="auto"/>
          <w:sz w:val="24"/>
          <w:highlight w:val="none"/>
        </w:rPr>
      </w:pPr>
      <w:r>
        <w:rPr>
          <w:rFonts w:hint="eastAsia" w:ascii="宋体" w:hAnsi="宋体" w:cs="宋体"/>
          <w:color w:val="auto"/>
          <w:sz w:val="24"/>
          <w:highlight w:val="none"/>
        </w:rPr>
        <w:t>2.5.4 能监控每一分析运行过程,并能同时输入新的任务请求。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2.5.5 可编制自动分析程序时间表完成全自动操作，数据采集和结果分析可同时进行。</w:t>
      </w:r>
    </w:p>
    <w:p>
      <w:pPr>
        <w:spacing w:line="360" w:lineRule="auto"/>
        <w:rPr>
          <w:rFonts w:ascii="宋体" w:hAnsi="宋体" w:cs="宋体"/>
          <w:color w:val="auto"/>
          <w:sz w:val="24"/>
          <w:highlight w:val="none"/>
        </w:rPr>
      </w:pPr>
      <w:r>
        <w:rPr>
          <w:rFonts w:hint="eastAsia" w:ascii="宋体" w:hAnsi="宋体" w:cs="宋体"/>
          <w:color w:val="auto"/>
          <w:sz w:val="24"/>
          <w:highlight w:val="none"/>
        </w:rPr>
        <w:t>2.5.6 针对超标或超出误差范围的样品，进行在线提示，并显示控制图，能自动产生文件名与样品编号。</w:t>
      </w:r>
    </w:p>
    <w:p>
      <w:pPr>
        <w:spacing w:line="360" w:lineRule="auto"/>
        <w:rPr>
          <w:rFonts w:ascii="宋体" w:hAnsi="宋体" w:cs="宋体"/>
          <w:color w:val="auto"/>
          <w:sz w:val="24"/>
          <w:highlight w:val="none"/>
        </w:rPr>
      </w:pPr>
      <w:r>
        <w:rPr>
          <w:rFonts w:hint="eastAsia" w:ascii="宋体" w:hAnsi="宋体" w:cs="宋体"/>
          <w:color w:val="auto"/>
          <w:sz w:val="24"/>
          <w:highlight w:val="none"/>
        </w:rPr>
        <w:t>2.5.7 具有中文,英文语言可选,方便客户进行仪器操作。</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2.6.数据处理系统</w:t>
      </w:r>
    </w:p>
    <w:p>
      <w:pPr>
        <w:spacing w:line="360" w:lineRule="auto"/>
        <w:rPr>
          <w:rFonts w:ascii="宋体" w:hAnsi="宋体" w:cs="宋体"/>
          <w:color w:val="auto"/>
          <w:sz w:val="24"/>
          <w:highlight w:val="none"/>
        </w:rPr>
      </w:pPr>
      <w:r>
        <w:rPr>
          <w:rFonts w:hint="eastAsia" w:ascii="宋体" w:hAnsi="宋体" w:cs="宋体"/>
          <w:color w:val="auto"/>
          <w:sz w:val="24"/>
          <w:highlight w:val="none"/>
        </w:rPr>
        <w:t>2.6.1  CPU：Intel酷睿2双核E6400 2.13GHz；内存：2 GB；硬盘：≥250GB；光驱：DVDRW光驱；显示器：21寸液晶显示器</w:t>
      </w:r>
    </w:p>
    <w:p>
      <w:pPr>
        <w:spacing w:line="360" w:lineRule="auto"/>
        <w:rPr>
          <w:rFonts w:ascii="宋体" w:hAnsi="宋体" w:cs="宋体"/>
          <w:color w:val="auto"/>
          <w:sz w:val="24"/>
          <w:highlight w:val="none"/>
        </w:rPr>
      </w:pPr>
      <w:r>
        <w:rPr>
          <w:rFonts w:hint="eastAsia" w:ascii="宋体" w:hAnsi="宋体" w:cs="宋体"/>
          <w:color w:val="auto"/>
          <w:sz w:val="24"/>
          <w:highlight w:val="none"/>
        </w:rPr>
        <w:t>2.6.2 打印机：激光打印机</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 xml:space="preserve">2.7各测量参数具体要求: </w:t>
      </w:r>
    </w:p>
    <w:p>
      <w:pPr>
        <w:spacing w:line="360" w:lineRule="auto"/>
        <w:rPr>
          <w:rFonts w:ascii="宋体" w:hAnsi="宋体" w:cs="宋体"/>
          <w:color w:val="auto"/>
          <w:sz w:val="24"/>
          <w:highlight w:val="none"/>
        </w:rPr>
      </w:pPr>
      <w:r>
        <w:rPr>
          <w:rFonts w:hint="eastAsia" w:ascii="宋体" w:hAnsi="宋体" w:cs="宋体"/>
          <w:color w:val="auto"/>
          <w:sz w:val="24"/>
          <w:highlight w:val="none"/>
        </w:rPr>
        <w:t>2.7.1氨氮</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检测范围：0- 50 mg/L</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检测限：0.01 mg /L</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r>
        <w:rPr>
          <w:rFonts w:hint="eastAsia" w:ascii="宋体" w:hAnsi="宋体" w:cs="宋体"/>
          <w:color w:val="auto"/>
          <w:sz w:val="24"/>
          <w:highlight w:val="none"/>
        </w:rPr>
        <w:t>2.7.2硝态氮</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 0-40.0mg/L</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检测限：0.01mg/L(以N计)</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变异系数: ≤1.5% </w:t>
      </w:r>
    </w:p>
    <w:p>
      <w:pPr>
        <w:spacing w:line="360" w:lineRule="auto"/>
        <w:rPr>
          <w:rFonts w:ascii="宋体" w:hAnsi="宋体" w:cs="宋体"/>
          <w:color w:val="auto"/>
          <w:sz w:val="24"/>
          <w:highlight w:val="none"/>
        </w:rPr>
      </w:pPr>
      <w:r>
        <w:rPr>
          <w:rFonts w:hint="eastAsia" w:ascii="宋体" w:hAnsi="宋体" w:cs="宋体"/>
          <w:color w:val="auto"/>
          <w:sz w:val="24"/>
          <w:highlight w:val="none"/>
        </w:rPr>
        <w:t>2.7.3亚硝态氮</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检测范围：0-40.0mg/L(以N计)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检测限：0.03mg/L(以N计)</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变异系数：≤1.5%</w:t>
      </w:r>
    </w:p>
    <w:p>
      <w:pPr>
        <w:spacing w:line="360" w:lineRule="auto"/>
        <w:rPr>
          <w:rFonts w:ascii="宋体" w:hAnsi="宋体" w:cs="宋体"/>
          <w:color w:val="auto"/>
          <w:sz w:val="24"/>
          <w:highlight w:val="none"/>
        </w:rPr>
      </w:pPr>
      <w:r>
        <w:rPr>
          <w:rFonts w:hint="eastAsia" w:ascii="宋体" w:hAnsi="宋体" w:cs="宋体"/>
          <w:color w:val="auto"/>
          <w:sz w:val="24"/>
          <w:highlight w:val="none"/>
        </w:rPr>
        <w:t>2.7.4总氮</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 0-45mg / L（以N计）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检测限：0.011mg/L</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r>
        <w:rPr>
          <w:rFonts w:hint="eastAsia" w:ascii="宋体" w:hAnsi="宋体" w:cs="宋体"/>
          <w:color w:val="auto"/>
          <w:sz w:val="24"/>
          <w:highlight w:val="none"/>
        </w:rPr>
        <w:t>2.7.5磷酸盐</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检测范围：0-50mg/L(以P计)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检测限：0.07mg /L(以P计)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r>
        <w:rPr>
          <w:rFonts w:hint="eastAsia" w:ascii="宋体" w:hAnsi="宋体" w:cs="宋体"/>
          <w:color w:val="auto"/>
          <w:sz w:val="24"/>
          <w:highlight w:val="none"/>
        </w:rPr>
        <w:t>2.7.6总磷</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检测范围：0- 45mg/L(以P计)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检测限：0.02mg /L(以P计)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r>
        <w:rPr>
          <w:rFonts w:hint="eastAsia" w:ascii="宋体" w:hAnsi="宋体" w:cs="宋体"/>
          <w:color w:val="auto"/>
          <w:sz w:val="24"/>
          <w:highlight w:val="none"/>
        </w:rPr>
        <w:t>2.7.7全氮：带在线紫外消解</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 0-45mg / L（以N计）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检测限：0.011mg/L</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r>
        <w:rPr>
          <w:rFonts w:hint="eastAsia" w:ascii="宋体" w:hAnsi="宋体" w:cs="宋体"/>
          <w:color w:val="auto"/>
          <w:sz w:val="24"/>
          <w:highlight w:val="none"/>
        </w:rPr>
        <w:t>2.7.8全磷：带在线紫外消解</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检测范围：0- 45mg/L(以P计)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检测限：0.02mg /L(以P计)</w:t>
      </w:r>
    </w:p>
    <w:p>
      <w:pPr>
        <w:spacing w:line="360" w:lineRule="auto"/>
        <w:rPr>
          <w:rFonts w:ascii="宋体" w:hAnsi="宋体" w:cs="宋体"/>
          <w:color w:val="auto"/>
          <w:sz w:val="24"/>
          <w:highlight w:val="none"/>
        </w:rPr>
      </w:pPr>
      <w:r>
        <w:rPr>
          <w:rFonts w:hint="eastAsia" w:ascii="宋体" w:hAnsi="宋体" w:cs="宋体"/>
          <w:color w:val="auto"/>
          <w:sz w:val="24"/>
          <w:highlight w:val="none"/>
        </w:rPr>
        <w:t>变异系数: ≤1.5%</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3．配置清单：</w:t>
      </w:r>
    </w:p>
    <w:p>
      <w:pPr>
        <w:spacing w:line="360" w:lineRule="auto"/>
        <w:rPr>
          <w:rFonts w:ascii="宋体" w:hAnsi="宋体" w:cs="宋体"/>
          <w:color w:val="auto"/>
          <w:sz w:val="24"/>
          <w:highlight w:val="none"/>
        </w:rPr>
      </w:pPr>
      <w:r>
        <w:rPr>
          <w:rFonts w:hint="eastAsia" w:ascii="宋体" w:hAnsi="宋体" w:cs="宋体"/>
          <w:color w:val="auto"/>
          <w:sz w:val="24"/>
          <w:highlight w:val="none"/>
        </w:rPr>
        <w:t>蠕动泵： 1台</w:t>
      </w:r>
    </w:p>
    <w:p>
      <w:pPr>
        <w:spacing w:line="360" w:lineRule="auto"/>
        <w:rPr>
          <w:rFonts w:ascii="宋体" w:hAnsi="宋体" w:cs="宋体"/>
          <w:color w:val="auto"/>
          <w:sz w:val="24"/>
          <w:highlight w:val="none"/>
        </w:rPr>
      </w:pPr>
      <w:r>
        <w:rPr>
          <w:rFonts w:hint="eastAsia" w:ascii="宋体" w:hAnsi="宋体" w:cs="宋体"/>
          <w:color w:val="auto"/>
          <w:sz w:val="24"/>
          <w:highlight w:val="none"/>
        </w:rPr>
        <w:t>取样器： 1套</w:t>
      </w:r>
    </w:p>
    <w:p>
      <w:pPr>
        <w:spacing w:line="360" w:lineRule="auto"/>
        <w:rPr>
          <w:rFonts w:ascii="宋体" w:hAnsi="宋体" w:cs="宋体"/>
          <w:color w:val="auto"/>
          <w:sz w:val="24"/>
          <w:highlight w:val="none"/>
        </w:rPr>
      </w:pPr>
      <w:r>
        <w:rPr>
          <w:rFonts w:hint="eastAsia" w:ascii="宋体" w:hAnsi="宋体" w:cs="宋体"/>
          <w:color w:val="auto"/>
          <w:sz w:val="24"/>
          <w:highlight w:val="none"/>
        </w:rPr>
        <w:t>检测器：2个</w:t>
      </w:r>
    </w:p>
    <w:p>
      <w:pPr>
        <w:spacing w:line="360" w:lineRule="auto"/>
        <w:rPr>
          <w:rFonts w:ascii="宋体" w:hAnsi="宋体" w:cs="宋体"/>
          <w:color w:val="auto"/>
          <w:sz w:val="24"/>
          <w:highlight w:val="none"/>
        </w:rPr>
      </w:pPr>
      <w:r>
        <w:rPr>
          <w:rFonts w:hint="eastAsia" w:ascii="宋体" w:hAnsi="宋体" w:cs="宋体"/>
          <w:color w:val="auto"/>
          <w:sz w:val="24"/>
          <w:highlight w:val="none"/>
        </w:rPr>
        <w:t>化学分析模块： 3套</w:t>
      </w:r>
    </w:p>
    <w:p>
      <w:pPr>
        <w:spacing w:line="360" w:lineRule="auto"/>
        <w:rPr>
          <w:rFonts w:ascii="宋体" w:hAnsi="宋体" w:cs="宋体"/>
          <w:color w:val="auto"/>
          <w:sz w:val="24"/>
          <w:highlight w:val="none"/>
        </w:rPr>
      </w:pPr>
      <w:r>
        <w:rPr>
          <w:rFonts w:hint="eastAsia" w:ascii="宋体" w:hAnsi="宋体" w:cs="宋体"/>
          <w:color w:val="auto"/>
          <w:sz w:val="24"/>
          <w:highlight w:val="none"/>
        </w:rPr>
        <w:t>试剂控制单元   1套</w:t>
      </w:r>
    </w:p>
    <w:p>
      <w:pPr>
        <w:spacing w:line="360" w:lineRule="auto"/>
        <w:rPr>
          <w:rFonts w:ascii="宋体" w:hAnsi="宋体" w:cs="宋体"/>
          <w:color w:val="auto"/>
          <w:sz w:val="24"/>
          <w:highlight w:val="none"/>
        </w:rPr>
      </w:pPr>
      <w:r>
        <w:rPr>
          <w:rFonts w:hint="eastAsia" w:ascii="宋体" w:hAnsi="宋体" w:cs="宋体"/>
          <w:color w:val="auto"/>
          <w:sz w:val="24"/>
          <w:highlight w:val="none"/>
        </w:rPr>
        <w:t>打印机： 1台</w:t>
      </w:r>
    </w:p>
    <w:p>
      <w:pPr>
        <w:spacing w:line="360" w:lineRule="auto"/>
        <w:rPr>
          <w:rFonts w:ascii="宋体" w:hAnsi="宋体" w:cs="宋体"/>
          <w:color w:val="auto"/>
          <w:sz w:val="24"/>
          <w:highlight w:val="none"/>
        </w:rPr>
      </w:pPr>
      <w:r>
        <w:rPr>
          <w:rFonts w:hint="eastAsia" w:ascii="宋体" w:hAnsi="宋体" w:cs="宋体"/>
          <w:color w:val="auto"/>
          <w:sz w:val="24"/>
          <w:highlight w:val="none"/>
        </w:rPr>
        <w:t>计算机： 1台</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4．对设备的其他要求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4.1所有反应管路为透明的玻璃管路，管径2.0mm。</w:t>
      </w:r>
    </w:p>
    <w:p>
      <w:pPr>
        <w:spacing w:line="360" w:lineRule="auto"/>
        <w:rPr>
          <w:rFonts w:ascii="宋体" w:hAnsi="宋体" w:cs="宋体"/>
          <w:color w:val="auto"/>
          <w:sz w:val="24"/>
          <w:highlight w:val="none"/>
        </w:rPr>
      </w:pPr>
      <w:r>
        <w:rPr>
          <w:rFonts w:hint="eastAsia" w:ascii="宋体" w:hAnsi="宋体" w:cs="宋体"/>
          <w:color w:val="auto"/>
          <w:sz w:val="24"/>
          <w:highlight w:val="none"/>
        </w:rPr>
        <w:t>4.2附件及消耗品：提供设备正常运行的附件，随仪器提供一年以上保证仪器正常使用的零配件及基本易耗品。</w:t>
      </w:r>
    </w:p>
    <w:p>
      <w:pPr>
        <w:spacing w:line="360" w:lineRule="auto"/>
        <w:rPr>
          <w:rFonts w:ascii="宋体" w:hAnsi="宋体" w:cs="宋体"/>
          <w:color w:val="auto"/>
          <w:sz w:val="24"/>
          <w:highlight w:val="none"/>
        </w:rPr>
      </w:pPr>
      <w:r>
        <w:rPr>
          <w:rFonts w:hint="eastAsia" w:ascii="宋体" w:hAnsi="宋体" w:cs="宋体"/>
          <w:color w:val="auto"/>
          <w:sz w:val="24"/>
          <w:highlight w:val="none"/>
        </w:rPr>
        <w:t>4.3试剂控制单元：</w:t>
      </w:r>
    </w:p>
    <w:p>
      <w:pPr>
        <w:spacing w:line="360" w:lineRule="auto"/>
        <w:rPr>
          <w:rFonts w:ascii="宋体" w:hAnsi="宋体" w:cs="宋体"/>
          <w:color w:val="auto"/>
          <w:sz w:val="24"/>
          <w:highlight w:val="none"/>
        </w:rPr>
      </w:pPr>
      <w:r>
        <w:rPr>
          <w:rFonts w:hint="eastAsia" w:ascii="宋体" w:hAnsi="宋体" w:cs="宋体"/>
          <w:color w:val="auto"/>
          <w:sz w:val="24"/>
          <w:highlight w:val="none"/>
        </w:rPr>
        <w:t>4.3.1 能自动进行清洗液和试剂的切换，最多可有18路的独立试剂切换阀</w:t>
      </w:r>
    </w:p>
    <w:p>
      <w:pPr>
        <w:spacing w:line="360" w:lineRule="auto"/>
        <w:rPr>
          <w:rFonts w:ascii="宋体" w:hAnsi="宋体" w:cs="宋体"/>
          <w:color w:val="auto"/>
          <w:sz w:val="24"/>
          <w:highlight w:val="none"/>
        </w:rPr>
      </w:pPr>
      <w:r>
        <w:rPr>
          <w:rFonts w:hint="eastAsia" w:ascii="宋体" w:hAnsi="宋体" w:cs="宋体"/>
          <w:color w:val="auto"/>
          <w:sz w:val="24"/>
          <w:highlight w:val="none"/>
        </w:rPr>
        <w:t>4.3.2 液晶显示液位、温度</w:t>
      </w:r>
    </w:p>
    <w:p>
      <w:pPr>
        <w:spacing w:line="360" w:lineRule="auto"/>
        <w:rPr>
          <w:rFonts w:ascii="宋体" w:hAnsi="宋体" w:cs="宋体"/>
          <w:color w:val="auto"/>
          <w:sz w:val="24"/>
          <w:highlight w:val="none"/>
        </w:rPr>
      </w:pPr>
      <w:r>
        <w:rPr>
          <w:rFonts w:hint="eastAsia" w:ascii="宋体" w:hAnsi="宋体" w:cs="宋体"/>
          <w:color w:val="auto"/>
          <w:sz w:val="24"/>
          <w:highlight w:val="none"/>
        </w:rPr>
        <w:t>4.3.3 液位自动报警</w:t>
      </w:r>
    </w:p>
    <w:p>
      <w:pPr>
        <w:spacing w:line="360" w:lineRule="auto"/>
        <w:rPr>
          <w:rFonts w:ascii="宋体" w:hAnsi="宋体" w:cs="宋体"/>
          <w:color w:val="auto"/>
          <w:sz w:val="24"/>
          <w:highlight w:val="none"/>
        </w:rPr>
      </w:pPr>
      <w:r>
        <w:rPr>
          <w:rFonts w:hint="eastAsia" w:ascii="宋体" w:hAnsi="宋体" w:cs="宋体"/>
          <w:color w:val="auto"/>
          <w:sz w:val="24"/>
          <w:highlight w:val="none"/>
        </w:rPr>
        <w:t>4.3.4 试剂贮存温度 15-25℃</w:t>
      </w:r>
    </w:p>
    <w:p>
      <w:pPr>
        <w:spacing w:line="360" w:lineRule="auto"/>
        <w:rPr>
          <w:rFonts w:ascii="宋体" w:hAnsi="宋体" w:cs="宋体"/>
          <w:color w:val="auto"/>
          <w:sz w:val="24"/>
          <w:highlight w:val="none"/>
        </w:rPr>
      </w:pPr>
      <w:r>
        <w:rPr>
          <w:rFonts w:hint="eastAsia" w:ascii="宋体" w:hAnsi="宋体" w:cs="宋体"/>
          <w:color w:val="auto"/>
          <w:sz w:val="24"/>
          <w:highlight w:val="none"/>
        </w:rPr>
        <w:t>4.3.5 专用的试剂瓶，满足所有参数同时检测的需求</w:t>
      </w:r>
    </w:p>
    <w:p>
      <w:pPr>
        <w:spacing w:line="360" w:lineRule="auto"/>
        <w:rPr>
          <w:rFonts w:ascii="宋体" w:hAnsi="宋体" w:cs="宋体"/>
          <w:color w:val="auto"/>
          <w:sz w:val="24"/>
          <w:highlight w:val="none"/>
        </w:rPr>
      </w:pPr>
      <w:r>
        <w:rPr>
          <w:rFonts w:hint="eastAsia" w:ascii="宋体" w:hAnsi="宋体" w:cs="宋体"/>
          <w:color w:val="auto"/>
          <w:sz w:val="24"/>
          <w:highlight w:val="none"/>
        </w:rPr>
        <w:t>4.4提供仪器维护必须的专用工具。</w:t>
      </w:r>
    </w:p>
    <w:p>
      <w:pPr>
        <w:spacing w:line="360" w:lineRule="auto"/>
        <w:rPr>
          <w:rFonts w:ascii="宋体" w:hAnsi="宋体" w:cs="宋体"/>
          <w:color w:val="auto"/>
          <w:sz w:val="24"/>
          <w:highlight w:val="none"/>
        </w:rPr>
      </w:pPr>
      <w:r>
        <w:rPr>
          <w:rFonts w:hint="eastAsia" w:ascii="宋体" w:hAnsi="宋体" w:cs="宋体"/>
          <w:color w:val="auto"/>
          <w:sz w:val="24"/>
          <w:highlight w:val="none"/>
        </w:rPr>
        <w:t>4.5工作环境要求：相对湿度20%～90%，室内温度：5～40℃，电源： 220V（AC），50/60HZ。</w:t>
      </w: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（二）质保及售后服务：</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1．技术支持及售后服务</w:t>
      </w:r>
    </w:p>
    <w:p>
      <w:pPr>
        <w:spacing w:line="360" w:lineRule="auto"/>
        <w:rPr>
          <w:rFonts w:ascii="宋体" w:hAnsi="宋体" w:cs="宋体"/>
          <w:color w:val="auto"/>
          <w:sz w:val="24"/>
          <w:highlight w:val="none"/>
        </w:rPr>
      </w:pPr>
      <w:r>
        <w:rPr>
          <w:rFonts w:hint="eastAsia" w:ascii="宋体" w:hAnsi="宋体" w:cs="宋体"/>
          <w:color w:val="auto"/>
          <w:sz w:val="24"/>
          <w:highlight w:val="none"/>
        </w:rPr>
        <w:t>1.1技术支持：每个参数化学分析方法需配套有专门的方法手册，详细说明该方法的分析原理、测量范围、检出限、标准偏差、工作曲线、操作程序及所需化学试剂明确要求和标准溶液的配制方法等。卖方应在安装调试时免费为使用方培训2名以上的操作人员，培训时间根据买方实际情况来定，内容包括仪器的基本原理、结构、基本操作、维护知识及实验方法的应用与开发，并指导买方进行样品分析检测，前期使用卖方派专业技术人员培训买方技术人员共同操作仪器，直到买方使用人员可独立进行操作为止。</w:t>
      </w:r>
    </w:p>
    <w:p>
      <w:pPr>
        <w:spacing w:line="360" w:lineRule="auto"/>
        <w:rPr>
          <w:rFonts w:ascii="宋体" w:hAnsi="宋体" w:cs="宋体"/>
          <w:color w:val="auto"/>
          <w:sz w:val="24"/>
          <w:highlight w:val="none"/>
        </w:rPr>
      </w:pPr>
      <w:r>
        <w:rPr>
          <w:rFonts w:hint="eastAsia" w:ascii="宋体" w:hAnsi="宋体" w:cs="宋体"/>
          <w:color w:val="auto"/>
          <w:sz w:val="24"/>
          <w:highlight w:val="none"/>
        </w:rPr>
        <w:t>1.2售后服务：一年质保期，质保期从最后一个项目调试成功并经使用方验收合格签字之日起计算，质保内容包括整机及所有相关用品； 在接到买方的服务申请后，卖方应在2小时内电话响应，需到现场解决的，维修工程师应在24小时内到达现场；质保期内所有服务（包括更换配件等）免费；质保期外，买方可根据需要重新与卖方签订产品维护协议，确保仪器的正常运转，无正当理由，卖方不得拒绝。</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2．仪器安装验收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仪器所有技术参数经检验应符合投标书要求的技术性能指标值，附验收报告，买方签收。</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（三） 交货地：</w:t>
      </w:r>
      <w:r>
        <w:rPr>
          <w:rFonts w:hint="eastAsia" w:ascii="宋体" w:hAnsi="宋体" w:cs="宋体"/>
          <w:bCs/>
          <w:color w:val="auto"/>
          <w:sz w:val="24"/>
          <w:highlight w:val="none"/>
        </w:rPr>
        <w:t>新疆乌鲁木齐市内最终用户指定地点</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（四）交货日期：</w:t>
      </w:r>
      <w:r>
        <w:rPr>
          <w:rFonts w:hint="eastAsia" w:ascii="宋体" w:hAnsi="宋体" w:cs="宋体"/>
          <w:color w:val="auto"/>
          <w:sz w:val="24"/>
          <w:highlight w:val="none"/>
        </w:rPr>
        <w:t xml:space="preserve">合同生效后90天内                                           </w:t>
      </w: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（五）执行的相关标准</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无</w:t>
      </w:r>
    </w:p>
    <w:p>
      <w:pPr>
        <w:jc w:val="center"/>
        <w:rPr>
          <w:b/>
          <w:color w:val="auto"/>
          <w:sz w:val="24"/>
          <w:highlight w:val="none"/>
        </w:rPr>
      </w:pPr>
      <w:r>
        <w:rPr>
          <w:rFonts w:hint="eastAsia" w:ascii="宋体" w:hAnsi="宋体"/>
          <w:b/>
          <w:color w:val="auto"/>
          <w:sz w:val="30"/>
          <w:szCs w:val="30"/>
          <w:highlight w:val="none"/>
        </w:rPr>
        <w:br w:type="page"/>
      </w:r>
      <w:r>
        <w:rPr>
          <w:rFonts w:hint="eastAsia"/>
          <w:b/>
          <w:color w:val="auto"/>
          <w:sz w:val="24"/>
          <w:highlight w:val="none"/>
        </w:rPr>
        <w:t>第2包 全自动热脱附仪</w:t>
      </w:r>
    </w:p>
    <w:p>
      <w:pPr>
        <w:jc w:val="center"/>
        <w:rPr>
          <w:b/>
          <w:color w:val="auto"/>
          <w:sz w:val="24"/>
          <w:highlight w:val="none"/>
        </w:rPr>
      </w:pPr>
    </w:p>
    <w:p>
      <w:pPr>
        <w:rPr>
          <w:rFonts w:ascii="宋体" w:hAnsi="宋体" w:cs="宋体"/>
          <w:b/>
          <w:color w:val="auto"/>
          <w:sz w:val="24"/>
          <w:highlight w:val="none"/>
        </w:rPr>
      </w:pPr>
      <w:r>
        <w:rPr>
          <w:rFonts w:hint="eastAsia" w:ascii="宋体" w:hAnsi="宋体" w:cs="宋体"/>
          <w:b/>
          <w:color w:val="auto"/>
          <w:sz w:val="24"/>
          <w:highlight w:val="none"/>
        </w:rPr>
        <w:t>（一）技术要求：</w:t>
      </w:r>
    </w:p>
    <w:p>
      <w:pPr>
        <w:rPr>
          <w:rFonts w:ascii="宋体" w:hAnsi="宋体" w:cs="宋体"/>
          <w:b/>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一．应用范围</w:t>
      </w:r>
    </w:p>
    <w:p>
      <w:pPr>
        <w:spacing w:line="360" w:lineRule="auto"/>
        <w:rPr>
          <w:rFonts w:ascii="宋体" w:hAnsi="宋体" w:cs="宋体"/>
          <w:color w:val="auto"/>
          <w:sz w:val="24"/>
          <w:highlight w:val="none"/>
        </w:rPr>
      </w:pPr>
      <w:r>
        <w:rPr>
          <w:rFonts w:hint="eastAsia" w:ascii="宋体" w:hAnsi="宋体" w:cs="宋体"/>
          <w:color w:val="auto"/>
          <w:sz w:val="24"/>
          <w:highlight w:val="none"/>
        </w:rPr>
        <w:t>与GC或GCMS联用，用于废气、室内外环境空气或工业场所中挥发性有机物的全自动进样分析。</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二．设备名称：全自动热脱附仪</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1．工作条件</w:t>
      </w:r>
    </w:p>
    <w:p>
      <w:pPr>
        <w:spacing w:line="360" w:lineRule="auto"/>
        <w:rPr>
          <w:rFonts w:ascii="宋体" w:hAnsi="宋体" w:cs="宋体"/>
          <w:color w:val="auto"/>
          <w:sz w:val="24"/>
          <w:highlight w:val="none"/>
        </w:rPr>
      </w:pPr>
      <w:r>
        <w:rPr>
          <w:rFonts w:hint="eastAsia" w:ascii="宋体" w:hAnsi="宋体" w:cs="宋体"/>
          <w:color w:val="auto"/>
          <w:sz w:val="24"/>
          <w:highlight w:val="none"/>
        </w:rPr>
        <w:t>1.4 电源：380V和230V±10%，AC(交流)，50/60Hz</w:t>
      </w:r>
    </w:p>
    <w:p>
      <w:pPr>
        <w:spacing w:line="360" w:lineRule="auto"/>
        <w:rPr>
          <w:rFonts w:ascii="宋体" w:hAnsi="宋体" w:cs="宋体"/>
          <w:color w:val="auto"/>
          <w:sz w:val="24"/>
          <w:highlight w:val="none"/>
        </w:rPr>
      </w:pPr>
      <w:r>
        <w:rPr>
          <w:rFonts w:hint="eastAsia" w:ascii="宋体" w:hAnsi="宋体" w:cs="宋体"/>
          <w:color w:val="auto"/>
          <w:sz w:val="24"/>
          <w:highlight w:val="none"/>
        </w:rPr>
        <w:t>1.5 环境温度：15-27℃（最优：18~21℃）</w:t>
      </w:r>
    </w:p>
    <w:p>
      <w:pPr>
        <w:spacing w:line="360" w:lineRule="auto"/>
        <w:rPr>
          <w:rFonts w:ascii="宋体" w:hAnsi="宋体" w:cs="宋体"/>
          <w:color w:val="auto"/>
          <w:sz w:val="24"/>
          <w:highlight w:val="none"/>
        </w:rPr>
      </w:pPr>
      <w:r>
        <w:rPr>
          <w:rFonts w:hint="eastAsia" w:ascii="宋体" w:hAnsi="宋体" w:cs="宋体"/>
          <w:color w:val="auto"/>
          <w:sz w:val="24"/>
          <w:highlight w:val="none"/>
        </w:rPr>
        <w:t>1.6 相对湿度：20-80%</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2．技术要求：</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2.1 仪器规格：完全符合国标要求的两级热脱附设计，全自动控制适合C2～C40宽范围VOCs的分析                           </w:t>
      </w:r>
    </w:p>
    <w:p>
      <w:pPr>
        <w:spacing w:line="360" w:lineRule="auto"/>
        <w:rPr>
          <w:rFonts w:ascii="宋体" w:hAnsi="宋体" w:cs="宋体"/>
          <w:color w:val="auto"/>
          <w:sz w:val="24"/>
          <w:highlight w:val="none"/>
        </w:rPr>
      </w:pPr>
      <w:r>
        <w:rPr>
          <w:rFonts w:hint="eastAsia" w:ascii="宋体" w:hAnsi="宋体" w:cs="宋体"/>
          <w:color w:val="auto"/>
          <w:sz w:val="24"/>
          <w:highlight w:val="none"/>
        </w:rPr>
        <w:t>2.2 富集模式：电子冷冻富集</w:t>
      </w:r>
    </w:p>
    <w:p>
      <w:pPr>
        <w:spacing w:line="360" w:lineRule="auto"/>
        <w:rPr>
          <w:rFonts w:ascii="宋体" w:hAnsi="宋体" w:cs="宋体"/>
          <w:color w:val="auto"/>
          <w:sz w:val="24"/>
          <w:highlight w:val="none"/>
        </w:rPr>
      </w:pPr>
      <w:r>
        <w:rPr>
          <w:rFonts w:hint="eastAsia" w:ascii="宋体" w:hAnsi="宋体" w:cs="宋体"/>
          <w:color w:val="auto"/>
          <w:sz w:val="24"/>
          <w:highlight w:val="none"/>
        </w:rPr>
        <w:t>#2.3 可与气相色谱/气质联用仪主机软硬件融为一体，实现热脱附-气相色谱/气质联用仪整体EPC控制。</w:t>
      </w:r>
    </w:p>
    <w:p>
      <w:pPr>
        <w:spacing w:line="360" w:lineRule="auto"/>
        <w:rPr>
          <w:rFonts w:ascii="宋体" w:hAnsi="宋体" w:cs="宋体"/>
          <w:color w:val="auto"/>
          <w:sz w:val="24"/>
          <w:highlight w:val="none"/>
        </w:rPr>
      </w:pPr>
      <w:r>
        <w:rPr>
          <w:rFonts w:hint="eastAsia" w:ascii="宋体" w:hAnsi="宋体" w:cs="宋体"/>
          <w:color w:val="auto"/>
          <w:sz w:val="24"/>
          <w:highlight w:val="none"/>
        </w:rPr>
        <w:t>2.4具备独立的质量流量控制，调节范围 5-200ml/min。</w:t>
      </w:r>
    </w:p>
    <w:p>
      <w:pPr>
        <w:spacing w:line="360" w:lineRule="auto"/>
        <w:rPr>
          <w:rFonts w:ascii="宋体" w:hAnsi="宋体" w:cs="宋体"/>
          <w:color w:val="auto"/>
          <w:sz w:val="24"/>
          <w:highlight w:val="none"/>
        </w:rPr>
      </w:pPr>
      <w:r>
        <w:rPr>
          <w:rFonts w:hint="eastAsia" w:ascii="宋体" w:hAnsi="宋体" w:cs="宋体"/>
          <w:color w:val="auto"/>
          <w:sz w:val="24"/>
          <w:highlight w:val="none"/>
        </w:rPr>
        <w:t>#2.5可选择一次或二次分流，分流比0--120000：1可调，具备定量再收集功能，即分流出的样品可用于备份和重复分析。</w:t>
      </w:r>
    </w:p>
    <w:p>
      <w:pPr>
        <w:spacing w:line="360" w:lineRule="auto"/>
        <w:rPr>
          <w:rFonts w:ascii="宋体" w:hAnsi="宋体" w:cs="宋体"/>
          <w:color w:val="auto"/>
          <w:sz w:val="24"/>
          <w:highlight w:val="none"/>
        </w:rPr>
      </w:pPr>
      <w:r>
        <w:rPr>
          <w:rFonts w:hint="eastAsia" w:ascii="宋体" w:hAnsi="宋体" w:cs="宋体"/>
          <w:color w:val="auto"/>
          <w:sz w:val="24"/>
          <w:highlight w:val="none"/>
        </w:rPr>
        <w:t>2.6脱附时间：1～600 min ；控制精度为0.1 min</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2.7电子制冷聚焦冷阱，最低富集温度：-30℃或以下；最高解析温度：400℃或以上；控制精度1 ℃, 不需要液氮。 </w:t>
      </w:r>
    </w:p>
    <w:p>
      <w:pPr>
        <w:spacing w:line="360" w:lineRule="auto"/>
        <w:rPr>
          <w:rFonts w:ascii="宋体" w:hAnsi="宋体" w:cs="宋体"/>
          <w:color w:val="auto"/>
          <w:sz w:val="24"/>
          <w:highlight w:val="none"/>
        </w:rPr>
      </w:pPr>
      <w:r>
        <w:rPr>
          <w:rFonts w:hint="eastAsia" w:ascii="宋体" w:hAnsi="宋体" w:cs="宋体"/>
          <w:color w:val="auto"/>
          <w:sz w:val="24"/>
          <w:highlight w:val="none"/>
        </w:rPr>
        <w:t>#2.8冷阱最大升温速度：100 ℃/s；</w:t>
      </w:r>
    </w:p>
    <w:p>
      <w:pPr>
        <w:spacing w:line="360" w:lineRule="auto"/>
        <w:rPr>
          <w:rFonts w:ascii="宋体" w:hAnsi="宋体" w:cs="宋体"/>
          <w:color w:val="auto"/>
          <w:sz w:val="24"/>
          <w:highlight w:val="none"/>
        </w:rPr>
      </w:pPr>
      <w:r>
        <w:rPr>
          <w:rFonts w:hint="eastAsia" w:ascii="宋体" w:hAnsi="宋体" w:cs="宋体"/>
          <w:color w:val="auto"/>
          <w:sz w:val="24"/>
          <w:highlight w:val="none"/>
        </w:rPr>
        <w:t>2.9交叠进样功能：在当前一个样品分析时，可对下一个样品进行脱附。</w:t>
      </w:r>
    </w:p>
    <w:p>
      <w:pPr>
        <w:spacing w:line="360" w:lineRule="auto"/>
        <w:rPr>
          <w:rFonts w:ascii="宋体" w:hAnsi="宋体" w:cs="宋体"/>
          <w:color w:val="auto"/>
          <w:sz w:val="24"/>
          <w:highlight w:val="none"/>
        </w:rPr>
      </w:pPr>
      <w:r>
        <w:rPr>
          <w:rFonts w:hint="eastAsia" w:ascii="宋体" w:hAnsi="宋体" w:cs="宋体"/>
          <w:color w:val="auto"/>
          <w:sz w:val="24"/>
          <w:highlight w:val="none"/>
        </w:rPr>
        <w:t>2.10惰性化气路材料要求：可选择由PTFE，石英，惰性涂层不锈钢管或无涂敷熔融石英管等。</w:t>
      </w:r>
    </w:p>
    <w:p>
      <w:pPr>
        <w:spacing w:line="360" w:lineRule="auto"/>
        <w:rPr>
          <w:rFonts w:ascii="宋体" w:hAnsi="宋体" w:cs="宋体"/>
          <w:color w:val="auto"/>
          <w:sz w:val="24"/>
          <w:highlight w:val="none"/>
        </w:rPr>
      </w:pPr>
      <w:r>
        <w:rPr>
          <w:rFonts w:hint="eastAsia" w:ascii="宋体" w:hAnsi="宋体" w:cs="宋体"/>
          <w:color w:val="auto"/>
          <w:sz w:val="24"/>
          <w:highlight w:val="none"/>
        </w:rPr>
        <w:t>2.11自动进样器位数：100位</w:t>
      </w:r>
    </w:p>
    <w:p>
      <w:pPr>
        <w:spacing w:line="360" w:lineRule="auto"/>
        <w:rPr>
          <w:rFonts w:ascii="宋体" w:hAnsi="宋体" w:cs="宋体"/>
          <w:color w:val="auto"/>
          <w:sz w:val="24"/>
          <w:highlight w:val="none"/>
        </w:rPr>
      </w:pPr>
      <w:r>
        <w:rPr>
          <w:rFonts w:hint="eastAsia" w:ascii="宋体" w:hAnsi="宋体" w:cs="宋体"/>
          <w:color w:val="auto"/>
          <w:sz w:val="24"/>
          <w:highlight w:val="none"/>
        </w:rPr>
        <w:t>2.12吸附管放置方式：水平放置，防止管内直接解析物松脱而造成系统管路污染；</w:t>
      </w:r>
    </w:p>
    <w:p>
      <w:pPr>
        <w:spacing w:line="360" w:lineRule="auto"/>
        <w:rPr>
          <w:rFonts w:ascii="宋体" w:hAnsi="宋体" w:cs="宋体"/>
          <w:color w:val="auto"/>
          <w:sz w:val="24"/>
          <w:highlight w:val="none"/>
        </w:rPr>
      </w:pPr>
      <w:r>
        <w:rPr>
          <w:rFonts w:hint="eastAsia" w:ascii="宋体" w:hAnsi="宋体" w:cs="宋体"/>
          <w:color w:val="auto"/>
          <w:sz w:val="24"/>
          <w:highlight w:val="none"/>
        </w:rPr>
        <w:t>#2.13密封帽要求：为保证样品的有效性，用于自动进样器的脱附管进样时不得拆卸密封帽；保证样品做样前后的密封性，规避样品污染和样品成分损失的风险。</w:t>
      </w:r>
    </w:p>
    <w:p>
      <w:pPr>
        <w:spacing w:line="360" w:lineRule="auto"/>
        <w:rPr>
          <w:rFonts w:ascii="宋体" w:hAnsi="宋体" w:cs="宋体"/>
          <w:color w:val="auto"/>
          <w:sz w:val="24"/>
          <w:highlight w:val="none"/>
        </w:rPr>
      </w:pPr>
      <w:r>
        <w:rPr>
          <w:rFonts w:hint="eastAsia" w:ascii="宋体" w:hAnsi="宋体" w:cs="宋体"/>
          <w:color w:val="auto"/>
          <w:sz w:val="24"/>
          <w:highlight w:val="none"/>
        </w:rPr>
        <w:t>2.14具有泄露漏气测试、使用水管理系统可吹扫排除水分及溶剂干扰。</w:t>
      </w:r>
    </w:p>
    <w:p>
      <w:pPr>
        <w:spacing w:line="360" w:lineRule="auto"/>
        <w:rPr>
          <w:rFonts w:ascii="宋体" w:hAnsi="宋体" w:cs="宋体"/>
          <w:color w:val="auto"/>
          <w:sz w:val="24"/>
          <w:highlight w:val="none"/>
        </w:rPr>
      </w:pPr>
      <w:r>
        <w:rPr>
          <w:rFonts w:hint="eastAsia" w:ascii="宋体" w:hAnsi="宋体" w:cs="宋体"/>
          <w:color w:val="auto"/>
          <w:sz w:val="24"/>
          <w:highlight w:val="none"/>
        </w:rPr>
        <w:t>2.15界面控制:可视化软件操作控制，每一个样品可以设定各自的方法，所有序列方法能被储存；操作状态、分类、序列视图都有图形显示；每个分析的事件都将被记录在序列报告里。</w:t>
      </w:r>
    </w:p>
    <w:p>
      <w:pPr>
        <w:spacing w:line="360" w:lineRule="auto"/>
        <w:rPr>
          <w:rFonts w:ascii="宋体" w:hAnsi="宋体" w:cs="宋体"/>
          <w:color w:val="auto"/>
          <w:sz w:val="24"/>
          <w:highlight w:val="none"/>
        </w:rPr>
      </w:pPr>
      <w:r>
        <w:rPr>
          <w:rFonts w:hint="eastAsia" w:ascii="宋体" w:hAnsi="宋体" w:cs="宋体"/>
          <w:color w:val="auto"/>
          <w:sz w:val="24"/>
          <w:highlight w:val="none"/>
        </w:rPr>
        <w:t>2.16兼容性能：兼容国际国内标准方法，兼容各类工业标准及不锈钢或玻璃热脱附管。</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3．配置清单：</w:t>
      </w:r>
    </w:p>
    <w:p>
      <w:pPr>
        <w:spacing w:line="360" w:lineRule="auto"/>
        <w:rPr>
          <w:rFonts w:ascii="宋体" w:hAnsi="宋体" w:cs="宋体"/>
          <w:color w:val="auto"/>
          <w:sz w:val="24"/>
          <w:highlight w:val="none"/>
        </w:rPr>
      </w:pPr>
      <w:r>
        <w:rPr>
          <w:rFonts w:hint="eastAsia" w:ascii="宋体" w:hAnsi="宋体" w:cs="宋体"/>
          <w:color w:val="auto"/>
          <w:sz w:val="24"/>
          <w:highlight w:val="none"/>
        </w:rPr>
        <w:t>全自动电子流量控制热脱附仪主机一套，自动进样器一套，与8890B色谱仪兼容的EPC控制装置一套，启动工具包一套，热脱附管20根，内标添加装置。</w:t>
      </w: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（二）质保及售后服务：</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1．售后服务 </w:t>
      </w:r>
    </w:p>
    <w:p>
      <w:pPr>
        <w:spacing w:line="360" w:lineRule="auto"/>
        <w:rPr>
          <w:rFonts w:ascii="宋体" w:hAnsi="宋体" w:cs="宋体"/>
          <w:color w:val="auto"/>
          <w:sz w:val="24"/>
          <w:highlight w:val="none"/>
        </w:rPr>
      </w:pPr>
      <w:r>
        <w:rPr>
          <w:rFonts w:hint="eastAsia" w:ascii="宋体" w:hAnsi="宋体" w:cs="宋体"/>
          <w:color w:val="auto"/>
          <w:sz w:val="24"/>
          <w:highlight w:val="none"/>
        </w:rPr>
        <w:t>1.1为保证联机的稳定性和售后服务的完整性，热脱附仪设备供应厂家需具备气相色谱仪或气质联用仪的售后服务能力，在设备存续期内，提供设备本身及联用设备的所有服务支持。</w:t>
      </w:r>
    </w:p>
    <w:p>
      <w:pPr>
        <w:spacing w:line="360" w:lineRule="auto"/>
        <w:rPr>
          <w:rFonts w:ascii="宋体" w:hAnsi="宋体" w:cs="宋体"/>
          <w:color w:val="auto"/>
          <w:sz w:val="24"/>
          <w:highlight w:val="none"/>
        </w:rPr>
      </w:pPr>
      <w:r>
        <w:rPr>
          <w:rFonts w:hint="eastAsia" w:ascii="宋体" w:hAnsi="宋体" w:cs="宋体"/>
          <w:color w:val="auto"/>
          <w:sz w:val="24"/>
          <w:highlight w:val="none"/>
        </w:rPr>
        <w:t>1.2供应商应在合同规定时间内完成仪器安装调试，并免费提供用户现场安装、调试及培训,必须免费提供操作手册中/英文各一套。</w:t>
      </w:r>
    </w:p>
    <w:p>
      <w:pPr>
        <w:spacing w:line="360" w:lineRule="auto"/>
        <w:rPr>
          <w:rFonts w:ascii="宋体" w:hAnsi="宋体" w:cs="宋体"/>
          <w:color w:val="auto"/>
          <w:sz w:val="24"/>
          <w:highlight w:val="none"/>
        </w:rPr>
      </w:pPr>
      <w:r>
        <w:rPr>
          <w:rFonts w:hint="eastAsia" w:ascii="宋体" w:hAnsi="宋体" w:cs="宋体"/>
          <w:color w:val="auto"/>
          <w:sz w:val="24"/>
          <w:highlight w:val="none"/>
        </w:rPr>
        <w:t>1.3厂家售后服务通过了ISO9001认证，便于售后服务的标准化和及时响应。</w:t>
      </w:r>
    </w:p>
    <w:p>
      <w:pPr>
        <w:spacing w:line="360" w:lineRule="auto"/>
        <w:rPr>
          <w:rFonts w:ascii="宋体" w:hAnsi="宋体" w:cs="宋体"/>
          <w:color w:val="auto"/>
          <w:sz w:val="24"/>
          <w:highlight w:val="none"/>
        </w:rPr>
      </w:pPr>
      <w:r>
        <w:rPr>
          <w:rFonts w:hint="eastAsia" w:ascii="宋体" w:hAnsi="宋体" w:cs="宋体"/>
          <w:color w:val="auto"/>
          <w:sz w:val="24"/>
          <w:highlight w:val="none"/>
        </w:rPr>
        <w:t>1.4提供一年质保期，质保期从最后一个项目调试成功并经使用方验收合格签字之日起计算，质保内容包括整机及所有相关用品； 在接到买方的服务申请后，卖方应在2小时内电话响应，需到现场解决的，维修工程师应在24小时内到达现场；质保期内所有服务（包括更换配件等）免费；质保期外，买方可根据需要重新与卖方签订产品维护协议，确保仪器的正常运转，无正当理由，卖方不得拒绝。</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（三） 交货地：</w:t>
      </w:r>
      <w:r>
        <w:rPr>
          <w:rFonts w:hint="eastAsia" w:ascii="宋体" w:hAnsi="宋体" w:cs="宋体"/>
          <w:bCs/>
          <w:color w:val="auto"/>
          <w:sz w:val="24"/>
          <w:highlight w:val="none"/>
        </w:rPr>
        <w:t>新疆乌鲁木齐市内最终用户指定地点</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（四）交货日期：</w:t>
      </w:r>
      <w:r>
        <w:rPr>
          <w:rFonts w:hint="eastAsia" w:ascii="宋体" w:hAnsi="宋体" w:cs="宋体"/>
          <w:color w:val="auto"/>
          <w:sz w:val="24"/>
          <w:highlight w:val="none"/>
        </w:rPr>
        <w:t xml:space="preserve">合同生效后90天内                                           </w:t>
      </w: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（五）执行的相关标准</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无</w:t>
      </w:r>
    </w:p>
    <w:p>
      <w:pPr>
        <w:widowControl/>
        <w:spacing w:line="360" w:lineRule="atLeast"/>
        <w:rPr>
          <w:rFonts w:ascii="宋体" w:hAnsi="宋体"/>
          <w:b/>
          <w:color w:val="auto"/>
          <w:sz w:val="30"/>
          <w:szCs w:val="30"/>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inherit">
    <w:altName w:val="Times New Roman"/>
    <w:panose1 w:val="00000000000000000000"/>
    <w:charset w:val="00"/>
    <w:family w:val="roman"/>
    <w:pitch w:val="default"/>
    <w:sig w:usb0="00000000" w:usb1="00000000" w:usb2="00000000" w:usb3="00000000" w:csb0="00040001" w:csb1="0000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5B104"/>
    <w:multiLevelType w:val="singleLevel"/>
    <w:tmpl w:val="D785B104"/>
    <w:lvl w:ilvl="0" w:tentative="0">
      <w:start w:val="1"/>
      <w:numFmt w:val="chineseCounting"/>
      <w:suff w:val="nothing"/>
      <w:lvlText w:val="（%1）"/>
      <w:lvlJc w:val="left"/>
      <w:rPr>
        <w:rFonts w:hint="eastAsia"/>
      </w:rPr>
    </w:lvl>
  </w:abstractNum>
  <w:abstractNum w:abstractNumId="1">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zNzEzNjVhMDc5MDE2MWM4NDViMjZiMmQyYTZhZTYifQ=="/>
  </w:docVars>
  <w:rsids>
    <w:rsidRoot w:val="00FA3835"/>
    <w:rsid w:val="000050A2"/>
    <w:rsid w:val="00027C8D"/>
    <w:rsid w:val="00040005"/>
    <w:rsid w:val="000543E7"/>
    <w:rsid w:val="0006010D"/>
    <w:rsid w:val="000668DC"/>
    <w:rsid w:val="00081ADD"/>
    <w:rsid w:val="000969BB"/>
    <w:rsid w:val="000973D2"/>
    <w:rsid w:val="000B12EC"/>
    <w:rsid w:val="000B636A"/>
    <w:rsid w:val="000C1F98"/>
    <w:rsid w:val="000C325D"/>
    <w:rsid w:val="000C505C"/>
    <w:rsid w:val="000D1A3C"/>
    <w:rsid w:val="000E0B0C"/>
    <w:rsid w:val="000E17D4"/>
    <w:rsid w:val="000E4DA9"/>
    <w:rsid w:val="000F0512"/>
    <w:rsid w:val="000F4571"/>
    <w:rsid w:val="00103352"/>
    <w:rsid w:val="00107AF4"/>
    <w:rsid w:val="001140D0"/>
    <w:rsid w:val="001235CA"/>
    <w:rsid w:val="00137D93"/>
    <w:rsid w:val="00144505"/>
    <w:rsid w:val="00144DDA"/>
    <w:rsid w:val="0014761F"/>
    <w:rsid w:val="00153F11"/>
    <w:rsid w:val="00154F47"/>
    <w:rsid w:val="00155A34"/>
    <w:rsid w:val="00164E27"/>
    <w:rsid w:val="001921CA"/>
    <w:rsid w:val="00194900"/>
    <w:rsid w:val="001A0E56"/>
    <w:rsid w:val="001A6E63"/>
    <w:rsid w:val="001B195C"/>
    <w:rsid w:val="001B62CC"/>
    <w:rsid w:val="001B66E1"/>
    <w:rsid w:val="001B6E57"/>
    <w:rsid w:val="001D7301"/>
    <w:rsid w:val="001E1467"/>
    <w:rsid w:val="001E152C"/>
    <w:rsid w:val="001E3480"/>
    <w:rsid w:val="001F18B7"/>
    <w:rsid w:val="001F1D2B"/>
    <w:rsid w:val="001F5FAD"/>
    <w:rsid w:val="001F79B6"/>
    <w:rsid w:val="002024C7"/>
    <w:rsid w:val="00206639"/>
    <w:rsid w:val="0021259E"/>
    <w:rsid w:val="00213C28"/>
    <w:rsid w:val="00224FE7"/>
    <w:rsid w:val="00233C8A"/>
    <w:rsid w:val="00240E7B"/>
    <w:rsid w:val="00247ED0"/>
    <w:rsid w:val="00251DB7"/>
    <w:rsid w:val="00275598"/>
    <w:rsid w:val="002761A3"/>
    <w:rsid w:val="0028124D"/>
    <w:rsid w:val="00282A80"/>
    <w:rsid w:val="00282F14"/>
    <w:rsid w:val="00292E0B"/>
    <w:rsid w:val="002B44BD"/>
    <w:rsid w:val="002B6E7A"/>
    <w:rsid w:val="002B726B"/>
    <w:rsid w:val="002B7380"/>
    <w:rsid w:val="002D5C47"/>
    <w:rsid w:val="002E03AA"/>
    <w:rsid w:val="002E6A76"/>
    <w:rsid w:val="002F1704"/>
    <w:rsid w:val="002F6FCA"/>
    <w:rsid w:val="002F7EF8"/>
    <w:rsid w:val="00301191"/>
    <w:rsid w:val="00322611"/>
    <w:rsid w:val="003248D5"/>
    <w:rsid w:val="00326D72"/>
    <w:rsid w:val="0033189B"/>
    <w:rsid w:val="003442AE"/>
    <w:rsid w:val="0034443A"/>
    <w:rsid w:val="003474B8"/>
    <w:rsid w:val="00353E66"/>
    <w:rsid w:val="00357C16"/>
    <w:rsid w:val="003637C6"/>
    <w:rsid w:val="003732CC"/>
    <w:rsid w:val="00373B63"/>
    <w:rsid w:val="00374F9A"/>
    <w:rsid w:val="00382C0C"/>
    <w:rsid w:val="00397F24"/>
    <w:rsid w:val="003A298A"/>
    <w:rsid w:val="003B4F45"/>
    <w:rsid w:val="003B6193"/>
    <w:rsid w:val="003C172D"/>
    <w:rsid w:val="003C7092"/>
    <w:rsid w:val="003C785A"/>
    <w:rsid w:val="003D2B81"/>
    <w:rsid w:val="003F5F7A"/>
    <w:rsid w:val="004043A2"/>
    <w:rsid w:val="00404EA5"/>
    <w:rsid w:val="00415144"/>
    <w:rsid w:val="00420D92"/>
    <w:rsid w:val="0042297A"/>
    <w:rsid w:val="004362C7"/>
    <w:rsid w:val="0044106E"/>
    <w:rsid w:val="00446E68"/>
    <w:rsid w:val="00447503"/>
    <w:rsid w:val="0046038A"/>
    <w:rsid w:val="00471176"/>
    <w:rsid w:val="00484FF8"/>
    <w:rsid w:val="004A0EB1"/>
    <w:rsid w:val="004A3B49"/>
    <w:rsid w:val="004A5C14"/>
    <w:rsid w:val="004B36B8"/>
    <w:rsid w:val="004C387C"/>
    <w:rsid w:val="004D0AB9"/>
    <w:rsid w:val="004E042A"/>
    <w:rsid w:val="004F0FDE"/>
    <w:rsid w:val="004F3E07"/>
    <w:rsid w:val="00504FD3"/>
    <w:rsid w:val="00512882"/>
    <w:rsid w:val="005143FF"/>
    <w:rsid w:val="00516FEB"/>
    <w:rsid w:val="005244F5"/>
    <w:rsid w:val="00524665"/>
    <w:rsid w:val="00543C0A"/>
    <w:rsid w:val="0054699B"/>
    <w:rsid w:val="005515EB"/>
    <w:rsid w:val="0055226E"/>
    <w:rsid w:val="00552E7C"/>
    <w:rsid w:val="005601D0"/>
    <w:rsid w:val="005613B2"/>
    <w:rsid w:val="0056304A"/>
    <w:rsid w:val="0057066D"/>
    <w:rsid w:val="00572671"/>
    <w:rsid w:val="00591688"/>
    <w:rsid w:val="005916DF"/>
    <w:rsid w:val="00595627"/>
    <w:rsid w:val="00595D3F"/>
    <w:rsid w:val="00595EAC"/>
    <w:rsid w:val="005A2F5B"/>
    <w:rsid w:val="005A52D6"/>
    <w:rsid w:val="005B1BF7"/>
    <w:rsid w:val="005C574A"/>
    <w:rsid w:val="005D09A0"/>
    <w:rsid w:val="005D479D"/>
    <w:rsid w:val="005E7A21"/>
    <w:rsid w:val="005F24B2"/>
    <w:rsid w:val="0060103A"/>
    <w:rsid w:val="00602911"/>
    <w:rsid w:val="00602A7A"/>
    <w:rsid w:val="0060509A"/>
    <w:rsid w:val="006125F5"/>
    <w:rsid w:val="00612A9B"/>
    <w:rsid w:val="00614D00"/>
    <w:rsid w:val="006225E2"/>
    <w:rsid w:val="0062676A"/>
    <w:rsid w:val="00640DB1"/>
    <w:rsid w:val="006416E9"/>
    <w:rsid w:val="0064545D"/>
    <w:rsid w:val="00646C82"/>
    <w:rsid w:val="00647CD5"/>
    <w:rsid w:val="006548A6"/>
    <w:rsid w:val="00655478"/>
    <w:rsid w:val="00664D7F"/>
    <w:rsid w:val="006A377B"/>
    <w:rsid w:val="006B0930"/>
    <w:rsid w:val="006C4384"/>
    <w:rsid w:val="006C4D8A"/>
    <w:rsid w:val="006C5135"/>
    <w:rsid w:val="006C546E"/>
    <w:rsid w:val="006E2DE0"/>
    <w:rsid w:val="006E5A8E"/>
    <w:rsid w:val="0070081C"/>
    <w:rsid w:val="0071653B"/>
    <w:rsid w:val="00721985"/>
    <w:rsid w:val="00724C84"/>
    <w:rsid w:val="007252A8"/>
    <w:rsid w:val="00725C0A"/>
    <w:rsid w:val="0073119D"/>
    <w:rsid w:val="0073199C"/>
    <w:rsid w:val="007376B0"/>
    <w:rsid w:val="00740508"/>
    <w:rsid w:val="00743776"/>
    <w:rsid w:val="00744873"/>
    <w:rsid w:val="00751428"/>
    <w:rsid w:val="0075674B"/>
    <w:rsid w:val="00761F2B"/>
    <w:rsid w:val="00763B74"/>
    <w:rsid w:val="007731D0"/>
    <w:rsid w:val="00775B16"/>
    <w:rsid w:val="00785A0A"/>
    <w:rsid w:val="007967F8"/>
    <w:rsid w:val="007A3772"/>
    <w:rsid w:val="007C2696"/>
    <w:rsid w:val="007C4C31"/>
    <w:rsid w:val="007C5EA5"/>
    <w:rsid w:val="007D381E"/>
    <w:rsid w:val="007D3EE2"/>
    <w:rsid w:val="007E03CA"/>
    <w:rsid w:val="007E6193"/>
    <w:rsid w:val="007F2F97"/>
    <w:rsid w:val="007F387D"/>
    <w:rsid w:val="007F7152"/>
    <w:rsid w:val="008203E6"/>
    <w:rsid w:val="00822633"/>
    <w:rsid w:val="00830107"/>
    <w:rsid w:val="00831B02"/>
    <w:rsid w:val="00833174"/>
    <w:rsid w:val="00846609"/>
    <w:rsid w:val="00852958"/>
    <w:rsid w:val="00864F77"/>
    <w:rsid w:val="008661F8"/>
    <w:rsid w:val="008712FA"/>
    <w:rsid w:val="00876AA9"/>
    <w:rsid w:val="00876EFF"/>
    <w:rsid w:val="00883AB2"/>
    <w:rsid w:val="008861B2"/>
    <w:rsid w:val="00896377"/>
    <w:rsid w:val="008A09F5"/>
    <w:rsid w:val="008A4B18"/>
    <w:rsid w:val="008A738C"/>
    <w:rsid w:val="008B2645"/>
    <w:rsid w:val="008C36D3"/>
    <w:rsid w:val="008D0675"/>
    <w:rsid w:val="008D1425"/>
    <w:rsid w:val="008D3BC8"/>
    <w:rsid w:val="008D6F23"/>
    <w:rsid w:val="008E5EB5"/>
    <w:rsid w:val="008F04C7"/>
    <w:rsid w:val="008F21A5"/>
    <w:rsid w:val="008F2440"/>
    <w:rsid w:val="00914619"/>
    <w:rsid w:val="009202C8"/>
    <w:rsid w:val="009246BA"/>
    <w:rsid w:val="00930CDE"/>
    <w:rsid w:val="00935AA1"/>
    <w:rsid w:val="009451DC"/>
    <w:rsid w:val="009467F2"/>
    <w:rsid w:val="0095655E"/>
    <w:rsid w:val="009718ED"/>
    <w:rsid w:val="0097297B"/>
    <w:rsid w:val="0098154C"/>
    <w:rsid w:val="0098549E"/>
    <w:rsid w:val="009857EF"/>
    <w:rsid w:val="009941D8"/>
    <w:rsid w:val="009A2C18"/>
    <w:rsid w:val="009C0A0B"/>
    <w:rsid w:val="009C14BD"/>
    <w:rsid w:val="009D1AF8"/>
    <w:rsid w:val="009E1C84"/>
    <w:rsid w:val="009E32D4"/>
    <w:rsid w:val="009E4080"/>
    <w:rsid w:val="009E4DCB"/>
    <w:rsid w:val="009E580F"/>
    <w:rsid w:val="009F5A6A"/>
    <w:rsid w:val="00A0205F"/>
    <w:rsid w:val="00A04E9D"/>
    <w:rsid w:val="00A06893"/>
    <w:rsid w:val="00A21886"/>
    <w:rsid w:val="00A25682"/>
    <w:rsid w:val="00A2638C"/>
    <w:rsid w:val="00A27417"/>
    <w:rsid w:val="00A27AFD"/>
    <w:rsid w:val="00A354A8"/>
    <w:rsid w:val="00A4031E"/>
    <w:rsid w:val="00A46F60"/>
    <w:rsid w:val="00A53234"/>
    <w:rsid w:val="00A57F47"/>
    <w:rsid w:val="00AA7A0D"/>
    <w:rsid w:val="00AB113B"/>
    <w:rsid w:val="00AC7402"/>
    <w:rsid w:val="00AD2FD2"/>
    <w:rsid w:val="00AD41E6"/>
    <w:rsid w:val="00AD4ECF"/>
    <w:rsid w:val="00AD70C8"/>
    <w:rsid w:val="00AF6067"/>
    <w:rsid w:val="00B07AAD"/>
    <w:rsid w:val="00B15273"/>
    <w:rsid w:val="00B16887"/>
    <w:rsid w:val="00B1746F"/>
    <w:rsid w:val="00B27A2B"/>
    <w:rsid w:val="00B31F00"/>
    <w:rsid w:val="00B351A2"/>
    <w:rsid w:val="00B41959"/>
    <w:rsid w:val="00B42C18"/>
    <w:rsid w:val="00B43CF7"/>
    <w:rsid w:val="00B44327"/>
    <w:rsid w:val="00B53944"/>
    <w:rsid w:val="00B61FDD"/>
    <w:rsid w:val="00B75B80"/>
    <w:rsid w:val="00B81149"/>
    <w:rsid w:val="00B8672D"/>
    <w:rsid w:val="00B94FB1"/>
    <w:rsid w:val="00BC7FBC"/>
    <w:rsid w:val="00BD11D6"/>
    <w:rsid w:val="00BD2A3B"/>
    <w:rsid w:val="00BD646D"/>
    <w:rsid w:val="00BD6A33"/>
    <w:rsid w:val="00BD7ED0"/>
    <w:rsid w:val="00BE5E06"/>
    <w:rsid w:val="00BE643E"/>
    <w:rsid w:val="00BE7CED"/>
    <w:rsid w:val="00BF59BF"/>
    <w:rsid w:val="00C056B5"/>
    <w:rsid w:val="00C10630"/>
    <w:rsid w:val="00C12939"/>
    <w:rsid w:val="00C14E3B"/>
    <w:rsid w:val="00C23BA4"/>
    <w:rsid w:val="00C241B2"/>
    <w:rsid w:val="00C34485"/>
    <w:rsid w:val="00C40AB3"/>
    <w:rsid w:val="00C43805"/>
    <w:rsid w:val="00C43E24"/>
    <w:rsid w:val="00C45235"/>
    <w:rsid w:val="00C60EF2"/>
    <w:rsid w:val="00C615B2"/>
    <w:rsid w:val="00C702F0"/>
    <w:rsid w:val="00C74553"/>
    <w:rsid w:val="00C8112C"/>
    <w:rsid w:val="00C87EF4"/>
    <w:rsid w:val="00CA623E"/>
    <w:rsid w:val="00CA630F"/>
    <w:rsid w:val="00CB4EB2"/>
    <w:rsid w:val="00CB7A41"/>
    <w:rsid w:val="00CC7A0B"/>
    <w:rsid w:val="00CD64CD"/>
    <w:rsid w:val="00CE2041"/>
    <w:rsid w:val="00CE3059"/>
    <w:rsid w:val="00CE4960"/>
    <w:rsid w:val="00CE56FA"/>
    <w:rsid w:val="00CF0912"/>
    <w:rsid w:val="00D0060C"/>
    <w:rsid w:val="00D027B8"/>
    <w:rsid w:val="00D04134"/>
    <w:rsid w:val="00D0571C"/>
    <w:rsid w:val="00D0679B"/>
    <w:rsid w:val="00D11879"/>
    <w:rsid w:val="00D12547"/>
    <w:rsid w:val="00D22D44"/>
    <w:rsid w:val="00D378BA"/>
    <w:rsid w:val="00D40668"/>
    <w:rsid w:val="00D6263A"/>
    <w:rsid w:val="00D778D7"/>
    <w:rsid w:val="00D83934"/>
    <w:rsid w:val="00D861C3"/>
    <w:rsid w:val="00D91A0C"/>
    <w:rsid w:val="00D9239C"/>
    <w:rsid w:val="00D95955"/>
    <w:rsid w:val="00D979AB"/>
    <w:rsid w:val="00DA590C"/>
    <w:rsid w:val="00DA703D"/>
    <w:rsid w:val="00DB54CF"/>
    <w:rsid w:val="00DC1546"/>
    <w:rsid w:val="00DD2172"/>
    <w:rsid w:val="00DD4A09"/>
    <w:rsid w:val="00DD6A1F"/>
    <w:rsid w:val="00DE4C00"/>
    <w:rsid w:val="00DE5C67"/>
    <w:rsid w:val="00DF2449"/>
    <w:rsid w:val="00DF7ACF"/>
    <w:rsid w:val="00E004CA"/>
    <w:rsid w:val="00E03391"/>
    <w:rsid w:val="00E0373B"/>
    <w:rsid w:val="00E07308"/>
    <w:rsid w:val="00E179B5"/>
    <w:rsid w:val="00E26286"/>
    <w:rsid w:val="00E30AC2"/>
    <w:rsid w:val="00E33D84"/>
    <w:rsid w:val="00E34813"/>
    <w:rsid w:val="00E356D2"/>
    <w:rsid w:val="00E401B3"/>
    <w:rsid w:val="00E458DA"/>
    <w:rsid w:val="00E5687E"/>
    <w:rsid w:val="00E639CC"/>
    <w:rsid w:val="00E63D5B"/>
    <w:rsid w:val="00E671AD"/>
    <w:rsid w:val="00E83E40"/>
    <w:rsid w:val="00E857B8"/>
    <w:rsid w:val="00E907E5"/>
    <w:rsid w:val="00E943B8"/>
    <w:rsid w:val="00EA11F7"/>
    <w:rsid w:val="00EA20B9"/>
    <w:rsid w:val="00EA4549"/>
    <w:rsid w:val="00ED0B37"/>
    <w:rsid w:val="00ED22DF"/>
    <w:rsid w:val="00ED4C66"/>
    <w:rsid w:val="00ED6781"/>
    <w:rsid w:val="00EF5BA0"/>
    <w:rsid w:val="00F13600"/>
    <w:rsid w:val="00F15FC0"/>
    <w:rsid w:val="00F17042"/>
    <w:rsid w:val="00F175D1"/>
    <w:rsid w:val="00F21DA9"/>
    <w:rsid w:val="00F22A75"/>
    <w:rsid w:val="00F30C1E"/>
    <w:rsid w:val="00F3185D"/>
    <w:rsid w:val="00F35217"/>
    <w:rsid w:val="00F35C50"/>
    <w:rsid w:val="00F42D68"/>
    <w:rsid w:val="00F436FE"/>
    <w:rsid w:val="00F500D2"/>
    <w:rsid w:val="00F51A9D"/>
    <w:rsid w:val="00F57792"/>
    <w:rsid w:val="00F60048"/>
    <w:rsid w:val="00F6185A"/>
    <w:rsid w:val="00F73FE2"/>
    <w:rsid w:val="00F74944"/>
    <w:rsid w:val="00F77AEE"/>
    <w:rsid w:val="00F8497C"/>
    <w:rsid w:val="00F91E41"/>
    <w:rsid w:val="00FA238D"/>
    <w:rsid w:val="00FA3835"/>
    <w:rsid w:val="00FA6816"/>
    <w:rsid w:val="00FB5D79"/>
    <w:rsid w:val="00FE3D91"/>
    <w:rsid w:val="00FE55D2"/>
    <w:rsid w:val="00FF728E"/>
    <w:rsid w:val="0254311E"/>
    <w:rsid w:val="028C0A7F"/>
    <w:rsid w:val="057833E0"/>
    <w:rsid w:val="09A45050"/>
    <w:rsid w:val="0A5B05D9"/>
    <w:rsid w:val="159E0850"/>
    <w:rsid w:val="1B9E3D36"/>
    <w:rsid w:val="1C8F2A04"/>
    <w:rsid w:val="1E4D06A8"/>
    <w:rsid w:val="243F7370"/>
    <w:rsid w:val="2FA164B2"/>
    <w:rsid w:val="3AFF33E8"/>
    <w:rsid w:val="3D476359"/>
    <w:rsid w:val="3DE10046"/>
    <w:rsid w:val="401D71E3"/>
    <w:rsid w:val="46DB7A17"/>
    <w:rsid w:val="48333FF5"/>
    <w:rsid w:val="48DB7923"/>
    <w:rsid w:val="4C6B6871"/>
    <w:rsid w:val="4FB4073A"/>
    <w:rsid w:val="51CD3614"/>
    <w:rsid w:val="53FC6986"/>
    <w:rsid w:val="567245CB"/>
    <w:rsid w:val="585F0652"/>
    <w:rsid w:val="67D85B6C"/>
    <w:rsid w:val="68492DBF"/>
    <w:rsid w:val="691243E2"/>
    <w:rsid w:val="6C67192F"/>
    <w:rsid w:val="6F135C55"/>
    <w:rsid w:val="78C830A0"/>
    <w:rsid w:val="7A6161BD"/>
    <w:rsid w:val="7D9D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4"/>
    <w:qFormat/>
    <w:uiPriority w:val="0"/>
    <w:pPr>
      <w:keepNext/>
      <w:keepLines/>
      <w:spacing w:before="280" w:after="290" w:line="376" w:lineRule="auto"/>
      <w:outlineLvl w:val="4"/>
    </w:pPr>
    <w:rPr>
      <w:b/>
      <w:sz w:val="28"/>
      <w:szCs w:val="20"/>
    </w:rPr>
  </w:style>
  <w:style w:type="paragraph" w:styleId="8">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20" w:lineRule="auto"/>
      <w:outlineLvl w:val="6"/>
    </w:pPr>
    <w:rPr>
      <w:b/>
      <w:sz w:val="24"/>
      <w:szCs w:val="20"/>
    </w:rPr>
  </w:style>
  <w:style w:type="paragraph" w:styleId="10">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12">
    <w:name w:val="Document Map"/>
    <w:basedOn w:val="1"/>
    <w:semiHidden/>
    <w:qFormat/>
    <w:uiPriority w:val="0"/>
    <w:pPr>
      <w:shd w:val="clear" w:color="auto" w:fill="000080"/>
    </w:pPr>
  </w:style>
  <w:style w:type="paragraph" w:styleId="13">
    <w:name w:val="annotation text"/>
    <w:basedOn w:val="1"/>
    <w:qFormat/>
    <w:uiPriority w:val="0"/>
    <w:pPr>
      <w:jc w:val="left"/>
    </w:pPr>
  </w:style>
  <w:style w:type="paragraph" w:styleId="14">
    <w:name w:val="Body Text 3"/>
    <w:basedOn w:val="1"/>
    <w:qFormat/>
    <w:uiPriority w:val="0"/>
    <w:pPr>
      <w:widowControl/>
      <w:ind w:right="720"/>
      <w:jc w:val="left"/>
    </w:pPr>
    <w:rPr>
      <w:kern w:val="0"/>
      <w:sz w:val="20"/>
      <w:szCs w:val="20"/>
      <w:lang w:eastAsia="en-US"/>
    </w:rPr>
  </w:style>
  <w:style w:type="paragraph" w:styleId="15">
    <w:name w:val="Body Text"/>
    <w:basedOn w:val="1"/>
    <w:qFormat/>
    <w:uiPriority w:val="0"/>
    <w:pPr>
      <w:tabs>
        <w:tab w:val="left" w:pos="567"/>
      </w:tabs>
      <w:spacing w:before="120" w:line="22" w:lineRule="atLeast"/>
    </w:pPr>
    <w:rPr>
      <w:rFonts w:ascii="宋体" w:hAnsi="宋体"/>
      <w:sz w:val="24"/>
    </w:rPr>
  </w:style>
  <w:style w:type="paragraph" w:styleId="16">
    <w:name w:val="Body Text Indent"/>
    <w:basedOn w:val="1"/>
    <w:qFormat/>
    <w:uiPriority w:val="0"/>
    <w:pPr>
      <w:spacing w:after="120"/>
      <w:ind w:left="420" w:leftChars="200"/>
    </w:pPr>
  </w:style>
  <w:style w:type="paragraph" w:styleId="17">
    <w:name w:val="Plain Text"/>
    <w:basedOn w:val="1"/>
    <w:link w:val="34"/>
    <w:qFormat/>
    <w:uiPriority w:val="0"/>
    <w:rPr>
      <w:rFonts w:ascii="宋体" w:hAnsi="Courier New"/>
      <w:szCs w:val="20"/>
    </w:rPr>
  </w:style>
  <w:style w:type="paragraph" w:styleId="18">
    <w:name w:val="Date"/>
    <w:basedOn w:val="1"/>
    <w:next w:val="1"/>
    <w:link w:val="35"/>
    <w:qFormat/>
    <w:uiPriority w:val="0"/>
    <w:rPr>
      <w:szCs w:val="20"/>
    </w:rPr>
  </w:style>
  <w:style w:type="paragraph" w:styleId="19">
    <w:name w:val="Body Text Indent 2"/>
    <w:basedOn w:val="1"/>
    <w:qFormat/>
    <w:uiPriority w:val="0"/>
    <w:pPr>
      <w:ind w:firstLine="480" w:firstLineChars="200"/>
    </w:pPr>
    <w:rPr>
      <w:rFonts w:ascii="仿宋_GB2312" w:eastAsia="仿宋_GB2312"/>
      <w:sz w:val="24"/>
    </w:r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2"/>
    <w:basedOn w:val="1"/>
    <w:qFormat/>
    <w:uiPriority w:val="0"/>
    <w:pPr>
      <w:widowControl/>
    </w:pPr>
    <w:rPr>
      <w:kern w:val="0"/>
      <w:sz w:val="20"/>
      <w:szCs w:val="20"/>
      <w:lang w:eastAsia="en-US"/>
    </w:rPr>
  </w:style>
  <w:style w:type="paragraph" w:styleId="24">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25">
    <w:name w:val="Title"/>
    <w:basedOn w:val="1"/>
    <w:qFormat/>
    <w:uiPriority w:val="0"/>
    <w:pPr>
      <w:jc w:val="center"/>
    </w:pPr>
    <w:rPr>
      <w:sz w:val="30"/>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Emphasis"/>
    <w:qFormat/>
    <w:uiPriority w:val="20"/>
    <w:rPr>
      <w:i/>
      <w:iCs/>
    </w:rPr>
  </w:style>
  <w:style w:type="character" w:styleId="32">
    <w:name w:val="Hyperlink"/>
    <w:qFormat/>
    <w:uiPriority w:val="0"/>
    <w:rPr>
      <w:color w:val="0000FF"/>
      <w:u w:val="single"/>
    </w:rPr>
  </w:style>
  <w:style w:type="character" w:styleId="33">
    <w:name w:val="annotation reference"/>
    <w:basedOn w:val="28"/>
    <w:qFormat/>
    <w:uiPriority w:val="0"/>
    <w:rPr>
      <w:sz w:val="21"/>
      <w:szCs w:val="21"/>
    </w:rPr>
  </w:style>
  <w:style w:type="character" w:customStyle="1" w:styleId="34">
    <w:name w:val="纯文本 字符"/>
    <w:link w:val="17"/>
    <w:qFormat/>
    <w:uiPriority w:val="0"/>
    <w:rPr>
      <w:rFonts w:ascii="宋体" w:hAnsi="Courier New"/>
      <w:kern w:val="2"/>
      <w:sz w:val="21"/>
    </w:rPr>
  </w:style>
  <w:style w:type="character" w:customStyle="1" w:styleId="35">
    <w:name w:val="日期 字符"/>
    <w:link w:val="18"/>
    <w:qFormat/>
    <w:uiPriority w:val="0"/>
    <w:rPr>
      <w:rFonts w:eastAsia="宋体"/>
      <w:kern w:val="2"/>
      <w:sz w:val="21"/>
      <w:lang w:val="en-US" w:eastAsia="zh-CN" w:bidi="ar-SA"/>
    </w:rPr>
  </w:style>
  <w:style w:type="character" w:customStyle="1" w:styleId="36">
    <w:name w:val="Char"/>
    <w:qFormat/>
    <w:uiPriority w:val="0"/>
    <w:rPr>
      <w:rFonts w:ascii="宋体" w:hAnsi="Courier New" w:eastAsia="宋体"/>
      <w:kern w:val="2"/>
      <w:sz w:val="21"/>
      <w:lang w:val="en-US" w:eastAsia="zh-CN" w:bidi="ar-SA"/>
    </w:rPr>
  </w:style>
  <w:style w:type="paragraph" w:customStyle="1" w:styleId="37">
    <w:name w:val="Char1"/>
    <w:basedOn w:val="1"/>
    <w:qFormat/>
    <w:uiPriority w:val="0"/>
    <w:rPr>
      <w:rFonts w:ascii="Tahoma" w:hAnsi="Tahoma"/>
      <w:sz w:val="24"/>
      <w:szCs w:val="20"/>
    </w:rPr>
  </w:style>
  <w:style w:type="paragraph" w:customStyle="1" w:styleId="38">
    <w:name w:val="彩色列表 - 强调文字颜色 11"/>
    <w:basedOn w:val="1"/>
    <w:qFormat/>
    <w:uiPriority w:val="34"/>
    <w:pPr>
      <w:ind w:firstLine="420" w:firstLineChars="200"/>
    </w:pPr>
    <w:rPr>
      <w:rFonts w:ascii="Calibri" w:hAnsi="Calibri"/>
      <w:szCs w:val="22"/>
    </w:rPr>
  </w:style>
  <w:style w:type="paragraph" w:customStyle="1" w:styleId="39">
    <w:name w:val="正文文本 21"/>
    <w:basedOn w:val="1"/>
    <w:qFormat/>
    <w:uiPriority w:val="0"/>
    <w:pPr>
      <w:adjustRightInd w:val="0"/>
      <w:spacing w:before="120" w:line="360" w:lineRule="auto"/>
      <w:ind w:firstLine="480"/>
      <w:textAlignment w:val="baseline"/>
    </w:pPr>
    <w:rPr>
      <w:sz w:val="24"/>
      <w:szCs w:val="20"/>
    </w:rPr>
  </w:style>
  <w:style w:type="paragraph" w:customStyle="1" w:styleId="40">
    <w:name w:val="文档正文"/>
    <w:basedOn w:val="1"/>
    <w:qFormat/>
    <w:uiPriority w:val="0"/>
    <w:pPr>
      <w:adjustRightInd w:val="0"/>
      <w:spacing w:line="480" w:lineRule="atLeast"/>
      <w:ind w:firstLine="567"/>
      <w:textAlignment w:val="baseline"/>
    </w:pPr>
    <w:rPr>
      <w:rFonts w:ascii="长城仿宋"/>
      <w:kern w:val="0"/>
      <w:sz w:val="24"/>
      <w:szCs w:val="20"/>
    </w:rPr>
  </w:style>
  <w:style w:type="paragraph" w:customStyle="1" w:styleId="41">
    <w:name w:val="正文文本缩进 21"/>
    <w:basedOn w:val="1"/>
    <w:qFormat/>
    <w:uiPriority w:val="0"/>
    <w:pPr>
      <w:adjustRightInd w:val="0"/>
      <w:spacing w:before="120"/>
      <w:ind w:firstLine="420"/>
      <w:textAlignment w:val="baseline"/>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12504</Words>
  <Characters>13838</Characters>
  <Lines>108</Lines>
  <Paragraphs>30</Paragraphs>
  <TotalTime>81</TotalTime>
  <ScaleCrop>false</ScaleCrop>
  <LinksUpToDate>false</LinksUpToDate>
  <CharactersWithSpaces>14328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2022-04-26T03:48:00Z</dcterms:created>
  <dc:creator>caowuning</dc:creator>
  <cp:lastModifiedBy>JON</cp:lastModifiedBy>
  <cp:lastPrinted>2009-04-21T09:03:00Z</cp:lastPrinted>
  <dcterms:modified xsi:type="dcterms:W3CDTF">2022-05-18T10:12:18Z</dcterms:modified>
  <dc:title>北 京 市 政 府 采 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1C499DE1D6994F41A78ACC658F489BF6</vt:lpwstr>
  </property>
  <property fmtid="{D5CDD505-2E9C-101B-9397-08002B2CF9AE}" pid="4" name="commondata">
    <vt:lpwstr>eyJoZGlkIjoiMjg3MTY3Njg1YTYzNTg5NmFiY2UwNjI5N2Q3MTcyY2MifQ==</vt:lpwstr>
  </property>
</Properties>
</file>