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公开招标采购公告</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025"/>
        <w:gridCol w:w="1620"/>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项目名称</w:t>
            </w:r>
          </w:p>
        </w:tc>
        <w:tc>
          <w:tcPr>
            <w:tcW w:w="2025" w:type="dxa"/>
            <w:vAlign w:val="center"/>
          </w:tcPr>
          <w:p>
            <w:pPr>
              <w:keepNext w:val="0"/>
              <w:keepLines w:val="0"/>
              <w:pageBreakBefore w:val="0"/>
              <w:kinsoku/>
              <w:overflowPunct/>
              <w:topLinePunct w:val="0"/>
              <w:bidi w:val="0"/>
              <w:snapToGrid/>
              <w:spacing w:line="240" w:lineRule="auto"/>
              <w:ind w:right="31" w:rightChars="15"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lang w:val="zh-CN"/>
              </w:rPr>
              <w:t>四川省安全生产事故分析鉴定中心实验室建设</w:t>
            </w:r>
            <w:r>
              <w:rPr>
                <w:rFonts w:hint="eastAsia" w:ascii="宋体" w:hAnsi="宋体" w:eastAsia="宋体" w:cs="宋体"/>
                <w:sz w:val="24"/>
                <w:szCs w:val="24"/>
                <w:highlight w:val="none"/>
              </w:rPr>
              <w:t>项目仪器</w:t>
            </w:r>
            <w:r>
              <w:rPr>
                <w:rFonts w:hint="eastAsia" w:ascii="宋体" w:hAnsi="宋体" w:eastAsia="宋体" w:cs="宋体"/>
                <w:sz w:val="24"/>
                <w:szCs w:val="24"/>
                <w:highlight w:val="none"/>
                <w:lang w:val="zh-CN"/>
              </w:rPr>
              <w:t>设备采购（第二批）项目</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项目编号</w:t>
            </w:r>
          </w:p>
        </w:tc>
        <w:tc>
          <w:tcPr>
            <w:tcW w:w="2933"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ZY20190694ZC-C</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采购方式</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公开招标</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行政区划</w:t>
            </w:r>
          </w:p>
        </w:tc>
        <w:tc>
          <w:tcPr>
            <w:tcW w:w="2933"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公告类型</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采购公告</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公告发布时间</w:t>
            </w:r>
          </w:p>
        </w:tc>
        <w:tc>
          <w:tcPr>
            <w:tcW w:w="2933"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2019年9月17日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项目联系人</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刘女士</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项目联系电话</w:t>
            </w:r>
          </w:p>
        </w:tc>
        <w:tc>
          <w:tcPr>
            <w:tcW w:w="2933"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028-87050033转2013，标书售卖问询电话：028-87050033-0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9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采购单位信息</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采购人</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四川煤矿安全监察局安全技术中心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联系人和联系方式</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联系人：</w:t>
            </w:r>
            <w:r>
              <w:rPr>
                <w:rFonts w:hint="eastAsia" w:ascii="宋体" w:hAnsi="宋体" w:eastAsia="宋体" w:cs="宋体"/>
                <w:sz w:val="24"/>
                <w:szCs w:val="24"/>
                <w:highlight w:val="none"/>
              </w:rPr>
              <w:t>黎老师</w:t>
            </w:r>
            <w:r>
              <w:rPr>
                <w:rFonts w:hint="eastAsia" w:ascii="宋体" w:hAnsi="宋体" w:eastAsia="宋体" w:cs="宋体"/>
                <w:kern w:val="0"/>
                <w:sz w:val="24"/>
                <w:szCs w:val="24"/>
                <w:highlight w:val="none"/>
                <w:lang w:eastAsia="zh-CN"/>
              </w:rPr>
              <w:t>，联系电话：</w:t>
            </w:r>
            <w:r>
              <w:rPr>
                <w:rFonts w:hint="eastAsia" w:ascii="宋体" w:hAnsi="宋体" w:eastAsia="宋体" w:cs="宋体"/>
                <w:sz w:val="24"/>
                <w:szCs w:val="24"/>
                <w:highlight w:val="none"/>
              </w:rPr>
              <w:t>028-61510141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联系地址</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成都市武侯区武兴四路16号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44" w:type="dxa"/>
            <w:vMerge w:val="restart"/>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代理机构信息</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单位名称</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四川中意招标有限公司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联系人和联系方式</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刘女士，联系电话：028-87050033，传真：028-87050233，电子邮箱：s.c.zyzb@163.com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联系地址</w:t>
            </w:r>
          </w:p>
        </w:tc>
        <w:tc>
          <w:tcPr>
            <w:tcW w:w="4553"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四川省成都市高新区天府大道1700号新世纪环球中心</w:t>
            </w:r>
            <w:r>
              <w:rPr>
                <w:rFonts w:hint="eastAsia" w:ascii="宋体" w:hAnsi="宋体" w:eastAsia="宋体" w:cs="宋体"/>
                <w:sz w:val="24"/>
                <w:szCs w:val="24"/>
                <w:highlight w:val="none"/>
                <w:lang w:eastAsia="zh-CN"/>
              </w:rPr>
              <w:t>E3门栋6楼2-1-611-615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预算金额</w:t>
            </w:r>
          </w:p>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（万元）</w:t>
            </w:r>
          </w:p>
        </w:tc>
        <w:tc>
          <w:tcPr>
            <w:tcW w:w="6578"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99.8万元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kern w:val="0"/>
                <w:sz w:val="24"/>
                <w:szCs w:val="24"/>
                <w:highlight w:val="none"/>
                <w:lang w:eastAsia="zh-CN"/>
              </w:rPr>
              <w:t>获取招标文件时间</w:t>
            </w:r>
          </w:p>
        </w:tc>
        <w:tc>
          <w:tcPr>
            <w:tcW w:w="6578" w:type="dxa"/>
            <w:gridSpan w:val="3"/>
            <w:vAlign w:val="center"/>
          </w:tcPr>
          <w:p>
            <w:pPr>
              <w:keepNext w:val="0"/>
              <w:keepLines w:val="0"/>
              <w:pageBreakBefore w:val="0"/>
              <w:kinsoku/>
              <w:overflowPunct/>
              <w:topLinePunct w:val="0"/>
              <w:bidi w:val="0"/>
              <w:snapToGrid/>
              <w:spacing w:line="240" w:lineRule="auto"/>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日至201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日09：00时至16：30时（节假日除外），逾期不售。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kern w:val="0"/>
                <w:sz w:val="24"/>
                <w:szCs w:val="24"/>
                <w:highlight w:val="none"/>
                <w:lang w:eastAsia="zh-CN"/>
              </w:rPr>
              <w:t>获取招标文件的方式或事项</w:t>
            </w:r>
          </w:p>
        </w:tc>
        <w:tc>
          <w:tcPr>
            <w:tcW w:w="6578" w:type="dxa"/>
            <w:gridSpan w:val="3"/>
            <w:vAlign w:val="center"/>
          </w:tcPr>
          <w:p>
            <w:pPr>
              <w:keepNext w:val="0"/>
              <w:keepLines w:val="0"/>
              <w:pageBreakBefore w:val="0"/>
              <w:kinsoku/>
              <w:overflowPunct/>
              <w:topLinePunct w:val="0"/>
              <w:bidi w:val="0"/>
              <w:snapToGrid/>
              <w:spacing w:line="240" w:lineRule="auto"/>
              <w:ind w:firstLine="480" w:firstLineChars="200"/>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现场发售，供应商在获取招标文件时，供应商为法人或者其他组织的，只需提供单位介绍信(须注明项目名称、项目编号、联系人及联系电话、电子邮箱)、经办人身份证明（核对原件，留存复印件）；供应商为自然人的，只需提供本人身份证明（核对原件，留存复印件）。</w:t>
            </w:r>
            <w:r>
              <w:rPr>
                <w:rFonts w:hint="eastAsia" w:ascii="宋体" w:hAnsi="宋体" w:eastAsia="宋体" w:cs="宋体"/>
                <w:sz w:val="24"/>
                <w:szCs w:val="24"/>
                <w:highlight w:val="none"/>
                <w:lang w:val="zh-CN"/>
              </w:rPr>
              <w:t>供应商购买</w:t>
            </w:r>
            <w:r>
              <w:rPr>
                <w:rFonts w:hint="eastAsia" w:ascii="宋体" w:hAnsi="宋体" w:eastAsia="宋体" w:cs="宋体"/>
                <w:sz w:val="24"/>
                <w:szCs w:val="24"/>
                <w:highlight w:val="none"/>
              </w:rPr>
              <w:t>招标</w:t>
            </w:r>
            <w:r>
              <w:rPr>
                <w:rFonts w:hint="eastAsia" w:ascii="宋体" w:hAnsi="宋体" w:eastAsia="宋体" w:cs="宋体"/>
                <w:sz w:val="24"/>
                <w:szCs w:val="24"/>
                <w:highlight w:val="none"/>
                <w:lang w:val="zh-CN"/>
              </w:rPr>
              <w:t>文件时须如实认真填写项目信息及供应商信息；若因供应商提供的错误信息，对其参与投标事宜造成影响的，由供应商自行承担所有责任。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招标文件售价（元）</w:t>
            </w:r>
          </w:p>
        </w:tc>
        <w:tc>
          <w:tcPr>
            <w:tcW w:w="6578"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val="en-US" w:eastAsia="zh-CN"/>
              </w:rPr>
              <w:t>400</w:t>
            </w:r>
            <w:r>
              <w:rPr>
                <w:rFonts w:hint="eastAsia" w:ascii="宋体" w:hAnsi="宋体" w:eastAsia="宋体" w:cs="宋体"/>
                <w:sz w:val="24"/>
                <w:szCs w:val="24"/>
                <w:highlight w:val="none"/>
                <w:vertAlign w:val="baseline"/>
                <w:lang w:eastAsia="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4"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投标人的资格要求</w:t>
            </w:r>
          </w:p>
        </w:tc>
        <w:tc>
          <w:tcPr>
            <w:tcW w:w="6578" w:type="dxa"/>
            <w:gridSpan w:val="3"/>
            <w:vAlign w:val="center"/>
          </w:tcPr>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3、具有履行合同所必须的设备和专业技术能力；</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4、具有依法缴纳税收和社会保障资金的良好记录；</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5、参加本次政府采购活动前三年内，在经营活动中没有重大违法记录；</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7、供应商单位及其现任法定代表人、主要负责人不得具有行贿犯罪记录；</w:t>
            </w:r>
          </w:p>
          <w:p>
            <w:pPr>
              <w:pStyle w:val="8"/>
              <w:keepNext w:val="0"/>
              <w:keepLines w:val="0"/>
              <w:pageBreakBefore w:val="0"/>
              <w:kinsoku/>
              <w:overflowPunct/>
              <w:topLinePunct w:val="0"/>
              <w:bidi w:val="0"/>
              <w:snapToGrid/>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eastAsia="zh-CN"/>
              </w:rPr>
              <w:t>截止至</w:t>
            </w:r>
            <w:r>
              <w:rPr>
                <w:rFonts w:hint="eastAsia" w:ascii="宋体" w:hAnsi="宋体" w:eastAsia="宋体" w:cs="宋体"/>
                <w:sz w:val="24"/>
                <w:szCs w:val="24"/>
                <w:highlight w:val="none"/>
              </w:rPr>
              <w:t>投标截止时间当日，未在“信用中国”、“中国政府采购网”网站等渠道被列入失信被执行人、重大税收违法案件当事人名单、政府采购严重违法失信行为记录名单。</w:t>
            </w:r>
            <w:r>
              <w:rPr>
                <w:rFonts w:hint="eastAsia" w:ascii="宋体" w:hAnsi="宋体" w:eastAsia="宋体" w:cs="宋体"/>
                <w:b/>
                <w:bCs/>
                <w:sz w:val="24"/>
                <w:szCs w:val="24"/>
                <w:highlight w:val="none"/>
              </w:rPr>
              <w:t>（如相关失信记录已失效，供应商需提供相关证明资料。若因供应商为事业单位、团体组织、自然人等原因，在“信用中国”、“中国政府采购网”网站等渠道未查询到信息的，视为未被列入失信记录。）</w:t>
            </w:r>
          </w:p>
          <w:p>
            <w:pPr>
              <w:keepNext w:val="0"/>
              <w:keepLines w:val="0"/>
              <w:pageBreakBefore w:val="0"/>
              <w:kinsoku/>
              <w:wordWrap w:val="0"/>
              <w:overflowPunct/>
              <w:topLinePunct w:val="0"/>
              <w:autoSpaceDE w:val="0"/>
              <w:autoSpaceDN w:val="0"/>
              <w:bidi w:val="0"/>
              <w:adjustRightInd w:val="0"/>
              <w:snapToGrid/>
              <w:spacing w:line="24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9、本项目不允许联合体投标。</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投标截止时间和开标时间</w:t>
            </w:r>
          </w:p>
        </w:tc>
        <w:tc>
          <w:tcPr>
            <w:tcW w:w="6578"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2019年10月9日10：00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获取招标文件的地点</w:t>
            </w:r>
          </w:p>
        </w:tc>
        <w:tc>
          <w:tcPr>
            <w:tcW w:w="6578"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四川省成都市高新区天府大道1700号新世纪环球中心</w:t>
            </w:r>
            <w:r>
              <w:rPr>
                <w:rFonts w:hint="eastAsia" w:ascii="宋体" w:hAnsi="宋体" w:eastAsia="宋体" w:cs="宋体"/>
                <w:sz w:val="24"/>
                <w:szCs w:val="24"/>
                <w:highlight w:val="none"/>
                <w:lang w:eastAsia="zh-CN"/>
              </w:rPr>
              <w:t>E3门栋6楼2-1-611-615</w:t>
            </w:r>
            <w:r>
              <w:rPr>
                <w:rFonts w:hint="eastAsia" w:ascii="宋体" w:hAnsi="宋体" w:eastAsia="宋体" w:cs="宋体"/>
                <w:sz w:val="24"/>
                <w:szCs w:val="24"/>
                <w:highlight w:val="none"/>
              </w:rPr>
              <w:t>四川中意招标有限公司购买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开标地点</w:t>
            </w:r>
          </w:p>
        </w:tc>
        <w:tc>
          <w:tcPr>
            <w:tcW w:w="6578"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color w:val="auto"/>
                <w:sz w:val="24"/>
                <w:szCs w:val="24"/>
                <w:highlight w:val="none"/>
              </w:rPr>
              <w:t>四川省成都市高新区天府大道1700号新世纪环球中心</w:t>
            </w:r>
            <w:r>
              <w:rPr>
                <w:rFonts w:hint="eastAsia" w:ascii="宋体" w:hAnsi="宋体" w:eastAsia="宋体" w:cs="宋体"/>
                <w:color w:val="auto"/>
                <w:sz w:val="24"/>
                <w:szCs w:val="24"/>
                <w:highlight w:val="none"/>
                <w:lang w:eastAsia="zh-CN"/>
              </w:rPr>
              <w:t>E3门栋6楼2-1-611-615</w:t>
            </w:r>
            <w:r>
              <w:rPr>
                <w:rFonts w:hint="eastAsia" w:ascii="宋体" w:hAnsi="宋体" w:eastAsia="宋体" w:cs="宋体"/>
                <w:color w:val="auto"/>
                <w:sz w:val="24"/>
                <w:szCs w:val="24"/>
                <w:highlight w:val="none"/>
              </w:rPr>
              <w:t>四川中意招标有限公司会议室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采购项目的名称、数量、简要规格描述或项目基本概况介绍</w:t>
            </w:r>
          </w:p>
        </w:tc>
        <w:tc>
          <w:tcPr>
            <w:tcW w:w="6578" w:type="dxa"/>
            <w:gridSpan w:val="3"/>
            <w:vAlign w:val="center"/>
          </w:tcPr>
          <w:p>
            <w:pPr>
              <w:keepNext w:val="0"/>
              <w:keepLines w:val="0"/>
              <w:pageBreakBefore w:val="0"/>
              <w:kinsoku/>
              <w:overflowPunct/>
              <w:topLinePunct w:val="0"/>
              <w:bidi w:val="0"/>
              <w:snapToGrid/>
              <w:spacing w:line="240" w:lineRule="auto"/>
              <w:ind w:right="31" w:rightChars="15"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vertAlign w:val="baseline"/>
              </w:rPr>
              <w:t>1、</w:t>
            </w:r>
            <w:r>
              <w:rPr>
                <w:rFonts w:hint="eastAsia" w:ascii="宋体" w:hAnsi="宋体" w:eastAsia="宋体" w:cs="宋体"/>
                <w:sz w:val="24"/>
                <w:szCs w:val="24"/>
                <w:highlight w:val="none"/>
                <w:lang w:val="zh-CN"/>
              </w:rPr>
              <w:t>四川省安全生产事故分析鉴定中心实验室建设</w:t>
            </w:r>
            <w:r>
              <w:rPr>
                <w:rFonts w:hint="eastAsia" w:ascii="宋体" w:hAnsi="宋体" w:eastAsia="宋体" w:cs="宋体"/>
                <w:sz w:val="24"/>
                <w:szCs w:val="24"/>
                <w:highlight w:val="none"/>
              </w:rPr>
              <w:t>项目仪器</w:t>
            </w:r>
            <w:r>
              <w:rPr>
                <w:rFonts w:hint="eastAsia" w:ascii="宋体" w:hAnsi="宋体" w:eastAsia="宋体" w:cs="宋体"/>
                <w:sz w:val="24"/>
                <w:szCs w:val="24"/>
                <w:highlight w:val="none"/>
                <w:lang w:val="zh-CN"/>
              </w:rPr>
              <w:t>设备采购（第二批）项目</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中标人个数：</w:t>
            </w:r>
            <w:r>
              <w:rPr>
                <w:rFonts w:hint="eastAsia" w:ascii="宋体" w:hAnsi="宋体" w:eastAsia="宋体" w:cs="宋体"/>
                <w:b/>
                <w:sz w:val="24"/>
                <w:szCs w:val="24"/>
                <w:highlight w:val="none"/>
              </w:rPr>
              <w:t>拟确定1名中标人</w:t>
            </w:r>
            <w:r>
              <w:rPr>
                <w:rFonts w:hint="eastAsia" w:ascii="宋体" w:hAnsi="宋体" w:eastAsia="宋体" w:cs="宋体"/>
                <w:sz w:val="24"/>
                <w:szCs w:val="24"/>
                <w:highlight w:val="none"/>
                <w:vertAlign w:val="baseline"/>
              </w:rPr>
              <w:t>；</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2、详见附件。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采购项目需要落实的政府采购政策</w:t>
            </w:r>
          </w:p>
        </w:tc>
        <w:tc>
          <w:tcPr>
            <w:tcW w:w="6578" w:type="dxa"/>
            <w:gridSpan w:val="3"/>
            <w:vAlign w:val="center"/>
          </w:tcPr>
          <w:p>
            <w:pPr>
              <w:keepNext w:val="0"/>
              <w:keepLines w:val="0"/>
              <w:pageBreakBefore w:val="0"/>
              <w:kinsoku/>
              <w:overflowPunct/>
              <w:topLinePunct w:val="0"/>
              <w:bidi w:val="0"/>
              <w:snapToGrid/>
              <w:spacing w:line="240" w:lineRule="auto"/>
              <w:textAlignment w:val="auto"/>
              <w:rPr>
                <w:rFonts w:hint="eastAsia" w:ascii="宋体" w:hAnsi="宋体" w:eastAsia="宋体" w:cs="宋体"/>
                <w:sz w:val="24"/>
                <w:szCs w:val="24"/>
                <w:highlight w:val="none"/>
                <w:vertAlign w:val="baseline"/>
              </w:rPr>
            </w:pPr>
            <w:r>
              <w:rPr>
                <w:rFonts w:hint="eastAsia" w:ascii="宋体" w:hAnsi="宋体" w:eastAsia="宋体" w:cs="宋体"/>
                <w:b w:val="0"/>
                <w:bCs w:val="0"/>
                <w:color w:val="auto"/>
                <w:kern w:val="0"/>
                <w:sz w:val="24"/>
                <w:szCs w:val="24"/>
                <w:highlight w:val="none"/>
                <w:lang w:val="en-US" w:eastAsia="zh-CN"/>
              </w:rPr>
              <w:t>政府采购促进中小企业发展政策、政府采购支持监狱企业发展政策、促进残疾人就业政府采购政策、政府采购优先购买节能产品政策、政府采购优先购买环境标志产品政策、强制节能产品清单、优先采购无线局域网产品、</w:t>
            </w:r>
            <w:r>
              <w:rPr>
                <w:rFonts w:hint="eastAsia" w:ascii="宋体" w:hAnsi="宋体" w:eastAsia="宋体" w:cs="宋体"/>
                <w:b w:val="0"/>
                <w:bCs w:val="0"/>
                <w:color w:val="auto"/>
                <w:kern w:val="0"/>
                <w:sz w:val="24"/>
                <w:szCs w:val="24"/>
                <w:highlight w:val="none"/>
                <w:lang w:val="zh-CN" w:eastAsia="zh-CN"/>
              </w:rPr>
              <w:t>扶持不发达地区和少数民族地区。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其它补充事宜</w:t>
            </w:r>
          </w:p>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（即备注）</w:t>
            </w:r>
          </w:p>
        </w:tc>
        <w:tc>
          <w:tcPr>
            <w:tcW w:w="6578" w:type="dxa"/>
            <w:gridSpan w:val="3"/>
            <w:vAlign w:val="center"/>
          </w:tcPr>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1、本采购公告的公告期限为5个工作日；</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rPr>
              <w:t>2、预算：</w:t>
            </w:r>
            <w:r>
              <w:rPr>
                <w:rFonts w:hint="eastAsia" w:ascii="宋体" w:hAnsi="宋体" w:eastAsia="宋体" w:cs="宋体"/>
                <w:sz w:val="24"/>
                <w:szCs w:val="24"/>
                <w:highlight w:val="none"/>
              </w:rPr>
              <w:t>99.8</w:t>
            </w:r>
            <w:r>
              <w:rPr>
                <w:rFonts w:hint="eastAsia" w:ascii="宋体" w:hAnsi="宋体" w:eastAsia="宋体" w:cs="宋体"/>
                <w:sz w:val="24"/>
                <w:szCs w:val="24"/>
                <w:highlight w:val="none"/>
                <w:vertAlign w:val="baseline"/>
                <w:lang w:eastAsia="zh-CN"/>
              </w:rPr>
              <w:t>万元</w:t>
            </w:r>
            <w:r>
              <w:rPr>
                <w:rFonts w:hint="eastAsia" w:ascii="宋体" w:hAnsi="宋体" w:eastAsia="宋体" w:cs="宋体"/>
                <w:sz w:val="24"/>
                <w:szCs w:val="24"/>
                <w:highlight w:val="none"/>
                <w:vertAlign w:val="baseline"/>
              </w:rPr>
              <w:t>，最高限价：</w:t>
            </w:r>
            <w:r>
              <w:rPr>
                <w:rFonts w:hint="eastAsia" w:ascii="宋体" w:hAnsi="宋体" w:eastAsia="宋体" w:cs="宋体"/>
                <w:sz w:val="24"/>
                <w:szCs w:val="24"/>
                <w:highlight w:val="none"/>
              </w:rPr>
              <w:t>99.8</w:t>
            </w:r>
            <w:r>
              <w:rPr>
                <w:rFonts w:hint="eastAsia" w:ascii="宋体" w:hAnsi="宋体" w:eastAsia="宋体" w:cs="宋体"/>
                <w:sz w:val="24"/>
                <w:szCs w:val="24"/>
                <w:highlight w:val="none"/>
                <w:vertAlign w:val="baseline"/>
                <w:lang w:eastAsia="zh-CN"/>
              </w:rPr>
              <w:t>万元。</w:t>
            </w:r>
          </w:p>
        </w:tc>
      </w:tr>
    </w:tbl>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附件：</w:t>
      </w:r>
    </w:p>
    <w:p>
      <w:pPr>
        <w:spacing w:line="360" w:lineRule="auto"/>
        <w:jc w:val="center"/>
        <w:outlineLvl w:val="1"/>
        <w:rPr>
          <w:rFonts w:hint="eastAsia" w:hAnsi="宋体" w:cs="宋体"/>
          <w:b/>
          <w:sz w:val="32"/>
          <w:szCs w:val="32"/>
        </w:rPr>
      </w:pPr>
      <w:r>
        <w:rPr>
          <w:rFonts w:hint="eastAsia" w:hAnsi="宋体" w:cs="宋体"/>
          <w:b/>
          <w:sz w:val="32"/>
          <w:szCs w:val="32"/>
        </w:rPr>
        <w:t>（一）技术要求</w:t>
      </w:r>
    </w:p>
    <w:tbl>
      <w:tblPr>
        <w:tblStyle w:val="5"/>
        <w:tblW w:w="10937" w:type="dxa"/>
        <w:jc w:val="center"/>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05"/>
        <w:gridCol w:w="825"/>
        <w:gridCol w:w="795"/>
        <w:gridCol w:w="63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blHeader/>
          <w:jc w:val="center"/>
        </w:trPr>
        <w:tc>
          <w:tcPr>
            <w:tcW w:w="720"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305"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名称</w:t>
            </w:r>
          </w:p>
        </w:tc>
        <w:tc>
          <w:tcPr>
            <w:tcW w:w="825"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795"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单位</w:t>
            </w:r>
          </w:p>
        </w:tc>
        <w:tc>
          <w:tcPr>
            <w:tcW w:w="6346"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参数</w:t>
            </w:r>
          </w:p>
        </w:tc>
        <w:tc>
          <w:tcPr>
            <w:tcW w:w="946" w:type="dxa"/>
            <w:noWrap w:val="0"/>
            <w:vAlign w:val="center"/>
          </w:tcPr>
          <w:p>
            <w:pPr>
              <w:widowControl/>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进口/国产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20" w:type="dxa"/>
            <w:noWrap w:val="0"/>
            <w:vAlign w:val="center"/>
          </w:tcPr>
          <w:p>
            <w:pPr>
              <w:widowControl/>
              <w:jc w:val="center"/>
              <w:rPr>
                <w:rFonts w:hint="eastAsia" w:ascii="宋体" w:hAnsi="宋体" w:eastAsia="宋体" w:cs="宋体"/>
                <w:sz w:val="24"/>
              </w:rPr>
            </w:pPr>
            <w:r>
              <w:rPr>
                <w:rFonts w:hint="eastAsia" w:ascii="宋体" w:hAnsi="宋体" w:eastAsia="宋体" w:cs="宋体"/>
                <w:sz w:val="24"/>
              </w:rPr>
              <w:t>1</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偏光显微镜</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346" w:type="dxa"/>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 光学系统：无限远轴向、径向双重色差校正及反差增强型光学系统，齐焦距离45mm。具备光强管理功能，切换物镜及观察功能时，自动调整至预设光强。</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 观察方式：反射光具备明场、360°可调偏光、微分干涉、荧光紫外激发、蓝色激发，透射光具备明场、相差、360°可调偏光。检偏器360°可调，精度0.1°。可连续观察样品所有角度的干涉图像。</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 聚光镜：消色差消球差聚光镜。数值孔径≥0.9。</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 观察方式切换：观察功能模块盒≥6位，每个功能模块均有位置编码可被软件识别。</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5. 目镜：10x视场数≥23，每个目镜均可单独进行屈光度调整。</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6. 物镜：专业偏光物镜校正色差和无应变，增强短波长的透过率，并且增强反差，物镜详细配置不低于： 5x透反射偏光物镜,NA.≥0.15 pol;10x透反射偏光物镜,NA.≥0.25 Pol；20x透反射偏光物镜,NA.≥0.50 Pol；50x透射物镜,NA.≥0.8 pol；50x反射物镜，NA.≥0.75 Pol；10x分散染色物镜，NA.≥0.25；40x分散染色物镜，NA.≥0.65；</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*7. 照明装置：具备光强管理功能，可设置多组光强，适配不同物镜及不同观察功能；透反射光均使用12V100W卤素灯光源。荧光采用高压汞灯。</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*8. 物镜转盘：6孔多功能物镜转换器含位置编码，可同时安装6个物镜。物镜孔可调整对中，保证载物台旋转过程中样品不会移出视场。</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*9. 偏光旋转载物台：直径不小于190mm的圆形载物台，稳定性高。可旋转360°，旋转调节精度0.1°，可进行45°定位设定。</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10. 其它附件：色温平衡两个，十字线10mm/100等分的目镜测微尺一个，1/100mm台尺一个，压平器一个，补偿器λ一个，补偿器λ/4一个。</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*11. 采集装置：显微镜同品牌工业级专用彩色高分辨率数码制冷摄像头CCD芯片，芯片尺寸≥1英寸，物理像素≥600万，单像素点尺寸不低于4.54μm x 4.54μm，动态范围不低于2500：1，保证最佳的色彩还原；最高分辨率下帧率19FPS快速实时成像；非数差值微位移，位图深度14位真彩色；USB3.0高速接口；具备制冷功能。</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12. 图象处理分析硬件：商用台式机（配置不低于酷睿I5/1T/8G /DVD刻录/23英寸液晶显示器）。</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13. 图象处理分析软件：软件部分有几何参数测量、加载标尺、加载标注、图像拼接、景深叠加、图像调整，导出测量数据等基本功能。</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14. 配置一张盛放显微镜的试验台，2000*750*750mm（长宽高），钢木结构，钢支架为1.6mm厚电解钢，耐腐蚀方通及附着力不低于2级；台面采用12.7mm厚实芯理化板，边缘双层加厚,总厚度≥25.4mm，表面具备合理的耐酸碱性能、抗菌性能、耐冲击、韧性强、耐污染、易清洁、铅含量低；操作面前缘上边经圆滑处理，一体化台面，台面上安装电源插座及预留线路安装孔槽。</w:t>
            </w:r>
          </w:p>
        </w:tc>
        <w:tc>
          <w:tcPr>
            <w:tcW w:w="946"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sz w:val="24"/>
                <w:szCs w:val="24"/>
              </w:rPr>
              <w:t>金相显微镜</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346" w:type="dxa"/>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 光学系统：无限远轴向、径向双重色差校正及反差增强型光学系统，齐焦距离45mm。</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 观察方式：倒置式观察，具备明场、高级暗场、偏光观察。</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 观察方式切换：观察功能模块盒≥4位。</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 目镜：10x视场数≥23，每个目镜均可单独进行屈光度调整。</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5. 物镜：明暗场通用物镜，校正色差，增强短波长的透过率，并且增强反差，物镜详细配置不低于： 5x,NA.≥0.13；10x,NA.≥0.25；20x,NA.≥0.40；50x，NA.≥0.75；100x，NA.≥0.85。50及100X物镜带有可伸缩保护设计。</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*6. 照明装置：使用12V100W卤素灯光源，带有ECO保护功能，当显微镜停止使用若干分钟后，光源自动关闭，可有效保护灯泡寿命。</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7. 物镜转盘：5孔明暗场通用物镜转换器。</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8. 机械载物台：整体尺寸≥293x207mm，试样移动范围为≥40x40mm，可放置大而重的试样，装卸方便，配有10mm、20mm、30mm孔径的试样垫片。</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9. 其它附件：滤色片系统1套，十字线10mm/100等分的目镜测微尺一个，1/100mm台尺一个。</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*10. 采集装置：显微镜同品牌工业级专用彩色高分辨率数码制冷摄像头CCD芯片，芯片尺寸≥1英寸，物理像素≥600万，单像素点尺寸不低于4.54μm x 4.54μm，动态范围不低于2500：1，保证最佳的色彩还原；最高分辨率下帧率19FPS快速实时成像；非数差值微位移，位图深度14位真彩色；USB3.0高速接口；具备制冷功能。</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11. 图象处理分析硬件：商用台式机（配置不低于酷睿I5/1T/8G /DVD刻录/23英寸液晶显示器）。</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12. 金相专用图象处理分析软件：软件部分有通用测量等基本功能及专业金相分析功能，可进行金相评级，图谱比照等。</w:t>
            </w:r>
          </w:p>
          <w:p>
            <w:pPr>
              <w:widowControl/>
              <w:spacing w:line="3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13. 配置一张盛放显微镜的试验台，配置一张盛放显微镜的试验台，2000*750*750mm（长宽高），钢木结构，钢支架为1.6mm厚电解钢，耐腐蚀方通及附着力不低于2级；台面采用12.7mm厚实芯理化板，边缘双层加厚,总厚度≥25.4mm，表面具备合理的耐酸碱性能、抗菌性能、耐冲击、韧性强、耐污染、易清洁、铅含量低；操作面前缘上边经圆滑处理，一体化台面，台面上安装电源插座及预留线路安装孔槽。</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红外光谱用液体池和气体池</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346" w:type="dxa"/>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1.与TENSOR II 型红外光谱配合使用；</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液体池包含2ml注射器1件、可拆卸液体池架1个、液体池用KBr窗片1对，液体池用CaF2窗片1对，Mull池用KBr窗片1对，液体池用各种光程聚四氟乙烯隔片10片，Mull液体池用聚四氟乙烯隔片（光程0.1mm）5片，石蜡油1瓶（25ml），氟碳润滑剂1瓶（25ml）；</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3.20cm不锈钢气体池1件；</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4.38×6mm ZnSe窗片2片；</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5.循环水式真空泵1台。</w:t>
            </w:r>
          </w:p>
        </w:tc>
        <w:tc>
          <w:tcPr>
            <w:tcW w:w="946"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个人辐照剂量计</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346" w:type="dxa"/>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1.可检测X、γ射线；</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2.剂量：1μSv-10SV；</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3.剂量率：0.01μSv/h-1mSv/h;</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4.能量范围：20Kev-3Mev；</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5.测量精度：±10%（0.2mSv/h,137Cs）；</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6.工作模式：单机模式、联网模式；</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7.报警方式：声、光、震动；</w:t>
            </w:r>
          </w:p>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8.防护等级：IP65</w:t>
            </w:r>
          </w:p>
          <w:p>
            <w:pPr>
              <w:widowControl/>
              <w:jc w:val="left"/>
              <w:rPr>
                <w:rFonts w:hint="eastAsia" w:ascii="宋体" w:hAnsi="宋体" w:eastAsia="宋体" w:cs="宋体"/>
                <w:color w:val="000000"/>
                <w:sz w:val="24"/>
                <w:szCs w:val="24"/>
              </w:rPr>
            </w:pPr>
            <w:r>
              <w:rPr>
                <w:rFonts w:hint="eastAsia" w:ascii="宋体" w:hAnsi="宋体" w:eastAsia="宋体" w:cs="宋体"/>
                <w:color w:val="000000"/>
                <w:sz w:val="24"/>
                <w:szCs w:val="24"/>
              </w:rPr>
              <w:t>9.使用时间＞500h</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X射线荧光光谱仪用样品盘</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346" w:type="dxa"/>
            <w:noWrap w:val="0"/>
            <w:vAlign w:val="center"/>
          </w:tcPr>
          <w:p>
            <w:pPr>
              <w:widowControl/>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1.与帕纳科Zetium荧光光谱仪配套使用；</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2.每个样品盘上可放置8个样品杯。</w:t>
            </w:r>
          </w:p>
        </w:tc>
        <w:tc>
          <w:tcPr>
            <w:tcW w:w="946"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6</w:t>
            </w:r>
          </w:p>
        </w:tc>
        <w:tc>
          <w:tcPr>
            <w:tcW w:w="130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X射线荧光光谱仪用样品杯</w:t>
            </w:r>
          </w:p>
        </w:tc>
        <w:tc>
          <w:tcPr>
            <w:tcW w:w="82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16</w:t>
            </w:r>
          </w:p>
        </w:tc>
        <w:tc>
          <w:tcPr>
            <w:tcW w:w="79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color w:val="000000"/>
                <w:sz w:val="24"/>
                <w:szCs w:val="24"/>
              </w:rPr>
              <w:t>套</w:t>
            </w:r>
          </w:p>
        </w:tc>
        <w:tc>
          <w:tcPr>
            <w:tcW w:w="6346" w:type="dxa"/>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1.与帕纳科Zetium荧光光谱仪配套使用；</w:t>
            </w:r>
          </w:p>
          <w:p>
            <w:pPr>
              <w:widowControl/>
              <w:rPr>
                <w:rFonts w:hint="eastAsia" w:ascii="宋体" w:hAnsi="宋体" w:eastAsia="宋体" w:cs="宋体"/>
                <w:sz w:val="24"/>
                <w:szCs w:val="24"/>
              </w:rPr>
            </w:pPr>
            <w:r>
              <w:rPr>
                <w:rFonts w:hint="eastAsia" w:ascii="宋体" w:hAnsi="宋体" w:eastAsia="宋体" w:cs="宋体"/>
                <w:sz w:val="24"/>
                <w:szCs w:val="24"/>
              </w:rPr>
              <w:t>2.Φ27固体杯带样品环6套；</w:t>
            </w:r>
          </w:p>
          <w:p>
            <w:pPr>
              <w:widowControl/>
              <w:rPr>
                <w:rFonts w:hint="eastAsia" w:ascii="宋体" w:hAnsi="宋体" w:eastAsia="宋体" w:cs="宋体"/>
                <w:sz w:val="24"/>
                <w:szCs w:val="24"/>
              </w:rPr>
            </w:pPr>
            <w:r>
              <w:rPr>
                <w:rFonts w:hint="eastAsia" w:ascii="宋体" w:hAnsi="宋体" w:eastAsia="宋体" w:cs="宋体"/>
                <w:sz w:val="24"/>
                <w:szCs w:val="24"/>
              </w:rPr>
              <w:t xml:space="preserve">  Φ20固体杯带样品环4套；</w:t>
            </w:r>
          </w:p>
          <w:p>
            <w:pPr>
              <w:widowControl/>
              <w:rPr>
                <w:rFonts w:hint="eastAsia" w:ascii="宋体" w:hAnsi="宋体" w:eastAsia="宋体" w:cs="宋体"/>
                <w:sz w:val="24"/>
                <w:szCs w:val="24"/>
              </w:rPr>
            </w:pPr>
            <w:r>
              <w:rPr>
                <w:rFonts w:hint="eastAsia" w:ascii="宋体" w:hAnsi="宋体" w:eastAsia="宋体" w:cs="宋体"/>
                <w:sz w:val="24"/>
                <w:szCs w:val="24"/>
              </w:rPr>
              <w:t xml:space="preserve">  Φ10固体杯带样品环4套；</w:t>
            </w:r>
          </w:p>
          <w:p>
            <w:pPr>
              <w:widowControl/>
              <w:rPr>
                <w:rFonts w:hint="eastAsia" w:ascii="宋体" w:hAnsi="宋体" w:eastAsia="宋体" w:cs="宋体"/>
                <w:sz w:val="24"/>
                <w:szCs w:val="24"/>
              </w:rPr>
            </w:pPr>
            <w:r>
              <w:rPr>
                <w:rFonts w:hint="eastAsia" w:ascii="宋体" w:hAnsi="宋体" w:eastAsia="宋体" w:cs="宋体"/>
                <w:sz w:val="24"/>
                <w:szCs w:val="24"/>
              </w:rPr>
              <w:t xml:space="preserve">  Φ6 固体杯带样品环2套</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7</w:t>
            </w:r>
          </w:p>
        </w:tc>
        <w:tc>
          <w:tcPr>
            <w:tcW w:w="130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金刚石切割轮</w:t>
            </w:r>
          </w:p>
        </w:tc>
        <w:tc>
          <w:tcPr>
            <w:tcW w:w="82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79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套</w:t>
            </w:r>
          </w:p>
        </w:tc>
        <w:tc>
          <w:tcPr>
            <w:tcW w:w="6346" w:type="dxa"/>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1.与司特尔Secotom-20型自动切割机配套。</w:t>
            </w:r>
          </w:p>
          <w:p>
            <w:pPr>
              <w:widowControl/>
              <w:rPr>
                <w:rFonts w:hint="eastAsia" w:ascii="宋体" w:hAnsi="宋体" w:eastAsia="宋体" w:cs="宋体"/>
                <w:sz w:val="24"/>
                <w:szCs w:val="24"/>
              </w:rPr>
            </w:pPr>
            <w:r>
              <w:rPr>
                <w:rFonts w:hint="eastAsia" w:ascii="宋体" w:hAnsi="宋体" w:eastAsia="宋体" w:cs="宋体"/>
                <w:sz w:val="24"/>
                <w:szCs w:val="24"/>
              </w:rPr>
              <w:t>2.金刚石切割轮，用于切割陶瓷和矿物，直径152mm。</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8</w:t>
            </w:r>
          </w:p>
        </w:tc>
        <w:tc>
          <w:tcPr>
            <w:tcW w:w="130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超声波清洗机</w:t>
            </w:r>
          </w:p>
        </w:tc>
        <w:tc>
          <w:tcPr>
            <w:tcW w:w="82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79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台</w:t>
            </w:r>
          </w:p>
        </w:tc>
        <w:tc>
          <w:tcPr>
            <w:tcW w:w="6346" w:type="dxa"/>
            <w:noWrap w:val="0"/>
            <w:vAlign w:val="center"/>
          </w:tcPr>
          <w:p>
            <w:pPr>
              <w:widowControl/>
              <w:rPr>
                <w:rFonts w:hint="eastAsia" w:ascii="宋体" w:hAnsi="宋体" w:eastAsia="宋体" w:cs="宋体"/>
                <w:bCs/>
                <w:sz w:val="24"/>
                <w:szCs w:val="24"/>
              </w:rPr>
            </w:pPr>
            <w:r>
              <w:rPr>
                <w:rFonts w:hint="eastAsia" w:ascii="宋体" w:hAnsi="宋体" w:eastAsia="宋体" w:cs="宋体"/>
                <w:bCs/>
                <w:sz w:val="24"/>
                <w:szCs w:val="24"/>
              </w:rPr>
              <w:t xml:space="preserve">1.内槽尺寸cm： 500×300×200 </w:t>
            </w:r>
          </w:p>
          <w:p>
            <w:pPr>
              <w:widowControl/>
              <w:rPr>
                <w:rFonts w:hint="eastAsia" w:ascii="宋体" w:hAnsi="宋体" w:eastAsia="宋体" w:cs="宋体"/>
                <w:bCs/>
                <w:sz w:val="24"/>
                <w:szCs w:val="24"/>
              </w:rPr>
            </w:pPr>
            <w:r>
              <w:rPr>
                <w:rFonts w:hint="eastAsia" w:ascii="宋体" w:hAnsi="宋体" w:eastAsia="宋体" w:cs="宋体"/>
                <w:bCs/>
                <w:sz w:val="24"/>
                <w:szCs w:val="24"/>
              </w:rPr>
              <w:t xml:space="preserve">2.容量L： 30L </w:t>
            </w:r>
          </w:p>
          <w:p>
            <w:pPr>
              <w:widowControl/>
              <w:rPr>
                <w:rFonts w:hint="eastAsia" w:ascii="宋体" w:hAnsi="宋体" w:eastAsia="宋体" w:cs="宋体"/>
                <w:bCs/>
                <w:sz w:val="24"/>
                <w:szCs w:val="24"/>
              </w:rPr>
            </w:pPr>
            <w:r>
              <w:rPr>
                <w:rFonts w:hint="eastAsia" w:ascii="宋体" w:hAnsi="宋体" w:eastAsia="宋体" w:cs="宋体"/>
                <w:bCs/>
                <w:sz w:val="24"/>
                <w:szCs w:val="24"/>
              </w:rPr>
              <w:t xml:space="preserve">3.超声功率W:800 </w:t>
            </w:r>
          </w:p>
          <w:p>
            <w:pPr>
              <w:widowControl/>
              <w:rPr>
                <w:rFonts w:hint="eastAsia" w:ascii="宋体" w:hAnsi="宋体" w:eastAsia="宋体" w:cs="宋体"/>
                <w:bCs/>
                <w:sz w:val="24"/>
                <w:szCs w:val="24"/>
              </w:rPr>
            </w:pPr>
            <w:r>
              <w:rPr>
                <w:rFonts w:hint="eastAsia" w:ascii="宋体" w:hAnsi="宋体" w:eastAsia="宋体" w:cs="宋体"/>
                <w:bCs/>
                <w:sz w:val="24"/>
                <w:szCs w:val="24"/>
              </w:rPr>
              <w:t>4.功率可调%： 40-100</w:t>
            </w:r>
          </w:p>
          <w:p>
            <w:pPr>
              <w:widowControl/>
              <w:rPr>
                <w:rFonts w:hint="eastAsia" w:ascii="宋体" w:hAnsi="宋体" w:eastAsia="宋体" w:cs="宋体"/>
                <w:bCs/>
                <w:sz w:val="24"/>
                <w:szCs w:val="24"/>
              </w:rPr>
            </w:pPr>
            <w:r>
              <w:rPr>
                <w:rFonts w:hint="eastAsia" w:hAnsi="宋体" w:eastAsia="宋体" w:cs="宋体"/>
                <w:bCs/>
                <w:sz w:val="24"/>
                <w:szCs w:val="24"/>
                <w:lang w:val="en-US" w:eastAsia="zh-CN"/>
              </w:rPr>
              <w:t>5</w:t>
            </w:r>
            <w:r>
              <w:rPr>
                <w:rFonts w:hint="eastAsia" w:ascii="宋体" w:hAnsi="宋体" w:eastAsia="宋体" w:cs="宋体"/>
                <w:bCs/>
                <w:sz w:val="24"/>
                <w:szCs w:val="24"/>
              </w:rPr>
              <w:t xml:space="preserve">.加热功率w： 1000 </w:t>
            </w:r>
          </w:p>
          <w:p>
            <w:pPr>
              <w:widowControl/>
              <w:rPr>
                <w:rFonts w:hint="eastAsia" w:ascii="宋体" w:hAnsi="宋体" w:eastAsia="宋体" w:cs="宋体"/>
                <w:bCs/>
                <w:sz w:val="24"/>
                <w:szCs w:val="24"/>
              </w:rPr>
            </w:pPr>
            <w:r>
              <w:rPr>
                <w:rFonts w:hint="eastAsia" w:hAnsi="宋体" w:eastAsia="宋体" w:cs="宋体"/>
                <w:bCs/>
                <w:sz w:val="24"/>
                <w:szCs w:val="24"/>
                <w:lang w:val="en-US" w:eastAsia="zh-CN"/>
              </w:rPr>
              <w:t>6</w:t>
            </w:r>
            <w:r>
              <w:rPr>
                <w:rFonts w:hint="eastAsia" w:ascii="宋体" w:hAnsi="宋体" w:eastAsia="宋体" w:cs="宋体"/>
                <w:bCs/>
                <w:sz w:val="24"/>
                <w:szCs w:val="24"/>
              </w:rPr>
              <w:t xml:space="preserve">.时间可调min： 1-480 </w:t>
            </w:r>
          </w:p>
          <w:p>
            <w:pPr>
              <w:widowControl/>
              <w:rPr>
                <w:rFonts w:hint="eastAsia" w:ascii="宋体" w:hAnsi="宋体" w:eastAsia="宋体" w:cs="宋体"/>
                <w:bCs/>
                <w:sz w:val="24"/>
                <w:szCs w:val="24"/>
              </w:rPr>
            </w:pPr>
            <w:r>
              <w:rPr>
                <w:rFonts w:hint="eastAsia" w:hAnsi="宋体" w:eastAsia="宋体" w:cs="宋体"/>
                <w:bCs/>
                <w:sz w:val="24"/>
                <w:szCs w:val="24"/>
                <w:lang w:val="en-US" w:eastAsia="zh-CN"/>
              </w:rPr>
              <w:t>7</w:t>
            </w:r>
            <w:r>
              <w:rPr>
                <w:rFonts w:hint="eastAsia" w:ascii="宋体" w:hAnsi="宋体" w:eastAsia="宋体" w:cs="宋体"/>
                <w:bCs/>
                <w:sz w:val="24"/>
                <w:szCs w:val="24"/>
              </w:rPr>
              <w:t xml:space="preserve">.网架：有 </w:t>
            </w:r>
          </w:p>
          <w:p>
            <w:pPr>
              <w:widowControl/>
              <w:rPr>
                <w:rFonts w:hint="eastAsia" w:ascii="宋体" w:hAnsi="宋体" w:eastAsia="宋体" w:cs="宋体"/>
                <w:bCs/>
                <w:sz w:val="24"/>
                <w:szCs w:val="24"/>
              </w:rPr>
            </w:pPr>
            <w:r>
              <w:rPr>
                <w:rFonts w:hint="eastAsia" w:hAnsi="宋体" w:eastAsia="宋体" w:cs="宋体"/>
                <w:bCs/>
                <w:sz w:val="24"/>
                <w:szCs w:val="24"/>
                <w:lang w:val="en-US" w:eastAsia="zh-CN"/>
              </w:rPr>
              <w:t>8</w:t>
            </w:r>
            <w:r>
              <w:rPr>
                <w:rFonts w:hint="eastAsia" w:ascii="宋体" w:hAnsi="宋体" w:eastAsia="宋体" w:cs="宋体"/>
                <w:bCs/>
                <w:sz w:val="24"/>
                <w:szCs w:val="24"/>
              </w:rPr>
              <w:t xml:space="preserve">.降音盖：有 </w:t>
            </w:r>
          </w:p>
          <w:p>
            <w:pPr>
              <w:widowControl/>
              <w:rPr>
                <w:rFonts w:hint="eastAsia" w:ascii="宋体" w:hAnsi="宋体" w:eastAsia="宋体" w:cs="宋体"/>
                <w:sz w:val="24"/>
                <w:szCs w:val="24"/>
              </w:rPr>
            </w:pPr>
            <w:r>
              <w:rPr>
                <w:rFonts w:hint="eastAsia" w:hAnsi="宋体" w:eastAsia="宋体" w:cs="宋体"/>
                <w:bCs/>
                <w:sz w:val="24"/>
                <w:szCs w:val="24"/>
                <w:lang w:val="en-US" w:eastAsia="zh-CN"/>
              </w:rPr>
              <w:t>9</w:t>
            </w:r>
            <w:r>
              <w:rPr>
                <w:rFonts w:hint="eastAsia" w:ascii="宋体" w:hAnsi="宋体" w:eastAsia="宋体" w:cs="宋体"/>
                <w:bCs/>
                <w:sz w:val="24"/>
                <w:szCs w:val="24"/>
              </w:rPr>
              <w:t>.排水阀：有</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9</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恒温水浴锅</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6346" w:type="dxa"/>
            <w:noWrap w:val="0"/>
            <w:vAlign w:val="center"/>
          </w:tcPr>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1.微电脑数显控制器， 不锈</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2.钢内胆和顶盖， 双列6孔，</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3.定时范围： 1-9999分钟，</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4.控温范围： +5-99度</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10</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吸集器</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只</w:t>
            </w:r>
          </w:p>
        </w:tc>
        <w:tc>
          <w:tcPr>
            <w:tcW w:w="6346" w:type="dxa"/>
            <w:noWrap w:val="0"/>
            <w:vAlign w:val="center"/>
          </w:tcPr>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1.微量物证收集专用</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2.附带物证收集盒与物证收集滤纸,物证收集盒不少于10个，滤纸不少于200张。</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3.充电/插电两用</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11</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移动式空调</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6346" w:type="dxa"/>
            <w:noWrap w:val="0"/>
            <w:vAlign w:val="center"/>
          </w:tcPr>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1.匹数：1.5匹</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2.电源：220V</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3.支持独立除湿</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4.每台空调配备3m长，16A的多排插座</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5.冷暖两用，制冷过程中无需时时排水</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6.24小时定时</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12</w:t>
            </w:r>
          </w:p>
        </w:tc>
        <w:tc>
          <w:tcPr>
            <w:tcW w:w="130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柜式空调</w:t>
            </w:r>
          </w:p>
        </w:tc>
        <w:tc>
          <w:tcPr>
            <w:tcW w:w="82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95"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6346" w:type="dxa"/>
            <w:noWrap w:val="0"/>
            <w:vAlign w:val="center"/>
          </w:tcPr>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1.空调类型：立柜式空调</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2.匹数：3匹</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3.变频/定频：变频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4.国家能效等级：2级</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5.电源220V</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6.冷暖两用</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7.制冷量：7200瓦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8.制冷功率：2400瓦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9.制热量：8500瓦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10.制热功率：3000瓦</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11.电辅加热功率：2100瓦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12.循环风量:1100立方米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13.扫风方式:上下/左右扫风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14.制冷面积:45平方米 </w:t>
            </w:r>
          </w:p>
          <w:p>
            <w:pPr>
              <w:widowControl/>
              <w:rPr>
                <w:rFonts w:hint="eastAsia" w:ascii="宋体" w:hAnsi="宋体" w:eastAsia="宋体" w:cs="宋体"/>
                <w:color w:val="000000"/>
                <w:sz w:val="24"/>
                <w:szCs w:val="24"/>
              </w:rPr>
            </w:pPr>
            <w:r>
              <w:rPr>
                <w:rFonts w:hint="eastAsia" w:ascii="宋体" w:hAnsi="宋体" w:eastAsia="宋体" w:cs="宋体"/>
                <w:color w:val="000000"/>
                <w:sz w:val="24"/>
                <w:szCs w:val="24"/>
              </w:rPr>
              <w:t>15.制热面积:35平方米</w:t>
            </w:r>
          </w:p>
        </w:tc>
        <w:tc>
          <w:tcPr>
            <w:tcW w:w="946" w:type="dxa"/>
            <w:noWrap w:val="0"/>
            <w:vAlign w:val="center"/>
          </w:tcPr>
          <w:p>
            <w:pPr>
              <w:jc w:val="center"/>
              <w:rPr>
                <w:rFonts w:hint="eastAsia" w:ascii="宋体" w:hAnsi="宋体" w:eastAsia="宋体" w:cs="宋体"/>
                <w:sz w:val="24"/>
                <w:szCs w:val="24"/>
              </w:rPr>
            </w:pPr>
            <w:r>
              <w:rPr>
                <w:rFonts w:hint="eastAsia" w:ascii="宋体" w:hAnsi="宋体" w:eastAsia="宋体" w:cs="宋体"/>
                <w:bCs/>
                <w:color w:val="000000"/>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720" w:type="dxa"/>
            <w:noWrap w:val="0"/>
            <w:vAlign w:val="center"/>
          </w:tcPr>
          <w:p>
            <w:pPr>
              <w:jc w:val="center"/>
              <w:rPr>
                <w:rFonts w:hint="eastAsia" w:ascii="宋体" w:hAnsi="宋体" w:eastAsia="宋体" w:cs="宋体"/>
                <w:sz w:val="24"/>
              </w:rPr>
            </w:pPr>
            <w:bookmarkStart w:id="0" w:name="_Hlk10540936"/>
            <w:r>
              <w:rPr>
                <w:rFonts w:hint="eastAsia" w:ascii="宋体" w:hAnsi="宋体" w:eastAsia="宋体" w:cs="宋体"/>
                <w:sz w:val="24"/>
              </w:rPr>
              <w:t>13</w:t>
            </w:r>
          </w:p>
        </w:tc>
        <w:tc>
          <w:tcPr>
            <w:tcW w:w="130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热脱附仪配件</w:t>
            </w:r>
          </w:p>
        </w:tc>
        <w:tc>
          <w:tcPr>
            <w:tcW w:w="82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79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套</w:t>
            </w:r>
          </w:p>
        </w:tc>
        <w:tc>
          <w:tcPr>
            <w:tcW w:w="6346" w:type="dxa"/>
            <w:noWrap w:val="0"/>
            <w:vAlign w:val="center"/>
          </w:tcPr>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与MARKES TD100热脱附仪配套使用</w:t>
            </w:r>
          </w:p>
          <w:p>
            <w:pPr>
              <w:widowControl/>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1.老化仪</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a、一次性最大老化10根吸附管，吸附管规格为1/4*3.5英尺，数量任意调整，方便用户使用；</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b、6阶程序升温控制，温度控制范围从室温至400℃可调，温度控制精度：0.1℃；</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c、采用温度控制与定时控制一体化设计，定时范围：0-9999min，简化操作；</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d、具备老化结束蜂鸣器提醒功能；</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e、采用二次调压控制，内置气体流量计，总流量可调整范围0-1000mL/min；</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f、采用独特保温和散热设计，仪器在长时间运行，不会出现外表面过热；</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g、 采用彩色液晶触摸屏显示，操作直观、简便；</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h、采用</w:t>
            </w:r>
            <w:r>
              <w:rPr>
                <w:rFonts w:hint="eastAsia" w:hAnsi="宋体" w:eastAsia="宋体" w:cs="宋体"/>
                <w:color w:val="000000"/>
                <w:sz w:val="24"/>
                <w:szCs w:val="24"/>
                <w:highlight w:val="none"/>
                <w:lang w:eastAsia="zh-CN"/>
              </w:rPr>
              <w:t>优质</w:t>
            </w:r>
            <w:r>
              <w:rPr>
                <w:rFonts w:hint="eastAsia" w:ascii="宋体" w:hAnsi="宋体" w:eastAsia="宋体" w:cs="宋体"/>
                <w:color w:val="000000"/>
                <w:sz w:val="24"/>
                <w:szCs w:val="24"/>
                <w:highlight w:val="none"/>
              </w:rPr>
              <w:t>温控器，温度控制精确、稳定；</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i、数量为1台。</w:t>
            </w:r>
          </w:p>
          <w:p>
            <w:pPr>
              <w:widowControl/>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2.三组合吸附管</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a、规格为1/4*3.5英尺，材质不锈钢，10根装/包；</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b、三组合填料carbopackC和carbopackB和carboxen1000；</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c、适用于HJ 583-2010&amp; HJ644-2013&amp; HJ 734-2014标准；</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d、数量为2包。</w:t>
            </w:r>
          </w:p>
          <w:p>
            <w:pPr>
              <w:widowControl/>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3.冷阱</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a、适用于UNITY 2/TD-100系列MARKES热脱附产品；</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b、可用于分析 TO-15/TO-17 Air Toxics C2/3 - C30/32化合物；</w:t>
            </w:r>
          </w:p>
          <w:p>
            <w:pPr>
              <w:widowControl/>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c、符合HJ 583-2010&amp; HJ644-2013&amp; HJ 734-2014等标准分析要求；</w:t>
            </w:r>
          </w:p>
          <w:p>
            <w:pPr>
              <w:widowControl/>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d、数量为1根。</w:t>
            </w:r>
          </w:p>
        </w:tc>
        <w:tc>
          <w:tcPr>
            <w:tcW w:w="94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rPr>
              <w:t>国产</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720" w:type="dxa"/>
            <w:noWrap w:val="0"/>
            <w:vAlign w:val="center"/>
          </w:tcPr>
          <w:p>
            <w:pPr>
              <w:jc w:val="center"/>
              <w:rPr>
                <w:rFonts w:hint="eastAsia" w:ascii="宋体" w:hAnsi="宋体" w:eastAsia="宋体" w:cs="宋体"/>
                <w:sz w:val="24"/>
              </w:rPr>
            </w:pPr>
            <w:r>
              <w:rPr>
                <w:rFonts w:hint="eastAsia" w:ascii="宋体" w:hAnsi="宋体" w:eastAsia="宋体" w:cs="宋体"/>
                <w:sz w:val="24"/>
              </w:rPr>
              <w:t>14</w:t>
            </w:r>
          </w:p>
        </w:tc>
        <w:tc>
          <w:tcPr>
            <w:tcW w:w="130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体视显微镜附件</w:t>
            </w:r>
          </w:p>
        </w:tc>
        <w:tc>
          <w:tcPr>
            <w:tcW w:w="82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795"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套</w:t>
            </w:r>
          </w:p>
        </w:tc>
        <w:tc>
          <w:tcPr>
            <w:tcW w:w="6346" w:type="dxa"/>
            <w:noWrap w:val="0"/>
            <w:vAlign w:val="center"/>
          </w:tcPr>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与蔡司SteREO Discovery.V20体视显微镜配套</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1.同轴光组件</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a、照明器可升级</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b、柔性双支光纤，规格 4.5/1000 mm</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c、适用于 CL 6000 LED/9000 LED CAN 和 KL 1500 ECO 冷光源</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2.滑动式载物台</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a、行程范围：110 × 110 mm</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b、可调设计</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c、主机架接口：d = 120 mm</w:t>
            </w:r>
          </w:p>
          <w:p>
            <w:pPr>
              <w:autoSpaceDE w:val="0"/>
              <w:autoSpaceDN w:val="0"/>
              <w:adjustRightInd w:val="0"/>
              <w:rPr>
                <w:rFonts w:hint="eastAsia" w:ascii="宋体" w:hAnsi="宋体" w:eastAsia="宋体" w:cs="宋体"/>
                <w:sz w:val="24"/>
                <w:szCs w:val="24"/>
                <w:highlight w:val="none"/>
              </w:rPr>
            </w:pPr>
            <w:r>
              <w:rPr>
                <w:rFonts w:hint="eastAsia" w:ascii="宋体" w:hAnsi="宋体" w:eastAsia="宋体" w:cs="宋体"/>
                <w:sz w:val="24"/>
                <w:szCs w:val="24"/>
                <w:highlight w:val="none"/>
              </w:rPr>
              <w:t>d、配备玻璃样品台替代件：116 x 116/84 mm 载物台样品夹，可安装 d = 40 mm 环形适配器， d = 25 mm 环形适配器，或黑/白塑料样品台</w:t>
            </w:r>
          </w:p>
        </w:tc>
        <w:tc>
          <w:tcPr>
            <w:tcW w:w="946" w:type="dxa"/>
            <w:noWrap w:val="0"/>
            <w:vAlign w:val="center"/>
          </w:tcPr>
          <w:p>
            <w:pPr>
              <w:autoSpaceDE w:val="0"/>
              <w:autoSpaceDN w:val="0"/>
              <w:adjustRightInd w:val="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允许进口</w:t>
            </w:r>
          </w:p>
        </w:tc>
      </w:tr>
    </w:tbl>
    <w:p>
      <w:pPr>
        <w:spacing w:before="120" w:beforeLines="50" w:line="360" w:lineRule="auto"/>
        <w:jc w:val="center"/>
        <w:outlineLvl w:val="1"/>
        <w:rPr>
          <w:rFonts w:hAnsi="宋体" w:cs="宋体"/>
          <w:b/>
          <w:sz w:val="28"/>
          <w:szCs w:val="28"/>
        </w:rPr>
      </w:pPr>
    </w:p>
    <w:p>
      <w:pPr>
        <w:spacing w:before="120" w:beforeLines="50" w:line="360" w:lineRule="auto"/>
        <w:jc w:val="center"/>
        <w:outlineLvl w:val="1"/>
        <w:rPr>
          <w:rFonts w:hint="eastAsia" w:hAnsi="宋体" w:cs="宋体"/>
          <w:b/>
          <w:sz w:val="32"/>
          <w:szCs w:val="32"/>
          <w:highlight w:val="none"/>
        </w:rPr>
      </w:pPr>
      <w:r>
        <w:rPr>
          <w:rFonts w:hint="eastAsia" w:hAnsi="宋体" w:cs="宋体"/>
          <w:b/>
          <w:sz w:val="32"/>
          <w:szCs w:val="32"/>
          <w:highlight w:val="none"/>
        </w:rPr>
        <w:t>（二）商务要求</w:t>
      </w:r>
    </w:p>
    <w:p>
      <w:pPr>
        <w:spacing w:line="400" w:lineRule="exact"/>
        <w:rPr>
          <w:rFonts w:hint="eastAsia" w:hAnsi="宋体" w:cs="宋体"/>
          <w:b/>
          <w:sz w:val="24"/>
          <w:szCs w:val="24"/>
          <w:highlight w:val="none"/>
        </w:rPr>
      </w:pPr>
      <w:r>
        <w:rPr>
          <w:rFonts w:hint="eastAsia" w:hAnsi="宋体" w:cs="宋体"/>
          <w:b/>
          <w:sz w:val="24"/>
          <w:szCs w:val="24"/>
          <w:highlight w:val="none"/>
        </w:rPr>
        <w:t>1、交货安装时间：</w:t>
      </w:r>
      <w:r>
        <w:rPr>
          <w:rFonts w:hint="eastAsia" w:ascii="宋体" w:hAnsi="宋体" w:eastAsia="宋体" w:cs="宋体"/>
          <w:sz w:val="24"/>
          <w:szCs w:val="24"/>
          <w:highlight w:val="none"/>
        </w:rPr>
        <w:t>合同生效后4个月内。</w:t>
      </w:r>
    </w:p>
    <w:p>
      <w:pPr>
        <w:spacing w:line="400" w:lineRule="exact"/>
        <w:rPr>
          <w:rFonts w:hint="eastAsia" w:hAnsi="宋体" w:cs="宋体"/>
          <w:b/>
          <w:sz w:val="24"/>
          <w:szCs w:val="24"/>
          <w:highlight w:val="none"/>
        </w:rPr>
      </w:pPr>
      <w:r>
        <w:rPr>
          <w:rFonts w:hint="eastAsia" w:hAnsi="宋体" w:cs="宋体"/>
          <w:b/>
          <w:sz w:val="24"/>
          <w:szCs w:val="24"/>
          <w:highlight w:val="none"/>
        </w:rPr>
        <w:t>2、交货地点：</w:t>
      </w:r>
      <w:r>
        <w:rPr>
          <w:rFonts w:hint="eastAsia" w:hAnsi="宋体" w:cs="宋体"/>
          <w:sz w:val="24"/>
          <w:szCs w:val="24"/>
          <w:highlight w:val="none"/>
        </w:rPr>
        <w:t>四川煤矿安全监察局煤矿事故分析鉴定中心实验室（成都市武侯区武兴四路16号安全科技大厦</w:t>
      </w:r>
      <w:r>
        <w:rPr>
          <w:rFonts w:hint="eastAsia" w:hAnsi="宋体" w:cs="宋体"/>
          <w:sz w:val="24"/>
          <w:szCs w:val="24"/>
          <w:highlight w:val="none"/>
          <w:lang w:val="en-US" w:eastAsia="zh-CN"/>
        </w:rPr>
        <w:t>C</w:t>
      </w:r>
      <w:r>
        <w:rPr>
          <w:rFonts w:hint="eastAsia" w:hAnsi="宋体" w:cs="宋体"/>
          <w:sz w:val="24"/>
          <w:szCs w:val="24"/>
          <w:highlight w:val="none"/>
        </w:rPr>
        <w:t>座7楼）</w:t>
      </w:r>
      <w:r>
        <w:rPr>
          <w:rFonts w:hint="eastAsia" w:hAnsi="宋体" w:cs="宋体"/>
          <w:b/>
          <w:sz w:val="24"/>
          <w:szCs w:val="24"/>
          <w:highlight w:val="none"/>
        </w:rPr>
        <w:t>。</w:t>
      </w:r>
    </w:p>
    <w:p>
      <w:pPr>
        <w:spacing w:line="400" w:lineRule="exact"/>
        <w:rPr>
          <w:rFonts w:hint="eastAsia" w:hAnsi="宋体" w:cs="宋体"/>
          <w:b w:val="0"/>
          <w:bCs/>
          <w:sz w:val="24"/>
          <w:szCs w:val="24"/>
          <w:highlight w:val="none"/>
        </w:rPr>
      </w:pPr>
      <w:r>
        <w:rPr>
          <w:rFonts w:hint="eastAsia" w:hAnsi="宋体" w:cs="宋体"/>
          <w:b/>
          <w:sz w:val="24"/>
          <w:szCs w:val="24"/>
          <w:highlight w:val="none"/>
        </w:rPr>
        <w:t>3、付款时间及付款方式：</w:t>
      </w:r>
      <w:r>
        <w:rPr>
          <w:rFonts w:hint="eastAsia" w:hAnsi="宋体" w:cs="宋体"/>
          <w:b w:val="0"/>
          <w:bCs/>
          <w:sz w:val="24"/>
          <w:szCs w:val="24"/>
          <w:highlight w:val="none"/>
        </w:rPr>
        <w:t xml:space="preserve">甲方在合同签订生效之日起接到乙方通知和足额的票据凭证资料，及乙方交给甲方的合同履约保证金凭证资料后 7个工作日内支付合同金额的50%为预付款。全部货物安装调试完毕并验收合格，乙方与甲方使用单位签署质量（含数量）验收报告，乙方将所有使用单位签署的质量验收报告交给甲方后，在14个工作日内支付50%的合同款。每个阶段乙方须向甲方出具合法有效完整的完税发票及凭证资料进行支付结算，乙方怠于出具的，甲方有权拒绝付款，并不承担延迟付款责任。 </w:t>
      </w:r>
    </w:p>
    <w:p>
      <w:pPr>
        <w:spacing w:line="400" w:lineRule="exact"/>
        <w:rPr>
          <w:rFonts w:hint="eastAsia" w:ascii="宋体" w:hAnsi="宋体" w:eastAsia="宋体" w:cs="宋体"/>
          <w:sz w:val="24"/>
          <w:szCs w:val="24"/>
        </w:rPr>
      </w:pPr>
      <w:r>
        <w:rPr>
          <w:rFonts w:hint="eastAsia" w:hAnsi="宋体" w:eastAsia="宋体" w:cs="宋体"/>
          <w:b/>
          <w:bCs/>
          <w:sz w:val="24"/>
          <w:szCs w:val="24"/>
          <w:lang w:val="en-US" w:eastAsia="zh-CN"/>
        </w:rPr>
        <w:t>4</w:t>
      </w:r>
      <w:r>
        <w:rPr>
          <w:rFonts w:hint="eastAsia" w:ascii="宋体" w:hAnsi="宋体" w:eastAsia="宋体" w:cs="宋体"/>
          <w:b/>
          <w:bCs/>
          <w:sz w:val="24"/>
          <w:szCs w:val="24"/>
        </w:rPr>
        <w:t>、质保期限</w:t>
      </w:r>
      <w:r>
        <w:rPr>
          <w:rFonts w:hint="eastAsia" w:hAnsi="宋体" w:eastAsia="宋体" w:cs="宋体"/>
          <w:b/>
          <w:bCs/>
          <w:sz w:val="24"/>
          <w:szCs w:val="24"/>
          <w:lang w:eastAsia="zh-CN"/>
        </w:rPr>
        <w:t>及售后要求</w:t>
      </w:r>
      <w:r>
        <w:rPr>
          <w:rFonts w:hint="eastAsia" w:ascii="宋体" w:hAnsi="宋体" w:eastAsia="宋体" w:cs="宋体"/>
          <w:sz w:val="24"/>
          <w:szCs w:val="24"/>
        </w:rPr>
        <w:t>：</w:t>
      </w:r>
    </w:p>
    <w:p>
      <w:pPr>
        <w:spacing w:line="400" w:lineRule="exact"/>
        <w:rPr>
          <w:rFonts w:hint="eastAsia" w:ascii="宋体" w:hAnsi="宋体" w:eastAsia="宋体" w:cs="宋体"/>
          <w:sz w:val="24"/>
          <w:szCs w:val="24"/>
        </w:rPr>
      </w:pPr>
      <w:r>
        <w:rPr>
          <w:rFonts w:hint="eastAsia" w:hAnsi="宋体" w:eastAsia="宋体" w:cs="宋体"/>
          <w:b/>
          <w:bCs/>
          <w:sz w:val="24"/>
          <w:szCs w:val="24"/>
          <w:lang w:val="en-US" w:eastAsia="zh-CN"/>
        </w:rPr>
        <w:t>4.1</w:t>
      </w:r>
      <w:r>
        <w:rPr>
          <w:rFonts w:hint="eastAsia" w:ascii="宋体" w:hAnsi="宋体" w:eastAsia="宋体" w:cs="宋体"/>
          <w:sz w:val="24"/>
          <w:szCs w:val="24"/>
        </w:rPr>
        <w:t>所有仪器质保1年，从验收合格, 双方签字之日起保修期开始生效。在保修期内，任何由制造商选材和制造不当引起的质量问题，厂家负责免费维修。保修期内的服务由供方在国内服务机构免费负责。出现故障后，在收到用户正式通知后8小时之内响应，如果需要到现场，48小时内安排工程师到现场，提供24小时维修、咨询电话。保修期满后，供方提供一年免费维护，终身维修，并提供及时的、优质的、价格优惠的技术服务和备品备件供应。</w:t>
      </w:r>
    </w:p>
    <w:p>
      <w:pPr>
        <w:spacing w:line="400" w:lineRule="exact"/>
        <w:rPr>
          <w:rFonts w:hint="eastAsia" w:ascii="宋体" w:hAnsi="宋体" w:eastAsia="宋体" w:cs="宋体"/>
          <w:sz w:val="24"/>
          <w:szCs w:val="24"/>
        </w:rPr>
      </w:pPr>
      <w:r>
        <w:rPr>
          <w:rFonts w:hint="eastAsia" w:hAnsi="宋体" w:eastAsia="宋体" w:cs="宋体"/>
          <w:b/>
          <w:bCs/>
          <w:sz w:val="24"/>
          <w:szCs w:val="24"/>
          <w:lang w:val="en-US" w:eastAsia="zh-CN"/>
        </w:rPr>
        <w:t>4.2</w:t>
      </w:r>
      <w:r>
        <w:rPr>
          <w:rFonts w:hint="eastAsia" w:ascii="宋体" w:hAnsi="宋体" w:eastAsia="宋体" w:cs="宋体"/>
          <w:sz w:val="24"/>
          <w:szCs w:val="24"/>
        </w:rPr>
        <w:t>仪器设备安装调试后需提供仪器设备的批次检验报告和仪器设备验收报告，此外，还须提供计量检定（校准）机构出具的偏光显微镜和金相显微镜设备检定（校准）报告。</w:t>
      </w:r>
    </w:p>
    <w:p>
      <w:pPr>
        <w:rPr>
          <w:rFonts w:hint="eastAsia" w:ascii="宋体" w:hAnsi="宋体" w:eastAsia="宋体" w:cs="宋体"/>
          <w:sz w:val="24"/>
          <w:szCs w:val="24"/>
        </w:rPr>
      </w:pPr>
      <w:r>
        <w:rPr>
          <w:rFonts w:hint="eastAsia" w:hAnsi="宋体" w:eastAsia="宋体" w:cs="宋体"/>
          <w:b/>
          <w:bCs/>
          <w:sz w:val="24"/>
          <w:szCs w:val="24"/>
          <w:lang w:val="en-US" w:eastAsia="zh-CN"/>
        </w:rPr>
        <w:t>4.3</w:t>
      </w:r>
      <w:r>
        <w:rPr>
          <w:rFonts w:hint="eastAsia" w:ascii="宋体" w:hAnsi="宋体" w:eastAsia="宋体" w:cs="宋体"/>
          <w:sz w:val="24"/>
          <w:szCs w:val="24"/>
        </w:rPr>
        <w:t>技术培训：派遣工程技术人员到用户所在地提供现场培训和免费对用户设备操作人员到厂家或厂家指定的机构进行培训，确保用户设备操作人员能正确使用维护本设备。投标人在投标文件中予以承诺。</w:t>
      </w:r>
    </w:p>
    <w:p>
      <w:pPr>
        <w:spacing w:line="400" w:lineRule="exact"/>
        <w:rPr>
          <w:rFonts w:hint="eastAsia" w:ascii="宋体" w:hAnsi="宋体" w:eastAsia="宋体" w:cs="宋体"/>
          <w:sz w:val="24"/>
          <w:szCs w:val="24"/>
          <w:lang w:val="en-US" w:eastAsia="zh-CN"/>
        </w:rPr>
      </w:pPr>
      <w:r>
        <w:rPr>
          <w:rFonts w:hint="eastAsia" w:hAnsi="宋体" w:eastAsia="宋体" w:cs="宋体"/>
          <w:b/>
          <w:bCs/>
          <w:sz w:val="24"/>
          <w:szCs w:val="24"/>
          <w:lang w:val="en-US" w:eastAsia="zh-CN"/>
        </w:rPr>
        <w:t>5、验收标准</w:t>
      </w:r>
      <w:r>
        <w:rPr>
          <w:rFonts w:hint="eastAsia" w:hAnsi="宋体" w:eastAsia="宋体" w:cs="宋体"/>
          <w:sz w:val="24"/>
          <w:szCs w:val="24"/>
          <w:lang w:val="en-US" w:eastAsia="zh-CN"/>
        </w:rPr>
        <w:t>：</w:t>
      </w:r>
      <w:r>
        <w:rPr>
          <w:rFonts w:hint="eastAsia" w:hAnsi="宋体" w:cs="宋体"/>
          <w:sz w:val="24"/>
        </w:rPr>
        <w:t>中标</w:t>
      </w:r>
      <w:r>
        <w:rPr>
          <w:rFonts w:hint="eastAsia" w:hAnsi="宋体"/>
          <w:sz w:val="24"/>
        </w:rPr>
        <w:t>人与采购人将严格按照《财政部关于进一步加强政府采购需求和履约验收管理的指导意见》(财库〔2016〕205号)、四川省财政厅《四川省政府采购项目需求论证和履约验收管理办法》(川财采〔2015〕32号)的要求</w:t>
      </w:r>
      <w:r>
        <w:rPr>
          <w:rFonts w:hint="eastAsia" w:hAnsi="宋体"/>
          <w:sz w:val="24"/>
          <w:lang w:eastAsia="zh-CN"/>
        </w:rPr>
        <w:t>、合同要求</w:t>
      </w:r>
      <w:r>
        <w:rPr>
          <w:rFonts w:hint="eastAsia" w:hAnsi="宋体"/>
          <w:sz w:val="24"/>
        </w:rPr>
        <w:t>进行验收。</w:t>
      </w:r>
    </w:p>
    <w:p>
      <w:pPr>
        <w:spacing w:line="400" w:lineRule="exact"/>
        <w:rPr>
          <w:rFonts w:hint="eastAsia" w:hAnsi="宋体" w:cs="宋体"/>
          <w:b w:val="0"/>
          <w:bCs/>
          <w:sz w:val="24"/>
          <w:szCs w:val="24"/>
          <w:highlight w:val="none"/>
        </w:rPr>
      </w:pPr>
    </w:p>
    <w:p>
      <w:pPr>
        <w:spacing w:line="400" w:lineRule="exact"/>
        <w:jc w:val="center"/>
        <w:rPr>
          <w:rFonts w:hint="eastAsia" w:hAnsi="宋体" w:eastAsia="宋体" w:cs="宋体"/>
          <w:b/>
          <w:bCs w:val="0"/>
          <w:sz w:val="24"/>
          <w:szCs w:val="24"/>
          <w:highlight w:val="none"/>
          <w:lang w:eastAsia="zh-CN"/>
        </w:rPr>
      </w:pPr>
      <w:r>
        <w:rPr>
          <w:rFonts w:hint="eastAsia" w:hAnsi="宋体" w:cs="宋体"/>
          <w:b/>
          <w:sz w:val="32"/>
          <w:szCs w:val="32"/>
          <w:highlight w:val="none"/>
          <w:lang w:eastAsia="zh-CN"/>
        </w:rPr>
        <w:t>（三）其他要求</w:t>
      </w:r>
    </w:p>
    <w:p>
      <w:pPr>
        <w:spacing w:line="400" w:lineRule="exact"/>
        <w:rPr>
          <w:rFonts w:hint="eastAsia" w:hAnsi="宋体" w:eastAsia="宋体" w:cs="宋体"/>
          <w:b/>
          <w:bCs w:val="0"/>
          <w:sz w:val="24"/>
          <w:szCs w:val="24"/>
          <w:highlight w:val="none"/>
          <w:lang w:val="en-US" w:eastAsia="zh-CN"/>
        </w:rPr>
      </w:pPr>
      <w:r>
        <w:rPr>
          <w:rFonts w:hint="eastAsia" w:hAnsi="宋体" w:cs="宋体"/>
          <w:b/>
          <w:bCs w:val="0"/>
          <w:sz w:val="24"/>
          <w:szCs w:val="24"/>
          <w:highlight w:val="none"/>
          <w:lang w:val="en-US" w:eastAsia="zh-CN"/>
        </w:rPr>
        <w:t>1</w:t>
      </w:r>
      <w:r>
        <w:rPr>
          <w:rFonts w:hint="eastAsia" w:hAnsi="宋体" w:cs="宋体"/>
          <w:b/>
          <w:bCs w:val="0"/>
          <w:sz w:val="24"/>
          <w:szCs w:val="24"/>
          <w:highlight w:val="none"/>
        </w:rPr>
        <w:t>、设备的运输、安装、调试、备品备件、检定（校准）等费用由供应商支付。</w:t>
      </w:r>
      <w:r>
        <w:rPr>
          <w:rFonts w:hint="eastAsia" w:hAnsi="宋体" w:cs="宋体"/>
          <w:b/>
          <w:bCs w:val="0"/>
          <w:sz w:val="24"/>
          <w:szCs w:val="24"/>
          <w:highlight w:val="none"/>
          <w:lang w:val="en-US" w:eastAsia="zh-CN"/>
        </w:rPr>
        <w:t xml:space="preserve"> </w:t>
      </w:r>
    </w:p>
    <w:p>
      <w:pPr>
        <w:spacing w:line="400" w:lineRule="exact"/>
        <w:rPr>
          <w:rFonts w:hint="eastAsia" w:ascii="宋体" w:hAnsi="宋体" w:eastAsia="宋体" w:cs="宋体"/>
          <w:b w:val="0"/>
          <w:sz w:val="24"/>
          <w:szCs w:val="24"/>
        </w:rPr>
      </w:pPr>
      <w:r>
        <w:rPr>
          <w:rFonts w:hint="eastAsia" w:hAnsi="宋体" w:cs="宋体"/>
          <w:b/>
          <w:bCs w:val="0"/>
          <w:sz w:val="24"/>
          <w:szCs w:val="24"/>
          <w:highlight w:val="none"/>
          <w:lang w:val="en-US" w:eastAsia="zh-CN"/>
        </w:rPr>
        <w:t>2</w:t>
      </w:r>
      <w:r>
        <w:rPr>
          <w:rFonts w:hint="eastAsia" w:hAnsi="宋体" w:cs="宋体"/>
          <w:b w:val="0"/>
          <w:bCs/>
          <w:sz w:val="24"/>
          <w:szCs w:val="24"/>
          <w:highlight w:val="none"/>
        </w:rPr>
        <w:t>、投标人为偏光显微镜、金相显微镜非投标产品制造厂家，投标时提供产品制造厂家对投标产品的授权，或具有授权权限的代理商对投标产品的授权（且需提供该代理商具有有效授权权限的相关证明文件，证明文件需能显示产品制造厂家对投标产品授权链条的完整性），需提供授权书原件，其余产品不需授权。</w:t>
      </w:r>
      <w:r>
        <w:rPr>
          <w:rFonts w:hint="eastAsia" w:hAnsi="宋体" w:cs="宋体"/>
          <w:b/>
          <w:bCs w:val="0"/>
          <w:sz w:val="24"/>
          <w:szCs w:val="24"/>
          <w:highlight w:val="none"/>
        </w:rPr>
        <w:t>若在投</w:t>
      </w:r>
      <w:r>
        <w:rPr>
          <w:rFonts w:hint="eastAsia" w:ascii="宋体" w:hAnsi="宋体" w:eastAsia="宋体" w:cs="宋体"/>
          <w:b/>
          <w:bCs w:val="0"/>
          <w:sz w:val="24"/>
          <w:szCs w:val="24"/>
        </w:rPr>
        <w:t>标时无法提供有效的制造商授权书，则取消中标资格</w:t>
      </w:r>
      <w:r>
        <w:rPr>
          <w:rFonts w:hint="eastAsia" w:ascii="宋体" w:hAnsi="宋体" w:eastAsia="宋体" w:cs="宋体"/>
          <w:sz w:val="24"/>
          <w:szCs w:val="24"/>
        </w:rPr>
        <w:t>，追究责任，采购人可选择顺延中标候选人或重新开展采购活动。</w:t>
      </w:r>
    </w:p>
    <w:p>
      <w:pPr>
        <w:spacing w:line="400" w:lineRule="exact"/>
        <w:ind w:left="843" w:hanging="843" w:hangingChars="300"/>
        <w:rPr>
          <w:rFonts w:hint="eastAsia" w:hAnsi="宋体" w:cs="宋体"/>
          <w:b/>
          <w:bCs/>
          <w:sz w:val="28"/>
          <w:szCs w:val="28"/>
        </w:rPr>
      </w:pPr>
      <w:r>
        <w:rPr>
          <w:rFonts w:hint="eastAsia" w:hAnsi="宋体" w:cs="宋体"/>
          <w:b/>
          <w:bCs/>
          <w:sz w:val="28"/>
          <w:szCs w:val="28"/>
        </w:rPr>
        <w:t>注：1、若技术要求中指定或变相指定品牌、型号、产地等均不作为招标要求。</w:t>
      </w:r>
    </w:p>
    <w:p>
      <w:pPr>
        <w:keepNext/>
        <w:keepLines/>
        <w:spacing w:after="260" w:line="440" w:lineRule="exact"/>
        <w:jc w:val="center"/>
        <w:outlineLvl w:val="0"/>
        <w:rPr>
          <w:rFonts w:hint="eastAsia" w:hAnsi="宋体" w:cs="宋体"/>
          <w:b/>
          <w:sz w:val="36"/>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B4B6D"/>
    <w:rsid w:val="0E6D674C"/>
    <w:rsid w:val="1F1A450A"/>
    <w:rsid w:val="33AC3FB0"/>
    <w:rsid w:val="48E9189E"/>
    <w:rsid w:val="570B4B6D"/>
    <w:rsid w:val="57965267"/>
    <w:rsid w:val="6E7314F3"/>
    <w:rsid w:val="746968F7"/>
    <w:rsid w:val="79994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cs="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首行缩进两字符"/>
    <w:basedOn w:val="1"/>
    <w:qFormat/>
    <w:uiPriority w:val="0"/>
    <w:pPr>
      <w:spacing w:line="360" w:lineRule="auto"/>
      <w:ind w:firstLine="200" w:firstLineChars="200"/>
    </w:pPr>
    <w:rPr>
      <w:rFonts w:asci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2019-04-03T07:33:00Z</dcterms:created>
  <dc:creator>ZY_gonggaozhuanyuan</dc:creator>
  <cp:lastModifiedBy>tx</cp:lastModifiedBy>
  <dcterms:modified xsi:type="dcterms:W3CDTF">2019-09-17T03:10:37Z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