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9E" w:rsidRPr="0099559E" w:rsidRDefault="0099559E" w:rsidP="0099559E">
      <w:pPr>
        <w:widowControl/>
        <w:spacing w:before="272" w:beforeAutospacing="0" w:after="120" w:afterAutospacing="0" w:line="360" w:lineRule="auto"/>
        <w:jc w:val="center"/>
        <w:rPr>
          <w:rFonts w:ascii="宋体" w:eastAsia="宋体" w:hAnsi="宋体" w:cs="宋体"/>
          <w:kern w:val="0"/>
          <w:sz w:val="24"/>
          <w:szCs w:val="24"/>
        </w:rPr>
      </w:pPr>
      <w:r w:rsidRPr="0099559E">
        <w:rPr>
          <w:rFonts w:ascii="宋体" w:eastAsia="宋体" w:hAnsi="宋体" w:cs="宋体" w:hint="eastAsia"/>
          <w:b/>
          <w:bCs/>
          <w:kern w:val="0"/>
          <w:sz w:val="24"/>
          <w:szCs w:val="24"/>
        </w:rPr>
        <w:t>项目需求</w:t>
      </w:r>
    </w:p>
    <w:p w:rsidR="0099559E" w:rsidRPr="0099559E" w:rsidRDefault="0099559E" w:rsidP="0099559E">
      <w:pPr>
        <w:widowControl/>
        <w:spacing w:before="0" w:beforeAutospacing="0" w:after="120" w:afterAutospacing="0" w:line="240" w:lineRule="atLeast"/>
        <w:jc w:val="center"/>
        <w:rPr>
          <w:rFonts w:ascii="宋体" w:eastAsia="宋体" w:hAnsi="宋体" w:cs="宋体" w:hint="eastAsia"/>
          <w:kern w:val="0"/>
          <w:sz w:val="22"/>
        </w:rPr>
      </w:pPr>
      <w:r w:rsidRPr="0099559E">
        <w:rPr>
          <w:rFonts w:ascii="宋体" w:eastAsia="宋体" w:hAnsi="宋体" w:cs="宋体" w:hint="eastAsia"/>
          <w:b/>
          <w:bCs/>
          <w:kern w:val="0"/>
          <w:sz w:val="24"/>
          <w:szCs w:val="24"/>
        </w:rPr>
        <w:t>第一标段</w:t>
      </w:r>
    </w:p>
    <w:p w:rsidR="0099559E" w:rsidRPr="0099559E" w:rsidRDefault="0099559E" w:rsidP="0099559E">
      <w:pPr>
        <w:widowControl/>
        <w:spacing w:before="0" w:beforeAutospacing="0" w:after="120" w:afterAutospacing="0" w:line="240" w:lineRule="atLeast"/>
        <w:jc w:val="left"/>
        <w:rPr>
          <w:rFonts w:ascii="宋体" w:eastAsia="宋体" w:hAnsi="宋体" w:cs="宋体" w:hint="eastAsia"/>
          <w:kern w:val="0"/>
          <w:sz w:val="22"/>
        </w:rPr>
      </w:pPr>
      <w:r w:rsidRPr="0099559E">
        <w:rPr>
          <w:rFonts w:ascii="宋体" w:eastAsia="宋体" w:hAnsi="宋体" w:cs="宋体" w:hint="eastAsia"/>
          <w:kern w:val="0"/>
          <w:szCs w:val="21"/>
        </w:rPr>
        <w:t>带*</w:t>
      </w:r>
      <w:r w:rsidRPr="0099559E">
        <w:rPr>
          <w:rFonts w:ascii="宋体" w:eastAsia="宋体" w:hAnsi="宋体" w:cs="宋体" w:hint="eastAsia"/>
          <w:kern w:val="0"/>
          <w:sz w:val="24"/>
          <w:szCs w:val="24"/>
        </w:rPr>
        <w:t>号条款必需满足，有一条不满足则投标无效，单项产品非</w:t>
      </w:r>
      <w:r w:rsidRPr="0099559E">
        <w:rPr>
          <w:rFonts w:ascii="宋体" w:eastAsia="宋体" w:hAnsi="宋体" w:cs="宋体" w:hint="eastAsia"/>
          <w:kern w:val="0"/>
          <w:szCs w:val="21"/>
        </w:rPr>
        <w:t>*</w:t>
      </w:r>
      <w:r w:rsidRPr="0099559E">
        <w:rPr>
          <w:rFonts w:ascii="宋体" w:eastAsia="宋体" w:hAnsi="宋体" w:cs="宋体" w:hint="eastAsia"/>
          <w:kern w:val="0"/>
          <w:sz w:val="24"/>
          <w:szCs w:val="24"/>
        </w:rPr>
        <w:t>号条款3条不满足则投标无效。</w:t>
      </w:r>
    </w:p>
    <w:tbl>
      <w:tblPr>
        <w:tblW w:w="9904" w:type="dxa"/>
        <w:tblCellMar>
          <w:left w:w="0" w:type="dxa"/>
          <w:right w:w="0" w:type="dxa"/>
        </w:tblCellMar>
        <w:tblLook w:val="04A0"/>
      </w:tblPr>
      <w:tblGrid>
        <w:gridCol w:w="486"/>
        <w:gridCol w:w="1062"/>
        <w:gridCol w:w="676"/>
        <w:gridCol w:w="506"/>
        <w:gridCol w:w="7174"/>
      </w:tblGrid>
      <w:tr w:rsidR="0099559E" w:rsidRPr="0099559E" w:rsidTr="0099559E">
        <w:trPr>
          <w:trHeight w:val="645"/>
        </w:trPr>
        <w:tc>
          <w:tcPr>
            <w:tcW w:w="4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bookmarkStart w:id="0" w:name="OLE_LINK1"/>
            <w:r w:rsidRPr="0099559E">
              <w:rPr>
                <w:rFonts w:ascii="宋体" w:eastAsia="宋体" w:hAnsi="宋体" w:cs="宋体" w:hint="eastAsia"/>
                <w:kern w:val="0"/>
                <w:szCs w:val="21"/>
              </w:rPr>
              <w:t>序号</w:t>
            </w:r>
            <w:bookmarkEnd w:id="0"/>
          </w:p>
        </w:tc>
        <w:tc>
          <w:tcPr>
            <w:tcW w:w="94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名称</w:t>
            </w:r>
          </w:p>
        </w:tc>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数量</w:t>
            </w:r>
          </w:p>
        </w:tc>
        <w:tc>
          <w:tcPr>
            <w:tcW w:w="45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单位</w:t>
            </w:r>
          </w:p>
        </w:tc>
        <w:tc>
          <w:tcPr>
            <w:tcW w:w="6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主要技术参数和要求</w:t>
            </w:r>
          </w:p>
        </w:tc>
      </w:tr>
      <w:tr w:rsidR="0099559E" w:rsidRPr="0099559E" w:rsidTr="0099559E">
        <w:trPr>
          <w:trHeight w:val="645"/>
        </w:trPr>
        <w:tc>
          <w:tcPr>
            <w:tcW w:w="4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1</w:t>
            </w:r>
          </w:p>
        </w:tc>
        <w:tc>
          <w:tcPr>
            <w:tcW w:w="94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全自动固/液体直接测汞仪(进口)</w:t>
            </w:r>
          </w:p>
        </w:tc>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1</w:t>
            </w:r>
          </w:p>
        </w:tc>
        <w:tc>
          <w:tcPr>
            <w:tcW w:w="45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套</w:t>
            </w:r>
          </w:p>
        </w:tc>
        <w:tc>
          <w:tcPr>
            <w:tcW w:w="6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left"/>
              <w:rPr>
                <w:rFonts w:ascii="宋体" w:eastAsia="宋体" w:hAnsi="宋体" w:cs="宋体"/>
                <w:kern w:val="0"/>
                <w:sz w:val="16"/>
                <w:szCs w:val="16"/>
              </w:rPr>
            </w:pPr>
            <w:r w:rsidRPr="0099559E">
              <w:rPr>
                <w:rFonts w:ascii="宋体" w:eastAsia="宋体" w:hAnsi="宋体" w:cs="宋体" w:hint="eastAsia"/>
                <w:kern w:val="0"/>
                <w:szCs w:val="21"/>
              </w:rPr>
              <w:t>1、用途：适用于食品、环境、农业、石化、矿石、核电厂、能源等实验室，对食品、动植物、沉积物、土壤、淤泥、煤炭、油、水泥、涂料、饮用水、废水、饮料、城市废弃物等各种固、液体样品的汞含量的直接检测分析</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2、技术条件</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2.1、工作电压：220VAC±10％</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2.2、温度：10～30℃</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 xml:space="preserve">2.3、湿度：20％～80％ </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3、技术参数</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*3.1、利用冷原子吸收原理进行汞的检测，是EPA7473方法的制定仪器</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*3.2、无需任何样品前处理、无需使用任何助燃剂、缓冲溶液、直接自动测定固体或液体样品</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3.3、可升级直接测定气体中汞含量</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3.4、可以和带有标准接口的天平连接，称样数据结果能自动导入到终端并直接参与结果的计算</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3.5、仪器有优异的稳定性，校正曲线不用每次都做，一般在3～6个月做一次。</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3.6、仪器为整体设计，适合于实验室和野外原位分析。</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4、性能指标</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*4.1、检出限：≤0.005ng</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4.2、重复性：RSD≤1.5%</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*4.3、 测量量程：0～1200ng</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4.4、校准方式：标准溶液或标准物质</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4.5、最大样品量：固体1500mg，液体1500</w:t>
            </w:r>
            <w:r w:rsidRPr="0099559E">
              <w:rPr>
                <w:rFonts w:ascii="Symbol" w:eastAsia="宋体" w:hAnsi="Symbol" w:cs="宋体"/>
                <w:kern w:val="0"/>
                <w:szCs w:val="21"/>
              </w:rPr>
              <w:t>？</w:t>
            </w:r>
            <w:r w:rsidRPr="0099559E">
              <w:rPr>
                <w:rFonts w:ascii="宋体" w:eastAsia="宋体" w:hAnsi="宋体" w:cs="宋体" w:hint="eastAsia"/>
                <w:kern w:val="0"/>
                <w:szCs w:val="21"/>
              </w:rPr>
              <w:t>l</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*4.6、自动进样器：内置、样品量</w:t>
            </w:r>
            <w:r w:rsidRPr="0099559E">
              <w:rPr>
                <w:rFonts w:ascii="Symbol" w:eastAsia="宋体" w:hAnsi="Symbol" w:cs="宋体"/>
                <w:kern w:val="0"/>
                <w:szCs w:val="21"/>
              </w:rPr>
              <w:t>？</w:t>
            </w:r>
            <w:r w:rsidRPr="0099559E">
              <w:rPr>
                <w:rFonts w:ascii="宋体" w:eastAsia="宋体" w:hAnsi="宋体" w:cs="宋体" w:hint="eastAsia"/>
                <w:kern w:val="0"/>
                <w:szCs w:val="21"/>
              </w:rPr>
              <w:t>40个，固体/液体样品均可</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4.7、分析速度：≤5分钟/样品</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4.8、具有样品自动浓缩功能</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4.9、自动进样器:具有</w:t>
            </w:r>
            <w:r w:rsidRPr="0099559E">
              <w:rPr>
                <w:rFonts w:ascii="Symbol" w:eastAsia="宋体" w:hAnsi="Symbol" w:cs="宋体"/>
                <w:kern w:val="0"/>
                <w:szCs w:val="21"/>
              </w:rPr>
              <w:t>？</w:t>
            </w:r>
            <w:r w:rsidRPr="0099559E">
              <w:rPr>
                <w:rFonts w:ascii="宋体" w:eastAsia="宋体" w:hAnsi="宋体" w:cs="宋体" w:hint="eastAsia"/>
                <w:kern w:val="0"/>
                <w:szCs w:val="21"/>
              </w:rPr>
              <w:t>40位的样品自动进样器</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lastRenderedPageBreak/>
              <w:t>*4.10、检测系统：硅-UV光电检测器，单光束双测量池</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5、控制终端</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5.1、控制终端：自带标准的应用方法，用户也可以随意的调用、增加和删除方法，并对每种方法进行编辑</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5.2、全套分析软件及数据处理系统，完全符合TQM，GLP，EPA，ISO、CRF21、part11的要求。</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5.3、软件可反控仪器的整体操作，真正实现了全自动、无人看管功能。</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6、标配供货范围</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6.1、测汞仪主机(内置40位自动进样器)  1台</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6.2、控制终端                         1台</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6.3、镍舟（40个/套）                  1套</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6.4、石英舟（1.5ml，10只/套）         1套</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6.5、催化管                           1套</w:t>
            </w:r>
          </w:p>
          <w:p w:rsidR="0099559E" w:rsidRPr="0099559E" w:rsidRDefault="0099559E" w:rsidP="0099559E">
            <w:pPr>
              <w:widowControl/>
              <w:spacing w:before="0" w:beforeAutospacing="0" w:after="12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6.6、汞齐化器                         1套</w:t>
            </w:r>
          </w:p>
          <w:p w:rsidR="0099559E" w:rsidRPr="0099559E" w:rsidRDefault="0099559E" w:rsidP="0099559E">
            <w:pPr>
              <w:widowControl/>
              <w:spacing w:before="0" w:beforeAutospacing="0" w:after="120" w:afterAutospacing="0" w:line="276" w:lineRule="atLeast"/>
              <w:jc w:val="left"/>
              <w:rPr>
                <w:rFonts w:ascii="宋体" w:eastAsia="宋体" w:hAnsi="宋体" w:cs="宋体"/>
                <w:kern w:val="0"/>
                <w:sz w:val="16"/>
                <w:szCs w:val="16"/>
              </w:rPr>
            </w:pPr>
            <w:r w:rsidRPr="0099559E">
              <w:rPr>
                <w:rFonts w:ascii="宋体" w:eastAsia="宋体" w:hAnsi="宋体" w:cs="宋体" w:hint="eastAsia"/>
                <w:kern w:val="0"/>
                <w:szCs w:val="21"/>
              </w:rPr>
              <w:t>6.7、尾汞吸附管                       1套</w:t>
            </w:r>
          </w:p>
        </w:tc>
      </w:tr>
      <w:tr w:rsidR="0099559E" w:rsidRPr="0099559E" w:rsidTr="0099559E">
        <w:trPr>
          <w:trHeight w:val="891"/>
        </w:trPr>
        <w:tc>
          <w:tcPr>
            <w:tcW w:w="43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bookmarkStart w:id="1" w:name="_Hlk372550718"/>
            <w:bookmarkStart w:id="2" w:name="_Hlk372274864"/>
            <w:bookmarkStart w:id="3" w:name="OLE_LINK9"/>
            <w:bookmarkStart w:id="4" w:name="OLE_LINK8"/>
            <w:bookmarkStart w:id="5" w:name="OLE_LINK7"/>
            <w:bookmarkStart w:id="6" w:name="OLE_LINK6"/>
            <w:bookmarkStart w:id="7" w:name="OLE_LINK5"/>
            <w:bookmarkStart w:id="8" w:name="OLE_LINK4"/>
            <w:bookmarkStart w:id="9" w:name="OLE_LINK3"/>
            <w:bookmarkStart w:id="10" w:name="OLE_LINK2"/>
            <w:bookmarkEnd w:id="2"/>
            <w:bookmarkEnd w:id="3"/>
            <w:bookmarkEnd w:id="4"/>
            <w:bookmarkEnd w:id="5"/>
            <w:bookmarkEnd w:id="6"/>
            <w:bookmarkEnd w:id="7"/>
            <w:bookmarkEnd w:id="8"/>
            <w:bookmarkEnd w:id="9"/>
            <w:bookmarkEnd w:id="10"/>
            <w:r w:rsidRPr="0099559E">
              <w:rPr>
                <w:rFonts w:ascii="宋体" w:eastAsia="宋体" w:hAnsi="宋体" w:cs="宋体" w:hint="eastAsia"/>
                <w:kern w:val="0"/>
                <w:szCs w:val="21"/>
              </w:rPr>
              <w:lastRenderedPageBreak/>
              <w:t>2</w:t>
            </w:r>
            <w:bookmarkEnd w:id="1"/>
          </w:p>
        </w:tc>
        <w:tc>
          <w:tcPr>
            <w:tcW w:w="94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left"/>
              <w:rPr>
                <w:rFonts w:ascii="宋体" w:eastAsia="宋体" w:hAnsi="宋体" w:cs="宋体"/>
                <w:kern w:val="0"/>
                <w:sz w:val="16"/>
                <w:szCs w:val="16"/>
              </w:rPr>
            </w:pPr>
            <w:r w:rsidRPr="0099559E">
              <w:rPr>
                <w:rFonts w:ascii="宋体" w:eastAsia="宋体" w:hAnsi="宋体" w:cs="宋体" w:hint="eastAsia"/>
                <w:kern w:val="0"/>
                <w:szCs w:val="21"/>
              </w:rPr>
              <w:t>电感耦合等离子体质谱仪（进口）</w:t>
            </w:r>
          </w:p>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 </w:t>
            </w:r>
          </w:p>
        </w:tc>
        <w:tc>
          <w:tcPr>
            <w:tcW w:w="60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1</w:t>
            </w:r>
          </w:p>
        </w:tc>
        <w:tc>
          <w:tcPr>
            <w:tcW w:w="45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120" w:afterAutospacing="0" w:line="276" w:lineRule="atLeast"/>
              <w:jc w:val="center"/>
              <w:rPr>
                <w:rFonts w:ascii="宋体" w:eastAsia="宋体" w:hAnsi="宋体" w:cs="宋体"/>
                <w:kern w:val="0"/>
                <w:sz w:val="16"/>
                <w:szCs w:val="16"/>
              </w:rPr>
            </w:pPr>
            <w:r w:rsidRPr="0099559E">
              <w:rPr>
                <w:rFonts w:ascii="宋体" w:eastAsia="宋体" w:hAnsi="宋体" w:cs="宋体" w:hint="eastAsia"/>
                <w:kern w:val="0"/>
                <w:szCs w:val="21"/>
              </w:rPr>
              <w:t>套</w:t>
            </w:r>
          </w:p>
        </w:tc>
        <w:tc>
          <w:tcPr>
            <w:tcW w:w="638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9559E" w:rsidRPr="0099559E" w:rsidRDefault="0099559E" w:rsidP="0099559E">
            <w:pPr>
              <w:widowControl/>
              <w:spacing w:before="0" w:beforeAutospacing="0" w:after="0" w:afterAutospacing="0" w:line="360" w:lineRule="auto"/>
              <w:ind w:left="422" w:hanging="420"/>
              <w:jc w:val="left"/>
              <w:rPr>
                <w:rFonts w:ascii="宋体" w:eastAsia="宋体" w:hAnsi="宋体" w:cs="宋体"/>
                <w:kern w:val="0"/>
                <w:szCs w:val="21"/>
              </w:rPr>
            </w:pPr>
            <w:r w:rsidRPr="0099559E">
              <w:rPr>
                <w:rFonts w:ascii="宋体" w:eastAsia="宋体" w:hAnsi="宋体" w:cs="宋体" w:hint="eastAsia"/>
                <w:b/>
                <w:bCs/>
                <w:kern w:val="0"/>
                <w:szCs w:val="21"/>
              </w:rPr>
              <w:t>一、</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仪器总体要求：</w:t>
            </w:r>
          </w:p>
          <w:p w:rsidR="0099559E" w:rsidRPr="0099559E" w:rsidRDefault="0099559E" w:rsidP="0099559E">
            <w:pPr>
              <w:widowControl/>
              <w:spacing w:before="0" w:beforeAutospacing="0" w:after="0" w:afterAutospacing="0" w:line="360" w:lineRule="auto"/>
              <w:ind w:left="360" w:hanging="360"/>
              <w:jc w:val="left"/>
              <w:rPr>
                <w:rFonts w:ascii="宋体" w:eastAsia="宋体" w:hAnsi="宋体" w:cs="宋体" w:hint="eastAsia"/>
                <w:kern w:val="0"/>
                <w:szCs w:val="21"/>
              </w:rPr>
            </w:pPr>
            <w:r w:rsidRPr="0099559E">
              <w:rPr>
                <w:rFonts w:ascii="Agilent TT Cond" w:eastAsia="宋体" w:hAnsi="Agilent TT Cond" w:cs="宋体"/>
                <w:kern w:val="0"/>
                <w:szCs w:val="21"/>
              </w:rPr>
              <w:t>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电感耦合等离子体质谱仪必须包含三重结构及双模检测器等核心部件：</w:t>
            </w:r>
          </w:p>
          <w:p w:rsidR="0099559E" w:rsidRPr="0099559E" w:rsidRDefault="0099559E" w:rsidP="0099559E">
            <w:pPr>
              <w:widowControl/>
              <w:spacing w:before="0" w:beforeAutospacing="0" w:after="0" w:afterAutospacing="0" w:line="360" w:lineRule="auto"/>
              <w:ind w:left="720" w:hanging="360"/>
              <w:jc w:val="left"/>
              <w:rPr>
                <w:rFonts w:ascii="宋体" w:eastAsia="宋体" w:hAnsi="宋体" w:cs="宋体" w:hint="eastAsia"/>
                <w:kern w:val="0"/>
                <w:szCs w:val="21"/>
              </w:rPr>
            </w:pPr>
            <w:r w:rsidRPr="0099559E">
              <w:rPr>
                <w:rFonts w:ascii="宋体" w:eastAsia="宋体" w:hAnsi="宋体" w:cs="宋体" w:hint="eastAsia"/>
                <w:kern w:val="0"/>
                <w:szCs w:val="21"/>
              </w:rPr>
              <w:t>1.1.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离子透镜：待测离子在透镜电场作用下实现双重偏转，将其与中性粒子及光子有效分离，既降低质谱系统背景噪声，又确保全质量范围内离子提取及传输效率；</w:t>
            </w:r>
          </w:p>
          <w:p w:rsidR="0099559E" w:rsidRPr="0099559E" w:rsidRDefault="0099559E" w:rsidP="0099559E">
            <w:pPr>
              <w:widowControl/>
              <w:spacing w:before="0" w:beforeAutospacing="0" w:after="0" w:afterAutospacing="0" w:line="360" w:lineRule="auto"/>
              <w:ind w:left="720" w:hanging="360"/>
              <w:jc w:val="left"/>
              <w:rPr>
                <w:rFonts w:ascii="宋体" w:eastAsia="宋体" w:hAnsi="宋体" w:cs="宋体" w:hint="eastAsia"/>
                <w:kern w:val="0"/>
                <w:szCs w:val="21"/>
              </w:rPr>
            </w:pPr>
            <w:r w:rsidRPr="0099559E">
              <w:rPr>
                <w:rFonts w:ascii="宋体" w:eastAsia="宋体" w:hAnsi="宋体" w:cs="宋体" w:hint="eastAsia"/>
                <w:kern w:val="0"/>
                <w:szCs w:val="21"/>
              </w:rPr>
              <w:t>1.2.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碰撞/反应池：在线质谱干扰消除装置，可有效去除干扰离子对待测元素的影响，确保测定结果的准确性；</w:t>
            </w:r>
          </w:p>
          <w:p w:rsidR="0099559E" w:rsidRPr="0099559E" w:rsidRDefault="0099559E" w:rsidP="0099559E">
            <w:pPr>
              <w:widowControl/>
              <w:spacing w:before="0" w:beforeAutospacing="0" w:after="0" w:afterAutospacing="0" w:line="360" w:lineRule="auto"/>
              <w:ind w:left="720" w:hanging="360"/>
              <w:jc w:val="left"/>
              <w:rPr>
                <w:rFonts w:ascii="宋体" w:eastAsia="宋体" w:hAnsi="宋体" w:cs="宋体" w:hint="eastAsia"/>
                <w:kern w:val="0"/>
                <w:szCs w:val="21"/>
              </w:rPr>
            </w:pPr>
            <w:r w:rsidRPr="0099559E">
              <w:rPr>
                <w:rFonts w:ascii="宋体" w:eastAsia="宋体" w:hAnsi="宋体" w:cs="宋体" w:hint="eastAsia"/>
                <w:kern w:val="0"/>
                <w:szCs w:val="21"/>
              </w:rPr>
              <w:t>1.3.</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质量分析器：通过四极杆的质量扫描实现待测元素的定性检测；</w:t>
            </w:r>
          </w:p>
          <w:p w:rsidR="0099559E" w:rsidRPr="0099559E" w:rsidRDefault="0099559E" w:rsidP="0099559E">
            <w:pPr>
              <w:widowControl/>
              <w:spacing w:before="0" w:beforeAutospacing="0" w:after="0" w:afterAutospacing="0" w:line="360" w:lineRule="auto"/>
              <w:ind w:left="720" w:hanging="360"/>
              <w:jc w:val="left"/>
              <w:rPr>
                <w:rFonts w:ascii="宋体" w:eastAsia="宋体" w:hAnsi="宋体" w:cs="宋体" w:hint="eastAsia"/>
                <w:kern w:val="0"/>
                <w:szCs w:val="21"/>
              </w:rPr>
            </w:pPr>
            <w:r w:rsidRPr="0099559E">
              <w:rPr>
                <w:rFonts w:ascii="宋体" w:eastAsia="宋体" w:hAnsi="宋体" w:cs="宋体" w:hint="eastAsia"/>
                <w:kern w:val="0"/>
                <w:szCs w:val="21"/>
              </w:rPr>
              <w:t>1.4.</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检测器：待测离子经过90°偏转后进入脉冲模拟双模式电子倍增器，经转换放大为可记录的电信号，实现待测元素的定量检测；</w:t>
            </w:r>
          </w:p>
          <w:p w:rsidR="0099559E" w:rsidRPr="0099559E" w:rsidRDefault="0099559E" w:rsidP="0099559E">
            <w:pPr>
              <w:widowControl/>
              <w:spacing w:before="0" w:beforeAutospacing="0" w:after="0" w:afterAutospacing="0" w:line="360" w:lineRule="auto"/>
              <w:ind w:left="840" w:firstLine="420"/>
              <w:jc w:val="left"/>
              <w:rPr>
                <w:rFonts w:ascii="宋体" w:eastAsia="宋体" w:hAnsi="宋体" w:cs="宋体" w:hint="eastAsia"/>
                <w:kern w:val="0"/>
                <w:szCs w:val="21"/>
              </w:rPr>
            </w:pPr>
            <w:r w:rsidRPr="0099559E">
              <w:rPr>
                <w:rFonts w:ascii="Agilent TT Cond" w:eastAsia="宋体" w:hAnsi="Agilent TT Cond" w:cs="宋体"/>
                <w:kern w:val="0"/>
                <w:szCs w:val="21"/>
              </w:rPr>
              <w:t>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该仪器应适用于不同应用领域的各类样品的元素分析、同位素分析和元素形态分析任务，满足环境、食品、地质、化工、生物、材料等分析要求；</w:t>
            </w:r>
          </w:p>
          <w:p w:rsidR="0099559E" w:rsidRPr="0099559E" w:rsidRDefault="0099559E" w:rsidP="0099559E">
            <w:pPr>
              <w:widowControl/>
              <w:spacing w:before="0" w:beforeAutospacing="0" w:after="0" w:afterAutospacing="0" w:line="360" w:lineRule="auto"/>
              <w:ind w:left="422" w:hanging="420"/>
              <w:jc w:val="left"/>
              <w:rPr>
                <w:rFonts w:ascii="宋体" w:eastAsia="宋体" w:hAnsi="宋体" w:cs="宋体" w:hint="eastAsia"/>
                <w:kern w:val="0"/>
                <w:szCs w:val="21"/>
              </w:rPr>
            </w:pPr>
            <w:r w:rsidRPr="0099559E">
              <w:rPr>
                <w:rFonts w:ascii="宋体" w:eastAsia="宋体" w:hAnsi="宋体" w:cs="宋体" w:hint="eastAsia"/>
                <w:b/>
                <w:bCs/>
                <w:kern w:val="0"/>
                <w:szCs w:val="21"/>
              </w:rPr>
              <w:t>二、</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工作条件：</w:t>
            </w:r>
          </w:p>
          <w:p w:rsidR="0099559E" w:rsidRPr="0099559E" w:rsidRDefault="0099559E" w:rsidP="0099559E">
            <w:pPr>
              <w:widowControl/>
              <w:numPr>
                <w:ilvl w:val="0"/>
                <w:numId w:val="1"/>
              </w:numPr>
              <w:spacing w:before="0" w:beforeAutospacing="0" w:after="0" w:afterAutospacing="0" w:line="360" w:lineRule="auto"/>
              <w:ind w:left="310" w:firstLine="0"/>
              <w:jc w:val="left"/>
              <w:rPr>
                <w:rFonts w:ascii="宋体" w:eastAsia="宋体" w:hAnsi="宋体" w:cs="宋体" w:hint="eastAsia"/>
                <w:kern w:val="0"/>
                <w:szCs w:val="21"/>
              </w:rPr>
            </w:pPr>
            <w:r w:rsidRPr="0099559E">
              <w:rPr>
                <w:rFonts w:ascii="宋体" w:eastAsia="宋体" w:hAnsi="宋体" w:cs="宋体" w:hint="eastAsia"/>
                <w:kern w:val="0"/>
                <w:szCs w:val="21"/>
              </w:rPr>
              <w:t xml:space="preserve">环境温度： 15～30℃ </w:t>
            </w:r>
          </w:p>
          <w:p w:rsidR="0099559E" w:rsidRPr="0099559E" w:rsidRDefault="0099559E" w:rsidP="0099559E">
            <w:pPr>
              <w:widowControl/>
              <w:numPr>
                <w:ilvl w:val="0"/>
                <w:numId w:val="1"/>
              </w:numPr>
              <w:spacing w:before="0" w:beforeAutospacing="0" w:after="0" w:afterAutospacing="0" w:line="360" w:lineRule="auto"/>
              <w:ind w:left="310" w:firstLine="0"/>
              <w:jc w:val="left"/>
              <w:rPr>
                <w:rFonts w:ascii="宋体" w:eastAsia="宋体" w:hAnsi="宋体" w:cs="宋体" w:hint="eastAsia"/>
                <w:kern w:val="0"/>
                <w:szCs w:val="21"/>
              </w:rPr>
            </w:pPr>
            <w:r w:rsidRPr="0099559E">
              <w:rPr>
                <w:rFonts w:ascii="宋体" w:eastAsia="宋体" w:hAnsi="宋体" w:cs="宋体" w:hint="eastAsia"/>
                <w:kern w:val="0"/>
                <w:szCs w:val="21"/>
              </w:rPr>
              <w:lastRenderedPageBreak/>
              <w:t xml:space="preserve">环境湿度： 20～80% </w:t>
            </w:r>
          </w:p>
          <w:p w:rsidR="0099559E" w:rsidRPr="0099559E" w:rsidRDefault="0099559E" w:rsidP="0099559E">
            <w:pPr>
              <w:widowControl/>
              <w:numPr>
                <w:ilvl w:val="0"/>
                <w:numId w:val="1"/>
              </w:numPr>
              <w:spacing w:before="0" w:beforeAutospacing="0" w:after="0" w:afterAutospacing="0" w:line="360" w:lineRule="auto"/>
              <w:ind w:left="310" w:firstLine="0"/>
              <w:jc w:val="left"/>
              <w:rPr>
                <w:rFonts w:ascii="宋体" w:eastAsia="宋体" w:hAnsi="宋体" w:cs="宋体" w:hint="eastAsia"/>
                <w:kern w:val="0"/>
                <w:szCs w:val="21"/>
              </w:rPr>
            </w:pPr>
            <w:r w:rsidRPr="0099559E">
              <w:rPr>
                <w:rFonts w:ascii="宋体" w:eastAsia="宋体" w:hAnsi="宋体" w:cs="宋体" w:hint="eastAsia"/>
                <w:kern w:val="0"/>
                <w:szCs w:val="21"/>
              </w:rPr>
              <w:t xml:space="preserve">电源：200～240V，30A，50/60Hz </w:t>
            </w:r>
          </w:p>
          <w:p w:rsidR="0099559E" w:rsidRPr="0099559E" w:rsidRDefault="0099559E" w:rsidP="0099559E">
            <w:pPr>
              <w:widowControl/>
              <w:spacing w:before="0" w:beforeAutospacing="0" w:after="0" w:afterAutospacing="0" w:line="360" w:lineRule="auto"/>
              <w:ind w:left="422" w:hanging="420"/>
              <w:jc w:val="left"/>
              <w:rPr>
                <w:rFonts w:ascii="宋体" w:eastAsia="宋体" w:hAnsi="宋体" w:cs="宋体" w:hint="eastAsia"/>
                <w:kern w:val="0"/>
                <w:szCs w:val="21"/>
              </w:rPr>
            </w:pPr>
            <w:r w:rsidRPr="0099559E">
              <w:rPr>
                <w:rFonts w:ascii="宋体" w:eastAsia="宋体" w:hAnsi="宋体" w:cs="宋体" w:hint="eastAsia"/>
                <w:b/>
                <w:bCs/>
                <w:kern w:val="0"/>
                <w:szCs w:val="21"/>
              </w:rPr>
              <w:t>三、</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技术参数：</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Light" w:eastAsia="宋体" w:hAnsi="Agilent TT CondLight" w:cs="宋体"/>
                <w:b/>
                <w:bCs/>
                <w:kern w:val="0"/>
                <w:szCs w:val="21"/>
              </w:rPr>
              <w:t>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硬件参数</w:t>
            </w:r>
          </w:p>
          <w:p w:rsidR="0099559E" w:rsidRPr="0099559E" w:rsidRDefault="0099559E" w:rsidP="0099559E">
            <w:pPr>
              <w:widowControl/>
              <w:spacing w:before="0" w:beforeAutospacing="0" w:after="0" w:afterAutospacing="0" w:line="360" w:lineRule="auto"/>
              <w:ind w:left="432" w:hanging="432"/>
              <w:jc w:val="left"/>
              <w:rPr>
                <w:rFonts w:ascii="宋体" w:eastAsia="宋体" w:hAnsi="宋体" w:cs="宋体" w:hint="eastAsia"/>
                <w:kern w:val="0"/>
                <w:szCs w:val="21"/>
              </w:rPr>
            </w:pPr>
            <w:r w:rsidRPr="0099559E">
              <w:rPr>
                <w:rFonts w:ascii="Agilent TT Cond" w:eastAsia="宋体" w:hAnsi="Agilent TT Cond" w:cs="宋体"/>
                <w:kern w:val="0"/>
                <w:szCs w:val="21"/>
              </w:rPr>
              <w:t>1.1.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雾化器：耐高盐、高效石英同心雾化器；</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1.2雾室：双通道石英雾室，必须配置原厂半导体控温装置；</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1.3气路控制：至少配备5个高精度气体质量流量计（MFC），控制包括等离子体气、辅助气、稀释气、载气、碰撞/反应气等气体流量；</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1.4炬管：一体式石英炬管，不会因为组合不到位导致烧熔，拆装方便，炬管X/Y/Z定位可由步进电机控制自动完成；</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 xml:space="preserve">1.5接口：镍制样品锥和截取锥组成的接口，要求锥数量≤2个，为防过多基体进入后续质谱系统，要求在保证灵敏度的前提下锥孔径尽可能小，采样锥孔径≤1.0mm，截取锥孔径≤0.45mm，一套锥无须硬件更换即可同时实现高灵敏度和高耐盐度； </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1.6离子源：数控式固态射频发生器，射频频率≤27.12 MHz，功率范围600~1600W，为保证散热效果射频线圈必须水冷设计；</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1.7屏蔽炬系统彻底消除二次放电，延长锥的使用寿命，减少干扰离子产生，均一化离子动能，提供灵敏度并增强碰撞动能歧视（KED）效果，离子源须真实有效接地，不可虚拟接地；</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1.8离子透镜：要求由离子提取和离子偏转双系统组成，配备不少于2个提取透镜，可通过分别调节两个提取透镜的电压来实现软提取、硬提取、浸透式提取等多种研究级提取模式，提升各种复杂基体的分析能力；可采用正负双电压调节实现离子的双重偏转，不仅将待测离子与中性粒子及光子有效分离，同时平衡不同质量段灵敏度分布；</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1.9. 碰撞反应池：</w:t>
            </w:r>
          </w:p>
          <w:p w:rsidR="0099559E" w:rsidRPr="0099559E" w:rsidRDefault="0099559E" w:rsidP="0099559E">
            <w:pPr>
              <w:widowControl/>
              <w:spacing w:before="0" w:beforeAutospacing="0" w:after="0" w:afterAutospacing="0" w:line="360" w:lineRule="auto"/>
              <w:ind w:left="420"/>
              <w:jc w:val="left"/>
              <w:rPr>
                <w:rFonts w:ascii="宋体" w:eastAsia="宋体" w:hAnsi="宋体" w:cs="宋体" w:hint="eastAsia"/>
                <w:kern w:val="0"/>
                <w:szCs w:val="21"/>
              </w:rPr>
            </w:pPr>
            <w:r w:rsidRPr="0099559E">
              <w:rPr>
                <w:rFonts w:ascii="宋体" w:eastAsia="宋体" w:hAnsi="宋体" w:cs="宋体" w:hint="eastAsia"/>
                <w:kern w:val="0"/>
                <w:szCs w:val="21"/>
              </w:rPr>
              <w:t>1.9.1. 配备碰撞/反应池，八极杆设计，具有最佳离子传输效率；</w:t>
            </w:r>
          </w:p>
          <w:p w:rsidR="0099559E" w:rsidRPr="0099559E" w:rsidRDefault="0099559E" w:rsidP="0099559E">
            <w:pPr>
              <w:widowControl/>
              <w:spacing w:before="0" w:beforeAutospacing="0" w:after="0" w:afterAutospacing="0" w:line="360" w:lineRule="auto"/>
              <w:ind w:left="420"/>
              <w:jc w:val="left"/>
              <w:rPr>
                <w:rFonts w:ascii="宋体" w:eastAsia="宋体" w:hAnsi="宋体" w:cs="宋体" w:hint="eastAsia"/>
                <w:kern w:val="0"/>
                <w:szCs w:val="21"/>
              </w:rPr>
            </w:pPr>
            <w:r w:rsidRPr="0099559E">
              <w:rPr>
                <w:rFonts w:ascii="宋体" w:eastAsia="宋体" w:hAnsi="宋体" w:cs="宋体" w:hint="eastAsia"/>
                <w:kern w:val="0"/>
                <w:szCs w:val="21"/>
              </w:rPr>
              <w:t xml:space="preserve">1.9.2 碰撞反应池具有控温功能，提高数据稳定性； </w:t>
            </w:r>
          </w:p>
          <w:p w:rsidR="0099559E" w:rsidRPr="0099559E" w:rsidRDefault="0099559E" w:rsidP="0099559E">
            <w:pPr>
              <w:widowControl/>
              <w:spacing w:before="0" w:beforeAutospacing="0" w:after="0" w:afterAutospacing="0" w:line="360" w:lineRule="auto"/>
              <w:ind w:left="420"/>
              <w:jc w:val="left"/>
              <w:rPr>
                <w:rFonts w:ascii="宋体" w:eastAsia="宋体" w:hAnsi="宋体" w:cs="宋体" w:hint="eastAsia"/>
                <w:kern w:val="0"/>
                <w:szCs w:val="21"/>
              </w:rPr>
            </w:pPr>
            <w:r w:rsidRPr="0099559E">
              <w:rPr>
                <w:rFonts w:ascii="宋体" w:eastAsia="宋体" w:hAnsi="宋体" w:cs="宋体" w:hint="eastAsia"/>
                <w:kern w:val="0"/>
                <w:szCs w:val="21"/>
              </w:rPr>
              <w:t>1.9.3. 碰撞反应池至少拥有三种工作模式，标准模式、氦气碰撞模式、高能干扰消除模式，不同模式切换时间小于3秒，并支持反应模式</w:t>
            </w:r>
          </w:p>
          <w:p w:rsidR="0099559E" w:rsidRPr="0099559E" w:rsidRDefault="0099559E" w:rsidP="0099559E">
            <w:pPr>
              <w:widowControl/>
              <w:spacing w:before="0" w:beforeAutospacing="0" w:after="0" w:afterAutospacing="0" w:line="360" w:lineRule="auto"/>
              <w:ind w:left="420"/>
              <w:jc w:val="left"/>
              <w:rPr>
                <w:rFonts w:ascii="宋体" w:eastAsia="宋体" w:hAnsi="宋体" w:cs="宋体" w:hint="eastAsia"/>
                <w:kern w:val="0"/>
                <w:szCs w:val="21"/>
              </w:rPr>
            </w:pPr>
            <w:r w:rsidRPr="0099559E">
              <w:rPr>
                <w:rFonts w:ascii="宋体" w:eastAsia="宋体" w:hAnsi="宋体" w:cs="宋体" w:hint="eastAsia"/>
                <w:kern w:val="0"/>
                <w:szCs w:val="21"/>
              </w:rPr>
              <w:lastRenderedPageBreak/>
              <w:t>1.9.4. 碰撞反应池经惰性化处理，可使用高活性反应气体氨气；</w:t>
            </w:r>
          </w:p>
          <w:p w:rsidR="0099559E" w:rsidRPr="0099559E" w:rsidRDefault="0099559E" w:rsidP="0099559E">
            <w:pPr>
              <w:widowControl/>
              <w:spacing w:before="0" w:beforeAutospacing="0" w:after="0" w:afterAutospacing="0" w:line="360" w:lineRule="auto"/>
              <w:ind w:left="420"/>
              <w:jc w:val="left"/>
              <w:rPr>
                <w:rFonts w:ascii="宋体" w:eastAsia="宋体" w:hAnsi="宋体" w:cs="宋体" w:hint="eastAsia"/>
                <w:kern w:val="0"/>
                <w:szCs w:val="21"/>
              </w:rPr>
            </w:pPr>
            <w:r w:rsidRPr="0099559E">
              <w:rPr>
                <w:rFonts w:ascii="宋体" w:eastAsia="宋体" w:hAnsi="宋体" w:cs="宋体" w:hint="eastAsia"/>
                <w:kern w:val="0"/>
                <w:szCs w:val="21"/>
              </w:rPr>
              <w:t xml:space="preserve">1.9.5. 碰撞反应气流速范围：0~12 </w:t>
            </w:r>
            <w:proofErr w:type="spellStart"/>
            <w:r w:rsidRPr="0099559E">
              <w:rPr>
                <w:rFonts w:ascii="宋体" w:eastAsia="宋体" w:hAnsi="宋体" w:cs="宋体" w:hint="eastAsia"/>
                <w:kern w:val="0"/>
                <w:szCs w:val="21"/>
              </w:rPr>
              <w:t>mL</w:t>
            </w:r>
            <w:proofErr w:type="spellEnd"/>
            <w:r w:rsidRPr="0099559E">
              <w:rPr>
                <w:rFonts w:ascii="宋体" w:eastAsia="宋体" w:hAnsi="宋体" w:cs="宋体" w:hint="eastAsia"/>
                <w:kern w:val="0"/>
                <w:szCs w:val="21"/>
              </w:rPr>
              <w:t>/min；</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1.10.质量分析器：采用Mo材质双曲面四极杆，提供最理想电场分布和最佳丰度灵敏度；四极杆驱动频率：≥2.8 MHz；</w:t>
            </w:r>
          </w:p>
          <w:p w:rsidR="0099559E" w:rsidRPr="0099559E" w:rsidRDefault="0099559E" w:rsidP="0099559E">
            <w:pPr>
              <w:widowControl/>
              <w:spacing w:before="0" w:beforeAutospacing="0" w:after="0" w:afterAutospacing="0" w:line="360" w:lineRule="auto"/>
              <w:ind w:left="420"/>
              <w:jc w:val="left"/>
              <w:rPr>
                <w:rFonts w:ascii="宋体" w:eastAsia="宋体" w:hAnsi="宋体" w:cs="宋体" w:hint="eastAsia"/>
                <w:kern w:val="0"/>
                <w:sz w:val="24"/>
                <w:szCs w:val="24"/>
              </w:rPr>
            </w:pPr>
            <w:r w:rsidRPr="0099559E">
              <w:rPr>
                <w:rFonts w:ascii="宋体" w:eastAsia="宋体" w:hAnsi="宋体" w:cs="宋体" w:hint="eastAsia"/>
                <w:kern w:val="0"/>
                <w:szCs w:val="21"/>
              </w:rPr>
              <w:t>1.10.1. 四极杆质量数范围：2</w:t>
            </w: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 xml:space="preserve">258 </w:t>
            </w:r>
            <w:proofErr w:type="spellStart"/>
            <w:r w:rsidRPr="0099559E">
              <w:rPr>
                <w:rFonts w:ascii="宋体" w:eastAsia="宋体" w:hAnsi="宋体" w:cs="宋体" w:hint="eastAsia"/>
                <w:kern w:val="0"/>
                <w:szCs w:val="21"/>
              </w:rPr>
              <w:t>amu</w:t>
            </w:r>
            <w:proofErr w:type="spellEnd"/>
            <w:r w:rsidRPr="0099559E">
              <w:rPr>
                <w:rFonts w:ascii="宋体" w:eastAsia="宋体" w:hAnsi="宋体" w:cs="宋体" w:hint="eastAsia"/>
                <w:kern w:val="0"/>
                <w:szCs w:val="21"/>
              </w:rPr>
              <w:t>；</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1.11.</w:t>
            </w:r>
            <w:r w:rsidRPr="0099559E">
              <w:rPr>
                <w:rFonts w:ascii="宋体" w:eastAsia="宋体" w:hAnsi="宋体" w:cs="宋体" w:hint="eastAsia"/>
                <w:color w:val="FF0000"/>
                <w:kern w:val="0"/>
                <w:szCs w:val="21"/>
              </w:rPr>
              <w:t xml:space="preserve"> </w:t>
            </w:r>
            <w:r w:rsidRPr="0099559E">
              <w:rPr>
                <w:rFonts w:ascii="宋体" w:eastAsia="宋体" w:hAnsi="宋体" w:cs="宋体" w:hint="eastAsia"/>
                <w:kern w:val="0"/>
                <w:szCs w:val="21"/>
              </w:rPr>
              <w:t>检测器：</w:t>
            </w:r>
          </w:p>
          <w:p w:rsidR="0099559E" w:rsidRPr="0099559E" w:rsidRDefault="0099559E" w:rsidP="0099559E">
            <w:pPr>
              <w:widowControl/>
              <w:spacing w:before="0" w:beforeAutospacing="0" w:after="0" w:afterAutospacing="0" w:line="360" w:lineRule="auto"/>
              <w:ind w:left="426" w:firstLine="54"/>
              <w:jc w:val="left"/>
              <w:rPr>
                <w:rFonts w:ascii="宋体" w:eastAsia="宋体" w:hAnsi="宋体" w:cs="宋体" w:hint="eastAsia"/>
                <w:kern w:val="0"/>
                <w:szCs w:val="21"/>
              </w:rPr>
            </w:pPr>
            <w:r w:rsidRPr="0099559E">
              <w:rPr>
                <w:rFonts w:ascii="宋体" w:eastAsia="宋体" w:hAnsi="宋体" w:cs="宋体" w:hint="eastAsia"/>
                <w:kern w:val="0"/>
                <w:szCs w:val="21"/>
              </w:rPr>
              <w:t>1.11.1. 脉冲模拟双模式电子倍增器，动态线性范围≥11个数量级，离子离开质量分析器，经90度偏转后进入检测器；</w:t>
            </w:r>
          </w:p>
          <w:p w:rsidR="0099559E" w:rsidRPr="0099559E" w:rsidRDefault="0099559E" w:rsidP="0099559E">
            <w:pPr>
              <w:widowControl/>
              <w:spacing w:before="0" w:beforeAutospacing="0" w:after="0" w:afterAutospacing="0" w:line="360" w:lineRule="auto"/>
              <w:ind w:left="426" w:firstLine="54"/>
              <w:jc w:val="left"/>
              <w:rPr>
                <w:rFonts w:ascii="宋体" w:eastAsia="宋体" w:hAnsi="宋体" w:cs="宋体" w:hint="eastAsia"/>
                <w:kern w:val="0"/>
                <w:szCs w:val="21"/>
              </w:rPr>
            </w:pPr>
            <w:r w:rsidRPr="0099559E">
              <w:rPr>
                <w:rFonts w:ascii="宋体" w:eastAsia="宋体" w:hAnsi="宋体" w:cs="宋体" w:hint="eastAsia"/>
                <w:kern w:val="0"/>
                <w:szCs w:val="21"/>
              </w:rPr>
              <w:t>1.11.2. 能够满足从亚</w:t>
            </w:r>
            <w:proofErr w:type="spellStart"/>
            <w:r w:rsidRPr="0099559E">
              <w:rPr>
                <w:rFonts w:ascii="宋体" w:eastAsia="宋体" w:hAnsi="宋体" w:cs="宋体" w:hint="eastAsia"/>
                <w:kern w:val="0"/>
                <w:szCs w:val="21"/>
              </w:rPr>
              <w:t>ppt</w:t>
            </w:r>
            <w:proofErr w:type="spellEnd"/>
            <w:r w:rsidRPr="0099559E">
              <w:rPr>
                <w:rFonts w:ascii="宋体" w:eastAsia="宋体" w:hAnsi="宋体" w:cs="宋体" w:hint="eastAsia"/>
                <w:kern w:val="0"/>
                <w:szCs w:val="21"/>
              </w:rPr>
              <w:t>级到百分级浓度的测定，在同一次运行中同时测定痕量与高常量元素；对于Na标准溶液浓度0、5000ppm、10000ppm建立的标准曲线，线性优于0.999</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1.12. 耐高盐技术：具有气溶胶稀释功能，使用高纯氩气自动稀释高盐样品，避免手动稀释可能引入的污染，提高仪器整体耐盐度30倍，可长时间分析未经稀释的海水；</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Light" w:eastAsia="宋体" w:hAnsi="Agilent TT CondLight" w:cs="宋体"/>
                <w:b/>
                <w:bCs/>
                <w:kern w:val="0"/>
                <w:szCs w:val="21"/>
              </w:rPr>
              <w:t>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工作站配置：</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2.1.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原厂配置计算机系统1套；</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2.2.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配置要求：Intel</w:t>
            </w:r>
            <w:r w:rsidRPr="0099559E">
              <w:rPr>
                <w:rFonts w:ascii="宋体" w:eastAsia="宋体" w:hAnsi="宋体" w:cs="宋体" w:hint="eastAsia"/>
                <w:kern w:val="0"/>
                <w:sz w:val="14"/>
                <w:szCs w:val="14"/>
                <w:vertAlign w:val="superscript"/>
              </w:rPr>
              <w:t xml:space="preserve">® </w:t>
            </w:r>
            <w:r w:rsidRPr="0099559E">
              <w:rPr>
                <w:rFonts w:ascii="宋体" w:eastAsia="宋体" w:hAnsi="宋体" w:cs="宋体" w:hint="eastAsia"/>
                <w:kern w:val="0"/>
                <w:szCs w:val="21"/>
              </w:rPr>
              <w:t>四核3.2 GHz； 4G内存；500G HDD；16倍速DVD；22吋液晶显示器；</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2.3.</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激光打印机1台；</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Light" w:eastAsia="宋体" w:hAnsi="Agilent TT CondLight" w:cs="宋体"/>
                <w:b/>
                <w:bCs/>
                <w:kern w:val="0"/>
                <w:szCs w:val="21"/>
              </w:rPr>
              <w:t>3.</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操作软件：</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3.1.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操作系统：Windows 7 64位操作系统；</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3.2.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全自动工作条件调谐 (</w:t>
            </w:r>
            <w:proofErr w:type="spellStart"/>
            <w:r w:rsidRPr="0099559E">
              <w:rPr>
                <w:rFonts w:ascii="宋体" w:eastAsia="宋体" w:hAnsi="宋体" w:cs="宋体" w:hint="eastAsia"/>
                <w:kern w:val="0"/>
                <w:szCs w:val="21"/>
              </w:rPr>
              <w:t>AutoTuning</w:t>
            </w:r>
            <w:proofErr w:type="spellEnd"/>
            <w:r w:rsidRPr="0099559E">
              <w:rPr>
                <w:rFonts w:ascii="宋体" w:eastAsia="宋体" w:hAnsi="宋体" w:cs="宋体" w:hint="eastAsia"/>
                <w:kern w:val="0"/>
                <w:szCs w:val="21"/>
              </w:rPr>
              <w:t>)；</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3.3.</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具有使用智能手机 (Android或</w:t>
            </w:r>
            <w:proofErr w:type="spellStart"/>
            <w:r w:rsidRPr="0099559E">
              <w:rPr>
                <w:rFonts w:ascii="宋体" w:eastAsia="宋体" w:hAnsi="宋体" w:cs="宋体" w:hint="eastAsia"/>
                <w:kern w:val="0"/>
                <w:szCs w:val="21"/>
              </w:rPr>
              <w:t>iOS</w:t>
            </w:r>
            <w:proofErr w:type="spellEnd"/>
            <w:r w:rsidRPr="0099559E">
              <w:rPr>
                <w:rFonts w:ascii="宋体" w:eastAsia="宋体" w:hAnsi="宋体" w:cs="宋体" w:hint="eastAsia"/>
                <w:kern w:val="0"/>
                <w:szCs w:val="21"/>
              </w:rPr>
              <w:t>操作系统) 远程控制电感耦合等离子体功能；</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3.4.</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虚拟内标法(VIS)通过在已有的多个内标元素之间的插入一个“虚拟”的内标进行校正，虚拟内标更接近目标元素质量数，更可靠地校正各种样品基体效应；</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3.5.</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批量数据表功能质量控制标准的在线显示与控制数据直接粘贴到Microsoft Excel表格（随机配置）或LIMS数据系统；</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lastRenderedPageBreak/>
              <w:t>3.6.</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快速指纹功能：在定量分析的同时，无须额外的标准溶液，只需增加3s即可采集样品中60个元素(消除干扰后)的半定量指纹信息；</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Light" w:eastAsia="宋体" w:hAnsi="Agilent TT CondLight" w:cs="宋体"/>
                <w:b/>
                <w:bCs/>
                <w:kern w:val="0"/>
                <w:szCs w:val="21"/>
              </w:rPr>
              <w:t>4.</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性能指标：</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低质量数灵敏度：</w:t>
            </w:r>
            <w:r w:rsidRPr="0099559E">
              <w:rPr>
                <w:rFonts w:ascii="宋体" w:eastAsia="宋体" w:hAnsi="宋体" w:cs="宋体" w:hint="eastAsia"/>
                <w:kern w:val="0"/>
                <w:sz w:val="14"/>
                <w:szCs w:val="14"/>
                <w:vertAlign w:val="superscript"/>
              </w:rPr>
              <w:t>7</w:t>
            </w:r>
            <w:r w:rsidRPr="0099559E">
              <w:rPr>
                <w:rFonts w:ascii="宋体" w:eastAsia="宋体" w:hAnsi="宋体" w:cs="宋体" w:hint="eastAsia"/>
                <w:kern w:val="0"/>
                <w:szCs w:val="21"/>
              </w:rPr>
              <w:t>Li ≥55 M cps/</w:t>
            </w:r>
            <w:proofErr w:type="spellStart"/>
            <w:r w:rsidRPr="0099559E">
              <w:rPr>
                <w:rFonts w:ascii="宋体" w:eastAsia="宋体" w:hAnsi="宋体" w:cs="宋体" w:hint="eastAsia"/>
                <w:kern w:val="0"/>
                <w:szCs w:val="21"/>
              </w:rPr>
              <w:t>ppm</w:t>
            </w:r>
            <w:proofErr w:type="spellEnd"/>
            <w:r w:rsidRPr="0099559E">
              <w:rPr>
                <w:rFonts w:ascii="宋体" w:eastAsia="宋体" w:hAnsi="宋体" w:cs="宋体" w:hint="eastAsia"/>
                <w:kern w:val="0"/>
                <w:szCs w:val="21"/>
              </w:rPr>
              <w:t xml:space="preserve"> </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中质量数灵敏度：</w:t>
            </w:r>
            <w:r w:rsidRPr="0099559E">
              <w:rPr>
                <w:rFonts w:ascii="宋体" w:eastAsia="宋体" w:hAnsi="宋体" w:cs="宋体" w:hint="eastAsia"/>
                <w:kern w:val="0"/>
                <w:sz w:val="14"/>
                <w:szCs w:val="14"/>
                <w:vertAlign w:val="superscript"/>
              </w:rPr>
              <w:t>89</w:t>
            </w:r>
            <w:r w:rsidRPr="0099559E">
              <w:rPr>
                <w:rFonts w:ascii="宋体" w:eastAsia="宋体" w:hAnsi="宋体" w:cs="宋体" w:hint="eastAsia"/>
                <w:kern w:val="0"/>
                <w:szCs w:val="21"/>
              </w:rPr>
              <w:t>Y ≥350 M cps/</w:t>
            </w:r>
            <w:proofErr w:type="spellStart"/>
            <w:r w:rsidRPr="0099559E">
              <w:rPr>
                <w:rFonts w:ascii="宋体" w:eastAsia="宋体" w:hAnsi="宋体" w:cs="宋体" w:hint="eastAsia"/>
                <w:kern w:val="0"/>
                <w:szCs w:val="21"/>
              </w:rPr>
              <w:t>ppm</w:t>
            </w:r>
            <w:proofErr w:type="spellEnd"/>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4.3.</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高质量数灵敏度：</w:t>
            </w:r>
            <w:r w:rsidRPr="0099559E">
              <w:rPr>
                <w:rFonts w:ascii="宋体" w:eastAsia="宋体" w:hAnsi="宋体" w:cs="宋体" w:hint="eastAsia"/>
                <w:kern w:val="0"/>
                <w:sz w:val="14"/>
                <w:szCs w:val="14"/>
                <w:vertAlign w:val="superscript"/>
              </w:rPr>
              <w:t>205</w:t>
            </w:r>
            <w:r w:rsidRPr="0099559E">
              <w:rPr>
                <w:rFonts w:ascii="宋体" w:eastAsia="宋体" w:hAnsi="宋体" w:cs="宋体" w:hint="eastAsia"/>
                <w:kern w:val="0"/>
                <w:szCs w:val="21"/>
              </w:rPr>
              <w:t>Tl ≥280 M cps/</w:t>
            </w:r>
            <w:proofErr w:type="spellStart"/>
            <w:r w:rsidRPr="0099559E">
              <w:rPr>
                <w:rFonts w:ascii="宋体" w:eastAsia="宋体" w:hAnsi="宋体" w:cs="宋体" w:hint="eastAsia"/>
                <w:kern w:val="0"/>
                <w:szCs w:val="21"/>
              </w:rPr>
              <w:t>ppm</w:t>
            </w:r>
            <w:proofErr w:type="spellEnd"/>
            <w:r w:rsidRPr="0099559E">
              <w:rPr>
                <w:rFonts w:ascii="宋体" w:eastAsia="宋体" w:hAnsi="宋体" w:cs="宋体" w:hint="eastAsia"/>
                <w:kern w:val="0"/>
                <w:szCs w:val="21"/>
              </w:rPr>
              <w:t>或</w:t>
            </w:r>
            <w:r w:rsidRPr="0099559E">
              <w:rPr>
                <w:rFonts w:ascii="宋体" w:eastAsia="宋体" w:hAnsi="宋体" w:cs="宋体" w:hint="eastAsia"/>
                <w:kern w:val="0"/>
                <w:sz w:val="14"/>
                <w:szCs w:val="14"/>
                <w:vertAlign w:val="superscript"/>
              </w:rPr>
              <w:t>238</w:t>
            </w:r>
            <w:r w:rsidRPr="0099559E">
              <w:rPr>
                <w:rFonts w:ascii="宋体" w:eastAsia="宋体" w:hAnsi="宋体" w:cs="宋体" w:hint="eastAsia"/>
                <w:kern w:val="0"/>
                <w:szCs w:val="21"/>
              </w:rPr>
              <w:t>U≥350M cps/</w:t>
            </w:r>
            <w:proofErr w:type="spellStart"/>
            <w:r w:rsidRPr="0099559E">
              <w:rPr>
                <w:rFonts w:ascii="宋体" w:eastAsia="宋体" w:hAnsi="宋体" w:cs="宋体" w:hint="eastAsia"/>
                <w:kern w:val="0"/>
                <w:szCs w:val="21"/>
              </w:rPr>
              <w:t>ppm</w:t>
            </w:r>
            <w:proofErr w:type="spellEnd"/>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4.4.</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低质量数检测限：</w:t>
            </w:r>
            <w:r w:rsidRPr="0099559E">
              <w:rPr>
                <w:rFonts w:ascii="宋体" w:eastAsia="宋体" w:hAnsi="宋体" w:cs="宋体" w:hint="eastAsia"/>
                <w:kern w:val="0"/>
                <w:sz w:val="14"/>
                <w:szCs w:val="14"/>
                <w:vertAlign w:val="superscript"/>
              </w:rPr>
              <w:t>9</w:t>
            </w:r>
            <w:r w:rsidRPr="0099559E">
              <w:rPr>
                <w:rFonts w:ascii="宋体" w:eastAsia="宋体" w:hAnsi="宋体" w:cs="宋体" w:hint="eastAsia"/>
                <w:kern w:val="0"/>
                <w:szCs w:val="21"/>
              </w:rPr>
              <w:t xml:space="preserve">Be ≤ 0.2 </w:t>
            </w:r>
            <w:proofErr w:type="spellStart"/>
            <w:r w:rsidRPr="0099559E">
              <w:rPr>
                <w:rFonts w:ascii="宋体" w:eastAsia="宋体" w:hAnsi="宋体" w:cs="宋体" w:hint="eastAsia"/>
                <w:kern w:val="0"/>
                <w:szCs w:val="21"/>
              </w:rPr>
              <w:t>ppt</w:t>
            </w:r>
            <w:proofErr w:type="spellEnd"/>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4.5.</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中质量数检测限：</w:t>
            </w:r>
            <w:r w:rsidRPr="0099559E">
              <w:rPr>
                <w:rFonts w:ascii="宋体" w:eastAsia="宋体" w:hAnsi="宋体" w:cs="宋体" w:hint="eastAsia"/>
                <w:kern w:val="0"/>
                <w:sz w:val="14"/>
                <w:szCs w:val="14"/>
                <w:vertAlign w:val="superscript"/>
              </w:rPr>
              <w:t>115</w:t>
            </w:r>
            <w:r w:rsidRPr="0099559E">
              <w:rPr>
                <w:rFonts w:ascii="宋体" w:eastAsia="宋体" w:hAnsi="宋体" w:cs="宋体" w:hint="eastAsia"/>
                <w:kern w:val="0"/>
                <w:szCs w:val="21"/>
              </w:rPr>
              <w:t xml:space="preserve">In ≤ 0.05 </w:t>
            </w:r>
            <w:proofErr w:type="spellStart"/>
            <w:r w:rsidRPr="0099559E">
              <w:rPr>
                <w:rFonts w:ascii="宋体" w:eastAsia="宋体" w:hAnsi="宋体" w:cs="宋体" w:hint="eastAsia"/>
                <w:kern w:val="0"/>
                <w:szCs w:val="21"/>
              </w:rPr>
              <w:t>ppt</w:t>
            </w:r>
            <w:proofErr w:type="spellEnd"/>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4.6.</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高质量数检测限：</w:t>
            </w:r>
            <w:r w:rsidRPr="0099559E">
              <w:rPr>
                <w:rFonts w:ascii="宋体" w:eastAsia="宋体" w:hAnsi="宋体" w:cs="宋体" w:hint="eastAsia"/>
                <w:kern w:val="0"/>
                <w:sz w:val="14"/>
                <w:szCs w:val="14"/>
                <w:vertAlign w:val="superscript"/>
              </w:rPr>
              <w:t>209</w:t>
            </w:r>
            <w:r w:rsidRPr="0099559E">
              <w:rPr>
                <w:rFonts w:ascii="宋体" w:eastAsia="宋体" w:hAnsi="宋体" w:cs="宋体" w:hint="eastAsia"/>
                <w:kern w:val="0"/>
                <w:szCs w:val="21"/>
              </w:rPr>
              <w:t xml:space="preserve">Bi ≤ 0.08 </w:t>
            </w:r>
            <w:proofErr w:type="spellStart"/>
            <w:r w:rsidRPr="0099559E">
              <w:rPr>
                <w:rFonts w:ascii="宋体" w:eastAsia="宋体" w:hAnsi="宋体" w:cs="宋体" w:hint="eastAsia"/>
                <w:kern w:val="0"/>
                <w:szCs w:val="21"/>
              </w:rPr>
              <w:t>ppt</w:t>
            </w:r>
            <w:proofErr w:type="spellEnd"/>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4.7.</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 xml:space="preserve">背景：≤1.0 cps （在质量数9 </w:t>
            </w:r>
            <w:proofErr w:type="spellStart"/>
            <w:r w:rsidRPr="0099559E">
              <w:rPr>
                <w:rFonts w:ascii="宋体" w:eastAsia="宋体" w:hAnsi="宋体" w:cs="宋体" w:hint="eastAsia"/>
                <w:kern w:val="0"/>
                <w:szCs w:val="21"/>
              </w:rPr>
              <w:t>amu</w:t>
            </w:r>
            <w:proofErr w:type="spellEnd"/>
            <w:r w:rsidRPr="0099559E">
              <w:rPr>
                <w:rFonts w:ascii="宋体" w:eastAsia="宋体" w:hAnsi="宋体" w:cs="宋体" w:hint="eastAsia"/>
                <w:kern w:val="0"/>
                <w:szCs w:val="21"/>
              </w:rPr>
              <w:t>处实测背景）</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4.8.</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氧化物产率(</w:t>
            </w:r>
            <w:proofErr w:type="spellStart"/>
            <w:r w:rsidRPr="0099559E">
              <w:rPr>
                <w:rFonts w:ascii="宋体" w:eastAsia="宋体" w:hAnsi="宋体" w:cs="宋体" w:hint="eastAsia"/>
                <w:kern w:val="0"/>
                <w:szCs w:val="21"/>
              </w:rPr>
              <w:t>CeO</w:t>
            </w:r>
            <w:proofErr w:type="spellEnd"/>
            <w:r w:rsidRPr="0099559E">
              <w:rPr>
                <w:rFonts w:ascii="宋体" w:eastAsia="宋体" w:hAnsi="宋体" w:cs="宋体" w:hint="eastAsia"/>
                <w:kern w:val="0"/>
                <w:sz w:val="14"/>
                <w:szCs w:val="14"/>
                <w:vertAlign w:val="superscript"/>
              </w:rPr>
              <w:t>+</w:t>
            </w:r>
            <w:r w:rsidRPr="0099559E">
              <w:rPr>
                <w:rFonts w:ascii="宋体" w:eastAsia="宋体" w:hAnsi="宋体" w:cs="宋体" w:hint="eastAsia"/>
                <w:kern w:val="0"/>
                <w:szCs w:val="21"/>
              </w:rPr>
              <w:t>/</w:t>
            </w:r>
            <w:proofErr w:type="spellStart"/>
            <w:r w:rsidRPr="0099559E">
              <w:rPr>
                <w:rFonts w:ascii="宋体" w:eastAsia="宋体" w:hAnsi="宋体" w:cs="宋体" w:hint="eastAsia"/>
                <w:kern w:val="0"/>
                <w:szCs w:val="21"/>
              </w:rPr>
              <w:t>Ce</w:t>
            </w:r>
            <w:proofErr w:type="spellEnd"/>
            <w:r w:rsidRPr="0099559E">
              <w:rPr>
                <w:rFonts w:ascii="宋体" w:eastAsia="宋体" w:hAnsi="宋体" w:cs="宋体" w:hint="eastAsia"/>
                <w:kern w:val="0"/>
                <w:sz w:val="14"/>
                <w:szCs w:val="14"/>
                <w:vertAlign w:val="superscript"/>
              </w:rPr>
              <w:t>+</w:t>
            </w:r>
            <w:r w:rsidRPr="0099559E">
              <w:rPr>
                <w:rFonts w:ascii="宋体" w:eastAsia="宋体" w:hAnsi="宋体" w:cs="宋体" w:hint="eastAsia"/>
                <w:kern w:val="0"/>
                <w:szCs w:val="21"/>
              </w:rPr>
              <w:t>) ：≤1.5 %</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4.9.</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双电荷产率(Ce</w:t>
            </w:r>
            <w:r w:rsidRPr="0099559E">
              <w:rPr>
                <w:rFonts w:ascii="宋体" w:eastAsia="宋体" w:hAnsi="宋体" w:cs="宋体" w:hint="eastAsia"/>
                <w:kern w:val="0"/>
                <w:sz w:val="14"/>
                <w:szCs w:val="14"/>
                <w:vertAlign w:val="superscript"/>
              </w:rPr>
              <w:t>2+</w:t>
            </w:r>
            <w:r w:rsidRPr="0099559E">
              <w:rPr>
                <w:rFonts w:ascii="宋体" w:eastAsia="宋体" w:hAnsi="宋体" w:cs="宋体" w:hint="eastAsia"/>
                <w:kern w:val="0"/>
                <w:szCs w:val="21"/>
              </w:rPr>
              <w:t>/</w:t>
            </w:r>
            <w:proofErr w:type="spellStart"/>
            <w:r w:rsidRPr="0099559E">
              <w:rPr>
                <w:rFonts w:ascii="宋体" w:eastAsia="宋体" w:hAnsi="宋体" w:cs="宋体" w:hint="eastAsia"/>
                <w:kern w:val="0"/>
                <w:szCs w:val="21"/>
              </w:rPr>
              <w:t>Ce</w:t>
            </w:r>
            <w:proofErr w:type="spellEnd"/>
            <w:r w:rsidRPr="0099559E">
              <w:rPr>
                <w:rFonts w:ascii="宋体" w:eastAsia="宋体" w:hAnsi="宋体" w:cs="宋体" w:hint="eastAsia"/>
                <w:kern w:val="0"/>
                <w:sz w:val="14"/>
                <w:szCs w:val="14"/>
                <w:vertAlign w:val="superscript"/>
              </w:rPr>
              <w:t>+</w:t>
            </w:r>
            <w:r w:rsidRPr="0099559E">
              <w:rPr>
                <w:rFonts w:ascii="宋体" w:eastAsia="宋体" w:hAnsi="宋体" w:cs="宋体" w:hint="eastAsia"/>
                <w:kern w:val="0"/>
                <w:szCs w:val="21"/>
              </w:rPr>
              <w:t>)：≤3.0 %</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4.10.</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短期稳定性(RSD)： ≤2% (20 min) （须在1ppb 标准溶液中测定）</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4.11.</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长期稳定性(RSD)：≤3% (2 hrs) （须在1ppb 标准溶液中测定）</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Agilent TT Cond" w:eastAsia="宋体" w:hAnsi="Agilent TT Cond" w:cs="宋体"/>
                <w:kern w:val="0"/>
                <w:szCs w:val="21"/>
              </w:rPr>
              <w:t>4.12.</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kern w:val="0"/>
                <w:szCs w:val="21"/>
              </w:rPr>
              <w:t>超痕量分析和超高灵敏度检测能力：同一分析方法，元素检测限和灵敏度须达到如下要求，</w:t>
            </w:r>
            <w:r w:rsidRPr="0099559E">
              <w:rPr>
                <w:rFonts w:ascii="宋体" w:eastAsia="宋体" w:hAnsi="宋体" w:cs="宋体" w:hint="eastAsia"/>
                <w:kern w:val="0"/>
                <w:sz w:val="14"/>
                <w:szCs w:val="14"/>
                <w:vertAlign w:val="superscript"/>
              </w:rPr>
              <w:t>238</w:t>
            </w:r>
            <w:r w:rsidRPr="0099559E">
              <w:rPr>
                <w:rFonts w:ascii="宋体" w:eastAsia="宋体" w:hAnsi="宋体" w:cs="宋体" w:hint="eastAsia"/>
                <w:kern w:val="0"/>
                <w:szCs w:val="21"/>
              </w:rPr>
              <w:t xml:space="preserve">U检出限&lt;0.002 </w:t>
            </w:r>
            <w:proofErr w:type="spellStart"/>
            <w:r w:rsidRPr="0099559E">
              <w:rPr>
                <w:rFonts w:ascii="宋体" w:eastAsia="宋体" w:hAnsi="宋体" w:cs="宋体" w:hint="eastAsia"/>
                <w:kern w:val="0"/>
                <w:szCs w:val="21"/>
              </w:rPr>
              <w:t>ppt</w:t>
            </w:r>
            <w:proofErr w:type="spellEnd"/>
            <w:r w:rsidRPr="0099559E">
              <w:rPr>
                <w:rFonts w:ascii="宋体" w:eastAsia="宋体" w:hAnsi="宋体" w:cs="宋体" w:hint="eastAsia"/>
                <w:kern w:val="0"/>
                <w:szCs w:val="21"/>
              </w:rPr>
              <w:t>，</w:t>
            </w:r>
            <w:r w:rsidRPr="0099559E">
              <w:rPr>
                <w:rFonts w:ascii="宋体" w:eastAsia="宋体" w:hAnsi="宋体" w:cs="宋体" w:hint="eastAsia"/>
                <w:kern w:val="0"/>
                <w:sz w:val="14"/>
                <w:szCs w:val="14"/>
                <w:vertAlign w:val="superscript"/>
              </w:rPr>
              <w:t>238</w:t>
            </w:r>
            <w:r w:rsidRPr="0099559E">
              <w:rPr>
                <w:rFonts w:ascii="宋体" w:eastAsia="宋体" w:hAnsi="宋体" w:cs="宋体" w:hint="eastAsia"/>
                <w:kern w:val="0"/>
                <w:szCs w:val="21"/>
              </w:rPr>
              <w:t xml:space="preserve">U灵敏度&gt;1300 </w:t>
            </w:r>
            <w:proofErr w:type="spellStart"/>
            <w:r w:rsidRPr="0099559E">
              <w:rPr>
                <w:rFonts w:ascii="宋体" w:eastAsia="宋体" w:hAnsi="宋体" w:cs="宋体" w:hint="eastAsia"/>
                <w:kern w:val="0"/>
                <w:szCs w:val="21"/>
              </w:rPr>
              <w:t>Mcps</w:t>
            </w:r>
            <w:proofErr w:type="spellEnd"/>
            <w:r w:rsidRPr="0099559E">
              <w:rPr>
                <w:rFonts w:ascii="宋体" w:eastAsia="宋体" w:hAnsi="宋体" w:cs="宋体" w:hint="eastAsia"/>
                <w:kern w:val="0"/>
                <w:szCs w:val="21"/>
              </w:rPr>
              <w:t>/</w:t>
            </w:r>
            <w:proofErr w:type="spellStart"/>
            <w:r w:rsidRPr="0099559E">
              <w:rPr>
                <w:rFonts w:ascii="宋体" w:eastAsia="宋体" w:hAnsi="宋体" w:cs="宋体" w:hint="eastAsia"/>
                <w:kern w:val="0"/>
                <w:szCs w:val="21"/>
              </w:rPr>
              <w:t>ppm</w:t>
            </w:r>
            <w:proofErr w:type="spellEnd"/>
            <w:r w:rsidRPr="0099559E">
              <w:rPr>
                <w:rFonts w:ascii="宋体" w:eastAsia="宋体" w:hAnsi="宋体" w:cs="宋体" w:hint="eastAsia"/>
                <w:kern w:val="0"/>
                <w:szCs w:val="21"/>
              </w:rPr>
              <w:t>；</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4.13  4.1~4.9指标须在同一条件下测定</w:t>
            </w:r>
          </w:p>
          <w:p w:rsidR="0099559E" w:rsidRPr="0099559E" w:rsidRDefault="0099559E" w:rsidP="0099559E">
            <w:pPr>
              <w:widowControl/>
              <w:spacing w:before="0" w:beforeAutospacing="0" w:after="0" w:afterAutospacing="0" w:line="360" w:lineRule="auto"/>
              <w:ind w:left="360" w:hanging="360"/>
              <w:jc w:val="left"/>
              <w:rPr>
                <w:rFonts w:ascii="宋体" w:eastAsia="宋体" w:hAnsi="宋体" w:cs="宋体" w:hint="eastAsia"/>
                <w:kern w:val="0"/>
                <w:szCs w:val="21"/>
              </w:rPr>
            </w:pPr>
            <w:r w:rsidRPr="0099559E">
              <w:rPr>
                <w:rFonts w:ascii="Agilent TT CondLight" w:eastAsia="宋体" w:hAnsi="Agilent TT CondLight" w:cs="宋体"/>
                <w:b/>
                <w:bCs/>
                <w:kern w:val="0"/>
                <w:szCs w:val="21"/>
              </w:rPr>
              <w:t>5.</w:t>
            </w:r>
            <w:r w:rsidRPr="0099559E">
              <w:rPr>
                <w:rFonts w:ascii="Times New Roman" w:eastAsia="宋体" w:hAnsi="Times New Roman" w:cs="Times New Roman"/>
                <w:kern w:val="0"/>
                <w:sz w:val="14"/>
                <w:szCs w:val="14"/>
              </w:rPr>
              <w:t xml:space="preserve">       </w:t>
            </w:r>
            <w:r w:rsidRPr="0099559E">
              <w:rPr>
                <w:rFonts w:ascii="宋体" w:eastAsia="宋体" w:hAnsi="宋体" w:cs="宋体" w:hint="eastAsia"/>
                <w:b/>
                <w:bCs/>
                <w:kern w:val="0"/>
                <w:szCs w:val="21"/>
              </w:rPr>
              <w:t>微波消解管</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5.1 消解管内管材质：PTFE-TFM</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5.2 消解管采用自泄压设计，内置可重复使用的金属压力弹片</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5.3 消解管外壁自带多条冷却气道设计，冷却气道数量不少于10个</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5.4 消解内管管长＜130mm，加样称样方便，防止样品粘壁</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5.5 消解管内容积：50ml</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5.6消解管最高耐压：160bar，最高耐温：350℃</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5.7须配套已有的微波消解仪使用</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b/>
                <w:bCs/>
                <w:kern w:val="0"/>
                <w:szCs w:val="21"/>
              </w:rPr>
              <w:t>6 电热赶酸板</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6.1 加热功率：1500w</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6.2 电源电压：220V/50Hz</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6.3 加热定时：0-999分钟</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lastRenderedPageBreak/>
              <w:t>6.4 加热温度：室温-200℃</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6.5 外形尺寸约：300×300×330mm</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6.6 控温精度：±0.1℃</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6.7赶酸板加热孔位16位，加热孔尺寸与消解管配套</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kern w:val="0"/>
                <w:szCs w:val="21"/>
              </w:rPr>
              <w:t>6.8 须配套已有的消解管使用</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b/>
                <w:bCs/>
                <w:kern w:val="0"/>
                <w:szCs w:val="21"/>
              </w:rPr>
              <w:t>7 自动进样器</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7.1 不少于201位自动进样器。可升级为360位。</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7.2 三个待测样品托盘，每个可容纳17mm 直径样品管60个。</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7.3自动进样器配有密封罩，防止酸雾外逸危害人员健康、腐蚀仪器，防止环境灰尘污染样品。</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b/>
                <w:bCs/>
                <w:kern w:val="0"/>
                <w:szCs w:val="21"/>
              </w:rPr>
              <w:t>四、配置（必须满足：粮油中各种营养元素和有害元素的检测与确证）</w:t>
            </w:r>
          </w:p>
          <w:p w:rsidR="0099559E" w:rsidRPr="0099559E" w:rsidRDefault="0099559E" w:rsidP="0099559E">
            <w:pPr>
              <w:widowControl/>
              <w:spacing w:before="0" w:beforeAutospacing="0" w:after="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1. 电感耦合等离子体质谱仪主机1台 ，包含炬管、雾室、雾化器等进样系统、锥、离子透镜、多极杆碰撞/反应池、四极杆质量分析器及检测器；</w:t>
            </w:r>
          </w:p>
          <w:p w:rsidR="0099559E" w:rsidRPr="0099559E" w:rsidRDefault="0099559E" w:rsidP="0099559E">
            <w:pPr>
              <w:widowControl/>
              <w:spacing w:beforeAutospacing="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2. 电感耦合等离子体质谱仪操作软件1套、原厂配置计算机系统及激光打印机 1套（配置要求：Intel® 四核3.2 GHz； 4G内存；500G HDD；16倍速DVD；22吋液晶显示器，软件：Win7 64位操作系统）；</w:t>
            </w:r>
          </w:p>
          <w:p w:rsidR="0099559E" w:rsidRPr="0099559E" w:rsidRDefault="0099559E" w:rsidP="0099559E">
            <w:pPr>
              <w:widowControl/>
              <w:spacing w:beforeAutospacing="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3. 循环冷却水机1台；</w:t>
            </w:r>
          </w:p>
          <w:p w:rsidR="0099559E" w:rsidRPr="0099559E" w:rsidRDefault="0099559E" w:rsidP="0099559E">
            <w:pPr>
              <w:widowControl/>
              <w:spacing w:beforeAutospacing="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4. 原厂雾室半导体控温装置；</w:t>
            </w:r>
          </w:p>
          <w:p w:rsidR="0099559E" w:rsidRPr="0099559E" w:rsidRDefault="0099559E" w:rsidP="0099559E">
            <w:pPr>
              <w:widowControl/>
              <w:spacing w:beforeAutospacing="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5. 电感耦合等离子体质谱仪器安装调试溶液包、仪器专用工具等附件；</w:t>
            </w:r>
          </w:p>
          <w:p w:rsidR="0099559E" w:rsidRPr="0099559E" w:rsidRDefault="0099559E" w:rsidP="0099559E">
            <w:pPr>
              <w:widowControl/>
              <w:spacing w:before="0" w:beforeAutospacing="0" w:after="0" w:afterAutospacing="0" w:line="276" w:lineRule="atLeast"/>
              <w:jc w:val="left"/>
              <w:rPr>
                <w:rFonts w:ascii="宋体" w:eastAsia="宋体" w:hAnsi="宋体" w:cs="宋体" w:hint="eastAsia"/>
                <w:kern w:val="0"/>
                <w:sz w:val="16"/>
                <w:szCs w:val="16"/>
              </w:rPr>
            </w:pPr>
            <w:r w:rsidRPr="0099559E">
              <w:rPr>
                <w:rFonts w:ascii="宋体" w:eastAsia="宋体" w:hAnsi="宋体" w:cs="宋体" w:hint="eastAsia"/>
                <w:kern w:val="0"/>
                <w:szCs w:val="21"/>
              </w:rPr>
              <w:t>6. 原厂多元素内标混合液1瓶、多元素调谐液1瓶；</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7除主机标配全套进样系统外还应包括下列消耗品：</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7.1蠕动泵进样管12根</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7.2内标管12根、</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7.3废液管各12根、</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7.4镍锥1套、</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7.5炬管(含中心管)1个、</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7.6雾化器1支、</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7.7泵油2升</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lastRenderedPageBreak/>
              <w:t xml:space="preserve">8. 国内采购：三千元级的氦气减压表一块及钢瓶、伍百元级的氩气减压表两块及钢瓶； </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9.10KVA工频不间断电源UPS一台，供电≥10min。</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w:t>
            </w:r>
            <w:r w:rsidRPr="0099559E">
              <w:rPr>
                <w:rFonts w:ascii="宋体" w:eastAsia="宋体" w:hAnsi="宋体" w:cs="宋体" w:hint="eastAsia"/>
                <w:b/>
                <w:bCs/>
                <w:kern w:val="0"/>
                <w:szCs w:val="21"/>
              </w:rPr>
              <w:t>10. 自动进样器一套</w:t>
            </w:r>
          </w:p>
          <w:p w:rsidR="0099559E" w:rsidRPr="0099559E" w:rsidRDefault="0099559E" w:rsidP="0099559E">
            <w:pPr>
              <w:widowControl/>
              <w:spacing w:before="0" w:beforeAutospacing="0" w:after="120" w:afterAutospacing="0" w:line="360" w:lineRule="auto"/>
              <w:jc w:val="left"/>
              <w:rPr>
                <w:rFonts w:ascii="宋体" w:eastAsia="宋体" w:hAnsi="宋体" w:cs="宋体" w:hint="eastAsia"/>
                <w:kern w:val="0"/>
                <w:szCs w:val="21"/>
              </w:rPr>
            </w:pPr>
            <w:r w:rsidRPr="0099559E">
              <w:rPr>
                <w:rFonts w:ascii="宋体" w:eastAsia="宋体" w:hAnsi="宋体" w:cs="宋体" w:hint="eastAsia"/>
                <w:kern w:val="0"/>
                <w:szCs w:val="21"/>
              </w:rPr>
              <w:t>*</w:t>
            </w:r>
            <w:r w:rsidRPr="0099559E">
              <w:rPr>
                <w:rFonts w:ascii="宋体" w:eastAsia="宋体" w:hAnsi="宋体" w:cs="宋体" w:hint="eastAsia"/>
                <w:b/>
                <w:bCs/>
                <w:kern w:val="0"/>
                <w:szCs w:val="21"/>
              </w:rPr>
              <w:t>11.微波消解管（32个）</w:t>
            </w:r>
          </w:p>
          <w:p w:rsidR="0099559E" w:rsidRPr="0099559E" w:rsidRDefault="0099559E" w:rsidP="0099559E">
            <w:pPr>
              <w:widowControl/>
              <w:spacing w:before="0" w:beforeAutospacing="0" w:after="0" w:afterAutospacing="0" w:line="360" w:lineRule="auto"/>
              <w:jc w:val="left"/>
              <w:rPr>
                <w:rFonts w:ascii="宋体" w:eastAsia="宋体" w:hAnsi="宋体" w:cs="宋体"/>
                <w:kern w:val="0"/>
                <w:sz w:val="24"/>
                <w:szCs w:val="24"/>
              </w:rPr>
            </w:pPr>
            <w:r w:rsidRPr="0099559E">
              <w:rPr>
                <w:rFonts w:ascii="宋体" w:eastAsia="宋体" w:hAnsi="宋体" w:cs="宋体" w:hint="eastAsia"/>
                <w:kern w:val="0"/>
                <w:sz w:val="24"/>
                <w:szCs w:val="24"/>
              </w:rPr>
              <w:t>*</w:t>
            </w:r>
            <w:r w:rsidRPr="0099559E">
              <w:rPr>
                <w:rFonts w:ascii="宋体" w:eastAsia="宋体" w:hAnsi="宋体" w:cs="宋体" w:hint="eastAsia"/>
                <w:b/>
                <w:bCs/>
                <w:kern w:val="0"/>
                <w:sz w:val="24"/>
                <w:szCs w:val="24"/>
              </w:rPr>
              <w:t>12.</w:t>
            </w:r>
            <w:r w:rsidRPr="0099559E">
              <w:rPr>
                <w:rFonts w:ascii="宋体" w:eastAsia="宋体" w:hAnsi="宋体" w:cs="宋体" w:hint="eastAsia"/>
                <w:b/>
                <w:bCs/>
                <w:kern w:val="0"/>
                <w:szCs w:val="21"/>
              </w:rPr>
              <w:t>电热赶酸板（1台）</w:t>
            </w:r>
          </w:p>
        </w:tc>
      </w:tr>
    </w:tbl>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ilent TT Cond">
    <w:altName w:val="Times New Roman"/>
    <w:panose1 w:val="00000000000000000000"/>
    <w:charset w:val="00"/>
    <w:family w:val="roman"/>
    <w:notTrueType/>
    <w:pitch w:val="default"/>
    <w:sig w:usb0="00000000" w:usb1="00000000" w:usb2="00000000" w:usb3="00000000" w:csb0="00000000" w:csb1="00000000"/>
  </w:font>
  <w:font w:name="Agilent TT Con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941"/>
    <w:multiLevelType w:val="multilevel"/>
    <w:tmpl w:val="9BC4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559E"/>
    <w:rsid w:val="006049F7"/>
    <w:rsid w:val="0099559E"/>
    <w:rsid w:val="00AC2CC6"/>
    <w:rsid w:val="00DE2730"/>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59E"/>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3658805">
      <w:bodyDiv w:val="1"/>
      <w:marLeft w:val="0"/>
      <w:marRight w:val="0"/>
      <w:marTop w:val="0"/>
      <w:marBottom w:val="0"/>
      <w:divBdr>
        <w:top w:val="none" w:sz="0" w:space="0" w:color="auto"/>
        <w:left w:val="none" w:sz="0" w:space="0" w:color="auto"/>
        <w:bottom w:val="none" w:sz="0" w:space="0" w:color="auto"/>
        <w:right w:val="none" w:sz="0" w:space="0" w:color="auto"/>
      </w:divBdr>
      <w:divsChild>
        <w:div w:id="2092964597">
          <w:marLeft w:val="0"/>
          <w:marRight w:val="0"/>
          <w:marTop w:val="0"/>
          <w:marBottom w:val="0"/>
          <w:divBdr>
            <w:top w:val="none" w:sz="0" w:space="0" w:color="auto"/>
            <w:left w:val="none" w:sz="0" w:space="0" w:color="auto"/>
            <w:bottom w:val="none" w:sz="0" w:space="0" w:color="auto"/>
            <w:right w:val="none" w:sz="0" w:space="0" w:color="auto"/>
          </w:divBdr>
          <w:divsChild>
            <w:div w:id="1755468242">
              <w:marLeft w:val="0"/>
              <w:marRight w:val="0"/>
              <w:marTop w:val="0"/>
              <w:marBottom w:val="0"/>
              <w:divBdr>
                <w:top w:val="none" w:sz="0" w:space="0" w:color="auto"/>
                <w:left w:val="none" w:sz="0" w:space="0" w:color="auto"/>
                <w:bottom w:val="none" w:sz="0" w:space="0" w:color="auto"/>
                <w:right w:val="none" w:sz="0" w:space="0" w:color="auto"/>
              </w:divBdr>
              <w:divsChild>
                <w:div w:id="724377698">
                  <w:marLeft w:val="0"/>
                  <w:marRight w:val="272"/>
                  <w:marTop w:val="272"/>
                  <w:marBottom w:val="68"/>
                  <w:divBdr>
                    <w:top w:val="none" w:sz="0" w:space="0" w:color="auto"/>
                    <w:left w:val="none" w:sz="0" w:space="0" w:color="auto"/>
                    <w:bottom w:val="none" w:sz="0" w:space="0" w:color="auto"/>
                    <w:right w:val="none" w:sz="0" w:space="0" w:color="auto"/>
                  </w:divBdr>
                  <w:divsChild>
                    <w:div w:id="686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4040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2017-08-15T07:17:00Z</dcterms:created>
  <dcterms:modified xsi:type="dcterms:W3CDTF">2017-08-15T07:18:00Z</dcterms:modified>
</cp:coreProperties>
</file>