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ED" w:rsidRPr="00DF0EED" w:rsidRDefault="00DF0EED" w:rsidP="00DF0EED">
      <w:pPr>
        <w:keepNext/>
        <w:keepLines/>
        <w:spacing w:beforeLines="25" w:before="78" w:afterLines="25" w:after="78" w:line="40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DF0EED"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  <w:t>电感耦合等离子体质谱仪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DF0EED">
        <w:rPr>
          <w:rFonts w:ascii="宋体" w:eastAsia="宋体" w:hAnsi="宋体" w:cs="Times New Roman"/>
          <w:b/>
          <w:sz w:val="24"/>
          <w:szCs w:val="24"/>
        </w:rPr>
        <w:t>一、技术规格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1.  用途和功能</w:t>
      </w:r>
    </w:p>
    <w:p w:rsidR="00DF0EED" w:rsidRPr="00DF0EED" w:rsidRDefault="00DF0EED" w:rsidP="00DF0EED">
      <w:pPr>
        <w:spacing w:line="360" w:lineRule="auto"/>
        <w:ind w:left="426"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电感耦合等离子体质谱仪用于包括土壤、污泥、废弃物、</w:t>
      </w:r>
      <w:hyperlink r:id="rId7" w:tgtFrame="_self" w:history="1">
        <w:r w:rsidRPr="00DF0EED">
          <w:rPr>
            <w:rFonts w:ascii="宋体" w:eastAsia="宋体" w:hAnsi="宋体" w:cs="Times New Roman"/>
            <w:color w:val="000000"/>
            <w:sz w:val="24"/>
            <w:szCs w:val="24"/>
          </w:rPr>
          <w:t>饮用水</w:t>
        </w:r>
      </w:hyperlink>
      <w:r w:rsidRPr="00DF0EED">
        <w:rPr>
          <w:rFonts w:ascii="宋体" w:eastAsia="宋体" w:hAnsi="宋体" w:cs="Times New Roman"/>
          <w:color w:val="000000"/>
          <w:sz w:val="24"/>
          <w:szCs w:val="24"/>
        </w:rPr>
        <w:t>、地表水、地下水等各种样品中痕量元素的定性、定量检测分析，并具有扩展功能，可与液相、单颗粒、单细胞、激光烧蚀等附件联机分析。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ab/>
        <w:t>工作条件</w:t>
      </w:r>
    </w:p>
    <w:p w:rsidR="00DF0EED" w:rsidRPr="00DF0EED" w:rsidRDefault="00DF0EED" w:rsidP="00DF0EED">
      <w:pPr>
        <w:spacing w:line="360" w:lineRule="auto"/>
        <w:ind w:leftChars="202" w:left="42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2.1  工作电压：220V±10%，单相</w:t>
      </w:r>
    </w:p>
    <w:p w:rsidR="00DF0EED" w:rsidRPr="00DF0EED" w:rsidRDefault="00DF0EED" w:rsidP="00DF0EED">
      <w:pPr>
        <w:spacing w:line="360" w:lineRule="auto"/>
        <w:ind w:leftChars="202" w:left="42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2.2  工作温度：18-28</w:t>
      </w:r>
      <w:r w:rsidRPr="00DF0EED">
        <w:rPr>
          <w:rFonts w:ascii="宋体" w:eastAsia="宋体" w:hAnsi="宋体" w:cs="宋体" w:hint="eastAsia"/>
          <w:color w:val="000000"/>
          <w:sz w:val="24"/>
          <w:szCs w:val="24"/>
        </w:rPr>
        <w:t>℃</w:t>
      </w:r>
    </w:p>
    <w:p w:rsidR="00DF0EED" w:rsidRPr="00DF0EED" w:rsidRDefault="00DF0EED" w:rsidP="00DF0EED">
      <w:pPr>
        <w:spacing w:line="360" w:lineRule="auto"/>
        <w:ind w:leftChars="202" w:left="42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2.3  相对湿度：20-70%</w:t>
      </w:r>
    </w:p>
    <w:p w:rsidR="00DF0EED" w:rsidRPr="00DF0EED" w:rsidRDefault="00DF0EED" w:rsidP="00DF0EED">
      <w:pPr>
        <w:spacing w:line="360" w:lineRule="auto"/>
        <w:ind w:leftChars="202" w:left="42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2.4  可连续运行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ab/>
        <w:t>技术参数要求</w:t>
      </w:r>
    </w:p>
    <w:p w:rsidR="00DF0EED" w:rsidRPr="00DF0EED" w:rsidRDefault="00DF0EED" w:rsidP="00DF0EED">
      <w:pPr>
        <w:spacing w:line="360" w:lineRule="auto"/>
        <w:ind w:left="851" w:hanging="42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*3.1  仪器检出限：9Be&lt;0.5ppt；115In &lt;0.1ppt；209Bi &lt;0.1ppt</w:t>
      </w:r>
    </w:p>
    <w:p w:rsidR="00DF0EED" w:rsidRPr="00DF0EED" w:rsidRDefault="00DF0EED" w:rsidP="00DF0EED">
      <w:pPr>
        <w:spacing w:line="360" w:lineRule="auto"/>
        <w:ind w:left="851" w:hanging="42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*3.2  灵敏度（</w:t>
      </w:r>
      <w:proofErr w:type="spell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Mcps</w:t>
      </w:r>
      <w:proofErr w:type="spell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/mg.L</w:t>
      </w:r>
      <w:r w:rsidRPr="00DF0EED">
        <w:rPr>
          <w:rFonts w:ascii="宋体" w:eastAsia="宋体" w:hAnsi="宋体" w:cs="Times New Roman"/>
          <w:color w:val="000000"/>
          <w:sz w:val="24"/>
          <w:szCs w:val="24"/>
          <w:vertAlign w:val="superscript"/>
        </w:rPr>
        <w:t>-1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）：9Be&gt;6；115In&gt;125；209Bi&gt;100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3.3  二价离子比率：</w:t>
      </w:r>
      <w:proofErr w:type="spell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Ce</w:t>
      </w:r>
      <w:proofErr w:type="spell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++/</w:t>
      </w:r>
      <w:proofErr w:type="spell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Ce</w:t>
      </w:r>
      <w:proofErr w:type="spell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&lt;3%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3.4  氧化物比率：</w:t>
      </w:r>
      <w:proofErr w:type="spell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CeO</w:t>
      </w:r>
      <w:proofErr w:type="spell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/</w:t>
      </w:r>
      <w:proofErr w:type="spell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Ce</w:t>
      </w:r>
      <w:proofErr w:type="spell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&lt;2%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3.5  背景噪音：&lt;1cps@220amu</w:t>
      </w:r>
    </w:p>
    <w:p w:rsidR="00DF0EED" w:rsidRPr="00DF0EED" w:rsidRDefault="00DF0EED" w:rsidP="00DF0EED">
      <w:pPr>
        <w:spacing w:line="360" w:lineRule="auto"/>
        <w:ind w:left="851" w:hanging="42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*3.6  分辨率：0.5u-1.0u（5-225amu）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3.7  质量准确性 ：±0.1u（209Bi）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#3.8  质量稳定性：0.03u/24Hr（115In），需提供国家级检定机构检定证书作为证明文件</w:t>
      </w:r>
    </w:p>
    <w:p w:rsidR="00DF0EED" w:rsidRPr="00DF0EED" w:rsidRDefault="00DF0EED" w:rsidP="00DF0EED">
      <w:pPr>
        <w:spacing w:line="360" w:lineRule="auto"/>
        <w:ind w:left="851" w:hanging="42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#3.9  丰度灵敏度：低质量端≤5×10</w:t>
      </w:r>
      <w:r w:rsidRPr="00DF0EED">
        <w:rPr>
          <w:rFonts w:ascii="宋体" w:eastAsia="宋体" w:hAnsi="宋体" w:cs="Times New Roman"/>
          <w:color w:val="000000"/>
          <w:sz w:val="24"/>
          <w:szCs w:val="24"/>
          <w:vertAlign w:val="superscript"/>
        </w:rPr>
        <w:t>-7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（133Cs）；高质量端≤1×10</w:t>
      </w:r>
      <w:r w:rsidRPr="00DF0EED">
        <w:rPr>
          <w:rFonts w:ascii="宋体" w:eastAsia="宋体" w:hAnsi="宋体" w:cs="Times New Roman"/>
          <w:color w:val="000000"/>
          <w:sz w:val="24"/>
          <w:szCs w:val="24"/>
          <w:vertAlign w:val="superscript"/>
        </w:rPr>
        <w:t>-7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（133Cs）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3.10 短期稳定性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RSD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）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：≤2%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3.11 长期稳定性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RSD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）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：≤3%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3.12 质量数范围：5-260amu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3.13 进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样系统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雾化器：同心雾化器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#3.14 雾室：标配电子制冷旋流雾室，最低控温温度：≤-10</w:t>
      </w:r>
      <w:r w:rsidRPr="00DF0EED">
        <w:rPr>
          <w:rFonts w:ascii="宋体" w:eastAsia="宋体" w:hAnsi="宋体" w:cs="宋体" w:hint="eastAsia"/>
          <w:color w:val="000000"/>
          <w:sz w:val="24"/>
          <w:szCs w:val="24"/>
        </w:rPr>
        <w:t>℃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，有效降低氧化物产率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lastRenderedPageBreak/>
        <w:t>#3.15 蠕动泵：四通道蠕动泵，废液无需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蠕动泵即可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稳定排出，需提供仪器硬件图片证明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 xml:space="preserve">3.16 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炬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管：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一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体式小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炬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管，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矩管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X、Y、Z三维位置由计算机调节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3.17 RF发生器：27.12MHz等离子体固态射频发生器，最低功率≤0.5KW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#3.18 气体控制：4个质量流量计精确控制冷却气、辅助气、载气和碰撞气，所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有气路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的气体流量连续可调，需提供软件截图证明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#3.19 氩气气体消耗：等离子体稳定运行时，正常工作模式氩气总流量&lt;11L/min，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主机标配节能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模式，在节能模式下等离子气流量≤5L/min，需提供软件截图和应用文章证明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#3.20 气体纯度要求：使用99.95%纯度氩气的点火成功率即可达到100%（普通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纯氩即可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稳定运行，无需高纯氩气），需提供官方材料证明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3.21 采样锥：孔径≥1.1mm，保证离子的有效进入，提高灵敏度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3.22 截取锥：孔径≤0.35mm，减少仪器污染</w:t>
      </w:r>
    </w:p>
    <w:p w:rsidR="00DF0EED" w:rsidRPr="00DF0EED" w:rsidRDefault="00DF0EED" w:rsidP="00DF0EED">
      <w:pPr>
        <w:spacing w:line="360" w:lineRule="auto"/>
        <w:ind w:left="1134" w:hanging="567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3.23 离子透镜：通过施加电场的作用使带电离子聚焦，避免使用直角偏转离子技术造成灵敏度损失，有效去除光子和中性粒子</w:t>
      </w:r>
    </w:p>
    <w:p w:rsidR="00DF0EED" w:rsidRPr="00DF0EED" w:rsidRDefault="00DF0EED" w:rsidP="00DF0EED">
      <w:pPr>
        <w:spacing w:line="360" w:lineRule="auto"/>
        <w:ind w:left="851" w:hanging="420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#3.24 碰撞反应池：八极杆碰撞反应池，简单方式有效消除干扰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#3.25 质量分析器：预四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极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杆：使用预四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极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杆设计，降低污染，主四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极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杆：双曲面四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极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杆，全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钼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材质</w:t>
      </w:r>
    </w:p>
    <w:p w:rsidR="00DF0EED" w:rsidRPr="00DF0EED" w:rsidRDefault="00DF0EED" w:rsidP="00DF0EED">
      <w:pPr>
        <w:spacing w:line="360" w:lineRule="auto"/>
        <w:ind w:left="1134" w:hanging="567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3.26 标配方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法开发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助手，能够自动给出最优质量数、内标元素及内标浓度，并自动推荐工作曲线浓度范围，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需软件截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图证明</w:t>
      </w:r>
    </w:p>
    <w:p w:rsidR="00DF0EED" w:rsidRPr="00DF0EED" w:rsidRDefault="00DF0EED" w:rsidP="00DF0EED">
      <w:pPr>
        <w:spacing w:line="360" w:lineRule="auto"/>
        <w:ind w:left="1134" w:hanging="70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 xml:space="preserve">#3.27 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标配数据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诊断助手，能够对测定结果的正确性进行判断，给出“最佳”、“好”和“不好”的判断结果，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需软件截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图证明</w:t>
      </w:r>
    </w:p>
    <w:p w:rsidR="00DF0EED" w:rsidRPr="00DF0EED" w:rsidRDefault="00DF0EED" w:rsidP="00DF0EED">
      <w:pPr>
        <w:spacing w:line="360" w:lineRule="auto"/>
        <w:ind w:left="1134" w:hanging="567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3.28软件可以完成多元素的半定量和定量的快速分析，支持标准曲线定量法、标准加入法等分析方法，并可以实现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3.29 可与现有离子色谱实现联机分析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3.30 软件系统具备瞬间信号分析能力，能与LA、单纳米颗粒等系统联用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3.31 须提供在售全新仪器，不得为停产型号或翻新机</w:t>
      </w:r>
    </w:p>
    <w:p w:rsidR="00DF0EED" w:rsidRPr="00DF0EED" w:rsidRDefault="00DF0EED" w:rsidP="00DF0EED">
      <w:pPr>
        <w:spacing w:line="360" w:lineRule="auto"/>
        <w:ind w:leftChars="229" w:left="1134" w:hangingChars="272" w:hanging="653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#3.32 具有节能模式，使得仪器在闲时等离子气消耗降低至5L/min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功率降低至0.5kW</w:t>
      </w:r>
      <w:r w:rsidRPr="00DF0EED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>进一步降低氩气消耗和能量消耗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3.33 中文内核操作软件，对仪器进行控制及报告输出，全部为中文模块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lastRenderedPageBreak/>
        <w:t>4.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ab/>
        <w:t>产品配置要求</w:t>
      </w:r>
    </w:p>
    <w:p w:rsidR="00DF0EED" w:rsidRPr="00DF0EED" w:rsidRDefault="00DF0EED" w:rsidP="00DF0EED">
      <w:pPr>
        <w:widowControl/>
        <w:tabs>
          <w:tab w:val="left" w:pos="851"/>
        </w:tabs>
        <w:spacing w:beforeLines="25" w:before="78" w:afterLines="25" w:after="78"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为达到上述技术指标，投标产品应配置必要的硬、软件。</w:t>
      </w:r>
      <w:r w:rsidRPr="00DF0EED">
        <w:rPr>
          <w:rFonts w:ascii="宋体" w:eastAsia="宋体" w:hAnsi="宋体" w:cs="Times New Roman"/>
          <w:color w:val="000000"/>
          <w:kern w:val="0"/>
          <w:sz w:val="24"/>
          <w:szCs w:val="24"/>
        </w:rPr>
        <w:t>投标产品不低于以下配置：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4.1  ICP-MS主机               1台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4.2  中文版控制软件系统        1套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4.3  气体调节阀                2个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4.4  自动内标组件              1个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4.5  液体自动进样器            1台</w:t>
      </w:r>
    </w:p>
    <w:p w:rsidR="00DF0EED" w:rsidRPr="00DF0EED" w:rsidRDefault="00DF0EED" w:rsidP="00DF0EED">
      <w:pPr>
        <w:spacing w:line="360" w:lineRule="auto"/>
        <w:ind w:left="851" w:hanging="284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4.6  循环水冷系统              1台</w:t>
      </w:r>
    </w:p>
    <w:p w:rsidR="00DF0EED" w:rsidRPr="00DF0EED" w:rsidRDefault="00DF0EED" w:rsidP="00DF0EED">
      <w:pPr>
        <w:spacing w:line="360" w:lineRule="auto"/>
        <w:ind w:left="1134" w:hanging="567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4.7  消耗品（除主机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标配外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，增加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炬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管5套、屏蔽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炬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5个，雾化器5个、采样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锥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5个，截取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锥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5个，泵油5瓶，内标软管20根，样品软管30根，内标组件样品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吸入管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2根）  1批</w:t>
      </w:r>
    </w:p>
    <w:p w:rsidR="00DF0EED" w:rsidRPr="00DF0EED" w:rsidRDefault="00DF0EED" w:rsidP="00DF0EED">
      <w:pPr>
        <w:spacing w:line="360" w:lineRule="auto"/>
        <w:ind w:left="1134" w:hanging="567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4.8  样品前处理配套（自动微波消解仪、</w:t>
      </w:r>
      <w:proofErr w:type="gramStart"/>
      <w:r w:rsidRPr="00DF0EED">
        <w:rPr>
          <w:rFonts w:ascii="宋体" w:eastAsia="宋体" w:hAnsi="宋体" w:cs="Times New Roman"/>
          <w:color w:val="000000"/>
          <w:sz w:val="24"/>
          <w:szCs w:val="24"/>
        </w:rPr>
        <w:t>赶酸板</w:t>
      </w:r>
      <w:proofErr w:type="gramEnd"/>
      <w:r w:rsidRPr="00DF0EED">
        <w:rPr>
          <w:rFonts w:ascii="宋体" w:eastAsia="宋体" w:hAnsi="宋体" w:cs="Times New Roman"/>
          <w:color w:val="000000"/>
          <w:sz w:val="24"/>
          <w:szCs w:val="24"/>
        </w:rPr>
        <w:t>，消解管罐、盖子、密封等）1套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b/>
          <w:color w:val="000000"/>
          <w:sz w:val="24"/>
          <w:szCs w:val="24"/>
        </w:rPr>
        <w:t>二、技术文件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1.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ab/>
        <w:t>合同签署后提供设备的安装条件及实验室条件说明。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DF0EED">
        <w:rPr>
          <w:rFonts w:ascii="宋体" w:eastAsia="宋体" w:hAnsi="宋体" w:cs="Times New Roman"/>
          <w:color w:val="000000"/>
          <w:sz w:val="24"/>
          <w:szCs w:val="24"/>
        </w:rPr>
        <w:tab/>
        <w:t>随机提供设备的原厂操作手册、维护手册、服务手册及保修卡等资料。</w:t>
      </w:r>
    </w:p>
    <w:p w:rsidR="00DF0EED" w:rsidRPr="00DF0EED" w:rsidRDefault="00DF0EED" w:rsidP="00DF0EED">
      <w:pPr>
        <w:spacing w:beforeLines="25" w:before="78" w:afterLines="25" w:after="78"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b/>
          <w:color w:val="000000"/>
          <w:sz w:val="24"/>
          <w:szCs w:val="24"/>
        </w:rPr>
        <w:t>三、技术服务</w:t>
      </w:r>
    </w:p>
    <w:p w:rsidR="00DF0EED" w:rsidRPr="00DF0EED" w:rsidRDefault="00DF0EED" w:rsidP="00DF0EED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1.  免费现场安装调试，并在现场对用户进行仪器操作和日常维护的基本培训。</w:t>
      </w:r>
    </w:p>
    <w:p w:rsidR="00DF0EED" w:rsidRPr="00DF0EED" w:rsidRDefault="00DF0EED" w:rsidP="00DF0EED">
      <w:pPr>
        <w:spacing w:line="360" w:lineRule="auto"/>
        <w:ind w:left="425" w:hangingChars="177" w:hanging="425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2.  供应商在国内必须设有分析仪器培训中心，为用户提供现场及厂家的正式培训，包括仪器的原理、操作、数据处理、基本维护等。</w:t>
      </w:r>
    </w:p>
    <w:p w:rsidR="00DF0EED" w:rsidRPr="00DF0EED" w:rsidRDefault="00DF0EED" w:rsidP="00DF0EED">
      <w:pPr>
        <w:spacing w:line="360" w:lineRule="auto"/>
        <w:ind w:left="425" w:hangingChars="177" w:hanging="425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3.  提供两年的保修服务。质保期自用户签字验收之日起算。保修期外，用户可用人民币结算。并在北京设有零部件仓库，能及时地为用户提供备品备件。</w:t>
      </w:r>
    </w:p>
    <w:p w:rsidR="00DF0EED" w:rsidRPr="00DF0EED" w:rsidRDefault="00DF0EED" w:rsidP="00DF0EED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4.  供应商提供800免费电话，为用户提供免费的电话咨询及技术服务。</w:t>
      </w:r>
    </w:p>
    <w:p w:rsidR="00DF0EED" w:rsidRPr="00DF0EED" w:rsidRDefault="00DF0EED" w:rsidP="00DF0EED">
      <w:pPr>
        <w:spacing w:line="360" w:lineRule="auto"/>
        <w:ind w:left="425" w:hangingChars="177" w:hanging="425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5.  供应商在国内必须设有专业的维修站，有专职的维修工程师及应用工程师有效保证售后维修的及时、快捷，并负责提供技术支持，24小时响应，响应后48小时到场，保证仪器的正常操作。</w:t>
      </w:r>
    </w:p>
    <w:p w:rsidR="00DF0EED" w:rsidRPr="00DF0EED" w:rsidRDefault="00DF0EED" w:rsidP="00DF0EED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6.  订货数量：1套。</w:t>
      </w:r>
    </w:p>
    <w:p w:rsidR="00DF0EED" w:rsidRPr="00DF0EED" w:rsidRDefault="00DF0EED" w:rsidP="00DF0EED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t>7.  目的港：CIP北京机场。</w:t>
      </w:r>
    </w:p>
    <w:p w:rsidR="00DF0EED" w:rsidRPr="00DF0EED" w:rsidRDefault="00DF0EED" w:rsidP="00DF0EED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DF0EED">
        <w:rPr>
          <w:rFonts w:ascii="宋体" w:eastAsia="宋体" w:hAnsi="宋体" w:cs="Times New Roman"/>
          <w:color w:val="000000"/>
          <w:sz w:val="24"/>
          <w:szCs w:val="24"/>
        </w:rPr>
        <w:lastRenderedPageBreak/>
        <w:t>8.  交货日期：合同签订后150天内交货。</w:t>
      </w:r>
    </w:p>
    <w:p w:rsidR="00DF0EED" w:rsidRPr="00DF0EED" w:rsidRDefault="00DF0EED" w:rsidP="00DF0EED">
      <w:pPr>
        <w:spacing w:line="360" w:lineRule="auto"/>
        <w:ind w:leftChars="200" w:left="420" w:firstLineChars="100" w:firstLine="241"/>
        <w:rPr>
          <w:rFonts w:ascii="宋体" w:eastAsia="宋体" w:hAnsi="宋体" w:cs="Arial"/>
          <w:b/>
          <w:sz w:val="24"/>
          <w:szCs w:val="24"/>
        </w:rPr>
      </w:pPr>
    </w:p>
    <w:p w:rsidR="00924169" w:rsidRPr="00DF0EED" w:rsidRDefault="00924169">
      <w:bookmarkStart w:id="0" w:name="_GoBack"/>
      <w:bookmarkEnd w:id="0"/>
    </w:p>
    <w:sectPr w:rsidR="00924169" w:rsidRPr="00DF0EED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 w:rsidP="00DF0EED">
      <w:r>
        <w:separator/>
      </w:r>
    </w:p>
  </w:endnote>
  <w:endnote w:type="continuationSeparator" w:id="0">
    <w:p w:rsidR="00CF493A" w:rsidRDefault="00CF493A" w:rsidP="00DF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CF493A" w:rsidP="00E30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0EED" w:rsidRPr="00DF0EED">
      <w:rPr>
        <w:noProof/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CF49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 w:rsidP="00DF0EED">
      <w:r>
        <w:separator/>
      </w:r>
    </w:p>
  </w:footnote>
  <w:footnote w:type="continuationSeparator" w:id="0">
    <w:p w:rsidR="00CF493A" w:rsidRDefault="00CF493A" w:rsidP="00DF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D1" w:rsidRDefault="00CF493A">
    <w:pPr>
      <w:pStyle w:val="a3"/>
      <w:jc w:val="both"/>
    </w:pPr>
    <w:r w:rsidRPr="00690325">
      <w:rPr>
        <w:rFonts w:hint="eastAsia"/>
        <w:i/>
      </w:rPr>
      <w:t>中国科学院过程工程研究所电感耦合等离子体质谱仪采购项目</w:t>
    </w:r>
    <w:r>
      <w:rPr>
        <w:rFonts w:hint="eastAsia"/>
        <w:i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8"/>
    <w:rsid w:val="00192B48"/>
    <w:rsid w:val="00924169"/>
    <w:rsid w:val="00CF493A"/>
    <w:rsid w:val="00D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2020-11-05T07:42:00Z</dcterms:created>
  <dcterms:modified xsi:type="dcterms:W3CDTF">2020-11-05T07:42:00Z</dcterms:modified>
</cp:coreProperties>
</file>