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1" w:rsidRPr="00B646B1" w:rsidRDefault="00B646B1" w:rsidP="00B646B1">
      <w:pPr>
        <w:spacing w:afterLines="50" w:after="156"/>
        <w:ind w:left="601" w:hanging="601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B646B1">
        <w:rPr>
          <w:rFonts w:ascii="Times New Roman" w:eastAsia="宋体" w:hAnsi="Times New Roman" w:cs="Times New Roman" w:hint="eastAsia"/>
          <w:b/>
          <w:sz w:val="28"/>
          <w:szCs w:val="24"/>
        </w:rPr>
        <w:t>全自动原位光电子能谱仪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 w:hint="eastAsia"/>
          <w:b/>
          <w:sz w:val="24"/>
          <w:szCs w:val="24"/>
        </w:rPr>
        <w:t>1．工作条件：</w:t>
      </w:r>
    </w:p>
    <w:p w:rsidR="00B646B1" w:rsidRPr="00B646B1" w:rsidRDefault="00B646B1" w:rsidP="00B646B1">
      <w:pPr>
        <w:spacing w:line="360" w:lineRule="auto"/>
        <w:ind w:leftChars="202" w:left="424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 w:hint="eastAsia"/>
          <w:sz w:val="24"/>
          <w:szCs w:val="24"/>
        </w:rPr>
        <w:t>1.1工作电压：220V ±10%，单相</w:t>
      </w:r>
    </w:p>
    <w:p w:rsidR="00B646B1" w:rsidRPr="00B646B1" w:rsidRDefault="00B646B1" w:rsidP="00B646B1">
      <w:pPr>
        <w:spacing w:line="360" w:lineRule="auto"/>
        <w:ind w:leftChars="202" w:left="424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 w:hint="eastAsia"/>
          <w:sz w:val="24"/>
          <w:szCs w:val="24"/>
        </w:rPr>
        <w:t>1.2工作温度：</w:t>
      </w:r>
      <w:r w:rsidRPr="00B646B1">
        <w:rPr>
          <w:rFonts w:ascii="宋体" w:eastAsia="宋体" w:hAnsi="宋体" w:cs="Times New Roman"/>
          <w:sz w:val="24"/>
          <w:szCs w:val="24"/>
        </w:rPr>
        <w:t>18</w:t>
      </w:r>
      <w:r w:rsidRPr="00B646B1">
        <w:rPr>
          <w:rFonts w:ascii="宋体" w:eastAsia="宋体" w:hAnsi="宋体" w:cs="Times New Roman" w:hint="eastAsia"/>
          <w:sz w:val="24"/>
          <w:szCs w:val="24"/>
        </w:rPr>
        <w:t>-</w:t>
      </w:r>
      <w:r w:rsidRPr="00B646B1">
        <w:rPr>
          <w:rFonts w:ascii="宋体" w:eastAsia="宋体" w:hAnsi="宋体" w:cs="Times New Roman"/>
          <w:sz w:val="24"/>
          <w:szCs w:val="24"/>
        </w:rPr>
        <w:t>27</w:t>
      </w:r>
      <w:r w:rsidRPr="00B646B1">
        <w:rPr>
          <w:rFonts w:ascii="宋体" w:eastAsia="宋体" w:hAnsi="宋体" w:cs="Times New Roman" w:hint="eastAsia"/>
          <w:sz w:val="24"/>
          <w:szCs w:val="24"/>
        </w:rPr>
        <w:t>℃</w:t>
      </w:r>
    </w:p>
    <w:p w:rsidR="00B646B1" w:rsidRPr="00B646B1" w:rsidRDefault="00B646B1" w:rsidP="00B646B1">
      <w:pPr>
        <w:spacing w:line="360" w:lineRule="auto"/>
        <w:ind w:leftChars="202" w:left="424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 w:hint="eastAsia"/>
          <w:sz w:val="24"/>
          <w:szCs w:val="24"/>
        </w:rPr>
        <w:t>1.3相对湿度：小于</w:t>
      </w:r>
      <w:r w:rsidRPr="00B646B1">
        <w:rPr>
          <w:rFonts w:ascii="宋体" w:eastAsia="宋体" w:hAnsi="宋体" w:cs="Times New Roman"/>
          <w:sz w:val="24"/>
          <w:szCs w:val="24"/>
        </w:rPr>
        <w:t>65</w:t>
      </w:r>
      <w:r w:rsidRPr="00B646B1">
        <w:rPr>
          <w:rFonts w:ascii="宋体" w:eastAsia="宋体" w:hAnsi="宋体" w:cs="Times New Roman" w:hint="eastAsia"/>
          <w:sz w:val="24"/>
          <w:szCs w:val="24"/>
        </w:rPr>
        <w:t>%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 w:hint="eastAsia"/>
          <w:b/>
          <w:sz w:val="24"/>
          <w:szCs w:val="24"/>
        </w:rPr>
        <w:t>2．设备用途：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满足当前科研工作的领域主要包括无机非金属材料</w:t>
      </w:r>
      <w:proofErr w:type="gramStart"/>
      <w:r w:rsidRPr="00B646B1">
        <w:rPr>
          <w:rFonts w:ascii="宋体" w:eastAsia="宋体" w:hAnsi="宋体" w:cs="Times New Roman"/>
          <w:sz w:val="24"/>
          <w:szCs w:val="24"/>
        </w:rPr>
        <w:t>及该各类</w:t>
      </w:r>
      <w:proofErr w:type="gramEnd"/>
      <w:r w:rsidRPr="00B646B1">
        <w:rPr>
          <w:rFonts w:ascii="宋体" w:eastAsia="宋体" w:hAnsi="宋体" w:cs="Times New Roman"/>
          <w:sz w:val="24"/>
          <w:szCs w:val="24"/>
        </w:rPr>
        <w:t>材料的表面改性研究，XPS的购置可以满足各类材料的基本XPS测试要求，通过拓展</w:t>
      </w:r>
      <w:r w:rsidRPr="00B646B1">
        <w:rPr>
          <w:rFonts w:ascii="宋体" w:eastAsia="宋体" w:hAnsi="宋体" w:cs="Times New Roman" w:hint="eastAsia"/>
          <w:sz w:val="24"/>
          <w:szCs w:val="24"/>
        </w:rPr>
        <w:t>高温催化反应池，进行原位反应测试，以及</w:t>
      </w:r>
      <w:r w:rsidRPr="00B646B1">
        <w:rPr>
          <w:rFonts w:ascii="宋体" w:eastAsia="宋体" w:hAnsi="宋体" w:cs="Times New Roman"/>
          <w:sz w:val="24"/>
          <w:szCs w:val="24"/>
        </w:rPr>
        <w:t>紫外光电子能谱（UPS）</w:t>
      </w:r>
      <w:r w:rsidRPr="00B646B1">
        <w:rPr>
          <w:rFonts w:ascii="宋体" w:eastAsia="宋体" w:hAnsi="宋体" w:cs="Times New Roman" w:hint="eastAsia"/>
          <w:sz w:val="24"/>
          <w:szCs w:val="24"/>
        </w:rPr>
        <w:t>，加热制冷反应条、团簇离子枪等附件，</w:t>
      </w:r>
      <w:r w:rsidRPr="00B646B1">
        <w:rPr>
          <w:rFonts w:ascii="宋体" w:eastAsia="宋体" w:hAnsi="宋体" w:cs="Times New Roman"/>
          <w:sz w:val="24"/>
          <w:szCs w:val="24"/>
        </w:rPr>
        <w:t>完成科研过程中的特殊测试需求</w:t>
      </w:r>
      <w:r w:rsidRPr="00B646B1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>3</w:t>
      </w:r>
      <w:r w:rsidRPr="00B646B1">
        <w:rPr>
          <w:rFonts w:ascii="宋体" w:eastAsia="宋体" w:hAnsi="宋体" w:cs="Times New Roman" w:hint="eastAsia"/>
          <w:b/>
          <w:sz w:val="24"/>
          <w:szCs w:val="24"/>
        </w:rPr>
        <w:t>．技术规格：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*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3.1单色化X光源类型：水冷Al/Ag双阳极，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至少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8个Al点和4个Ag点，软件控制换点并调整校准；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3.2最大功率：</w:t>
      </w:r>
      <w:r w:rsidRPr="00B646B1">
        <w:rPr>
          <w:rFonts w:ascii="宋体" w:eastAsia="宋体" w:hAnsi="宋体" w:cs="宋体" w:hint="eastAsia"/>
          <w:spacing w:val="10"/>
          <w:kern w:val="0"/>
          <w:sz w:val="24"/>
          <w:szCs w:val="24"/>
        </w:rPr>
        <w:t>≧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500W；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3.3单色器：石英晶体单色器，罗兰圆直径</w:t>
      </w:r>
      <w:r w:rsidRPr="00B646B1">
        <w:rPr>
          <w:rFonts w:ascii="宋体" w:eastAsia="宋体" w:hAnsi="宋体" w:cs="宋体" w:hint="eastAsia"/>
          <w:spacing w:val="10"/>
          <w:kern w:val="0"/>
          <w:sz w:val="24"/>
          <w:szCs w:val="24"/>
        </w:rPr>
        <w:t>≧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500mm；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3.4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ab/>
        <w:t>Al单色XPS指标（Ag 3d5/2峰，半高全宽@灵敏度）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*3.4.1 最佳能量分辨和灵敏度：0.45eV@160kcps；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3.4.2大束斑：0.48eV@600kcps，0.6eV@2.0Mcps；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3.5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ab/>
        <w:t>Ag单色XPS指标（Ag 3d5/2峰，半高全宽@灵敏度）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3.5.1  X射线源类型：Ag单色X射线源；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3.5.2 大束斑：0.9eV@5kcps；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3.6选区XPS和平行成像XPS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3.6.1选择性分析区域束斑大小：Φ15μm~Φ110μm可调，满足微区分析需要；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3.6.2平行成像XPS空间分辨（锐利刀口样品，线扫描强度80%～20%的宽度）：     1μm；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3.6.3平行成像XPS视场大小：800×800μm2、400×400μm2、200×200μm2，可实现10×10的大面积自动拼接成像；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3.7静电传输透镜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3.7.1类型和操作模式：多组元减速场（采谱）和放映透镜（成像）；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lastRenderedPageBreak/>
        <w:t>3.72能量扫描范围：-5～3000eV（XPS）/0～65eV（UPS）；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3.7.3最小扫描能量步长：小于4meV（XPS）/小于1.5meV（UPS）；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3.8荷电中和器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3.8.1类型：与静电传输透镜同轴的超低能单电子源，避免对粗糙表面（如粉末样品）荷电中和时产生荷电阴影；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#3.8.2绝缘体分析能力（PET，O-C=O的C 1s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峰半高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全宽@C-C/C-H的C 1s峰强度）：0.68eV@20kcps、0.77eV@70kcps；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3.9电子能谱能量分析器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3.9.1类型：180°半球扇形分析器；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3.9.2平均半径：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≥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160mm；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3.9.3通过能（FAT模式）：5~300eV可调；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3.10平行成像电子能量分析器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3.10.1类型：180°半球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球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镜分析器，独立于电子能谱能量分析器的第二能量分析器；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3.10.2平均半径：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≥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160mm；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3.10.3通过能（FAT模式）：5~300eV可调；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3.11检测器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3.11.1类型：单一的二维阵列检测器，至少128个物理通道，可同时记录光电子发射位置及其强度，可满足XPS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采谱和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成像XPS、微区XPS、深度剖析XPS、动态XPS工作需要；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3.11.2工作模式：可实现例行的扫描采谱、快照动态XPS采谱，也可以实现脉冲计数的XPS平行成像；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3.12分析室样品控制、观察和调整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3.12.1轴向：5轴样品台，即X、Y、Z移动，绕轴和绕样品面法线转动；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3.12.2移动：X方向150mm，Y方向30mm，Z方向18mm；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3.12.3绕轴转动：±90°；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3.12.4绕样品法线转动：±180°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3.12.5最大可分析面积：75mm×30mm；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3.12.6控制：软件操控样品台，记忆和恢复分析位置以实现无人值守的自动分析；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3.12.7观察：软件控制变焦CCD摄像机在不同的放大倍率下实时观察、精确定位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lastRenderedPageBreak/>
        <w:t>分析位置和截取图像；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3.12.8分析位置确定和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最佳分析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高度确定：通过可变焦CCD摄像机和实时成像系统确定分析位置，并可通过快照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采谱模式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软件控制自动确定最佳的分析高度；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3.12.9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进样室样品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控制、观察和调整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3.12.10多样品停放台：可一次装入并存储3个样品条；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3.12.11进样方式：软件控制的全自动进样和样品条交换，实现无人值守分析；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3.12.12垂直定位相机和分析方法设定：垂直安装在进样室中的CCD相机可在抽真空时对样品条上的每一个分析样品定位，并可设定每一样品的分析条件（包括自动确定样品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最佳分析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高度、全谱、高分辨谱和深度剖析等），并可无人值守地传输进入分析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室实施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全自动分析；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3.13分析室真空系统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3.13.1腔体：μ金属；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3.13.2真空泵：400升/秒涡轮分子泵/钛升华泵及机械泵； 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3.13.3真空度：烘烤后优于7×10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-8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Pa（7×10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mbar/5×10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torr）。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3.14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进样室真空系统</w:t>
      </w:r>
      <w:proofErr w:type="gramEnd"/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3.14.1腔体：不锈钢；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3.14.2真空泵：涡轮分子泵和机械泵；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3.14.3真空度：烘烤后优于7×10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-7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Pa（7×10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-9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mbar/5×10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  <w:vertAlign w:val="superscript"/>
        </w:rPr>
        <w:t>-9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torr）；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3.15烘烤系统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3.15.1构成：集成于系统，含有控制单元，软件控制；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3.15.2最高烘烤温度：不低于120 ºC。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3.16谱仪控制和数据处理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3.16.1谱仪控制：全计算机自动控制；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3.16.2数据处理：定性分析、定量分析、曲线拟合等；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3.16.3计算机：主流HP工作站（双显示器）；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3.17 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分析室用深度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剖析离子枪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3.17.1离子源类型：聚焦可扫描离子源，单个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原子和团簇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双模式；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3.17.2可使用气体：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/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团簇（XPS深度剖析）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3.17.3单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离子能量：0.5～5keV；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3.17.4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ab/>
        <w:t>团簇</w:t>
      </w:r>
      <w:proofErr w:type="spell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离子能量：2～20keV；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lastRenderedPageBreak/>
        <w:t>3.17.5团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簇</w:t>
      </w:r>
      <w:proofErr w:type="spellStart"/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Ar</w:t>
      </w:r>
      <w:proofErr w:type="spell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离子团簇：500～3,000Ar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3.17.6气体控制：软件控制，配套高精度进气阀门和差分真空抽气系统。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3.18紫外光电子能谱（UPS）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3.18.1光源：He紫外光源；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3.18.2能量分辨和灵敏度：Ag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费米边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20%～80%≤120meV时Ag 4d计数率≥1Mcps；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高温催化反应池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：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3.19.1 不锈钢制造真空腔体，惰性石英反应釜，独立的水冷封套；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3.19.2 温度和压强：1000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℃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@1bar；600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℃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@4bar；400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℃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@6bar；300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℃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@30bar；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3.19.3使用气体：H2, O2, H2O, CO2, CH4；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3.19.4控温方式：程序控温；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3.19.5烘烤温度：最高150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℃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#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3.20分析室加热制冷原位测试附件</w:t>
      </w:r>
    </w:p>
    <w:p w:rsidR="00B646B1" w:rsidRPr="00B646B1" w:rsidRDefault="00B646B1" w:rsidP="00B646B1">
      <w:pPr>
        <w:adjustRightInd w:val="0"/>
        <w:snapToGrid w:val="0"/>
        <w:spacing w:line="360" w:lineRule="auto"/>
        <w:ind w:firstLineChars="300" w:firstLine="780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加热：室温～800℃连续可调，可保恒温；</w:t>
      </w:r>
    </w:p>
    <w:p w:rsidR="00B646B1" w:rsidRPr="00B646B1" w:rsidRDefault="00B646B1" w:rsidP="00B646B1">
      <w:pPr>
        <w:adjustRightInd w:val="0"/>
        <w:snapToGrid w:val="0"/>
        <w:spacing w:line="360" w:lineRule="auto"/>
        <w:ind w:firstLineChars="300" w:firstLine="780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致冷：室温～-100℃连续可调，可保恒温。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3.21冷却水系统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3.21.1制造商：知名品牌循环冷却系统；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3.21.2功率：</w:t>
      </w:r>
      <w:r w:rsidRPr="00B646B1">
        <w:rPr>
          <w:rFonts w:ascii="宋体" w:eastAsia="宋体" w:hAnsi="宋体" w:cs="宋体" w:hint="eastAsia"/>
          <w:spacing w:val="10"/>
          <w:kern w:val="0"/>
          <w:sz w:val="24"/>
          <w:szCs w:val="24"/>
        </w:rPr>
        <w:t>≧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2KW，满足阳极靶、涡轮分子泵、磁透镜和石英单色器冷却需要；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3.22不间断电源和隔离变压器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3.22.1不间断电源：保证仪器持续运行两小时的不间断电源；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3.22.2隔离变压器：确保仪器正常工作的外电源隔离变压器一套；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 w:hint="eastAsia"/>
          <w:b/>
          <w:sz w:val="24"/>
          <w:szCs w:val="24"/>
        </w:rPr>
        <w:t>4．</w:t>
      </w:r>
      <w:r w:rsidRPr="00B646B1">
        <w:rPr>
          <w:rFonts w:ascii="宋体" w:eastAsia="宋体" w:hAnsi="宋体" w:cs="Times New Roman"/>
          <w:b/>
          <w:sz w:val="24"/>
          <w:szCs w:val="24"/>
        </w:rPr>
        <w:t>订货范围：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4.1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仪器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主机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      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台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4.2 Al/Ag双阳极X射线源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2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4.3 </w:t>
      </w:r>
      <w:proofErr w:type="gramStart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分析室用深度</w:t>
      </w:r>
      <w:proofErr w:type="gramEnd"/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剖析离子枪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4.4 紫外光电子能谱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套件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4.5 分析室加热制冷附件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4.6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高温催化反应池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 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7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数据处理系统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  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8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离子散射谱套件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lastRenderedPageBreak/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9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最大熵方法重构软件，角分辨数据分析软件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10 </w:t>
      </w:r>
      <w:proofErr w:type="gramStart"/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双高度</w:t>
      </w:r>
      <w:proofErr w:type="gramEnd"/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样品条（增配）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2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个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4.11 冷却水系统、不间断电源和隔离变压器等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配套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adjustRightInd w:val="0"/>
        <w:snapToGrid w:val="0"/>
        <w:spacing w:line="360" w:lineRule="auto"/>
        <w:ind w:left="707" w:hangingChars="272" w:hanging="707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4.12 备品备件（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单色阳机灯丝1个，荷电</w:t>
      </w:r>
      <w:proofErr w:type="gramStart"/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中和器</w:t>
      </w:r>
      <w:proofErr w:type="gramEnd"/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灯丝套件1套，离子枪灯丝1个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）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  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13 标准工具包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    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1套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4.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14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所有辅助气体提供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 xml:space="preserve">       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 xml:space="preserve">                </w:t>
      </w: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1</w:t>
      </w:r>
      <w:r w:rsidRPr="00B646B1">
        <w:rPr>
          <w:rFonts w:ascii="宋体" w:eastAsia="宋体" w:hAnsi="宋体" w:cs="Times New Roman" w:hint="eastAsia"/>
          <w:spacing w:val="10"/>
          <w:kern w:val="0"/>
          <w:sz w:val="24"/>
          <w:szCs w:val="24"/>
        </w:rPr>
        <w:t>套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>5. 技术文件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5.1 设备制造厂商提供的销售、售后服务授权书。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5.2 仪器设备详细清单、各项技术参数，以及具体参数的测试条件。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5.3 技术证明文件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5.4 技术服务条款、技术培训条款，以及售后服务承诺。</w:t>
      </w:r>
    </w:p>
    <w:p w:rsidR="00B646B1" w:rsidRPr="00B646B1" w:rsidRDefault="00B646B1" w:rsidP="00B646B1">
      <w:pPr>
        <w:adjustRightInd w:val="0"/>
        <w:snapToGrid w:val="0"/>
        <w:spacing w:line="360" w:lineRule="auto"/>
        <w:textAlignment w:val="baseline"/>
        <w:rPr>
          <w:rFonts w:ascii="宋体" w:eastAsia="宋体" w:hAnsi="宋体" w:cs="Times New Roman"/>
          <w:spacing w:val="10"/>
          <w:kern w:val="0"/>
          <w:sz w:val="24"/>
          <w:szCs w:val="24"/>
        </w:rPr>
      </w:pPr>
      <w:r w:rsidRPr="00B646B1">
        <w:rPr>
          <w:rFonts w:ascii="宋体" w:eastAsia="宋体" w:hAnsi="宋体" w:cs="Times New Roman"/>
          <w:spacing w:val="10"/>
          <w:kern w:val="0"/>
          <w:sz w:val="24"/>
          <w:szCs w:val="24"/>
        </w:rPr>
        <w:t>5.5 用户手册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 xml:space="preserve">6. </w:t>
      </w:r>
      <w:r w:rsidRPr="00B646B1">
        <w:rPr>
          <w:rFonts w:ascii="宋体" w:eastAsia="宋体" w:hAnsi="宋体" w:cs="Times New Roman" w:hint="eastAsia"/>
          <w:b/>
          <w:sz w:val="24"/>
          <w:szCs w:val="24"/>
        </w:rPr>
        <w:t>技术</w:t>
      </w:r>
      <w:r w:rsidRPr="00B646B1">
        <w:rPr>
          <w:rFonts w:ascii="宋体" w:eastAsia="宋体" w:hAnsi="宋体" w:cs="Times New Roman"/>
          <w:b/>
          <w:sz w:val="24"/>
          <w:szCs w:val="24"/>
        </w:rPr>
        <w:t>服务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 安装、调试和验收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6.1.1供方应在合同生效后30天内向用户提供详细的安装准备条件及安装计划。设备安装、调试的费用由供方承担。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6.1.2仪器到达用户所在地后，在接到用户通知后15天内安排技术人员执行仪器安装和调试，对仪器分析指标验收完成。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6.1.3供方安装人员对现场安装安全负有责任。与需方共同开箱检验，检查仪器设备及随机附件是否全新、完整无损；技术资料与图纸是否与需方的要求相符。如发生破损、缺件等问题，供方应及时地提出解决方案，并尽快地给以解决。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6.1.4验收标准以供需双方签订的技术协议为准（参考招标文件指标）。任何虚假指标响应一经发现即作废标，投标者必须承担由此给用户带来的一切经济损失和其它相关责任。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6.1.5安装、调试和验收期间，供方人员的差旅费、食宿及其它费用应由供方自理。</w:t>
      </w:r>
    </w:p>
    <w:p w:rsidR="00B646B1" w:rsidRPr="00B646B1" w:rsidRDefault="00B646B1" w:rsidP="00B646B1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6.2 技术培训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操作培训：仪器安装验收后，供方应及时派遣有丰富经验的技术人员就仪器软硬件操作、仪器维护、故障排除、注意事项等进行免费培训，在用户现场,工程师将对用户进行仪器的使用操作,日常的维护保养及简单的故障维修方面的培训，并使用户能够独立使用和获取正确的数据。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lastRenderedPageBreak/>
        <w:t>高级应用培训：至少两周的用户现场的高级应用培训，办事处还定期举办专门的培训班和用户会议，以加强用户间的技术交流,提高用户的仪器使用水平。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培训期内有关的差旅费、食宿及其它费用应由供方支付。其后在使用过程中如遇到问题时，供方应及时派遣有经验的技术人员提供技术指导。</w:t>
      </w:r>
    </w:p>
    <w:p w:rsidR="00B646B1" w:rsidRPr="00B646B1" w:rsidRDefault="00B646B1" w:rsidP="00B646B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6.3 维修服务和技术服务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保修期3年, 从仪器验收合格, 双方签字之日起保修期开始生效。在保修期内，任何由制造商选材和制造不当引起的质量问题，厂家负责免费维修。出现故障后，在收到用户正式通知后24小时之内响应，如果需要到现场</w:t>
      </w:r>
      <w:r w:rsidRPr="00B646B1">
        <w:rPr>
          <w:rFonts w:ascii="宋体" w:eastAsia="宋体" w:hAnsi="宋体" w:cs="Times New Roman" w:hint="eastAsia"/>
          <w:sz w:val="24"/>
          <w:szCs w:val="24"/>
        </w:rPr>
        <w:t>，</w:t>
      </w:r>
      <w:r w:rsidRPr="00B646B1">
        <w:rPr>
          <w:rFonts w:ascii="宋体" w:eastAsia="宋体" w:hAnsi="宋体" w:cs="Times New Roman"/>
          <w:sz w:val="24"/>
          <w:szCs w:val="24"/>
        </w:rPr>
        <w:t>将安排就近的工程师到现场。保修期后，厂家提供终身维修，并保证零配件的供应。</w:t>
      </w:r>
    </w:p>
    <w:p w:rsidR="00B646B1" w:rsidRPr="00B646B1" w:rsidRDefault="00B646B1" w:rsidP="00B646B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sz w:val="24"/>
          <w:szCs w:val="24"/>
        </w:rPr>
        <w:t>供方应在24小时内对用户的报修申请做出响应。一般性问题应在48小时内解决；对于在48小时内无法解决的其它较大的问题，应在3天内给以解决；对于在3天内不能解决的问题，应提出明确的解决方案，得到用户的认可后，在预定的期限内解决问题。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 xml:space="preserve">7. </w:t>
      </w:r>
      <w:r w:rsidRPr="00B646B1">
        <w:rPr>
          <w:rFonts w:ascii="宋体" w:eastAsia="宋体" w:hAnsi="宋体" w:cs="Times New Roman" w:hint="eastAsia"/>
          <w:b/>
          <w:sz w:val="24"/>
          <w:szCs w:val="24"/>
        </w:rPr>
        <w:t>订货数量：1套。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>8. 交货期：</w:t>
      </w:r>
      <w:r w:rsidRPr="00B646B1">
        <w:rPr>
          <w:rFonts w:ascii="宋体" w:eastAsia="宋体" w:hAnsi="宋体" w:cs="Times New Roman"/>
          <w:sz w:val="24"/>
          <w:szCs w:val="24"/>
        </w:rPr>
        <w:t>合同签订后12个月内。</w:t>
      </w:r>
    </w:p>
    <w:p w:rsidR="00B646B1" w:rsidRPr="00B646B1" w:rsidRDefault="00B646B1" w:rsidP="00B646B1">
      <w:pPr>
        <w:spacing w:line="360" w:lineRule="auto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B646B1">
        <w:rPr>
          <w:rFonts w:ascii="宋体" w:eastAsia="宋体" w:hAnsi="宋体" w:cs="Times New Roman"/>
          <w:b/>
          <w:sz w:val="24"/>
          <w:szCs w:val="24"/>
        </w:rPr>
        <w:t>9. 交货地点：</w:t>
      </w:r>
      <w:r w:rsidRPr="00B646B1">
        <w:rPr>
          <w:rFonts w:ascii="宋体" w:eastAsia="宋体" w:hAnsi="宋体" w:cs="Times New Roman" w:hint="eastAsia"/>
          <w:b/>
          <w:sz w:val="24"/>
          <w:szCs w:val="24"/>
        </w:rPr>
        <w:t>C</w:t>
      </w:r>
      <w:r w:rsidRPr="00B646B1">
        <w:rPr>
          <w:rFonts w:ascii="宋体" w:eastAsia="宋体" w:hAnsi="宋体" w:cs="Times New Roman"/>
          <w:b/>
          <w:sz w:val="24"/>
          <w:szCs w:val="24"/>
        </w:rPr>
        <w:t>IP</w:t>
      </w:r>
      <w:r w:rsidRPr="00B646B1">
        <w:rPr>
          <w:rFonts w:ascii="宋体" w:eastAsia="宋体" w:hAnsi="宋体" w:cs="Times New Roman" w:hint="eastAsia"/>
          <w:b/>
          <w:sz w:val="24"/>
          <w:szCs w:val="24"/>
        </w:rPr>
        <w:t>北京机场</w:t>
      </w:r>
    </w:p>
    <w:p w:rsidR="00B646B1" w:rsidRPr="00B646B1" w:rsidRDefault="00B646B1" w:rsidP="00B646B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73599" w:rsidRPr="00B646B1" w:rsidRDefault="00C73599">
      <w:bookmarkStart w:id="0" w:name="_GoBack"/>
      <w:bookmarkEnd w:id="0"/>
    </w:p>
    <w:sectPr w:rsidR="00C73599" w:rsidRPr="00B646B1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73" w:rsidRDefault="00930273" w:rsidP="00B646B1">
      <w:r>
        <w:separator/>
      </w:r>
    </w:p>
  </w:endnote>
  <w:endnote w:type="continuationSeparator" w:id="0">
    <w:p w:rsidR="00930273" w:rsidRDefault="00930273" w:rsidP="00B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930273" w:rsidP="00E30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646B1" w:rsidRPr="00B646B1">
      <w:rPr>
        <w:noProof/>
        <w:lang w:val="zh-CN" w:eastAsia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93027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73" w:rsidRDefault="00930273" w:rsidP="00B646B1">
      <w:r>
        <w:separator/>
      </w:r>
    </w:p>
  </w:footnote>
  <w:footnote w:type="continuationSeparator" w:id="0">
    <w:p w:rsidR="00930273" w:rsidRDefault="00930273" w:rsidP="00B6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930273">
    <w:pPr>
      <w:pStyle w:val="a3"/>
      <w:jc w:val="both"/>
    </w:pPr>
    <w:r w:rsidRPr="00795160">
      <w:rPr>
        <w:rFonts w:hint="eastAsia"/>
        <w:i/>
      </w:rPr>
      <w:t>中国科学院过程工程研究所全自动原位光电子能谱仪采购项目</w:t>
    </w:r>
    <w:r>
      <w:rPr>
        <w:rFonts w:hint="eastAsia"/>
        <w:i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16"/>
    <w:rsid w:val="00740E16"/>
    <w:rsid w:val="00930273"/>
    <w:rsid w:val="00B646B1"/>
    <w:rsid w:val="00C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6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2020-08-06T08:07:00Z</dcterms:created>
  <dcterms:modified xsi:type="dcterms:W3CDTF">2020-08-06T08:07:00Z</dcterms:modified>
</cp:coreProperties>
</file>