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B9" w:rsidRPr="00081981" w:rsidRDefault="00DC13B9" w:rsidP="00DC13B9">
      <w:pPr>
        <w:spacing w:line="360" w:lineRule="auto"/>
        <w:ind w:firstLineChars="900" w:firstLine="2530"/>
        <w:rPr>
          <w:rFonts w:ascii="宋体" w:hAnsi="宋体"/>
          <w:b/>
          <w:bCs/>
          <w:sz w:val="28"/>
          <w:szCs w:val="28"/>
        </w:rPr>
      </w:pPr>
      <w:r w:rsidRPr="00081981">
        <w:rPr>
          <w:rFonts w:ascii="宋体" w:hAnsi="宋体"/>
          <w:b/>
          <w:bCs/>
          <w:sz w:val="28"/>
          <w:szCs w:val="28"/>
        </w:rPr>
        <w:t>高分辨全反射痕量元素分析仪</w:t>
      </w:r>
    </w:p>
    <w:p w:rsidR="00DC13B9" w:rsidRPr="00081981" w:rsidRDefault="00DC13B9" w:rsidP="00DC13B9">
      <w:pPr>
        <w:spacing w:line="360" w:lineRule="auto"/>
        <w:rPr>
          <w:rFonts w:ascii="宋体" w:hAnsi="宋体"/>
          <w:b/>
          <w:sz w:val="24"/>
        </w:rPr>
      </w:pPr>
    </w:p>
    <w:p w:rsidR="00DC13B9" w:rsidRPr="00081981" w:rsidRDefault="00DC13B9" w:rsidP="00DC13B9">
      <w:pPr>
        <w:numPr>
          <w:ilvl w:val="0"/>
          <w:numId w:val="1"/>
        </w:numPr>
        <w:spacing w:line="360" w:lineRule="auto"/>
        <w:rPr>
          <w:rFonts w:ascii="宋体" w:hAnsi="宋体"/>
          <w:b/>
          <w:sz w:val="24"/>
        </w:rPr>
      </w:pPr>
      <w:r w:rsidRPr="00081981">
        <w:rPr>
          <w:rFonts w:ascii="宋体" w:hAnsi="宋体"/>
          <w:b/>
          <w:sz w:val="24"/>
        </w:rPr>
        <w:t>工作条件</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1.1 适于在气温-30℃～＋55℃和相对湿度10％～95％的环境条件下运输和贮存。</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1.2 适于在电源220V（±10％）/50Hz、气温摄氏-30℃～＋55℃和相对湿度5％～95％的环境条件下连续正常工作。</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1.3 配置符合中国有关标准要求的插头，如果没有这样的插头，则需提供适当的转换插座。</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1.4 如产品达不到上述要求，投标人应注明其偏差。如仪器设备需要特殊工作条件（如水、电源、磁场强度、温度、湿度、动强度等）投标人应在投标书中加以说明。</w:t>
      </w:r>
    </w:p>
    <w:p w:rsidR="00DC13B9" w:rsidRPr="00081981" w:rsidRDefault="00DC13B9" w:rsidP="00DC13B9">
      <w:pPr>
        <w:numPr>
          <w:ilvl w:val="0"/>
          <w:numId w:val="1"/>
        </w:numPr>
        <w:spacing w:line="360" w:lineRule="auto"/>
        <w:rPr>
          <w:rFonts w:ascii="宋体" w:hAnsi="宋体"/>
          <w:b/>
          <w:bCs/>
          <w:sz w:val="24"/>
        </w:rPr>
      </w:pPr>
      <w:r w:rsidRPr="00081981">
        <w:rPr>
          <w:rFonts w:ascii="宋体" w:hAnsi="宋体"/>
          <w:b/>
          <w:sz w:val="24"/>
        </w:rPr>
        <w:t>设备用途</w:t>
      </w:r>
    </w:p>
    <w:p w:rsidR="00DC13B9" w:rsidRPr="00081981" w:rsidRDefault="00DC13B9" w:rsidP="00DC13B9">
      <w:pPr>
        <w:tabs>
          <w:tab w:val="left" w:pos="422"/>
        </w:tabs>
        <w:overflowPunct w:val="0"/>
        <w:autoSpaceDE w:val="0"/>
        <w:autoSpaceDN w:val="0"/>
        <w:adjustRightInd w:val="0"/>
        <w:spacing w:line="360" w:lineRule="auto"/>
        <w:ind w:firstLineChars="200" w:firstLine="480"/>
        <w:rPr>
          <w:rFonts w:ascii="宋体" w:hAnsi="宋体"/>
          <w:bCs/>
          <w:sz w:val="24"/>
        </w:rPr>
      </w:pPr>
      <w:r w:rsidRPr="00081981">
        <w:rPr>
          <w:rFonts w:ascii="宋体" w:hAnsi="宋体"/>
          <w:bCs/>
          <w:sz w:val="24"/>
        </w:rPr>
        <w:t>用于分析液体、固体粉末、大气颗粒物、薄膜、硅片污染等样品中常量、次量和痕量元素的快速分析，以及分析测试技术方法研究。能够迅速、准确分析从Na～U（除惰性气体及少部分元素外）之间的30多种元素,含量范围从ppb-100%。</w:t>
      </w:r>
    </w:p>
    <w:p w:rsidR="00DC13B9" w:rsidRPr="00081981" w:rsidRDefault="00DC13B9" w:rsidP="00DC13B9">
      <w:pPr>
        <w:numPr>
          <w:ilvl w:val="0"/>
          <w:numId w:val="1"/>
        </w:numPr>
        <w:spacing w:line="360" w:lineRule="auto"/>
        <w:rPr>
          <w:rFonts w:ascii="宋体" w:hAnsi="宋体"/>
          <w:b/>
          <w:bCs/>
          <w:sz w:val="24"/>
        </w:rPr>
      </w:pPr>
      <w:r w:rsidRPr="00081981">
        <w:rPr>
          <w:rFonts w:ascii="宋体" w:hAnsi="宋体"/>
          <w:b/>
          <w:sz w:val="24"/>
        </w:rPr>
        <w:t>技术规格</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3.1 设备基本技术要求</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3.1.1 主要用途：用于液体、固体粉末样品中常量、次量和痕量元素的快速分析。</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3.1.2 元素范围：钠（Na</w:t>
      </w:r>
      <w:r w:rsidRPr="00081981">
        <w:rPr>
          <w:rFonts w:ascii="宋体" w:hAnsi="宋体"/>
          <w:sz w:val="24"/>
          <w:vertAlign w:val="superscript"/>
        </w:rPr>
        <w:t>11</w:t>
      </w:r>
      <w:r w:rsidRPr="00081981">
        <w:rPr>
          <w:rFonts w:ascii="宋体" w:hAnsi="宋体"/>
          <w:sz w:val="24"/>
        </w:rPr>
        <w:t>）-铀（U</w:t>
      </w:r>
      <w:r w:rsidRPr="00081981">
        <w:rPr>
          <w:rFonts w:ascii="宋体" w:hAnsi="宋体"/>
          <w:sz w:val="24"/>
          <w:vertAlign w:val="superscript"/>
        </w:rPr>
        <w:t>92</w:t>
      </w:r>
      <w:r w:rsidRPr="00081981">
        <w:rPr>
          <w:rFonts w:ascii="宋体" w:hAnsi="宋体"/>
          <w:sz w:val="24"/>
        </w:rPr>
        <w:t xml:space="preserve">）之间的不少于30种元素 </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3.1.3 浓度范围：低至10ppb</w:t>
      </w:r>
      <w:r w:rsidRPr="00081981">
        <w:rPr>
          <w:rFonts w:ascii="宋体" w:hAnsi="宋体" w:hint="eastAsia"/>
          <w:sz w:val="24"/>
        </w:rPr>
        <w:t>，</w:t>
      </w:r>
      <w:r w:rsidRPr="00081981">
        <w:rPr>
          <w:rFonts w:ascii="宋体" w:hAnsi="宋体"/>
          <w:sz w:val="24"/>
        </w:rPr>
        <w:t>高至100%的含量都可以测试。</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3.1.4 样品量：液体及悬浮液低至20μL，粉末样品低至20μg即可完成测试。</w:t>
      </w:r>
    </w:p>
    <w:p w:rsidR="00DC13B9" w:rsidRPr="00081981" w:rsidRDefault="00DC13B9" w:rsidP="00DC13B9">
      <w:pPr>
        <w:spacing w:line="360" w:lineRule="auto"/>
        <w:ind w:firstLineChars="200" w:firstLine="480"/>
        <w:rPr>
          <w:rFonts w:ascii="宋体" w:hAnsi="宋体"/>
          <w:kern w:val="0"/>
          <w:sz w:val="24"/>
        </w:rPr>
      </w:pPr>
      <w:r w:rsidRPr="00081981">
        <w:rPr>
          <w:rFonts w:ascii="宋体" w:hAnsi="宋体"/>
          <w:kern w:val="0"/>
          <w:sz w:val="24"/>
        </w:rPr>
        <w:t>3.2 可测试样品种类和测试要求</w:t>
      </w:r>
    </w:p>
    <w:p w:rsidR="00DC13B9" w:rsidRPr="00081981" w:rsidRDefault="00DC13B9" w:rsidP="00DC13B9">
      <w:pPr>
        <w:spacing w:line="360" w:lineRule="auto"/>
        <w:ind w:firstLineChars="200" w:firstLine="480"/>
        <w:rPr>
          <w:rFonts w:ascii="宋体" w:hAnsi="宋体"/>
          <w:bCs/>
          <w:sz w:val="24"/>
        </w:rPr>
      </w:pPr>
      <w:r w:rsidRPr="0049007E">
        <w:rPr>
          <w:rFonts w:ascii="宋体" w:hAnsi="宋体"/>
          <w:kern w:val="0"/>
          <w:sz w:val="24"/>
        </w:rPr>
        <w:t>#</w:t>
      </w:r>
      <w:r w:rsidRPr="00081981">
        <w:rPr>
          <w:rFonts w:ascii="宋体" w:hAnsi="宋体"/>
          <w:kern w:val="0"/>
          <w:sz w:val="24"/>
        </w:rPr>
        <w:t xml:space="preserve">3.2.1 </w:t>
      </w:r>
      <w:r w:rsidRPr="00081981">
        <w:rPr>
          <w:rFonts w:ascii="宋体" w:hAnsi="宋体"/>
          <w:bCs/>
          <w:sz w:val="24"/>
        </w:rPr>
        <w:t>固体粉末，液体样品，空气滤膜，低于2英寸的薄膜材料，2英寸硅片等片状样品都可测试。</w:t>
      </w:r>
    </w:p>
    <w:p w:rsidR="00DC13B9" w:rsidRPr="00081981" w:rsidRDefault="00DC13B9" w:rsidP="00DC13B9">
      <w:pPr>
        <w:spacing w:line="360" w:lineRule="auto"/>
        <w:ind w:firstLineChars="200" w:firstLine="480"/>
        <w:rPr>
          <w:rFonts w:ascii="宋体" w:hAnsi="宋体"/>
          <w:bCs/>
          <w:sz w:val="24"/>
        </w:rPr>
      </w:pPr>
      <w:r w:rsidRPr="00081981">
        <w:rPr>
          <w:rFonts w:ascii="宋体" w:hAnsi="宋体"/>
          <w:bCs/>
          <w:sz w:val="24"/>
        </w:rPr>
        <w:t>3.2.2 对于测试液体样品浓度在1-50ppm的含有Na，Mg，Al，P，S，K，Ca，Ti</w:t>
      </w:r>
      <w:r w:rsidRPr="00081981">
        <w:rPr>
          <w:rFonts w:ascii="宋体" w:hAnsi="宋体" w:hint="eastAsia"/>
          <w:bCs/>
          <w:sz w:val="24"/>
        </w:rPr>
        <w:t>，</w:t>
      </w:r>
      <w:r w:rsidRPr="00081981">
        <w:rPr>
          <w:rFonts w:ascii="宋体" w:hAnsi="宋体"/>
          <w:bCs/>
          <w:sz w:val="24"/>
        </w:rPr>
        <w:t>V</w:t>
      </w:r>
      <w:r w:rsidRPr="00081981">
        <w:rPr>
          <w:rFonts w:ascii="宋体" w:hAnsi="宋体" w:hint="eastAsia"/>
          <w:bCs/>
          <w:sz w:val="24"/>
        </w:rPr>
        <w:t>，</w:t>
      </w:r>
      <w:r w:rsidRPr="00081981">
        <w:rPr>
          <w:rFonts w:ascii="宋体" w:hAnsi="宋体"/>
          <w:bCs/>
          <w:sz w:val="24"/>
        </w:rPr>
        <w:t>Cr</w:t>
      </w:r>
      <w:r w:rsidRPr="00081981">
        <w:rPr>
          <w:rFonts w:ascii="宋体" w:hAnsi="宋体" w:hint="eastAsia"/>
          <w:bCs/>
          <w:sz w:val="24"/>
        </w:rPr>
        <w:t>，</w:t>
      </w:r>
      <w:r w:rsidRPr="00081981">
        <w:rPr>
          <w:rFonts w:ascii="宋体" w:hAnsi="宋体"/>
          <w:bCs/>
          <w:sz w:val="24"/>
        </w:rPr>
        <w:t>Mn</w:t>
      </w:r>
      <w:r w:rsidRPr="00081981">
        <w:rPr>
          <w:rFonts w:ascii="宋体" w:hAnsi="宋体" w:hint="eastAsia"/>
          <w:bCs/>
          <w:sz w:val="24"/>
        </w:rPr>
        <w:t>，</w:t>
      </w:r>
      <w:r w:rsidRPr="00081981">
        <w:rPr>
          <w:rFonts w:ascii="宋体" w:hAnsi="宋体"/>
          <w:bCs/>
          <w:sz w:val="24"/>
        </w:rPr>
        <w:t>Fe</w:t>
      </w:r>
      <w:r w:rsidRPr="00081981">
        <w:rPr>
          <w:rFonts w:ascii="宋体" w:hAnsi="宋体" w:hint="eastAsia"/>
          <w:bCs/>
          <w:sz w:val="24"/>
        </w:rPr>
        <w:t>，</w:t>
      </w:r>
      <w:r w:rsidRPr="00081981">
        <w:rPr>
          <w:rFonts w:ascii="宋体" w:hAnsi="宋体"/>
          <w:bCs/>
          <w:sz w:val="24"/>
        </w:rPr>
        <w:t>Co</w:t>
      </w:r>
      <w:r w:rsidRPr="00081981">
        <w:rPr>
          <w:rFonts w:ascii="宋体" w:hAnsi="宋体" w:hint="eastAsia"/>
          <w:bCs/>
          <w:sz w:val="24"/>
        </w:rPr>
        <w:t>，</w:t>
      </w:r>
      <w:r w:rsidRPr="00081981">
        <w:rPr>
          <w:rFonts w:ascii="宋体" w:hAnsi="宋体"/>
          <w:bCs/>
          <w:sz w:val="24"/>
        </w:rPr>
        <w:t>Ni</w:t>
      </w:r>
      <w:r w:rsidRPr="00081981">
        <w:rPr>
          <w:rFonts w:ascii="宋体" w:hAnsi="宋体" w:hint="eastAsia"/>
          <w:bCs/>
          <w:sz w:val="24"/>
        </w:rPr>
        <w:t>，</w:t>
      </w:r>
      <w:r w:rsidRPr="00081981">
        <w:rPr>
          <w:rFonts w:ascii="宋体" w:hAnsi="宋体"/>
          <w:bCs/>
          <w:sz w:val="24"/>
        </w:rPr>
        <w:t>Cu</w:t>
      </w:r>
      <w:r w:rsidRPr="00081981">
        <w:rPr>
          <w:rFonts w:ascii="宋体" w:hAnsi="宋体" w:hint="eastAsia"/>
          <w:bCs/>
          <w:sz w:val="24"/>
        </w:rPr>
        <w:t>，</w:t>
      </w:r>
      <w:r w:rsidRPr="00081981">
        <w:rPr>
          <w:rFonts w:ascii="宋体" w:hAnsi="宋体"/>
          <w:bCs/>
          <w:sz w:val="24"/>
        </w:rPr>
        <w:t>Zn共16个元素的混合溶液，要求最终测试结果对于Na，Mg，Al，P，S，K，Ca，测试误差在10%以内；Ti</w:t>
      </w:r>
      <w:r w:rsidRPr="00081981">
        <w:rPr>
          <w:rFonts w:ascii="宋体" w:hAnsi="宋体" w:hint="eastAsia"/>
          <w:bCs/>
          <w:sz w:val="24"/>
        </w:rPr>
        <w:t>，</w:t>
      </w:r>
      <w:r w:rsidRPr="00081981">
        <w:rPr>
          <w:rFonts w:ascii="宋体" w:hAnsi="宋体"/>
          <w:bCs/>
          <w:sz w:val="24"/>
        </w:rPr>
        <w:t>V</w:t>
      </w:r>
      <w:r w:rsidRPr="00081981">
        <w:rPr>
          <w:rFonts w:ascii="宋体" w:hAnsi="宋体" w:hint="eastAsia"/>
          <w:bCs/>
          <w:sz w:val="24"/>
        </w:rPr>
        <w:t>，</w:t>
      </w:r>
      <w:r w:rsidRPr="00081981">
        <w:rPr>
          <w:rFonts w:ascii="宋体" w:hAnsi="宋体"/>
          <w:bCs/>
          <w:sz w:val="24"/>
        </w:rPr>
        <w:t>Cr</w:t>
      </w:r>
      <w:r w:rsidRPr="00081981">
        <w:rPr>
          <w:rFonts w:ascii="宋体" w:hAnsi="宋体" w:hint="eastAsia"/>
          <w:bCs/>
          <w:sz w:val="24"/>
        </w:rPr>
        <w:t>，</w:t>
      </w:r>
      <w:r w:rsidRPr="00081981">
        <w:rPr>
          <w:rFonts w:ascii="宋体" w:hAnsi="宋体"/>
          <w:bCs/>
          <w:sz w:val="24"/>
        </w:rPr>
        <w:t>Mn</w:t>
      </w:r>
      <w:r w:rsidRPr="00081981">
        <w:rPr>
          <w:rFonts w:ascii="宋体" w:hAnsi="宋体" w:hint="eastAsia"/>
          <w:bCs/>
          <w:sz w:val="24"/>
        </w:rPr>
        <w:t>，</w:t>
      </w:r>
      <w:r w:rsidRPr="00081981">
        <w:rPr>
          <w:rFonts w:ascii="宋体" w:hAnsi="宋体"/>
          <w:bCs/>
          <w:sz w:val="24"/>
        </w:rPr>
        <w:t>Fe</w:t>
      </w:r>
      <w:r w:rsidRPr="00081981">
        <w:rPr>
          <w:rFonts w:ascii="宋体" w:hAnsi="宋体" w:hint="eastAsia"/>
          <w:bCs/>
          <w:sz w:val="24"/>
        </w:rPr>
        <w:t>，</w:t>
      </w:r>
      <w:r w:rsidRPr="00081981">
        <w:rPr>
          <w:rFonts w:ascii="宋体" w:hAnsi="宋体"/>
          <w:bCs/>
          <w:sz w:val="24"/>
        </w:rPr>
        <w:t>Co</w:t>
      </w:r>
      <w:r w:rsidRPr="00081981">
        <w:rPr>
          <w:rFonts w:ascii="宋体" w:hAnsi="宋体" w:hint="eastAsia"/>
          <w:bCs/>
          <w:sz w:val="24"/>
        </w:rPr>
        <w:t>，</w:t>
      </w:r>
      <w:r w:rsidRPr="00081981">
        <w:rPr>
          <w:rFonts w:ascii="宋体" w:hAnsi="宋体"/>
          <w:bCs/>
          <w:sz w:val="24"/>
        </w:rPr>
        <w:t>Ni</w:t>
      </w:r>
      <w:r w:rsidRPr="00081981">
        <w:rPr>
          <w:rFonts w:ascii="宋体" w:hAnsi="宋体" w:hint="eastAsia"/>
          <w:bCs/>
          <w:sz w:val="24"/>
        </w:rPr>
        <w:t>，</w:t>
      </w:r>
      <w:r w:rsidRPr="00081981">
        <w:rPr>
          <w:rFonts w:ascii="宋体" w:hAnsi="宋体"/>
          <w:bCs/>
          <w:sz w:val="24"/>
        </w:rPr>
        <w:t>Cu</w:t>
      </w:r>
      <w:r w:rsidRPr="00081981">
        <w:rPr>
          <w:rFonts w:ascii="宋体" w:hAnsi="宋体" w:hint="eastAsia"/>
          <w:bCs/>
          <w:sz w:val="24"/>
        </w:rPr>
        <w:t>，</w:t>
      </w:r>
      <w:r w:rsidRPr="00081981">
        <w:rPr>
          <w:rFonts w:ascii="宋体" w:hAnsi="宋体"/>
          <w:bCs/>
          <w:sz w:val="24"/>
        </w:rPr>
        <w:t>Zn的测试误差在5%以内。测试RSD&lt;4%。</w:t>
      </w:r>
    </w:p>
    <w:p w:rsidR="00DC13B9" w:rsidRPr="00081981" w:rsidRDefault="00DC13B9" w:rsidP="00DC13B9">
      <w:pPr>
        <w:spacing w:line="360" w:lineRule="auto"/>
        <w:ind w:firstLineChars="200" w:firstLine="480"/>
        <w:rPr>
          <w:rFonts w:ascii="宋体" w:hAnsi="宋体"/>
          <w:kern w:val="0"/>
          <w:sz w:val="24"/>
        </w:rPr>
      </w:pPr>
      <w:r w:rsidRPr="00081981">
        <w:rPr>
          <w:rFonts w:ascii="宋体" w:hAnsi="宋体"/>
          <w:kern w:val="0"/>
          <w:sz w:val="24"/>
        </w:rPr>
        <w:t>3.3 X射线光管和光路</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3.3.1 X射线光管：金属陶瓷光管，微焦斑，</w:t>
      </w:r>
      <w:r w:rsidRPr="00081981">
        <w:rPr>
          <w:rFonts w:ascii="宋体" w:hAnsi="宋体"/>
          <w:kern w:val="0"/>
          <w:sz w:val="24"/>
        </w:rPr>
        <w:t>Be视窗；</w:t>
      </w:r>
      <w:r w:rsidRPr="00081981">
        <w:rPr>
          <w:rFonts w:ascii="宋体" w:hAnsi="宋体"/>
          <w:sz w:val="24"/>
        </w:rPr>
        <w:t>光斑尺寸不大于0.05x0.05 mm</w:t>
      </w:r>
      <w:r w:rsidRPr="00081981">
        <w:rPr>
          <w:rFonts w:ascii="宋体" w:hAnsi="宋体"/>
          <w:sz w:val="24"/>
          <w:vertAlign w:val="superscript"/>
        </w:rPr>
        <w:t>2</w:t>
      </w:r>
      <w:r w:rsidRPr="00081981">
        <w:rPr>
          <w:rFonts w:ascii="宋体" w:hAnsi="宋体"/>
          <w:sz w:val="24"/>
        </w:rPr>
        <w:t>。</w:t>
      </w:r>
    </w:p>
    <w:p w:rsidR="00DC13B9" w:rsidRPr="0049007E" w:rsidRDefault="00DC13B9" w:rsidP="00DC13B9">
      <w:pPr>
        <w:spacing w:line="360" w:lineRule="auto"/>
        <w:ind w:firstLineChars="200" w:firstLine="480"/>
        <w:rPr>
          <w:rFonts w:ascii="宋体" w:hAnsi="宋体"/>
          <w:sz w:val="24"/>
        </w:rPr>
      </w:pPr>
      <w:r w:rsidRPr="0049007E">
        <w:rPr>
          <w:rFonts w:ascii="宋体" w:hAnsi="宋体"/>
          <w:color w:val="0D0D0D"/>
          <w:sz w:val="24"/>
        </w:rPr>
        <w:lastRenderedPageBreak/>
        <w:t>*</w:t>
      </w:r>
      <w:r w:rsidRPr="0049007E">
        <w:rPr>
          <w:rFonts w:ascii="宋体" w:hAnsi="宋体"/>
          <w:sz w:val="24"/>
        </w:rPr>
        <w:t>3.3.2 功率：P ≤50W，激发电压 U：50 kV。</w:t>
      </w:r>
    </w:p>
    <w:p w:rsidR="00DC13B9" w:rsidRPr="0049007E" w:rsidRDefault="00DC13B9" w:rsidP="00DC13B9">
      <w:pPr>
        <w:spacing w:line="360" w:lineRule="auto"/>
        <w:ind w:firstLineChars="200" w:firstLine="480"/>
        <w:rPr>
          <w:rFonts w:ascii="宋体" w:hAnsi="宋体"/>
          <w:kern w:val="0"/>
          <w:szCs w:val="21"/>
        </w:rPr>
      </w:pPr>
      <w:r w:rsidRPr="0049007E">
        <w:rPr>
          <w:rFonts w:ascii="宋体" w:hAnsi="宋体"/>
          <w:sz w:val="24"/>
        </w:rPr>
        <w:t>3.3.3 激发电流</w:t>
      </w:r>
      <w:r w:rsidRPr="0049007E">
        <w:rPr>
          <w:rFonts w:ascii="宋体" w:hAnsi="宋体" w:hint="eastAsia"/>
          <w:sz w:val="24"/>
        </w:rPr>
        <w:t>：</w:t>
      </w:r>
      <w:r w:rsidRPr="0049007E">
        <w:rPr>
          <w:rFonts w:ascii="宋体" w:hAnsi="宋体"/>
          <w:sz w:val="24"/>
        </w:rPr>
        <w:t>I ≤ 1mA。</w:t>
      </w:r>
    </w:p>
    <w:p w:rsidR="00DC13B9" w:rsidRPr="0049007E" w:rsidRDefault="00DC13B9" w:rsidP="00DC13B9">
      <w:pPr>
        <w:autoSpaceDE w:val="0"/>
        <w:autoSpaceDN w:val="0"/>
        <w:adjustRightInd w:val="0"/>
        <w:spacing w:line="360" w:lineRule="auto"/>
        <w:ind w:firstLineChars="200" w:firstLine="480"/>
        <w:rPr>
          <w:rFonts w:ascii="宋体" w:hAnsi="宋体"/>
          <w:sz w:val="24"/>
        </w:rPr>
      </w:pPr>
      <w:r w:rsidRPr="0049007E">
        <w:rPr>
          <w:rFonts w:ascii="宋体" w:hAnsi="宋体"/>
          <w:color w:val="0D0D0D"/>
          <w:sz w:val="24"/>
        </w:rPr>
        <w:t>*</w:t>
      </w:r>
      <w:r w:rsidRPr="0049007E">
        <w:rPr>
          <w:rFonts w:ascii="宋体" w:hAnsi="宋体"/>
          <w:sz w:val="24"/>
        </w:rPr>
        <w:t>3.3.4 冷却方式：设备采用空气冷却（风冷）,无需额外的冷水机冷却。</w:t>
      </w:r>
    </w:p>
    <w:p w:rsidR="00DC13B9" w:rsidRPr="0049007E" w:rsidRDefault="00DC13B9" w:rsidP="00DC13B9">
      <w:pPr>
        <w:autoSpaceDE w:val="0"/>
        <w:autoSpaceDN w:val="0"/>
        <w:adjustRightInd w:val="0"/>
        <w:spacing w:line="360" w:lineRule="auto"/>
        <w:ind w:firstLineChars="200" w:firstLine="480"/>
        <w:rPr>
          <w:rFonts w:ascii="宋体" w:hAnsi="宋体"/>
          <w:sz w:val="24"/>
        </w:rPr>
      </w:pPr>
      <w:r w:rsidRPr="0049007E">
        <w:rPr>
          <w:rFonts w:ascii="宋体" w:hAnsi="宋体"/>
          <w:sz w:val="24"/>
        </w:rPr>
        <w:t>3.3.5 X射线入射光路自动调节，无需手动调整。</w:t>
      </w:r>
    </w:p>
    <w:p w:rsidR="00DC13B9" w:rsidRPr="0049007E" w:rsidRDefault="00DC13B9" w:rsidP="00DC13B9">
      <w:pPr>
        <w:autoSpaceDE w:val="0"/>
        <w:autoSpaceDN w:val="0"/>
        <w:adjustRightInd w:val="0"/>
        <w:spacing w:line="360" w:lineRule="auto"/>
        <w:ind w:firstLineChars="200" w:firstLine="480"/>
        <w:jc w:val="left"/>
        <w:rPr>
          <w:rFonts w:ascii="宋体" w:hAnsi="宋体"/>
          <w:sz w:val="24"/>
        </w:rPr>
      </w:pPr>
      <w:r w:rsidRPr="0049007E">
        <w:rPr>
          <w:rFonts w:ascii="宋体" w:hAnsi="宋体"/>
          <w:kern w:val="0"/>
          <w:sz w:val="24"/>
        </w:rPr>
        <w:t xml:space="preserve">3.4 </w:t>
      </w:r>
      <w:r w:rsidRPr="0049007E">
        <w:rPr>
          <w:rFonts w:ascii="宋体" w:hAnsi="宋体"/>
          <w:sz w:val="24"/>
        </w:rPr>
        <w:t>靶材和X射线光学部件</w:t>
      </w:r>
    </w:p>
    <w:p w:rsidR="00DC13B9" w:rsidRPr="0049007E" w:rsidRDefault="00DC13B9" w:rsidP="00DC13B9">
      <w:pPr>
        <w:autoSpaceDE w:val="0"/>
        <w:autoSpaceDN w:val="0"/>
        <w:adjustRightInd w:val="0"/>
        <w:spacing w:line="360" w:lineRule="auto"/>
        <w:ind w:firstLineChars="200" w:firstLine="480"/>
        <w:jc w:val="left"/>
        <w:rPr>
          <w:rFonts w:ascii="宋体" w:hAnsi="宋体"/>
          <w:sz w:val="24"/>
        </w:rPr>
      </w:pPr>
      <w:r w:rsidRPr="0049007E">
        <w:rPr>
          <w:rFonts w:ascii="宋体" w:hAnsi="宋体"/>
          <w:color w:val="0D0D0D"/>
          <w:sz w:val="24"/>
        </w:rPr>
        <w:t>*3.4.1 靶材</w:t>
      </w:r>
      <w:r w:rsidRPr="0049007E">
        <w:rPr>
          <w:rFonts w:ascii="宋体" w:hAnsi="宋体"/>
          <w:sz w:val="24"/>
        </w:rPr>
        <w:t>：双X射线靶材,Mo靶和W靶。</w:t>
      </w:r>
    </w:p>
    <w:p w:rsidR="00DC13B9" w:rsidRPr="0049007E" w:rsidRDefault="00DC13B9" w:rsidP="00DC13B9">
      <w:pPr>
        <w:autoSpaceDE w:val="0"/>
        <w:autoSpaceDN w:val="0"/>
        <w:adjustRightInd w:val="0"/>
        <w:spacing w:line="360" w:lineRule="auto"/>
        <w:ind w:firstLineChars="200" w:firstLine="480"/>
        <w:jc w:val="left"/>
        <w:rPr>
          <w:rFonts w:ascii="宋体" w:hAnsi="宋体"/>
          <w:sz w:val="24"/>
        </w:rPr>
      </w:pPr>
      <w:r w:rsidRPr="0049007E">
        <w:rPr>
          <w:rFonts w:ascii="宋体" w:hAnsi="宋体"/>
          <w:kern w:val="0"/>
          <w:sz w:val="24"/>
        </w:rPr>
        <w:t xml:space="preserve">#3.4.2 </w:t>
      </w:r>
      <w:r w:rsidRPr="0049007E">
        <w:rPr>
          <w:rFonts w:ascii="宋体" w:hAnsi="宋体"/>
          <w:sz w:val="24"/>
        </w:rPr>
        <w:t>X射线光学部件：至少配备三种激发模式：W-L(8.4Kev),Mo-k（17.5 keV）和W-beam（35keV），从而可以更好的测试各种原子序数的元素。</w:t>
      </w:r>
    </w:p>
    <w:p w:rsidR="00DC13B9" w:rsidRPr="0049007E" w:rsidRDefault="00DC13B9" w:rsidP="00DC13B9">
      <w:pPr>
        <w:autoSpaceDE w:val="0"/>
        <w:autoSpaceDN w:val="0"/>
        <w:adjustRightInd w:val="0"/>
        <w:spacing w:line="360" w:lineRule="auto"/>
        <w:ind w:firstLineChars="200" w:firstLine="480"/>
        <w:jc w:val="left"/>
        <w:rPr>
          <w:rFonts w:ascii="宋体" w:hAnsi="宋体"/>
          <w:kern w:val="0"/>
          <w:sz w:val="24"/>
        </w:rPr>
      </w:pPr>
      <w:r w:rsidRPr="0049007E">
        <w:rPr>
          <w:rFonts w:ascii="宋体" w:hAnsi="宋体"/>
          <w:kern w:val="0"/>
          <w:sz w:val="24"/>
        </w:rPr>
        <w:t xml:space="preserve">#3.5 设备探测器 </w:t>
      </w:r>
    </w:p>
    <w:p w:rsidR="00DC13B9" w:rsidRPr="00081981" w:rsidRDefault="00DC13B9" w:rsidP="00DC13B9">
      <w:pPr>
        <w:autoSpaceDE w:val="0"/>
        <w:autoSpaceDN w:val="0"/>
        <w:adjustRightInd w:val="0"/>
        <w:spacing w:line="360" w:lineRule="auto"/>
        <w:ind w:firstLineChars="200" w:firstLine="480"/>
        <w:jc w:val="left"/>
        <w:rPr>
          <w:rFonts w:ascii="宋体" w:hAnsi="宋体"/>
          <w:kern w:val="0"/>
          <w:sz w:val="24"/>
        </w:rPr>
      </w:pPr>
      <w:r w:rsidRPr="0049007E">
        <w:rPr>
          <w:rFonts w:ascii="宋体" w:hAnsi="宋体"/>
          <w:kern w:val="0"/>
          <w:sz w:val="24"/>
        </w:rPr>
        <w:t>3.5.1 高性能硅漂</w:t>
      </w:r>
      <w:r w:rsidRPr="00081981">
        <w:rPr>
          <w:rFonts w:ascii="宋体" w:hAnsi="宋体"/>
          <w:kern w:val="0"/>
          <w:sz w:val="24"/>
        </w:rPr>
        <w:t>移SDD探测器，活性面积不少于55mm</w:t>
      </w:r>
      <w:r w:rsidRPr="00081981">
        <w:rPr>
          <w:rFonts w:ascii="宋体" w:hAnsi="宋体"/>
          <w:kern w:val="0"/>
          <w:sz w:val="24"/>
          <w:vertAlign w:val="superscript"/>
        </w:rPr>
        <w:t>2</w:t>
      </w:r>
      <w:r w:rsidRPr="00081981">
        <w:rPr>
          <w:rFonts w:ascii="宋体" w:hAnsi="宋体"/>
          <w:kern w:val="0"/>
          <w:sz w:val="24"/>
        </w:rPr>
        <w:t>。</w:t>
      </w:r>
    </w:p>
    <w:p w:rsidR="00DC13B9" w:rsidRPr="00081981" w:rsidRDefault="00DC13B9" w:rsidP="00DC13B9">
      <w:pPr>
        <w:autoSpaceDE w:val="0"/>
        <w:autoSpaceDN w:val="0"/>
        <w:adjustRightInd w:val="0"/>
        <w:spacing w:line="360" w:lineRule="auto"/>
        <w:ind w:firstLineChars="200" w:firstLine="480"/>
        <w:jc w:val="left"/>
        <w:rPr>
          <w:rFonts w:ascii="宋体" w:hAnsi="宋体"/>
          <w:kern w:val="0"/>
          <w:sz w:val="24"/>
        </w:rPr>
      </w:pPr>
      <w:r w:rsidRPr="00081981">
        <w:rPr>
          <w:rFonts w:ascii="宋体" w:hAnsi="宋体"/>
          <w:kern w:val="0"/>
          <w:sz w:val="24"/>
        </w:rPr>
        <w:t>3.5.2 能量分辨率≤150eV。</w:t>
      </w:r>
    </w:p>
    <w:p w:rsidR="00DC13B9" w:rsidRPr="00081981" w:rsidRDefault="00DC13B9" w:rsidP="00DC13B9">
      <w:pPr>
        <w:autoSpaceDE w:val="0"/>
        <w:autoSpaceDN w:val="0"/>
        <w:adjustRightInd w:val="0"/>
        <w:spacing w:line="360" w:lineRule="auto"/>
        <w:ind w:firstLineChars="200" w:firstLine="480"/>
        <w:jc w:val="left"/>
        <w:rPr>
          <w:rFonts w:ascii="宋体" w:hAnsi="宋体"/>
          <w:kern w:val="0"/>
          <w:sz w:val="24"/>
        </w:rPr>
      </w:pPr>
      <w:r w:rsidRPr="00081981">
        <w:rPr>
          <w:rFonts w:ascii="宋体" w:hAnsi="宋体"/>
          <w:kern w:val="0"/>
          <w:sz w:val="24"/>
        </w:rPr>
        <w:t xml:space="preserve">3.6 </w:t>
      </w:r>
      <w:r w:rsidRPr="00081981">
        <w:rPr>
          <w:rFonts w:ascii="宋体" w:hAnsi="宋体"/>
          <w:sz w:val="24"/>
        </w:rPr>
        <w:t>设备软件</w:t>
      </w:r>
    </w:p>
    <w:p w:rsidR="00DC13B9" w:rsidRPr="00081981" w:rsidRDefault="00DC13B9" w:rsidP="00DC13B9">
      <w:pPr>
        <w:autoSpaceDE w:val="0"/>
        <w:autoSpaceDN w:val="0"/>
        <w:adjustRightInd w:val="0"/>
        <w:spacing w:line="360" w:lineRule="auto"/>
        <w:ind w:firstLineChars="200" w:firstLine="480"/>
        <w:jc w:val="left"/>
        <w:rPr>
          <w:rFonts w:ascii="宋体" w:hAnsi="宋体"/>
          <w:kern w:val="0"/>
          <w:sz w:val="24"/>
        </w:rPr>
      </w:pPr>
      <w:r w:rsidRPr="00081981">
        <w:rPr>
          <w:rFonts w:ascii="宋体" w:hAnsi="宋体" w:hint="eastAsia"/>
          <w:kern w:val="0"/>
          <w:sz w:val="24"/>
        </w:rPr>
        <w:t>3</w:t>
      </w:r>
      <w:r w:rsidRPr="00081981">
        <w:rPr>
          <w:rFonts w:ascii="宋体" w:hAnsi="宋体"/>
          <w:kern w:val="0"/>
          <w:sz w:val="24"/>
        </w:rPr>
        <w:t>.6.1 提供系统控制、数据采集分析、元素图谱解析软件包</w:t>
      </w:r>
      <w:r w:rsidRPr="00081981">
        <w:rPr>
          <w:rFonts w:ascii="宋体" w:hAnsi="宋体" w:hint="eastAsia"/>
          <w:kern w:val="0"/>
          <w:sz w:val="24"/>
        </w:rPr>
        <w:t>。</w:t>
      </w:r>
    </w:p>
    <w:p w:rsidR="00DC13B9" w:rsidRPr="00081981" w:rsidRDefault="00DC13B9" w:rsidP="00DC13B9">
      <w:pPr>
        <w:autoSpaceDE w:val="0"/>
        <w:autoSpaceDN w:val="0"/>
        <w:adjustRightInd w:val="0"/>
        <w:spacing w:line="360" w:lineRule="auto"/>
        <w:ind w:firstLineChars="200" w:firstLine="480"/>
        <w:jc w:val="left"/>
        <w:rPr>
          <w:rFonts w:ascii="宋体" w:hAnsi="宋体"/>
          <w:sz w:val="24"/>
          <w:shd w:val="clear" w:color="auto" w:fill="FFFFFF"/>
        </w:rPr>
      </w:pPr>
      <w:r w:rsidRPr="00081981">
        <w:rPr>
          <w:rFonts w:ascii="宋体" w:hAnsi="宋体"/>
          <w:sz w:val="24"/>
        </w:rPr>
        <w:t xml:space="preserve">3.6.2 </w:t>
      </w:r>
      <w:r w:rsidRPr="00081981">
        <w:rPr>
          <w:rFonts w:ascii="宋体" w:hAnsi="宋体"/>
          <w:sz w:val="24"/>
          <w:shd w:val="clear" w:color="auto" w:fill="FFFFFF"/>
        </w:rPr>
        <w:t>测试数据可设置mg/Kg</w:t>
      </w:r>
      <w:r w:rsidRPr="00081981">
        <w:rPr>
          <w:rFonts w:ascii="宋体" w:hAnsi="宋体" w:hint="eastAsia"/>
          <w:sz w:val="24"/>
          <w:shd w:val="clear" w:color="auto" w:fill="FFFFFF"/>
        </w:rPr>
        <w:t>，</w:t>
      </w:r>
      <w:r w:rsidRPr="00081981">
        <w:rPr>
          <w:rFonts w:ascii="宋体" w:hAnsi="宋体"/>
          <w:sz w:val="24"/>
          <w:shd w:val="clear" w:color="auto" w:fill="FFFFFF"/>
        </w:rPr>
        <w:t>mg/L</w:t>
      </w:r>
      <w:r w:rsidRPr="00081981">
        <w:rPr>
          <w:rFonts w:ascii="宋体" w:hAnsi="宋体" w:hint="eastAsia"/>
          <w:sz w:val="24"/>
          <w:shd w:val="clear" w:color="auto" w:fill="FFFFFF"/>
        </w:rPr>
        <w:t>，</w:t>
      </w:r>
      <w:r w:rsidRPr="00081981">
        <w:rPr>
          <w:rFonts w:ascii="宋体" w:hAnsi="宋体"/>
          <w:sz w:val="24"/>
          <w:shd w:val="clear" w:color="auto" w:fill="FFFFFF"/>
        </w:rPr>
        <w:t>ug/Kg 和</w:t>
      </w:r>
      <w:r w:rsidRPr="00081981">
        <w:rPr>
          <w:rFonts w:ascii="宋体" w:hAnsi="宋体" w:hint="eastAsia"/>
          <w:sz w:val="24"/>
          <w:shd w:val="clear" w:color="auto" w:fill="FFFFFF"/>
        </w:rPr>
        <w:t xml:space="preserve"> </w:t>
      </w:r>
      <w:r w:rsidRPr="00081981">
        <w:rPr>
          <w:rFonts w:ascii="宋体" w:hAnsi="宋体"/>
          <w:sz w:val="24"/>
          <w:shd w:val="clear" w:color="auto" w:fill="FFFFFF"/>
        </w:rPr>
        <w:t>ug/L，ng/Kg</w:t>
      </w:r>
      <w:r w:rsidRPr="00081981">
        <w:rPr>
          <w:rFonts w:ascii="宋体" w:hAnsi="宋体" w:hint="eastAsia"/>
          <w:sz w:val="24"/>
          <w:shd w:val="clear" w:color="auto" w:fill="FFFFFF"/>
        </w:rPr>
        <w:t>，</w:t>
      </w:r>
      <w:r w:rsidRPr="00081981">
        <w:rPr>
          <w:rFonts w:ascii="宋体" w:hAnsi="宋体"/>
          <w:sz w:val="24"/>
          <w:shd w:val="clear" w:color="auto" w:fill="FFFFFF"/>
        </w:rPr>
        <w:t>ng/L或者atoms/cm</w:t>
      </w:r>
      <w:r w:rsidRPr="00081981">
        <w:rPr>
          <w:rFonts w:ascii="宋体" w:hAnsi="宋体"/>
          <w:sz w:val="24"/>
          <w:shd w:val="clear" w:color="auto" w:fill="FFFFFF"/>
          <w:vertAlign w:val="superscript"/>
        </w:rPr>
        <w:t>2</w:t>
      </w:r>
      <w:r w:rsidRPr="00081981">
        <w:rPr>
          <w:rFonts w:ascii="宋体" w:hAnsi="宋体"/>
          <w:sz w:val="24"/>
          <w:shd w:val="clear" w:color="auto" w:fill="FFFFFF"/>
        </w:rPr>
        <w:t>以及%等单位。</w:t>
      </w:r>
    </w:p>
    <w:p w:rsidR="00DC13B9" w:rsidRPr="00081981" w:rsidRDefault="00DC13B9" w:rsidP="00DC13B9">
      <w:pPr>
        <w:autoSpaceDE w:val="0"/>
        <w:autoSpaceDN w:val="0"/>
        <w:adjustRightInd w:val="0"/>
        <w:spacing w:line="360" w:lineRule="auto"/>
        <w:ind w:firstLineChars="200" w:firstLine="480"/>
        <w:jc w:val="left"/>
        <w:rPr>
          <w:rFonts w:ascii="宋体" w:hAnsi="宋体"/>
          <w:kern w:val="0"/>
          <w:sz w:val="24"/>
        </w:rPr>
      </w:pPr>
      <w:r w:rsidRPr="00081981">
        <w:rPr>
          <w:rFonts w:ascii="宋体" w:hAnsi="宋体" w:hint="eastAsia"/>
          <w:kern w:val="0"/>
          <w:sz w:val="24"/>
        </w:rPr>
        <w:t>3</w:t>
      </w:r>
      <w:r w:rsidRPr="00081981">
        <w:rPr>
          <w:rFonts w:ascii="宋体" w:hAnsi="宋体"/>
          <w:kern w:val="0"/>
          <w:sz w:val="24"/>
        </w:rPr>
        <w:t xml:space="preserve">.6.3 </w:t>
      </w:r>
      <w:r w:rsidRPr="00081981">
        <w:rPr>
          <w:rFonts w:ascii="宋体" w:hAnsi="宋体"/>
          <w:sz w:val="24"/>
        </w:rPr>
        <w:t>提供 Na 到 U 之间的元素校准曲线。</w:t>
      </w:r>
    </w:p>
    <w:p w:rsidR="00DC13B9" w:rsidRPr="00081981" w:rsidRDefault="00DC13B9" w:rsidP="00DC13B9">
      <w:pPr>
        <w:autoSpaceDE w:val="0"/>
        <w:autoSpaceDN w:val="0"/>
        <w:adjustRightInd w:val="0"/>
        <w:spacing w:line="360" w:lineRule="auto"/>
        <w:ind w:firstLineChars="200" w:firstLine="480"/>
        <w:jc w:val="left"/>
        <w:rPr>
          <w:rFonts w:ascii="宋体" w:hAnsi="宋体"/>
          <w:kern w:val="0"/>
          <w:sz w:val="24"/>
        </w:rPr>
      </w:pPr>
      <w:r w:rsidRPr="00081981">
        <w:rPr>
          <w:rFonts w:ascii="宋体" w:hAnsi="宋体"/>
          <w:sz w:val="24"/>
        </w:rPr>
        <w:t>3.6.4 软件应具备多种分析模式：solid，liquid，standardless，absolute，Userdefined，contamination等多种类型样品分析模式。</w:t>
      </w:r>
    </w:p>
    <w:p w:rsidR="00DC13B9" w:rsidRPr="00081981" w:rsidRDefault="00DC13B9" w:rsidP="00DC13B9">
      <w:pPr>
        <w:autoSpaceDE w:val="0"/>
        <w:autoSpaceDN w:val="0"/>
        <w:adjustRightInd w:val="0"/>
        <w:spacing w:line="360" w:lineRule="auto"/>
        <w:ind w:firstLineChars="200" w:firstLine="480"/>
        <w:jc w:val="left"/>
        <w:rPr>
          <w:rFonts w:ascii="宋体" w:hAnsi="宋体"/>
          <w:kern w:val="0"/>
          <w:sz w:val="24"/>
        </w:rPr>
      </w:pPr>
      <w:r w:rsidRPr="00081981">
        <w:rPr>
          <w:rFonts w:ascii="宋体" w:hAnsi="宋体"/>
          <w:kern w:val="0"/>
          <w:sz w:val="24"/>
        </w:rPr>
        <w:t>3.7 样品进样</w:t>
      </w:r>
    </w:p>
    <w:p w:rsidR="00DC13B9" w:rsidRPr="0049007E" w:rsidRDefault="00DC13B9" w:rsidP="00DC13B9">
      <w:pPr>
        <w:tabs>
          <w:tab w:val="left" w:pos="422"/>
        </w:tabs>
        <w:overflowPunct w:val="0"/>
        <w:autoSpaceDE w:val="0"/>
        <w:autoSpaceDN w:val="0"/>
        <w:adjustRightInd w:val="0"/>
        <w:spacing w:line="360" w:lineRule="auto"/>
        <w:ind w:firstLineChars="200" w:firstLine="480"/>
        <w:rPr>
          <w:rFonts w:ascii="宋体" w:hAnsi="宋体"/>
          <w:bCs/>
          <w:sz w:val="24"/>
        </w:rPr>
      </w:pPr>
      <w:r w:rsidRPr="0049007E">
        <w:rPr>
          <w:rFonts w:ascii="宋体" w:hAnsi="宋体"/>
          <w:kern w:val="0"/>
          <w:sz w:val="24"/>
        </w:rPr>
        <w:t>#</w:t>
      </w:r>
      <w:r w:rsidRPr="0049007E">
        <w:rPr>
          <w:rFonts w:ascii="宋体" w:hAnsi="宋体"/>
          <w:bCs/>
          <w:sz w:val="24"/>
        </w:rPr>
        <w:t>3.7.1 设备不少于80位全自动进样。</w:t>
      </w:r>
    </w:p>
    <w:p w:rsidR="00DC13B9" w:rsidRPr="00081981" w:rsidRDefault="00DC13B9" w:rsidP="00DC13B9">
      <w:pPr>
        <w:tabs>
          <w:tab w:val="left" w:pos="422"/>
        </w:tabs>
        <w:overflowPunct w:val="0"/>
        <w:autoSpaceDE w:val="0"/>
        <w:autoSpaceDN w:val="0"/>
        <w:adjustRightInd w:val="0"/>
        <w:spacing w:line="360" w:lineRule="auto"/>
        <w:ind w:firstLineChars="200" w:firstLine="480"/>
        <w:rPr>
          <w:rFonts w:ascii="宋体" w:hAnsi="宋体"/>
          <w:bCs/>
          <w:sz w:val="24"/>
        </w:rPr>
      </w:pPr>
      <w:r w:rsidRPr="0049007E">
        <w:rPr>
          <w:rFonts w:ascii="宋体" w:hAnsi="宋体"/>
          <w:bCs/>
          <w:sz w:val="24"/>
        </w:rPr>
        <w:t>3.7.</w:t>
      </w:r>
      <w:r w:rsidRPr="00081981">
        <w:rPr>
          <w:rFonts w:ascii="宋体" w:hAnsi="宋体"/>
          <w:bCs/>
          <w:sz w:val="24"/>
        </w:rPr>
        <w:t>2 配备至少9个相应的样品进样托盘，每个进样托盘至少可放置9个样品；托盘能选择和随时调节测量顺序，进行优先测量，并配备相应的LED指示灯，显示测样进度，样品测试中LED亮。</w:t>
      </w:r>
    </w:p>
    <w:p w:rsidR="00DC13B9" w:rsidRPr="00081981" w:rsidRDefault="00DC13B9" w:rsidP="00DC13B9">
      <w:pPr>
        <w:tabs>
          <w:tab w:val="left" w:pos="422"/>
        </w:tabs>
        <w:overflowPunct w:val="0"/>
        <w:autoSpaceDE w:val="0"/>
        <w:autoSpaceDN w:val="0"/>
        <w:adjustRightInd w:val="0"/>
        <w:spacing w:line="360" w:lineRule="auto"/>
        <w:ind w:firstLineChars="200" w:firstLine="480"/>
        <w:rPr>
          <w:rFonts w:ascii="宋体" w:hAnsi="宋体"/>
          <w:bCs/>
          <w:sz w:val="24"/>
        </w:rPr>
      </w:pPr>
      <w:r w:rsidRPr="00081981">
        <w:rPr>
          <w:rFonts w:ascii="宋体" w:hAnsi="宋体"/>
          <w:bCs/>
          <w:sz w:val="24"/>
        </w:rPr>
        <w:t>3.7.3 配备取样机械手，从进样托盘自动取样，然后完成测试。</w:t>
      </w:r>
    </w:p>
    <w:p w:rsidR="00DC13B9" w:rsidRPr="00081981" w:rsidRDefault="00DC13B9" w:rsidP="00DC13B9">
      <w:pPr>
        <w:autoSpaceDE w:val="0"/>
        <w:autoSpaceDN w:val="0"/>
        <w:adjustRightInd w:val="0"/>
        <w:spacing w:line="360" w:lineRule="auto"/>
        <w:ind w:firstLineChars="200" w:firstLine="480"/>
        <w:jc w:val="left"/>
        <w:rPr>
          <w:rFonts w:ascii="宋体" w:hAnsi="宋体"/>
          <w:kern w:val="0"/>
          <w:sz w:val="24"/>
        </w:rPr>
      </w:pPr>
      <w:r w:rsidRPr="00081981">
        <w:rPr>
          <w:rFonts w:ascii="宋体" w:hAnsi="宋体"/>
          <w:kern w:val="0"/>
          <w:sz w:val="24"/>
        </w:rPr>
        <w:t>3.8 设备安全</w:t>
      </w:r>
    </w:p>
    <w:p w:rsidR="00DC13B9" w:rsidRPr="00081981" w:rsidRDefault="00DC13B9" w:rsidP="00DC13B9">
      <w:pPr>
        <w:snapToGrid w:val="0"/>
        <w:spacing w:line="360" w:lineRule="auto"/>
        <w:ind w:firstLineChars="200" w:firstLine="480"/>
        <w:rPr>
          <w:rFonts w:ascii="宋体" w:hAnsi="宋体"/>
          <w:b/>
          <w:sz w:val="24"/>
        </w:rPr>
      </w:pPr>
      <w:r w:rsidRPr="00081981">
        <w:rPr>
          <w:rFonts w:ascii="宋体" w:hAnsi="宋体"/>
          <w:sz w:val="24"/>
        </w:rPr>
        <w:t>3.8.1 设备采用多级密码保护，在使用前需要钥匙才能启动（至少配备2把钥匙），保</w:t>
      </w:r>
      <w:r w:rsidRPr="00081981">
        <w:rPr>
          <w:rFonts w:ascii="宋体" w:hAnsi="宋体"/>
          <w:bCs/>
          <w:sz w:val="24"/>
        </w:rPr>
        <w:t>证仪器使用安全。</w:t>
      </w:r>
    </w:p>
    <w:p w:rsidR="00DC13B9" w:rsidRPr="00081981" w:rsidRDefault="00DC13B9" w:rsidP="00DC13B9">
      <w:pPr>
        <w:numPr>
          <w:ilvl w:val="0"/>
          <w:numId w:val="1"/>
        </w:numPr>
        <w:spacing w:line="360" w:lineRule="auto"/>
        <w:rPr>
          <w:rFonts w:ascii="宋体" w:hAnsi="宋体"/>
          <w:b/>
          <w:bCs/>
          <w:sz w:val="24"/>
        </w:rPr>
      </w:pPr>
      <w:r w:rsidRPr="00081981">
        <w:rPr>
          <w:rFonts w:ascii="宋体" w:hAnsi="宋体"/>
          <w:b/>
          <w:sz w:val="24"/>
        </w:rPr>
        <w:t>产品配置要求</w:t>
      </w:r>
    </w:p>
    <w:p w:rsidR="00DC13B9" w:rsidRPr="00081981" w:rsidRDefault="00DC13B9" w:rsidP="00DC13B9">
      <w:pPr>
        <w:spacing w:line="360" w:lineRule="auto"/>
        <w:ind w:firstLineChars="200" w:firstLine="480"/>
        <w:jc w:val="left"/>
        <w:rPr>
          <w:rFonts w:ascii="宋体" w:hAnsi="宋体"/>
          <w:bCs/>
          <w:sz w:val="24"/>
        </w:rPr>
      </w:pPr>
      <w:r w:rsidRPr="00081981">
        <w:rPr>
          <w:rFonts w:ascii="宋体" w:hAnsi="宋体"/>
          <w:bCs/>
          <w:sz w:val="24"/>
        </w:rPr>
        <w:t>4.1高分辨全反射痕量元素分析仪  一台</w:t>
      </w:r>
    </w:p>
    <w:p w:rsidR="00DC13B9" w:rsidRPr="00081981" w:rsidRDefault="00DC13B9" w:rsidP="00DC13B9">
      <w:pPr>
        <w:spacing w:line="360" w:lineRule="auto"/>
        <w:ind w:firstLineChars="200" w:firstLine="480"/>
        <w:jc w:val="left"/>
        <w:rPr>
          <w:rFonts w:ascii="宋体" w:hAnsi="宋体"/>
          <w:bCs/>
          <w:sz w:val="24"/>
        </w:rPr>
      </w:pPr>
      <w:r w:rsidRPr="00081981">
        <w:rPr>
          <w:rFonts w:ascii="宋体" w:hAnsi="宋体"/>
          <w:bCs/>
          <w:sz w:val="24"/>
        </w:rPr>
        <w:t>4.2 备件</w:t>
      </w:r>
    </w:p>
    <w:p w:rsidR="00DC13B9" w:rsidRPr="00081981" w:rsidRDefault="00DC13B9" w:rsidP="00DC13B9">
      <w:pPr>
        <w:spacing w:line="360" w:lineRule="auto"/>
        <w:ind w:firstLineChars="200" w:firstLine="480"/>
        <w:jc w:val="left"/>
        <w:rPr>
          <w:rFonts w:ascii="宋体" w:hAnsi="宋体"/>
          <w:bCs/>
          <w:sz w:val="24"/>
        </w:rPr>
      </w:pPr>
      <w:r w:rsidRPr="00081981">
        <w:rPr>
          <w:rFonts w:ascii="宋体" w:hAnsi="宋体" w:hint="eastAsia"/>
          <w:bCs/>
          <w:sz w:val="24"/>
        </w:rPr>
        <w:lastRenderedPageBreak/>
        <w:t xml:space="preserve">4.2.1 </w:t>
      </w:r>
      <w:r w:rsidRPr="00081981">
        <w:rPr>
          <w:rFonts w:ascii="宋体" w:hAnsi="宋体"/>
          <w:bCs/>
          <w:sz w:val="24"/>
        </w:rPr>
        <w:t>配备至少50个相应的石英载玻片和200个一次性聚丙烯酸玻璃载玻片。</w:t>
      </w:r>
    </w:p>
    <w:p w:rsidR="00DC13B9" w:rsidRPr="00081981" w:rsidRDefault="00DC13B9" w:rsidP="00DC13B9">
      <w:pPr>
        <w:spacing w:line="360" w:lineRule="auto"/>
        <w:ind w:firstLineChars="200" w:firstLine="480"/>
        <w:jc w:val="left"/>
        <w:rPr>
          <w:rFonts w:ascii="宋体" w:hAnsi="宋体"/>
          <w:bCs/>
          <w:sz w:val="24"/>
        </w:rPr>
      </w:pPr>
      <w:r w:rsidRPr="00081981">
        <w:rPr>
          <w:rFonts w:ascii="宋体" w:hAnsi="宋体"/>
          <w:bCs/>
          <w:sz w:val="24"/>
        </w:rPr>
        <w:t>4.2.2 25位载玻片清洗卡槽一个</w:t>
      </w:r>
    </w:p>
    <w:p w:rsidR="00DC13B9" w:rsidRPr="00081981" w:rsidRDefault="00DC13B9" w:rsidP="00DC13B9">
      <w:pPr>
        <w:spacing w:line="360" w:lineRule="auto"/>
        <w:ind w:firstLineChars="200" w:firstLine="480"/>
        <w:jc w:val="left"/>
        <w:rPr>
          <w:rFonts w:ascii="宋体" w:hAnsi="宋体"/>
          <w:bCs/>
          <w:sz w:val="24"/>
        </w:rPr>
      </w:pPr>
      <w:r w:rsidRPr="00081981">
        <w:rPr>
          <w:rFonts w:ascii="宋体" w:hAnsi="宋体"/>
          <w:bCs/>
          <w:sz w:val="24"/>
        </w:rPr>
        <w:t>4.2.3 样品定位滴定工具一个</w:t>
      </w:r>
    </w:p>
    <w:p w:rsidR="00DC13B9" w:rsidRPr="00081981" w:rsidRDefault="00DC13B9" w:rsidP="00DC13B9">
      <w:pPr>
        <w:spacing w:line="360" w:lineRule="auto"/>
        <w:ind w:firstLineChars="200" w:firstLine="480"/>
        <w:jc w:val="left"/>
        <w:rPr>
          <w:rFonts w:ascii="宋体" w:hAnsi="宋体"/>
          <w:bCs/>
          <w:sz w:val="24"/>
        </w:rPr>
      </w:pPr>
      <w:r w:rsidRPr="00081981">
        <w:rPr>
          <w:rFonts w:ascii="宋体" w:hAnsi="宋体"/>
          <w:bCs/>
          <w:sz w:val="24"/>
        </w:rPr>
        <w:t>4.2.3 不少于25个石英载玻片储存盒。</w:t>
      </w:r>
    </w:p>
    <w:p w:rsidR="00DC13B9" w:rsidRPr="00081981" w:rsidRDefault="00DC13B9" w:rsidP="00DC13B9">
      <w:pPr>
        <w:spacing w:line="360" w:lineRule="auto"/>
        <w:ind w:firstLineChars="200" w:firstLine="480"/>
        <w:jc w:val="left"/>
        <w:rPr>
          <w:rFonts w:ascii="宋体" w:hAnsi="宋体"/>
          <w:bCs/>
          <w:sz w:val="24"/>
        </w:rPr>
      </w:pPr>
      <w:r w:rsidRPr="00081981">
        <w:rPr>
          <w:rFonts w:ascii="宋体" w:hAnsi="宋体"/>
          <w:bCs/>
          <w:sz w:val="24"/>
        </w:rPr>
        <w:t>4.2.4 10个进样托盘</w:t>
      </w:r>
    </w:p>
    <w:p w:rsidR="00DC13B9" w:rsidRPr="00081981" w:rsidRDefault="00DC13B9" w:rsidP="00DC13B9">
      <w:pPr>
        <w:spacing w:line="360" w:lineRule="auto"/>
        <w:ind w:firstLineChars="200" w:firstLine="480"/>
        <w:jc w:val="left"/>
        <w:rPr>
          <w:rFonts w:ascii="宋体" w:hAnsi="宋体"/>
          <w:bCs/>
          <w:sz w:val="24"/>
        </w:rPr>
      </w:pPr>
      <w:r w:rsidRPr="00081981">
        <w:rPr>
          <w:rFonts w:ascii="宋体" w:hAnsi="宋体" w:hint="eastAsia"/>
          <w:bCs/>
          <w:sz w:val="24"/>
        </w:rPr>
        <w:t>4</w:t>
      </w:r>
      <w:r w:rsidRPr="00081981">
        <w:rPr>
          <w:rFonts w:ascii="宋体" w:hAnsi="宋体"/>
          <w:bCs/>
          <w:sz w:val="24"/>
        </w:rPr>
        <w:t>.2.5 样品制备整套设备包：加热平板一台；摇匀振荡器一台</w:t>
      </w:r>
    </w:p>
    <w:p w:rsidR="00DC13B9" w:rsidRPr="00081981" w:rsidRDefault="00DC13B9" w:rsidP="00DC13B9">
      <w:pPr>
        <w:spacing w:line="360" w:lineRule="auto"/>
        <w:ind w:firstLineChars="200" w:firstLine="480"/>
        <w:jc w:val="left"/>
        <w:rPr>
          <w:rFonts w:ascii="宋体" w:hAnsi="宋体"/>
          <w:sz w:val="24"/>
        </w:rPr>
      </w:pPr>
      <w:r w:rsidRPr="00081981">
        <w:rPr>
          <w:rFonts w:ascii="宋体" w:hAnsi="宋体"/>
          <w:sz w:val="24"/>
        </w:rPr>
        <w:t>4.2.6 设备控制数据采集电脑一台。</w:t>
      </w:r>
    </w:p>
    <w:p w:rsidR="00DC13B9" w:rsidRPr="00081981" w:rsidRDefault="00DC13B9" w:rsidP="00DC13B9">
      <w:pPr>
        <w:spacing w:line="360" w:lineRule="auto"/>
        <w:ind w:firstLineChars="200" w:firstLine="480"/>
        <w:jc w:val="left"/>
        <w:rPr>
          <w:rFonts w:ascii="宋体" w:hAnsi="宋体"/>
          <w:bCs/>
          <w:sz w:val="24"/>
        </w:rPr>
      </w:pPr>
      <w:r w:rsidRPr="00081981">
        <w:rPr>
          <w:rFonts w:ascii="宋体" w:hAnsi="宋体"/>
          <w:sz w:val="24"/>
        </w:rPr>
        <w:t>4.2.7 Ga和Se内标溶液各一瓶。</w:t>
      </w:r>
    </w:p>
    <w:p w:rsidR="00DC13B9" w:rsidRPr="00081981" w:rsidRDefault="00DC13B9" w:rsidP="00DC13B9">
      <w:pPr>
        <w:numPr>
          <w:ilvl w:val="0"/>
          <w:numId w:val="1"/>
        </w:numPr>
        <w:spacing w:line="360" w:lineRule="auto"/>
        <w:rPr>
          <w:rFonts w:ascii="宋体" w:hAnsi="宋体"/>
          <w:b/>
          <w:bCs/>
          <w:sz w:val="24"/>
        </w:rPr>
      </w:pPr>
      <w:r w:rsidRPr="00081981">
        <w:rPr>
          <w:rFonts w:ascii="宋体" w:hAnsi="宋体"/>
          <w:b/>
          <w:sz w:val="24"/>
        </w:rPr>
        <w:t>选购附件、备件及消耗品(投标请提供单独报价)</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5.1 石英载玻片</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5.2 一次性聚丙烯酸玻璃载玻片</w:t>
      </w:r>
    </w:p>
    <w:p w:rsidR="00DC13B9" w:rsidRPr="00081981" w:rsidRDefault="00DC13B9" w:rsidP="00DC13B9">
      <w:pPr>
        <w:numPr>
          <w:ilvl w:val="0"/>
          <w:numId w:val="1"/>
        </w:numPr>
        <w:spacing w:line="360" w:lineRule="auto"/>
        <w:rPr>
          <w:rFonts w:ascii="宋体" w:hAnsi="宋体"/>
          <w:b/>
          <w:bCs/>
          <w:sz w:val="24"/>
        </w:rPr>
      </w:pPr>
      <w:r w:rsidRPr="00081981">
        <w:rPr>
          <w:rFonts w:ascii="宋体" w:hAnsi="宋体"/>
          <w:b/>
          <w:sz w:val="24"/>
        </w:rPr>
        <w:t>技术文件</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6.1 投标人提供的产品样本，必须是“原件”而非复印件，图表、简图、电路图以及印刷电路板图等都应清晰易读。买方有权不付任何附加费用复制这些资料以供参考。</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6.2 为便于用户进行接收仪器的准备工作，卖方应在合同生效后</w:t>
      </w:r>
      <w:r w:rsidRPr="00081981">
        <w:rPr>
          <w:rFonts w:ascii="宋体" w:hAnsi="宋体"/>
          <w:b/>
          <w:sz w:val="24"/>
        </w:rPr>
        <w:t>60</w:t>
      </w:r>
      <w:r w:rsidRPr="00081981">
        <w:rPr>
          <w:rFonts w:ascii="宋体" w:hAnsi="宋体"/>
          <w:sz w:val="24"/>
        </w:rPr>
        <w:t>天内向用户提供一套完整的使用说明书、操作手册、维修及安装说明等文件。另一套完整上述资料应在交货时随货包装提供给用户，这些费用应计入投标价中。</w:t>
      </w:r>
    </w:p>
    <w:p w:rsidR="00DC13B9" w:rsidRPr="00081981" w:rsidRDefault="00DC13B9" w:rsidP="00DC13B9">
      <w:pPr>
        <w:numPr>
          <w:ilvl w:val="0"/>
          <w:numId w:val="1"/>
        </w:numPr>
        <w:spacing w:line="360" w:lineRule="auto"/>
        <w:rPr>
          <w:rFonts w:ascii="宋体" w:hAnsi="宋体"/>
          <w:b/>
          <w:bCs/>
          <w:sz w:val="24"/>
        </w:rPr>
      </w:pPr>
      <w:r w:rsidRPr="00081981">
        <w:rPr>
          <w:rFonts w:ascii="宋体" w:hAnsi="宋体"/>
          <w:b/>
          <w:sz w:val="24"/>
        </w:rPr>
        <w:t>技术服务</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7.1 设备安装调试</w:t>
      </w:r>
    </w:p>
    <w:p w:rsidR="00DC13B9" w:rsidRPr="00081981" w:rsidRDefault="00DC13B9" w:rsidP="00DC13B9">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81981">
          <w:rPr>
            <w:rFonts w:ascii="宋体" w:hAnsi="宋体"/>
            <w:sz w:val="24"/>
          </w:rPr>
          <w:t>7.1.1</w:t>
        </w:r>
      </w:smartTag>
      <w:r w:rsidRPr="00081981">
        <w:rPr>
          <w:rFonts w:ascii="宋体" w:hAnsi="宋体"/>
          <w:sz w:val="24"/>
        </w:rPr>
        <w:t xml:space="preserve"> </w:t>
      </w:r>
      <w:r w:rsidRPr="00081981">
        <w:rPr>
          <w:rFonts w:ascii="宋体" w:hAnsi="宋体"/>
          <w:color w:val="000000"/>
          <w:sz w:val="24"/>
        </w:rPr>
        <w:t>仪器到达用户所在地后, 在接到用户通知后2周内执行安装调试直至达到验收指标。</w:t>
      </w:r>
    </w:p>
    <w:p w:rsidR="00DC13B9" w:rsidRPr="00081981" w:rsidRDefault="00DC13B9" w:rsidP="00DC13B9">
      <w:pPr>
        <w:spacing w:line="360" w:lineRule="auto"/>
        <w:ind w:firstLineChars="200" w:firstLine="480"/>
        <w:rPr>
          <w:rFonts w:ascii="宋体" w:hAnsi="宋体"/>
          <w:color w:val="000000"/>
          <w:sz w:val="24"/>
        </w:rPr>
      </w:pPr>
      <w:r w:rsidRPr="00081981">
        <w:rPr>
          <w:rFonts w:ascii="宋体" w:hAnsi="宋体"/>
          <w:sz w:val="24"/>
        </w:rPr>
        <w:t xml:space="preserve">7.1.2 </w:t>
      </w:r>
      <w:r w:rsidRPr="00081981">
        <w:rPr>
          <w:rFonts w:ascii="宋体" w:hAnsi="宋体"/>
          <w:color w:val="000000"/>
          <w:sz w:val="24"/>
        </w:rPr>
        <w:t>每台仪器的安装调试-验收期不应长于10个工作日。</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7.2 技术培训</w:t>
      </w:r>
    </w:p>
    <w:p w:rsidR="00DC13B9" w:rsidRPr="00081981" w:rsidRDefault="00DC13B9" w:rsidP="00DC13B9">
      <w:pPr>
        <w:pStyle w:val="a5"/>
        <w:spacing w:line="360" w:lineRule="auto"/>
        <w:ind w:firstLineChars="200" w:firstLine="480"/>
        <w:rPr>
          <w:rFonts w:ascii="宋体" w:hAnsi="宋体"/>
          <w:color w:val="000000"/>
          <w:sz w:val="24"/>
        </w:rPr>
      </w:pPr>
      <w:r w:rsidRPr="00081981">
        <w:rPr>
          <w:rFonts w:ascii="宋体" w:hAnsi="宋体"/>
          <w:color w:val="000000"/>
          <w:sz w:val="24"/>
        </w:rPr>
        <w:t>在用户所在地对用户进行至少1人、至少为期5个工作日的免费培训。培训内容包括仪器的技术原理、操作、数据处理、基本维护等。</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7.3 保修期</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整机保修期一年，保修期自设备验收合格之日起计算， 保修期内提供非人为操作造成的损坏应免费保修，包括人工费、仪器的全部零配件。</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免费搬运：五年内提供一次设备搬运机会，免收搬运费用。</w:t>
      </w:r>
    </w:p>
    <w:p w:rsidR="00DC13B9" w:rsidRPr="00081981" w:rsidRDefault="00DC13B9" w:rsidP="00DC13B9">
      <w:pPr>
        <w:spacing w:line="360" w:lineRule="auto"/>
        <w:ind w:firstLineChars="200" w:firstLine="480"/>
        <w:rPr>
          <w:rFonts w:ascii="宋体" w:hAnsi="宋体"/>
          <w:sz w:val="24"/>
        </w:rPr>
      </w:pPr>
      <w:r w:rsidRPr="00081981">
        <w:rPr>
          <w:rFonts w:ascii="宋体" w:hAnsi="宋体"/>
          <w:color w:val="000000"/>
          <w:sz w:val="24"/>
        </w:rPr>
        <w:t>保修期满前1个月内卖方应负责一次免费全面检查，如发现潜在问题，应负责排除。</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lastRenderedPageBreak/>
        <w:t>7.4 维修响应时间：</w:t>
      </w:r>
      <w:r w:rsidRPr="00081981">
        <w:rPr>
          <w:rFonts w:ascii="宋体" w:hAnsi="宋体"/>
          <w:color w:val="000000"/>
          <w:sz w:val="24"/>
        </w:rPr>
        <w:t>卖方应在24小时内对用户的服务要求作出响应，一般问题应在48小时内解决，重大问题或其它无法迅速解决的问题应在一周内解决或提出明确解决方案，否则卖方应赔偿相应损失。</w:t>
      </w:r>
    </w:p>
    <w:p w:rsidR="00DC13B9" w:rsidRPr="00081981" w:rsidRDefault="00DC13B9" w:rsidP="00DC13B9">
      <w:pPr>
        <w:spacing w:line="360" w:lineRule="auto"/>
        <w:ind w:firstLineChars="200" w:firstLine="480"/>
        <w:rPr>
          <w:rFonts w:ascii="宋体" w:hAnsi="宋体"/>
          <w:color w:val="000000"/>
          <w:sz w:val="24"/>
        </w:rPr>
      </w:pPr>
      <w:r w:rsidRPr="00081981">
        <w:rPr>
          <w:rFonts w:ascii="宋体" w:hAnsi="宋体"/>
          <w:sz w:val="24"/>
        </w:rPr>
        <w:t xml:space="preserve">7.5 </w:t>
      </w:r>
      <w:r w:rsidRPr="00081981">
        <w:rPr>
          <w:rFonts w:ascii="宋体" w:hAnsi="宋体"/>
          <w:color w:val="000000"/>
          <w:sz w:val="24"/>
        </w:rPr>
        <w:t>软、硬件升级：卖方应免费向用户提供自验收之后未来3年的仪器软件升级和优惠提供与之相关的硬件升级。</w:t>
      </w:r>
    </w:p>
    <w:p w:rsidR="00DC13B9" w:rsidRPr="00081981" w:rsidRDefault="00DC13B9" w:rsidP="00DC13B9">
      <w:pPr>
        <w:numPr>
          <w:ilvl w:val="0"/>
          <w:numId w:val="1"/>
        </w:numPr>
        <w:spacing w:line="360" w:lineRule="auto"/>
        <w:rPr>
          <w:rFonts w:ascii="宋体" w:hAnsi="宋体"/>
          <w:b/>
          <w:bCs/>
          <w:sz w:val="24"/>
        </w:rPr>
      </w:pPr>
      <w:r w:rsidRPr="00081981">
        <w:rPr>
          <w:rFonts w:ascii="宋体" w:hAnsi="宋体"/>
          <w:b/>
          <w:sz w:val="24"/>
        </w:rPr>
        <w:t>订购数量目的港：</w:t>
      </w:r>
    </w:p>
    <w:p w:rsidR="00DC13B9" w:rsidRPr="00081981" w:rsidRDefault="00DC13B9" w:rsidP="00DC13B9">
      <w:pPr>
        <w:spacing w:line="360" w:lineRule="auto"/>
        <w:ind w:firstLineChars="200" w:firstLine="480"/>
        <w:rPr>
          <w:rFonts w:ascii="宋体" w:hAnsi="宋体"/>
          <w:sz w:val="24"/>
        </w:rPr>
      </w:pPr>
      <w:r w:rsidRPr="00081981">
        <w:rPr>
          <w:rFonts w:ascii="宋体" w:hAnsi="宋体"/>
          <w:sz w:val="24"/>
        </w:rPr>
        <w:t>CIF北京海港  一台</w:t>
      </w:r>
    </w:p>
    <w:p w:rsidR="00DC13B9" w:rsidRPr="00081981" w:rsidRDefault="00DC13B9" w:rsidP="00DC13B9">
      <w:pPr>
        <w:numPr>
          <w:ilvl w:val="0"/>
          <w:numId w:val="1"/>
        </w:numPr>
        <w:spacing w:line="360" w:lineRule="auto"/>
        <w:rPr>
          <w:rFonts w:ascii="宋体" w:hAnsi="宋体"/>
          <w:b/>
          <w:sz w:val="24"/>
        </w:rPr>
      </w:pPr>
      <w:r w:rsidRPr="00081981">
        <w:rPr>
          <w:rFonts w:ascii="宋体" w:hAnsi="宋体"/>
          <w:b/>
          <w:sz w:val="24"/>
        </w:rPr>
        <w:t>交货日期：</w:t>
      </w:r>
    </w:p>
    <w:p w:rsidR="00DC13B9" w:rsidRPr="00081981" w:rsidRDefault="00DC13B9" w:rsidP="00DC13B9">
      <w:pPr>
        <w:spacing w:line="360" w:lineRule="auto"/>
        <w:ind w:firstLineChars="200" w:firstLine="480"/>
        <w:rPr>
          <w:rFonts w:ascii="宋体" w:hAnsi="宋体"/>
          <w:b/>
          <w:sz w:val="24"/>
        </w:rPr>
      </w:pPr>
      <w:r w:rsidRPr="00081981">
        <w:rPr>
          <w:rFonts w:ascii="宋体" w:hAnsi="宋体"/>
          <w:bCs/>
          <w:color w:val="000000"/>
          <w:sz w:val="24"/>
        </w:rPr>
        <w:t>签订外贸合同后5个月内</w:t>
      </w:r>
    </w:p>
    <w:p w:rsidR="00DC13B9" w:rsidRPr="00081981" w:rsidRDefault="00DC13B9" w:rsidP="00DC13B9">
      <w:pPr>
        <w:numPr>
          <w:ilvl w:val="0"/>
          <w:numId w:val="1"/>
        </w:numPr>
        <w:spacing w:line="360" w:lineRule="auto"/>
        <w:rPr>
          <w:rFonts w:ascii="宋体" w:hAnsi="宋体"/>
          <w:b/>
          <w:sz w:val="24"/>
        </w:rPr>
      </w:pPr>
      <w:r w:rsidRPr="00081981">
        <w:rPr>
          <w:rFonts w:ascii="宋体" w:hAnsi="宋体"/>
          <w:b/>
          <w:sz w:val="24"/>
        </w:rPr>
        <w:t>执行的相关标准</w:t>
      </w:r>
    </w:p>
    <w:p w:rsidR="00DC13B9" w:rsidRPr="00081981" w:rsidRDefault="00DC13B9" w:rsidP="00DC13B9">
      <w:pPr>
        <w:spacing w:line="360" w:lineRule="auto"/>
        <w:ind w:left="600"/>
        <w:rPr>
          <w:rFonts w:ascii="宋体" w:hAnsi="宋体"/>
          <w:b/>
          <w:sz w:val="24"/>
        </w:rPr>
      </w:pPr>
      <w:r w:rsidRPr="00081981">
        <w:rPr>
          <w:rFonts w:ascii="宋体" w:hAnsi="宋体"/>
          <w:b/>
          <w:sz w:val="24"/>
        </w:rPr>
        <w:t>无</w:t>
      </w:r>
    </w:p>
    <w:p w:rsidR="00DC13B9" w:rsidRPr="00081981" w:rsidRDefault="00DC13B9" w:rsidP="00DC13B9">
      <w:pPr>
        <w:adjustRightInd w:val="0"/>
        <w:snapToGrid w:val="0"/>
        <w:spacing w:line="360" w:lineRule="auto"/>
        <w:rPr>
          <w:rFonts w:ascii="宋体" w:hAnsi="宋体"/>
          <w:color w:val="000000"/>
          <w:sz w:val="24"/>
        </w:rPr>
      </w:pPr>
    </w:p>
    <w:p w:rsidR="00DC13B9" w:rsidRPr="00081981" w:rsidRDefault="00DC13B9" w:rsidP="00DC13B9">
      <w:pPr>
        <w:adjustRightInd w:val="0"/>
        <w:snapToGrid w:val="0"/>
        <w:spacing w:line="360" w:lineRule="auto"/>
        <w:rPr>
          <w:rFonts w:ascii="宋体" w:hAnsi="宋体"/>
          <w:b/>
          <w:kern w:val="0"/>
          <w:sz w:val="24"/>
        </w:rPr>
      </w:pPr>
      <w:r w:rsidRPr="00081981">
        <w:rPr>
          <w:rFonts w:ascii="宋体" w:hAnsi="宋体"/>
          <w:b/>
          <w:sz w:val="24"/>
        </w:rPr>
        <w:t>说明：</w:t>
      </w:r>
      <w:r w:rsidRPr="00081981">
        <w:rPr>
          <w:rFonts w:ascii="宋体" w:hAnsi="宋体"/>
          <w:b/>
          <w:kern w:val="0"/>
          <w:sz w:val="24"/>
        </w:rPr>
        <w:t>*标注的是必须满足的项目,</w:t>
      </w:r>
      <w:r w:rsidRPr="00081981">
        <w:rPr>
          <w:rFonts w:ascii="宋体" w:hAnsi="宋体"/>
          <w:color w:val="0D0D0D"/>
          <w:sz w:val="24"/>
        </w:rPr>
        <w:t xml:space="preserve"> </w:t>
      </w:r>
      <w:r w:rsidRPr="00081981">
        <w:rPr>
          <w:rFonts w:ascii="宋体" w:hAnsi="宋体"/>
          <w:b/>
          <w:kern w:val="0"/>
          <w:sz w:val="24"/>
        </w:rPr>
        <w:t>#”的指标是重要技术条款</w:t>
      </w:r>
    </w:p>
    <w:p w:rsidR="00DC13B9" w:rsidRPr="00822554" w:rsidRDefault="00DC13B9" w:rsidP="00DC13B9">
      <w:pPr>
        <w:adjustRightInd w:val="0"/>
        <w:snapToGrid w:val="0"/>
        <w:spacing w:line="360" w:lineRule="auto"/>
        <w:ind w:firstLineChars="200" w:firstLine="482"/>
        <w:rPr>
          <w:rFonts w:ascii="宋体" w:hAnsi="宋体" w:hint="eastAsia"/>
          <w:b/>
          <w:kern w:val="0"/>
          <w:sz w:val="24"/>
        </w:rPr>
      </w:pPr>
      <w:r w:rsidRPr="00081981">
        <w:rPr>
          <w:rFonts w:ascii="宋体" w:hAnsi="宋体"/>
          <w:b/>
          <w:sz w:val="24"/>
        </w:rPr>
        <w:t>“</w:t>
      </w:r>
      <w:r w:rsidRPr="00081981">
        <w:rPr>
          <w:rFonts w:ascii="宋体" w:hAnsi="宋体"/>
          <w:b/>
          <w:color w:val="0D0D0D"/>
          <w:sz w:val="24"/>
        </w:rPr>
        <w:t>*</w:t>
      </w:r>
      <w:r w:rsidRPr="00081981">
        <w:rPr>
          <w:rFonts w:ascii="宋体" w:hAnsi="宋体"/>
          <w:b/>
          <w:sz w:val="24"/>
        </w:rPr>
        <w:t>”</w:t>
      </w:r>
      <w:r w:rsidRPr="00081981">
        <w:rPr>
          <w:rFonts w:ascii="宋体" w:hAnsi="宋体"/>
          <w:b/>
          <w:color w:val="0D0D0D"/>
          <w:sz w:val="24"/>
        </w:rPr>
        <w:t>和“</w:t>
      </w:r>
      <w:r w:rsidRPr="00081981">
        <w:rPr>
          <w:rFonts w:ascii="宋体" w:hAnsi="宋体"/>
          <w:b/>
          <w:kern w:val="0"/>
          <w:sz w:val="24"/>
        </w:rPr>
        <w:t>#</w:t>
      </w:r>
      <w:r w:rsidRPr="00081981">
        <w:rPr>
          <w:rFonts w:ascii="宋体" w:hAnsi="宋体"/>
          <w:b/>
          <w:color w:val="0D0D0D"/>
          <w:sz w:val="24"/>
        </w:rPr>
        <w:t>”</w:t>
      </w:r>
      <w:r w:rsidRPr="00081981">
        <w:rPr>
          <w:rFonts w:ascii="宋体" w:hAnsi="宋体"/>
          <w:b/>
          <w:kern w:val="0"/>
          <w:sz w:val="24"/>
        </w:rPr>
        <w:t>指标，如果响应，投标时需要提供相应的证明材料</w:t>
      </w:r>
      <w:r w:rsidRPr="00081981">
        <w:rPr>
          <w:rFonts w:ascii="宋体" w:hAnsi="宋体" w:hint="eastAsia"/>
          <w:b/>
          <w:sz w:val="24"/>
        </w:rPr>
        <w:t>。</w:t>
      </w:r>
    </w:p>
    <w:p w:rsidR="00FD55AF" w:rsidRPr="00DC13B9" w:rsidRDefault="00FD55AF"/>
    <w:sectPr w:rsidR="00FD55AF" w:rsidRPr="00DC13B9" w:rsidSect="00E30AC2">
      <w:headerReference w:type="default" r:id="rId7"/>
      <w:footerReference w:type="default" r:id="rId8"/>
      <w:footerReference w:type="first" r:id="rId9"/>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5AF" w:rsidRDefault="00FD55AF" w:rsidP="00DC13B9">
      <w:r>
        <w:separator/>
      </w:r>
    </w:p>
  </w:endnote>
  <w:endnote w:type="continuationSeparator" w:id="1">
    <w:p w:rsidR="00FD55AF" w:rsidRDefault="00FD55AF" w:rsidP="00DC1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A3" w:rsidRDefault="00FD55AF" w:rsidP="00E30AC2">
    <w:pPr>
      <w:pStyle w:val="a4"/>
      <w:jc w:val="center"/>
    </w:pPr>
    <w:r>
      <w:fldChar w:fldCharType="begin"/>
    </w:r>
    <w:r>
      <w:instrText>PAGE   \* MERGEFORMAT</w:instrText>
    </w:r>
    <w:r>
      <w:fldChar w:fldCharType="separate"/>
    </w:r>
    <w:r w:rsidR="00DC13B9" w:rsidRPr="00DC13B9">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A3" w:rsidRDefault="00FD55AF">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5AF" w:rsidRDefault="00FD55AF" w:rsidP="00DC13B9">
      <w:r>
        <w:separator/>
      </w:r>
    </w:p>
  </w:footnote>
  <w:footnote w:type="continuationSeparator" w:id="1">
    <w:p w:rsidR="00FD55AF" w:rsidRDefault="00FD55AF" w:rsidP="00DC1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A3" w:rsidRPr="005432AB" w:rsidRDefault="00FD55AF" w:rsidP="005432AB">
    <w:pPr>
      <w:pStyle w:val="a3"/>
      <w:jc w:val="both"/>
      <w:rPr>
        <w:i/>
      </w:rPr>
    </w:pPr>
    <w:r w:rsidRPr="009E1DDE">
      <w:rPr>
        <w:rFonts w:hint="eastAsia"/>
        <w:i/>
      </w:rPr>
      <w:t>中国科学院过程工程研究所高分辨全反射痕量元素分析仪采购项目</w:t>
    </w:r>
    <w:r>
      <w:rPr>
        <w:rFonts w:hint="eastAsia"/>
        <w:i/>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06E5"/>
    <w:multiLevelType w:val="multilevel"/>
    <w:tmpl w:val="5EF2D7CA"/>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3B9"/>
    <w:rsid w:val="00DC13B9"/>
    <w:rsid w:val="00FD5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C1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B9"/>
    <w:rPr>
      <w:sz w:val="18"/>
      <w:szCs w:val="18"/>
    </w:rPr>
  </w:style>
  <w:style w:type="paragraph" w:styleId="a4">
    <w:name w:val="footer"/>
    <w:basedOn w:val="a"/>
    <w:link w:val="Char0"/>
    <w:unhideWhenUsed/>
    <w:rsid w:val="00DC13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13B9"/>
    <w:rPr>
      <w:sz w:val="18"/>
      <w:szCs w:val="18"/>
    </w:rPr>
  </w:style>
  <w:style w:type="paragraph" w:styleId="a5">
    <w:name w:val="Date"/>
    <w:basedOn w:val="a"/>
    <w:next w:val="a"/>
    <w:link w:val="Char1"/>
    <w:rsid w:val="00DC13B9"/>
    <w:rPr>
      <w:szCs w:val="20"/>
    </w:rPr>
  </w:style>
  <w:style w:type="character" w:customStyle="1" w:styleId="Char1">
    <w:name w:val="日期 Char"/>
    <w:basedOn w:val="a0"/>
    <w:link w:val="a5"/>
    <w:rsid w:val="00DC13B9"/>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cp:revision>
  <dcterms:created xsi:type="dcterms:W3CDTF">2019-04-18T07:22:00Z</dcterms:created>
  <dcterms:modified xsi:type="dcterms:W3CDTF">2019-04-18T07:22:00Z</dcterms:modified>
</cp:coreProperties>
</file>