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center"/>
        <w:rPr>
          <w:rFonts w:hint="eastAsia" w:ascii="宋体" w:hAnsi="宋体"/>
          <w:color w:val="auto"/>
          <w:highlight w:val="none"/>
        </w:rPr>
      </w:pPr>
      <w:r>
        <w:rPr>
          <w:rFonts w:hint="eastAsia" w:hAnsi="宋体" w:cs="宋体"/>
          <w:color w:val="auto"/>
          <w:sz w:val="28"/>
          <w:szCs w:val="28"/>
        </w:rPr>
        <w:t>投标邀请</w:t>
      </w:r>
    </w:p>
    <w:p>
      <w:pPr>
        <w:pStyle w:val="8"/>
        <w:ind w:left="0" w:leftChars="0" w:firstLine="501" w:firstLineChars="209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山东三阳项目管理有限公司受</w:t>
      </w:r>
      <w:r>
        <w:rPr>
          <w:rFonts w:hint="eastAsia" w:ascii="宋体" w:hAnsi="宋体"/>
          <w:color w:val="auto"/>
          <w:highlight w:val="none"/>
          <w:lang w:eastAsia="zh-CN"/>
        </w:rPr>
        <w:t>山东省医疗器械和药品包装检验研究院</w:t>
      </w:r>
      <w:r>
        <w:rPr>
          <w:rFonts w:hint="eastAsia" w:ascii="宋体" w:hAnsi="宋体"/>
          <w:color w:val="auto"/>
          <w:highlight w:val="none"/>
        </w:rPr>
        <w:t>的委托，就其所需</w:t>
      </w:r>
      <w:r>
        <w:rPr>
          <w:rFonts w:hint="eastAsia" w:ascii="宋体" w:hAnsi="宋体"/>
          <w:color w:val="auto"/>
          <w:highlight w:val="none"/>
          <w:lang w:eastAsia="zh-CN"/>
        </w:rPr>
        <w:t>设备</w:t>
      </w:r>
      <w:r>
        <w:rPr>
          <w:rFonts w:hint="eastAsia" w:ascii="宋体" w:hAnsi="宋体"/>
          <w:color w:val="auto"/>
          <w:highlight w:val="none"/>
        </w:rPr>
        <w:t>采购项目进行国内公开招标。欢迎符合本次招标文件要求的、在中国境内注册的投标人前来投标。</w:t>
      </w:r>
    </w:p>
    <w:p>
      <w:pPr>
        <w:pStyle w:val="8"/>
        <w:tabs>
          <w:tab w:val="left" w:pos="0"/>
          <w:tab w:val="left" w:pos="955"/>
        </w:tabs>
        <w:spacing w:line="276" w:lineRule="auto"/>
        <w:ind w:left="0" w:leftChars="0" w:right="380" w:rightChars="181" w:firstLine="480" w:firstLineChars="200"/>
        <w:rPr>
          <w:rFonts w:hint="eastAsia" w:ascii="宋体" w:hAnsi="宋体" w:eastAsia="宋体"/>
          <w:color w:val="auto"/>
          <w:highlight w:val="none"/>
          <w:lang w:eastAsia="zh-CN"/>
        </w:rPr>
      </w:pPr>
      <w:r>
        <w:rPr>
          <w:rFonts w:hint="eastAsia" w:ascii="宋体" w:hAnsi="宋体"/>
          <w:color w:val="auto"/>
          <w:highlight w:val="none"/>
        </w:rPr>
        <w:t>1、 项目编号：</w:t>
      </w:r>
      <w:r>
        <w:rPr>
          <w:rFonts w:hint="eastAsia" w:ascii="宋体" w:hAnsi="宋体"/>
          <w:color w:val="auto"/>
          <w:highlight w:val="none"/>
          <w:lang w:eastAsia="zh-CN"/>
        </w:rPr>
        <w:t xml:space="preserve">SDGP370000000202102009358 </w:t>
      </w:r>
    </w:p>
    <w:p>
      <w:pPr>
        <w:widowControl/>
        <w:spacing w:line="276" w:lineRule="auto"/>
        <w:ind w:firstLine="480" w:firstLineChars="200"/>
        <w:rPr>
          <w:rFonts w:hint="eastAsia" w:ascii="宋体" w:hAnsi="宋体" w:eastAsia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highlight w:val="none"/>
        </w:rPr>
        <w:t>2、 项目名称：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山东省医疗器械和药品包装检验研究院专用仪器设备采购</w:t>
      </w:r>
    </w:p>
    <w:p>
      <w:pPr>
        <w:widowControl/>
        <w:spacing w:line="276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3、 项目内容:本项目共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highlight w:val="none"/>
        </w:rPr>
        <w:t>个包，投标人不得就包内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设备</w:t>
      </w:r>
      <w:r>
        <w:rPr>
          <w:rFonts w:hint="eastAsia" w:ascii="宋体" w:hAnsi="宋体"/>
          <w:color w:val="auto"/>
          <w:sz w:val="24"/>
          <w:highlight w:val="none"/>
        </w:rPr>
        <w:t>分解响应。详细技术指标见第三章项目说明部分。</w:t>
      </w:r>
    </w:p>
    <w:p>
      <w:p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分包及预算情况：</w:t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585"/>
        <w:gridCol w:w="5192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包号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货物名称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供应商资格要求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exact"/>
              <w:ind w:left="-105" w:leftChars="-50" w:right="-80" w:rightChars="-38" w:firstLine="92" w:firstLineChars="44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预算金额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自动电位滴定仪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等设备</w:t>
            </w:r>
          </w:p>
        </w:tc>
        <w:tc>
          <w:tcPr>
            <w:tcW w:w="5192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1、符合《中华人民共和国政府采购法》第二十二条规定；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2、在中国境内注册，具有独立承担民事责任能力的法人或其它组织，具有提供本次招标所需货物的能力；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3、具有良好的商业信誉和健全的财务会计制度；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4、有依法缴纳税收和社会保障资金的良好记录；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5、具备履行合同所必需的设备和专业技术能力；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6、参加政府采购活动前三年内，在经营活动中没有重大违法记录；根据《关于在政府采购活动中查询及记录有关问题的通知》 （ 财库[2016]125 号） 的规定， 投标人在“信用中国” 网（ www.creditchina.gov.cn） 被列入失信被执行人、 重大税收违法案件当事人名单、 政府采购严重违法失信行为记录名单的投标人， 不得参加本次政府采购活动；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7、本项目不接受联合体投标。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8、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法律法规对合格投标人的其他要求、规定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漏风量测试仪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等设备</w:t>
            </w:r>
          </w:p>
        </w:tc>
        <w:tc>
          <w:tcPr>
            <w:tcW w:w="519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阻湿态微生物穿透性测试仪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等设备</w:t>
            </w:r>
          </w:p>
        </w:tc>
        <w:tc>
          <w:tcPr>
            <w:tcW w:w="519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脉冲群抗扰度系统（EFT 发生器及耦合网络）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等设备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19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365</w:t>
            </w:r>
          </w:p>
        </w:tc>
      </w:tr>
    </w:tbl>
    <w:p>
      <w:pPr>
        <w:pStyle w:val="8"/>
        <w:tabs>
          <w:tab w:val="left" w:pos="0"/>
        </w:tabs>
        <w:ind w:left="0" w:leftChars="0" w:firstLine="0" w:firstLineChars="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说明：各包具体采购内容及具体要求详见招标文件。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四、获取招标文件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1.时间：</w:t>
      </w:r>
      <w:r>
        <w:rPr>
          <w:rFonts w:hint="eastAsia" w:ascii="宋体" w:hAnsi="宋体"/>
          <w:color w:val="auto"/>
          <w:highlight w:val="none"/>
        </w:rPr>
        <w:t>202</w:t>
      </w:r>
      <w:r>
        <w:rPr>
          <w:rFonts w:hint="eastAsia" w:ascii="宋体" w:hAnsi="宋体"/>
          <w:color w:val="auto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highlight w:val="none"/>
        </w:rPr>
        <w:t>年</w:t>
      </w:r>
      <w:r>
        <w:rPr>
          <w:rFonts w:hint="eastAsia" w:ascii="宋体" w:hAnsi="宋体"/>
          <w:color w:val="auto"/>
          <w:highlight w:val="none"/>
          <w:lang w:val="en-US" w:eastAsia="zh-CN"/>
        </w:rPr>
        <w:t>10</w:t>
      </w:r>
      <w:r>
        <w:rPr>
          <w:rFonts w:hint="eastAsia" w:ascii="宋体" w:hAnsi="宋体"/>
          <w:color w:val="auto"/>
          <w:highlight w:val="none"/>
        </w:rPr>
        <w:t>月</w:t>
      </w:r>
      <w:r>
        <w:rPr>
          <w:rFonts w:hint="eastAsia" w:ascii="宋体" w:hAnsi="宋体"/>
          <w:color w:val="auto"/>
          <w:highlight w:val="none"/>
          <w:lang w:val="en-US" w:eastAsia="zh-CN"/>
        </w:rPr>
        <w:t>14</w:t>
      </w:r>
      <w:r>
        <w:rPr>
          <w:rFonts w:hint="eastAsia" w:ascii="宋体" w:hAnsi="宋体"/>
          <w:color w:val="auto"/>
          <w:highlight w:val="none"/>
        </w:rPr>
        <w:t>日8时30分至202</w:t>
      </w:r>
      <w:r>
        <w:rPr>
          <w:rFonts w:hint="eastAsia" w:ascii="宋体" w:hAnsi="宋体"/>
          <w:color w:val="auto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highlight w:val="none"/>
        </w:rPr>
        <w:t>年</w:t>
      </w:r>
      <w:r>
        <w:rPr>
          <w:rFonts w:hint="eastAsia" w:ascii="宋体" w:hAnsi="宋体"/>
          <w:color w:val="auto"/>
          <w:highlight w:val="none"/>
          <w:lang w:val="en-US" w:eastAsia="zh-CN"/>
        </w:rPr>
        <w:t>10</w:t>
      </w:r>
      <w:r>
        <w:rPr>
          <w:rFonts w:hint="eastAsia" w:ascii="宋体" w:hAnsi="宋体"/>
          <w:color w:val="auto"/>
          <w:highlight w:val="none"/>
        </w:rPr>
        <w:t>月</w:t>
      </w:r>
      <w:r>
        <w:rPr>
          <w:rFonts w:hint="eastAsia" w:ascii="宋体" w:hAnsi="宋体"/>
          <w:color w:val="auto"/>
          <w:highlight w:val="none"/>
          <w:lang w:val="en-US" w:eastAsia="zh-CN"/>
        </w:rPr>
        <w:t>20</w:t>
      </w:r>
      <w:r>
        <w:rPr>
          <w:rFonts w:hint="eastAsia" w:ascii="宋体" w:hAnsi="宋体"/>
          <w:color w:val="auto"/>
          <w:highlight w:val="none"/>
        </w:rPr>
        <w:t>日16时30分（北京时间，法定节假日除外）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2.地点：山东三阳项目管理有限公司（山东省济南市高新区舜泰广场6号楼21楼）</w:t>
      </w:r>
    </w:p>
    <w:p>
      <w:pPr>
        <w:spacing w:line="360" w:lineRule="auto"/>
        <w:ind w:firstLine="495" w:firstLineChars="236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highlight w:val="none"/>
        </w:rPr>
        <w:t xml:space="preserve"> </w:t>
      </w:r>
      <w:r>
        <w:rPr>
          <w:rFonts w:hint="eastAsia" w:ascii="宋体" w:hAnsi="宋体"/>
          <w:color w:val="auto"/>
          <w:kern w:val="2"/>
          <w:sz w:val="24"/>
          <w:szCs w:val="24"/>
          <w:highlight w:val="none"/>
          <w:lang w:val="en-US" w:eastAsia="zh-CN" w:bidi="ar-SA"/>
        </w:rPr>
        <w:t>3.方式：</w:t>
      </w:r>
      <w:r>
        <w:rPr>
          <w:rFonts w:ascii="宋体" w:hAnsi="宋体" w:eastAsia="宋体" w:cs="宋体"/>
          <w:color w:val="auto"/>
          <w:sz w:val="24"/>
          <w:szCs w:val="24"/>
        </w:rPr>
        <w:t>首先，在招标文件获取时间内，须先登录中国山东政府采购网（http://www.ccgp-shandong.gov.cn）注册并投标备案（已注册的无需重复注册）②其次，通过发邮件方式，发送加盖公章的营业执照副本扫描件、法定代表人授权委托书扫描件、电汇凭证（体现出付款方姓名或名称）、项目名称、项目编号、所投包号，项目联系人、联系电话，并在邮件标题中注明所投项目名称及编号，邮箱地址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sdsyzgs</w:t>
      </w:r>
      <w:r>
        <w:rPr>
          <w:rFonts w:ascii="宋体" w:hAnsi="宋体" w:eastAsia="宋体" w:cs="宋体"/>
          <w:color w:val="auto"/>
          <w:sz w:val="24"/>
          <w:szCs w:val="24"/>
        </w:rPr>
        <w:t>@1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26</w:t>
      </w:r>
      <w:r>
        <w:rPr>
          <w:rFonts w:ascii="宋体" w:hAnsi="宋体" w:eastAsia="宋体" w:cs="宋体"/>
          <w:color w:val="auto"/>
          <w:sz w:val="24"/>
          <w:szCs w:val="24"/>
        </w:rPr>
        <w:t>.com。邮件送达后打电话通知代理机构，电话：0531-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62325361</w:t>
      </w:r>
      <w:r>
        <w:rPr>
          <w:rFonts w:ascii="宋体" w:hAnsi="宋体" w:eastAsia="宋体" w:cs="宋体"/>
          <w:color w:val="auto"/>
          <w:sz w:val="24"/>
          <w:szCs w:val="24"/>
        </w:rPr>
        <w:t>，招标文件工本费：300元/包，招标文件售出不退。</w:t>
      </w:r>
    </w:p>
    <w:p>
      <w:pPr>
        <w:spacing w:line="360" w:lineRule="auto"/>
        <w:ind w:firstLine="566" w:firstLineChars="236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收款单位：山东三阳项目管理有限公司临沂分公司</w:t>
      </w:r>
    </w:p>
    <w:p>
      <w:pPr>
        <w:spacing w:line="360" w:lineRule="auto"/>
        <w:ind w:firstLine="566" w:firstLineChars="236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开户银行：招商银行济南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千佛山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支行</w:t>
      </w:r>
    </w:p>
    <w:p>
      <w:pPr>
        <w:spacing w:line="360" w:lineRule="auto"/>
        <w:ind w:firstLine="566" w:firstLineChars="236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银行帐号：5319  0631  2310  506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/>
          <w:color w:val="auto"/>
          <w:kern w:val="2"/>
          <w:sz w:val="24"/>
          <w:szCs w:val="24"/>
          <w:highlight w:val="none"/>
          <w:lang w:val="en-US" w:eastAsia="zh-CN" w:bidi="ar-SA"/>
        </w:rPr>
        <w:t>资格审查方式为资格后审，报名时的资料查验不代表资格审查的最终通过或合格。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五、递交投标文件时间及地点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1.时间：</w:t>
      </w:r>
      <w:r>
        <w:rPr>
          <w:rFonts w:hint="eastAsia" w:ascii="宋体" w:hAnsi="宋体"/>
          <w:color w:val="auto"/>
          <w:highlight w:val="none"/>
        </w:rPr>
        <w:t>202</w:t>
      </w:r>
      <w:r>
        <w:rPr>
          <w:rFonts w:hint="eastAsia" w:ascii="宋体" w:hAnsi="宋体"/>
          <w:color w:val="auto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highlight w:val="none"/>
        </w:rPr>
        <w:t>年</w:t>
      </w:r>
      <w:r>
        <w:rPr>
          <w:rFonts w:hint="eastAsia" w:ascii="宋体" w:hAnsi="宋体"/>
          <w:color w:val="auto"/>
          <w:highlight w:val="none"/>
          <w:lang w:val="en-US" w:eastAsia="zh-CN"/>
        </w:rPr>
        <w:t>11</w:t>
      </w:r>
      <w:r>
        <w:rPr>
          <w:rFonts w:hint="eastAsia" w:ascii="宋体" w:hAnsi="宋体"/>
          <w:color w:val="auto"/>
          <w:highlight w:val="none"/>
        </w:rPr>
        <w:t>月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3 </w:t>
      </w:r>
      <w:r>
        <w:rPr>
          <w:rFonts w:hint="eastAsia" w:ascii="宋体" w:hAnsi="宋体"/>
          <w:color w:val="auto"/>
          <w:highlight w:val="none"/>
        </w:rPr>
        <w:t>日8时30分至202</w:t>
      </w:r>
      <w:r>
        <w:rPr>
          <w:rFonts w:hint="eastAsia" w:ascii="宋体" w:hAnsi="宋体"/>
          <w:color w:val="auto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highlight w:val="none"/>
        </w:rPr>
        <w:t>年</w:t>
      </w:r>
      <w:r>
        <w:rPr>
          <w:rFonts w:hint="eastAsia" w:ascii="宋体" w:hAnsi="宋体"/>
          <w:color w:val="auto"/>
          <w:highlight w:val="none"/>
          <w:lang w:val="en-US" w:eastAsia="zh-CN"/>
        </w:rPr>
        <w:t>11</w:t>
      </w:r>
      <w:r>
        <w:rPr>
          <w:rFonts w:hint="eastAsia" w:ascii="宋体" w:hAnsi="宋体"/>
          <w:color w:val="auto"/>
          <w:highlight w:val="none"/>
        </w:rPr>
        <w:t>月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3 </w:t>
      </w:r>
      <w:r>
        <w:rPr>
          <w:rFonts w:hint="eastAsia" w:ascii="宋体" w:hAnsi="宋体"/>
          <w:color w:val="auto"/>
          <w:highlight w:val="none"/>
        </w:rPr>
        <w:t>日9时30分（北京时间）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2.地点：</w:t>
      </w:r>
      <w:r>
        <w:rPr>
          <w:rFonts w:hint="eastAsia" w:ascii="宋体" w:hAnsi="宋体"/>
          <w:color w:val="auto"/>
          <w:highlight w:val="none"/>
          <w:lang w:eastAsia="zh-CN"/>
        </w:rPr>
        <w:t>山东省医疗器械和药品包装检验研究院三楼</w:t>
      </w:r>
      <w:r>
        <w:rPr>
          <w:rFonts w:hint="eastAsia" w:ascii="宋体" w:hAnsi="宋体"/>
          <w:color w:val="auto"/>
          <w:highlight w:val="none"/>
        </w:rPr>
        <w:t>会议室（济南市高新区世纪大道15166号）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六、开标时间及地点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1.时间：</w:t>
      </w:r>
      <w:r>
        <w:rPr>
          <w:rFonts w:hint="eastAsia" w:ascii="宋体" w:hAnsi="宋体"/>
          <w:color w:val="auto"/>
          <w:highlight w:val="none"/>
        </w:rPr>
        <w:t>202</w:t>
      </w:r>
      <w:r>
        <w:rPr>
          <w:rFonts w:hint="eastAsia" w:ascii="宋体" w:hAnsi="宋体"/>
          <w:color w:val="auto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highlight w:val="none"/>
        </w:rPr>
        <w:t>年</w:t>
      </w:r>
      <w:r>
        <w:rPr>
          <w:rFonts w:hint="eastAsia" w:ascii="宋体" w:hAnsi="宋体"/>
          <w:color w:val="auto"/>
          <w:highlight w:val="none"/>
          <w:lang w:val="en-US" w:eastAsia="zh-CN"/>
        </w:rPr>
        <w:t>11</w:t>
      </w:r>
      <w:r>
        <w:rPr>
          <w:rFonts w:hint="eastAsia" w:ascii="宋体" w:hAnsi="宋体"/>
          <w:color w:val="auto"/>
          <w:highlight w:val="none"/>
        </w:rPr>
        <w:t>月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3 </w:t>
      </w:r>
      <w:r>
        <w:rPr>
          <w:rFonts w:hint="eastAsia" w:ascii="宋体" w:hAnsi="宋体"/>
          <w:color w:val="auto"/>
          <w:highlight w:val="none"/>
        </w:rPr>
        <w:t>日9时30 分（北京时间）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2.地点：</w:t>
      </w:r>
      <w:r>
        <w:rPr>
          <w:rFonts w:hint="eastAsia" w:ascii="宋体" w:hAnsi="宋体"/>
          <w:color w:val="auto"/>
          <w:highlight w:val="none"/>
          <w:lang w:eastAsia="zh-CN"/>
        </w:rPr>
        <w:t>山东省医疗器械和药品包装检验研究院三楼</w:t>
      </w:r>
      <w:r>
        <w:rPr>
          <w:rFonts w:hint="eastAsia" w:ascii="宋体" w:hAnsi="宋体"/>
          <w:color w:val="auto"/>
          <w:highlight w:val="none"/>
        </w:rPr>
        <w:t>会议室（济南市高新区世纪大道15166号）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七、联系方式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1.采购人：</w:t>
      </w:r>
      <w:r>
        <w:rPr>
          <w:rFonts w:hint="eastAsia" w:ascii="宋体" w:hAnsi="宋体"/>
          <w:color w:val="auto"/>
          <w:highlight w:val="none"/>
          <w:lang w:eastAsia="zh-CN"/>
        </w:rPr>
        <w:t>山东省医疗器械和药品包装检验研究院</w:t>
      </w:r>
      <w:r>
        <w:rPr>
          <w:rFonts w:hint="eastAsia" w:ascii="宋体" w:hAnsi="宋体"/>
          <w:color w:val="auto"/>
          <w:highlight w:val="none"/>
        </w:rPr>
        <w:t xml:space="preserve"> 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地址：济南市高新区世纪大道15166号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联系人：杨兵 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联系方式：0531-88870856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2.代理机构：山东三阳项目管理有限公司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地址：山东省济南市高新区舜泰广场6号楼21楼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 w:eastAsia="宋体"/>
          <w:color w:val="auto"/>
          <w:highlight w:val="none"/>
          <w:lang w:eastAsia="zh-CN"/>
        </w:rPr>
      </w:pPr>
      <w:r>
        <w:rPr>
          <w:rFonts w:hint="eastAsia" w:ascii="宋体" w:hAnsi="宋体"/>
          <w:color w:val="auto"/>
          <w:highlight w:val="none"/>
        </w:rPr>
        <w:t xml:space="preserve">   联系人：</w:t>
      </w:r>
      <w:r>
        <w:rPr>
          <w:rFonts w:hint="eastAsia" w:ascii="宋体" w:hAnsi="宋体"/>
          <w:color w:val="auto"/>
          <w:highlight w:val="none"/>
          <w:lang w:eastAsia="zh-CN"/>
        </w:rPr>
        <w:t>孙金华</w:t>
      </w:r>
    </w:p>
    <w:p>
      <w:pPr>
        <w:pStyle w:val="8"/>
        <w:tabs>
          <w:tab w:val="left" w:pos="0"/>
        </w:tabs>
        <w:ind w:left="-141" w:leftChars="-67" w:firstLine="47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联系方式：</w:t>
      </w:r>
      <w:r>
        <w:rPr>
          <w:rFonts w:hint="eastAsia" w:ascii="宋体" w:hAnsi="宋体"/>
          <w:color w:val="auto"/>
          <w:highlight w:val="none"/>
          <w:lang w:val="en-US" w:eastAsia="zh-CN"/>
        </w:rPr>
        <w:t>0531-62325361</w:t>
      </w:r>
    </w:p>
    <w:p>
      <w:pPr>
        <w:spacing w:line="360" w:lineRule="auto"/>
        <w:rPr>
          <w:rFonts w:hint="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eastAsia="zh-CN"/>
        </w:rPr>
        <w:t>八、</w:t>
      </w:r>
      <w:r>
        <w:rPr>
          <w:rFonts w:hint="eastAsia"/>
          <w:color w:val="auto"/>
          <w:sz w:val="24"/>
          <w:highlight w:val="none"/>
        </w:rPr>
        <w:t>采购项目的用途、数量、简要技术要求等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详见招标文件 </w:t>
      </w:r>
    </w:p>
    <w:p>
      <w:pPr>
        <w:spacing w:line="360" w:lineRule="auto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九</w:t>
      </w:r>
      <w:r>
        <w:rPr>
          <w:rFonts w:hint="eastAsia"/>
          <w:color w:val="auto"/>
          <w:sz w:val="24"/>
          <w:highlight w:val="none"/>
        </w:rPr>
        <w:t>、采购项目需要落实的政府采购政策</w:t>
      </w:r>
    </w:p>
    <w:p>
      <w:pPr>
        <w:spacing w:line="360" w:lineRule="auto"/>
        <w:ind w:firstLine="480" w:firstLineChars="20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详见招标文件</w:t>
      </w:r>
    </w:p>
    <w:p>
      <w:pPr>
        <w:pStyle w:val="8"/>
        <w:tabs>
          <w:tab w:val="left" w:pos="0"/>
        </w:tabs>
        <w:ind w:left="-141" w:leftChars="-67" w:firstLine="2" w:firstLineChars="0"/>
        <w:jc w:val="lef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                                                                    </w:t>
      </w:r>
    </w:p>
    <w:p>
      <w:pPr>
        <w:keepNext w:val="0"/>
        <w:keepLines w:val="0"/>
        <w:widowControl/>
        <w:suppressLineNumbers w:val="0"/>
        <w:ind w:firstLine="4080" w:firstLineChars="170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发布人：山东三阳项目管理有限公司 </w:t>
      </w:r>
    </w:p>
    <w:p>
      <w:pPr>
        <w:keepNext w:val="0"/>
        <w:keepLines w:val="0"/>
        <w:widowControl/>
        <w:suppressLineNumbers w:val="0"/>
        <w:ind w:firstLine="4320" w:firstLineChars="180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发布时间：2021 年10 月13 日</w:t>
      </w:r>
    </w:p>
    <w:p>
      <w:pPr>
        <w:jc w:val="center"/>
        <w:rPr>
          <w:rFonts w:hint="eastAsia" w:cs="宋体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hint="eastAsia" w:ascii="宋体" w:hAnsi="宋体"/>
          <w:b w:val="0"/>
          <w:color w:val="auto"/>
          <w:sz w:val="36"/>
          <w:highlight w:val="none"/>
        </w:rPr>
        <w:br w:type="page"/>
      </w:r>
      <w:r>
        <w:rPr>
          <w:rFonts w:hint="eastAsia" w:cs="宋体"/>
          <w:b/>
          <w:bCs/>
          <w:color w:val="auto"/>
          <w:sz w:val="28"/>
          <w:szCs w:val="28"/>
          <w:u w:val="none"/>
          <w:lang w:eastAsia="zh-CN"/>
        </w:rPr>
        <w:t>分包信息</w:t>
      </w:r>
    </w:p>
    <w:tbl>
      <w:tblPr>
        <w:tblStyle w:val="11"/>
        <w:tblpPr w:leftFromText="180" w:rightFromText="180" w:vertAnchor="text" w:horzAnchor="page" w:tblpXSpec="center" w:tblpY="460"/>
        <w:tblOverlap w:val="never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00"/>
        <w:gridCol w:w="2960"/>
        <w:gridCol w:w="1355"/>
        <w:gridCol w:w="2287"/>
        <w:gridCol w:w="183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2021年设备购置清单（1315万）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数量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是否可采进口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是否核心产品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1包（130万）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自动电位滴定仪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净气型恒温柜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生物显微镜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浊度仪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高压蒸汽灭菌器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水法测漏仪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线径测量仪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动力驱动注射泵用注射器活塞推力测试仪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泵用注射器流动特性测试系统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微粒检测仪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2包（605万）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漏风量测试仪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医用针针管韧性试验仪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医用针针管刚性试验仪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圆锥接头压力衰减泄漏测试仪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6%（鲁尔）圆锥接头多功能测试仪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空气粒子计数器（含扫描探头）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空气粒子计数器（100L）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空气粒子计数器（0.1微米）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霍尔效应测厚仪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安瓿折断力测试仪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恒温培养振荡器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全自动扭矩仪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全自动应力仪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热封仪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热膨胀仪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杯式法水蒸气透过率测试仪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氧气透过率测试仪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水蒸气透过率测试仪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显微镜法不溶性微粒测试仪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形状测试仪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压差法气体透过量测试仪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可编程程序升降温高压蒸汽灭菌器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精准控温低温冷冻箱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激光法二氧化碳顶空分析包装密封完整性测试仪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药品包装氦气示踪法密封完整性测试系统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3包（215万）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36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阻湿态微生物穿透性测试仪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37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药液过滤器（膜）细菌截留试验检测仪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38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双头微生物过滤系统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39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小型台式冷冻离心机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透气包装材料微生物屏障分等试验仪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细菌过滤效率试验仪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42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荧光PCR仪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43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超低温冰箱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44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阻污染液体气溶胶穿透性能试验仪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4包（365万）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45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脉冲群抗扰度系统（EFT 发生器及耦合网络）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46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大功率抗扰度系统（EFT、浪涌发生器及耦合网络）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47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浪涌抗扰度系统（浪涌发生器及耦合网络）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电压暂降及跌落抗扰度系统（电压跌落测试仪）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49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静电测试系统(静电发生器)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工频抗扰测试系统(工频磁场测试仪)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谐波与闪烁测试系统(谐波闪烁测试仪)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52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车载医疗信号线测试系统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53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穿戴装置多功能测试仪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54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临近场测试天线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是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pStyle w:val="10"/>
        <w:spacing w:line="360" w:lineRule="auto"/>
        <w:ind w:left="0" w:leftChars="0" w:firstLine="0" w:firstLineChars="0"/>
        <w:jc w:val="center"/>
        <w:outlineLvl w:val="1"/>
        <w:rPr>
          <w:rFonts w:hint="eastAsia" w:ascii="新宋体" w:hAnsi="新宋体" w:eastAsia="新宋体" w:cs="新宋体"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</w:rPr>
        <w:t>购买文件登记表</w:t>
      </w:r>
    </w:p>
    <w:tbl>
      <w:tblPr>
        <w:tblStyle w:val="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6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9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3710" w:type="pct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9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项目编号</w:t>
            </w:r>
          </w:p>
        </w:tc>
        <w:tc>
          <w:tcPr>
            <w:tcW w:w="3710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9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包号</w:t>
            </w:r>
          </w:p>
        </w:tc>
        <w:tc>
          <w:tcPr>
            <w:tcW w:w="3710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9" w:type="pct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投标单位名称</w:t>
            </w:r>
          </w:p>
        </w:tc>
        <w:tc>
          <w:tcPr>
            <w:tcW w:w="3710" w:type="pct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9" w:type="pct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本项目负责人</w:t>
            </w:r>
          </w:p>
        </w:tc>
        <w:tc>
          <w:tcPr>
            <w:tcW w:w="3710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9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3710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9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3710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9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710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9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标书费</w:t>
            </w:r>
          </w:p>
        </w:tc>
        <w:tc>
          <w:tcPr>
            <w:tcW w:w="3710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9" w:type="pc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登记时间</w:t>
            </w:r>
          </w:p>
        </w:tc>
        <w:tc>
          <w:tcPr>
            <w:tcW w:w="3710" w:type="pct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8"/>
                <w:szCs w:val="28"/>
              </w:rPr>
              <w:t>备注：（资质证明）</w:t>
            </w:r>
          </w:p>
        </w:tc>
      </w:tr>
    </w:tbl>
    <w:p>
      <w:pPr>
        <w:pStyle w:val="7"/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07AF8"/>
    <w:rsid w:val="056F625C"/>
    <w:rsid w:val="28775FB2"/>
    <w:rsid w:val="4FFD3036"/>
    <w:rsid w:val="5FC07AF8"/>
    <w:rsid w:val="734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2"/>
      <w:lang w:val="en-US" w:eastAsia="zh-CN" w:bidi="ar-SA"/>
    </w:rPr>
  </w:style>
  <w:style w:type="paragraph" w:styleId="4">
    <w:name w:val="List 3"/>
    <w:basedOn w:val="1"/>
    <w:next w:val="5"/>
    <w:qFormat/>
    <w:uiPriority w:val="0"/>
    <w:pPr>
      <w:ind w:left="100" w:leftChars="400" w:hanging="200" w:hangingChars="200"/>
    </w:pPr>
    <w:rPr>
      <w:rFonts w:ascii="Times New Roman" w:hAnsi="Times New Roman"/>
    </w:rPr>
  </w:style>
  <w:style w:type="paragraph" w:styleId="5">
    <w:name w:val="Body Text"/>
    <w:basedOn w:val="1"/>
    <w:next w:val="6"/>
    <w:uiPriority w:val="0"/>
    <w:pPr>
      <w:spacing w:after="120" w:afterLines="0"/>
    </w:pPr>
  </w:style>
  <w:style w:type="paragraph" w:customStyle="1" w:styleId="6">
    <w:name w:val="标准"/>
    <w:next w:val="1"/>
    <w:qFormat/>
    <w:uiPriority w:val="0"/>
    <w:pPr>
      <w:widowControl w:val="0"/>
      <w:spacing w:before="120" w:after="120" w:line="312" w:lineRule="atLeast"/>
      <w:ind w:firstLine="3584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7">
    <w:name w:val="Normal Indent"/>
    <w:basedOn w:val="1"/>
    <w:next w:val="1"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8">
    <w:name w:val="Body Text Indent"/>
    <w:basedOn w:val="1"/>
    <w:next w:val="9"/>
    <w:qFormat/>
    <w:uiPriority w:val="99"/>
    <w:pPr>
      <w:spacing w:line="500" w:lineRule="exact"/>
      <w:ind w:left="1588" w:leftChars="832" w:firstLine="433" w:firstLineChars="196"/>
    </w:pPr>
    <w:rPr>
      <w:sz w:val="24"/>
    </w:rPr>
  </w:style>
  <w:style w:type="paragraph" w:styleId="9">
    <w:name w:val="Body Text 2"/>
    <w:basedOn w:val="1"/>
    <w:next w:val="10"/>
    <w:qFormat/>
    <w:uiPriority w:val="0"/>
    <w:rPr>
      <w:rFonts w:ascii="Times New Roman" w:hAnsi="Times New Roman"/>
      <w:sz w:val="28"/>
    </w:rPr>
  </w:style>
  <w:style w:type="paragraph" w:styleId="10">
    <w:name w:val="List 2"/>
    <w:basedOn w:val="1"/>
    <w:next w:val="4"/>
    <w:qFormat/>
    <w:uiPriority w:val="0"/>
    <w:pPr>
      <w:ind w:left="1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2021-10-13T10:15:00Z</dcterms:created>
  <dc:creator>Administrator</dc:creator>
  <cp:lastModifiedBy>Administrator</cp:lastModifiedBy>
  <dcterms:modified xsi:type="dcterms:W3CDTF">2021-10-13T10:31:14Z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951B039BCD4D42AFBA4DAFF23494476C</vt:lpwstr>
  </property>
</Properties>
</file>