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bCs/>
          <w:color w:val="auto"/>
          <w:szCs w:val="32"/>
          <w:highlight w:val="none"/>
        </w:rPr>
      </w:pPr>
      <w:r>
        <w:rPr>
          <w:rFonts w:hint="eastAsia"/>
          <w:b/>
          <w:color w:val="auto"/>
          <w:sz w:val="44"/>
          <w:highlight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31115</wp:posOffset>
            </wp:positionV>
            <wp:extent cx="1628775" cy="600075"/>
            <wp:effectExtent l="0" t="0" r="9525" b="9525"/>
            <wp:wrapTight wrapText="bothSides">
              <wp:wrapPolygon>
                <wp:start x="0" y="0"/>
                <wp:lineTo x="0" y="21029"/>
                <wp:lineTo x="21389" y="21029"/>
                <wp:lineTo x="21389" y="0"/>
                <wp:lineTo x="0" y="0"/>
              </wp:wrapPolygon>
            </wp:wrapTight>
            <wp:docPr id="1" name="图片 2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无标题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 xml:space="preserve">                                           </w:t>
      </w:r>
    </w:p>
    <w:p>
      <w:pPr>
        <w:ind w:right="-281"/>
        <w:jc w:val="right"/>
        <w:rPr>
          <w:rFonts w:ascii="Bookman Old Style" w:hAnsi="Bookman Old Style"/>
          <w:b/>
          <w:color w:val="auto"/>
          <w:sz w:val="28"/>
          <w:highlight w:val="none"/>
        </w:rPr>
      </w:pPr>
    </w:p>
    <w:p>
      <w:pPr>
        <w:spacing w:after="312" w:afterLines="100" w:line="500" w:lineRule="exact"/>
        <w:jc w:val="center"/>
        <w:rPr>
          <w:b/>
          <w:color w:val="auto"/>
          <w:sz w:val="44"/>
          <w:szCs w:val="44"/>
          <w:highlight w:val="none"/>
        </w:rPr>
      </w:pPr>
    </w:p>
    <w:p>
      <w:pPr>
        <w:spacing w:after="312" w:afterLines="100" w:line="500" w:lineRule="exact"/>
        <w:jc w:val="center"/>
        <w:rPr>
          <w:b/>
          <w:color w:val="auto"/>
          <w:sz w:val="52"/>
          <w:szCs w:val="52"/>
          <w:highlight w:val="none"/>
        </w:rPr>
      </w:pPr>
    </w:p>
    <w:p>
      <w:pPr>
        <w:spacing w:after="312" w:afterLines="100" w:line="500" w:lineRule="exact"/>
        <w:jc w:val="center"/>
        <w:rPr>
          <w:b/>
          <w:color w:val="auto"/>
          <w:sz w:val="52"/>
          <w:szCs w:val="52"/>
          <w:highlight w:val="none"/>
        </w:rPr>
      </w:pPr>
      <w:r>
        <w:rPr>
          <w:rFonts w:hint="eastAsia"/>
          <w:b/>
          <w:color w:val="auto"/>
          <w:sz w:val="52"/>
          <w:szCs w:val="52"/>
          <w:highlight w:val="none"/>
        </w:rPr>
        <w:t>中国科学院南京地质古生物研究所</w:t>
      </w:r>
      <w:r>
        <w:rPr>
          <w:rFonts w:hint="eastAsia"/>
          <w:b/>
          <w:color w:val="auto"/>
          <w:sz w:val="52"/>
          <w:szCs w:val="52"/>
          <w:highlight w:val="none"/>
          <w:u w:val="single"/>
        </w:rPr>
        <w:t>研究级正置偏光+生物显微镜系统</w:t>
      </w:r>
      <w:r>
        <w:rPr>
          <w:rFonts w:hint="eastAsia"/>
          <w:b/>
          <w:color w:val="auto"/>
          <w:sz w:val="52"/>
          <w:szCs w:val="52"/>
          <w:highlight w:val="none"/>
        </w:rPr>
        <w:t>采购项目</w:t>
      </w:r>
    </w:p>
    <w:p>
      <w:pPr>
        <w:spacing w:line="360" w:lineRule="auto"/>
        <w:jc w:val="center"/>
        <w:rPr>
          <w:b/>
          <w:color w:val="auto"/>
          <w:sz w:val="44"/>
          <w:highlight w:val="none"/>
        </w:rPr>
      </w:pPr>
    </w:p>
    <w:p>
      <w:pPr>
        <w:spacing w:line="360" w:lineRule="auto"/>
        <w:rPr>
          <w:b/>
          <w:color w:val="auto"/>
          <w:sz w:val="44"/>
          <w:highlight w:val="none"/>
        </w:rPr>
      </w:pPr>
    </w:p>
    <w:p>
      <w:pPr>
        <w:spacing w:line="360" w:lineRule="auto"/>
        <w:jc w:val="center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 w:val="72"/>
          <w:szCs w:val="52"/>
          <w:highlight w:val="none"/>
        </w:rPr>
        <w:t>招</w:t>
      </w:r>
      <w:r>
        <w:rPr>
          <w:rFonts w:ascii="宋体" w:hAnsi="宋体"/>
          <w:b/>
          <w:color w:val="auto"/>
          <w:sz w:val="72"/>
          <w:szCs w:val="52"/>
          <w:highlight w:val="none"/>
        </w:rPr>
        <w:t xml:space="preserve">  </w:t>
      </w:r>
      <w:r>
        <w:rPr>
          <w:rFonts w:hint="eastAsia" w:ascii="宋体" w:hAnsi="宋体"/>
          <w:b/>
          <w:color w:val="auto"/>
          <w:sz w:val="72"/>
          <w:szCs w:val="52"/>
          <w:highlight w:val="none"/>
        </w:rPr>
        <w:t>标</w:t>
      </w:r>
      <w:r>
        <w:rPr>
          <w:rFonts w:ascii="宋体" w:hAnsi="宋体"/>
          <w:b/>
          <w:color w:val="auto"/>
          <w:sz w:val="72"/>
          <w:szCs w:val="52"/>
          <w:highlight w:val="none"/>
        </w:rPr>
        <w:t xml:space="preserve">  </w:t>
      </w:r>
      <w:r>
        <w:rPr>
          <w:rFonts w:hint="eastAsia" w:ascii="宋体" w:hAnsi="宋体"/>
          <w:b/>
          <w:color w:val="auto"/>
          <w:sz w:val="72"/>
          <w:szCs w:val="52"/>
          <w:highlight w:val="none"/>
        </w:rPr>
        <w:t>文</w:t>
      </w:r>
      <w:r>
        <w:rPr>
          <w:rFonts w:ascii="宋体" w:hAnsi="宋体"/>
          <w:b/>
          <w:color w:val="auto"/>
          <w:sz w:val="72"/>
          <w:szCs w:val="52"/>
          <w:highlight w:val="none"/>
        </w:rPr>
        <w:t xml:space="preserve">  </w:t>
      </w:r>
      <w:r>
        <w:rPr>
          <w:rFonts w:hint="eastAsia" w:ascii="宋体" w:hAnsi="宋体"/>
          <w:b/>
          <w:color w:val="auto"/>
          <w:sz w:val="72"/>
          <w:szCs w:val="52"/>
          <w:highlight w:val="none"/>
        </w:rPr>
        <w:t>件</w:t>
      </w:r>
    </w:p>
    <w:p>
      <w:pPr>
        <w:spacing w:line="360" w:lineRule="auto"/>
        <w:jc w:val="center"/>
        <w:rPr>
          <w:rFonts w:ascii="宋体" w:hAnsi="宋体"/>
          <w:b/>
          <w:color w:val="auto"/>
          <w:sz w:val="32"/>
          <w:szCs w:val="32"/>
          <w:highlight w:val="none"/>
        </w:rPr>
      </w:pPr>
    </w:p>
    <w:p>
      <w:pPr>
        <w:spacing w:line="360" w:lineRule="auto"/>
        <w:jc w:val="center"/>
        <w:rPr>
          <w:rFonts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第二册</w:t>
      </w:r>
    </w:p>
    <w:p>
      <w:pPr>
        <w:spacing w:line="360" w:lineRule="auto"/>
        <w:jc w:val="center"/>
        <w:rPr>
          <w:rFonts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（专用册）</w:t>
      </w:r>
    </w:p>
    <w:p>
      <w:pPr>
        <w:spacing w:line="360" w:lineRule="auto"/>
        <w:jc w:val="center"/>
        <w:rPr>
          <w:rFonts w:ascii="宋体" w:hAnsi="宋体"/>
          <w:b/>
          <w:color w:val="auto"/>
          <w:sz w:val="30"/>
          <w:szCs w:val="30"/>
          <w:highlight w:val="none"/>
        </w:rPr>
      </w:pPr>
    </w:p>
    <w:p>
      <w:pPr>
        <w:spacing w:line="360" w:lineRule="auto"/>
        <w:ind w:firstLine="2168" w:firstLineChars="600"/>
        <w:rPr>
          <w:rFonts w:hint="eastAsia" w:eastAsia="宋体"/>
          <w:b/>
          <w:color w:val="auto"/>
          <w:sz w:val="32"/>
          <w:highlight w:val="none"/>
          <w:u w:val="single"/>
          <w:lang w:eastAsia="zh-CN"/>
        </w:rPr>
      </w:pPr>
      <w:r>
        <w:rPr>
          <w:rFonts w:hint="eastAsia" w:ascii="宋体" w:hAnsi="宋体"/>
          <w:b/>
          <w:color w:val="auto"/>
          <w:sz w:val="36"/>
          <w:szCs w:val="36"/>
          <w:highlight w:val="none"/>
        </w:rPr>
        <w:t>招标编号：</w:t>
      </w:r>
      <w:r>
        <w:rPr>
          <w:rFonts w:hint="eastAsia" w:ascii="宋体" w:hAnsi="宋体"/>
          <w:b/>
          <w:color w:val="auto"/>
          <w:sz w:val="36"/>
          <w:szCs w:val="36"/>
          <w:highlight w:val="none"/>
          <w:u w:val="single"/>
          <w:lang w:eastAsia="zh-CN"/>
        </w:rPr>
        <w:t>OITC-G210361408-1</w:t>
      </w:r>
    </w:p>
    <w:p>
      <w:pPr>
        <w:spacing w:line="360" w:lineRule="auto"/>
        <w:jc w:val="center"/>
        <w:rPr>
          <w:b/>
          <w:color w:val="auto"/>
          <w:sz w:val="32"/>
          <w:highlight w:val="none"/>
        </w:rPr>
      </w:pPr>
    </w:p>
    <w:p>
      <w:pPr>
        <w:spacing w:line="360" w:lineRule="auto"/>
        <w:jc w:val="center"/>
        <w:rPr>
          <w:b/>
          <w:color w:val="auto"/>
          <w:sz w:val="32"/>
          <w:highlight w:val="none"/>
        </w:rPr>
      </w:pPr>
    </w:p>
    <w:p>
      <w:pPr>
        <w:adjustRightInd w:val="0"/>
        <w:snapToGrid w:val="0"/>
        <w:spacing w:before="120"/>
        <w:jc w:val="center"/>
        <w:rPr>
          <w:rFonts w:ascii="宋体" w:hAnsi="宋体"/>
          <w:b/>
          <w:bCs/>
          <w:snapToGrid w:val="0"/>
          <w:color w:val="auto"/>
          <w:spacing w:val="20"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snapToGrid w:val="0"/>
          <w:color w:val="auto"/>
          <w:spacing w:val="20"/>
          <w:sz w:val="36"/>
          <w:szCs w:val="36"/>
          <w:highlight w:val="none"/>
        </w:rPr>
        <w:t>东方国际招标有限责任公司</w:t>
      </w:r>
    </w:p>
    <w:p>
      <w:pPr>
        <w:adjustRightInd w:val="0"/>
        <w:snapToGrid w:val="0"/>
        <w:jc w:val="center"/>
        <w:rPr>
          <w:rFonts w:ascii="宋体" w:hAnsi="宋体"/>
          <w:b/>
          <w:snapToGrid w:val="0"/>
          <w:color w:val="auto"/>
          <w:sz w:val="36"/>
          <w:szCs w:val="36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snapToGrid w:val="0"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b/>
          <w:snapToGrid w:val="0"/>
          <w:color w:val="auto"/>
          <w:sz w:val="36"/>
          <w:szCs w:val="36"/>
          <w:highlight w:val="none"/>
        </w:rPr>
        <w:t>中国 · 北京</w:t>
      </w:r>
    </w:p>
    <w:p>
      <w:pPr>
        <w:adjustRightInd w:val="0"/>
        <w:snapToGrid w:val="0"/>
        <w:jc w:val="center"/>
        <w:rPr>
          <w:rFonts w:ascii="宋体" w:hAnsi="宋体"/>
          <w:b/>
          <w:snapToGrid w:val="0"/>
          <w:color w:val="auto"/>
          <w:sz w:val="36"/>
          <w:szCs w:val="36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snapToGrid w:val="0"/>
          <w:color w:val="auto"/>
          <w:sz w:val="36"/>
          <w:szCs w:val="36"/>
          <w:highlight w:val="none"/>
        </w:rPr>
        <w:t>2021年</w:t>
      </w:r>
      <w:r>
        <w:rPr>
          <w:rFonts w:hint="eastAsia" w:ascii="宋体" w:hAnsi="宋体"/>
          <w:b/>
          <w:snapToGrid w:val="0"/>
          <w:color w:val="auto"/>
          <w:sz w:val="36"/>
          <w:szCs w:val="36"/>
          <w:highlight w:val="none"/>
          <w:lang w:val="en-US" w:eastAsia="zh-CN"/>
        </w:rPr>
        <w:t>11</w:t>
      </w:r>
      <w:r>
        <w:rPr>
          <w:rFonts w:hint="eastAsia" w:ascii="宋体" w:hAnsi="宋体"/>
          <w:b/>
          <w:snapToGrid w:val="0"/>
          <w:color w:val="auto"/>
          <w:sz w:val="36"/>
          <w:szCs w:val="36"/>
          <w:highlight w:val="none"/>
        </w:rPr>
        <w:t>月</w:t>
      </w:r>
    </w:p>
    <w:p>
      <w:pPr>
        <w:pStyle w:val="2"/>
        <w:snapToGrid w:val="0"/>
        <w:spacing w:before="0" w:after="0" w:line="240" w:lineRule="auto"/>
        <w:rPr>
          <w:rFonts w:hAnsi="宋体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24"/>
          <w:highlight w:val="none"/>
        </w:rPr>
      </w:pPr>
      <w:bookmarkStart w:id="1" w:name="_GoBack"/>
      <w:bookmarkEnd w:id="1"/>
      <w:bookmarkStart w:id="0" w:name="_Toc512937852"/>
      <w:r>
        <w:rPr>
          <w:rFonts w:ascii="宋体" w:hAnsi="宋体"/>
          <w:b/>
          <w:color w:val="auto"/>
          <w:sz w:val="24"/>
          <w:highlight w:val="none"/>
        </w:rPr>
        <w:br w:type="page"/>
      </w: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2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2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2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2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2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2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2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2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2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24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24"/>
          <w:highlight w:val="none"/>
        </w:rPr>
      </w:pPr>
    </w:p>
    <w:p>
      <w:pPr>
        <w:adjustRightInd w:val="0"/>
        <w:snapToGrid w:val="0"/>
        <w:spacing w:before="936" w:beforeLines="300"/>
        <w:jc w:val="center"/>
        <w:rPr>
          <w:rFonts w:ascii="黑体" w:eastAsia="黑体"/>
          <w:b/>
          <w:color w:val="auto"/>
          <w:kern w:val="44"/>
          <w:sz w:val="48"/>
          <w:szCs w:val="20"/>
          <w:highlight w:val="none"/>
        </w:rPr>
      </w:pPr>
      <w:r>
        <w:rPr>
          <w:rFonts w:hint="eastAsia" w:ascii="黑体" w:eastAsia="黑体"/>
          <w:b/>
          <w:color w:val="auto"/>
          <w:kern w:val="44"/>
          <w:sz w:val="48"/>
          <w:szCs w:val="20"/>
          <w:highlight w:val="none"/>
        </w:rPr>
        <w:t>第八部分  技术部分</w:t>
      </w:r>
      <w:r>
        <w:rPr>
          <w:rFonts w:ascii="黑体" w:eastAsia="黑体"/>
          <w:b/>
          <w:color w:val="auto"/>
          <w:kern w:val="44"/>
          <w:sz w:val="48"/>
          <w:szCs w:val="20"/>
          <w:highlight w:val="none"/>
        </w:rPr>
        <w:br w:type="page"/>
      </w:r>
    </w:p>
    <w:bookmarkEnd w:id="0"/>
    <w:p>
      <w:pPr>
        <w:numPr>
          <w:ilvl w:val="2"/>
          <w:numId w:val="1"/>
        </w:numPr>
        <w:adjustRightInd w:val="0"/>
        <w:snapToGrid w:val="0"/>
        <w:jc w:val="center"/>
        <w:rPr>
          <w:rFonts w:ascii="宋体" w:hAnsi="宋体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货物需求一览表</w:t>
      </w: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30"/>
          <w:szCs w:val="30"/>
          <w:highlight w:val="none"/>
        </w:rPr>
      </w:pPr>
    </w:p>
    <w:tbl>
      <w:tblPr>
        <w:tblStyle w:val="9"/>
        <w:tblW w:w="96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2640"/>
        <w:gridCol w:w="635"/>
        <w:gridCol w:w="1320"/>
        <w:gridCol w:w="1765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Bookman Old Style"/>
                <w:color w:val="auto"/>
                <w:sz w:val="24"/>
                <w:highlight w:val="none"/>
              </w:rPr>
            </w:pPr>
            <w:r>
              <w:rPr>
                <w:rFonts w:hint="eastAsia" w:ascii="宋体" w:hAnsi="Bookman Old Style"/>
                <w:color w:val="auto"/>
                <w:sz w:val="24"/>
                <w:highlight w:val="none"/>
              </w:rPr>
              <w:t>包号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Bookman Old Style"/>
                <w:color w:val="auto"/>
                <w:sz w:val="24"/>
                <w:highlight w:val="none"/>
              </w:rPr>
            </w:pPr>
            <w:r>
              <w:rPr>
                <w:rFonts w:hint="eastAsia" w:ascii="宋体" w:hAnsi="Bookman Old Style"/>
                <w:color w:val="auto"/>
                <w:sz w:val="24"/>
                <w:highlight w:val="none"/>
              </w:rPr>
              <w:t>货物名称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宋体" w:hAnsi="Bookman Old Style"/>
                <w:color w:val="auto"/>
                <w:sz w:val="24"/>
                <w:highlight w:val="none"/>
              </w:rPr>
            </w:pPr>
            <w:r>
              <w:rPr>
                <w:rFonts w:hint="eastAsia" w:ascii="宋体" w:hAnsi="Bookman Old Style"/>
                <w:color w:val="auto"/>
                <w:sz w:val="24"/>
                <w:highlight w:val="none"/>
              </w:rPr>
              <w:t>数量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Bookman Old Style"/>
                <w:color w:val="auto"/>
                <w:sz w:val="24"/>
                <w:highlight w:val="none"/>
              </w:rPr>
            </w:pPr>
            <w:r>
              <w:rPr>
                <w:rFonts w:hint="eastAsia" w:ascii="宋体" w:hAnsi="Bookman Old Style"/>
                <w:color w:val="auto"/>
                <w:sz w:val="24"/>
                <w:highlight w:val="none"/>
              </w:rPr>
              <w:t>交货期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Bookman Old Style"/>
                <w:color w:val="auto"/>
                <w:sz w:val="24"/>
                <w:highlight w:val="none"/>
              </w:rPr>
            </w:pPr>
            <w:r>
              <w:rPr>
                <w:rFonts w:hint="eastAsia" w:ascii="宋体" w:hAnsi="Bookman Old Style"/>
                <w:color w:val="auto"/>
                <w:sz w:val="24"/>
                <w:highlight w:val="none"/>
              </w:rPr>
              <w:t>指定到货港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Bookman Old Style"/>
                <w:color w:val="auto"/>
                <w:sz w:val="24"/>
                <w:highlight w:val="none"/>
                <w:shd w:val="pct10" w:color="auto" w:fill="FFFFFF"/>
              </w:rPr>
            </w:pPr>
            <w:r>
              <w:rPr>
                <w:rFonts w:hint="eastAsia" w:ascii="宋体" w:hAnsi="Bookman Old Style"/>
                <w:color w:val="auto"/>
                <w:sz w:val="24"/>
                <w:highlight w:val="none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Bookman Old Style" w:hAnsi="Bookman Old Style"/>
                <w:color w:val="auto"/>
                <w:sz w:val="24"/>
                <w:highlight w:val="none"/>
              </w:rPr>
            </w:pPr>
            <w:r>
              <w:rPr>
                <w:rFonts w:hint="eastAsia" w:ascii="Bookman Old Style" w:hAnsi="Bookman Old Style"/>
                <w:color w:val="auto"/>
                <w:sz w:val="24"/>
                <w:highlight w:val="none"/>
              </w:rPr>
              <w:t>研究级正置偏光+生物显微镜系统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宋体" w:hAnsi="Bookman Old Style"/>
                <w:color w:val="auto"/>
                <w:sz w:val="24"/>
                <w:highlight w:val="none"/>
              </w:rPr>
            </w:pPr>
            <w:r>
              <w:rPr>
                <w:rFonts w:hint="eastAsia" w:ascii="宋体" w:hAnsi="Bookman Old Style"/>
                <w:color w:val="auto"/>
                <w:sz w:val="24"/>
                <w:highlight w:val="none"/>
              </w:rPr>
              <w:t>1套</w:t>
            </w:r>
          </w:p>
        </w:tc>
        <w:tc>
          <w:tcPr>
            <w:tcW w:w="5605" w:type="dxa"/>
            <w:gridSpan w:val="3"/>
            <w:vAlign w:val="center"/>
          </w:tcPr>
          <w:p>
            <w:pPr>
              <w:jc w:val="center"/>
              <w:rPr>
                <w:rFonts w:ascii="宋体" w:hAnsi="Bookman Old Style"/>
                <w:color w:val="auto"/>
                <w:sz w:val="24"/>
                <w:highlight w:val="none"/>
              </w:rPr>
            </w:pPr>
            <w:r>
              <w:rPr>
                <w:rFonts w:hint="eastAsia" w:ascii="宋体" w:hAnsi="Bookman Old Style"/>
                <w:color w:val="auto"/>
                <w:sz w:val="24"/>
                <w:highlight w:val="none"/>
              </w:rPr>
              <w:t>详见具体技术规格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/>
          <w:b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auto"/>
          <w:sz w:val="30"/>
          <w:szCs w:val="30"/>
          <w:highlight w:val="none"/>
        </w:rPr>
      </w:pPr>
    </w:p>
    <w:p>
      <w:pPr>
        <w:rPr>
          <w:rFonts w:ascii="Bookman Old Style" w:hAnsi="Bookman Old Style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注：投标人须对上述投标内容中完整的一包或几包进行投标，</w:t>
      </w:r>
      <w:r>
        <w:rPr>
          <w:rFonts w:hint="eastAsia" w:ascii="Bookman Old Style" w:hAnsi="Bookman Old Style"/>
          <w:color w:val="auto"/>
          <w:sz w:val="24"/>
          <w:highlight w:val="none"/>
        </w:rPr>
        <w:t>不完整的投标将视为非响应性投标予以拒绝。</w:t>
      </w:r>
    </w:p>
    <w:p>
      <w:pPr>
        <w:adjustRightInd w:val="0"/>
        <w:snapToGrid w:val="0"/>
        <w:rPr>
          <w:rFonts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/>
          <w:b/>
          <w:color w:val="auto"/>
          <w:sz w:val="30"/>
          <w:szCs w:val="30"/>
          <w:highlight w:val="none"/>
        </w:rPr>
      </w:pPr>
      <w:r>
        <w:rPr>
          <w:rFonts w:ascii="宋体" w:hAnsi="宋体"/>
          <w:b/>
          <w:color w:val="auto"/>
          <w:sz w:val="30"/>
          <w:szCs w:val="30"/>
          <w:highlight w:val="none"/>
        </w:rPr>
        <w:br w:type="page"/>
      </w: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技术规格</w:t>
      </w:r>
    </w:p>
    <w:p>
      <w:pPr>
        <w:spacing w:line="360" w:lineRule="auto"/>
        <w:ind w:left="600" w:hanging="600"/>
        <w:rPr>
          <w:rFonts w:ascii="宋体" w:hAnsi="宋体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一、总</w:t>
      </w:r>
      <w:r>
        <w:rPr>
          <w:rFonts w:ascii="宋体" w:hAnsi="宋体"/>
          <w:b/>
          <w:color w:val="auto"/>
          <w:sz w:val="30"/>
          <w:szCs w:val="30"/>
          <w:highlight w:val="none"/>
        </w:rPr>
        <w:t xml:space="preserve">  </w:t>
      </w: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color w:val="auto"/>
          <w:sz w:val="28"/>
          <w:highlight w:val="none"/>
        </w:rPr>
      </w:pPr>
      <w:r>
        <w:rPr>
          <w:rFonts w:ascii="宋体" w:hAnsi="宋体"/>
          <w:b/>
          <w:color w:val="auto"/>
          <w:sz w:val="28"/>
          <w:highlight w:val="none"/>
        </w:rPr>
        <w:t>1</w:t>
      </w:r>
      <w:r>
        <w:rPr>
          <w:rFonts w:hint="eastAsia" w:ascii="宋体" w:hAnsi="宋体"/>
          <w:b/>
          <w:color w:val="auto"/>
          <w:sz w:val="28"/>
          <w:highlight w:val="none"/>
        </w:rPr>
        <w:t>、投标要求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 xml:space="preserve">1.1 </w:t>
      </w:r>
      <w:r>
        <w:rPr>
          <w:rFonts w:hint="eastAsia" w:ascii="宋体" w:hAnsi="宋体"/>
          <w:color w:val="auto"/>
          <w:sz w:val="24"/>
          <w:highlight w:val="none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1.2  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1.3  </w:t>
      </w:r>
      <w:r>
        <w:rPr>
          <w:rFonts w:hint="eastAsia"/>
          <w:color w:val="auto"/>
          <w:sz w:val="24"/>
          <w:highlight w:val="none"/>
        </w:rPr>
        <w:t>投标人提供的</w:t>
      </w:r>
      <w:r>
        <w:rPr>
          <w:rFonts w:hint="eastAsia" w:ascii="宋体"/>
          <w:color w:val="auto"/>
          <w:sz w:val="24"/>
          <w:highlight w:val="none"/>
        </w:rPr>
        <w:t>产品</w:t>
      </w:r>
      <w:r>
        <w:rPr>
          <w:rFonts w:hint="eastAsia"/>
          <w:color w:val="auto"/>
          <w:sz w:val="24"/>
          <w:highlight w:val="none"/>
        </w:rPr>
        <w:t>样本，必须是“原件”而非复印件，</w:t>
      </w:r>
      <w:r>
        <w:rPr>
          <w:rFonts w:hint="eastAsia" w:ascii="宋体"/>
          <w:color w:val="auto"/>
          <w:sz w:val="24"/>
          <w:highlight w:val="none"/>
        </w:rPr>
        <w:t>图表、简图、电路图以及印刷电路板图等都应</w:t>
      </w:r>
      <w:r>
        <w:rPr>
          <w:rFonts w:hint="eastAsia"/>
          <w:color w:val="auto"/>
          <w:sz w:val="24"/>
          <w:highlight w:val="none"/>
        </w:rPr>
        <w:t>清晰易读。买方有权</w:t>
      </w:r>
      <w:r>
        <w:rPr>
          <w:rFonts w:hint="eastAsia" w:ascii="宋体"/>
          <w:color w:val="auto"/>
          <w:sz w:val="24"/>
          <w:highlight w:val="none"/>
        </w:rPr>
        <w:t>不付任何附加费用</w:t>
      </w:r>
      <w:r>
        <w:rPr>
          <w:rFonts w:hint="eastAsia"/>
          <w:color w:val="auto"/>
          <w:sz w:val="24"/>
          <w:highlight w:val="none"/>
        </w:rPr>
        <w:t>复制这些资料</w:t>
      </w:r>
      <w:r>
        <w:rPr>
          <w:rFonts w:hint="eastAsia" w:ascii="宋体"/>
          <w:color w:val="auto"/>
          <w:sz w:val="24"/>
          <w:highlight w:val="none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color w:val="auto"/>
          <w:sz w:val="28"/>
          <w:highlight w:val="none"/>
        </w:rPr>
      </w:pPr>
      <w:r>
        <w:rPr>
          <w:rFonts w:hint="eastAsia" w:ascii="宋体" w:hAnsi="宋体"/>
          <w:b/>
          <w:color w:val="auto"/>
          <w:sz w:val="28"/>
          <w:highlight w:val="none"/>
        </w:rPr>
        <w:t>2、评标标准</w:t>
      </w:r>
    </w:p>
    <w:p>
      <w:pPr>
        <w:spacing w:line="360" w:lineRule="auto"/>
        <w:ind w:left="554" w:hanging="554" w:hangingChars="231"/>
        <w:rPr>
          <w:rFonts w:asci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>2.</w:t>
      </w:r>
      <w:r>
        <w:rPr>
          <w:rFonts w:hint="eastAsia" w:ascii="宋体" w:hAnsi="宋体"/>
          <w:color w:val="auto"/>
          <w:sz w:val="24"/>
          <w:highlight w:val="none"/>
        </w:rPr>
        <w:t xml:space="preserve">1  </w:t>
      </w:r>
      <w:r>
        <w:rPr>
          <w:rFonts w:hint="eastAsia"/>
          <w:color w:val="auto"/>
          <w:sz w:val="24"/>
          <w:highlight w:val="none"/>
        </w:rPr>
        <w:t>除招标文件中指定的附件和专用工具外，</w:t>
      </w:r>
      <w:r>
        <w:rPr>
          <w:rFonts w:hint="eastAsia" w:ascii="宋体"/>
          <w:color w:val="auto"/>
          <w:sz w:val="24"/>
          <w:highlight w:val="none"/>
        </w:rPr>
        <w:t>投标人应提供仪器设备的正常运行和常规保养所需的全套标准附件、专用工具</w:t>
      </w:r>
      <w:r>
        <w:rPr>
          <w:rFonts w:hint="eastAsia"/>
          <w:color w:val="auto"/>
          <w:sz w:val="24"/>
          <w:highlight w:val="none"/>
        </w:rPr>
        <w:t>和消耗品</w:t>
      </w:r>
      <w:r>
        <w:rPr>
          <w:rFonts w:hint="eastAsia" w:ascii="宋体"/>
          <w:color w:val="auto"/>
          <w:sz w:val="24"/>
          <w:highlight w:val="none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2.2  </w:t>
      </w:r>
      <w:r>
        <w:rPr>
          <w:rFonts w:hint="eastAsia"/>
          <w:color w:val="auto"/>
          <w:sz w:val="24"/>
          <w:highlight w:val="none"/>
        </w:rPr>
        <w:t>对于标书</w:t>
      </w:r>
      <w:r>
        <w:rPr>
          <w:rFonts w:hint="eastAsia" w:ascii="宋体"/>
          <w:color w:val="auto"/>
          <w:sz w:val="24"/>
          <w:highlight w:val="none"/>
        </w:rPr>
        <w:t>技术规范中已列</w:t>
      </w:r>
      <w:r>
        <w:rPr>
          <w:rFonts w:hint="eastAsia"/>
          <w:color w:val="auto"/>
          <w:sz w:val="24"/>
          <w:highlight w:val="none"/>
        </w:rPr>
        <w:t>出的作为查询选件的附件、零配件、专用工具和消耗品，投标书中</w:t>
      </w:r>
      <w:r>
        <w:rPr>
          <w:rFonts w:hint="eastAsia" w:ascii="宋体"/>
          <w:color w:val="auto"/>
          <w:sz w:val="24"/>
          <w:highlight w:val="none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color w:val="auto"/>
          <w:sz w:val="24"/>
          <w:highlight w:val="none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2.3  为便于用户进行接收仪器的准备工作，卖方应在合同生效后</w:t>
      </w:r>
      <w:r>
        <w:rPr>
          <w:rFonts w:hint="eastAsia" w:ascii="宋体" w:hAnsi="宋体"/>
          <w:b/>
          <w:color w:val="auto"/>
          <w:sz w:val="24"/>
          <w:highlight w:val="none"/>
        </w:rPr>
        <w:t>60</w:t>
      </w:r>
      <w:r>
        <w:rPr>
          <w:rFonts w:hint="eastAsia" w:ascii="宋体" w:hAnsi="宋体"/>
          <w:color w:val="auto"/>
          <w:sz w:val="24"/>
          <w:highlight w:val="none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</w:t>
      </w:r>
      <w:r>
        <w:rPr>
          <w:rFonts w:ascii="宋体" w:hAnsi="宋体"/>
          <w:color w:val="auto"/>
          <w:sz w:val="24"/>
          <w:highlight w:val="none"/>
        </w:rPr>
        <w:t>.</w:t>
      </w:r>
      <w:r>
        <w:rPr>
          <w:rFonts w:hint="eastAsia" w:ascii="宋体" w:hAnsi="宋体"/>
          <w:color w:val="auto"/>
          <w:sz w:val="24"/>
          <w:highlight w:val="none"/>
        </w:rPr>
        <w:t>4</w:t>
      </w:r>
      <w:r>
        <w:rPr>
          <w:rFonts w:ascii="宋体" w:hAnsi="宋体"/>
          <w:color w:val="auto"/>
          <w:sz w:val="24"/>
          <w:highlight w:val="none"/>
        </w:rPr>
        <w:t xml:space="preserve"> </w:t>
      </w:r>
      <w:r>
        <w:rPr>
          <w:rFonts w:hint="eastAsia" w:ascii="宋体" w:hAnsi="宋体"/>
          <w:color w:val="auto"/>
          <w:sz w:val="24"/>
          <w:highlight w:val="none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>2.</w:t>
      </w:r>
      <w:r>
        <w:rPr>
          <w:rFonts w:hint="eastAsia" w:ascii="宋体" w:hAnsi="宋体"/>
          <w:color w:val="auto"/>
          <w:sz w:val="24"/>
          <w:highlight w:val="none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</w:t>
      </w:r>
      <w:r>
        <w:rPr>
          <w:rFonts w:ascii="宋体" w:hAnsi="宋体"/>
          <w:color w:val="auto"/>
          <w:sz w:val="24"/>
          <w:highlight w:val="none"/>
        </w:rPr>
        <w:t>.</w:t>
      </w:r>
      <w:r>
        <w:rPr>
          <w:rFonts w:hint="eastAsia" w:ascii="宋体" w:hAnsi="宋体"/>
          <w:color w:val="auto"/>
          <w:sz w:val="24"/>
          <w:highlight w:val="none"/>
        </w:rPr>
        <w:t xml:space="preserve">6  </w:t>
      </w:r>
      <w:r>
        <w:rPr>
          <w:rFonts w:hint="eastAsia"/>
          <w:color w:val="auto"/>
          <w:sz w:val="24"/>
          <w:highlight w:val="none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color w:val="auto"/>
          <w:sz w:val="28"/>
          <w:highlight w:val="none"/>
        </w:rPr>
      </w:pPr>
      <w:r>
        <w:rPr>
          <w:rFonts w:hint="eastAsia" w:ascii="宋体" w:hAnsi="宋体"/>
          <w:b/>
          <w:color w:val="auto"/>
          <w:sz w:val="28"/>
          <w:highlight w:val="none"/>
        </w:rPr>
        <w:t>3、工作条件</w:t>
      </w:r>
    </w:p>
    <w:p>
      <w:pPr>
        <w:spacing w:after="312" w:afterLines="100"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除非在技术规格中另有说明，所有仪器、设备和系统都应符合下列要求：</w:t>
      </w:r>
      <w:r>
        <w:rPr>
          <w:rFonts w:ascii="宋体" w:hAnsi="宋体"/>
          <w:color w:val="auto"/>
          <w:sz w:val="24"/>
          <w:highlight w:val="none"/>
        </w:rPr>
        <w:t xml:space="preserve"> 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3.1  适于在气温为摄氏</w:t>
      </w:r>
      <w:r>
        <w:rPr>
          <w:rFonts w:ascii="宋体" w:hAnsi="宋体"/>
          <w:b/>
          <w:color w:val="auto"/>
          <w:sz w:val="24"/>
          <w:highlight w:val="none"/>
        </w:rPr>
        <w:t>-40</w:t>
      </w:r>
      <w:r>
        <w:rPr>
          <w:rFonts w:hint="eastAsia" w:ascii="宋体" w:hAnsi="宋体"/>
          <w:b/>
          <w:color w:val="auto"/>
          <w:sz w:val="24"/>
          <w:highlight w:val="none"/>
        </w:rPr>
        <w:t>℃～＋</w:t>
      </w:r>
      <w:r>
        <w:rPr>
          <w:rFonts w:ascii="宋体" w:hAnsi="宋体"/>
          <w:b/>
          <w:color w:val="auto"/>
          <w:sz w:val="24"/>
          <w:highlight w:val="none"/>
        </w:rPr>
        <w:t>50</w:t>
      </w:r>
      <w:r>
        <w:rPr>
          <w:rFonts w:hint="eastAsia" w:ascii="宋体" w:hAnsi="宋体"/>
          <w:b/>
          <w:color w:val="auto"/>
          <w:sz w:val="24"/>
          <w:highlight w:val="none"/>
        </w:rPr>
        <w:t>℃</w:t>
      </w:r>
      <w:r>
        <w:rPr>
          <w:rFonts w:hint="eastAsia" w:ascii="宋体" w:hAnsi="宋体"/>
          <w:color w:val="auto"/>
          <w:sz w:val="24"/>
          <w:highlight w:val="none"/>
        </w:rPr>
        <w:t>和相对湿度为</w:t>
      </w:r>
      <w:r>
        <w:rPr>
          <w:rFonts w:ascii="宋体" w:hAnsi="宋体"/>
          <w:b/>
          <w:color w:val="auto"/>
          <w:sz w:val="24"/>
          <w:highlight w:val="none"/>
        </w:rPr>
        <w:t>90</w:t>
      </w:r>
      <w:r>
        <w:rPr>
          <w:rFonts w:hint="eastAsia" w:ascii="宋体" w:hAnsi="宋体"/>
          <w:b/>
          <w:color w:val="auto"/>
          <w:sz w:val="24"/>
          <w:highlight w:val="none"/>
        </w:rPr>
        <w:t>％</w:t>
      </w:r>
      <w:r>
        <w:rPr>
          <w:rFonts w:hint="eastAsia" w:ascii="宋体" w:hAnsi="宋体"/>
          <w:color w:val="auto"/>
          <w:sz w:val="24"/>
          <w:highlight w:val="none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3.2  适于在电源</w:t>
      </w:r>
      <w:r>
        <w:rPr>
          <w:rFonts w:ascii="宋体" w:hAnsi="宋体"/>
          <w:b/>
          <w:color w:val="auto"/>
          <w:sz w:val="24"/>
          <w:highlight w:val="none"/>
        </w:rPr>
        <w:t>220V</w:t>
      </w:r>
      <w:r>
        <w:rPr>
          <w:rFonts w:hint="eastAsia" w:ascii="宋体" w:hAnsi="宋体"/>
          <w:b/>
          <w:color w:val="auto"/>
          <w:sz w:val="24"/>
          <w:highlight w:val="none"/>
        </w:rPr>
        <w:t>（</w:t>
      </w:r>
      <w:r>
        <w:rPr>
          <w:rFonts w:ascii="宋体" w:hAnsi="宋体"/>
          <w:b/>
          <w:color w:val="auto"/>
          <w:sz w:val="24"/>
          <w:highlight w:val="none"/>
        </w:rPr>
        <w:sym w:font="Symbol" w:char="F0B1"/>
      </w:r>
      <w:r>
        <w:rPr>
          <w:rFonts w:ascii="宋体" w:hAnsi="宋体"/>
          <w:b/>
          <w:color w:val="auto"/>
          <w:sz w:val="24"/>
          <w:highlight w:val="none"/>
        </w:rPr>
        <w:t>10</w:t>
      </w:r>
      <w:r>
        <w:rPr>
          <w:rFonts w:hint="eastAsia" w:ascii="宋体" w:hAnsi="宋体"/>
          <w:b/>
          <w:color w:val="auto"/>
          <w:sz w:val="24"/>
          <w:highlight w:val="none"/>
        </w:rPr>
        <w:t>％）</w:t>
      </w:r>
      <w:r>
        <w:rPr>
          <w:rFonts w:ascii="宋体" w:hAnsi="宋体"/>
          <w:b/>
          <w:color w:val="auto"/>
          <w:sz w:val="24"/>
          <w:highlight w:val="none"/>
        </w:rPr>
        <w:t>/50Hz</w:t>
      </w:r>
      <w:r>
        <w:rPr>
          <w:rFonts w:hint="eastAsia" w:ascii="宋体" w:hAnsi="宋体"/>
          <w:color w:val="auto"/>
          <w:sz w:val="24"/>
          <w:highlight w:val="none"/>
        </w:rPr>
        <w:t>、气温摄氏</w:t>
      </w:r>
      <w:r>
        <w:rPr>
          <w:rFonts w:hint="eastAsia" w:ascii="宋体" w:hAnsi="宋体"/>
          <w:b/>
          <w:color w:val="auto"/>
          <w:sz w:val="24"/>
          <w:highlight w:val="none"/>
        </w:rPr>
        <w:t>+1</w:t>
      </w:r>
      <w:r>
        <w:rPr>
          <w:rFonts w:ascii="宋体" w:hAnsi="宋体"/>
          <w:b/>
          <w:color w:val="auto"/>
          <w:sz w:val="24"/>
          <w:highlight w:val="none"/>
        </w:rPr>
        <w:t>5</w:t>
      </w:r>
      <w:r>
        <w:rPr>
          <w:rFonts w:hint="eastAsia" w:ascii="宋体" w:hAnsi="宋体"/>
          <w:b/>
          <w:color w:val="auto"/>
          <w:sz w:val="24"/>
          <w:highlight w:val="none"/>
        </w:rPr>
        <w:t>℃～＋3</w:t>
      </w:r>
      <w:r>
        <w:rPr>
          <w:rFonts w:ascii="宋体" w:hAnsi="宋体"/>
          <w:b/>
          <w:color w:val="auto"/>
          <w:sz w:val="24"/>
          <w:highlight w:val="none"/>
        </w:rPr>
        <w:t>0</w:t>
      </w:r>
      <w:r>
        <w:rPr>
          <w:rFonts w:hint="eastAsia" w:ascii="宋体" w:hAnsi="宋体"/>
          <w:b/>
          <w:color w:val="auto"/>
          <w:sz w:val="24"/>
          <w:highlight w:val="none"/>
        </w:rPr>
        <w:t>℃</w:t>
      </w:r>
      <w:r>
        <w:rPr>
          <w:rFonts w:hint="eastAsia" w:ascii="宋体" w:hAnsi="宋体"/>
          <w:color w:val="auto"/>
          <w:sz w:val="24"/>
          <w:highlight w:val="none"/>
        </w:rPr>
        <w:t>和相对湿度小于</w:t>
      </w:r>
      <w:r>
        <w:rPr>
          <w:rFonts w:ascii="宋体" w:hAnsi="宋体"/>
          <w:b/>
          <w:color w:val="auto"/>
          <w:sz w:val="24"/>
          <w:highlight w:val="none"/>
        </w:rPr>
        <w:t>8</w:t>
      </w:r>
      <w:r>
        <w:rPr>
          <w:rFonts w:hint="eastAsia" w:ascii="宋体" w:hAnsi="宋体"/>
          <w:b/>
          <w:color w:val="auto"/>
          <w:sz w:val="24"/>
          <w:highlight w:val="none"/>
        </w:rPr>
        <w:t>0％</w:t>
      </w:r>
      <w:r>
        <w:rPr>
          <w:rFonts w:hint="eastAsia" w:ascii="宋体" w:hAnsi="宋体"/>
          <w:color w:val="auto"/>
          <w:sz w:val="24"/>
          <w:highlight w:val="none"/>
        </w:rPr>
        <w:t>的环境条件下运行。</w:t>
      </w:r>
      <w:r>
        <w:rPr>
          <w:rFonts w:hint="eastAsia" w:ascii="宋体" w:hAnsi="宋体"/>
          <w:b/>
          <w:color w:val="auto"/>
          <w:sz w:val="24"/>
          <w:highlight w:val="none"/>
        </w:rPr>
        <w:t>能够连续正常工作。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3.3  配置符合中国有关标准要求的插头，如果没有这样的插头，则需</w:t>
      </w:r>
      <w:r>
        <w:rPr>
          <w:rFonts w:hint="eastAsia" w:ascii="宋体"/>
          <w:color w:val="auto"/>
          <w:sz w:val="24"/>
          <w:highlight w:val="none"/>
        </w:rPr>
        <w:t>提供适当的转</w:t>
      </w:r>
      <w:r>
        <w:rPr>
          <w:rFonts w:hint="eastAsia" w:ascii="宋体" w:hAnsi="宋体"/>
          <w:color w:val="auto"/>
          <w:sz w:val="24"/>
          <w:highlight w:val="none"/>
        </w:rPr>
        <w:t>换插座。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eastAsia="黑体"/>
          <w:b/>
          <w:bCs/>
          <w:color w:val="auto"/>
          <w:kern w:val="44"/>
          <w:sz w:val="24"/>
          <w:highlight w:val="none"/>
        </w:rPr>
      </w:pP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color w:val="auto"/>
          <w:sz w:val="28"/>
          <w:highlight w:val="none"/>
        </w:rPr>
      </w:pPr>
      <w:r>
        <w:rPr>
          <w:rFonts w:hint="eastAsia" w:ascii="宋体" w:hAnsi="宋体"/>
          <w:b/>
          <w:color w:val="auto"/>
          <w:sz w:val="28"/>
          <w:highlight w:val="none"/>
        </w:rPr>
        <w:t>4、验收标准</w:t>
      </w:r>
    </w:p>
    <w:p>
      <w:pPr>
        <w:spacing w:after="312" w:afterLines="100"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除非在技术规格中另有说明，所有仪器、设备和系统按下列要求进行验收：</w:t>
      </w:r>
      <w:r>
        <w:rPr>
          <w:rFonts w:ascii="宋体" w:hAnsi="宋体"/>
          <w:color w:val="auto"/>
          <w:sz w:val="24"/>
          <w:highlight w:val="none"/>
        </w:rPr>
        <w:t xml:space="preserve"> 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  仪器设备运抵安装现场后，买方将与卖方共同开箱验收</w:t>
      </w:r>
      <w:r>
        <w:rPr>
          <w:rFonts w:ascii="宋体" w:hAnsi="宋体"/>
          <w:color w:val="auto"/>
          <w:sz w:val="24"/>
          <w:highlight w:val="none"/>
        </w:rPr>
        <w:t xml:space="preserve">, </w:t>
      </w:r>
      <w:r>
        <w:rPr>
          <w:rFonts w:hint="eastAsia" w:ascii="宋体" w:hAnsi="宋体"/>
          <w:color w:val="auto"/>
          <w:sz w:val="24"/>
          <w:highlight w:val="none"/>
        </w:rPr>
        <w:t>如卖方届时不派人来</w:t>
      </w:r>
      <w:r>
        <w:rPr>
          <w:rFonts w:ascii="宋体" w:hAnsi="宋体"/>
          <w:color w:val="auto"/>
          <w:sz w:val="24"/>
          <w:highlight w:val="none"/>
        </w:rPr>
        <w:t xml:space="preserve">, </w:t>
      </w:r>
      <w:r>
        <w:rPr>
          <w:rFonts w:hint="eastAsia" w:ascii="宋体" w:hAnsi="宋体"/>
          <w:color w:val="auto"/>
          <w:sz w:val="24"/>
          <w:highlight w:val="none"/>
        </w:rPr>
        <w:t>则验收结果应以买方的验收报告为最终验收结果。验收时发现短缺、破损</w:t>
      </w:r>
      <w:r>
        <w:rPr>
          <w:rFonts w:ascii="宋体" w:hAnsi="宋体"/>
          <w:color w:val="auto"/>
          <w:sz w:val="24"/>
          <w:highlight w:val="none"/>
        </w:rPr>
        <w:t xml:space="preserve">, </w:t>
      </w:r>
      <w:r>
        <w:rPr>
          <w:rFonts w:hint="eastAsia" w:ascii="宋体" w:hAnsi="宋体"/>
          <w:color w:val="auto"/>
          <w:sz w:val="24"/>
          <w:highlight w:val="none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4.2  </w:t>
      </w:r>
      <w:r>
        <w:rPr>
          <w:rFonts w:hint="eastAsia"/>
          <w:color w:val="auto"/>
          <w:sz w:val="24"/>
          <w:highlight w:val="none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4.3  </w:t>
      </w:r>
      <w:r>
        <w:rPr>
          <w:rFonts w:ascii="宋体" w:hAnsi="宋体"/>
          <w:color w:val="auto"/>
          <w:sz w:val="24"/>
          <w:highlight w:val="none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4"/>
        <w:spacing w:line="360" w:lineRule="auto"/>
        <w:ind w:left="410" w:hanging="410" w:hangingChars="170"/>
        <w:rPr>
          <w:rFonts w:hAnsi="宋体"/>
          <w:b/>
          <w:color w:val="auto"/>
          <w:sz w:val="24"/>
          <w:szCs w:val="24"/>
          <w:highlight w:val="none"/>
        </w:rPr>
      </w:pPr>
    </w:p>
    <w:p>
      <w:pPr>
        <w:pStyle w:val="4"/>
        <w:spacing w:line="360" w:lineRule="auto"/>
        <w:ind w:left="410" w:hanging="410" w:hangingChars="170"/>
        <w:rPr>
          <w:rFonts w:hAnsi="宋体"/>
          <w:b/>
          <w:color w:val="auto"/>
          <w:sz w:val="24"/>
          <w:szCs w:val="24"/>
          <w:highlight w:val="none"/>
        </w:rPr>
      </w:pPr>
      <w:r>
        <w:rPr>
          <w:rFonts w:hint="eastAsia" w:hAnsi="宋体"/>
          <w:b/>
          <w:color w:val="auto"/>
          <w:sz w:val="24"/>
          <w:szCs w:val="24"/>
          <w:highlight w:val="none"/>
        </w:rPr>
        <w:t>5、本技术规格书中标注“*”号的为关键技术参数，对这些关键技术参数的任何负偏离将导致废标。</w:t>
      </w:r>
    </w:p>
    <w:p>
      <w:pPr>
        <w:pStyle w:val="4"/>
        <w:spacing w:line="360" w:lineRule="auto"/>
        <w:rPr>
          <w:rFonts w:hAnsi="宋体"/>
          <w:b/>
          <w:color w:val="auto"/>
          <w:sz w:val="24"/>
          <w:szCs w:val="24"/>
          <w:highlight w:val="none"/>
        </w:rPr>
      </w:pPr>
    </w:p>
    <w:p>
      <w:pPr>
        <w:pStyle w:val="4"/>
        <w:spacing w:line="360" w:lineRule="auto"/>
        <w:rPr>
          <w:rFonts w:hAnsi="宋体"/>
          <w:b/>
          <w:color w:val="auto"/>
          <w:sz w:val="24"/>
          <w:szCs w:val="24"/>
          <w:highlight w:val="none"/>
        </w:rPr>
      </w:pPr>
      <w:r>
        <w:rPr>
          <w:rFonts w:hint="eastAsia" w:hAnsi="宋体"/>
          <w:b/>
          <w:color w:val="auto"/>
          <w:sz w:val="24"/>
          <w:szCs w:val="24"/>
          <w:highlight w:val="none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ascii="宋体" w:hAnsi="宋体"/>
          <w:b/>
          <w:color w:val="auto"/>
          <w:sz w:val="28"/>
          <w:highlight w:val="none"/>
        </w:rPr>
      </w:pPr>
      <w:r>
        <w:rPr>
          <w:rFonts w:ascii="宋体" w:hAnsi="宋体"/>
          <w:b/>
          <w:color w:val="auto"/>
          <w:sz w:val="28"/>
          <w:highlight w:val="none"/>
        </w:rPr>
        <w:br w:type="page"/>
      </w:r>
      <w:r>
        <w:rPr>
          <w:rFonts w:hint="eastAsia" w:ascii="宋体" w:hAnsi="宋体"/>
          <w:b/>
          <w:color w:val="auto"/>
          <w:sz w:val="28"/>
          <w:highlight w:val="none"/>
        </w:rPr>
        <w:t>二、具体技术规格</w:t>
      </w:r>
    </w:p>
    <w:p>
      <w:pPr>
        <w:rPr>
          <w:color w:val="auto"/>
          <w:sz w:val="24"/>
          <w:highlight w:val="none"/>
        </w:rPr>
      </w:pPr>
    </w:p>
    <w:p>
      <w:pPr>
        <w:jc w:val="center"/>
        <w:rPr>
          <w:b/>
          <w:color w:val="auto"/>
          <w:sz w:val="24"/>
          <w:highlight w:val="none"/>
        </w:rPr>
      </w:pPr>
      <w:r>
        <w:rPr>
          <w:rFonts w:hint="eastAsia"/>
          <w:b/>
          <w:color w:val="auto"/>
          <w:sz w:val="24"/>
          <w:highlight w:val="none"/>
        </w:rPr>
        <w:t>研究级正置偏光+生物显微镜系统</w:t>
      </w:r>
    </w:p>
    <w:p>
      <w:pPr>
        <w:spacing w:after="156" w:afterLines="50"/>
        <w:ind w:left="601" w:hanging="601"/>
        <w:rPr>
          <w:rFonts w:ascii="宋体" w:hAnsi="宋体"/>
          <w:color w:val="auto"/>
          <w:highlight w:val="none"/>
        </w:rPr>
      </w:pP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技术指标参数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1.1  研究级正置偏光+生物显微镜</w:t>
      </w:r>
    </w:p>
    <w:p>
      <w:pPr>
        <w:spacing w:line="360" w:lineRule="auto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 xml:space="preserve"> 1.1.1  研究级正置偏光+生物显微镜，可作明场、偏光的观察</w:t>
      </w:r>
    </w:p>
    <w:p>
      <w:pPr>
        <w:spacing w:line="360" w:lineRule="auto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*1.1.2  光学系统：无限远校正光学系统，齐焦距离≤45mm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1.1.3  调焦：载物台垂直运动方式距离不小于25mm，带聚焦粗调上限停止位置，粗调旋钮扭矩可调，最小微调刻度单位≤1微米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1.1.4  观察镜筒：宽视野三目镜筒，视场数≥22</w:t>
      </w:r>
    </w:p>
    <w:p>
      <w:pPr>
        <w:spacing w:line="360" w:lineRule="auto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#1.1.5  照明装置：内置透射光柯勒照明器，具有光强预设按钮、第二代光强管理按钮，高亮度LED(强度大于12V100W卤素灯)，可选配加装色温调整滤光片。光强可后期满足25人以上共览需求。</w:t>
      </w:r>
    </w:p>
    <w:p>
      <w:pPr>
        <w:spacing w:line="360" w:lineRule="auto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#1.1.6  偏光半复消色差物镜：</w:t>
      </w:r>
    </w:p>
    <w:p>
      <w:pPr>
        <w:spacing w:line="360" w:lineRule="auto"/>
        <w:ind w:left="1198" w:leftChars="399" w:hanging="360" w:hangingChars="1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4X（N.A. ≥0.13，W.D. ≥17）</w:t>
      </w:r>
    </w:p>
    <w:p>
      <w:pPr>
        <w:spacing w:line="360" w:lineRule="auto"/>
        <w:ind w:left="1198" w:leftChars="399" w:hanging="360" w:hangingChars="1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10X（N.A. ≥0.3，W.D. ≥10）</w:t>
      </w:r>
    </w:p>
    <w:p>
      <w:pPr>
        <w:spacing w:line="360" w:lineRule="auto"/>
        <w:ind w:firstLine="840" w:firstLineChars="3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20X（N.A. ≥0.5，W.D.≥2.1）</w:t>
      </w:r>
    </w:p>
    <w:p>
      <w:pPr>
        <w:spacing w:line="360" w:lineRule="auto"/>
        <w:ind w:firstLine="840" w:firstLineChars="3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40X（N.A. ≥0.75，W.D.≥ 0.51  spring）</w:t>
      </w:r>
    </w:p>
    <w:p>
      <w:pPr>
        <w:spacing w:line="360" w:lineRule="auto"/>
        <w:ind w:firstLine="840" w:firstLineChars="3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生物镜专用复消色差物镜：</w:t>
      </w:r>
    </w:p>
    <w:p>
      <w:pPr>
        <w:spacing w:line="360" w:lineRule="auto"/>
        <w:ind w:firstLine="840" w:firstLineChars="3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60X（N.A. ≥1.42，W.D.≥0.15  spring, oil）</w:t>
      </w:r>
    </w:p>
    <w:p>
      <w:pPr>
        <w:spacing w:line="360" w:lineRule="auto"/>
        <w:ind w:firstLine="840" w:firstLineChars="3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100X（N.A. ≥1.3，W.D.≥0.2 spring, oil）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1.1.7  载物台一：带有3点对中功能的专业偏光旋转载物台，可以旋转360°，能在任意位置锁定，以1°为单位标有360°刻度。</w:t>
      </w:r>
    </w:p>
    <w:p>
      <w:pPr>
        <w:spacing w:line="360" w:lineRule="auto"/>
        <w:ind w:firstLine="840" w:firstLineChars="3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载物台二：人机工程学、右手、低位置同轴驱动选钮的高抗磨损性陶瓷覆盖层载物台。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  <w:lang w:val="en-GB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1.1.8  目镜：10X宽视野目镜，视场数≥22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1.1.9  物镜转换器：带有可定心附件的至少六孔转盘</w:t>
      </w:r>
    </w:p>
    <w:p>
      <w:pPr>
        <w:spacing w:line="360" w:lineRule="auto"/>
        <w:ind w:left="1048" w:leftChars="57" w:hanging="928" w:hangingChars="387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 xml:space="preserve">1.1.10  聚光镜： 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1.1.10.1  消色差无应力聚光镜，附带360°可旋转起偏镜及摆动式消色差顶镜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1.1.10.2  数值孔径 0.9 – 0.18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1.1.11  检偏镜：刻度盘可360°旋转，最小刻度为0.1°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1.1.12  带可调焦勃氏镜，可切换锥光镜检和正交镜检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1.2  显微镜同品牌显微成像系统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#1.2.1  原装相机芯片：单芯片彩色≥1/1.2 CMOS科研芯片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*1.2.2  制冷系统：Peltier制冷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#1.2.3  有效图像分辨率：≥2000万（ 5760 × 3600 ）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1.2.4  灵敏度：0.5X/1X/2X/4X/8X/16X (ISO 200 / 400 / 800 / 1600 / 3200 / 6400 相当于)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1.2.5  测光模式: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 xml:space="preserve">        模式：自动，SFL自动，手动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 xml:space="preserve">        调节：±1.0 EV ；步进: 1/3 EV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1.2.6  时间：39 μs to 60 s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1.2.7  测光区域：全幅，30%, 1%, 0.1%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*1.2.8  实时帧速： ≥60 fps（1920 × 1200）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1.3  显微镜同品牌图像控制及分析软件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1.3.1  采集图像：支持多种型号专业CCD，界面直观，操作容易，使用户更加容易的集中精力关注生物试验过程；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1.3.2  对图像中的直线显示线上灰度强度变化，从而反映图像中的变化特性；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1.3.3  在图像上添加注释、箭头等功能，可以方便的表示图像中的重点关注部位；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1.3.4  调节亮度、对比度、伽玛值以及灰度显示范围，并可以单独调节RGB各通道的亮度，使图像关注点和各荧光通道获得最佳的显示效果；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1.3.5  对单荧光通道图片做色彩合成，方便显示多染标本的图像；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1.3.6  合成透射光和荧光通道图像，显示荧光在细胞上的定位图像；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1.3.7  支持反转滤镜，能够更好的比较色彩变化；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1.3.8  方便的输入硬件信息即可实现添加标尺功能，从而显示图像的放大比例关系；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1.3.9  可以做离线白平衡，便于后期图像色彩修正；</w:t>
      </w:r>
    </w:p>
    <w:p>
      <w:pPr>
        <w:spacing w:line="360" w:lineRule="auto"/>
        <w:ind w:firstLine="120" w:firstLineChars="50"/>
        <w:rPr>
          <w:rFonts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1.3.10 可以执行简单的手动测量功能，如长度测量和面积测量。</w:t>
      </w:r>
    </w:p>
    <w:p>
      <w:pPr>
        <w:spacing w:line="360" w:lineRule="auto"/>
        <w:rPr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1.3.11 配套计算机工作站，惠普EliteDesk 880G5  I5处理器  8G内存 2G独显 256G固态+1T   27寸  Windows 10 64位中文专业版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</w:t>
      </w:r>
      <w:r>
        <w:rPr>
          <w:rFonts w:hint="eastAsia"/>
          <w:color w:val="auto"/>
          <w:sz w:val="24"/>
          <w:highlight w:val="none"/>
        </w:rPr>
        <w:t xml:space="preserve"> </w:t>
      </w:r>
    </w:p>
    <w:p>
      <w:pPr>
        <w:spacing w:line="360" w:lineRule="auto"/>
        <w:ind w:firstLine="480"/>
        <w:rPr>
          <w:color w:val="auto"/>
          <w:sz w:val="24"/>
          <w:highlight w:val="none"/>
        </w:rPr>
      </w:pPr>
    </w:p>
    <w:p>
      <w:pPr>
        <w:spacing w:line="360" w:lineRule="auto"/>
        <w:rPr>
          <w:b/>
          <w:color w:val="auto"/>
          <w:sz w:val="24"/>
          <w:highlight w:val="none"/>
        </w:rPr>
      </w:pPr>
      <w:r>
        <w:rPr>
          <w:rFonts w:hint="eastAsia"/>
          <w:b/>
          <w:color w:val="auto"/>
          <w:sz w:val="24"/>
          <w:highlight w:val="none"/>
        </w:rPr>
        <w:t>2.产品配置要求</w:t>
      </w:r>
    </w:p>
    <w:p>
      <w:pPr>
        <w:tabs>
          <w:tab w:val="left" w:pos="540"/>
        </w:tabs>
        <w:spacing w:line="360" w:lineRule="auto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2.1  显微镜主机1套</w:t>
      </w:r>
    </w:p>
    <w:p>
      <w:pPr>
        <w:tabs>
          <w:tab w:val="left" w:pos="540"/>
        </w:tabs>
        <w:spacing w:line="360" w:lineRule="auto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2.2  透射明场照明系统1套</w:t>
      </w:r>
    </w:p>
    <w:p>
      <w:pPr>
        <w:tabs>
          <w:tab w:val="left" w:pos="540"/>
        </w:tabs>
        <w:spacing w:line="360" w:lineRule="auto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2.3  偏光镜头4X、10X、20X、40X；生物镜头60X、100X 共计6支</w:t>
      </w:r>
    </w:p>
    <w:p>
      <w:pPr>
        <w:tabs>
          <w:tab w:val="left" w:pos="540"/>
        </w:tabs>
        <w:spacing w:line="360" w:lineRule="auto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2.4  偏光系统1套</w:t>
      </w:r>
    </w:p>
    <w:p>
      <w:pPr>
        <w:tabs>
          <w:tab w:val="left" w:pos="540"/>
        </w:tabs>
        <w:spacing w:line="360" w:lineRule="auto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2.5  成像系统（包含CCD、接口、软件以及电脑工作站）1套</w:t>
      </w:r>
    </w:p>
    <w:p>
      <w:pPr>
        <w:tabs>
          <w:tab w:val="left" w:pos="540"/>
        </w:tabs>
        <w:spacing w:line="360" w:lineRule="auto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2.6  必配的附件、配件、专用工具、消耗品：</w:t>
      </w:r>
    </w:p>
    <w:p>
      <w:pPr>
        <w:tabs>
          <w:tab w:val="left" w:pos="540"/>
        </w:tabs>
        <w:spacing w:line="360" w:lineRule="auto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    目镜一对；载物台2套；内六角螺丝刀一套；镜油一瓶。</w:t>
      </w:r>
    </w:p>
    <w:p>
      <w:pPr>
        <w:tabs>
          <w:tab w:val="left" w:pos="540"/>
        </w:tabs>
        <w:spacing w:line="360" w:lineRule="auto"/>
        <w:rPr>
          <w:b/>
          <w:color w:val="auto"/>
          <w:sz w:val="24"/>
          <w:highlight w:val="none"/>
        </w:rPr>
      </w:pPr>
      <w:r>
        <w:rPr>
          <w:rFonts w:hint="eastAsia"/>
          <w:b/>
          <w:color w:val="auto"/>
          <w:sz w:val="24"/>
          <w:highlight w:val="none"/>
        </w:rPr>
        <w:t>3.  技术文件：</w:t>
      </w:r>
    </w:p>
    <w:p>
      <w:pPr>
        <w:spacing w:line="360" w:lineRule="auto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3.1 请参考总则第1.2条。</w:t>
      </w:r>
    </w:p>
    <w:p>
      <w:pPr>
        <w:spacing w:line="360" w:lineRule="auto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3.2 请参考总则第2.3条。</w:t>
      </w:r>
    </w:p>
    <w:p>
      <w:pPr>
        <w:spacing w:line="360" w:lineRule="auto"/>
        <w:rPr>
          <w:color w:val="auto"/>
          <w:sz w:val="24"/>
          <w:highlight w:val="none"/>
        </w:rPr>
      </w:pPr>
    </w:p>
    <w:p>
      <w:pPr>
        <w:spacing w:line="360" w:lineRule="auto"/>
        <w:rPr>
          <w:b/>
          <w:color w:val="auto"/>
          <w:sz w:val="24"/>
          <w:highlight w:val="none"/>
        </w:rPr>
      </w:pPr>
      <w:r>
        <w:rPr>
          <w:rFonts w:hint="eastAsia"/>
          <w:b/>
          <w:color w:val="auto"/>
          <w:sz w:val="24"/>
          <w:highlight w:val="none"/>
        </w:rPr>
        <w:t>4.  技术服务：</w:t>
      </w:r>
    </w:p>
    <w:p>
      <w:pPr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4.1. 供应商提供仪器的现场安装调试并达到投标书要求的参数指标，如达不到，不予验收通过；</w:t>
      </w:r>
    </w:p>
    <w:p>
      <w:pPr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4.2. 质保期为自安装验收通过后1年，在保修期内，所有服务及配件全部免费</w:t>
      </w:r>
    </w:p>
    <w:p>
      <w:pPr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4.3. 维修响应时间：在产品质保期内，一旦发生质量问题，保证在接到通知工作日的4小时内电话响应，24 小时内到现场进行维修，72 小时内解决问题或提供解决方案，费用由供应商承担。</w:t>
      </w:r>
    </w:p>
    <w:p>
      <w:pPr>
        <w:spacing w:line="360" w:lineRule="auto"/>
        <w:rPr>
          <w:b/>
          <w:color w:val="auto"/>
          <w:sz w:val="24"/>
          <w:highlight w:val="none"/>
        </w:rPr>
      </w:pPr>
    </w:p>
    <w:p>
      <w:pPr>
        <w:spacing w:line="360" w:lineRule="auto"/>
        <w:rPr>
          <w:b/>
          <w:color w:val="auto"/>
          <w:sz w:val="24"/>
          <w:highlight w:val="none"/>
        </w:rPr>
      </w:pPr>
      <w:r>
        <w:rPr>
          <w:rFonts w:hint="eastAsia"/>
          <w:b/>
          <w:color w:val="auto"/>
          <w:sz w:val="24"/>
          <w:highlight w:val="none"/>
        </w:rPr>
        <w:t>5. 订货数量：</w:t>
      </w:r>
    </w:p>
    <w:p>
      <w:pPr>
        <w:spacing w:line="360" w:lineRule="auto"/>
        <w:ind w:firstLine="240" w:firstLineChars="100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 研究级正置偏光+生物显微镜和成像系统  1套。</w:t>
      </w:r>
    </w:p>
    <w:p>
      <w:pPr>
        <w:spacing w:line="360" w:lineRule="auto"/>
        <w:rPr>
          <w:color w:val="auto"/>
          <w:sz w:val="24"/>
          <w:highlight w:val="none"/>
        </w:rPr>
      </w:pPr>
    </w:p>
    <w:p>
      <w:pPr>
        <w:spacing w:line="360" w:lineRule="auto"/>
        <w:rPr>
          <w:b/>
          <w:color w:val="auto"/>
          <w:sz w:val="24"/>
          <w:highlight w:val="none"/>
        </w:rPr>
      </w:pPr>
      <w:r>
        <w:rPr>
          <w:rFonts w:hint="eastAsia"/>
          <w:b/>
          <w:color w:val="auto"/>
          <w:sz w:val="24"/>
          <w:highlight w:val="none"/>
        </w:rPr>
        <w:t>6. 交货地：</w:t>
      </w:r>
    </w:p>
    <w:p>
      <w:pPr>
        <w:spacing w:line="360" w:lineRule="auto"/>
        <w:ind w:firstLine="480" w:firstLineChars="200"/>
        <w:rPr>
          <w:bCs/>
          <w:color w:val="auto"/>
          <w:sz w:val="24"/>
          <w:highlight w:val="none"/>
        </w:rPr>
      </w:pPr>
      <w:r>
        <w:rPr>
          <w:rFonts w:hint="eastAsia"/>
          <w:bCs/>
          <w:color w:val="auto"/>
          <w:sz w:val="24"/>
          <w:highlight w:val="none"/>
        </w:rPr>
        <w:t>中国科学院南京地质古生物研究所 江苏省南京市玄武区北京东路3</w:t>
      </w:r>
      <w:r>
        <w:rPr>
          <w:bCs/>
          <w:color w:val="auto"/>
          <w:sz w:val="24"/>
          <w:highlight w:val="none"/>
        </w:rPr>
        <w:t>9</w:t>
      </w:r>
      <w:r>
        <w:rPr>
          <w:rFonts w:hint="eastAsia"/>
          <w:bCs/>
          <w:color w:val="auto"/>
          <w:sz w:val="24"/>
          <w:highlight w:val="none"/>
        </w:rPr>
        <w:t>号</w:t>
      </w:r>
    </w:p>
    <w:p>
      <w:pPr>
        <w:spacing w:line="360" w:lineRule="auto"/>
        <w:rPr>
          <w:color w:val="auto"/>
          <w:sz w:val="24"/>
          <w:highlight w:val="none"/>
        </w:rPr>
      </w:pPr>
    </w:p>
    <w:p>
      <w:pPr>
        <w:spacing w:line="360" w:lineRule="auto"/>
        <w:rPr>
          <w:color w:val="auto"/>
          <w:sz w:val="24"/>
          <w:highlight w:val="none"/>
        </w:rPr>
      </w:pPr>
      <w:r>
        <w:rPr>
          <w:rFonts w:hint="eastAsia"/>
          <w:b/>
          <w:color w:val="auto"/>
          <w:sz w:val="24"/>
          <w:highlight w:val="none"/>
        </w:rPr>
        <w:t>7. 交货日期：</w:t>
      </w:r>
      <w:r>
        <w:rPr>
          <w:rFonts w:hint="eastAsia"/>
          <w:color w:val="auto"/>
          <w:sz w:val="24"/>
          <w:highlight w:val="none"/>
        </w:rPr>
        <w:t xml:space="preserve">   </w:t>
      </w:r>
    </w:p>
    <w:p>
      <w:pPr>
        <w:spacing w:line="360" w:lineRule="auto"/>
        <w:ind w:firstLine="240" w:firstLineChars="100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合同签订后120天                                      </w:t>
      </w:r>
    </w:p>
    <w:p>
      <w:pPr>
        <w:spacing w:line="360" w:lineRule="auto"/>
        <w:rPr>
          <w:color w:val="auto"/>
          <w:sz w:val="24"/>
          <w:highlight w:val="none"/>
        </w:rPr>
      </w:pPr>
    </w:p>
    <w:p>
      <w:pPr>
        <w:spacing w:line="360" w:lineRule="auto"/>
        <w:rPr>
          <w:b/>
          <w:color w:val="auto"/>
          <w:sz w:val="24"/>
          <w:highlight w:val="none"/>
        </w:rPr>
      </w:pPr>
      <w:r>
        <w:rPr>
          <w:rFonts w:hint="eastAsia"/>
          <w:b/>
          <w:color w:val="auto"/>
          <w:sz w:val="24"/>
          <w:highlight w:val="none"/>
        </w:rPr>
        <w:t>9．执行的相关标准</w:t>
      </w:r>
    </w:p>
    <w:p>
      <w:pPr>
        <w:spacing w:line="360" w:lineRule="auto"/>
        <w:rPr>
          <w:rFonts w:ascii="inherit" w:hAnsi="inherit" w:cs="宋体"/>
          <w:color w:val="auto"/>
          <w:kern w:val="0"/>
          <w:sz w:val="24"/>
          <w:highlight w:val="none"/>
        </w:rPr>
      </w:pPr>
      <w:r>
        <w:rPr>
          <w:rFonts w:hint="eastAsia" w:ascii="inherit" w:hAnsi="inherit" w:cs="宋体"/>
          <w:color w:val="auto"/>
          <w:kern w:val="0"/>
          <w:sz w:val="24"/>
          <w:highlight w:val="none"/>
        </w:rPr>
        <w:t xml:space="preserve">   如有，</w:t>
      </w:r>
      <w:r>
        <w:rPr>
          <w:rFonts w:ascii="inherit" w:hAnsi="inherit" w:cs="宋体"/>
          <w:color w:val="auto"/>
          <w:kern w:val="0"/>
          <w:sz w:val="24"/>
          <w:highlight w:val="none"/>
        </w:rPr>
        <w:t>需</w:t>
      </w:r>
      <w:r>
        <w:rPr>
          <w:rFonts w:hint="eastAsia" w:ascii="inherit" w:hAnsi="inherit" w:cs="宋体"/>
          <w:color w:val="auto"/>
          <w:kern w:val="0"/>
          <w:sz w:val="24"/>
          <w:highlight w:val="none"/>
        </w:rPr>
        <w:t>在此列出</w:t>
      </w:r>
      <w:r>
        <w:rPr>
          <w:rFonts w:ascii="inherit" w:hAnsi="inherit" w:cs="宋体"/>
          <w:color w:val="auto"/>
          <w:kern w:val="0"/>
          <w:sz w:val="24"/>
          <w:highlight w:val="none"/>
        </w:rPr>
        <w:t>执行的国家相关标准、行业标准、地方标准或者其他标准、规范</w:t>
      </w:r>
    </w:p>
    <w:p>
      <w:pPr>
        <w:spacing w:line="360" w:lineRule="auto"/>
        <w:rPr>
          <w:rFonts w:ascii="inherit" w:hAnsi="inherit" w:cs="宋体"/>
          <w:color w:val="auto"/>
          <w:kern w:val="0"/>
          <w:sz w:val="24"/>
          <w:highlight w:val="none"/>
        </w:rPr>
      </w:pPr>
      <w:r>
        <w:rPr>
          <w:rFonts w:hint="eastAsia" w:ascii="inherit" w:hAnsi="inherit" w:cs="宋体"/>
          <w:color w:val="auto"/>
          <w:kern w:val="0"/>
          <w:sz w:val="24"/>
          <w:highlight w:val="none"/>
        </w:rPr>
        <w:t xml:space="preserve">   如没有，请写“无”</w:t>
      </w:r>
    </w:p>
    <w:p>
      <w:pPr>
        <w:widowControl/>
        <w:spacing w:line="360" w:lineRule="atLeast"/>
        <w:rPr>
          <w:rFonts w:ascii="宋体" w:hAnsi="宋体"/>
          <w:b/>
          <w:color w:val="auto"/>
          <w:sz w:val="30"/>
          <w:szCs w:val="30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spacing w:after="156" w:afterLines="50"/>
        <w:ind w:left="601" w:hanging="601"/>
        <w:rPr>
          <w:color w:val="auto"/>
          <w:highlight w:val="none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of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rFonts w:hint="eastAsia"/>
        <w:i/>
      </w:rPr>
      <w:t>东方国际招标有限责任公司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A137EB"/>
    <w:multiLevelType w:val="multilevel"/>
    <w:tmpl w:val="1BA137EB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  <w:b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B9"/>
    <w:rsid w:val="00060644"/>
    <w:rsid w:val="000C2F85"/>
    <w:rsid w:val="00885D34"/>
    <w:rsid w:val="009B0B8C"/>
    <w:rsid w:val="00A517D3"/>
    <w:rsid w:val="00B952BD"/>
    <w:rsid w:val="00B961A5"/>
    <w:rsid w:val="00C9765F"/>
    <w:rsid w:val="00D04410"/>
    <w:rsid w:val="00DC0A86"/>
    <w:rsid w:val="00EA5DB9"/>
    <w:rsid w:val="09701DEE"/>
    <w:rsid w:val="0A2640DB"/>
    <w:rsid w:val="0F777B20"/>
    <w:rsid w:val="10C5381C"/>
    <w:rsid w:val="2D63552D"/>
    <w:rsid w:val="4D8720D0"/>
    <w:rsid w:val="554C6D28"/>
    <w:rsid w:val="5A3051E3"/>
    <w:rsid w:val="5BF03F70"/>
    <w:rsid w:val="5FC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hAnsi="Times New Roman" w:eastAsia="宋体" w:cs="Times New Roman"/>
      <w:b/>
      <w:kern w:val="44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styleId="5">
    <w:name w:val="Date"/>
    <w:next w:val="1"/>
    <w:link w:val="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paragraph" w:customStyle="1" w:styleId="13">
    <w:name w:val="正文文本 21"/>
    <w:qFormat/>
    <w:uiPriority w:val="0"/>
    <w:pPr>
      <w:widowControl w:val="0"/>
      <w:adjustRightInd w:val="0"/>
      <w:spacing w:before="120" w:line="360" w:lineRule="auto"/>
      <w:ind w:firstLine="480"/>
      <w:jc w:val="both"/>
      <w:textAlignment w:val="baseline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customStyle="1" w:styleId="14">
    <w:name w:val="批注文字 字符"/>
    <w:basedOn w:val="10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日期 字符"/>
    <w:basedOn w:val="10"/>
    <w:link w:val="5"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16">
    <w:name w:val="批注主题 字符"/>
    <w:basedOn w:val="14"/>
    <w:link w:val="8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2011</Words>
  <Characters>11469</Characters>
  <Lines>95</Lines>
  <Paragraphs>26</Paragraphs>
  <TotalTime>26</TotalTime>
  <ScaleCrop>false</ScaleCrop>
  <LinksUpToDate>false</LinksUpToDate>
  <CharactersWithSpaces>13454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2021-09-27T09:16:00Z</dcterms:created>
  <dc:creator>swwan</dc:creator>
  <cp:lastModifiedBy>Pops</cp:lastModifiedBy>
  <dcterms:modified xsi:type="dcterms:W3CDTF">2021-11-15T09:26:02Z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B0076A47EF174D5A8DDA0AEC0FEE1FD9</vt:lpwstr>
  </property>
</Properties>
</file>