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sz w:val="30"/>
          <w:szCs w:val="30"/>
        </w:rPr>
      </w:pPr>
    </w:p>
    <w:p>
      <w:pPr>
        <w:spacing w:line="360" w:lineRule="auto"/>
        <w:jc w:val="center"/>
        <w:rPr>
          <w:rFonts w:ascii="宋体" w:hAnsi="宋体"/>
          <w:b/>
          <w:bCs/>
          <w:sz w:val="72"/>
          <w:szCs w:val="72"/>
        </w:rPr>
      </w:pPr>
      <w:r>
        <w:rPr>
          <w:rFonts w:hint="eastAsia" w:ascii="宋体" w:hAnsi="宋体"/>
          <w:b/>
          <w:bCs/>
          <w:sz w:val="72"/>
          <w:szCs w:val="72"/>
        </w:rPr>
        <w:t>进口设备</w:t>
      </w:r>
      <w:r>
        <w:rPr>
          <w:rFonts w:ascii="宋体" w:hAnsi="宋体"/>
          <w:b/>
          <w:bCs/>
          <w:sz w:val="72"/>
          <w:szCs w:val="72"/>
        </w:rPr>
        <w:t>国际招标</w:t>
      </w:r>
    </w:p>
    <w:p>
      <w:pPr>
        <w:spacing w:line="360" w:lineRule="auto"/>
        <w:jc w:val="center"/>
        <w:rPr>
          <w:rFonts w:ascii="宋体" w:hAnsi="宋体"/>
          <w:b/>
          <w:bCs/>
          <w:sz w:val="72"/>
          <w:szCs w:val="72"/>
        </w:rPr>
      </w:pPr>
      <w:r>
        <w:rPr>
          <w:rFonts w:ascii="宋体" w:hAnsi="宋体"/>
          <w:b/>
          <w:bCs/>
          <w:sz w:val="72"/>
          <w:szCs w:val="72"/>
        </w:rPr>
        <w:t>招标文件</w:t>
      </w:r>
    </w:p>
    <w:p>
      <w:pPr>
        <w:spacing w:line="360" w:lineRule="auto"/>
        <w:rPr>
          <w:rFonts w:ascii="宋体" w:hAnsi="宋体"/>
          <w:b/>
          <w:bCs/>
        </w:rPr>
      </w:pPr>
    </w:p>
    <w:p>
      <w:pPr>
        <w:spacing w:line="360" w:lineRule="auto"/>
        <w:jc w:val="center"/>
        <w:rPr>
          <w:rFonts w:ascii="宋体" w:hAnsi="宋体"/>
          <w:b/>
          <w:bCs/>
          <w:sz w:val="36"/>
          <w:szCs w:val="36"/>
        </w:rPr>
      </w:pPr>
      <w:r>
        <w:rPr>
          <w:rFonts w:ascii="宋体" w:hAnsi="宋体"/>
          <w:b/>
          <w:bCs/>
          <w:sz w:val="36"/>
          <w:szCs w:val="36"/>
        </w:rPr>
        <w:t>（第二册）</w:t>
      </w:r>
    </w:p>
    <w:p>
      <w:pPr>
        <w:spacing w:line="360" w:lineRule="auto"/>
        <w:jc w:val="center"/>
        <w:rPr>
          <w:rFonts w:ascii="宋体" w:hAnsi="宋体"/>
          <w:b/>
          <w:bCs/>
          <w:sz w:val="32"/>
          <w:szCs w:val="32"/>
        </w:rPr>
      </w:pPr>
    </w:p>
    <w:p>
      <w:pPr>
        <w:spacing w:line="360" w:lineRule="auto"/>
        <w:jc w:val="center"/>
        <w:rPr>
          <w:rFonts w:ascii="宋体" w:hAnsi="宋体"/>
          <w:b/>
          <w:bCs/>
          <w:sz w:val="32"/>
          <w:szCs w:val="32"/>
        </w:rPr>
      </w:pPr>
    </w:p>
    <w:p>
      <w:pPr>
        <w:spacing w:line="360" w:lineRule="auto"/>
        <w:ind w:left="3295" w:leftChars="620" w:right="-120" w:rightChars="-50" w:hanging="1807" w:hangingChars="500"/>
        <w:rPr>
          <w:rFonts w:ascii="宋体" w:hAnsi="宋体"/>
          <w:b/>
          <w:bCs/>
          <w:sz w:val="36"/>
          <w:szCs w:val="36"/>
        </w:rPr>
      </w:pPr>
      <w:r>
        <w:rPr>
          <w:rFonts w:ascii="宋体" w:hAnsi="宋体"/>
          <w:b/>
          <w:bCs/>
          <w:sz w:val="36"/>
          <w:szCs w:val="36"/>
        </w:rPr>
        <w:t>项目名称：</w:t>
      </w:r>
      <w:r>
        <w:rPr>
          <w:rFonts w:hint="eastAsia" w:ascii="宋体" w:hAnsi="宋体"/>
          <w:b/>
          <w:bCs/>
          <w:sz w:val="36"/>
          <w:szCs w:val="36"/>
        </w:rPr>
        <w:t>暨南大学珠江人才计划本土创新创业团队及粤港澳大湾区中医药现代化与创新药物联合实验室设备采购项目</w:t>
      </w:r>
    </w:p>
    <w:p>
      <w:pPr>
        <w:spacing w:line="360" w:lineRule="auto"/>
        <w:ind w:firstLine="1446" w:firstLineChars="400"/>
        <w:rPr>
          <w:rFonts w:ascii="宋体" w:hAnsi="宋体"/>
          <w:b/>
          <w:bCs/>
          <w:sz w:val="32"/>
          <w:szCs w:val="32"/>
        </w:rPr>
      </w:pPr>
      <w:r>
        <w:rPr>
          <w:rFonts w:ascii="宋体" w:hAnsi="宋体"/>
          <w:b/>
          <w:bCs/>
          <w:sz w:val="36"/>
          <w:szCs w:val="36"/>
        </w:rPr>
        <w:t>项目编号：</w:t>
      </w:r>
      <w:r>
        <w:rPr>
          <w:rFonts w:hint="eastAsia" w:ascii="宋体" w:hAnsi="宋体"/>
          <w:b/>
          <w:bCs/>
          <w:sz w:val="36"/>
          <w:szCs w:val="36"/>
        </w:rPr>
        <w:t>0809-1941GDI13801</w:t>
      </w:r>
    </w:p>
    <w:p>
      <w:pPr>
        <w:spacing w:line="360" w:lineRule="auto"/>
        <w:ind w:left="1800" w:leftChars="750"/>
        <w:rPr>
          <w:rFonts w:ascii="宋体" w:hAnsi="宋体"/>
          <w:b/>
          <w:bCs/>
          <w:sz w:val="36"/>
          <w:szCs w:val="36"/>
        </w:rPr>
      </w:pP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jc w:val="center"/>
        <w:rPr>
          <w:rFonts w:ascii="宋体" w:hAnsi="宋体"/>
          <w:b/>
          <w:bCs/>
          <w:sz w:val="36"/>
          <w:szCs w:val="36"/>
        </w:rPr>
      </w:pPr>
      <w:r>
        <w:rPr>
          <w:rFonts w:ascii="宋体" w:hAnsi="宋体"/>
          <w:b/>
          <w:bCs/>
          <w:sz w:val="36"/>
          <w:szCs w:val="36"/>
        </w:rPr>
        <w:t>招标人：暨南大学</w:t>
      </w:r>
    </w:p>
    <w:p>
      <w:pPr>
        <w:spacing w:line="360" w:lineRule="auto"/>
        <w:jc w:val="center"/>
        <w:rPr>
          <w:rFonts w:ascii="宋体" w:hAnsi="宋体"/>
          <w:b/>
          <w:bCs/>
          <w:sz w:val="36"/>
          <w:szCs w:val="36"/>
        </w:rPr>
      </w:pPr>
      <w:r>
        <w:rPr>
          <w:rFonts w:ascii="宋体" w:hAnsi="宋体"/>
          <w:b/>
          <w:bCs/>
          <w:sz w:val="36"/>
          <w:szCs w:val="36"/>
        </w:rPr>
        <w:t>招标代理机构：</w:t>
      </w:r>
      <w:r>
        <w:rPr>
          <w:rFonts w:hint="eastAsia" w:ascii="宋体" w:hAnsi="宋体"/>
          <w:b/>
          <w:bCs/>
          <w:sz w:val="36"/>
          <w:szCs w:val="36"/>
        </w:rPr>
        <w:t>广东华伦招标有限公司</w:t>
      </w:r>
    </w:p>
    <w:p>
      <w:pPr>
        <w:spacing w:line="312" w:lineRule="auto"/>
        <w:jc w:val="center"/>
        <w:rPr>
          <w:rFonts w:ascii="宋体" w:hAnsi="宋体"/>
          <w:b/>
          <w:bCs/>
          <w:sz w:val="36"/>
          <w:szCs w:val="36"/>
        </w:rPr>
      </w:pPr>
      <w:r>
        <w:rPr>
          <w:rFonts w:hint="eastAsia" w:ascii="宋体" w:hAnsi="宋体"/>
          <w:b/>
          <w:bCs/>
          <w:sz w:val="36"/>
          <w:szCs w:val="36"/>
        </w:rPr>
        <w:t>2019年8月</w:t>
      </w:r>
    </w:p>
    <w:p>
      <w:pPr>
        <w:spacing w:line="360" w:lineRule="auto"/>
        <w:jc w:val="center"/>
        <w:rPr>
          <w:rFonts w:ascii="宋体" w:hAnsi="宋体"/>
          <w:b/>
          <w:bCs/>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469" w:bottom="1247" w:left="1797" w:header="851" w:footer="992" w:gutter="0"/>
          <w:pgNumType w:start="0"/>
          <w:cols w:space="720" w:num="1"/>
          <w:titlePg/>
        </w:sectPr>
      </w:pPr>
    </w:p>
    <w:p>
      <w:pPr>
        <w:spacing w:line="360" w:lineRule="auto"/>
        <w:jc w:val="center"/>
        <w:rPr>
          <w:rFonts w:ascii="宋体" w:hAnsi="宋体"/>
          <w:b/>
          <w:bCs/>
          <w:sz w:val="28"/>
          <w:szCs w:val="28"/>
        </w:rPr>
      </w:pPr>
      <w:r>
        <w:rPr>
          <w:rFonts w:ascii="宋体" w:hAnsi="宋体"/>
          <w:b/>
          <w:bCs/>
          <w:sz w:val="28"/>
          <w:szCs w:val="28"/>
        </w:rPr>
        <w:t>温馨提示</w:t>
      </w:r>
    </w:p>
    <w:p>
      <w:pPr>
        <w:spacing w:line="360" w:lineRule="auto"/>
        <w:rPr>
          <w:rFonts w:ascii="宋体" w:hAnsi="宋体"/>
          <w:b/>
          <w:bCs/>
          <w:sz w:val="21"/>
          <w:szCs w:val="21"/>
        </w:rPr>
      </w:pPr>
      <w:r>
        <w:rPr>
          <w:rFonts w:ascii="宋体" w:hAnsi="宋体"/>
          <w:b/>
          <w:bCs/>
          <w:sz w:val="21"/>
          <w:szCs w:val="21"/>
        </w:rPr>
        <w:t>一、报名：</w:t>
      </w:r>
    </w:p>
    <w:p>
      <w:pPr>
        <w:spacing w:line="360" w:lineRule="auto"/>
        <w:ind w:left="315" w:hanging="315" w:hangingChars="150"/>
        <w:rPr>
          <w:rFonts w:ascii="宋体" w:hAnsi="宋体"/>
          <w:sz w:val="21"/>
          <w:szCs w:val="21"/>
        </w:rPr>
      </w:pPr>
      <w:r>
        <w:rPr>
          <w:rFonts w:ascii="宋体" w:hAnsi="宋体"/>
          <w:sz w:val="21"/>
          <w:szCs w:val="21"/>
        </w:rPr>
        <w:t>1、对于</w:t>
      </w:r>
      <w:r>
        <w:rPr>
          <w:rFonts w:ascii="宋体" w:hAnsi="宋体"/>
          <w:b/>
          <w:bCs/>
          <w:sz w:val="21"/>
          <w:szCs w:val="21"/>
          <w:u w:val="single"/>
        </w:rPr>
        <w:t>国际招标项目</w:t>
      </w:r>
      <w:r>
        <w:rPr>
          <w:rFonts w:ascii="宋体" w:hAnsi="宋体"/>
          <w:sz w:val="21"/>
          <w:szCs w:val="21"/>
        </w:rPr>
        <w:t>，潜在投标人可按公告要求报名及购买招标文件（公告发布网站：</w:t>
      </w:r>
      <w:r>
        <w:rPr>
          <w:rFonts w:ascii="宋体" w:hAnsi="宋体"/>
          <w:b/>
          <w:bCs/>
          <w:sz w:val="21"/>
          <w:szCs w:val="21"/>
        </w:rPr>
        <w:t>中国国际招标网（http://</w:t>
      </w:r>
      <w:r>
        <w:fldChar w:fldCharType="begin"/>
      </w:r>
      <w:r>
        <w:instrText xml:space="preserve"> HYPERLINK "http://www.chinabidding.com" </w:instrText>
      </w:r>
      <w:r>
        <w:fldChar w:fldCharType="separate"/>
      </w:r>
      <w:r>
        <w:rPr>
          <w:rFonts w:ascii="宋体" w:hAnsi="宋体"/>
          <w:b/>
          <w:bCs/>
          <w:sz w:val="21"/>
          <w:szCs w:val="21"/>
        </w:rPr>
        <w:t>www.chinabidding.com</w:t>
      </w:r>
      <w:r>
        <w:rPr>
          <w:rFonts w:ascii="宋体" w:hAnsi="宋体"/>
          <w:b/>
          <w:bCs/>
          <w:sz w:val="21"/>
          <w:szCs w:val="21"/>
        </w:rPr>
        <w:fldChar w:fldCharType="end"/>
      </w:r>
      <w:r>
        <w:rPr>
          <w:rFonts w:ascii="宋体" w:hAnsi="宋体"/>
          <w:b/>
          <w:bCs/>
          <w:sz w:val="21"/>
          <w:szCs w:val="21"/>
        </w:rPr>
        <w:t>）、中国采购与招标网（http://www.chinabidding.com.cn/）、</w:t>
      </w:r>
      <w:r>
        <w:rPr>
          <w:rFonts w:hint="eastAsia" w:ascii="宋体" w:hAnsi="宋体"/>
          <w:b/>
          <w:bCs/>
          <w:sz w:val="21"/>
          <w:szCs w:val="21"/>
        </w:rPr>
        <w:t>广东华伦招标有限公司</w:t>
      </w:r>
      <w:r>
        <w:rPr>
          <w:rFonts w:ascii="宋体" w:hAnsi="宋体"/>
          <w:b/>
          <w:bCs/>
          <w:sz w:val="21"/>
          <w:szCs w:val="21"/>
        </w:rPr>
        <w:t>网站（</w:t>
      </w:r>
      <w:r>
        <w:rPr>
          <w:rFonts w:hint="eastAsia" w:ascii="宋体" w:hAnsi="宋体"/>
          <w:b/>
          <w:bCs/>
          <w:sz w:val="21"/>
          <w:szCs w:val="21"/>
        </w:rPr>
        <w:t>http://www.gdhualun.com.cn/</w:t>
      </w:r>
      <w:r>
        <w:rPr>
          <w:rFonts w:ascii="宋体" w:hAnsi="宋体"/>
          <w:b/>
          <w:bCs/>
          <w:sz w:val="21"/>
          <w:szCs w:val="21"/>
        </w:rPr>
        <w:t>）</w:t>
      </w:r>
      <w:r>
        <w:rPr>
          <w:rFonts w:ascii="宋体" w:hAnsi="宋体"/>
          <w:sz w:val="21"/>
          <w:szCs w:val="21"/>
        </w:rPr>
        <w:t>）。</w:t>
      </w:r>
    </w:p>
    <w:p>
      <w:pPr>
        <w:spacing w:line="360" w:lineRule="auto"/>
        <w:ind w:left="315" w:hanging="315" w:hangingChars="150"/>
        <w:rPr>
          <w:rFonts w:ascii="宋体" w:hAnsi="宋体"/>
          <w:sz w:val="21"/>
          <w:szCs w:val="21"/>
        </w:rPr>
      </w:pPr>
      <w:r>
        <w:rPr>
          <w:rFonts w:ascii="宋体" w:hAnsi="宋体"/>
          <w:sz w:val="21"/>
          <w:szCs w:val="21"/>
        </w:rPr>
        <w:t>2、潜在投标人报名及购买招标文件时间：公告期间的</w:t>
      </w:r>
      <w:r>
        <w:rPr>
          <w:rFonts w:ascii="宋体" w:hAnsi="宋体"/>
          <w:b/>
          <w:bCs/>
          <w:sz w:val="21"/>
          <w:szCs w:val="21"/>
          <w:u w:val="single"/>
        </w:rPr>
        <w:t>上午</w:t>
      </w:r>
      <w:r>
        <w:rPr>
          <w:rFonts w:hint="eastAsia" w:ascii="宋体" w:hAnsi="宋体"/>
          <w:b/>
          <w:bCs/>
          <w:sz w:val="21"/>
          <w:szCs w:val="21"/>
          <w:u w:val="single"/>
        </w:rPr>
        <w:t>8</w:t>
      </w:r>
      <w:r>
        <w:rPr>
          <w:rFonts w:ascii="宋体" w:hAnsi="宋体"/>
          <w:b/>
          <w:bCs/>
          <w:sz w:val="21"/>
          <w:szCs w:val="21"/>
          <w:u w:val="single"/>
        </w:rPr>
        <w:t>:</w:t>
      </w:r>
      <w:r>
        <w:rPr>
          <w:rFonts w:hint="eastAsia" w:ascii="宋体" w:hAnsi="宋体"/>
          <w:b/>
          <w:bCs/>
          <w:sz w:val="21"/>
          <w:szCs w:val="21"/>
          <w:u w:val="single"/>
        </w:rPr>
        <w:t>30</w:t>
      </w:r>
      <w:r>
        <w:rPr>
          <w:rFonts w:ascii="宋体" w:hAnsi="宋体"/>
          <w:b/>
          <w:bCs/>
          <w:sz w:val="21"/>
          <w:szCs w:val="21"/>
          <w:u w:val="single"/>
        </w:rPr>
        <w:t>－1</w:t>
      </w:r>
      <w:r>
        <w:rPr>
          <w:rFonts w:hint="eastAsia" w:ascii="宋体" w:hAnsi="宋体"/>
          <w:b/>
          <w:bCs/>
          <w:sz w:val="21"/>
          <w:szCs w:val="21"/>
          <w:u w:val="single"/>
        </w:rPr>
        <w:t>2</w:t>
      </w:r>
      <w:r>
        <w:rPr>
          <w:rFonts w:ascii="宋体" w:hAnsi="宋体"/>
          <w:b/>
          <w:bCs/>
          <w:sz w:val="21"/>
          <w:szCs w:val="21"/>
          <w:u w:val="single"/>
        </w:rPr>
        <w:t>:</w:t>
      </w:r>
      <w:r>
        <w:rPr>
          <w:rFonts w:hint="eastAsia" w:ascii="宋体" w:hAnsi="宋体"/>
          <w:b/>
          <w:bCs/>
          <w:sz w:val="21"/>
          <w:szCs w:val="21"/>
          <w:u w:val="single"/>
        </w:rPr>
        <w:t>00</w:t>
      </w:r>
      <w:r>
        <w:rPr>
          <w:rFonts w:ascii="宋体" w:hAnsi="宋体"/>
          <w:b/>
          <w:bCs/>
          <w:sz w:val="21"/>
          <w:szCs w:val="21"/>
          <w:u w:val="single"/>
        </w:rPr>
        <w:t>，下午2:00－5:</w:t>
      </w:r>
      <w:r>
        <w:rPr>
          <w:rFonts w:hint="eastAsia" w:ascii="宋体" w:hAnsi="宋体"/>
          <w:b/>
          <w:bCs/>
          <w:sz w:val="21"/>
          <w:szCs w:val="21"/>
          <w:u w:val="single"/>
        </w:rPr>
        <w:t>30</w:t>
      </w:r>
      <w:r>
        <w:rPr>
          <w:rFonts w:ascii="宋体" w:hAnsi="宋体"/>
          <w:b/>
          <w:bCs/>
          <w:sz w:val="21"/>
          <w:szCs w:val="21"/>
          <w:u w:val="single"/>
        </w:rPr>
        <w:t>（北京时间，节假日除外）</w:t>
      </w:r>
      <w:r>
        <w:rPr>
          <w:rFonts w:ascii="宋体" w:hAnsi="宋体"/>
          <w:sz w:val="21"/>
          <w:szCs w:val="21"/>
        </w:rPr>
        <w:t>。</w:t>
      </w:r>
    </w:p>
    <w:p>
      <w:pPr>
        <w:spacing w:line="360" w:lineRule="auto"/>
        <w:ind w:left="315" w:hanging="315" w:hangingChars="150"/>
        <w:rPr>
          <w:rFonts w:ascii="宋体" w:hAnsi="宋体"/>
          <w:sz w:val="21"/>
          <w:szCs w:val="21"/>
        </w:rPr>
      </w:pPr>
      <w:r>
        <w:rPr>
          <w:rFonts w:ascii="宋体" w:hAnsi="宋体"/>
          <w:sz w:val="21"/>
          <w:szCs w:val="21"/>
        </w:rPr>
        <w:t>3、如潜在投标人未能亲自到我司报名及购买招标文件，可按公告要求通过转账或电汇的形式缴纳标书费；我司在收到标书费付款凭证后，会将招标文件电子版发至投标人指定邮箱。</w:t>
      </w:r>
    </w:p>
    <w:p>
      <w:pPr>
        <w:spacing w:line="360" w:lineRule="auto"/>
        <w:ind w:left="315" w:hanging="315" w:hangingChars="150"/>
        <w:rPr>
          <w:rFonts w:ascii="宋体" w:hAnsi="宋体"/>
          <w:sz w:val="21"/>
          <w:szCs w:val="21"/>
        </w:rPr>
      </w:pPr>
      <w:r>
        <w:rPr>
          <w:rFonts w:ascii="宋体" w:hAnsi="宋体"/>
          <w:sz w:val="21"/>
          <w:szCs w:val="21"/>
        </w:rPr>
        <w:t>4、对于下午四点前成功购买招标文件的投标人，我司会将招标文件电子版在当日发送到投标人的指定邮箱；超过下午四点购买招标文件的，招标文件电子版将会在第二日上午12点前发送到投标人的指定邮箱。</w:t>
      </w:r>
    </w:p>
    <w:p>
      <w:pPr>
        <w:spacing w:line="360" w:lineRule="auto"/>
        <w:ind w:left="315" w:hanging="315" w:hangingChars="150"/>
        <w:rPr>
          <w:rFonts w:ascii="宋体" w:hAnsi="宋体"/>
          <w:sz w:val="21"/>
          <w:szCs w:val="21"/>
        </w:rPr>
      </w:pPr>
      <w:r>
        <w:rPr>
          <w:rFonts w:ascii="宋体" w:hAnsi="宋体"/>
          <w:sz w:val="21"/>
          <w:szCs w:val="21"/>
        </w:rPr>
        <w:t>5、报名及购买招标文件地点：</w:t>
      </w:r>
      <w:r>
        <w:rPr>
          <w:rFonts w:hint="eastAsia" w:ascii="宋体" w:hAnsi="宋体"/>
          <w:sz w:val="21"/>
          <w:szCs w:val="21"/>
        </w:rPr>
        <w:t>广东华伦招标有限公司</w:t>
      </w:r>
      <w:r>
        <w:rPr>
          <w:rFonts w:ascii="宋体" w:hAnsi="宋体"/>
          <w:sz w:val="21"/>
          <w:szCs w:val="21"/>
        </w:rPr>
        <w:t>（详细地址：</w:t>
      </w:r>
      <w:r>
        <w:rPr>
          <w:rFonts w:hint="eastAsia" w:ascii="宋体" w:hAnsi="宋体"/>
          <w:sz w:val="21"/>
          <w:szCs w:val="21"/>
        </w:rPr>
        <w:t>广州市广仁路1号广仁大厦7楼</w:t>
      </w:r>
      <w:r>
        <w:rPr>
          <w:rFonts w:ascii="宋体" w:hAnsi="宋体"/>
          <w:sz w:val="21"/>
          <w:szCs w:val="21"/>
        </w:rPr>
        <w:t>）。</w:t>
      </w:r>
    </w:p>
    <w:p>
      <w:pPr>
        <w:spacing w:line="360" w:lineRule="auto"/>
        <w:rPr>
          <w:rFonts w:ascii="宋体" w:hAnsi="宋体"/>
          <w:sz w:val="21"/>
          <w:szCs w:val="21"/>
        </w:rPr>
      </w:pPr>
    </w:p>
    <w:p>
      <w:pPr>
        <w:spacing w:line="360" w:lineRule="auto"/>
        <w:rPr>
          <w:rFonts w:ascii="宋体" w:hAnsi="宋体"/>
          <w:b/>
          <w:bCs/>
          <w:sz w:val="21"/>
          <w:szCs w:val="21"/>
        </w:rPr>
      </w:pPr>
      <w:r>
        <w:rPr>
          <w:rFonts w:ascii="宋体" w:hAnsi="宋体"/>
          <w:b/>
          <w:bCs/>
          <w:sz w:val="21"/>
          <w:szCs w:val="21"/>
        </w:rPr>
        <w:t>二、投标/报价：</w:t>
      </w:r>
    </w:p>
    <w:p>
      <w:pPr>
        <w:tabs>
          <w:tab w:val="left" w:pos="851"/>
        </w:tabs>
        <w:spacing w:line="360" w:lineRule="auto"/>
        <w:rPr>
          <w:rFonts w:ascii="宋体" w:hAnsi="宋体"/>
          <w:sz w:val="21"/>
          <w:szCs w:val="21"/>
        </w:rPr>
      </w:pPr>
      <w:r>
        <w:rPr>
          <w:rFonts w:ascii="宋体" w:hAnsi="宋体"/>
          <w:sz w:val="21"/>
          <w:szCs w:val="21"/>
        </w:rPr>
        <w:t>1、为避免因迟到而失去投标/报价资格，请投标人/报价人</w:t>
      </w:r>
      <w:r>
        <w:rPr>
          <w:rFonts w:ascii="宋体" w:hAnsi="宋体"/>
          <w:b/>
          <w:bCs/>
          <w:sz w:val="21"/>
          <w:szCs w:val="21"/>
          <w:u w:val="single"/>
        </w:rPr>
        <w:t>适当提前到达开标现场</w:t>
      </w:r>
      <w:r>
        <w:rPr>
          <w:rFonts w:ascii="宋体" w:hAnsi="宋体"/>
          <w:sz w:val="21"/>
          <w:szCs w:val="21"/>
        </w:rPr>
        <w:t>。</w:t>
      </w:r>
    </w:p>
    <w:p>
      <w:pPr>
        <w:tabs>
          <w:tab w:val="left" w:pos="851"/>
        </w:tabs>
        <w:spacing w:line="360" w:lineRule="auto"/>
        <w:ind w:left="420" w:hanging="420" w:hangingChars="200"/>
        <w:rPr>
          <w:rFonts w:ascii="宋体" w:hAnsi="宋体"/>
          <w:sz w:val="21"/>
          <w:szCs w:val="21"/>
        </w:rPr>
      </w:pPr>
      <w:r>
        <w:rPr>
          <w:rFonts w:ascii="宋体" w:hAnsi="宋体"/>
          <w:sz w:val="21"/>
          <w:szCs w:val="21"/>
        </w:rPr>
        <w:t>2、投标/报价文件应按顺序</w:t>
      </w:r>
      <w:r>
        <w:rPr>
          <w:rFonts w:ascii="宋体" w:hAnsi="宋体"/>
          <w:b/>
          <w:bCs/>
          <w:sz w:val="21"/>
          <w:szCs w:val="21"/>
          <w:u w:val="single"/>
        </w:rPr>
        <w:t>编制页码</w:t>
      </w:r>
      <w:r>
        <w:rPr>
          <w:rFonts w:ascii="宋体" w:hAnsi="宋体"/>
          <w:sz w:val="21"/>
          <w:szCs w:val="21"/>
        </w:rPr>
        <w:t>。</w:t>
      </w:r>
    </w:p>
    <w:p>
      <w:pPr>
        <w:tabs>
          <w:tab w:val="left" w:pos="851"/>
        </w:tabs>
        <w:spacing w:line="360" w:lineRule="auto"/>
        <w:ind w:left="420" w:hanging="420" w:hangingChars="200"/>
        <w:rPr>
          <w:rFonts w:ascii="宋体" w:hAnsi="宋体"/>
          <w:sz w:val="21"/>
          <w:szCs w:val="21"/>
        </w:rPr>
      </w:pPr>
      <w:r>
        <w:rPr>
          <w:rFonts w:ascii="宋体" w:hAnsi="宋体"/>
          <w:sz w:val="21"/>
          <w:szCs w:val="21"/>
        </w:rPr>
        <w:t>3、请仔细检查投标/报价文件是否已按采购文件要求</w:t>
      </w:r>
      <w:r>
        <w:rPr>
          <w:rFonts w:ascii="宋体" w:hAnsi="宋体"/>
          <w:b/>
          <w:bCs/>
          <w:sz w:val="21"/>
          <w:szCs w:val="21"/>
          <w:u w:val="single"/>
        </w:rPr>
        <w:t>盖章、签字、签署日期</w:t>
      </w:r>
      <w:r>
        <w:rPr>
          <w:rFonts w:ascii="宋体" w:hAnsi="宋体"/>
          <w:sz w:val="21"/>
          <w:szCs w:val="21"/>
        </w:rPr>
        <w:t>。</w:t>
      </w:r>
    </w:p>
    <w:p>
      <w:pPr>
        <w:tabs>
          <w:tab w:val="left" w:pos="851"/>
        </w:tabs>
        <w:spacing w:line="360" w:lineRule="auto"/>
        <w:ind w:left="420" w:hanging="420" w:hangingChars="200"/>
        <w:rPr>
          <w:rFonts w:ascii="宋体" w:hAnsi="宋体"/>
          <w:sz w:val="21"/>
          <w:szCs w:val="21"/>
        </w:rPr>
      </w:pPr>
      <w:r>
        <w:rPr>
          <w:rFonts w:ascii="宋体" w:hAnsi="宋体"/>
          <w:sz w:val="21"/>
          <w:szCs w:val="21"/>
        </w:rPr>
        <w:t>4、请正确填写《开标/报价一览表》。多子包项目请仔细检查子包号，子包号与子包名称必须对应。</w:t>
      </w:r>
    </w:p>
    <w:p>
      <w:pPr>
        <w:tabs>
          <w:tab w:val="left" w:pos="851"/>
        </w:tabs>
        <w:spacing w:line="360" w:lineRule="auto"/>
        <w:ind w:left="315" w:hanging="315" w:hangingChars="150"/>
        <w:rPr>
          <w:rFonts w:ascii="宋体" w:hAnsi="宋体"/>
          <w:sz w:val="21"/>
          <w:szCs w:val="21"/>
        </w:rPr>
      </w:pPr>
      <w:r>
        <w:rPr>
          <w:rFonts w:ascii="宋体" w:hAnsi="宋体"/>
          <w:sz w:val="21"/>
          <w:szCs w:val="21"/>
        </w:rPr>
        <w:t>5、单独提交的</w:t>
      </w:r>
      <w:r>
        <w:rPr>
          <w:rFonts w:ascii="宋体" w:hAnsi="宋体"/>
          <w:b/>
          <w:bCs/>
          <w:sz w:val="21"/>
          <w:szCs w:val="21"/>
          <w:u w:val="single"/>
        </w:rPr>
        <w:t>开标信封</w:t>
      </w:r>
      <w:r>
        <w:rPr>
          <w:rFonts w:ascii="宋体" w:hAnsi="宋体"/>
          <w:sz w:val="21"/>
          <w:szCs w:val="21"/>
        </w:rPr>
        <w:t>内容至少应包括：</w:t>
      </w:r>
      <w:r>
        <w:rPr>
          <w:rFonts w:ascii="宋体" w:hAnsi="宋体"/>
          <w:b/>
          <w:bCs/>
          <w:sz w:val="21"/>
          <w:szCs w:val="21"/>
          <w:u w:val="single"/>
        </w:rPr>
        <w:t>开标一览表</w:t>
      </w:r>
      <w:r>
        <w:rPr>
          <w:rFonts w:ascii="宋体" w:hAnsi="宋体"/>
          <w:b/>
          <w:bCs/>
          <w:sz w:val="21"/>
          <w:szCs w:val="21"/>
        </w:rPr>
        <w:t>、</w:t>
      </w:r>
      <w:r>
        <w:rPr>
          <w:rFonts w:ascii="宋体" w:hAnsi="宋体"/>
          <w:b/>
          <w:bCs/>
          <w:sz w:val="21"/>
          <w:szCs w:val="21"/>
          <w:u w:val="single"/>
        </w:rPr>
        <w:t>投标保证金凭证</w:t>
      </w:r>
      <w:r>
        <w:rPr>
          <w:rFonts w:ascii="宋体" w:hAnsi="宋体"/>
          <w:sz w:val="21"/>
          <w:szCs w:val="21"/>
        </w:rPr>
        <w:t>（对于</w:t>
      </w:r>
      <w:r>
        <w:rPr>
          <w:rFonts w:ascii="宋体" w:hAnsi="宋体"/>
          <w:b/>
          <w:bCs/>
          <w:sz w:val="21"/>
          <w:szCs w:val="21"/>
          <w:u w:val="single"/>
        </w:rPr>
        <w:t>支票、汇票等</w:t>
      </w:r>
      <w:r>
        <w:rPr>
          <w:rFonts w:ascii="宋体" w:hAnsi="宋体"/>
          <w:sz w:val="21"/>
          <w:szCs w:val="21"/>
        </w:rPr>
        <w:t>必须原件才能兑现的凭证，</w:t>
      </w:r>
      <w:r>
        <w:rPr>
          <w:rFonts w:ascii="宋体" w:hAnsi="宋体"/>
          <w:b/>
          <w:bCs/>
          <w:sz w:val="21"/>
          <w:szCs w:val="21"/>
          <w:u w:val="single"/>
        </w:rPr>
        <w:t>必须提供原件</w:t>
      </w:r>
      <w:r>
        <w:rPr>
          <w:rFonts w:ascii="宋体" w:hAnsi="宋体"/>
          <w:sz w:val="21"/>
          <w:szCs w:val="21"/>
        </w:rPr>
        <w:t>；对于</w:t>
      </w:r>
      <w:r>
        <w:rPr>
          <w:rFonts w:ascii="宋体" w:hAnsi="宋体"/>
          <w:b/>
          <w:bCs/>
          <w:sz w:val="21"/>
          <w:szCs w:val="21"/>
          <w:u w:val="single"/>
        </w:rPr>
        <w:t>电汇、银行进帐等</w:t>
      </w:r>
      <w:r>
        <w:rPr>
          <w:rFonts w:ascii="宋体" w:hAnsi="宋体"/>
          <w:sz w:val="21"/>
          <w:szCs w:val="21"/>
        </w:rPr>
        <w:t>不须原件就能兑现的凭证，必须提供银行支付凭证</w:t>
      </w:r>
      <w:r>
        <w:rPr>
          <w:rFonts w:ascii="宋体" w:hAnsi="宋体"/>
          <w:b/>
          <w:bCs/>
          <w:sz w:val="21"/>
          <w:szCs w:val="21"/>
          <w:u w:val="single"/>
        </w:rPr>
        <w:t>复印件</w:t>
      </w:r>
      <w:r>
        <w:rPr>
          <w:rFonts w:ascii="宋体" w:hAnsi="宋体"/>
          <w:sz w:val="21"/>
          <w:szCs w:val="21"/>
        </w:rPr>
        <w:t>）、</w:t>
      </w:r>
      <w:r>
        <w:rPr>
          <w:rFonts w:ascii="宋体" w:hAnsi="宋体"/>
          <w:b/>
          <w:bCs/>
          <w:sz w:val="21"/>
          <w:szCs w:val="21"/>
          <w:u w:val="single"/>
        </w:rPr>
        <w:t>退投标保证金说明函原件</w:t>
      </w:r>
      <w:r>
        <w:rPr>
          <w:rFonts w:ascii="宋体" w:hAnsi="宋体"/>
          <w:sz w:val="21"/>
          <w:szCs w:val="21"/>
        </w:rPr>
        <w:t>。</w:t>
      </w:r>
    </w:p>
    <w:p>
      <w:pPr>
        <w:tabs>
          <w:tab w:val="left" w:pos="851"/>
        </w:tabs>
        <w:spacing w:line="360" w:lineRule="auto"/>
        <w:ind w:left="420" w:hanging="420" w:hangingChars="200"/>
        <w:rPr>
          <w:rFonts w:ascii="宋体" w:hAnsi="宋体"/>
          <w:sz w:val="21"/>
          <w:szCs w:val="21"/>
        </w:rPr>
      </w:pPr>
    </w:p>
    <w:p>
      <w:pPr>
        <w:tabs>
          <w:tab w:val="left" w:pos="851"/>
        </w:tabs>
        <w:spacing w:line="360" w:lineRule="auto"/>
        <w:ind w:left="422" w:hanging="422" w:hangingChars="200"/>
        <w:rPr>
          <w:rFonts w:ascii="宋体" w:hAnsi="宋体"/>
          <w:b/>
          <w:bCs/>
          <w:sz w:val="21"/>
          <w:szCs w:val="21"/>
        </w:rPr>
      </w:pPr>
      <w:r>
        <w:rPr>
          <w:rFonts w:ascii="宋体" w:hAnsi="宋体"/>
          <w:b/>
          <w:bCs/>
          <w:sz w:val="21"/>
          <w:szCs w:val="21"/>
        </w:rPr>
        <w:t>三、投标/报价保证金及中标/成交服务费：</w:t>
      </w:r>
    </w:p>
    <w:p>
      <w:pPr>
        <w:tabs>
          <w:tab w:val="left" w:pos="851"/>
        </w:tabs>
        <w:spacing w:line="360" w:lineRule="auto"/>
        <w:ind w:left="315" w:hanging="315" w:hangingChars="150"/>
        <w:rPr>
          <w:rFonts w:ascii="宋体" w:hAnsi="宋体"/>
          <w:sz w:val="21"/>
          <w:szCs w:val="21"/>
        </w:rPr>
      </w:pPr>
      <w:r>
        <w:rPr>
          <w:rFonts w:ascii="宋体" w:hAnsi="宋体"/>
          <w:sz w:val="21"/>
          <w:szCs w:val="21"/>
        </w:rPr>
        <w:t>1、投标/报价供应商请</w:t>
      </w:r>
      <w:r>
        <w:rPr>
          <w:rFonts w:ascii="宋体" w:hAnsi="宋体"/>
          <w:b/>
          <w:bCs/>
          <w:sz w:val="21"/>
          <w:szCs w:val="21"/>
          <w:u w:val="single"/>
        </w:rPr>
        <w:t>注意区分</w:t>
      </w:r>
      <w:r>
        <w:rPr>
          <w:rFonts w:ascii="宋体" w:hAnsi="宋体"/>
          <w:sz w:val="21"/>
          <w:szCs w:val="21"/>
        </w:rPr>
        <w:t>投标保证金及中标/成交服务费</w:t>
      </w:r>
      <w:r>
        <w:rPr>
          <w:rFonts w:ascii="宋体" w:hAnsi="宋体"/>
          <w:b/>
          <w:bCs/>
          <w:sz w:val="21"/>
          <w:szCs w:val="21"/>
          <w:u w:val="single"/>
        </w:rPr>
        <w:t>收款帐号</w:t>
      </w:r>
      <w:r>
        <w:rPr>
          <w:rFonts w:ascii="宋体" w:hAnsi="宋体"/>
          <w:sz w:val="21"/>
          <w:szCs w:val="21"/>
        </w:rPr>
        <w:t>的区别，务必将保证金按采购文件的要求存入指定的</w:t>
      </w:r>
      <w:r>
        <w:rPr>
          <w:rFonts w:ascii="宋体" w:hAnsi="宋体"/>
          <w:b/>
          <w:bCs/>
          <w:sz w:val="21"/>
          <w:szCs w:val="21"/>
          <w:u w:val="single"/>
        </w:rPr>
        <w:t>保证金专用账户</w:t>
      </w:r>
      <w:r>
        <w:rPr>
          <w:rFonts w:ascii="宋体" w:hAnsi="宋体"/>
          <w:sz w:val="21"/>
          <w:szCs w:val="21"/>
        </w:rPr>
        <w:t>，中标/成交服务费存入中标/成交通知书中指定的</w:t>
      </w:r>
      <w:r>
        <w:rPr>
          <w:rFonts w:ascii="宋体" w:hAnsi="宋体"/>
          <w:b/>
          <w:bCs/>
          <w:sz w:val="21"/>
          <w:szCs w:val="21"/>
          <w:u w:val="single"/>
        </w:rPr>
        <w:t>服务费账户</w:t>
      </w:r>
      <w:r>
        <w:rPr>
          <w:rFonts w:ascii="宋体" w:hAnsi="宋体"/>
          <w:sz w:val="21"/>
          <w:szCs w:val="21"/>
        </w:rPr>
        <w:t>。切勿将款项转错账户，以免影响保证金退还的速度。</w:t>
      </w:r>
    </w:p>
    <w:p>
      <w:pPr>
        <w:tabs>
          <w:tab w:val="left" w:pos="851"/>
        </w:tabs>
        <w:spacing w:line="360" w:lineRule="auto"/>
        <w:ind w:left="210" w:hanging="210" w:hangingChars="100"/>
        <w:rPr>
          <w:rFonts w:ascii="宋体" w:hAnsi="宋体"/>
          <w:sz w:val="21"/>
          <w:szCs w:val="21"/>
        </w:rPr>
      </w:pPr>
      <w:r>
        <w:rPr>
          <w:rFonts w:ascii="宋体" w:hAnsi="宋体"/>
          <w:sz w:val="21"/>
          <w:szCs w:val="21"/>
        </w:rPr>
        <w:t>2、投标/报价保证金必须于投标/报价文件递交截止时间前到达</w:t>
      </w:r>
      <w:r>
        <w:rPr>
          <w:rFonts w:hint="eastAsia" w:ascii="宋体" w:hAnsi="宋体"/>
          <w:sz w:val="21"/>
          <w:szCs w:val="21"/>
        </w:rPr>
        <w:t>广东华伦招标有限公司</w:t>
      </w:r>
      <w:r>
        <w:rPr>
          <w:rFonts w:ascii="宋体" w:hAnsi="宋体"/>
          <w:sz w:val="21"/>
          <w:szCs w:val="21"/>
        </w:rPr>
        <w:t>的账户（收款人名称、开户行及账号见招标文件）。由于转账当天不一定能够到账，为避免因投标/报价保证金未到账而导致投标/报价被拒绝，建议</w:t>
      </w:r>
      <w:r>
        <w:rPr>
          <w:rFonts w:ascii="宋体" w:hAnsi="宋体"/>
          <w:b/>
          <w:bCs/>
          <w:sz w:val="21"/>
          <w:szCs w:val="21"/>
          <w:u w:val="single"/>
        </w:rPr>
        <w:t>至少提前2个工作日转账</w:t>
      </w:r>
      <w:r>
        <w:rPr>
          <w:rFonts w:ascii="宋体" w:hAnsi="宋体"/>
          <w:sz w:val="21"/>
          <w:szCs w:val="21"/>
        </w:rPr>
        <w:t>。</w:t>
      </w:r>
    </w:p>
    <w:p>
      <w:pPr>
        <w:tabs>
          <w:tab w:val="left" w:pos="851"/>
        </w:tabs>
        <w:spacing w:line="360" w:lineRule="auto"/>
        <w:ind w:left="210" w:hanging="210" w:hangingChars="100"/>
        <w:rPr>
          <w:rFonts w:ascii="宋体" w:hAnsi="宋体"/>
          <w:sz w:val="21"/>
          <w:szCs w:val="21"/>
        </w:rPr>
      </w:pPr>
      <w:r>
        <w:rPr>
          <w:rFonts w:ascii="宋体" w:hAnsi="宋体"/>
          <w:sz w:val="21"/>
          <w:szCs w:val="21"/>
        </w:rPr>
        <w:t>3、未中标投标人的投标保证金退款程序：在</w:t>
      </w:r>
      <w:r>
        <w:rPr>
          <w:rFonts w:ascii="宋体" w:hAnsi="宋体"/>
          <w:b/>
          <w:bCs/>
          <w:sz w:val="21"/>
          <w:szCs w:val="21"/>
          <w:u w:val="single"/>
        </w:rPr>
        <w:t>中标通知书发出后的五个工作日内</w:t>
      </w:r>
      <w:r>
        <w:rPr>
          <w:rFonts w:ascii="宋体" w:hAnsi="宋体"/>
          <w:sz w:val="21"/>
          <w:szCs w:val="21"/>
        </w:rPr>
        <w:t>按规定程序无息退还。</w:t>
      </w:r>
    </w:p>
    <w:p>
      <w:pPr>
        <w:tabs>
          <w:tab w:val="left" w:pos="851"/>
        </w:tabs>
        <w:spacing w:line="360" w:lineRule="auto"/>
        <w:ind w:left="315" w:hanging="315" w:hangingChars="150"/>
        <w:rPr>
          <w:rFonts w:ascii="宋体" w:hAnsi="宋体"/>
          <w:sz w:val="21"/>
          <w:szCs w:val="21"/>
        </w:rPr>
      </w:pPr>
      <w:r>
        <w:rPr>
          <w:rFonts w:ascii="宋体" w:hAnsi="宋体"/>
          <w:sz w:val="21"/>
          <w:szCs w:val="21"/>
        </w:rPr>
        <w:t>4、中标人的投标保证金退款程序：在</w:t>
      </w:r>
      <w:r>
        <w:rPr>
          <w:rFonts w:ascii="宋体" w:hAnsi="宋体"/>
          <w:b/>
          <w:bCs/>
          <w:sz w:val="21"/>
          <w:szCs w:val="21"/>
          <w:u w:val="single"/>
        </w:rPr>
        <w:t>收到</w:t>
      </w:r>
      <w:r>
        <w:rPr>
          <w:rFonts w:ascii="宋体" w:hAnsi="宋体"/>
          <w:sz w:val="21"/>
          <w:szCs w:val="21"/>
        </w:rPr>
        <w:t>中标供应商提交的</w:t>
      </w:r>
      <w:r>
        <w:rPr>
          <w:rFonts w:ascii="宋体" w:hAnsi="宋体"/>
          <w:b/>
          <w:bCs/>
          <w:sz w:val="21"/>
          <w:szCs w:val="21"/>
          <w:u w:val="single"/>
        </w:rPr>
        <w:t>合同原件或复印件后五个工作日内</w:t>
      </w:r>
      <w:r>
        <w:rPr>
          <w:rFonts w:ascii="宋体" w:hAnsi="宋体"/>
          <w:sz w:val="21"/>
          <w:szCs w:val="21"/>
        </w:rPr>
        <w:t>无息退还。</w:t>
      </w:r>
    </w:p>
    <w:p>
      <w:pPr>
        <w:tabs>
          <w:tab w:val="left" w:pos="851"/>
        </w:tabs>
        <w:spacing w:line="360" w:lineRule="auto"/>
        <w:ind w:left="315" w:hanging="315" w:hangingChars="150"/>
        <w:rPr>
          <w:rFonts w:ascii="宋体" w:hAnsi="宋体"/>
          <w:sz w:val="21"/>
          <w:szCs w:val="21"/>
        </w:rPr>
      </w:pPr>
      <w:r>
        <w:rPr>
          <w:rFonts w:ascii="宋体" w:hAnsi="宋体"/>
          <w:sz w:val="21"/>
          <w:szCs w:val="21"/>
        </w:rPr>
        <w:t>5、采用</w:t>
      </w:r>
      <w:r>
        <w:rPr>
          <w:rFonts w:ascii="宋体" w:hAnsi="宋体"/>
          <w:b/>
          <w:bCs/>
          <w:sz w:val="21"/>
          <w:szCs w:val="21"/>
          <w:u w:val="single"/>
        </w:rPr>
        <w:t>非电汇方式</w:t>
      </w:r>
      <w:r>
        <w:rPr>
          <w:rFonts w:ascii="宋体" w:hAnsi="宋体"/>
          <w:sz w:val="21"/>
          <w:szCs w:val="21"/>
        </w:rPr>
        <w:t>递交投标保证金的投标人，须凭</w:t>
      </w:r>
      <w:r>
        <w:rPr>
          <w:rFonts w:ascii="宋体" w:hAnsi="宋体"/>
          <w:b/>
          <w:bCs/>
          <w:sz w:val="21"/>
          <w:szCs w:val="21"/>
          <w:u w:val="single"/>
        </w:rPr>
        <w:t>保证金收据原件</w:t>
      </w:r>
      <w:r>
        <w:rPr>
          <w:rFonts w:ascii="宋体" w:hAnsi="宋体"/>
          <w:sz w:val="21"/>
          <w:szCs w:val="21"/>
        </w:rPr>
        <w:t>到</w:t>
      </w:r>
      <w:r>
        <w:rPr>
          <w:rFonts w:hint="eastAsia" w:ascii="宋体" w:hAnsi="宋体"/>
          <w:sz w:val="21"/>
          <w:szCs w:val="21"/>
        </w:rPr>
        <w:t>广东华伦招标有限公司</w:t>
      </w:r>
      <w:r>
        <w:rPr>
          <w:rFonts w:ascii="宋体" w:hAnsi="宋体"/>
          <w:sz w:val="21"/>
          <w:szCs w:val="21"/>
        </w:rPr>
        <w:t>办理退款手续。</w:t>
      </w:r>
    </w:p>
    <w:p>
      <w:pPr>
        <w:tabs>
          <w:tab w:val="left" w:pos="851"/>
        </w:tabs>
        <w:spacing w:line="360" w:lineRule="auto"/>
        <w:ind w:left="315" w:hanging="315" w:hangingChars="150"/>
        <w:rPr>
          <w:rFonts w:ascii="宋体" w:hAnsi="宋体"/>
          <w:sz w:val="21"/>
          <w:szCs w:val="21"/>
        </w:rPr>
      </w:pPr>
    </w:p>
    <w:p>
      <w:pPr>
        <w:tabs>
          <w:tab w:val="left" w:pos="851"/>
        </w:tabs>
        <w:spacing w:line="360" w:lineRule="auto"/>
        <w:rPr>
          <w:rFonts w:ascii="宋体" w:hAnsi="宋体"/>
          <w:b/>
          <w:bCs/>
          <w:sz w:val="21"/>
          <w:szCs w:val="21"/>
        </w:rPr>
      </w:pPr>
      <w:r>
        <w:rPr>
          <w:rFonts w:ascii="宋体" w:hAnsi="宋体"/>
          <w:b/>
          <w:bCs/>
          <w:sz w:val="21"/>
          <w:szCs w:val="21"/>
        </w:rPr>
        <w:t>四、其他：</w:t>
      </w:r>
    </w:p>
    <w:p>
      <w:pPr>
        <w:tabs>
          <w:tab w:val="left" w:pos="851"/>
        </w:tabs>
        <w:spacing w:line="360" w:lineRule="auto"/>
        <w:ind w:left="315" w:hanging="315" w:hangingChars="150"/>
        <w:rPr>
          <w:rFonts w:ascii="宋体" w:hAnsi="宋体"/>
          <w:sz w:val="21"/>
          <w:szCs w:val="21"/>
        </w:rPr>
      </w:pPr>
      <w:r>
        <w:rPr>
          <w:rFonts w:ascii="宋体" w:hAnsi="宋体"/>
          <w:sz w:val="21"/>
          <w:szCs w:val="21"/>
        </w:rPr>
        <w:t>1、如招标文件有澄清、修改或者延期的，我司会在相关媒体上发布公告，并</w:t>
      </w:r>
      <w:r>
        <w:rPr>
          <w:rFonts w:ascii="宋体" w:hAnsi="宋体"/>
          <w:b/>
          <w:bCs/>
          <w:sz w:val="21"/>
          <w:szCs w:val="21"/>
          <w:u w:val="single"/>
        </w:rPr>
        <w:t>以电子邮件的形式</w:t>
      </w:r>
      <w:r>
        <w:rPr>
          <w:rFonts w:ascii="宋体" w:hAnsi="宋体"/>
          <w:sz w:val="21"/>
          <w:szCs w:val="21"/>
        </w:rPr>
        <w:t>通知所有报名及购买招标文件的供应商。</w:t>
      </w:r>
    </w:p>
    <w:p>
      <w:pPr>
        <w:tabs>
          <w:tab w:val="left" w:pos="851"/>
        </w:tabs>
        <w:spacing w:line="360" w:lineRule="auto"/>
        <w:rPr>
          <w:rFonts w:ascii="宋体" w:hAnsi="宋体"/>
          <w:sz w:val="21"/>
          <w:szCs w:val="21"/>
        </w:rPr>
      </w:pPr>
      <w:r>
        <w:rPr>
          <w:rFonts w:ascii="宋体" w:hAnsi="宋体"/>
          <w:sz w:val="21"/>
          <w:szCs w:val="21"/>
        </w:rPr>
        <w:t>2、如投标/报价产品属于许可证管理范围内的，须提交相应的许可证复印件。</w:t>
      </w:r>
    </w:p>
    <w:p>
      <w:pPr>
        <w:tabs>
          <w:tab w:val="left" w:pos="851"/>
        </w:tabs>
        <w:spacing w:line="360" w:lineRule="auto"/>
        <w:ind w:left="315" w:hanging="315" w:hangingChars="150"/>
        <w:rPr>
          <w:rFonts w:ascii="宋体" w:hAnsi="宋体"/>
          <w:sz w:val="21"/>
          <w:szCs w:val="21"/>
        </w:rPr>
      </w:pPr>
      <w:r>
        <w:rPr>
          <w:rFonts w:ascii="宋体" w:hAnsi="宋体"/>
          <w:sz w:val="21"/>
          <w:szCs w:val="21"/>
        </w:rPr>
        <w:t>3、如投标/报价供应商以非独立法人注册的分公司名义代表总公司盖章和签署文件的，须提供总公司的营业执照副本复印件及总公司针对本项目投标/报价的授权书原件。</w:t>
      </w:r>
    </w:p>
    <w:p>
      <w:pPr>
        <w:tabs>
          <w:tab w:val="left" w:pos="851"/>
        </w:tabs>
        <w:spacing w:line="360" w:lineRule="auto"/>
        <w:rPr>
          <w:rFonts w:ascii="宋体" w:hAnsi="宋体"/>
          <w:sz w:val="21"/>
          <w:szCs w:val="21"/>
        </w:rPr>
      </w:pPr>
      <w:r>
        <w:rPr>
          <w:rFonts w:ascii="宋体" w:hAnsi="宋体"/>
          <w:sz w:val="21"/>
          <w:szCs w:val="21"/>
        </w:rPr>
        <w:t>4、以联合体形式投标/报价的，请提交《联合体共同投标协议书》。</w:t>
      </w:r>
    </w:p>
    <w:p>
      <w:pPr>
        <w:tabs>
          <w:tab w:val="left" w:pos="851"/>
        </w:tabs>
        <w:spacing w:line="360" w:lineRule="auto"/>
        <w:rPr>
          <w:rFonts w:ascii="宋体" w:hAnsi="宋体"/>
          <w:sz w:val="21"/>
          <w:szCs w:val="21"/>
        </w:rPr>
      </w:pPr>
      <w:r>
        <w:rPr>
          <w:rFonts w:ascii="宋体" w:hAnsi="宋体"/>
          <w:sz w:val="21"/>
          <w:szCs w:val="21"/>
        </w:rPr>
        <w:t>5、投标/报价供应商为中型、小型、微型企业的，请提交《中小企业声明函》。</w:t>
      </w:r>
    </w:p>
    <w:p>
      <w:pPr>
        <w:tabs>
          <w:tab w:val="left" w:pos="851"/>
        </w:tabs>
        <w:spacing w:line="360" w:lineRule="auto"/>
        <w:ind w:left="315" w:hanging="315" w:hangingChars="150"/>
        <w:rPr>
          <w:rFonts w:ascii="宋体" w:hAnsi="宋体"/>
          <w:sz w:val="21"/>
          <w:szCs w:val="21"/>
        </w:rPr>
      </w:pPr>
      <w:r>
        <w:rPr>
          <w:rFonts w:ascii="宋体" w:hAnsi="宋体"/>
          <w:sz w:val="21"/>
          <w:szCs w:val="21"/>
        </w:rPr>
        <w:t>6、为了提高政府采购效率，节约社会交易成本与时间，本司希望购买了采购文件而决定不参加本次投标/报价的供应商，在投标/报价文件递交截止时间的3日前，按《投标/报价邀请函》中的联系方式，以书面形式告知招标代理机构。对您的支持与配合，谨此致谢。</w:t>
      </w:r>
    </w:p>
    <w:p>
      <w:pPr>
        <w:tabs>
          <w:tab w:val="left" w:pos="851"/>
        </w:tabs>
        <w:spacing w:line="360" w:lineRule="auto"/>
        <w:rPr>
          <w:rFonts w:ascii="宋体" w:hAnsi="宋体"/>
          <w:sz w:val="21"/>
          <w:szCs w:val="21"/>
        </w:rPr>
      </w:pPr>
      <w:r>
        <w:rPr>
          <w:rFonts w:ascii="宋体" w:hAnsi="宋体"/>
          <w:sz w:val="21"/>
          <w:szCs w:val="21"/>
        </w:rPr>
        <w:t>7、因场地有限，本公司无法提供停车位，不便之处敬请谅解。</w:t>
      </w:r>
    </w:p>
    <w:p>
      <w:pPr>
        <w:tabs>
          <w:tab w:val="left" w:pos="851"/>
        </w:tabs>
        <w:spacing w:line="360" w:lineRule="auto"/>
        <w:ind w:left="851"/>
        <w:rPr>
          <w:rFonts w:ascii="宋体" w:hAnsi="宋体"/>
          <w:sz w:val="21"/>
          <w:szCs w:val="21"/>
        </w:rPr>
      </w:pPr>
    </w:p>
    <w:p>
      <w:pPr>
        <w:spacing w:line="312" w:lineRule="auto"/>
        <w:jc w:val="center"/>
        <w:rPr>
          <w:rFonts w:ascii="宋体" w:hAnsi="宋体"/>
          <w:b/>
          <w:bCs/>
          <w:sz w:val="36"/>
          <w:szCs w:val="36"/>
        </w:rPr>
      </w:pPr>
      <w:r>
        <w:rPr>
          <w:rFonts w:ascii="宋体" w:hAnsi="宋体"/>
          <w:b/>
          <w:bCs/>
          <w:sz w:val="21"/>
          <w:szCs w:val="21"/>
        </w:rPr>
        <w:t>（本提示内容非采购文件的组成部分，仅为善意提醒。如有不一致，以采购文件为准）</w:t>
      </w:r>
    </w:p>
    <w:p>
      <w:pPr>
        <w:rPr>
          <w:rFonts w:ascii="宋体" w:hAnsi="宋体"/>
        </w:rPr>
      </w:pPr>
      <w:r>
        <w:rPr>
          <w:rFonts w:ascii="宋体" w:hAnsi="宋体"/>
          <w:spacing w:val="20"/>
          <w:sz w:val="30"/>
          <w:szCs w:val="30"/>
        </w:rPr>
        <w:br w:type="page"/>
      </w:r>
    </w:p>
    <w:p>
      <w:pPr>
        <w:rPr>
          <w:rFonts w:ascii="宋体" w:hAnsi="宋体"/>
        </w:rPr>
      </w:pPr>
    </w:p>
    <w:p>
      <w:pPr>
        <w:rPr>
          <w:rFonts w:ascii="宋体" w:hAnsi="宋体"/>
        </w:rPr>
      </w:pPr>
    </w:p>
    <w:p>
      <w:pPr>
        <w:jc w:val="center"/>
        <w:rPr>
          <w:rFonts w:ascii="宋体" w:hAnsi="宋体"/>
          <w:sz w:val="52"/>
          <w:szCs w:val="52"/>
        </w:rPr>
      </w:pPr>
      <w:r>
        <w:rPr>
          <w:rFonts w:hint="eastAsia" w:ascii="宋体" w:hAnsi="宋体"/>
          <w:sz w:val="52"/>
          <w:szCs w:val="52"/>
        </w:rPr>
        <w:t>进口设备</w:t>
      </w:r>
      <w:r>
        <w:rPr>
          <w:rFonts w:ascii="宋体" w:hAnsi="宋体"/>
          <w:sz w:val="52"/>
          <w:szCs w:val="52"/>
        </w:rPr>
        <w:t>采购</w:t>
      </w:r>
    </w:p>
    <w:p>
      <w:pPr>
        <w:jc w:val="center"/>
        <w:rPr>
          <w:rFonts w:ascii="宋体" w:hAnsi="宋体"/>
          <w:spacing w:val="20"/>
          <w:sz w:val="52"/>
          <w:szCs w:val="52"/>
        </w:rPr>
      </w:pPr>
      <w:r>
        <w:rPr>
          <w:rFonts w:ascii="宋体" w:hAnsi="宋体"/>
          <w:sz w:val="52"/>
          <w:szCs w:val="52"/>
        </w:rPr>
        <w:t>国际竞争性</w:t>
      </w:r>
      <w:r>
        <w:rPr>
          <w:rFonts w:ascii="宋体" w:hAnsi="宋体"/>
          <w:spacing w:val="20"/>
          <w:sz w:val="52"/>
          <w:szCs w:val="52"/>
        </w:rPr>
        <w:t>招标文件</w:t>
      </w:r>
    </w:p>
    <w:p>
      <w:pPr>
        <w:spacing w:line="480" w:lineRule="auto"/>
        <w:rPr>
          <w:rFonts w:ascii="宋体" w:hAnsi="宋体"/>
          <w:b/>
          <w:bCs/>
          <w:spacing w:val="20"/>
          <w:sz w:val="28"/>
          <w:szCs w:val="28"/>
        </w:rPr>
      </w:pPr>
    </w:p>
    <w:p>
      <w:pPr>
        <w:spacing w:line="480" w:lineRule="auto"/>
        <w:rPr>
          <w:rFonts w:ascii="宋体" w:hAnsi="宋体"/>
          <w:b/>
          <w:bCs/>
          <w:spacing w:val="20"/>
          <w:sz w:val="28"/>
          <w:szCs w:val="28"/>
        </w:rPr>
      </w:pPr>
    </w:p>
    <w:p>
      <w:pPr>
        <w:spacing w:line="480" w:lineRule="auto"/>
        <w:rPr>
          <w:rFonts w:ascii="宋体" w:hAnsi="宋体"/>
          <w:b/>
          <w:bCs/>
          <w:spacing w:val="20"/>
          <w:sz w:val="28"/>
          <w:szCs w:val="28"/>
        </w:rPr>
      </w:pPr>
      <w:r>
        <w:rPr>
          <w:rFonts w:ascii="宋体" w:hAnsi="宋体"/>
          <w:b/>
          <w:bCs/>
          <w:spacing w:val="20"/>
          <w:sz w:val="28"/>
          <w:szCs w:val="28"/>
        </w:rPr>
        <w:t>第二册</w:t>
      </w:r>
    </w:p>
    <w:p>
      <w:pPr>
        <w:spacing w:line="480" w:lineRule="auto"/>
        <w:rPr>
          <w:rFonts w:ascii="宋体" w:hAnsi="宋体"/>
          <w:spacing w:val="20"/>
          <w:sz w:val="28"/>
          <w:szCs w:val="28"/>
        </w:rPr>
      </w:pPr>
      <w:r>
        <w:rPr>
          <w:rFonts w:ascii="宋体" w:hAnsi="宋体"/>
          <w:spacing w:val="20"/>
          <w:sz w:val="28"/>
          <w:szCs w:val="28"/>
        </w:rPr>
        <w:t>第五章投标邀请</w:t>
      </w:r>
    </w:p>
    <w:p>
      <w:pPr>
        <w:spacing w:line="480" w:lineRule="auto"/>
        <w:rPr>
          <w:rFonts w:ascii="宋体" w:hAnsi="宋体"/>
          <w:spacing w:val="20"/>
          <w:sz w:val="28"/>
          <w:szCs w:val="28"/>
        </w:rPr>
      </w:pPr>
      <w:r>
        <w:rPr>
          <w:rFonts w:ascii="宋体" w:hAnsi="宋体"/>
          <w:spacing w:val="20"/>
          <w:sz w:val="28"/>
          <w:szCs w:val="28"/>
        </w:rPr>
        <w:t>第六章投标资料表</w:t>
      </w:r>
    </w:p>
    <w:p>
      <w:pPr>
        <w:spacing w:line="480" w:lineRule="auto"/>
        <w:rPr>
          <w:rFonts w:ascii="宋体" w:hAnsi="宋体"/>
          <w:spacing w:val="20"/>
          <w:sz w:val="28"/>
          <w:szCs w:val="28"/>
        </w:rPr>
      </w:pPr>
      <w:r>
        <w:rPr>
          <w:rFonts w:ascii="宋体" w:hAnsi="宋体"/>
          <w:spacing w:val="20"/>
          <w:sz w:val="28"/>
          <w:szCs w:val="28"/>
        </w:rPr>
        <w:t>第七章合同条款资料表</w:t>
      </w:r>
    </w:p>
    <w:p>
      <w:pPr>
        <w:spacing w:line="480" w:lineRule="auto"/>
        <w:rPr>
          <w:rFonts w:ascii="宋体" w:hAnsi="宋体"/>
          <w:spacing w:val="20"/>
          <w:sz w:val="28"/>
          <w:szCs w:val="28"/>
        </w:rPr>
      </w:pPr>
      <w:r>
        <w:rPr>
          <w:rFonts w:ascii="宋体" w:hAnsi="宋体"/>
          <w:spacing w:val="20"/>
          <w:sz w:val="28"/>
          <w:szCs w:val="28"/>
        </w:rPr>
        <w:t>第八章货物需求一览表及技术规格</w:t>
      </w:r>
    </w:p>
    <w:p>
      <w:pPr>
        <w:spacing w:line="480" w:lineRule="auto"/>
        <w:rPr>
          <w:rFonts w:ascii="宋体" w:hAnsi="宋体"/>
          <w:spacing w:val="20"/>
          <w:sz w:val="28"/>
          <w:szCs w:val="28"/>
        </w:rPr>
      </w:pPr>
      <w:r>
        <w:rPr>
          <w:rFonts w:ascii="宋体" w:hAnsi="宋体"/>
          <w:spacing w:val="20"/>
          <w:sz w:val="28"/>
          <w:szCs w:val="28"/>
        </w:rPr>
        <w:t>第九章附件</w:t>
      </w:r>
    </w:p>
    <w:p>
      <w:pPr>
        <w:spacing w:line="480" w:lineRule="auto"/>
        <w:jc w:val="center"/>
        <w:rPr>
          <w:rFonts w:ascii="宋体" w:hAnsi="宋体"/>
          <w:spacing w:val="20"/>
          <w:sz w:val="32"/>
          <w:szCs w:val="32"/>
        </w:rPr>
      </w:pPr>
    </w:p>
    <w:p>
      <w:pPr>
        <w:spacing w:line="480" w:lineRule="auto"/>
        <w:jc w:val="center"/>
        <w:rPr>
          <w:rFonts w:ascii="宋体" w:hAnsi="宋体"/>
          <w:spacing w:val="20"/>
          <w:sz w:val="32"/>
          <w:szCs w:val="32"/>
        </w:rPr>
      </w:pPr>
    </w:p>
    <w:p>
      <w:pPr>
        <w:spacing w:line="480" w:lineRule="auto"/>
        <w:jc w:val="center"/>
        <w:rPr>
          <w:rFonts w:ascii="宋体" w:hAnsi="宋体"/>
          <w:spacing w:val="20"/>
          <w:sz w:val="32"/>
          <w:szCs w:val="32"/>
        </w:rPr>
      </w:pPr>
    </w:p>
    <w:p>
      <w:pPr>
        <w:spacing w:line="480" w:lineRule="auto"/>
        <w:jc w:val="center"/>
        <w:rPr>
          <w:rFonts w:ascii="宋体" w:hAnsi="宋体"/>
          <w:b/>
          <w:bCs/>
          <w:sz w:val="36"/>
          <w:szCs w:val="36"/>
        </w:rPr>
      </w:pPr>
    </w:p>
    <w:p>
      <w:pPr>
        <w:spacing w:line="480" w:lineRule="auto"/>
        <w:jc w:val="center"/>
        <w:rPr>
          <w:rFonts w:ascii="宋体" w:hAnsi="宋体"/>
          <w:b/>
          <w:bCs/>
          <w:sz w:val="36"/>
          <w:szCs w:val="36"/>
        </w:rPr>
      </w:pPr>
    </w:p>
    <w:p>
      <w:pPr>
        <w:spacing w:line="480" w:lineRule="auto"/>
        <w:jc w:val="center"/>
        <w:rPr>
          <w:rFonts w:ascii="宋体" w:hAnsi="宋体"/>
          <w:b/>
          <w:bCs/>
          <w:sz w:val="36"/>
          <w:szCs w:val="36"/>
        </w:rPr>
      </w:pPr>
    </w:p>
    <w:p>
      <w:pPr>
        <w:spacing w:line="480" w:lineRule="auto"/>
        <w:jc w:val="center"/>
        <w:rPr>
          <w:rFonts w:ascii="宋体" w:hAnsi="宋体"/>
          <w:b/>
          <w:bCs/>
          <w:sz w:val="36"/>
          <w:szCs w:val="36"/>
        </w:rPr>
      </w:pPr>
    </w:p>
    <w:p>
      <w:pPr>
        <w:spacing w:line="360" w:lineRule="auto"/>
        <w:jc w:val="center"/>
        <w:rPr>
          <w:rFonts w:ascii="宋体" w:hAnsi="宋体"/>
          <w:b/>
          <w:bCs/>
          <w:sz w:val="32"/>
          <w:szCs w:val="32"/>
        </w:rPr>
      </w:pPr>
    </w:p>
    <w:p>
      <w:pPr>
        <w:spacing w:line="360" w:lineRule="auto"/>
        <w:jc w:val="center"/>
        <w:rPr>
          <w:rFonts w:ascii="宋体" w:hAnsi="宋体"/>
          <w:b/>
          <w:bCs/>
          <w:sz w:val="32"/>
          <w:szCs w:val="32"/>
        </w:rPr>
      </w:pPr>
    </w:p>
    <w:p>
      <w:pPr>
        <w:spacing w:line="360" w:lineRule="auto"/>
        <w:jc w:val="center"/>
        <w:rPr>
          <w:rFonts w:ascii="宋体" w:hAnsi="宋体"/>
          <w:b/>
          <w:bCs/>
          <w:sz w:val="32"/>
          <w:szCs w:val="32"/>
        </w:rPr>
      </w:pPr>
    </w:p>
    <w:p>
      <w:pPr>
        <w:spacing w:line="360" w:lineRule="auto"/>
        <w:jc w:val="center"/>
        <w:rPr>
          <w:rFonts w:ascii="宋体" w:hAnsi="宋体"/>
          <w:b/>
          <w:bCs/>
          <w:sz w:val="32"/>
          <w:szCs w:val="32"/>
        </w:rPr>
      </w:pPr>
    </w:p>
    <w:p>
      <w:pPr>
        <w:spacing w:line="360" w:lineRule="auto"/>
        <w:jc w:val="center"/>
        <w:rPr>
          <w:rFonts w:ascii="宋体" w:hAnsi="宋体"/>
          <w:b/>
          <w:bCs/>
          <w:sz w:val="32"/>
          <w:szCs w:val="32"/>
        </w:rPr>
      </w:pPr>
    </w:p>
    <w:p>
      <w:pPr>
        <w:spacing w:line="360" w:lineRule="auto"/>
        <w:jc w:val="center"/>
        <w:rPr>
          <w:rFonts w:ascii="宋体" w:hAnsi="宋体"/>
          <w:b/>
          <w:bCs/>
          <w:sz w:val="32"/>
          <w:szCs w:val="32"/>
        </w:rPr>
      </w:pPr>
    </w:p>
    <w:p>
      <w:pPr>
        <w:spacing w:line="360" w:lineRule="auto"/>
        <w:jc w:val="center"/>
        <w:rPr>
          <w:rFonts w:ascii="宋体" w:hAnsi="宋体"/>
          <w:b/>
          <w:bCs/>
          <w:sz w:val="32"/>
          <w:szCs w:val="32"/>
        </w:rPr>
      </w:pPr>
    </w:p>
    <w:p>
      <w:pPr>
        <w:spacing w:line="360" w:lineRule="auto"/>
        <w:jc w:val="center"/>
        <w:rPr>
          <w:rFonts w:ascii="宋体" w:hAnsi="宋体"/>
          <w:b/>
          <w:bCs/>
          <w:sz w:val="28"/>
          <w:szCs w:val="28"/>
        </w:rPr>
      </w:pPr>
      <w:r>
        <w:rPr>
          <w:rFonts w:ascii="宋体" w:hAnsi="宋体"/>
          <w:b/>
          <w:bCs/>
          <w:sz w:val="32"/>
          <w:szCs w:val="32"/>
        </w:rPr>
        <w:t>第五章投标邀请</w:t>
      </w:r>
      <w:r>
        <w:rPr>
          <w:rFonts w:ascii="宋体" w:hAnsi="宋体"/>
          <w:spacing w:val="20"/>
          <w:sz w:val="32"/>
          <w:szCs w:val="32"/>
        </w:rPr>
        <w:br w:type="page"/>
      </w:r>
      <w:r>
        <w:rPr>
          <w:rFonts w:ascii="宋体" w:hAnsi="宋体"/>
          <w:b/>
          <w:bCs/>
          <w:sz w:val="28"/>
          <w:szCs w:val="28"/>
        </w:rPr>
        <w:t>投标邀请</w:t>
      </w:r>
    </w:p>
    <w:p>
      <w:pPr>
        <w:spacing w:line="360" w:lineRule="auto"/>
        <w:rPr>
          <w:rFonts w:ascii="宋体" w:hAnsi="宋体"/>
          <w:color w:val="auto"/>
          <w:sz w:val="21"/>
          <w:szCs w:val="21"/>
        </w:rPr>
      </w:pPr>
      <w:r>
        <w:rPr>
          <w:rFonts w:ascii="宋体" w:hAnsi="宋体"/>
          <w:color w:val="auto"/>
          <w:sz w:val="21"/>
          <w:szCs w:val="21"/>
        </w:rPr>
        <w:t>日期：</w:t>
      </w:r>
      <w:r>
        <w:rPr>
          <w:rFonts w:hint="eastAsia" w:ascii="宋体" w:hAnsi="宋体"/>
          <w:color w:val="auto"/>
          <w:sz w:val="21"/>
          <w:szCs w:val="21"/>
        </w:rPr>
        <w:t>2019年</w:t>
      </w:r>
      <w:r>
        <w:rPr>
          <w:rFonts w:hint="eastAsia" w:ascii="宋体" w:hAnsi="宋体"/>
          <w:color w:val="auto"/>
          <w:sz w:val="21"/>
          <w:szCs w:val="21"/>
          <w:lang w:val="en-US" w:eastAsia="zh-CN"/>
        </w:rPr>
        <w:t>8</w:t>
      </w:r>
      <w:r>
        <w:rPr>
          <w:rFonts w:hint="eastAsia" w:ascii="宋体" w:hAnsi="宋体"/>
          <w:color w:val="auto"/>
          <w:sz w:val="21"/>
          <w:szCs w:val="21"/>
        </w:rPr>
        <w:t>月</w:t>
      </w:r>
      <w:r>
        <w:rPr>
          <w:rFonts w:hint="eastAsia" w:ascii="宋体" w:hAnsi="宋体"/>
          <w:color w:val="auto"/>
          <w:sz w:val="21"/>
          <w:szCs w:val="21"/>
          <w:lang w:val="en-US" w:eastAsia="zh-CN"/>
        </w:rPr>
        <w:t>29</w:t>
      </w:r>
      <w:r>
        <w:rPr>
          <w:rFonts w:hint="eastAsia" w:ascii="宋体" w:hAnsi="宋体"/>
          <w:color w:val="auto"/>
          <w:sz w:val="21"/>
          <w:szCs w:val="21"/>
        </w:rPr>
        <w:t>日</w:t>
      </w:r>
    </w:p>
    <w:p>
      <w:pPr>
        <w:spacing w:line="360" w:lineRule="auto"/>
        <w:rPr>
          <w:rFonts w:ascii="宋体" w:hAnsi="宋体"/>
          <w:sz w:val="21"/>
          <w:szCs w:val="21"/>
        </w:rPr>
      </w:pPr>
      <w:r>
        <w:rPr>
          <w:rFonts w:ascii="宋体" w:hAnsi="宋体"/>
          <w:sz w:val="21"/>
          <w:szCs w:val="21"/>
        </w:rPr>
        <w:t>招标编号：</w:t>
      </w:r>
      <w:r>
        <w:rPr>
          <w:rFonts w:hint="eastAsia" w:ascii="宋体" w:hAnsi="宋体"/>
          <w:sz w:val="21"/>
          <w:szCs w:val="21"/>
        </w:rPr>
        <w:t>0809-1941GDI13801</w:t>
      </w:r>
    </w:p>
    <w:p>
      <w:pPr>
        <w:spacing w:line="360" w:lineRule="auto"/>
        <w:rPr>
          <w:rFonts w:ascii="宋体" w:hAnsi="宋体"/>
          <w:sz w:val="21"/>
          <w:szCs w:val="21"/>
        </w:rPr>
      </w:pPr>
    </w:p>
    <w:p>
      <w:pPr>
        <w:spacing w:line="360" w:lineRule="auto"/>
        <w:ind w:left="318" w:leftChars="10" w:hanging="294" w:hangingChars="140"/>
        <w:rPr>
          <w:rFonts w:ascii="宋体" w:hAnsi="宋体"/>
          <w:sz w:val="21"/>
          <w:szCs w:val="21"/>
        </w:rPr>
      </w:pPr>
      <w:r>
        <w:rPr>
          <w:rFonts w:ascii="宋体" w:hAnsi="宋体"/>
          <w:sz w:val="21"/>
          <w:szCs w:val="21"/>
        </w:rPr>
        <w:t>1．</w:t>
      </w:r>
      <w:r>
        <w:rPr>
          <w:rFonts w:hint="eastAsia" w:ascii="宋体" w:hAnsi="宋体"/>
          <w:sz w:val="21"/>
          <w:szCs w:val="21"/>
        </w:rPr>
        <w:t>广东华伦招标有限公司</w:t>
      </w:r>
      <w:r>
        <w:rPr>
          <w:rFonts w:ascii="宋体" w:hAnsi="宋体"/>
          <w:sz w:val="21"/>
          <w:szCs w:val="21"/>
        </w:rPr>
        <w:t>（以下简称“招标机构”）受业主委托，邀请合格投标人就“</w:t>
      </w:r>
      <w:r>
        <w:rPr>
          <w:rFonts w:hint="eastAsia" w:ascii="宋体" w:hAnsi="宋体"/>
          <w:sz w:val="21"/>
          <w:szCs w:val="21"/>
        </w:rPr>
        <w:t>暨南大学珠江人才计划本土创新创业团队及粤港澳大湾区中医药现代化与创新药物联合实验室设备采购项目</w:t>
      </w:r>
      <w:r>
        <w:rPr>
          <w:rFonts w:ascii="宋体" w:hAnsi="宋体"/>
          <w:sz w:val="21"/>
          <w:szCs w:val="21"/>
        </w:rPr>
        <w:t>”的下列货物和有关服务提交密封投标：</w:t>
      </w:r>
    </w:p>
    <w:p>
      <w:pPr>
        <w:spacing w:line="360" w:lineRule="auto"/>
        <w:ind w:firstLine="315" w:firstLineChars="150"/>
        <w:rPr>
          <w:rFonts w:ascii="宋体" w:hAnsi="宋体"/>
          <w:sz w:val="21"/>
          <w:szCs w:val="21"/>
        </w:rPr>
      </w:pPr>
      <w:r>
        <w:rPr>
          <w:rFonts w:ascii="宋体" w:hAnsi="宋体"/>
          <w:sz w:val="21"/>
          <w:szCs w:val="21"/>
        </w:rPr>
        <w:t>招标产品的名称、数量及主要技术参数：</w:t>
      </w:r>
    </w:p>
    <w:p>
      <w:pPr>
        <w:spacing w:line="360" w:lineRule="auto"/>
        <w:ind w:firstLine="315" w:firstLineChars="150"/>
        <w:rPr>
          <w:rFonts w:ascii="宋体" w:hAnsi="宋体"/>
          <w:sz w:val="21"/>
          <w:szCs w:val="21"/>
        </w:rPr>
      </w:pPr>
      <w:r>
        <w:rPr>
          <w:rFonts w:hint="eastAsia" w:ascii="宋体" w:hAnsi="宋体"/>
          <w:sz w:val="21"/>
          <w:szCs w:val="21"/>
        </w:rPr>
        <w:t>子包一：超高效液相色谱仪和制备型高效液相色谱仪各1台；</w:t>
      </w:r>
    </w:p>
    <w:p>
      <w:pPr>
        <w:spacing w:line="360" w:lineRule="auto"/>
        <w:ind w:left="1157" w:leftChars="132" w:hanging="840" w:hangingChars="400"/>
        <w:rPr>
          <w:rFonts w:ascii="宋体" w:hAnsi="宋体"/>
          <w:sz w:val="21"/>
          <w:szCs w:val="21"/>
        </w:rPr>
      </w:pPr>
      <w:r>
        <w:rPr>
          <w:rFonts w:hint="eastAsia" w:ascii="宋体" w:hAnsi="宋体"/>
          <w:sz w:val="21"/>
          <w:szCs w:val="21"/>
        </w:rPr>
        <w:t>子包二：带加热模块全自动温和组织处理器（自动组织处理器）和制备型高效液相色谱仪各1台。</w:t>
      </w:r>
    </w:p>
    <w:p>
      <w:pPr>
        <w:spacing w:line="360" w:lineRule="auto"/>
        <w:ind w:firstLine="315" w:firstLineChars="150"/>
        <w:rPr>
          <w:rFonts w:ascii="宋体" w:hAnsi="宋体"/>
          <w:sz w:val="21"/>
          <w:szCs w:val="21"/>
        </w:rPr>
      </w:pPr>
      <w:r>
        <w:rPr>
          <w:rFonts w:hint="eastAsia" w:ascii="宋体" w:hAnsi="宋体"/>
          <w:sz w:val="21"/>
          <w:szCs w:val="21"/>
        </w:rPr>
        <w:t>（</w:t>
      </w:r>
      <w:r>
        <w:rPr>
          <w:rFonts w:ascii="宋体" w:hAnsi="宋体"/>
          <w:sz w:val="21"/>
          <w:szCs w:val="21"/>
        </w:rPr>
        <w:t>主要技术参数详见第八章技术规格</w:t>
      </w:r>
      <w:r>
        <w:rPr>
          <w:rFonts w:hint="eastAsia" w:ascii="宋体" w:hAnsi="宋体"/>
          <w:sz w:val="21"/>
          <w:szCs w:val="21"/>
        </w:rPr>
        <w:t>）</w:t>
      </w:r>
    </w:p>
    <w:p>
      <w:pPr>
        <w:spacing w:line="360" w:lineRule="auto"/>
        <w:ind w:left="10" w:firstLine="514" w:firstLineChars="245"/>
        <w:rPr>
          <w:rFonts w:ascii="宋体" w:hAnsi="宋体"/>
          <w:sz w:val="21"/>
          <w:szCs w:val="21"/>
        </w:rPr>
      </w:pPr>
    </w:p>
    <w:p>
      <w:pPr>
        <w:spacing w:line="360" w:lineRule="auto"/>
        <w:ind w:left="420" w:hanging="420" w:hangingChars="199"/>
        <w:rPr>
          <w:rFonts w:ascii="宋体" w:hAnsi="宋体"/>
          <w:b/>
          <w:bCs/>
          <w:sz w:val="21"/>
          <w:szCs w:val="21"/>
          <w:u w:val="single"/>
        </w:rPr>
      </w:pPr>
      <w:r>
        <w:rPr>
          <w:rFonts w:ascii="宋体" w:hAnsi="宋体"/>
          <w:b/>
          <w:bCs/>
          <w:sz w:val="21"/>
          <w:szCs w:val="21"/>
          <w:u w:val="single"/>
        </w:rPr>
        <w:t>2．投标人应当于投标截止时间前在中国国际招标网（网址：</w:t>
      </w:r>
      <w:r>
        <w:fldChar w:fldCharType="begin"/>
      </w:r>
      <w:r>
        <w:instrText xml:space="preserve"> HYPERLINK "http://www.chinabidding.com" </w:instrText>
      </w:r>
      <w:r>
        <w:fldChar w:fldCharType="separate"/>
      </w:r>
      <w:r>
        <w:rPr>
          <w:rStyle w:val="29"/>
          <w:rFonts w:ascii="宋体" w:hAnsi="宋体"/>
          <w:b/>
          <w:bCs/>
          <w:color w:val="auto"/>
          <w:sz w:val="21"/>
          <w:szCs w:val="21"/>
        </w:rPr>
        <w:t>www.chinabidding.com</w:t>
      </w:r>
      <w:r>
        <w:rPr>
          <w:rStyle w:val="29"/>
          <w:rFonts w:ascii="宋体" w:hAnsi="宋体"/>
          <w:b/>
          <w:bCs/>
          <w:color w:val="auto"/>
          <w:sz w:val="21"/>
          <w:szCs w:val="21"/>
        </w:rPr>
        <w:fldChar w:fldCharType="end"/>
      </w:r>
      <w:r>
        <w:rPr>
          <w:rFonts w:ascii="宋体" w:hAnsi="宋体"/>
          <w:b/>
          <w:bCs/>
          <w:sz w:val="21"/>
          <w:szCs w:val="21"/>
          <w:u w:val="single"/>
        </w:rPr>
        <w:t>）成功注册</w:t>
      </w:r>
      <w:r>
        <w:rPr>
          <w:rFonts w:hint="eastAsia" w:ascii="宋体" w:hAnsi="宋体"/>
          <w:b/>
          <w:bCs/>
          <w:sz w:val="21"/>
          <w:szCs w:val="21"/>
          <w:u w:val="single"/>
        </w:rPr>
        <w:t>并成为文件领购人</w:t>
      </w:r>
      <w:r>
        <w:rPr>
          <w:rFonts w:ascii="宋体" w:hAnsi="宋体"/>
          <w:b/>
          <w:bCs/>
          <w:sz w:val="21"/>
          <w:szCs w:val="21"/>
          <w:u w:val="single"/>
        </w:rPr>
        <w:t>。否则，投标人将不能进入招标程序，由此产生的后果由其自行承担。</w:t>
      </w:r>
    </w:p>
    <w:p>
      <w:pPr>
        <w:spacing w:line="360" w:lineRule="auto"/>
        <w:ind w:left="420" w:hanging="420" w:hangingChars="199"/>
        <w:rPr>
          <w:rFonts w:ascii="宋体" w:hAnsi="宋体"/>
          <w:b/>
          <w:bCs/>
          <w:sz w:val="21"/>
          <w:szCs w:val="21"/>
          <w:u w:val="single"/>
        </w:rPr>
      </w:pPr>
    </w:p>
    <w:p>
      <w:pPr>
        <w:spacing w:line="360" w:lineRule="auto"/>
        <w:ind w:left="315" w:hanging="315" w:hangingChars="150"/>
        <w:rPr>
          <w:rFonts w:ascii="宋体" w:hAnsi="宋体"/>
          <w:sz w:val="21"/>
          <w:szCs w:val="21"/>
        </w:rPr>
      </w:pPr>
      <w:r>
        <w:rPr>
          <w:rFonts w:ascii="宋体" w:hAnsi="宋体"/>
          <w:sz w:val="21"/>
          <w:szCs w:val="21"/>
        </w:rPr>
        <w:t>3．有意向的投标人可从</w:t>
      </w:r>
      <w:r>
        <w:rPr>
          <w:rFonts w:hint="eastAsia" w:ascii="宋体" w:hAnsi="宋体"/>
          <w:sz w:val="21"/>
          <w:szCs w:val="21"/>
        </w:rPr>
        <w:t>广东华伦招标有限公司</w:t>
      </w:r>
      <w:r>
        <w:rPr>
          <w:rFonts w:ascii="宋体" w:hAnsi="宋体"/>
          <w:sz w:val="21"/>
          <w:szCs w:val="21"/>
        </w:rPr>
        <w:t>得到进一步的信息和查阅招标文件。</w:t>
      </w:r>
    </w:p>
    <w:p>
      <w:pPr>
        <w:spacing w:line="360" w:lineRule="auto"/>
        <w:ind w:left="315" w:hanging="315" w:hangingChars="150"/>
        <w:rPr>
          <w:rFonts w:ascii="宋体" w:hAnsi="宋体"/>
          <w:sz w:val="21"/>
          <w:szCs w:val="21"/>
        </w:rPr>
      </w:pPr>
    </w:p>
    <w:p>
      <w:pPr>
        <w:snapToGrid w:val="0"/>
        <w:spacing w:line="360" w:lineRule="auto"/>
        <w:ind w:left="360" w:hanging="360"/>
        <w:rPr>
          <w:rFonts w:ascii="宋体" w:hAnsi="宋体"/>
          <w:sz w:val="21"/>
          <w:szCs w:val="21"/>
        </w:rPr>
      </w:pPr>
      <w:r>
        <w:rPr>
          <w:rFonts w:ascii="宋体" w:hAnsi="宋体"/>
          <w:sz w:val="21"/>
          <w:szCs w:val="21"/>
        </w:rPr>
        <w:t>4．有意向的投标人可从</w:t>
      </w:r>
      <w:r>
        <w:rPr>
          <w:rFonts w:hint="eastAsia" w:ascii="宋体" w:hAnsi="宋体"/>
          <w:sz w:val="21"/>
          <w:szCs w:val="21"/>
        </w:rPr>
        <w:t>2019年</w:t>
      </w:r>
      <w:r>
        <w:rPr>
          <w:rFonts w:hint="eastAsia" w:ascii="宋体" w:hAnsi="宋体"/>
          <w:sz w:val="21"/>
          <w:szCs w:val="21"/>
          <w:lang w:val="en-US" w:eastAsia="zh-CN"/>
        </w:rPr>
        <w:t>8</w:t>
      </w:r>
      <w:r>
        <w:rPr>
          <w:rFonts w:hint="eastAsia" w:ascii="宋体" w:hAnsi="宋体"/>
          <w:sz w:val="21"/>
          <w:szCs w:val="21"/>
        </w:rPr>
        <w:t>月</w:t>
      </w:r>
      <w:r>
        <w:rPr>
          <w:rFonts w:hint="eastAsia" w:ascii="宋体" w:hAnsi="宋体"/>
          <w:sz w:val="21"/>
          <w:szCs w:val="21"/>
          <w:lang w:val="en-US" w:eastAsia="zh-CN"/>
        </w:rPr>
        <w:t>29</w:t>
      </w:r>
      <w:r>
        <w:rPr>
          <w:rFonts w:hint="eastAsia" w:ascii="宋体" w:hAnsi="宋体"/>
          <w:sz w:val="21"/>
          <w:szCs w:val="21"/>
        </w:rPr>
        <w:t>日</w:t>
      </w:r>
      <w:r>
        <w:rPr>
          <w:rFonts w:ascii="宋体" w:hAnsi="宋体"/>
          <w:sz w:val="21"/>
          <w:szCs w:val="21"/>
        </w:rPr>
        <w:t>起至</w:t>
      </w:r>
      <w:r>
        <w:rPr>
          <w:rFonts w:hint="eastAsia" w:ascii="宋体" w:hAnsi="宋体"/>
          <w:sz w:val="21"/>
          <w:szCs w:val="21"/>
        </w:rPr>
        <w:t>2019年</w:t>
      </w:r>
      <w:r>
        <w:rPr>
          <w:rFonts w:hint="eastAsia" w:ascii="宋体" w:hAnsi="宋体"/>
          <w:sz w:val="21"/>
          <w:szCs w:val="21"/>
          <w:lang w:val="en-US" w:eastAsia="zh-CN"/>
        </w:rPr>
        <w:t>09</w:t>
      </w:r>
      <w:r>
        <w:rPr>
          <w:rFonts w:hint="eastAsia" w:ascii="宋体" w:hAnsi="宋体"/>
          <w:sz w:val="21"/>
          <w:szCs w:val="21"/>
        </w:rPr>
        <w:t>月</w:t>
      </w:r>
      <w:r>
        <w:rPr>
          <w:rFonts w:hint="eastAsia" w:ascii="宋体" w:hAnsi="宋体"/>
          <w:sz w:val="21"/>
          <w:szCs w:val="21"/>
          <w:lang w:val="en-US" w:eastAsia="zh-CN"/>
        </w:rPr>
        <w:t>05</w:t>
      </w:r>
      <w:r>
        <w:rPr>
          <w:rFonts w:ascii="宋体" w:hAnsi="宋体"/>
          <w:sz w:val="21"/>
          <w:szCs w:val="21"/>
        </w:rPr>
        <w:t>日止</w:t>
      </w:r>
      <w:r>
        <w:rPr>
          <w:rFonts w:ascii="宋体" w:hAnsi="宋体"/>
          <w:sz w:val="21"/>
          <w:szCs w:val="21"/>
        </w:rPr>
        <w:t xml:space="preserve">，每天(节假日除外) </w:t>
      </w:r>
      <w:r>
        <w:rPr>
          <w:rFonts w:hint="eastAsia" w:ascii="宋体" w:hAnsi="宋体"/>
          <w:sz w:val="21"/>
          <w:szCs w:val="21"/>
        </w:rPr>
        <w:t>上午8:30－12:00，下午2:00－5:30（北京时间）</w:t>
      </w:r>
      <w:r>
        <w:rPr>
          <w:rFonts w:ascii="宋体" w:hAnsi="宋体"/>
          <w:sz w:val="21"/>
          <w:szCs w:val="21"/>
        </w:rPr>
        <w:t>在</w:t>
      </w:r>
      <w:r>
        <w:rPr>
          <w:rFonts w:hint="eastAsia" w:ascii="宋体" w:hAnsi="宋体"/>
          <w:sz w:val="21"/>
          <w:szCs w:val="21"/>
        </w:rPr>
        <w:t>广州市广仁路1号广仁大厦7楼广东华伦招标有限公司</w:t>
      </w:r>
      <w:r>
        <w:rPr>
          <w:rFonts w:ascii="宋体" w:hAnsi="宋体"/>
          <w:sz w:val="21"/>
          <w:szCs w:val="21"/>
        </w:rPr>
        <w:t>前台购买招标文件。</w:t>
      </w:r>
    </w:p>
    <w:p>
      <w:pPr>
        <w:snapToGrid w:val="0"/>
        <w:spacing w:line="360" w:lineRule="auto"/>
        <w:ind w:left="360" w:hanging="360"/>
        <w:rPr>
          <w:rFonts w:ascii="宋体" w:hAnsi="宋体"/>
          <w:sz w:val="21"/>
          <w:szCs w:val="21"/>
        </w:rPr>
      </w:pPr>
    </w:p>
    <w:p>
      <w:pPr>
        <w:snapToGrid w:val="0"/>
        <w:spacing w:line="360" w:lineRule="auto"/>
        <w:ind w:left="360" w:hanging="360"/>
        <w:rPr>
          <w:rFonts w:ascii="宋体" w:hAnsi="宋体"/>
          <w:sz w:val="21"/>
          <w:szCs w:val="21"/>
        </w:rPr>
      </w:pPr>
      <w:r>
        <w:rPr>
          <w:rFonts w:ascii="宋体" w:hAnsi="宋体"/>
          <w:sz w:val="21"/>
          <w:szCs w:val="21"/>
        </w:rPr>
        <w:t>5. 招标文件售价：全套招标文件（共两册）300元人民币或50美元，售后不退。</w:t>
      </w:r>
    </w:p>
    <w:p>
      <w:pPr>
        <w:snapToGrid w:val="0"/>
        <w:spacing w:line="360" w:lineRule="auto"/>
        <w:ind w:left="360" w:hanging="360"/>
        <w:rPr>
          <w:rFonts w:ascii="宋体" w:hAnsi="宋体"/>
          <w:sz w:val="21"/>
          <w:szCs w:val="21"/>
        </w:rPr>
      </w:pPr>
    </w:p>
    <w:p>
      <w:pPr>
        <w:spacing w:line="360" w:lineRule="auto"/>
        <w:ind w:left="360" w:hanging="360"/>
        <w:rPr>
          <w:rFonts w:ascii="宋体" w:hAnsi="宋体"/>
          <w:sz w:val="21"/>
          <w:szCs w:val="21"/>
        </w:rPr>
      </w:pPr>
      <w:r>
        <w:rPr>
          <w:rFonts w:ascii="宋体" w:hAnsi="宋体"/>
          <w:sz w:val="21"/>
          <w:szCs w:val="21"/>
        </w:rPr>
        <w:t>6. 获取招标文件方式：</w:t>
      </w:r>
    </w:p>
    <w:p>
      <w:pPr>
        <w:spacing w:line="360" w:lineRule="auto"/>
        <w:ind w:left="360" w:leftChars="150"/>
        <w:rPr>
          <w:rFonts w:ascii="宋体" w:hAnsi="宋体"/>
          <w:sz w:val="21"/>
          <w:szCs w:val="21"/>
        </w:rPr>
      </w:pPr>
      <w:r>
        <w:rPr>
          <w:rFonts w:hint="eastAsia" w:ascii="宋体" w:hAnsi="宋体" w:cs="宋体"/>
          <w:sz w:val="21"/>
          <w:szCs w:val="21"/>
        </w:rPr>
        <w:t>①</w:t>
      </w:r>
      <w:r>
        <w:rPr>
          <w:rFonts w:ascii="宋体" w:hAnsi="宋体"/>
          <w:sz w:val="21"/>
          <w:szCs w:val="21"/>
        </w:rPr>
        <w:t>现场购买：招标文件只接受</w:t>
      </w:r>
      <w:r>
        <w:rPr>
          <w:rFonts w:hint="eastAsia" w:ascii="宋体" w:hAnsi="宋体"/>
          <w:sz w:val="21"/>
          <w:szCs w:val="21"/>
        </w:rPr>
        <w:t>现金支付</w:t>
      </w:r>
      <w:r>
        <w:rPr>
          <w:rFonts w:ascii="宋体" w:hAnsi="宋体"/>
          <w:sz w:val="21"/>
          <w:szCs w:val="21"/>
        </w:rPr>
        <w:t>；</w:t>
      </w:r>
    </w:p>
    <w:p>
      <w:pPr>
        <w:spacing w:line="360" w:lineRule="auto"/>
        <w:ind w:left="675" w:leftChars="150" w:hanging="315" w:hangingChars="150"/>
        <w:rPr>
          <w:rFonts w:ascii="宋体" w:hAnsi="宋体"/>
          <w:sz w:val="21"/>
          <w:szCs w:val="21"/>
        </w:rPr>
      </w:pPr>
      <w:r>
        <w:rPr>
          <w:rFonts w:hint="eastAsia" w:ascii="宋体" w:hAnsi="宋体" w:cs="宋体"/>
          <w:sz w:val="21"/>
          <w:szCs w:val="21"/>
        </w:rPr>
        <w:t>②</w:t>
      </w:r>
      <w:r>
        <w:rPr>
          <w:rFonts w:ascii="宋体" w:hAnsi="宋体"/>
          <w:sz w:val="21"/>
          <w:szCs w:val="21"/>
        </w:rPr>
        <w:t>银行转账或电汇：邮购须另加人民币50元（国内）或美元35元（国外）；</w:t>
      </w:r>
    </w:p>
    <w:p>
      <w:pPr>
        <w:spacing w:line="360" w:lineRule="auto"/>
        <w:ind w:left="675" w:leftChars="150" w:hanging="315" w:hangingChars="150"/>
        <w:rPr>
          <w:rFonts w:ascii="宋体" w:hAnsi="宋体"/>
          <w:sz w:val="21"/>
          <w:szCs w:val="21"/>
        </w:rPr>
      </w:pPr>
      <w:r>
        <w:rPr>
          <w:rFonts w:hint="eastAsia" w:ascii="宋体" w:hAnsi="宋体" w:cs="宋体"/>
          <w:sz w:val="21"/>
          <w:szCs w:val="21"/>
        </w:rPr>
        <w:t>③</w:t>
      </w:r>
      <w:r>
        <w:rPr>
          <w:rFonts w:ascii="宋体" w:hAnsi="宋体"/>
          <w:sz w:val="21"/>
          <w:szCs w:val="21"/>
        </w:rPr>
        <w:t>交费账号</w:t>
      </w:r>
      <w:r>
        <w:rPr>
          <w:rFonts w:ascii="宋体" w:hAnsi="宋体"/>
          <w:b/>
          <w:bCs/>
          <w:sz w:val="21"/>
          <w:szCs w:val="21"/>
          <w:u w:val="single"/>
        </w:rPr>
        <w:t>（请务必按要求格式填写汇款单）</w:t>
      </w:r>
      <w:r>
        <w:rPr>
          <w:rFonts w:ascii="宋体" w:hAnsi="宋体"/>
          <w:sz w:val="21"/>
          <w:szCs w:val="21"/>
        </w:rPr>
        <w:t>：</w:t>
      </w:r>
    </w:p>
    <w:p>
      <w:pPr>
        <w:spacing w:line="360" w:lineRule="auto"/>
        <w:ind w:left="720" w:leftChars="300" w:firstLine="735" w:firstLineChars="350"/>
        <w:rPr>
          <w:rFonts w:ascii="宋体" w:hAnsi="宋体"/>
          <w:sz w:val="21"/>
          <w:szCs w:val="21"/>
        </w:rPr>
      </w:pPr>
      <w:r>
        <w:rPr>
          <w:rFonts w:hint="eastAsia" w:ascii="宋体" w:hAnsi="宋体"/>
          <w:sz w:val="21"/>
          <w:szCs w:val="21"/>
        </w:rPr>
        <w:t>收 款 人：广东华伦招标有限公司</w:t>
      </w:r>
    </w:p>
    <w:p>
      <w:pPr>
        <w:spacing w:line="360" w:lineRule="auto"/>
        <w:ind w:left="720" w:leftChars="300" w:firstLine="735" w:firstLineChars="350"/>
        <w:rPr>
          <w:rFonts w:ascii="宋体" w:hAnsi="宋体"/>
          <w:sz w:val="21"/>
          <w:szCs w:val="21"/>
        </w:rPr>
      </w:pPr>
      <w:r>
        <w:rPr>
          <w:rFonts w:hint="eastAsia" w:ascii="宋体" w:hAnsi="宋体"/>
          <w:sz w:val="21"/>
          <w:szCs w:val="21"/>
        </w:rPr>
        <w:t>开户银行：中信银行广州北京路支行</w:t>
      </w:r>
    </w:p>
    <w:p>
      <w:pPr>
        <w:spacing w:line="360" w:lineRule="auto"/>
        <w:ind w:left="720" w:leftChars="300" w:firstLine="735" w:firstLineChars="350"/>
        <w:rPr>
          <w:rFonts w:ascii="宋体" w:hAnsi="宋体"/>
          <w:sz w:val="21"/>
          <w:szCs w:val="21"/>
        </w:rPr>
      </w:pPr>
      <w:r>
        <w:rPr>
          <w:rFonts w:hint="eastAsia" w:ascii="宋体" w:hAnsi="宋体"/>
          <w:sz w:val="21"/>
          <w:szCs w:val="21"/>
        </w:rPr>
        <w:t>帐    号：7443400182600049783</w:t>
      </w:r>
    </w:p>
    <w:p>
      <w:pPr>
        <w:spacing w:line="360" w:lineRule="auto"/>
        <w:ind w:left="720" w:leftChars="300" w:firstLine="735" w:firstLineChars="350"/>
        <w:rPr>
          <w:rFonts w:ascii="宋体" w:hAnsi="宋体"/>
          <w:sz w:val="21"/>
          <w:szCs w:val="21"/>
        </w:rPr>
      </w:pPr>
      <w:r>
        <w:rPr>
          <w:rFonts w:hint="eastAsia" w:ascii="宋体" w:hAnsi="宋体"/>
          <w:sz w:val="21"/>
          <w:szCs w:val="21"/>
        </w:rPr>
        <w:t>财务联系人：李小姐        财务联系电话：020-83172105</w:t>
      </w:r>
    </w:p>
    <w:p>
      <w:pPr>
        <w:spacing w:line="360" w:lineRule="auto"/>
        <w:ind w:left="720" w:leftChars="300" w:firstLine="735" w:firstLineChars="350"/>
        <w:rPr>
          <w:rFonts w:ascii="宋体" w:hAnsi="宋体"/>
          <w:sz w:val="21"/>
          <w:szCs w:val="21"/>
        </w:rPr>
      </w:pPr>
      <w:r>
        <w:rPr>
          <w:rFonts w:ascii="宋体" w:hAnsi="宋体"/>
          <w:sz w:val="21"/>
          <w:szCs w:val="21"/>
        </w:rPr>
        <w:t>用途（或备注）：</w:t>
      </w:r>
      <w:r>
        <w:rPr>
          <w:rFonts w:hint="eastAsia" w:ascii="宋体" w:hAnsi="宋体"/>
          <w:b/>
          <w:bCs/>
          <w:sz w:val="21"/>
          <w:szCs w:val="21"/>
        </w:rPr>
        <w:t>0809-1941GDI13801</w:t>
      </w:r>
      <w:r>
        <w:rPr>
          <w:rFonts w:ascii="宋体" w:hAnsi="宋体"/>
          <w:sz w:val="21"/>
          <w:szCs w:val="21"/>
        </w:rPr>
        <w:t xml:space="preserve"> 标书费</w:t>
      </w:r>
    </w:p>
    <w:p>
      <w:pPr>
        <w:spacing w:line="360" w:lineRule="auto"/>
        <w:ind w:left="676" w:leftChars="150" w:hanging="316" w:hangingChars="150"/>
        <w:rPr>
          <w:rFonts w:ascii="宋体" w:hAnsi="宋体"/>
          <w:b/>
          <w:bCs/>
          <w:sz w:val="21"/>
          <w:szCs w:val="21"/>
        </w:rPr>
      </w:pPr>
      <w:r>
        <w:rPr>
          <w:rFonts w:ascii="宋体" w:hAnsi="宋体"/>
          <w:b/>
          <w:bCs/>
          <w:sz w:val="21"/>
          <w:szCs w:val="21"/>
        </w:rPr>
        <w:t>（注：以上账户仅用于接收投标人缴纳的标书费）</w:t>
      </w:r>
    </w:p>
    <w:p>
      <w:pPr>
        <w:spacing w:line="360" w:lineRule="auto"/>
        <w:ind w:left="675" w:leftChars="150" w:hanging="315" w:hangingChars="150"/>
        <w:rPr>
          <w:rFonts w:ascii="宋体" w:hAnsi="宋体"/>
          <w:sz w:val="21"/>
          <w:szCs w:val="21"/>
        </w:rPr>
      </w:pPr>
      <w:r>
        <w:rPr>
          <w:rFonts w:hint="eastAsia" w:ascii="宋体" w:hAnsi="宋体" w:cs="宋体"/>
          <w:sz w:val="21"/>
          <w:szCs w:val="21"/>
        </w:rPr>
        <w:t>④</w:t>
      </w:r>
      <w:r>
        <w:rPr>
          <w:rFonts w:hint="eastAsia" w:ascii="宋体" w:hAnsi="宋体"/>
          <w:sz w:val="21"/>
          <w:szCs w:val="21"/>
        </w:rPr>
        <w:t>购买招标文件联系人：苏小姐 020-83172166</w:t>
      </w:r>
    </w:p>
    <w:p>
      <w:pPr>
        <w:spacing w:line="360" w:lineRule="auto"/>
        <w:ind w:left="720" w:leftChars="300" w:firstLine="738" w:firstLineChars="350"/>
        <w:rPr>
          <w:rFonts w:ascii="宋体" w:hAnsi="宋体"/>
          <w:b/>
          <w:bCs/>
          <w:sz w:val="21"/>
          <w:szCs w:val="21"/>
        </w:rPr>
      </w:pPr>
    </w:p>
    <w:p>
      <w:pPr>
        <w:spacing w:line="360" w:lineRule="auto"/>
        <w:rPr>
          <w:rFonts w:ascii="宋体" w:hAnsi="宋体"/>
          <w:sz w:val="21"/>
          <w:szCs w:val="21"/>
        </w:rPr>
      </w:pPr>
    </w:p>
    <w:p>
      <w:pPr>
        <w:spacing w:line="360" w:lineRule="auto"/>
        <w:rPr>
          <w:rFonts w:ascii="宋体" w:hAnsi="宋体"/>
          <w:sz w:val="21"/>
          <w:szCs w:val="21"/>
        </w:rPr>
      </w:pPr>
      <w:r>
        <w:rPr>
          <w:rFonts w:ascii="宋体" w:hAnsi="宋体"/>
          <w:sz w:val="21"/>
          <w:szCs w:val="21"/>
        </w:rPr>
        <w:t>招标机构名称：</w:t>
      </w:r>
      <w:r>
        <w:rPr>
          <w:rFonts w:hint="eastAsia" w:ascii="宋体" w:hAnsi="宋体"/>
          <w:sz w:val="21"/>
          <w:szCs w:val="21"/>
        </w:rPr>
        <w:t>广东华伦招标有限公司</w:t>
      </w:r>
    </w:p>
    <w:p>
      <w:pPr>
        <w:spacing w:line="360" w:lineRule="auto"/>
        <w:rPr>
          <w:rFonts w:ascii="宋体" w:hAnsi="宋体"/>
          <w:sz w:val="21"/>
          <w:szCs w:val="21"/>
        </w:rPr>
      </w:pPr>
      <w:r>
        <w:rPr>
          <w:rFonts w:ascii="宋体" w:hAnsi="宋体"/>
          <w:sz w:val="21"/>
          <w:szCs w:val="21"/>
        </w:rPr>
        <w:t>详细地址：</w:t>
      </w:r>
      <w:r>
        <w:rPr>
          <w:rFonts w:hint="eastAsia" w:ascii="宋体" w:hAnsi="宋体"/>
          <w:sz w:val="21"/>
          <w:szCs w:val="21"/>
        </w:rPr>
        <w:t>广州市广仁路1号广仁大厦7楼</w:t>
      </w:r>
    </w:p>
    <w:p>
      <w:pPr>
        <w:spacing w:line="360" w:lineRule="auto"/>
        <w:rPr>
          <w:rFonts w:ascii="宋体" w:hAnsi="宋体"/>
          <w:sz w:val="21"/>
          <w:szCs w:val="21"/>
        </w:rPr>
      </w:pPr>
      <w:r>
        <w:rPr>
          <w:rFonts w:ascii="宋体" w:hAnsi="宋体"/>
          <w:sz w:val="21"/>
          <w:szCs w:val="21"/>
        </w:rPr>
        <w:t>邮编：510060</w:t>
      </w:r>
    </w:p>
    <w:p>
      <w:pPr>
        <w:spacing w:line="360" w:lineRule="auto"/>
        <w:rPr>
          <w:rFonts w:ascii="宋体" w:hAnsi="宋体"/>
          <w:sz w:val="21"/>
          <w:szCs w:val="21"/>
        </w:rPr>
      </w:pPr>
      <w:r>
        <w:rPr>
          <w:rFonts w:ascii="宋体" w:hAnsi="宋体"/>
          <w:sz w:val="21"/>
          <w:szCs w:val="21"/>
        </w:rPr>
        <w:t>联系人：</w:t>
      </w:r>
      <w:r>
        <w:rPr>
          <w:rFonts w:hint="eastAsia" w:ascii="宋体" w:hAnsi="宋体"/>
          <w:sz w:val="21"/>
          <w:szCs w:val="21"/>
        </w:rPr>
        <w:t>陈小姐</w:t>
      </w:r>
    </w:p>
    <w:p>
      <w:pPr>
        <w:spacing w:line="360" w:lineRule="auto"/>
        <w:rPr>
          <w:rFonts w:ascii="宋体" w:hAnsi="宋体"/>
          <w:sz w:val="21"/>
          <w:szCs w:val="21"/>
        </w:rPr>
      </w:pPr>
      <w:r>
        <w:rPr>
          <w:rFonts w:hint="eastAsia" w:ascii="宋体" w:hAnsi="宋体"/>
          <w:sz w:val="21"/>
          <w:szCs w:val="21"/>
        </w:rPr>
        <w:t>电话：020-83172166</w:t>
      </w:r>
    </w:p>
    <w:p>
      <w:pPr>
        <w:spacing w:line="360" w:lineRule="auto"/>
        <w:rPr>
          <w:rFonts w:ascii="宋体" w:hAnsi="宋体"/>
          <w:sz w:val="21"/>
          <w:szCs w:val="21"/>
        </w:rPr>
      </w:pPr>
      <w:r>
        <w:rPr>
          <w:rFonts w:hint="eastAsia" w:ascii="宋体" w:hAnsi="宋体"/>
          <w:sz w:val="21"/>
          <w:szCs w:val="21"/>
        </w:rPr>
        <w:t>传真：020-83172223</w:t>
      </w:r>
    </w:p>
    <w:p>
      <w:pPr>
        <w:spacing w:line="360" w:lineRule="auto"/>
        <w:rPr>
          <w:rFonts w:ascii="宋体" w:hAnsi="宋体"/>
          <w:b/>
          <w:bCs/>
          <w:sz w:val="36"/>
          <w:szCs w:val="36"/>
        </w:rPr>
      </w:pPr>
      <w:r>
        <w:rPr>
          <w:rFonts w:ascii="宋体" w:hAnsi="宋体"/>
          <w:sz w:val="21"/>
          <w:szCs w:val="21"/>
        </w:rPr>
        <w:t>电</w:t>
      </w:r>
      <w:r>
        <w:rPr>
          <w:rFonts w:hint="eastAsia" w:ascii="宋体" w:hAnsi="宋体"/>
          <w:sz w:val="21"/>
          <w:szCs w:val="21"/>
        </w:rPr>
        <w:t>子函件：gdhlzb@163.com</w:t>
      </w:r>
      <w:r>
        <w:rPr>
          <w:rFonts w:ascii="宋体" w:hAnsi="宋体"/>
          <w:b/>
          <w:bCs/>
          <w:sz w:val="36"/>
          <w:szCs w:val="36"/>
        </w:rPr>
        <w:br w:type="page"/>
      </w:r>
    </w:p>
    <w:p>
      <w:pPr>
        <w:spacing w:line="480" w:lineRule="auto"/>
        <w:jc w:val="center"/>
        <w:rPr>
          <w:rFonts w:ascii="宋体" w:hAnsi="宋体"/>
          <w:b/>
          <w:bCs/>
          <w:sz w:val="36"/>
          <w:szCs w:val="36"/>
        </w:rPr>
      </w:pPr>
    </w:p>
    <w:p>
      <w:pPr>
        <w:spacing w:line="480" w:lineRule="auto"/>
        <w:jc w:val="center"/>
        <w:rPr>
          <w:rFonts w:ascii="宋体" w:hAnsi="宋体"/>
          <w:b/>
          <w:bCs/>
          <w:sz w:val="36"/>
          <w:szCs w:val="36"/>
        </w:rPr>
      </w:pPr>
    </w:p>
    <w:p>
      <w:pPr>
        <w:spacing w:line="480" w:lineRule="auto"/>
        <w:jc w:val="center"/>
        <w:rPr>
          <w:rFonts w:ascii="宋体" w:hAnsi="宋体"/>
          <w:b/>
          <w:bCs/>
          <w:sz w:val="36"/>
          <w:szCs w:val="36"/>
        </w:rPr>
      </w:pPr>
    </w:p>
    <w:p>
      <w:pPr>
        <w:spacing w:line="480" w:lineRule="auto"/>
        <w:jc w:val="center"/>
        <w:rPr>
          <w:rFonts w:ascii="宋体" w:hAnsi="宋体"/>
          <w:b/>
          <w:bCs/>
          <w:sz w:val="36"/>
          <w:szCs w:val="36"/>
        </w:rPr>
      </w:pPr>
    </w:p>
    <w:p>
      <w:pPr>
        <w:jc w:val="center"/>
        <w:rPr>
          <w:rFonts w:ascii="宋体" w:hAnsi="宋体"/>
          <w:sz w:val="32"/>
          <w:szCs w:val="32"/>
          <w:u w:val="single"/>
        </w:rPr>
      </w:pPr>
      <w:r>
        <w:rPr>
          <w:rFonts w:ascii="宋体" w:hAnsi="宋体"/>
          <w:b/>
          <w:bCs/>
          <w:sz w:val="32"/>
          <w:szCs w:val="32"/>
        </w:rPr>
        <w:t>第六章  投标资料表</w:t>
      </w:r>
    </w:p>
    <w:p>
      <w:pPr>
        <w:jc w:val="center"/>
        <w:rPr>
          <w:rFonts w:ascii="宋体" w:hAnsi="宋体"/>
          <w:u w:val="single"/>
        </w:rPr>
      </w:pPr>
    </w:p>
    <w:p>
      <w:pPr>
        <w:jc w:val="center"/>
        <w:rPr>
          <w:rFonts w:ascii="宋体" w:hAnsi="宋体"/>
          <w:b/>
          <w:bCs/>
          <w:sz w:val="36"/>
          <w:szCs w:val="36"/>
        </w:rPr>
      </w:pPr>
    </w:p>
    <w:p>
      <w:pPr>
        <w:jc w:val="center"/>
        <w:rPr>
          <w:rFonts w:ascii="宋体" w:hAnsi="宋体"/>
          <w:b/>
          <w:bCs/>
          <w:sz w:val="36"/>
          <w:szCs w:val="36"/>
        </w:rPr>
      </w:pPr>
    </w:p>
    <w:p>
      <w:pPr>
        <w:jc w:val="center"/>
        <w:rPr>
          <w:rFonts w:ascii="宋体" w:hAnsi="宋体"/>
          <w:b/>
          <w:bCs/>
          <w:sz w:val="36"/>
          <w:szCs w:val="36"/>
        </w:rPr>
      </w:pPr>
    </w:p>
    <w:p>
      <w:pPr>
        <w:jc w:val="center"/>
        <w:rPr>
          <w:rFonts w:ascii="宋体" w:hAnsi="宋体"/>
          <w:b/>
          <w:bCs/>
          <w:sz w:val="36"/>
          <w:szCs w:val="36"/>
        </w:rPr>
      </w:pPr>
    </w:p>
    <w:p>
      <w:pPr>
        <w:jc w:val="center"/>
        <w:rPr>
          <w:rFonts w:ascii="宋体" w:hAnsi="宋体"/>
          <w:b/>
          <w:bCs/>
          <w:sz w:val="36"/>
          <w:szCs w:val="36"/>
        </w:rPr>
      </w:pPr>
    </w:p>
    <w:p>
      <w:pPr>
        <w:jc w:val="center"/>
        <w:rPr>
          <w:rFonts w:ascii="宋体" w:hAnsi="宋体"/>
          <w:b/>
          <w:bCs/>
          <w:sz w:val="36"/>
          <w:szCs w:val="36"/>
        </w:rPr>
      </w:pPr>
    </w:p>
    <w:p>
      <w:pPr>
        <w:jc w:val="center"/>
        <w:rPr>
          <w:rFonts w:ascii="宋体" w:hAnsi="宋体"/>
          <w:b/>
          <w:bCs/>
          <w:sz w:val="36"/>
          <w:szCs w:val="36"/>
        </w:rPr>
      </w:pPr>
    </w:p>
    <w:p>
      <w:pPr>
        <w:rPr>
          <w:rFonts w:ascii="宋体" w:hAnsi="宋体"/>
          <w:b/>
          <w:bCs/>
          <w:sz w:val="36"/>
          <w:szCs w:val="36"/>
        </w:rPr>
      </w:pPr>
    </w:p>
    <w:p>
      <w:pPr>
        <w:jc w:val="center"/>
        <w:rPr>
          <w:rFonts w:ascii="宋体" w:hAnsi="宋体"/>
          <w:b/>
          <w:bCs/>
          <w:sz w:val="28"/>
          <w:szCs w:val="28"/>
        </w:rPr>
      </w:pPr>
      <w:r>
        <w:rPr>
          <w:rFonts w:ascii="宋体" w:hAnsi="宋体"/>
          <w:b/>
          <w:bCs/>
          <w:sz w:val="36"/>
          <w:szCs w:val="36"/>
        </w:rPr>
        <w:br w:type="page"/>
      </w:r>
      <w:r>
        <w:rPr>
          <w:rFonts w:ascii="宋体" w:hAnsi="宋体"/>
          <w:b/>
          <w:bCs/>
          <w:sz w:val="28"/>
          <w:szCs w:val="28"/>
        </w:rPr>
        <w:t>投标资料表</w:t>
      </w:r>
    </w:p>
    <w:p>
      <w:pPr>
        <w:pStyle w:val="11"/>
        <w:ind w:left="120" w:firstLine="600"/>
        <w:rPr>
          <w:rFonts w:ascii="宋体" w:hAnsi="宋体"/>
          <w:sz w:val="21"/>
          <w:szCs w:val="21"/>
        </w:rPr>
      </w:pPr>
      <w:r>
        <w:rPr>
          <w:rFonts w:ascii="宋体" w:hAnsi="宋体"/>
          <w:sz w:val="21"/>
          <w:szCs w:val="21"/>
        </w:rPr>
        <w:t>本表关于要采购的货物的具体资料是对招标文件第一册投标人须知的具体补充和修改，如有矛盾，应以本资料表为准。</w:t>
      </w:r>
    </w:p>
    <w:tbl>
      <w:tblPr>
        <w:tblStyle w:val="23"/>
        <w:tblW w:w="869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708"/>
        <w:gridCol w:w="69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blHeader/>
        </w:trPr>
        <w:tc>
          <w:tcPr>
            <w:tcW w:w="1708" w:type="dxa"/>
            <w:tcBorders>
              <w:top w:val="single" w:color="auto" w:sz="12" w:space="0"/>
            </w:tcBorders>
            <w:vAlign w:val="center"/>
          </w:tcPr>
          <w:p>
            <w:pPr>
              <w:jc w:val="center"/>
              <w:rPr>
                <w:rFonts w:ascii="宋体" w:hAnsi="宋体"/>
                <w:sz w:val="21"/>
                <w:szCs w:val="21"/>
              </w:rPr>
            </w:pPr>
            <w:r>
              <w:rPr>
                <w:rFonts w:ascii="宋体" w:hAnsi="宋体"/>
                <w:sz w:val="21"/>
                <w:szCs w:val="21"/>
              </w:rPr>
              <w:t>条款号</w:t>
            </w:r>
          </w:p>
        </w:tc>
        <w:tc>
          <w:tcPr>
            <w:tcW w:w="6988" w:type="dxa"/>
            <w:tcBorders>
              <w:top w:val="single" w:color="auto" w:sz="12" w:space="0"/>
            </w:tcBorders>
            <w:vAlign w:val="center"/>
          </w:tcPr>
          <w:p>
            <w:pPr>
              <w:jc w:val="center"/>
              <w:rPr>
                <w:rFonts w:ascii="宋体" w:hAnsi="宋体"/>
                <w:b/>
                <w:bCs/>
                <w:sz w:val="21"/>
                <w:szCs w:val="21"/>
              </w:rPr>
            </w:pPr>
            <w:r>
              <w:rPr>
                <w:rFonts w:ascii="宋体" w:hAnsi="宋体"/>
                <w:b/>
                <w:bCs/>
                <w:sz w:val="21"/>
                <w:szCs w:val="21"/>
              </w:rPr>
              <w:t>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441" w:hRule="atLeast"/>
        </w:trPr>
        <w:tc>
          <w:tcPr>
            <w:tcW w:w="8696" w:type="dxa"/>
            <w:gridSpan w:val="2"/>
            <w:vAlign w:val="center"/>
          </w:tcPr>
          <w:p>
            <w:pPr>
              <w:jc w:val="center"/>
              <w:rPr>
                <w:rFonts w:ascii="宋体" w:hAnsi="宋体"/>
                <w:b/>
                <w:bCs/>
                <w:sz w:val="21"/>
                <w:szCs w:val="21"/>
              </w:rPr>
            </w:pPr>
            <w:r>
              <w:rPr>
                <w:rFonts w:ascii="宋体" w:hAnsi="宋体"/>
                <w:sz w:val="21"/>
                <w:szCs w:val="21"/>
              </w:rPr>
              <w:t>一、说明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708" w:type="dxa"/>
            <w:vAlign w:val="center"/>
          </w:tcPr>
          <w:p>
            <w:pPr>
              <w:jc w:val="center"/>
              <w:rPr>
                <w:rFonts w:ascii="宋体" w:hAnsi="宋体"/>
                <w:sz w:val="21"/>
                <w:szCs w:val="21"/>
              </w:rPr>
            </w:pPr>
            <w:r>
              <w:rPr>
                <w:rFonts w:ascii="宋体" w:hAnsi="宋体"/>
                <w:sz w:val="21"/>
                <w:szCs w:val="21"/>
              </w:rPr>
              <w:t>1.1</w:t>
            </w:r>
          </w:p>
        </w:tc>
        <w:tc>
          <w:tcPr>
            <w:tcW w:w="6988" w:type="dxa"/>
            <w:vAlign w:val="center"/>
          </w:tcPr>
          <w:p>
            <w:pPr>
              <w:ind w:right="29" w:rightChars="12"/>
              <w:rPr>
                <w:rFonts w:ascii="宋体" w:hAnsi="宋体"/>
                <w:sz w:val="21"/>
                <w:szCs w:val="21"/>
              </w:rPr>
            </w:pPr>
            <w:r>
              <w:rPr>
                <w:rFonts w:ascii="宋体" w:hAnsi="宋体"/>
                <w:sz w:val="21"/>
                <w:szCs w:val="21"/>
              </w:rPr>
              <w:t>招标人名称：暨南大学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708" w:type="dxa"/>
            <w:vAlign w:val="center"/>
          </w:tcPr>
          <w:p>
            <w:pPr>
              <w:spacing w:line="360" w:lineRule="auto"/>
              <w:jc w:val="center"/>
              <w:rPr>
                <w:rFonts w:ascii="宋体" w:hAnsi="宋体"/>
                <w:sz w:val="21"/>
                <w:szCs w:val="21"/>
              </w:rPr>
            </w:pPr>
            <w:r>
              <w:rPr>
                <w:rFonts w:ascii="宋体" w:hAnsi="宋体"/>
                <w:sz w:val="21"/>
                <w:szCs w:val="21"/>
              </w:rPr>
              <w:t>1.2</w:t>
            </w:r>
          </w:p>
        </w:tc>
        <w:tc>
          <w:tcPr>
            <w:tcW w:w="6988" w:type="dxa"/>
          </w:tcPr>
          <w:p>
            <w:pPr>
              <w:ind w:right="29" w:rightChars="12"/>
              <w:rPr>
                <w:rFonts w:ascii="宋体" w:hAnsi="宋体"/>
                <w:sz w:val="21"/>
                <w:szCs w:val="21"/>
              </w:rPr>
            </w:pPr>
            <w:r>
              <w:rPr>
                <w:rFonts w:hint="eastAsia" w:ascii="宋体" w:hAnsi="宋体"/>
                <w:sz w:val="21"/>
                <w:szCs w:val="21"/>
              </w:rPr>
              <w:t>招标机构名称：广东华伦招标有限公司</w:t>
            </w:r>
          </w:p>
          <w:p>
            <w:pPr>
              <w:ind w:right="29" w:rightChars="12"/>
              <w:rPr>
                <w:rFonts w:ascii="宋体" w:hAnsi="宋体"/>
                <w:sz w:val="21"/>
                <w:szCs w:val="21"/>
              </w:rPr>
            </w:pPr>
            <w:r>
              <w:rPr>
                <w:rFonts w:hint="eastAsia" w:ascii="宋体" w:hAnsi="宋体"/>
                <w:sz w:val="21"/>
                <w:szCs w:val="21"/>
              </w:rPr>
              <w:t>详细地址：广州市广仁路1号广仁大厦7楼</w:t>
            </w:r>
          </w:p>
          <w:p>
            <w:pPr>
              <w:ind w:right="29" w:rightChars="12"/>
              <w:rPr>
                <w:rFonts w:ascii="宋体" w:hAnsi="宋体"/>
                <w:sz w:val="21"/>
                <w:szCs w:val="21"/>
              </w:rPr>
            </w:pPr>
            <w:r>
              <w:rPr>
                <w:rFonts w:hint="eastAsia" w:ascii="宋体" w:hAnsi="宋体"/>
                <w:sz w:val="21"/>
                <w:szCs w:val="21"/>
              </w:rPr>
              <w:t>邮编：510060</w:t>
            </w:r>
          </w:p>
          <w:p>
            <w:pPr>
              <w:ind w:right="29" w:rightChars="12"/>
              <w:rPr>
                <w:rFonts w:ascii="宋体" w:hAnsi="宋体"/>
                <w:sz w:val="21"/>
                <w:szCs w:val="21"/>
              </w:rPr>
            </w:pPr>
            <w:r>
              <w:rPr>
                <w:rFonts w:hint="eastAsia" w:ascii="宋体" w:hAnsi="宋体"/>
                <w:sz w:val="21"/>
                <w:szCs w:val="21"/>
              </w:rPr>
              <w:t>联系人：陈小姐</w:t>
            </w:r>
          </w:p>
          <w:p>
            <w:pPr>
              <w:ind w:right="29" w:rightChars="12"/>
              <w:rPr>
                <w:rFonts w:ascii="宋体" w:hAnsi="宋体"/>
                <w:sz w:val="21"/>
                <w:szCs w:val="21"/>
              </w:rPr>
            </w:pPr>
            <w:r>
              <w:rPr>
                <w:rFonts w:hint="eastAsia" w:ascii="宋体" w:hAnsi="宋体"/>
                <w:sz w:val="21"/>
                <w:szCs w:val="21"/>
              </w:rPr>
              <w:t>电话：020-83172166</w:t>
            </w:r>
          </w:p>
          <w:p>
            <w:pPr>
              <w:ind w:right="29" w:rightChars="12"/>
              <w:rPr>
                <w:rFonts w:ascii="宋体" w:hAnsi="宋体"/>
                <w:sz w:val="21"/>
                <w:szCs w:val="21"/>
              </w:rPr>
            </w:pPr>
            <w:r>
              <w:rPr>
                <w:rFonts w:hint="eastAsia" w:ascii="宋体" w:hAnsi="宋体"/>
                <w:sz w:val="21"/>
                <w:szCs w:val="21"/>
              </w:rPr>
              <w:t>传真：020-83172223</w:t>
            </w:r>
          </w:p>
          <w:p>
            <w:pPr>
              <w:ind w:right="29" w:rightChars="12"/>
              <w:rPr>
                <w:rFonts w:ascii="宋体" w:hAnsi="宋体"/>
                <w:sz w:val="21"/>
                <w:szCs w:val="21"/>
                <w:u w:val="single"/>
              </w:rPr>
            </w:pPr>
            <w:r>
              <w:rPr>
                <w:rFonts w:hint="eastAsia" w:ascii="宋体" w:hAnsi="宋体"/>
                <w:sz w:val="21"/>
                <w:szCs w:val="21"/>
              </w:rPr>
              <w:t>电子函件：gdhlzb@163.com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708" w:type="dxa"/>
            <w:vAlign w:val="center"/>
          </w:tcPr>
          <w:p>
            <w:pPr>
              <w:spacing w:line="360" w:lineRule="auto"/>
              <w:jc w:val="center"/>
              <w:rPr>
                <w:rFonts w:ascii="宋体" w:hAnsi="宋体"/>
                <w:sz w:val="21"/>
                <w:szCs w:val="21"/>
              </w:rPr>
            </w:pPr>
            <w:r>
              <w:rPr>
                <w:rFonts w:ascii="宋体" w:hAnsi="宋体"/>
                <w:sz w:val="21"/>
                <w:szCs w:val="21"/>
              </w:rPr>
              <w:t>1.3</w:t>
            </w:r>
          </w:p>
        </w:tc>
        <w:tc>
          <w:tcPr>
            <w:tcW w:w="6988" w:type="dxa"/>
          </w:tcPr>
          <w:p>
            <w:pPr>
              <w:ind w:left="315" w:right="29" w:rightChars="12" w:hanging="315" w:hangingChars="150"/>
              <w:rPr>
                <w:rFonts w:ascii="宋体" w:hAnsi="宋体"/>
                <w:sz w:val="21"/>
                <w:szCs w:val="21"/>
              </w:rPr>
            </w:pPr>
            <w:r>
              <w:rPr>
                <w:rFonts w:ascii="宋体" w:hAnsi="宋体"/>
                <w:sz w:val="21"/>
                <w:szCs w:val="21"/>
              </w:rPr>
              <w:t>1）项目概况：本项目是</w:t>
            </w:r>
            <w:r>
              <w:rPr>
                <w:rFonts w:hint="eastAsia" w:ascii="宋体" w:hAnsi="宋体"/>
                <w:sz w:val="21"/>
                <w:szCs w:val="21"/>
              </w:rPr>
              <w:t>对超高效液相色谱仪、制备型高效液相色谱仪和带加热模块全自动温和组织处理器（自动组织处理器）等仪器</w:t>
            </w:r>
            <w:r>
              <w:rPr>
                <w:rFonts w:ascii="宋体" w:hAnsi="宋体"/>
                <w:sz w:val="21"/>
                <w:szCs w:val="21"/>
              </w:rPr>
              <w:t>进行</w:t>
            </w:r>
            <w:r>
              <w:rPr>
                <w:rFonts w:hint="eastAsia" w:ascii="宋体" w:hAnsi="宋体"/>
                <w:sz w:val="21"/>
                <w:szCs w:val="21"/>
              </w:rPr>
              <w:t>的</w:t>
            </w:r>
            <w:r>
              <w:rPr>
                <w:rFonts w:ascii="宋体" w:hAnsi="宋体"/>
                <w:sz w:val="21"/>
                <w:szCs w:val="21"/>
              </w:rPr>
              <w:t>国际公开招标</w:t>
            </w:r>
          </w:p>
          <w:p>
            <w:pPr>
              <w:ind w:right="29" w:rightChars="12"/>
              <w:rPr>
                <w:rFonts w:ascii="宋体" w:hAnsi="宋体"/>
                <w:sz w:val="21"/>
                <w:szCs w:val="21"/>
              </w:rPr>
            </w:pPr>
            <w:r>
              <w:rPr>
                <w:rFonts w:ascii="宋体" w:hAnsi="宋体"/>
                <w:sz w:val="21"/>
                <w:szCs w:val="21"/>
              </w:rPr>
              <w:t>2）资金性质：财政资金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00" w:hRule="atLeast"/>
        </w:trPr>
        <w:tc>
          <w:tcPr>
            <w:tcW w:w="8696" w:type="dxa"/>
            <w:gridSpan w:val="2"/>
            <w:vAlign w:val="center"/>
          </w:tcPr>
          <w:p>
            <w:pPr>
              <w:spacing w:line="360" w:lineRule="auto"/>
              <w:ind w:right="29" w:rightChars="12"/>
              <w:jc w:val="center"/>
              <w:rPr>
                <w:rFonts w:ascii="宋体" w:hAnsi="宋体"/>
                <w:sz w:val="21"/>
                <w:szCs w:val="21"/>
              </w:rPr>
            </w:pPr>
            <w:r>
              <w:rPr>
                <w:rFonts w:ascii="宋体" w:hAnsi="宋体"/>
                <w:kern w:val="2"/>
                <w:sz w:val="21"/>
                <w:szCs w:val="21"/>
              </w:rPr>
              <w:t>二、招标文件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708" w:type="dxa"/>
            <w:vAlign w:val="center"/>
          </w:tcPr>
          <w:p>
            <w:pPr>
              <w:jc w:val="center"/>
              <w:rPr>
                <w:rFonts w:ascii="宋体" w:hAnsi="宋体"/>
                <w:sz w:val="21"/>
                <w:szCs w:val="21"/>
              </w:rPr>
            </w:pPr>
            <w:r>
              <w:rPr>
                <w:rFonts w:ascii="宋体" w:hAnsi="宋体"/>
                <w:sz w:val="21"/>
                <w:szCs w:val="21"/>
              </w:rPr>
              <w:t>6.1</w:t>
            </w:r>
          </w:p>
        </w:tc>
        <w:tc>
          <w:tcPr>
            <w:tcW w:w="6988" w:type="dxa"/>
            <w:vAlign w:val="center"/>
          </w:tcPr>
          <w:p>
            <w:pPr>
              <w:ind w:right="29" w:rightChars="12"/>
              <w:rPr>
                <w:rFonts w:ascii="宋体" w:hAnsi="宋体"/>
                <w:sz w:val="21"/>
                <w:szCs w:val="21"/>
              </w:rPr>
            </w:pPr>
            <w:r>
              <w:rPr>
                <w:rFonts w:ascii="宋体" w:hAnsi="宋体"/>
                <w:sz w:val="21"/>
                <w:szCs w:val="21"/>
              </w:rPr>
              <w:t>招标文件的澄清和修改：</w:t>
            </w:r>
          </w:p>
          <w:p>
            <w:pPr>
              <w:ind w:right="29" w:rightChars="12"/>
              <w:rPr>
                <w:rFonts w:ascii="宋体" w:hAnsi="宋体"/>
                <w:sz w:val="21"/>
                <w:szCs w:val="21"/>
              </w:rPr>
            </w:pPr>
            <w:r>
              <w:rPr>
                <w:rFonts w:ascii="宋体" w:hAnsi="宋体"/>
                <w:sz w:val="21"/>
                <w:szCs w:val="21"/>
              </w:rPr>
              <w:t>投标人要求对招标文件（包括对招标文件修改的内容）进行澄清的，应当在投标截止时间</w:t>
            </w:r>
            <w:r>
              <w:rPr>
                <w:rFonts w:hint="eastAsia" w:ascii="宋体" w:hAnsi="宋体"/>
                <w:sz w:val="21"/>
                <w:szCs w:val="21"/>
              </w:rPr>
              <w:t xml:space="preserve"> 日</w:t>
            </w:r>
            <w:r>
              <w:rPr>
                <w:rFonts w:ascii="宋体" w:hAnsi="宋体"/>
                <w:sz w:val="21"/>
                <w:szCs w:val="21"/>
              </w:rPr>
              <w:t>前以书面形式提出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00" w:hRule="atLeast"/>
        </w:trPr>
        <w:tc>
          <w:tcPr>
            <w:tcW w:w="8696" w:type="dxa"/>
            <w:gridSpan w:val="2"/>
            <w:vAlign w:val="center"/>
          </w:tcPr>
          <w:p>
            <w:pPr>
              <w:jc w:val="center"/>
              <w:rPr>
                <w:rFonts w:ascii="宋体" w:hAnsi="宋体"/>
                <w:b/>
                <w:bCs/>
                <w:sz w:val="21"/>
                <w:szCs w:val="21"/>
              </w:rPr>
            </w:pPr>
            <w:r>
              <w:rPr>
                <w:rFonts w:ascii="宋体" w:hAnsi="宋体"/>
                <w:kern w:val="2"/>
                <w:sz w:val="21"/>
                <w:szCs w:val="21"/>
              </w:rPr>
              <w:t>三、投标文件的编制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708" w:type="dxa"/>
            <w:vAlign w:val="center"/>
          </w:tcPr>
          <w:p>
            <w:pPr>
              <w:jc w:val="center"/>
              <w:rPr>
                <w:rFonts w:ascii="宋体" w:hAnsi="宋体"/>
                <w:sz w:val="21"/>
                <w:szCs w:val="21"/>
              </w:rPr>
            </w:pPr>
            <w:r>
              <w:rPr>
                <w:rFonts w:ascii="宋体" w:hAnsi="宋体"/>
                <w:sz w:val="21"/>
                <w:szCs w:val="21"/>
              </w:rPr>
              <w:t>8</w:t>
            </w:r>
          </w:p>
        </w:tc>
        <w:tc>
          <w:tcPr>
            <w:tcW w:w="6988" w:type="dxa"/>
          </w:tcPr>
          <w:p>
            <w:pPr>
              <w:ind w:right="29" w:rightChars="12"/>
              <w:rPr>
                <w:rFonts w:ascii="宋体" w:hAnsi="宋体"/>
                <w:sz w:val="21"/>
                <w:szCs w:val="21"/>
              </w:rPr>
            </w:pPr>
            <w:r>
              <w:rPr>
                <w:rFonts w:ascii="宋体" w:hAnsi="宋体"/>
                <w:sz w:val="21"/>
                <w:szCs w:val="21"/>
              </w:rPr>
              <w:t>投标的语言：中文，或中文和英文（英文内容应提供中文译本，如有冲突，以中文为准）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708" w:type="dxa"/>
            <w:vAlign w:val="center"/>
          </w:tcPr>
          <w:p>
            <w:pPr>
              <w:jc w:val="center"/>
              <w:rPr>
                <w:rFonts w:ascii="宋体" w:hAnsi="宋体"/>
                <w:sz w:val="21"/>
                <w:szCs w:val="21"/>
              </w:rPr>
            </w:pPr>
            <w:r>
              <w:rPr>
                <w:rFonts w:ascii="宋体" w:hAnsi="宋体"/>
                <w:sz w:val="21"/>
                <w:szCs w:val="21"/>
              </w:rPr>
              <w:t>11.2</w:t>
            </w:r>
          </w:p>
        </w:tc>
        <w:tc>
          <w:tcPr>
            <w:tcW w:w="6988" w:type="dxa"/>
            <w:vAlign w:val="center"/>
          </w:tcPr>
          <w:p>
            <w:pPr>
              <w:ind w:right="29" w:rightChars="12"/>
              <w:jc w:val="both"/>
              <w:rPr>
                <w:rFonts w:ascii="宋体" w:hAnsi="宋体"/>
                <w:sz w:val="21"/>
                <w:szCs w:val="21"/>
              </w:rPr>
            </w:pPr>
            <w:r>
              <w:rPr>
                <w:rFonts w:ascii="宋体" w:hAnsi="宋体"/>
                <w:sz w:val="21"/>
                <w:szCs w:val="21"/>
              </w:rPr>
              <w:t>本项目不允许在投标报价中出现缺漏项，如有缺漏项，将视为实质性偏离招标文件要求，投标将被否决。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708" w:type="dxa"/>
            <w:vAlign w:val="center"/>
          </w:tcPr>
          <w:p>
            <w:pPr>
              <w:jc w:val="center"/>
              <w:rPr>
                <w:rFonts w:ascii="宋体" w:hAnsi="宋体"/>
                <w:b/>
                <w:bCs/>
                <w:sz w:val="21"/>
                <w:szCs w:val="21"/>
              </w:rPr>
            </w:pPr>
            <w:r>
              <w:rPr>
                <w:rFonts w:ascii="宋体" w:hAnsi="宋体"/>
                <w:b/>
                <w:bCs/>
                <w:sz w:val="21"/>
                <w:szCs w:val="21"/>
              </w:rPr>
              <w:t>11.5</w:t>
            </w:r>
          </w:p>
        </w:tc>
        <w:tc>
          <w:tcPr>
            <w:tcW w:w="6988" w:type="dxa"/>
            <w:vAlign w:val="center"/>
          </w:tcPr>
          <w:p>
            <w:pPr>
              <w:ind w:right="29" w:rightChars="12"/>
              <w:jc w:val="both"/>
              <w:rPr>
                <w:rFonts w:ascii="宋体" w:hAnsi="宋体"/>
                <w:b/>
                <w:bCs/>
                <w:sz w:val="21"/>
                <w:szCs w:val="21"/>
              </w:rPr>
            </w:pPr>
            <w:r>
              <w:rPr>
                <w:rFonts w:ascii="宋体" w:hAnsi="宋体"/>
                <w:b/>
                <w:bCs/>
                <w:sz w:val="21"/>
                <w:szCs w:val="21"/>
                <w:u w:val="single"/>
              </w:rPr>
              <w:t>本项目的财政预算为：（按开标当日中国银行总行首次发布的投标货币对评标货币的现汇卖出价折算）</w:t>
            </w:r>
          </w:p>
          <w:p>
            <w:pPr>
              <w:ind w:right="29" w:rightChars="12"/>
              <w:jc w:val="both"/>
              <w:rPr>
                <w:rFonts w:ascii="宋体" w:hAnsi="宋体"/>
                <w:b/>
                <w:bCs/>
                <w:color w:val="000000" w:themeColor="text1"/>
                <w:sz w:val="21"/>
                <w:szCs w:val="21"/>
              </w:rPr>
            </w:pPr>
            <w:r>
              <w:rPr>
                <w:rFonts w:hint="eastAsia" w:ascii="宋体" w:hAnsi="宋体"/>
                <w:b/>
                <w:bCs/>
                <w:color w:val="000000" w:themeColor="text1"/>
                <w:sz w:val="21"/>
                <w:szCs w:val="21"/>
              </w:rPr>
              <w:t>总预算：194.2万元人民币（其中子包一预算金额为100万元；子包二预算金额为94.2万元）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708" w:type="dxa"/>
            <w:vAlign w:val="center"/>
          </w:tcPr>
          <w:p>
            <w:pPr>
              <w:jc w:val="center"/>
              <w:rPr>
                <w:rFonts w:ascii="宋体" w:hAnsi="宋体"/>
                <w:sz w:val="21"/>
                <w:szCs w:val="21"/>
              </w:rPr>
            </w:pPr>
            <w:r>
              <w:rPr>
                <w:rFonts w:ascii="宋体" w:hAnsi="宋体"/>
                <w:sz w:val="21"/>
                <w:szCs w:val="21"/>
              </w:rPr>
              <w:t>11.6.1</w:t>
            </w:r>
          </w:p>
        </w:tc>
        <w:tc>
          <w:tcPr>
            <w:tcW w:w="6988" w:type="dxa"/>
          </w:tcPr>
          <w:p>
            <w:pPr>
              <w:spacing w:line="360" w:lineRule="exact"/>
              <w:ind w:right="29" w:rightChars="12"/>
              <w:rPr>
                <w:rFonts w:ascii="宋体" w:hAnsi="宋体"/>
                <w:sz w:val="21"/>
                <w:szCs w:val="21"/>
              </w:rPr>
            </w:pPr>
            <w:r>
              <w:rPr>
                <w:rFonts w:ascii="宋体" w:hAnsi="宋体"/>
                <w:sz w:val="21"/>
                <w:szCs w:val="21"/>
              </w:rPr>
              <w:t>从中华人民共和国关境内提供的货物的报价方式：</w:t>
            </w:r>
          </w:p>
          <w:p>
            <w:pPr>
              <w:ind w:left="316" w:right="29" w:rightChars="12" w:hanging="316" w:hangingChars="150"/>
              <w:rPr>
                <w:rFonts w:ascii="宋体" w:hAnsi="宋体"/>
                <w:b/>
                <w:bCs/>
                <w:sz w:val="21"/>
                <w:szCs w:val="21"/>
              </w:rPr>
            </w:pPr>
            <w:r>
              <w:rPr>
                <w:rFonts w:ascii="宋体" w:hAnsi="宋体"/>
                <w:b/>
                <w:bCs/>
                <w:sz w:val="21"/>
                <w:szCs w:val="21"/>
              </w:rPr>
              <w:t>（1）关境内制造的货物：</w:t>
            </w:r>
          </w:p>
          <w:p>
            <w:pPr>
              <w:ind w:left="315" w:right="29" w:rightChars="12" w:hanging="315" w:hangingChars="150"/>
              <w:rPr>
                <w:rFonts w:ascii="宋体" w:hAnsi="宋体"/>
                <w:sz w:val="21"/>
                <w:szCs w:val="21"/>
              </w:rPr>
            </w:pPr>
            <w:r>
              <w:rPr>
                <w:rFonts w:ascii="宋体" w:hAnsi="宋体"/>
                <w:sz w:val="21"/>
                <w:szCs w:val="21"/>
              </w:rPr>
              <w:t>投标总价＝EXW价</w:t>
            </w:r>
          </w:p>
          <w:p>
            <w:pPr>
              <w:ind w:left="315" w:right="29" w:rightChars="12" w:hanging="315" w:hangingChars="150"/>
              <w:rPr>
                <w:rFonts w:ascii="宋体" w:hAnsi="宋体"/>
                <w:sz w:val="21"/>
                <w:szCs w:val="21"/>
              </w:rPr>
            </w:pPr>
            <w:r>
              <w:rPr>
                <w:rFonts w:ascii="宋体" w:hAnsi="宋体"/>
                <w:sz w:val="21"/>
                <w:szCs w:val="21"/>
              </w:rPr>
              <w:t>投标总价包括：</w:t>
            </w:r>
          </w:p>
          <w:p>
            <w:pPr>
              <w:ind w:left="315" w:right="29" w:rightChars="12" w:hanging="315" w:hangingChars="150"/>
              <w:rPr>
                <w:rFonts w:ascii="宋体" w:hAnsi="宋体"/>
                <w:sz w:val="21"/>
                <w:szCs w:val="21"/>
              </w:rPr>
            </w:pPr>
            <w:r>
              <w:rPr>
                <w:rFonts w:ascii="宋体" w:hAnsi="宋体"/>
                <w:sz w:val="21"/>
                <w:szCs w:val="21"/>
              </w:rPr>
              <w:t>1）向中华人民共和国政府缴纳的增值税和其他税；</w:t>
            </w:r>
          </w:p>
          <w:p>
            <w:pPr>
              <w:ind w:left="315" w:right="29" w:rightChars="12" w:hanging="315" w:hangingChars="150"/>
              <w:rPr>
                <w:rFonts w:ascii="宋体" w:hAnsi="宋体"/>
                <w:sz w:val="21"/>
                <w:szCs w:val="21"/>
              </w:rPr>
            </w:pPr>
            <w:r>
              <w:rPr>
                <w:rFonts w:ascii="宋体" w:hAnsi="宋体"/>
                <w:sz w:val="21"/>
                <w:szCs w:val="21"/>
              </w:rPr>
              <w:t>2）货物在制造或组装时使用的部件和原材料是从关境外进口的已交纳或应交纳的全部关税、增值税和其他税；</w:t>
            </w:r>
          </w:p>
          <w:p>
            <w:pPr>
              <w:ind w:left="315" w:right="29" w:rightChars="12" w:hanging="315" w:hangingChars="150"/>
              <w:rPr>
                <w:rFonts w:ascii="宋体" w:hAnsi="宋体"/>
                <w:sz w:val="21"/>
                <w:szCs w:val="21"/>
              </w:rPr>
            </w:pPr>
            <w:r>
              <w:rPr>
                <w:rFonts w:ascii="宋体" w:hAnsi="宋体"/>
                <w:sz w:val="21"/>
                <w:szCs w:val="21"/>
              </w:rPr>
              <w:t>3）货到项目现场价（买方指定到货地点），包括货物运至最终目的地的关境内运输、保险和伴随货物交运的有关费用；</w:t>
            </w:r>
          </w:p>
          <w:p>
            <w:pPr>
              <w:ind w:left="315" w:right="29" w:rightChars="12" w:hanging="315" w:hangingChars="150"/>
              <w:rPr>
                <w:rFonts w:ascii="宋体" w:hAnsi="宋体"/>
                <w:sz w:val="21"/>
                <w:szCs w:val="21"/>
              </w:rPr>
            </w:pPr>
            <w:r>
              <w:rPr>
                <w:rFonts w:ascii="宋体" w:hAnsi="宋体"/>
                <w:sz w:val="21"/>
                <w:szCs w:val="21"/>
              </w:rPr>
              <w:t>4）验收费、到达安装地点的保险费、安装费、调试费、培训费、技术服务费等。</w:t>
            </w:r>
          </w:p>
          <w:p>
            <w:pPr>
              <w:ind w:left="316" w:right="29" w:rightChars="12" w:hanging="316" w:hangingChars="150"/>
              <w:rPr>
                <w:rFonts w:ascii="宋体" w:hAnsi="宋体"/>
                <w:b/>
                <w:bCs/>
                <w:sz w:val="21"/>
                <w:szCs w:val="21"/>
              </w:rPr>
            </w:pPr>
            <w:r>
              <w:rPr>
                <w:rFonts w:ascii="宋体" w:hAnsi="宋体"/>
                <w:b/>
                <w:bCs/>
                <w:sz w:val="21"/>
                <w:szCs w:val="21"/>
              </w:rPr>
              <w:t>（2）投标截止时间前已经进口的货物：</w:t>
            </w:r>
          </w:p>
          <w:p>
            <w:pPr>
              <w:ind w:left="315" w:right="29" w:rightChars="12" w:hanging="315" w:hangingChars="150"/>
              <w:rPr>
                <w:rFonts w:ascii="宋体" w:hAnsi="宋体"/>
                <w:sz w:val="21"/>
                <w:szCs w:val="21"/>
              </w:rPr>
            </w:pPr>
            <w:r>
              <w:rPr>
                <w:rFonts w:ascii="宋体" w:hAnsi="宋体"/>
                <w:sz w:val="21"/>
                <w:szCs w:val="21"/>
              </w:rPr>
              <w:t>投标总价包括：</w:t>
            </w:r>
          </w:p>
          <w:p>
            <w:pPr>
              <w:ind w:left="315" w:right="29" w:rightChars="12" w:hanging="315" w:hangingChars="150"/>
              <w:rPr>
                <w:rFonts w:ascii="宋体" w:hAnsi="宋体"/>
                <w:sz w:val="21"/>
                <w:szCs w:val="21"/>
              </w:rPr>
            </w:pPr>
            <w:r>
              <w:rPr>
                <w:rFonts w:ascii="宋体" w:hAnsi="宋体"/>
                <w:sz w:val="21"/>
                <w:szCs w:val="21"/>
              </w:rPr>
              <w:t>1）向中华人民共和国政府缴纳的增值税和其他税；</w:t>
            </w:r>
          </w:p>
          <w:p>
            <w:pPr>
              <w:ind w:left="315" w:right="29" w:rightChars="12" w:hanging="315" w:hangingChars="150"/>
              <w:rPr>
                <w:rFonts w:ascii="宋体" w:hAnsi="宋体"/>
                <w:sz w:val="21"/>
                <w:szCs w:val="21"/>
              </w:rPr>
            </w:pPr>
            <w:r>
              <w:rPr>
                <w:rFonts w:ascii="宋体" w:hAnsi="宋体"/>
                <w:sz w:val="21"/>
                <w:szCs w:val="21"/>
              </w:rPr>
              <w:t>2）货物在从关境外进口时已交纳或应交纳的全部关税、增值税和其他税；</w:t>
            </w:r>
          </w:p>
          <w:p>
            <w:pPr>
              <w:ind w:left="315" w:right="29" w:rightChars="12" w:hanging="315" w:hangingChars="150"/>
              <w:rPr>
                <w:rFonts w:ascii="宋体" w:hAnsi="宋体"/>
                <w:sz w:val="21"/>
                <w:szCs w:val="21"/>
              </w:rPr>
            </w:pPr>
            <w:r>
              <w:rPr>
                <w:rFonts w:ascii="宋体" w:hAnsi="宋体"/>
                <w:sz w:val="21"/>
                <w:szCs w:val="21"/>
              </w:rPr>
              <w:t>3）货到项目现场价（买方指定到货地点），包括货物运至最终目的地的关境内运输、保险和伴随货物交运的有关费用；</w:t>
            </w:r>
          </w:p>
          <w:p>
            <w:pPr>
              <w:ind w:left="315" w:right="29" w:rightChars="12" w:hanging="315" w:hangingChars="150"/>
              <w:rPr>
                <w:rFonts w:ascii="宋体" w:hAnsi="宋体"/>
                <w:sz w:val="21"/>
                <w:szCs w:val="21"/>
              </w:rPr>
            </w:pPr>
            <w:r>
              <w:rPr>
                <w:rFonts w:ascii="宋体" w:hAnsi="宋体"/>
                <w:sz w:val="21"/>
                <w:szCs w:val="21"/>
              </w:rPr>
              <w:t>4）验收费、到达安装地点的保险费、安装费、调试费、培训费、技术服务费等。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11" w:hRule="atLeast"/>
        </w:trPr>
        <w:tc>
          <w:tcPr>
            <w:tcW w:w="1708" w:type="dxa"/>
            <w:vAlign w:val="center"/>
          </w:tcPr>
          <w:p>
            <w:pPr>
              <w:jc w:val="center"/>
              <w:rPr>
                <w:rFonts w:ascii="宋体" w:hAnsi="宋体"/>
                <w:sz w:val="21"/>
                <w:szCs w:val="21"/>
              </w:rPr>
            </w:pPr>
            <w:r>
              <w:rPr>
                <w:rFonts w:ascii="宋体" w:hAnsi="宋体"/>
                <w:sz w:val="21"/>
                <w:szCs w:val="21"/>
              </w:rPr>
              <w:t>11.6.2</w:t>
            </w:r>
          </w:p>
        </w:tc>
        <w:tc>
          <w:tcPr>
            <w:tcW w:w="6988" w:type="dxa"/>
            <w:vAlign w:val="center"/>
          </w:tcPr>
          <w:p>
            <w:pPr>
              <w:spacing w:line="300" w:lineRule="auto"/>
              <w:ind w:right="29" w:rightChars="12"/>
              <w:rPr>
                <w:rFonts w:ascii="宋体" w:hAnsi="宋体"/>
                <w:sz w:val="21"/>
                <w:szCs w:val="21"/>
              </w:rPr>
            </w:pPr>
            <w:r>
              <w:rPr>
                <w:rFonts w:ascii="宋体" w:hAnsi="宋体"/>
                <w:sz w:val="21"/>
                <w:szCs w:val="21"/>
              </w:rPr>
              <w:t>从中华人民共和国关境外提供的货物的报价方式：</w:t>
            </w:r>
          </w:p>
          <w:p>
            <w:pPr>
              <w:spacing w:line="300" w:lineRule="auto"/>
              <w:ind w:right="29" w:rightChars="12"/>
              <w:rPr>
                <w:rFonts w:ascii="宋体" w:hAnsi="宋体"/>
                <w:sz w:val="21"/>
                <w:szCs w:val="21"/>
              </w:rPr>
            </w:pPr>
            <w:r>
              <w:rPr>
                <w:rFonts w:ascii="宋体" w:hAnsi="宋体"/>
                <w:sz w:val="21"/>
                <w:szCs w:val="21"/>
              </w:rPr>
              <w:t>投标总价＝CIP价（广州用户指定交货地点）</w:t>
            </w:r>
          </w:p>
          <w:p>
            <w:pPr>
              <w:spacing w:line="300" w:lineRule="auto"/>
              <w:ind w:right="29" w:rightChars="12"/>
              <w:rPr>
                <w:rFonts w:ascii="宋体" w:hAnsi="宋体"/>
                <w:sz w:val="21"/>
                <w:szCs w:val="21"/>
              </w:rPr>
            </w:pPr>
            <w:r>
              <w:rPr>
                <w:rFonts w:ascii="宋体" w:hAnsi="宋体"/>
                <w:sz w:val="21"/>
                <w:szCs w:val="21"/>
              </w:rPr>
              <w:t>投标总价包括：</w:t>
            </w:r>
          </w:p>
          <w:p>
            <w:pPr>
              <w:spacing w:line="300" w:lineRule="auto"/>
              <w:ind w:right="29" w:rightChars="12"/>
              <w:rPr>
                <w:rFonts w:ascii="宋体" w:hAnsi="宋体"/>
                <w:sz w:val="21"/>
                <w:szCs w:val="21"/>
              </w:rPr>
            </w:pPr>
            <w:r>
              <w:rPr>
                <w:rFonts w:ascii="宋体" w:hAnsi="宋体"/>
                <w:sz w:val="21"/>
                <w:szCs w:val="21"/>
              </w:rPr>
              <w:t>1）</w:t>
            </w:r>
            <w:r>
              <w:rPr>
                <w:rFonts w:ascii="宋体" w:hAnsi="宋体"/>
                <w:sz w:val="21"/>
                <w:szCs w:val="21"/>
              </w:rPr>
              <w:tab/>
            </w:r>
            <w:r>
              <w:rPr>
                <w:rFonts w:ascii="宋体" w:hAnsi="宋体"/>
                <w:sz w:val="21"/>
                <w:szCs w:val="21"/>
              </w:rPr>
              <w:t>招标范围内所有设备及配件费；</w:t>
            </w:r>
          </w:p>
          <w:p>
            <w:pPr>
              <w:spacing w:line="300" w:lineRule="auto"/>
              <w:ind w:right="29" w:rightChars="12"/>
              <w:rPr>
                <w:rFonts w:ascii="宋体" w:hAnsi="宋体"/>
                <w:sz w:val="21"/>
                <w:szCs w:val="21"/>
              </w:rPr>
            </w:pPr>
            <w:r>
              <w:rPr>
                <w:rFonts w:ascii="宋体" w:hAnsi="宋体"/>
                <w:sz w:val="21"/>
                <w:szCs w:val="21"/>
              </w:rPr>
              <w:t>2）</w:t>
            </w:r>
            <w:r>
              <w:rPr>
                <w:rFonts w:ascii="宋体" w:hAnsi="宋体"/>
                <w:sz w:val="21"/>
                <w:szCs w:val="21"/>
              </w:rPr>
              <w:tab/>
            </w:r>
            <w:r>
              <w:rPr>
                <w:rFonts w:ascii="宋体" w:hAnsi="宋体"/>
                <w:sz w:val="21"/>
                <w:szCs w:val="21"/>
              </w:rPr>
              <w:t>安装调试费；</w:t>
            </w:r>
          </w:p>
          <w:p>
            <w:pPr>
              <w:spacing w:line="300" w:lineRule="auto"/>
              <w:ind w:right="29" w:rightChars="12"/>
              <w:rPr>
                <w:rFonts w:ascii="宋体" w:hAnsi="宋体"/>
                <w:sz w:val="21"/>
                <w:szCs w:val="21"/>
              </w:rPr>
            </w:pPr>
            <w:r>
              <w:rPr>
                <w:rFonts w:ascii="宋体" w:hAnsi="宋体"/>
                <w:sz w:val="21"/>
                <w:szCs w:val="21"/>
              </w:rPr>
              <w:t>3）</w:t>
            </w:r>
            <w:r>
              <w:rPr>
                <w:rFonts w:ascii="宋体" w:hAnsi="宋体"/>
                <w:sz w:val="21"/>
                <w:szCs w:val="21"/>
              </w:rPr>
              <w:tab/>
            </w:r>
            <w:r>
              <w:rPr>
                <w:rFonts w:ascii="宋体" w:hAnsi="宋体"/>
                <w:sz w:val="21"/>
                <w:szCs w:val="21"/>
              </w:rPr>
              <w:t>安装调试中的相关费用（包括安装调试过程中损耗、额外材料、设计费等）；</w:t>
            </w:r>
          </w:p>
          <w:p>
            <w:pPr>
              <w:spacing w:line="300" w:lineRule="auto"/>
              <w:ind w:right="29" w:rightChars="12"/>
              <w:rPr>
                <w:rFonts w:ascii="宋体" w:hAnsi="宋体"/>
                <w:sz w:val="21"/>
                <w:szCs w:val="21"/>
              </w:rPr>
            </w:pPr>
            <w:r>
              <w:rPr>
                <w:rFonts w:ascii="宋体" w:hAnsi="宋体"/>
                <w:sz w:val="21"/>
                <w:szCs w:val="21"/>
              </w:rPr>
              <w:t>4）</w:t>
            </w:r>
            <w:r>
              <w:rPr>
                <w:rFonts w:ascii="宋体" w:hAnsi="宋体"/>
                <w:sz w:val="21"/>
                <w:szCs w:val="21"/>
              </w:rPr>
              <w:tab/>
            </w:r>
            <w:r>
              <w:rPr>
                <w:rFonts w:ascii="宋体" w:hAnsi="宋体"/>
                <w:sz w:val="21"/>
                <w:szCs w:val="21"/>
              </w:rPr>
              <w:t>外贸进口有关的一切费用（如外贸公司代理费用、清关费用、银行手续费、海关监管手续费、报关费用、商检费用、申办机电批文费用、机场码头费等）。</w:t>
            </w:r>
          </w:p>
          <w:p>
            <w:pPr>
              <w:spacing w:line="300" w:lineRule="auto"/>
              <w:ind w:right="29" w:rightChars="12"/>
              <w:rPr>
                <w:rFonts w:ascii="宋体" w:hAnsi="宋体"/>
                <w:sz w:val="21"/>
                <w:szCs w:val="21"/>
              </w:rPr>
            </w:pPr>
            <w:r>
              <w:rPr>
                <w:rFonts w:ascii="宋体" w:hAnsi="宋体"/>
                <w:sz w:val="21"/>
                <w:szCs w:val="21"/>
              </w:rPr>
              <w:t>5）</w:t>
            </w:r>
            <w:r>
              <w:rPr>
                <w:rFonts w:ascii="宋体" w:hAnsi="宋体"/>
                <w:sz w:val="21"/>
                <w:szCs w:val="21"/>
              </w:rPr>
              <w:tab/>
            </w:r>
            <w:r>
              <w:rPr>
                <w:rFonts w:ascii="宋体" w:hAnsi="宋体"/>
                <w:sz w:val="21"/>
                <w:szCs w:val="21"/>
              </w:rPr>
              <w:t>本项目外贸进口代理公司由最终用户指定。</w:t>
            </w:r>
          </w:p>
          <w:p>
            <w:pPr>
              <w:spacing w:line="300" w:lineRule="auto"/>
              <w:ind w:right="29" w:rightChars="12"/>
              <w:rPr>
                <w:rFonts w:ascii="宋体" w:hAnsi="宋体"/>
                <w:sz w:val="21"/>
                <w:szCs w:val="21"/>
              </w:rPr>
            </w:pPr>
            <w:r>
              <w:rPr>
                <w:rFonts w:ascii="宋体" w:hAnsi="宋体"/>
                <w:sz w:val="21"/>
                <w:szCs w:val="21"/>
              </w:rPr>
              <w:t>6）</w:t>
            </w:r>
            <w:r>
              <w:rPr>
                <w:rFonts w:ascii="宋体" w:hAnsi="宋体"/>
                <w:sz w:val="21"/>
                <w:szCs w:val="21"/>
              </w:rPr>
              <w:tab/>
            </w:r>
            <w:r>
              <w:rPr>
                <w:rFonts w:ascii="宋体" w:hAnsi="宋体"/>
                <w:sz w:val="21"/>
                <w:szCs w:val="21"/>
              </w:rPr>
              <w:t>外贸代理费以开标当天中国银行总行首次发布的人民币汇率现汇卖出价折算为人民币后的投标金额计算，费率为投标总价的1.5%，其他费用按实际发生金额支付给外贸代理公司。</w:t>
            </w:r>
          </w:p>
          <w:p>
            <w:pPr>
              <w:spacing w:line="300" w:lineRule="auto"/>
              <w:ind w:right="29" w:rightChars="12"/>
              <w:rPr>
                <w:rFonts w:ascii="宋体" w:hAnsi="宋体"/>
                <w:b/>
                <w:bCs/>
                <w:sz w:val="21"/>
                <w:szCs w:val="21"/>
              </w:rPr>
            </w:pPr>
            <w:r>
              <w:rPr>
                <w:rFonts w:ascii="宋体" w:hAnsi="宋体"/>
                <w:b/>
                <w:bCs/>
                <w:sz w:val="21"/>
                <w:szCs w:val="21"/>
              </w:rPr>
              <w:t>7）</w:t>
            </w:r>
            <w:r>
              <w:rPr>
                <w:rFonts w:ascii="宋体" w:hAnsi="宋体"/>
                <w:b/>
                <w:bCs/>
                <w:sz w:val="21"/>
                <w:szCs w:val="21"/>
              </w:rPr>
              <w:tab/>
            </w:r>
            <w:r>
              <w:rPr>
                <w:rFonts w:ascii="宋体" w:hAnsi="宋体"/>
                <w:b/>
                <w:bCs/>
                <w:sz w:val="21"/>
                <w:szCs w:val="21"/>
              </w:rPr>
              <w:t>采购单位为教育部门，享受海关的进口科教用品免税优惠政策，投标人可报设备免税价。（海关规定不能免税的设备除外）</w:t>
            </w:r>
          </w:p>
          <w:p>
            <w:pPr>
              <w:spacing w:line="300" w:lineRule="auto"/>
              <w:ind w:right="29" w:rightChars="12"/>
              <w:rPr>
                <w:rFonts w:ascii="宋体" w:hAnsi="宋体"/>
                <w:sz w:val="21"/>
                <w:szCs w:val="21"/>
              </w:rPr>
            </w:pPr>
            <w:r>
              <w:rPr>
                <w:rFonts w:ascii="宋体" w:hAnsi="宋体"/>
                <w:sz w:val="21"/>
                <w:szCs w:val="21"/>
              </w:rPr>
              <w:t>8）</w:t>
            </w:r>
            <w:r>
              <w:rPr>
                <w:rFonts w:ascii="宋体" w:hAnsi="宋体"/>
                <w:sz w:val="21"/>
                <w:szCs w:val="21"/>
              </w:rPr>
              <w:tab/>
            </w:r>
            <w:r>
              <w:rPr>
                <w:rFonts w:ascii="宋体" w:hAnsi="宋体"/>
                <w:sz w:val="21"/>
                <w:szCs w:val="21"/>
              </w:rPr>
              <w:t>货物从进口口岸运至最终目的地的关境内运输、保险和其他当地发生的伴随货物交运的有关费用。</w:t>
            </w:r>
          </w:p>
          <w:p>
            <w:pPr>
              <w:spacing w:line="300" w:lineRule="auto"/>
              <w:ind w:right="29" w:rightChars="12"/>
              <w:rPr>
                <w:rFonts w:ascii="宋体" w:hAnsi="宋体"/>
                <w:sz w:val="21"/>
                <w:szCs w:val="21"/>
              </w:rPr>
            </w:pPr>
            <w:r>
              <w:rPr>
                <w:rFonts w:ascii="宋体" w:hAnsi="宋体"/>
                <w:sz w:val="21"/>
                <w:szCs w:val="21"/>
              </w:rPr>
              <w:t>9）</w:t>
            </w:r>
            <w:r>
              <w:rPr>
                <w:rFonts w:ascii="宋体" w:hAnsi="宋体"/>
                <w:sz w:val="21"/>
                <w:szCs w:val="21"/>
              </w:rPr>
              <w:tab/>
            </w:r>
            <w:r>
              <w:rPr>
                <w:rFonts w:ascii="宋体" w:hAnsi="宋体"/>
                <w:sz w:val="21"/>
                <w:szCs w:val="21"/>
              </w:rPr>
              <w:t>按照招标文件第八章《货物需求一览表、技术规格及售后服务要求》中要求的人员培训和售后服务等的相关费用。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708" w:type="dxa"/>
            <w:vAlign w:val="center"/>
          </w:tcPr>
          <w:p>
            <w:pPr>
              <w:jc w:val="center"/>
              <w:rPr>
                <w:rFonts w:ascii="宋体" w:hAnsi="宋体"/>
                <w:sz w:val="21"/>
                <w:szCs w:val="21"/>
              </w:rPr>
            </w:pPr>
            <w:r>
              <w:rPr>
                <w:rFonts w:ascii="宋体" w:hAnsi="宋体"/>
                <w:sz w:val="21"/>
                <w:szCs w:val="21"/>
              </w:rPr>
              <w:t>12.1</w:t>
            </w:r>
          </w:p>
        </w:tc>
        <w:tc>
          <w:tcPr>
            <w:tcW w:w="6988" w:type="dxa"/>
            <w:vAlign w:val="center"/>
          </w:tcPr>
          <w:p>
            <w:pPr>
              <w:rPr>
                <w:rFonts w:ascii="宋体" w:hAnsi="宋体"/>
                <w:sz w:val="21"/>
                <w:szCs w:val="21"/>
              </w:rPr>
            </w:pPr>
            <w:r>
              <w:rPr>
                <w:rFonts w:ascii="宋体" w:hAnsi="宋体"/>
                <w:sz w:val="21"/>
                <w:szCs w:val="21"/>
              </w:rPr>
              <w:t>从中华人民共和国关境内提供的货物和服务：</w:t>
            </w:r>
          </w:p>
          <w:p>
            <w:pPr>
              <w:rPr>
                <w:rFonts w:ascii="宋体" w:hAnsi="宋体"/>
                <w:sz w:val="21"/>
                <w:szCs w:val="21"/>
              </w:rPr>
            </w:pPr>
            <w:r>
              <w:rPr>
                <w:rFonts w:ascii="宋体" w:hAnsi="宋体"/>
                <w:sz w:val="21"/>
                <w:szCs w:val="21"/>
              </w:rPr>
              <w:t>投标货币：人民币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7" w:hRule="atLeast"/>
        </w:trPr>
        <w:tc>
          <w:tcPr>
            <w:tcW w:w="1708" w:type="dxa"/>
            <w:vAlign w:val="center"/>
          </w:tcPr>
          <w:p>
            <w:pPr>
              <w:jc w:val="center"/>
              <w:rPr>
                <w:rFonts w:ascii="宋体" w:hAnsi="宋体"/>
                <w:sz w:val="21"/>
                <w:szCs w:val="21"/>
              </w:rPr>
            </w:pPr>
            <w:r>
              <w:rPr>
                <w:rFonts w:ascii="宋体" w:hAnsi="宋体"/>
                <w:sz w:val="21"/>
                <w:szCs w:val="21"/>
              </w:rPr>
              <w:t>12.2</w:t>
            </w:r>
          </w:p>
        </w:tc>
        <w:tc>
          <w:tcPr>
            <w:tcW w:w="6988" w:type="dxa"/>
            <w:vAlign w:val="center"/>
          </w:tcPr>
          <w:p>
            <w:pPr>
              <w:rPr>
                <w:rFonts w:ascii="宋体" w:hAnsi="宋体"/>
                <w:sz w:val="21"/>
                <w:szCs w:val="21"/>
              </w:rPr>
            </w:pPr>
            <w:r>
              <w:rPr>
                <w:rFonts w:ascii="宋体" w:hAnsi="宋体"/>
                <w:sz w:val="21"/>
                <w:szCs w:val="21"/>
              </w:rPr>
              <w:t>从中华人民共和国关境外提供的货物和服务：</w:t>
            </w:r>
          </w:p>
          <w:p>
            <w:pPr>
              <w:rPr>
                <w:rFonts w:ascii="宋体" w:hAnsi="宋体"/>
                <w:sz w:val="21"/>
                <w:szCs w:val="21"/>
              </w:rPr>
            </w:pPr>
            <w:r>
              <w:rPr>
                <w:rFonts w:ascii="宋体" w:hAnsi="宋体"/>
                <w:sz w:val="21"/>
                <w:szCs w:val="21"/>
              </w:rPr>
              <w:t>投标货币：人民币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708" w:type="dxa"/>
            <w:vAlign w:val="center"/>
          </w:tcPr>
          <w:p>
            <w:pPr>
              <w:jc w:val="center"/>
              <w:rPr>
                <w:rFonts w:ascii="宋体" w:hAnsi="宋体"/>
                <w:sz w:val="21"/>
                <w:szCs w:val="21"/>
              </w:rPr>
            </w:pPr>
            <w:r>
              <w:rPr>
                <w:rFonts w:ascii="宋体" w:hAnsi="宋体"/>
                <w:sz w:val="21"/>
                <w:szCs w:val="21"/>
              </w:rPr>
              <w:t>13.1</w:t>
            </w:r>
          </w:p>
        </w:tc>
        <w:tc>
          <w:tcPr>
            <w:tcW w:w="6988" w:type="dxa"/>
            <w:vAlign w:val="center"/>
          </w:tcPr>
          <w:p>
            <w:pPr>
              <w:rPr>
                <w:rFonts w:ascii="宋体" w:hAnsi="宋体"/>
                <w:sz w:val="21"/>
                <w:szCs w:val="21"/>
              </w:rPr>
            </w:pPr>
            <w:r>
              <w:rPr>
                <w:rFonts w:ascii="宋体" w:hAnsi="宋体"/>
                <w:sz w:val="21"/>
                <w:szCs w:val="21"/>
              </w:rPr>
              <w:t>本项目不接受联合体投标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708" w:type="dxa"/>
            <w:vAlign w:val="center"/>
          </w:tcPr>
          <w:p>
            <w:pPr>
              <w:jc w:val="center"/>
              <w:rPr>
                <w:rFonts w:ascii="宋体" w:hAnsi="宋体"/>
                <w:sz w:val="21"/>
                <w:szCs w:val="21"/>
              </w:rPr>
            </w:pPr>
            <w:r>
              <w:rPr>
                <w:rFonts w:ascii="宋体" w:hAnsi="宋体"/>
                <w:sz w:val="21"/>
                <w:szCs w:val="21"/>
              </w:rPr>
              <w:t>13.3  3）</w:t>
            </w:r>
          </w:p>
        </w:tc>
        <w:tc>
          <w:tcPr>
            <w:tcW w:w="6988" w:type="dxa"/>
            <w:vAlign w:val="center"/>
          </w:tcPr>
          <w:p>
            <w:pPr>
              <w:rPr>
                <w:rFonts w:ascii="宋体" w:hAnsi="宋体"/>
                <w:sz w:val="21"/>
                <w:szCs w:val="21"/>
              </w:rPr>
            </w:pPr>
            <w:r>
              <w:rPr>
                <w:rFonts w:ascii="宋体" w:hAnsi="宋体"/>
                <w:sz w:val="21"/>
                <w:szCs w:val="21"/>
              </w:rPr>
              <w:t>业绩要求：</w:t>
            </w:r>
          </w:p>
          <w:p>
            <w:pPr>
              <w:rPr>
                <w:rFonts w:ascii="宋体" w:hAnsi="宋体"/>
                <w:sz w:val="21"/>
                <w:szCs w:val="21"/>
              </w:rPr>
            </w:pPr>
            <w:r>
              <w:rPr>
                <w:rFonts w:ascii="宋体" w:hAnsi="宋体"/>
                <w:sz w:val="21"/>
                <w:szCs w:val="21"/>
              </w:rPr>
              <w:t>对于投标设备，投标人必须证明其产品在国内有良好的销售使用记录（提供2014年至今的同类项目业绩证明资料，以合同复印件或中标通知书为准）。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11" w:hRule="atLeast"/>
        </w:trPr>
        <w:tc>
          <w:tcPr>
            <w:tcW w:w="1708" w:type="dxa"/>
            <w:vAlign w:val="center"/>
          </w:tcPr>
          <w:p>
            <w:pPr>
              <w:jc w:val="center"/>
              <w:rPr>
                <w:rFonts w:ascii="宋体" w:hAnsi="宋体"/>
                <w:sz w:val="21"/>
                <w:szCs w:val="21"/>
              </w:rPr>
            </w:pPr>
            <w:r>
              <w:rPr>
                <w:rFonts w:ascii="宋体" w:hAnsi="宋体"/>
                <w:sz w:val="21"/>
                <w:szCs w:val="21"/>
              </w:rPr>
              <w:t>13.3   5）</w:t>
            </w:r>
          </w:p>
        </w:tc>
        <w:tc>
          <w:tcPr>
            <w:tcW w:w="6988" w:type="dxa"/>
            <w:vAlign w:val="center"/>
          </w:tcPr>
          <w:p>
            <w:pPr>
              <w:ind w:right="29" w:rightChars="12"/>
              <w:rPr>
                <w:rFonts w:ascii="宋体" w:hAnsi="宋体"/>
                <w:b/>
                <w:bCs/>
                <w:sz w:val="21"/>
                <w:szCs w:val="21"/>
              </w:rPr>
            </w:pPr>
            <w:r>
              <w:rPr>
                <w:rFonts w:ascii="宋体" w:hAnsi="宋体"/>
                <w:b/>
                <w:bCs/>
                <w:sz w:val="21"/>
                <w:szCs w:val="21"/>
              </w:rPr>
              <w:t>其他资格证明文件：</w:t>
            </w:r>
          </w:p>
          <w:p>
            <w:pPr>
              <w:ind w:left="422" w:right="29" w:rightChars="12" w:hanging="422" w:hangingChars="200"/>
              <w:rPr>
                <w:rFonts w:ascii="宋体" w:hAnsi="宋体"/>
                <w:b/>
                <w:bCs/>
                <w:sz w:val="21"/>
                <w:szCs w:val="21"/>
                <w:u w:val="single"/>
              </w:rPr>
            </w:pPr>
            <w:r>
              <w:rPr>
                <w:rFonts w:ascii="宋体" w:hAnsi="宋体"/>
                <w:b/>
                <w:bCs/>
                <w:sz w:val="21"/>
                <w:szCs w:val="21"/>
                <w:u w:val="single"/>
              </w:rPr>
              <w:t>*1、单台、单项或同一厂家生产的设备总价在10万元人民币以上（含10万元）的，若投标人不是制造商，必须提供制造商或制造商指定的代理商（经销商）出具的合法授权文件。若该授权文件为制造商指定的代理商（经销商）出具的，还必须提供制造商对制造商指定的代理商（经销商）出具的合法代理证明。</w:t>
            </w:r>
          </w:p>
          <w:p>
            <w:pPr>
              <w:ind w:left="422" w:right="29" w:rightChars="12" w:hanging="422" w:hangingChars="200"/>
              <w:rPr>
                <w:rFonts w:ascii="宋体" w:hAnsi="宋体"/>
                <w:b/>
                <w:bCs/>
                <w:sz w:val="21"/>
                <w:szCs w:val="21"/>
                <w:u w:val="single"/>
              </w:rPr>
            </w:pPr>
            <w:r>
              <w:rPr>
                <w:rFonts w:ascii="宋体" w:hAnsi="宋体"/>
                <w:b/>
                <w:bCs/>
                <w:sz w:val="21"/>
                <w:szCs w:val="21"/>
                <w:u w:val="single"/>
              </w:rPr>
              <w:t>*</w:t>
            </w:r>
            <w:r>
              <w:rPr>
                <w:rFonts w:hint="eastAsia" w:ascii="宋体" w:hAnsi="宋体"/>
                <w:b/>
                <w:bCs/>
                <w:sz w:val="21"/>
                <w:szCs w:val="21"/>
                <w:u w:val="single"/>
              </w:rPr>
              <w:t>2</w:t>
            </w:r>
            <w:r>
              <w:rPr>
                <w:rFonts w:ascii="宋体" w:hAnsi="宋体"/>
                <w:b/>
                <w:bCs/>
                <w:sz w:val="21"/>
                <w:szCs w:val="21"/>
                <w:u w:val="single"/>
              </w:rPr>
              <w:t>、</w:t>
            </w:r>
            <w:r>
              <w:rPr>
                <w:rFonts w:hint="eastAsia" w:ascii="宋体" w:hAnsi="宋体"/>
                <w:b/>
                <w:bCs/>
                <w:sz w:val="21"/>
                <w:szCs w:val="21"/>
                <w:u w:val="single"/>
              </w:rPr>
              <w:t>单台或单项设备总价在10万元人民币以上（含10万元）的，必须提供制造商或制造商指定的一级代理商（经销商）出具的关于该设备原产地的声明/证明。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708" w:type="dxa"/>
            <w:vAlign w:val="center"/>
          </w:tcPr>
          <w:p>
            <w:pPr>
              <w:spacing w:line="360" w:lineRule="auto"/>
              <w:jc w:val="center"/>
              <w:rPr>
                <w:rFonts w:ascii="宋体" w:hAnsi="宋体"/>
                <w:sz w:val="21"/>
                <w:szCs w:val="21"/>
              </w:rPr>
            </w:pPr>
            <w:r>
              <w:rPr>
                <w:rFonts w:ascii="宋体" w:hAnsi="宋体"/>
                <w:sz w:val="21"/>
                <w:szCs w:val="21"/>
              </w:rPr>
              <w:t>14.3   2）</w:t>
            </w:r>
          </w:p>
        </w:tc>
        <w:tc>
          <w:tcPr>
            <w:tcW w:w="6988" w:type="dxa"/>
          </w:tcPr>
          <w:p>
            <w:pPr>
              <w:ind w:right="29" w:rightChars="12"/>
              <w:rPr>
                <w:rFonts w:ascii="宋体" w:hAnsi="宋体"/>
                <w:b/>
                <w:bCs/>
                <w:i/>
                <w:iCs/>
                <w:sz w:val="21"/>
                <w:szCs w:val="21"/>
              </w:rPr>
            </w:pPr>
            <w:r>
              <w:rPr>
                <w:rFonts w:hint="eastAsia" w:ascii="宋体" w:hAnsi="宋体"/>
                <w:sz w:val="21"/>
                <w:szCs w:val="21"/>
              </w:rPr>
              <w:t>质保</w:t>
            </w:r>
            <w:r>
              <w:rPr>
                <w:rFonts w:ascii="宋体" w:hAnsi="宋体"/>
                <w:sz w:val="21"/>
                <w:szCs w:val="21"/>
              </w:rPr>
              <w:t>期：仪器自验收合格之日起保修12个月（招标文件第八章《货物需求一览表、技术规格及商务要求》中有另外要求的按其要求）。该价格计入投标总价。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708" w:type="dxa"/>
            <w:vAlign w:val="center"/>
          </w:tcPr>
          <w:p>
            <w:pPr>
              <w:spacing w:line="360" w:lineRule="auto"/>
              <w:jc w:val="center"/>
              <w:rPr>
                <w:rFonts w:ascii="宋体" w:hAnsi="宋体"/>
                <w:sz w:val="21"/>
                <w:szCs w:val="21"/>
              </w:rPr>
            </w:pPr>
            <w:r>
              <w:rPr>
                <w:rFonts w:ascii="宋体" w:hAnsi="宋体"/>
                <w:sz w:val="21"/>
                <w:szCs w:val="21"/>
              </w:rPr>
              <w:t>14.3   4）</w:t>
            </w:r>
          </w:p>
        </w:tc>
        <w:tc>
          <w:tcPr>
            <w:tcW w:w="6988" w:type="dxa"/>
          </w:tcPr>
          <w:p>
            <w:pPr>
              <w:ind w:right="29" w:rightChars="12"/>
              <w:rPr>
                <w:rFonts w:ascii="宋体" w:hAnsi="宋体"/>
                <w:sz w:val="21"/>
                <w:szCs w:val="21"/>
              </w:rPr>
            </w:pPr>
            <w:r>
              <w:rPr>
                <w:rFonts w:ascii="宋体" w:hAnsi="宋体"/>
                <w:sz w:val="21"/>
                <w:szCs w:val="21"/>
              </w:rPr>
              <w:t>对标注“</w:t>
            </w:r>
            <w:r>
              <w:rPr>
                <w:rFonts w:ascii="宋体" w:hAnsi="宋体"/>
                <w:b/>
                <w:bCs/>
                <w:sz w:val="21"/>
                <w:szCs w:val="21"/>
              </w:rPr>
              <w:t>*</w:t>
            </w:r>
            <w:r>
              <w:rPr>
                <w:rFonts w:ascii="宋体" w:hAnsi="宋体"/>
                <w:sz w:val="21"/>
                <w:szCs w:val="21"/>
              </w:rPr>
              <w:t>”的技术参数，投标人必须提供技术支持资料，技术支持资料包括：</w:t>
            </w:r>
          </w:p>
          <w:p>
            <w:pPr>
              <w:ind w:right="29" w:rightChars="12"/>
              <w:rPr>
                <w:rFonts w:ascii="宋体" w:hAnsi="宋体"/>
                <w:sz w:val="21"/>
                <w:szCs w:val="21"/>
              </w:rPr>
            </w:pPr>
            <w:r>
              <w:rPr>
                <w:rFonts w:ascii="宋体" w:hAnsi="宋体"/>
                <w:sz w:val="21"/>
                <w:szCs w:val="21"/>
              </w:rPr>
              <w:t>投标货物制造商公开发布的印刷资料；或检测机构出具的检测报告。</w:t>
            </w:r>
          </w:p>
          <w:p>
            <w:pPr>
              <w:ind w:right="29" w:rightChars="12"/>
              <w:rPr>
                <w:rFonts w:ascii="宋体" w:hAnsi="宋体"/>
                <w:b/>
                <w:bCs/>
                <w:sz w:val="21"/>
                <w:szCs w:val="21"/>
              </w:rPr>
            </w:pPr>
            <w:r>
              <w:rPr>
                <w:rFonts w:ascii="宋体" w:hAnsi="宋体"/>
                <w:b/>
                <w:bCs/>
                <w:sz w:val="21"/>
                <w:szCs w:val="21"/>
              </w:rPr>
              <w:t>所有技术资料必须为原件彩页。</w:t>
            </w:r>
          </w:p>
          <w:p>
            <w:pPr>
              <w:ind w:right="29" w:rightChars="12"/>
              <w:rPr>
                <w:rFonts w:ascii="宋体" w:hAnsi="宋体"/>
                <w:b/>
                <w:bCs/>
                <w:sz w:val="21"/>
                <w:szCs w:val="21"/>
              </w:rPr>
            </w:pPr>
            <w:r>
              <w:rPr>
                <w:rFonts w:ascii="宋体" w:hAnsi="宋体"/>
                <w:b/>
                <w:bCs/>
                <w:sz w:val="21"/>
                <w:szCs w:val="21"/>
              </w:rPr>
              <w:t>凡不符合上述要求的，将视为无效技术支持资料。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410" w:hRule="atLeast"/>
        </w:trPr>
        <w:tc>
          <w:tcPr>
            <w:tcW w:w="1708" w:type="dxa"/>
            <w:vAlign w:val="center"/>
          </w:tcPr>
          <w:p>
            <w:pPr>
              <w:spacing w:line="360" w:lineRule="auto"/>
              <w:jc w:val="center"/>
              <w:rPr>
                <w:rFonts w:ascii="宋体" w:hAnsi="宋体"/>
                <w:sz w:val="21"/>
                <w:szCs w:val="21"/>
              </w:rPr>
            </w:pPr>
            <w:r>
              <w:rPr>
                <w:rFonts w:ascii="宋体" w:hAnsi="宋体"/>
                <w:sz w:val="21"/>
                <w:szCs w:val="21"/>
              </w:rPr>
              <w:t>15.1</w:t>
            </w:r>
          </w:p>
        </w:tc>
        <w:tc>
          <w:tcPr>
            <w:tcW w:w="6988" w:type="dxa"/>
            <w:vAlign w:val="center"/>
          </w:tcPr>
          <w:p>
            <w:pPr>
              <w:rPr>
                <w:rFonts w:ascii="宋体" w:hAnsi="宋体"/>
                <w:sz w:val="21"/>
                <w:szCs w:val="21"/>
              </w:rPr>
            </w:pPr>
            <w:r>
              <w:rPr>
                <w:rFonts w:ascii="宋体" w:hAnsi="宋体"/>
                <w:sz w:val="21"/>
                <w:szCs w:val="21"/>
              </w:rPr>
              <w:t>投标保证金：</w:t>
            </w:r>
          </w:p>
          <w:p>
            <w:pPr>
              <w:rPr>
                <w:rFonts w:ascii="宋体" w:hAnsi="宋体"/>
                <w:sz w:val="21"/>
                <w:szCs w:val="21"/>
              </w:rPr>
            </w:pPr>
            <w:r>
              <w:rPr>
                <w:rFonts w:ascii="宋体" w:hAnsi="宋体"/>
                <w:sz w:val="21"/>
                <w:szCs w:val="21"/>
              </w:rPr>
              <w:t>投标人应在投标截止日前向</w:t>
            </w:r>
            <w:r>
              <w:rPr>
                <w:rFonts w:hint="eastAsia" w:ascii="宋体" w:hAnsi="宋体"/>
                <w:sz w:val="21"/>
                <w:szCs w:val="21"/>
              </w:rPr>
              <w:t>广东华伦招标有限公司</w:t>
            </w:r>
            <w:r>
              <w:rPr>
                <w:rFonts w:ascii="宋体" w:hAnsi="宋体"/>
                <w:sz w:val="21"/>
                <w:szCs w:val="21"/>
              </w:rPr>
              <w:t>提交以下金额的投标保证金：</w:t>
            </w:r>
          </w:p>
          <w:p>
            <w:pPr>
              <w:rPr>
                <w:rFonts w:ascii="宋体" w:hAnsi="宋体"/>
                <w:b/>
                <w:bCs/>
                <w:sz w:val="21"/>
                <w:szCs w:val="21"/>
              </w:rPr>
            </w:pPr>
            <w:r>
              <w:rPr>
                <w:rFonts w:hint="eastAsia" w:ascii="宋体" w:hAnsi="宋体"/>
                <w:b/>
                <w:bCs/>
                <w:sz w:val="21"/>
                <w:szCs w:val="21"/>
              </w:rPr>
              <w:t>投标保证</w:t>
            </w:r>
            <w:r>
              <w:rPr>
                <w:rFonts w:hint="eastAsia" w:ascii="宋体" w:hAnsi="宋体"/>
                <w:b/>
                <w:bCs/>
                <w:color w:val="000000" w:themeColor="text1"/>
                <w:sz w:val="21"/>
                <w:szCs w:val="21"/>
              </w:rPr>
              <w:t>金：子包一为20000</w:t>
            </w:r>
            <w:r>
              <w:rPr>
                <w:rFonts w:ascii="宋体" w:hAnsi="宋体"/>
                <w:b/>
                <w:bCs/>
                <w:color w:val="000000" w:themeColor="text1"/>
                <w:sz w:val="21"/>
                <w:szCs w:val="21"/>
              </w:rPr>
              <w:t>元人民币</w:t>
            </w:r>
            <w:r>
              <w:rPr>
                <w:rFonts w:hint="eastAsia" w:ascii="宋体" w:hAnsi="宋体"/>
                <w:b/>
                <w:bCs/>
                <w:color w:val="000000" w:themeColor="text1"/>
                <w:sz w:val="21"/>
                <w:szCs w:val="21"/>
              </w:rPr>
              <w:t>；子包二为18000</w:t>
            </w:r>
            <w:r>
              <w:rPr>
                <w:rFonts w:ascii="宋体" w:hAnsi="宋体"/>
                <w:b/>
                <w:bCs/>
                <w:color w:val="000000" w:themeColor="text1"/>
                <w:sz w:val="21"/>
                <w:szCs w:val="21"/>
              </w:rPr>
              <w:t>元人民币</w:t>
            </w:r>
            <w:r>
              <w:rPr>
                <w:rFonts w:hint="eastAsia" w:ascii="宋体" w:hAnsi="宋体"/>
                <w:b/>
                <w:bCs/>
                <w:color w:val="000000" w:themeColor="text1"/>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69" w:hRule="atLeast"/>
        </w:trPr>
        <w:tc>
          <w:tcPr>
            <w:tcW w:w="1708" w:type="dxa"/>
            <w:vAlign w:val="center"/>
          </w:tcPr>
          <w:p>
            <w:pPr>
              <w:spacing w:line="360" w:lineRule="auto"/>
              <w:jc w:val="center"/>
              <w:rPr>
                <w:rFonts w:ascii="宋体" w:hAnsi="宋体"/>
                <w:sz w:val="21"/>
                <w:szCs w:val="21"/>
              </w:rPr>
            </w:pPr>
            <w:r>
              <w:rPr>
                <w:rFonts w:ascii="宋体" w:hAnsi="宋体"/>
                <w:sz w:val="21"/>
                <w:szCs w:val="21"/>
              </w:rPr>
              <w:t>15.3</w:t>
            </w:r>
          </w:p>
        </w:tc>
        <w:tc>
          <w:tcPr>
            <w:tcW w:w="6988" w:type="dxa"/>
            <w:vAlign w:val="center"/>
          </w:tcPr>
          <w:p>
            <w:pPr>
              <w:rPr>
                <w:rFonts w:ascii="宋体" w:hAnsi="宋体"/>
                <w:sz w:val="21"/>
                <w:szCs w:val="21"/>
              </w:rPr>
            </w:pPr>
            <w:r>
              <w:rPr>
                <w:rFonts w:ascii="宋体" w:hAnsi="宋体"/>
                <w:sz w:val="21"/>
                <w:szCs w:val="21"/>
              </w:rPr>
              <w:t>投标保证金形式：银行保函、银行本票、保兑支票、电汇。</w:t>
            </w:r>
          </w:p>
          <w:p>
            <w:pPr>
              <w:rPr>
                <w:rFonts w:ascii="宋体" w:hAnsi="宋体"/>
                <w:sz w:val="21"/>
                <w:szCs w:val="21"/>
              </w:rPr>
            </w:pPr>
            <w:r>
              <w:rPr>
                <w:rFonts w:ascii="宋体" w:hAnsi="宋体"/>
                <w:b/>
                <w:bCs/>
                <w:sz w:val="21"/>
                <w:szCs w:val="21"/>
              </w:rPr>
              <w:t>保证金专用账户：</w:t>
            </w:r>
            <w:r>
              <w:rPr>
                <w:rFonts w:ascii="宋体" w:hAnsi="宋体"/>
                <w:b/>
                <w:bCs/>
                <w:sz w:val="21"/>
                <w:szCs w:val="21"/>
                <w:u w:val="single"/>
              </w:rPr>
              <w:t>（请务必按要求格式填写汇款单）</w:t>
            </w:r>
          </w:p>
          <w:p>
            <w:pPr>
              <w:rPr>
                <w:rFonts w:ascii="宋体" w:hAnsi="宋体"/>
                <w:b/>
                <w:bCs/>
                <w:sz w:val="21"/>
                <w:szCs w:val="21"/>
              </w:rPr>
            </w:pPr>
            <w:r>
              <w:rPr>
                <w:rFonts w:hint="eastAsia" w:ascii="宋体" w:hAnsi="宋体"/>
                <w:b/>
                <w:bCs/>
                <w:sz w:val="21"/>
                <w:szCs w:val="21"/>
              </w:rPr>
              <w:t>单位名称：广东华伦招标有限公司</w:t>
            </w:r>
          </w:p>
          <w:p>
            <w:pPr>
              <w:rPr>
                <w:rFonts w:ascii="宋体" w:hAnsi="宋体" w:eastAsia="宋体"/>
                <w:b/>
                <w:bCs/>
                <w:sz w:val="21"/>
                <w:szCs w:val="21"/>
              </w:rPr>
            </w:pPr>
            <w:r>
              <w:rPr>
                <w:rFonts w:hint="eastAsia" w:ascii="宋体" w:hAnsi="宋体" w:eastAsia="宋体"/>
                <w:b/>
                <w:bCs/>
                <w:sz w:val="21"/>
                <w:szCs w:val="21"/>
              </w:rPr>
              <w:t>开户银行：农业银行环市中路支行</w:t>
            </w:r>
          </w:p>
          <w:p>
            <w:pPr>
              <w:rPr>
                <w:rFonts w:ascii="宋体" w:hAnsi="宋体" w:eastAsia="宋体"/>
                <w:b/>
                <w:bCs/>
                <w:sz w:val="21"/>
                <w:szCs w:val="21"/>
              </w:rPr>
            </w:pPr>
            <w:r>
              <w:rPr>
                <w:rFonts w:hint="eastAsia" w:ascii="宋体" w:hAnsi="宋体" w:eastAsia="宋体"/>
                <w:b/>
                <w:bCs/>
                <w:sz w:val="21"/>
                <w:szCs w:val="21"/>
              </w:rPr>
              <w:t>帐    号：44037401040010610</w:t>
            </w:r>
          </w:p>
          <w:p>
            <w:pPr>
              <w:rPr>
                <w:rFonts w:ascii="宋体" w:hAnsi="宋体"/>
                <w:b/>
                <w:bCs/>
                <w:sz w:val="21"/>
                <w:szCs w:val="21"/>
              </w:rPr>
            </w:pPr>
            <w:r>
              <w:rPr>
                <w:rFonts w:hint="eastAsia" w:ascii="宋体" w:hAnsi="宋体"/>
                <w:b/>
                <w:bCs/>
                <w:sz w:val="21"/>
                <w:szCs w:val="21"/>
              </w:rPr>
              <w:t>财务联系电话：020-83172105</w:t>
            </w:r>
          </w:p>
          <w:p>
            <w:pPr>
              <w:rPr>
                <w:rFonts w:ascii="宋体" w:hAnsi="宋体"/>
                <w:b/>
                <w:bCs/>
                <w:sz w:val="21"/>
                <w:szCs w:val="21"/>
              </w:rPr>
            </w:pPr>
            <w:r>
              <w:rPr>
                <w:rFonts w:hint="eastAsia" w:ascii="宋体" w:hAnsi="宋体"/>
                <w:b/>
                <w:bCs/>
                <w:sz w:val="21"/>
                <w:szCs w:val="21"/>
              </w:rPr>
              <w:t>请注明事由“0809-1941GDI13801号保证金”</w:t>
            </w:r>
          </w:p>
          <w:p>
            <w:pPr>
              <w:rPr>
                <w:rFonts w:ascii="宋体" w:hAnsi="宋体"/>
                <w:sz w:val="21"/>
                <w:szCs w:val="21"/>
              </w:rPr>
            </w:pPr>
            <w:r>
              <w:rPr>
                <w:rFonts w:ascii="宋体" w:hAnsi="宋体"/>
                <w:b/>
                <w:bCs/>
                <w:sz w:val="21"/>
                <w:szCs w:val="21"/>
              </w:rPr>
              <w:t>（注：以上账户仅用于接收投标人缴纳的投标保证金。未注明项目编号的将会影响保证金的退还。）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708" w:type="dxa"/>
            <w:vAlign w:val="center"/>
          </w:tcPr>
          <w:p>
            <w:pPr>
              <w:spacing w:line="240" w:lineRule="auto"/>
              <w:jc w:val="center"/>
              <w:rPr>
                <w:rFonts w:ascii="宋体" w:hAnsi="宋体"/>
                <w:sz w:val="21"/>
                <w:szCs w:val="21"/>
              </w:rPr>
            </w:pPr>
            <w:r>
              <w:rPr>
                <w:rFonts w:ascii="宋体" w:hAnsi="宋体"/>
                <w:sz w:val="21"/>
                <w:szCs w:val="21"/>
              </w:rPr>
              <w:t>16.1</w:t>
            </w:r>
          </w:p>
        </w:tc>
        <w:tc>
          <w:tcPr>
            <w:tcW w:w="6988" w:type="dxa"/>
            <w:vAlign w:val="center"/>
          </w:tcPr>
          <w:p>
            <w:pPr>
              <w:rPr>
                <w:rFonts w:ascii="宋体" w:hAnsi="宋体"/>
                <w:sz w:val="21"/>
                <w:szCs w:val="21"/>
              </w:rPr>
            </w:pPr>
            <w:r>
              <w:rPr>
                <w:rFonts w:ascii="宋体" w:hAnsi="宋体"/>
                <w:sz w:val="21"/>
                <w:szCs w:val="21"/>
              </w:rPr>
              <w:t>投标有效期：90天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708" w:type="dxa"/>
            <w:vAlign w:val="center"/>
          </w:tcPr>
          <w:p>
            <w:pPr>
              <w:spacing w:line="240" w:lineRule="auto"/>
              <w:jc w:val="center"/>
              <w:rPr>
                <w:rFonts w:ascii="宋体" w:hAnsi="宋体"/>
                <w:sz w:val="21"/>
                <w:szCs w:val="21"/>
              </w:rPr>
            </w:pPr>
            <w:r>
              <w:rPr>
                <w:rFonts w:ascii="宋体" w:hAnsi="宋体"/>
                <w:sz w:val="21"/>
                <w:szCs w:val="21"/>
              </w:rPr>
              <w:t>17.1</w:t>
            </w:r>
          </w:p>
        </w:tc>
        <w:tc>
          <w:tcPr>
            <w:tcW w:w="6988" w:type="dxa"/>
            <w:vAlign w:val="center"/>
          </w:tcPr>
          <w:p>
            <w:pPr>
              <w:rPr>
                <w:rFonts w:ascii="宋体" w:hAnsi="宋体"/>
                <w:sz w:val="21"/>
                <w:szCs w:val="21"/>
              </w:rPr>
            </w:pPr>
            <w:r>
              <w:rPr>
                <w:rFonts w:ascii="宋体" w:hAnsi="宋体"/>
                <w:sz w:val="21"/>
                <w:szCs w:val="21"/>
              </w:rPr>
              <w:t>副本的份数：5份，电子Word文档1份（</w:t>
            </w:r>
            <w:r>
              <w:rPr>
                <w:rFonts w:ascii="宋体" w:hAnsi="宋体"/>
                <w:b/>
                <w:bCs/>
                <w:sz w:val="21"/>
                <w:szCs w:val="21"/>
              </w:rPr>
              <w:t>电子文件要求U盘或刻录光盘， WORD格式，不留密码，无病毒，不压缩</w:t>
            </w:r>
            <w:r>
              <w:rPr>
                <w:rFonts w:hint="eastAsia" w:ascii="宋体" w:hAnsi="宋体"/>
                <w:b/>
                <w:bCs/>
                <w:sz w:val="21"/>
                <w:szCs w:val="21"/>
              </w:rPr>
              <w:t>，过后不退还</w:t>
            </w:r>
            <w:r>
              <w:rPr>
                <w:rFonts w:ascii="宋体" w:hAnsi="宋体"/>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00" w:hRule="atLeast"/>
        </w:trPr>
        <w:tc>
          <w:tcPr>
            <w:tcW w:w="8696" w:type="dxa"/>
            <w:gridSpan w:val="2"/>
            <w:vAlign w:val="center"/>
          </w:tcPr>
          <w:p>
            <w:pPr>
              <w:jc w:val="center"/>
              <w:rPr>
                <w:rFonts w:ascii="宋体" w:hAnsi="宋体"/>
                <w:b/>
                <w:bCs/>
                <w:sz w:val="21"/>
                <w:szCs w:val="21"/>
              </w:rPr>
            </w:pPr>
            <w:r>
              <w:rPr>
                <w:rFonts w:ascii="宋体" w:hAnsi="宋体"/>
                <w:sz w:val="21"/>
                <w:szCs w:val="21"/>
              </w:rPr>
              <w:t>四、投标文件的递交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1" w:hRule="atLeast"/>
        </w:trPr>
        <w:tc>
          <w:tcPr>
            <w:tcW w:w="1708" w:type="dxa"/>
            <w:vAlign w:val="center"/>
          </w:tcPr>
          <w:p>
            <w:pPr>
              <w:jc w:val="center"/>
              <w:rPr>
                <w:rFonts w:ascii="宋体" w:hAnsi="宋体"/>
                <w:sz w:val="21"/>
                <w:szCs w:val="21"/>
              </w:rPr>
            </w:pPr>
            <w:bookmarkStart w:id="5" w:name="_GoBack" w:colFirst="1" w:colLast="1"/>
            <w:r>
              <w:rPr>
                <w:rFonts w:ascii="宋体" w:hAnsi="宋体"/>
                <w:sz w:val="21"/>
                <w:szCs w:val="21"/>
              </w:rPr>
              <w:t>19.1</w:t>
            </w:r>
          </w:p>
        </w:tc>
        <w:tc>
          <w:tcPr>
            <w:tcW w:w="6988" w:type="dxa"/>
            <w:vAlign w:val="center"/>
          </w:tcPr>
          <w:p>
            <w:pPr>
              <w:spacing w:line="300" w:lineRule="auto"/>
              <w:ind w:left="1680" w:hanging="1680" w:hangingChars="800"/>
              <w:rPr>
                <w:rFonts w:ascii="宋体" w:hAnsi="宋体"/>
                <w:color w:val="auto"/>
                <w:sz w:val="21"/>
                <w:szCs w:val="21"/>
              </w:rPr>
            </w:pPr>
            <w:r>
              <w:rPr>
                <w:rFonts w:ascii="宋体" w:hAnsi="宋体"/>
                <w:color w:val="auto"/>
                <w:sz w:val="21"/>
                <w:szCs w:val="21"/>
              </w:rPr>
              <w:t>投标文件递交至：</w:t>
            </w:r>
            <w:r>
              <w:rPr>
                <w:rFonts w:hint="eastAsia" w:ascii="宋体" w:hAnsi="宋体"/>
                <w:color w:val="auto"/>
                <w:sz w:val="21"/>
                <w:szCs w:val="21"/>
              </w:rPr>
              <w:t>广州市广仁路1号广仁大厦7楼广东华伦招标有限公司开标室</w:t>
            </w:r>
          </w:p>
          <w:p>
            <w:pPr>
              <w:spacing w:line="300" w:lineRule="auto"/>
              <w:rPr>
                <w:rFonts w:ascii="宋体" w:hAnsi="宋体"/>
                <w:color w:val="auto"/>
                <w:sz w:val="21"/>
                <w:szCs w:val="21"/>
              </w:rPr>
            </w:pPr>
            <w:r>
              <w:rPr>
                <w:rFonts w:ascii="宋体" w:hAnsi="宋体"/>
                <w:color w:val="auto"/>
                <w:sz w:val="21"/>
                <w:szCs w:val="21"/>
              </w:rPr>
              <w:t>投标时间：</w:t>
            </w:r>
            <w:r>
              <w:rPr>
                <w:rFonts w:hint="eastAsia" w:ascii="宋体" w:hAnsi="宋体"/>
                <w:color w:val="auto"/>
                <w:sz w:val="21"/>
                <w:szCs w:val="21"/>
              </w:rPr>
              <w:t>2019年</w:t>
            </w:r>
            <w:r>
              <w:rPr>
                <w:rFonts w:hint="eastAsia" w:ascii="宋体" w:hAnsi="宋体"/>
                <w:color w:val="auto"/>
                <w:sz w:val="21"/>
                <w:szCs w:val="21"/>
                <w:lang w:val="en-US" w:eastAsia="zh-CN"/>
              </w:rPr>
              <w:t>09</w:t>
            </w:r>
            <w:r>
              <w:rPr>
                <w:rFonts w:hint="eastAsia" w:ascii="宋体" w:hAnsi="宋体"/>
                <w:color w:val="auto"/>
                <w:sz w:val="21"/>
                <w:szCs w:val="21"/>
              </w:rPr>
              <w:t>月</w:t>
            </w:r>
            <w:r>
              <w:rPr>
                <w:rFonts w:hint="eastAsia" w:ascii="宋体" w:hAnsi="宋体"/>
                <w:color w:val="auto"/>
                <w:sz w:val="21"/>
                <w:szCs w:val="21"/>
                <w:lang w:val="en-US" w:eastAsia="zh-CN"/>
              </w:rPr>
              <w:t>19</w:t>
            </w:r>
            <w:r>
              <w:rPr>
                <w:rFonts w:hint="eastAsia" w:ascii="宋体" w:hAnsi="宋体"/>
                <w:color w:val="auto"/>
                <w:sz w:val="21"/>
                <w:szCs w:val="21"/>
              </w:rPr>
              <w:t xml:space="preserve">日 </w:t>
            </w:r>
            <w:r>
              <w:rPr>
                <w:rFonts w:hint="eastAsia" w:ascii="宋体" w:hAnsi="宋体"/>
                <w:color w:val="auto"/>
                <w:sz w:val="21"/>
                <w:szCs w:val="21"/>
                <w:lang w:eastAsia="zh-CN"/>
              </w:rPr>
              <w:t>下</w:t>
            </w:r>
            <w:r>
              <w:rPr>
                <w:rFonts w:ascii="宋体" w:hAnsi="宋体"/>
                <w:color w:val="auto"/>
                <w:sz w:val="21"/>
                <w:szCs w:val="21"/>
              </w:rPr>
              <w:t>午</w:t>
            </w:r>
            <w:r>
              <w:rPr>
                <w:rFonts w:hint="eastAsia" w:ascii="宋体" w:hAnsi="宋体"/>
                <w:color w:val="auto"/>
                <w:sz w:val="21"/>
                <w:szCs w:val="21"/>
                <w:lang w:val="en-US" w:eastAsia="zh-CN"/>
              </w:rPr>
              <w:t>14</w:t>
            </w:r>
            <w:r>
              <w:rPr>
                <w:rFonts w:ascii="宋体" w:hAnsi="宋体"/>
                <w:color w:val="auto"/>
                <w:sz w:val="21"/>
                <w:szCs w:val="21"/>
              </w:rPr>
              <w:t>:00～</w:t>
            </w:r>
            <w:r>
              <w:rPr>
                <w:rFonts w:hint="eastAsia" w:ascii="宋体" w:hAnsi="宋体"/>
                <w:color w:val="auto"/>
                <w:sz w:val="21"/>
                <w:szCs w:val="21"/>
                <w:lang w:val="en-US" w:eastAsia="zh-CN"/>
              </w:rPr>
              <w:t>14</w:t>
            </w:r>
            <w:r>
              <w:rPr>
                <w:rFonts w:ascii="宋体" w:hAnsi="宋体"/>
                <w:color w:val="auto"/>
                <w:sz w:val="21"/>
                <w:szCs w:val="21"/>
              </w:rPr>
              <w:t>:30（北京时间）</w:t>
            </w:r>
          </w:p>
          <w:p>
            <w:pPr>
              <w:spacing w:line="300" w:lineRule="auto"/>
              <w:rPr>
                <w:rFonts w:ascii="宋体" w:hAnsi="宋体"/>
                <w:i/>
                <w:iCs/>
                <w:color w:val="auto"/>
                <w:sz w:val="21"/>
                <w:szCs w:val="21"/>
              </w:rPr>
            </w:pPr>
            <w:r>
              <w:rPr>
                <w:rFonts w:ascii="宋体" w:hAnsi="宋体"/>
                <w:color w:val="auto"/>
                <w:sz w:val="21"/>
                <w:szCs w:val="21"/>
              </w:rPr>
              <w:t>投标截止时间：</w:t>
            </w:r>
            <w:r>
              <w:rPr>
                <w:rFonts w:hint="eastAsia" w:ascii="宋体" w:hAnsi="宋体"/>
                <w:color w:val="auto"/>
                <w:sz w:val="21"/>
                <w:szCs w:val="21"/>
              </w:rPr>
              <w:t>2019年</w:t>
            </w:r>
            <w:r>
              <w:rPr>
                <w:rFonts w:hint="eastAsia" w:ascii="宋体" w:hAnsi="宋体"/>
                <w:color w:val="auto"/>
                <w:sz w:val="21"/>
                <w:szCs w:val="21"/>
                <w:lang w:val="en-US" w:eastAsia="zh-CN"/>
              </w:rPr>
              <w:t>09</w:t>
            </w:r>
            <w:r>
              <w:rPr>
                <w:rFonts w:hint="eastAsia" w:ascii="宋体" w:hAnsi="宋体"/>
                <w:color w:val="auto"/>
                <w:sz w:val="21"/>
                <w:szCs w:val="21"/>
              </w:rPr>
              <w:t>月</w:t>
            </w:r>
            <w:r>
              <w:rPr>
                <w:rFonts w:hint="eastAsia" w:ascii="宋体" w:hAnsi="宋体"/>
                <w:color w:val="auto"/>
                <w:sz w:val="21"/>
                <w:szCs w:val="21"/>
                <w:lang w:val="en-US" w:eastAsia="zh-CN"/>
              </w:rPr>
              <w:t>19</w:t>
            </w:r>
            <w:r>
              <w:rPr>
                <w:rFonts w:hint="eastAsia" w:ascii="宋体" w:hAnsi="宋体"/>
                <w:color w:val="auto"/>
                <w:sz w:val="21"/>
                <w:szCs w:val="21"/>
              </w:rPr>
              <w:t xml:space="preserve">日 </w:t>
            </w:r>
            <w:r>
              <w:rPr>
                <w:rFonts w:hint="eastAsia" w:ascii="宋体" w:hAnsi="宋体"/>
                <w:color w:val="auto"/>
                <w:sz w:val="21"/>
                <w:szCs w:val="21"/>
                <w:lang w:eastAsia="zh-CN"/>
              </w:rPr>
              <w:t>下</w:t>
            </w:r>
            <w:r>
              <w:rPr>
                <w:rFonts w:ascii="宋体" w:hAnsi="宋体"/>
                <w:color w:val="auto"/>
                <w:sz w:val="21"/>
                <w:szCs w:val="21"/>
              </w:rPr>
              <w:t>午</w:t>
            </w:r>
            <w:r>
              <w:rPr>
                <w:rFonts w:hint="eastAsia" w:ascii="宋体" w:hAnsi="宋体"/>
                <w:color w:val="auto"/>
                <w:sz w:val="21"/>
                <w:szCs w:val="21"/>
                <w:lang w:val="en-US" w:eastAsia="zh-CN"/>
              </w:rPr>
              <w:t>14</w:t>
            </w:r>
            <w:r>
              <w:rPr>
                <w:rFonts w:ascii="宋体" w:hAnsi="宋体"/>
                <w:color w:val="auto"/>
                <w:sz w:val="21"/>
                <w:szCs w:val="21"/>
              </w:rPr>
              <w:t>:30（北京时间）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00" w:hRule="atLeast"/>
        </w:trPr>
        <w:tc>
          <w:tcPr>
            <w:tcW w:w="8696" w:type="dxa"/>
            <w:gridSpan w:val="2"/>
            <w:vAlign w:val="center"/>
          </w:tcPr>
          <w:p>
            <w:pPr>
              <w:spacing w:line="300" w:lineRule="auto"/>
              <w:jc w:val="center"/>
              <w:rPr>
                <w:rFonts w:ascii="宋体" w:hAnsi="宋体"/>
                <w:color w:val="auto"/>
                <w:sz w:val="21"/>
                <w:szCs w:val="21"/>
              </w:rPr>
            </w:pPr>
            <w:r>
              <w:rPr>
                <w:rFonts w:ascii="宋体" w:hAnsi="宋体"/>
                <w:color w:val="auto"/>
                <w:kern w:val="2"/>
                <w:sz w:val="21"/>
                <w:szCs w:val="21"/>
              </w:rPr>
              <w:t>五、开标与评标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708" w:type="dxa"/>
            <w:vAlign w:val="center"/>
          </w:tcPr>
          <w:p>
            <w:pPr>
              <w:jc w:val="center"/>
              <w:rPr>
                <w:rFonts w:ascii="宋体" w:hAnsi="宋体"/>
                <w:sz w:val="21"/>
                <w:szCs w:val="21"/>
              </w:rPr>
            </w:pPr>
            <w:r>
              <w:rPr>
                <w:rFonts w:ascii="宋体" w:hAnsi="宋体"/>
                <w:sz w:val="21"/>
                <w:szCs w:val="21"/>
              </w:rPr>
              <w:t>22.1</w:t>
            </w:r>
          </w:p>
        </w:tc>
        <w:tc>
          <w:tcPr>
            <w:tcW w:w="6988" w:type="dxa"/>
          </w:tcPr>
          <w:p>
            <w:pPr>
              <w:spacing w:line="300" w:lineRule="auto"/>
              <w:rPr>
                <w:rFonts w:ascii="宋体" w:hAnsi="宋体"/>
                <w:color w:val="auto"/>
                <w:sz w:val="21"/>
                <w:szCs w:val="21"/>
              </w:rPr>
            </w:pPr>
            <w:r>
              <w:rPr>
                <w:rFonts w:ascii="宋体" w:hAnsi="宋体"/>
                <w:color w:val="auto"/>
                <w:sz w:val="21"/>
                <w:szCs w:val="21"/>
              </w:rPr>
              <w:t>开标时间：</w:t>
            </w:r>
            <w:r>
              <w:rPr>
                <w:rFonts w:hint="eastAsia" w:ascii="宋体" w:hAnsi="宋体"/>
                <w:color w:val="auto"/>
                <w:sz w:val="21"/>
                <w:szCs w:val="21"/>
              </w:rPr>
              <w:t>2019年</w:t>
            </w:r>
            <w:r>
              <w:rPr>
                <w:rFonts w:hint="eastAsia" w:ascii="宋体" w:hAnsi="宋体"/>
                <w:color w:val="auto"/>
                <w:sz w:val="21"/>
                <w:szCs w:val="21"/>
                <w:lang w:val="en-US" w:eastAsia="zh-CN"/>
              </w:rPr>
              <w:t>09</w:t>
            </w:r>
            <w:r>
              <w:rPr>
                <w:rFonts w:hint="eastAsia" w:ascii="宋体" w:hAnsi="宋体"/>
                <w:color w:val="auto"/>
                <w:sz w:val="21"/>
                <w:szCs w:val="21"/>
              </w:rPr>
              <w:t>月</w:t>
            </w:r>
            <w:r>
              <w:rPr>
                <w:rFonts w:hint="eastAsia" w:ascii="宋体" w:hAnsi="宋体"/>
                <w:color w:val="auto"/>
                <w:sz w:val="21"/>
                <w:szCs w:val="21"/>
                <w:lang w:val="en-US" w:eastAsia="zh-CN"/>
              </w:rPr>
              <w:t>19</w:t>
            </w:r>
            <w:r>
              <w:rPr>
                <w:rFonts w:hint="eastAsia" w:ascii="宋体" w:hAnsi="宋体"/>
                <w:color w:val="auto"/>
                <w:sz w:val="21"/>
                <w:szCs w:val="21"/>
              </w:rPr>
              <w:t xml:space="preserve">日 </w:t>
            </w:r>
            <w:r>
              <w:rPr>
                <w:rFonts w:hint="eastAsia" w:ascii="宋体" w:hAnsi="宋体"/>
                <w:color w:val="auto"/>
                <w:sz w:val="21"/>
                <w:szCs w:val="21"/>
                <w:lang w:eastAsia="zh-CN"/>
              </w:rPr>
              <w:t>下</w:t>
            </w:r>
            <w:r>
              <w:rPr>
                <w:rFonts w:ascii="宋体" w:hAnsi="宋体"/>
                <w:color w:val="auto"/>
                <w:sz w:val="21"/>
                <w:szCs w:val="21"/>
              </w:rPr>
              <w:t>午</w:t>
            </w:r>
            <w:r>
              <w:rPr>
                <w:rFonts w:hint="eastAsia" w:ascii="宋体" w:hAnsi="宋体"/>
                <w:color w:val="auto"/>
                <w:sz w:val="21"/>
                <w:szCs w:val="21"/>
                <w:lang w:val="en-US" w:eastAsia="zh-CN"/>
              </w:rPr>
              <w:t>14</w:t>
            </w:r>
            <w:r>
              <w:rPr>
                <w:rFonts w:ascii="宋体" w:hAnsi="宋体"/>
                <w:color w:val="auto"/>
                <w:sz w:val="21"/>
                <w:szCs w:val="21"/>
              </w:rPr>
              <w:t>:30（北京时间）</w:t>
            </w:r>
          </w:p>
          <w:p>
            <w:pPr>
              <w:spacing w:line="300" w:lineRule="auto"/>
              <w:ind w:left="1050" w:hanging="1050" w:hangingChars="500"/>
              <w:rPr>
                <w:rFonts w:ascii="宋体" w:hAnsi="宋体"/>
                <w:color w:val="auto"/>
                <w:sz w:val="21"/>
                <w:szCs w:val="21"/>
              </w:rPr>
            </w:pPr>
            <w:r>
              <w:rPr>
                <w:rFonts w:ascii="宋体" w:hAnsi="宋体"/>
                <w:color w:val="auto"/>
                <w:sz w:val="21"/>
                <w:szCs w:val="21"/>
              </w:rPr>
              <w:t>开标地点：</w:t>
            </w:r>
            <w:r>
              <w:rPr>
                <w:rFonts w:hint="eastAsia" w:ascii="宋体" w:hAnsi="宋体"/>
                <w:color w:val="auto"/>
                <w:sz w:val="21"/>
                <w:szCs w:val="21"/>
              </w:rPr>
              <w:t>广州市广仁路1号广仁大厦7楼广东华伦招标有限公司</w:t>
            </w:r>
            <w:r>
              <w:rPr>
                <w:rFonts w:ascii="宋体" w:hAnsi="宋体"/>
                <w:color w:val="auto"/>
                <w:sz w:val="21"/>
                <w:szCs w:val="21"/>
              </w:rPr>
              <w:t>会议室</w:t>
            </w:r>
          </w:p>
        </w:tc>
      </w:tr>
      <w:bookmarkEnd w:id="5"/>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708" w:type="dxa"/>
            <w:vAlign w:val="center"/>
          </w:tcPr>
          <w:p>
            <w:pPr>
              <w:jc w:val="center"/>
              <w:rPr>
                <w:rFonts w:ascii="宋体" w:hAnsi="宋体"/>
                <w:sz w:val="21"/>
                <w:szCs w:val="21"/>
              </w:rPr>
            </w:pPr>
            <w:r>
              <w:rPr>
                <w:rFonts w:ascii="宋体" w:hAnsi="宋体"/>
                <w:sz w:val="21"/>
                <w:szCs w:val="21"/>
              </w:rPr>
              <w:t>23.1</w:t>
            </w:r>
          </w:p>
        </w:tc>
        <w:tc>
          <w:tcPr>
            <w:tcW w:w="6988" w:type="dxa"/>
            <w:vAlign w:val="center"/>
          </w:tcPr>
          <w:p>
            <w:pPr>
              <w:pStyle w:val="48"/>
              <w:widowControl w:val="0"/>
              <w:adjustRightInd w:val="0"/>
              <w:spacing w:before="0" w:beforeAutospacing="0" w:after="0" w:afterAutospacing="0"/>
              <w:jc w:val="both"/>
              <w:textAlignment w:val="baseline"/>
              <w:rPr>
                <w:rFonts w:ascii="宋体" w:hAnsi="宋体"/>
                <w:sz w:val="21"/>
                <w:szCs w:val="21"/>
              </w:rPr>
            </w:pPr>
            <w:r>
              <w:rPr>
                <w:rFonts w:ascii="宋体" w:hAnsi="宋体"/>
                <w:sz w:val="21"/>
                <w:szCs w:val="21"/>
              </w:rPr>
              <w:t>评标方法：最低评标价法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trPr>
        <w:tc>
          <w:tcPr>
            <w:tcW w:w="1708" w:type="dxa"/>
            <w:vAlign w:val="center"/>
          </w:tcPr>
          <w:p>
            <w:pPr>
              <w:spacing w:line="360" w:lineRule="auto"/>
              <w:jc w:val="center"/>
              <w:rPr>
                <w:rFonts w:ascii="宋体" w:hAnsi="宋体"/>
                <w:sz w:val="21"/>
                <w:szCs w:val="21"/>
              </w:rPr>
            </w:pPr>
            <w:r>
              <w:rPr>
                <w:rFonts w:ascii="宋体" w:hAnsi="宋体"/>
                <w:sz w:val="21"/>
                <w:szCs w:val="21"/>
              </w:rPr>
              <w:t>24.5.1 13）</w:t>
            </w:r>
          </w:p>
        </w:tc>
        <w:tc>
          <w:tcPr>
            <w:tcW w:w="6988" w:type="dxa"/>
          </w:tcPr>
          <w:p>
            <w:pPr>
              <w:spacing w:line="300" w:lineRule="auto"/>
              <w:ind w:right="29" w:rightChars="12"/>
              <w:rPr>
                <w:rFonts w:ascii="宋体" w:hAnsi="宋体"/>
                <w:b/>
                <w:bCs/>
                <w:sz w:val="21"/>
                <w:szCs w:val="21"/>
                <w:u w:val="single"/>
              </w:rPr>
            </w:pPr>
            <w:r>
              <w:rPr>
                <w:rFonts w:ascii="宋体" w:hAnsi="宋体"/>
                <w:b/>
                <w:bCs/>
                <w:sz w:val="21"/>
                <w:szCs w:val="21"/>
                <w:u w:val="single"/>
              </w:rPr>
              <w:t>否决投标的其他商务条款：</w:t>
            </w:r>
          </w:p>
          <w:p>
            <w:pPr>
              <w:spacing w:line="300" w:lineRule="auto"/>
              <w:ind w:right="29" w:rightChars="12"/>
              <w:rPr>
                <w:rFonts w:ascii="宋体" w:hAnsi="宋体"/>
                <w:b/>
                <w:bCs/>
                <w:sz w:val="21"/>
                <w:szCs w:val="21"/>
                <w:u w:val="single"/>
              </w:rPr>
            </w:pPr>
            <w:r>
              <w:rPr>
                <w:rFonts w:ascii="宋体" w:hAnsi="宋体"/>
                <w:b/>
                <w:bCs/>
                <w:sz w:val="21"/>
                <w:szCs w:val="21"/>
                <w:u w:val="single"/>
              </w:rPr>
              <w:t>如发现下列情况之一的，其投标将被否决：</w:t>
            </w:r>
          </w:p>
          <w:p>
            <w:pPr>
              <w:numPr>
                <w:ilvl w:val="0"/>
                <w:numId w:val="1"/>
              </w:numPr>
              <w:spacing w:line="300" w:lineRule="auto"/>
              <w:ind w:right="29" w:rightChars="12"/>
              <w:rPr>
                <w:rFonts w:ascii="宋体" w:hAnsi="宋体"/>
                <w:b/>
                <w:bCs/>
                <w:sz w:val="21"/>
                <w:szCs w:val="21"/>
                <w:u w:val="single"/>
              </w:rPr>
            </w:pPr>
            <w:r>
              <w:rPr>
                <w:rFonts w:ascii="宋体" w:hAnsi="宋体"/>
                <w:b/>
                <w:bCs/>
                <w:sz w:val="21"/>
                <w:szCs w:val="21"/>
                <w:u w:val="single"/>
              </w:rPr>
              <w:t>投标总价超过本项目各子包财政预算（最高限价）的；</w:t>
            </w:r>
          </w:p>
          <w:p>
            <w:pPr>
              <w:numPr>
                <w:ilvl w:val="0"/>
                <w:numId w:val="1"/>
              </w:numPr>
              <w:spacing w:line="300" w:lineRule="auto"/>
              <w:ind w:right="29" w:rightChars="12"/>
              <w:rPr>
                <w:rFonts w:ascii="宋体" w:hAnsi="宋体"/>
                <w:b/>
                <w:bCs/>
                <w:sz w:val="21"/>
                <w:szCs w:val="21"/>
                <w:u w:val="single"/>
              </w:rPr>
            </w:pPr>
            <w:r>
              <w:rPr>
                <w:rFonts w:ascii="宋体" w:hAnsi="宋体"/>
                <w:b/>
                <w:bCs/>
                <w:sz w:val="21"/>
                <w:szCs w:val="21"/>
                <w:u w:val="single"/>
              </w:rPr>
              <w:t>投标文件无单位负责人签字，或签字人无单位负责人有效授权书。</w:t>
            </w:r>
          </w:p>
          <w:p>
            <w:pPr>
              <w:numPr>
                <w:ilvl w:val="0"/>
                <w:numId w:val="1"/>
              </w:numPr>
              <w:spacing w:line="300" w:lineRule="auto"/>
              <w:ind w:right="29" w:rightChars="12"/>
              <w:rPr>
                <w:rFonts w:ascii="宋体" w:hAnsi="宋体"/>
                <w:b/>
                <w:bCs/>
                <w:sz w:val="21"/>
                <w:szCs w:val="21"/>
                <w:u w:val="single"/>
              </w:rPr>
            </w:pPr>
            <w:r>
              <w:rPr>
                <w:rFonts w:ascii="宋体" w:hAnsi="宋体"/>
                <w:b/>
                <w:bCs/>
                <w:sz w:val="21"/>
                <w:szCs w:val="21"/>
                <w:u w:val="single"/>
              </w:rPr>
              <w:t>没有对投标文件的报价部分、重要商务条款（投标产品的厂商授权书和交货期）和技术参数条款（加注“*”及“▲”的技术条款或参数）响应内容逐页小签。</w:t>
            </w:r>
          </w:p>
          <w:p>
            <w:pPr>
              <w:numPr>
                <w:ilvl w:val="0"/>
                <w:numId w:val="1"/>
              </w:numPr>
              <w:spacing w:line="300" w:lineRule="auto"/>
              <w:ind w:right="29" w:rightChars="12"/>
              <w:rPr>
                <w:rFonts w:ascii="宋体" w:hAnsi="宋体"/>
                <w:b/>
                <w:bCs/>
                <w:sz w:val="21"/>
                <w:szCs w:val="21"/>
                <w:u w:val="single"/>
              </w:rPr>
            </w:pPr>
            <w:r>
              <w:rPr>
                <w:rFonts w:ascii="宋体" w:hAnsi="宋体"/>
                <w:b/>
                <w:bCs/>
                <w:sz w:val="21"/>
                <w:szCs w:val="21"/>
                <w:u w:val="single"/>
              </w:rPr>
              <w:t>付款方法和条件不符合招标文件要求的。</w:t>
            </w:r>
          </w:p>
          <w:p>
            <w:pPr>
              <w:numPr>
                <w:ilvl w:val="0"/>
                <w:numId w:val="1"/>
              </w:numPr>
              <w:spacing w:line="300" w:lineRule="auto"/>
              <w:ind w:right="29" w:rightChars="12"/>
              <w:rPr>
                <w:rFonts w:ascii="宋体" w:hAnsi="宋体"/>
                <w:b/>
                <w:bCs/>
                <w:sz w:val="21"/>
                <w:szCs w:val="21"/>
                <w:u w:val="single"/>
              </w:rPr>
            </w:pPr>
            <w:r>
              <w:rPr>
                <w:rFonts w:ascii="宋体" w:hAnsi="宋体"/>
                <w:b/>
                <w:bCs/>
                <w:sz w:val="21"/>
                <w:szCs w:val="21"/>
                <w:u w:val="single"/>
              </w:rPr>
              <w:t>未按以下要求提供授权文件的：</w:t>
            </w:r>
          </w:p>
          <w:p>
            <w:pPr>
              <w:spacing w:line="300" w:lineRule="auto"/>
              <w:ind w:right="29" w:rightChars="12" w:firstLine="422" w:firstLineChars="200"/>
              <w:rPr>
                <w:rFonts w:ascii="宋体" w:hAnsi="宋体"/>
                <w:b/>
                <w:bCs/>
                <w:sz w:val="21"/>
                <w:szCs w:val="21"/>
                <w:u w:val="single"/>
              </w:rPr>
            </w:pPr>
            <w:r>
              <w:rPr>
                <w:rFonts w:ascii="宋体" w:hAnsi="宋体"/>
                <w:b/>
                <w:bCs/>
                <w:sz w:val="21"/>
                <w:szCs w:val="21"/>
                <w:u w:val="single"/>
              </w:rPr>
              <w:t>单台、单项或同一厂家生产的设备总价在10万元人民币以上（含10万元）的，若投标人不是制造商，必须提供制造商或制造商指定的代理商（经销商）出具的合法授权文件。若该授权文件为制造商指定的代理商（经销商）出具的，还必须提供制造商对制造商指定的代理商（经销商）出具的合法代理证明。</w:t>
            </w:r>
          </w:p>
          <w:p>
            <w:pPr>
              <w:spacing w:line="300" w:lineRule="auto"/>
              <w:ind w:right="29" w:rightChars="12"/>
              <w:rPr>
                <w:rFonts w:ascii="宋体" w:hAnsi="宋体"/>
                <w:b/>
                <w:bCs/>
                <w:sz w:val="21"/>
                <w:szCs w:val="21"/>
              </w:rPr>
            </w:pPr>
            <w:r>
              <w:rPr>
                <w:rFonts w:hint="eastAsia" w:ascii="宋体" w:hAnsi="宋体"/>
                <w:b/>
                <w:bCs/>
                <w:sz w:val="21"/>
                <w:szCs w:val="21"/>
              </w:rPr>
              <w:t>6.  未按以下要求提供原产地声明/证明的：</w:t>
            </w:r>
          </w:p>
          <w:p>
            <w:pPr>
              <w:spacing w:line="300" w:lineRule="auto"/>
              <w:ind w:right="29" w:rightChars="12"/>
              <w:rPr>
                <w:rFonts w:ascii="宋体" w:hAnsi="宋体"/>
                <w:b/>
                <w:bCs/>
                <w:sz w:val="21"/>
                <w:szCs w:val="21"/>
                <w:u w:val="single"/>
              </w:rPr>
            </w:pPr>
            <w:r>
              <w:rPr>
                <w:rFonts w:hint="eastAsia" w:ascii="宋体" w:hAnsi="宋体"/>
                <w:b/>
                <w:bCs/>
                <w:sz w:val="21"/>
                <w:szCs w:val="21"/>
              </w:rPr>
              <w:t xml:space="preserve">   </w:t>
            </w:r>
            <w:r>
              <w:rPr>
                <w:rFonts w:hint="eastAsia" w:ascii="宋体" w:hAnsi="宋体"/>
                <w:b/>
                <w:bCs/>
                <w:sz w:val="21"/>
                <w:szCs w:val="21"/>
                <w:u w:val="single"/>
              </w:rPr>
              <w:t>单台或单项设备总价在10万元人民币以上（含10万元）的，必须提供制造商或制造商指定的一级代理商（经销商）出具的关于该设备原产地的声明/证明。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708" w:type="dxa"/>
            <w:vAlign w:val="center"/>
          </w:tcPr>
          <w:p>
            <w:pPr>
              <w:jc w:val="center"/>
              <w:rPr>
                <w:rFonts w:ascii="宋体" w:hAnsi="宋体"/>
                <w:sz w:val="21"/>
                <w:szCs w:val="21"/>
              </w:rPr>
            </w:pPr>
            <w:r>
              <w:rPr>
                <w:rFonts w:ascii="宋体" w:hAnsi="宋体"/>
                <w:sz w:val="21"/>
                <w:szCs w:val="21"/>
              </w:rPr>
              <w:t>26.3</w:t>
            </w:r>
          </w:p>
        </w:tc>
        <w:tc>
          <w:tcPr>
            <w:tcW w:w="6988" w:type="dxa"/>
            <w:vAlign w:val="center"/>
          </w:tcPr>
          <w:p>
            <w:pPr>
              <w:ind w:right="29" w:rightChars="12"/>
              <w:jc w:val="both"/>
              <w:rPr>
                <w:rFonts w:ascii="宋体" w:hAnsi="宋体"/>
                <w:sz w:val="21"/>
                <w:szCs w:val="21"/>
              </w:rPr>
            </w:pPr>
            <w:r>
              <w:rPr>
                <w:rFonts w:ascii="宋体" w:hAnsi="宋体"/>
                <w:sz w:val="21"/>
                <w:szCs w:val="21"/>
              </w:rPr>
              <w:t>评标价量化因素： 1）、2）、4)、7）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708" w:type="dxa"/>
            <w:vAlign w:val="center"/>
          </w:tcPr>
          <w:p>
            <w:pPr>
              <w:jc w:val="center"/>
              <w:rPr>
                <w:rFonts w:ascii="宋体" w:hAnsi="宋体"/>
                <w:sz w:val="21"/>
                <w:szCs w:val="21"/>
              </w:rPr>
            </w:pPr>
            <w:r>
              <w:rPr>
                <w:rFonts w:ascii="宋体" w:hAnsi="宋体"/>
                <w:sz w:val="21"/>
                <w:szCs w:val="21"/>
              </w:rPr>
              <w:t>26.4.2</w:t>
            </w:r>
          </w:p>
        </w:tc>
        <w:tc>
          <w:tcPr>
            <w:tcW w:w="6988" w:type="dxa"/>
          </w:tcPr>
          <w:p>
            <w:pPr>
              <w:ind w:right="29" w:rightChars="12"/>
              <w:rPr>
                <w:rFonts w:ascii="宋体" w:hAnsi="宋体"/>
                <w:sz w:val="21"/>
                <w:szCs w:val="21"/>
              </w:rPr>
            </w:pPr>
            <w:r>
              <w:rPr>
                <w:rFonts w:ascii="宋体" w:hAnsi="宋体"/>
                <w:sz w:val="21"/>
                <w:szCs w:val="21"/>
              </w:rPr>
              <w:t>交货期的偏离：</w:t>
            </w:r>
          </w:p>
          <w:p>
            <w:pPr>
              <w:ind w:right="29" w:rightChars="12"/>
              <w:rPr>
                <w:rFonts w:ascii="宋体" w:hAnsi="宋体"/>
                <w:sz w:val="21"/>
                <w:szCs w:val="21"/>
              </w:rPr>
            </w:pPr>
            <w:r>
              <w:rPr>
                <w:rFonts w:ascii="宋体" w:hAnsi="宋体"/>
                <w:sz w:val="21"/>
                <w:szCs w:val="21"/>
              </w:rPr>
              <w:t>所选方案：见招标文件第一册26.4.2  2)</w:t>
            </w:r>
          </w:p>
          <w:p>
            <w:pPr>
              <w:ind w:right="29" w:rightChars="12"/>
              <w:rPr>
                <w:rFonts w:ascii="宋体" w:hAnsi="宋体"/>
                <w:sz w:val="21"/>
                <w:szCs w:val="21"/>
              </w:rPr>
            </w:pPr>
            <w:r>
              <w:rPr>
                <w:rFonts w:ascii="宋体" w:hAnsi="宋体"/>
                <w:sz w:val="21"/>
                <w:szCs w:val="21"/>
              </w:rPr>
              <w:t>调整用的百分比（%）：每超过一周评标价增加0.5%，但</w:t>
            </w:r>
            <w:r>
              <w:rPr>
                <w:rFonts w:ascii="宋体" w:hAnsi="宋体"/>
                <w:b/>
                <w:bCs/>
                <w:sz w:val="21"/>
                <w:szCs w:val="21"/>
              </w:rPr>
              <w:t>交货期超过招标文件的要求5周及以上将否决投标。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708" w:type="dxa"/>
            <w:vAlign w:val="center"/>
          </w:tcPr>
          <w:p>
            <w:pPr>
              <w:jc w:val="center"/>
              <w:rPr>
                <w:rFonts w:ascii="宋体" w:hAnsi="宋体"/>
                <w:sz w:val="21"/>
                <w:szCs w:val="21"/>
              </w:rPr>
            </w:pPr>
            <w:r>
              <w:rPr>
                <w:rFonts w:ascii="宋体" w:hAnsi="宋体"/>
                <w:sz w:val="21"/>
                <w:szCs w:val="21"/>
              </w:rPr>
              <w:t>26.4.7</w:t>
            </w:r>
          </w:p>
        </w:tc>
        <w:tc>
          <w:tcPr>
            <w:tcW w:w="6988" w:type="dxa"/>
          </w:tcPr>
          <w:p>
            <w:pPr>
              <w:ind w:right="29" w:rightChars="12"/>
              <w:rPr>
                <w:rFonts w:ascii="宋体" w:hAnsi="宋体"/>
                <w:sz w:val="21"/>
                <w:szCs w:val="21"/>
              </w:rPr>
            </w:pPr>
            <w:r>
              <w:rPr>
                <w:rFonts w:ascii="宋体" w:hAnsi="宋体"/>
                <w:sz w:val="21"/>
                <w:szCs w:val="21"/>
              </w:rPr>
              <w:t>设备性能和生产率：</w:t>
            </w:r>
          </w:p>
          <w:p>
            <w:pPr>
              <w:ind w:right="29" w:rightChars="12"/>
              <w:rPr>
                <w:rFonts w:ascii="宋体" w:hAnsi="宋体"/>
                <w:sz w:val="21"/>
                <w:szCs w:val="21"/>
              </w:rPr>
            </w:pPr>
            <w:r>
              <w:rPr>
                <w:rFonts w:ascii="宋体" w:hAnsi="宋体"/>
                <w:sz w:val="21"/>
                <w:szCs w:val="21"/>
              </w:rPr>
              <w:t>所选方案： 1)</w:t>
            </w:r>
          </w:p>
          <w:p>
            <w:pPr>
              <w:ind w:right="29" w:rightChars="12"/>
              <w:rPr>
                <w:rFonts w:ascii="宋体" w:hAnsi="宋体"/>
                <w:b/>
                <w:sz w:val="21"/>
                <w:szCs w:val="21"/>
              </w:rPr>
            </w:pPr>
            <w:r>
              <w:rPr>
                <w:rFonts w:ascii="宋体" w:hAnsi="宋体"/>
                <w:b/>
                <w:sz w:val="21"/>
                <w:szCs w:val="21"/>
              </w:rPr>
              <w:t>技术规格书中标注“*”号的为关键技术参数，对这些关键技术参数的任何偏离将导致投标被否决。</w:t>
            </w:r>
          </w:p>
          <w:p>
            <w:pPr>
              <w:ind w:right="29" w:rightChars="12"/>
              <w:rPr>
                <w:rFonts w:ascii="宋体" w:hAnsi="宋体"/>
                <w:b/>
                <w:sz w:val="21"/>
                <w:szCs w:val="21"/>
              </w:rPr>
            </w:pPr>
            <w:r>
              <w:rPr>
                <w:rFonts w:ascii="宋体" w:hAnsi="宋体"/>
                <w:b/>
                <w:sz w:val="21"/>
                <w:szCs w:val="21"/>
              </w:rPr>
              <w:t>对非关键技术参数指标如有偏离，每出现一项偏离，其评标价增加投标总价的1%。</w:t>
            </w:r>
          </w:p>
          <w:p>
            <w:pPr>
              <w:ind w:right="29" w:rightChars="12"/>
              <w:rPr>
                <w:rFonts w:ascii="宋体" w:hAnsi="宋体"/>
                <w:b/>
                <w:bCs/>
                <w:sz w:val="21"/>
                <w:szCs w:val="21"/>
              </w:rPr>
            </w:pPr>
            <w:r>
              <w:rPr>
                <w:rFonts w:ascii="宋体" w:hAnsi="宋体"/>
                <w:b/>
                <w:sz w:val="21"/>
                <w:szCs w:val="21"/>
              </w:rPr>
              <w:t>一项加注“▲”号的技术条款负偏离视同两项一般技术条款负偏离，一般技术条款累计负偏离项数＞5项将导致投标被否决。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69" w:hRule="atLeast"/>
        </w:trPr>
        <w:tc>
          <w:tcPr>
            <w:tcW w:w="1708" w:type="dxa"/>
            <w:vAlign w:val="center"/>
          </w:tcPr>
          <w:p>
            <w:pPr>
              <w:jc w:val="center"/>
              <w:rPr>
                <w:rFonts w:ascii="宋体" w:hAnsi="宋体"/>
                <w:sz w:val="21"/>
                <w:szCs w:val="21"/>
              </w:rPr>
            </w:pPr>
            <w:r>
              <w:rPr>
                <w:rFonts w:ascii="宋体" w:hAnsi="宋体"/>
                <w:sz w:val="21"/>
                <w:szCs w:val="21"/>
              </w:rPr>
              <w:t>26.4.8</w:t>
            </w:r>
          </w:p>
        </w:tc>
        <w:tc>
          <w:tcPr>
            <w:tcW w:w="6988" w:type="dxa"/>
            <w:vAlign w:val="center"/>
          </w:tcPr>
          <w:p>
            <w:pPr>
              <w:ind w:left="315" w:right="29" w:rightChars="12" w:hanging="315" w:hangingChars="150"/>
              <w:rPr>
                <w:rFonts w:ascii="宋体" w:hAnsi="宋体"/>
                <w:b/>
                <w:bCs/>
                <w:sz w:val="21"/>
                <w:szCs w:val="21"/>
              </w:rPr>
            </w:pPr>
            <w:r>
              <w:rPr>
                <w:rFonts w:ascii="宋体" w:hAnsi="宋体"/>
                <w:sz w:val="21"/>
                <w:szCs w:val="21"/>
              </w:rPr>
              <w:t>1、对于招标文件第一册附件5技术规格响应/偏离表，投标人必须按招标文件顺序对全部技术要求逐项响应，对带“*”的技术参数，必须注明“*”并提供技术支持资料</w:t>
            </w:r>
            <w:r>
              <w:rPr>
                <w:rFonts w:ascii="宋体" w:hAnsi="宋体"/>
                <w:b/>
                <w:bCs/>
                <w:sz w:val="21"/>
                <w:szCs w:val="21"/>
              </w:rPr>
              <w:t>（需在技术规格响应/偏离表注明相应技术支持资料在投标文件的位置）</w:t>
            </w:r>
            <w:r>
              <w:rPr>
                <w:rFonts w:ascii="宋体" w:hAnsi="宋体"/>
                <w:sz w:val="21"/>
                <w:szCs w:val="21"/>
              </w:rPr>
              <w:t>。</w:t>
            </w:r>
            <w:r>
              <w:rPr>
                <w:rFonts w:ascii="宋体" w:hAnsi="宋体"/>
                <w:b/>
                <w:bCs/>
                <w:sz w:val="21"/>
                <w:szCs w:val="21"/>
              </w:rPr>
              <w:t>带“*”的技术参数未提供技术支持资料的，投标将被否决。</w:t>
            </w:r>
            <w:r>
              <w:rPr>
                <w:rFonts w:ascii="宋体" w:hAnsi="宋体"/>
                <w:b/>
                <w:sz w:val="21"/>
                <w:szCs w:val="21"/>
              </w:rPr>
              <w:t>带“▲”的技术参数未提供技术支持资料的，视为负偏离。</w:t>
            </w:r>
          </w:p>
          <w:p>
            <w:pPr>
              <w:ind w:left="315" w:right="29" w:rightChars="12" w:hanging="315" w:hangingChars="150"/>
              <w:rPr>
                <w:rFonts w:ascii="宋体" w:hAnsi="宋体"/>
                <w:sz w:val="21"/>
                <w:szCs w:val="21"/>
              </w:rPr>
            </w:pPr>
            <w:r>
              <w:rPr>
                <w:rFonts w:ascii="宋体" w:hAnsi="宋体"/>
                <w:sz w:val="21"/>
                <w:szCs w:val="21"/>
              </w:rPr>
              <w:t>2、若技术规格响应/偏离表的技术响应优于投标文件内的厂家技术支持资料（含投标文件附带的公开印刷宣传资料）的技术参数，投标人必须相应在技术规格响应/偏离表说明改变技术参数的原理或原因。否则，评标时不予认可。</w:t>
            </w:r>
          </w:p>
          <w:p>
            <w:pPr>
              <w:ind w:left="315" w:right="29" w:rightChars="12" w:hanging="315" w:hangingChars="150"/>
              <w:rPr>
                <w:rFonts w:ascii="宋体" w:hAnsi="宋体"/>
                <w:sz w:val="21"/>
                <w:szCs w:val="21"/>
              </w:rPr>
            </w:pPr>
            <w:r>
              <w:rPr>
                <w:rFonts w:ascii="宋体" w:hAnsi="宋体"/>
                <w:sz w:val="21"/>
                <w:szCs w:val="21"/>
              </w:rPr>
              <w:t>3、投标人的价格变更声明应在开标一览表中明确填写，在开标时一并唱出，否则在评标时不予承认。投标总价中不得包含招标文件要求以外的内容。否则，在评标时不予核减。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708" w:type="dxa"/>
            <w:vAlign w:val="center"/>
          </w:tcPr>
          <w:p>
            <w:pPr>
              <w:jc w:val="center"/>
              <w:rPr>
                <w:rFonts w:ascii="宋体" w:hAnsi="宋体"/>
                <w:sz w:val="21"/>
                <w:szCs w:val="21"/>
              </w:rPr>
            </w:pPr>
            <w:r>
              <w:rPr>
                <w:rFonts w:ascii="宋体" w:hAnsi="宋体"/>
                <w:sz w:val="21"/>
                <w:szCs w:val="21"/>
              </w:rPr>
              <w:t>26.5</w:t>
            </w:r>
          </w:p>
        </w:tc>
        <w:tc>
          <w:tcPr>
            <w:tcW w:w="6988" w:type="dxa"/>
            <w:vAlign w:val="center"/>
          </w:tcPr>
          <w:p>
            <w:pPr>
              <w:rPr>
                <w:rFonts w:ascii="宋体" w:hAnsi="宋体"/>
                <w:sz w:val="21"/>
                <w:szCs w:val="21"/>
              </w:rPr>
            </w:pPr>
            <w:r>
              <w:rPr>
                <w:rFonts w:ascii="宋体" w:hAnsi="宋体"/>
                <w:sz w:val="21"/>
                <w:szCs w:val="21"/>
              </w:rPr>
              <w:t>中标候选人数量：不超过3个。</w:t>
            </w:r>
          </w:p>
          <w:p>
            <w:pPr>
              <w:rPr>
                <w:rFonts w:ascii="宋体" w:hAnsi="宋体"/>
                <w:sz w:val="21"/>
                <w:szCs w:val="21"/>
              </w:rPr>
            </w:pPr>
            <w:r>
              <w:rPr>
                <w:rFonts w:ascii="宋体" w:hAnsi="宋体"/>
                <w:sz w:val="21"/>
                <w:szCs w:val="21"/>
              </w:rPr>
              <w:t>按投标人评标价格由低到高的顺序确定中标候选人。</w:t>
            </w:r>
          </w:p>
          <w:p>
            <w:pPr>
              <w:rPr>
                <w:rFonts w:ascii="宋体" w:hAnsi="宋体"/>
                <w:sz w:val="21"/>
                <w:szCs w:val="21"/>
              </w:rPr>
            </w:pPr>
            <w:r>
              <w:rPr>
                <w:rFonts w:ascii="宋体" w:hAnsi="宋体"/>
                <w:sz w:val="21"/>
                <w:szCs w:val="21"/>
              </w:rPr>
              <w:t>评标价格最低者为排名第一的中标候选人。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708" w:type="dxa"/>
            <w:vAlign w:val="center"/>
          </w:tcPr>
          <w:p>
            <w:pPr>
              <w:jc w:val="center"/>
              <w:rPr>
                <w:rFonts w:ascii="宋体" w:hAnsi="宋体"/>
                <w:sz w:val="21"/>
                <w:szCs w:val="21"/>
              </w:rPr>
            </w:pPr>
            <w:r>
              <w:rPr>
                <w:rFonts w:ascii="宋体" w:hAnsi="宋体"/>
                <w:sz w:val="21"/>
                <w:szCs w:val="21"/>
              </w:rPr>
              <w:t>27.4.2  3）</w:t>
            </w:r>
          </w:p>
        </w:tc>
        <w:tc>
          <w:tcPr>
            <w:tcW w:w="6988" w:type="dxa"/>
            <w:vAlign w:val="center"/>
          </w:tcPr>
          <w:p>
            <w:pPr>
              <w:rPr>
                <w:rFonts w:ascii="宋体" w:hAnsi="宋体"/>
                <w:b/>
                <w:bCs/>
                <w:sz w:val="21"/>
                <w:szCs w:val="21"/>
              </w:rPr>
            </w:pPr>
            <w:r>
              <w:rPr>
                <w:rFonts w:ascii="宋体" w:hAnsi="宋体"/>
                <w:b/>
                <w:bCs/>
                <w:sz w:val="21"/>
                <w:szCs w:val="21"/>
              </w:rPr>
              <w:t>其他商务评价因素的评价：</w:t>
            </w:r>
          </w:p>
          <w:p>
            <w:pPr>
              <w:rPr>
                <w:rFonts w:ascii="宋体" w:hAnsi="宋体"/>
                <w:sz w:val="21"/>
                <w:szCs w:val="21"/>
              </w:rPr>
            </w:pPr>
            <w:r>
              <w:rPr>
                <w:rFonts w:ascii="宋体" w:hAnsi="宋体"/>
                <w:b/>
                <w:bCs/>
                <w:sz w:val="21"/>
                <w:szCs w:val="21"/>
              </w:rPr>
              <w:t>对非关键商务条款（交货期除外）如有偏离，每出现一项偏离，其评标价增加投标总价的1%，但累计调整不得超过投标总价的3%，否则将导致投标被否决。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26" w:hRule="atLeast"/>
        </w:trPr>
        <w:tc>
          <w:tcPr>
            <w:tcW w:w="8696" w:type="dxa"/>
            <w:gridSpan w:val="2"/>
            <w:vAlign w:val="center"/>
          </w:tcPr>
          <w:p>
            <w:pPr>
              <w:jc w:val="center"/>
              <w:rPr>
                <w:rFonts w:ascii="宋体" w:hAnsi="宋体"/>
                <w:kern w:val="2"/>
                <w:sz w:val="21"/>
                <w:szCs w:val="21"/>
              </w:rPr>
            </w:pPr>
            <w:r>
              <w:rPr>
                <w:rFonts w:ascii="宋体" w:hAnsi="宋体"/>
                <w:kern w:val="2"/>
                <w:sz w:val="21"/>
                <w:szCs w:val="21"/>
              </w:rPr>
              <w:t>六、授予合同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69" w:hRule="atLeast"/>
        </w:trPr>
        <w:tc>
          <w:tcPr>
            <w:tcW w:w="1708" w:type="dxa"/>
            <w:vAlign w:val="center"/>
          </w:tcPr>
          <w:p>
            <w:pPr>
              <w:jc w:val="center"/>
              <w:rPr>
                <w:rFonts w:ascii="宋体" w:hAnsi="宋体"/>
                <w:sz w:val="21"/>
                <w:szCs w:val="21"/>
              </w:rPr>
            </w:pPr>
            <w:r>
              <w:rPr>
                <w:rFonts w:ascii="宋体" w:hAnsi="宋体"/>
                <w:sz w:val="21"/>
                <w:szCs w:val="21"/>
              </w:rPr>
              <w:t>30</w:t>
            </w:r>
          </w:p>
        </w:tc>
        <w:tc>
          <w:tcPr>
            <w:tcW w:w="6988" w:type="dxa"/>
            <w:vAlign w:val="center"/>
          </w:tcPr>
          <w:p>
            <w:pPr>
              <w:rPr>
                <w:rFonts w:ascii="宋体" w:hAnsi="宋体"/>
                <w:sz w:val="21"/>
                <w:szCs w:val="21"/>
              </w:rPr>
            </w:pPr>
            <w:r>
              <w:rPr>
                <w:rFonts w:ascii="宋体" w:hAnsi="宋体"/>
                <w:sz w:val="21"/>
                <w:szCs w:val="21"/>
              </w:rPr>
              <w:t>合同授予前对最低评标价的投标人审查：30.1，2</w:t>
            </w:r>
          </w:p>
          <w:p>
            <w:pPr>
              <w:rPr>
                <w:rFonts w:ascii="宋体" w:hAnsi="宋体"/>
                <w:sz w:val="21"/>
                <w:szCs w:val="21"/>
              </w:rPr>
            </w:pPr>
            <w:r>
              <w:rPr>
                <w:rFonts w:ascii="宋体" w:hAnsi="宋体"/>
                <w:sz w:val="21"/>
                <w:szCs w:val="21"/>
              </w:rPr>
              <w:t>若查出投标人的最低评标价是其所提供的货物不符合第八章的配置及服务完整要求而造成设备配置或服务有缺漏项而形成的，最低评标价的投标人应承诺：无条件给予完整配置，且投标价不</w:t>
            </w:r>
          </w:p>
          <w:p>
            <w:pPr>
              <w:rPr>
                <w:rFonts w:ascii="宋体" w:hAnsi="宋体"/>
                <w:sz w:val="21"/>
                <w:szCs w:val="21"/>
              </w:rPr>
            </w:pPr>
            <w:r>
              <w:rPr>
                <w:rFonts w:ascii="宋体" w:hAnsi="宋体"/>
                <w:sz w:val="21"/>
                <w:szCs w:val="21"/>
              </w:rPr>
              <w:t>变，否则评标委员会将否决其投标，而不授予合同。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708" w:type="dxa"/>
            <w:vAlign w:val="center"/>
          </w:tcPr>
          <w:p>
            <w:pPr>
              <w:jc w:val="center"/>
              <w:rPr>
                <w:rFonts w:ascii="宋体" w:hAnsi="宋体"/>
                <w:b/>
                <w:bCs/>
                <w:sz w:val="21"/>
                <w:szCs w:val="21"/>
                <w:u w:val="single"/>
              </w:rPr>
            </w:pPr>
            <w:r>
              <w:rPr>
                <w:rFonts w:ascii="宋体" w:hAnsi="宋体"/>
                <w:b/>
                <w:bCs/>
                <w:sz w:val="21"/>
                <w:szCs w:val="21"/>
                <w:u w:val="single"/>
              </w:rPr>
              <w:t>*35.1</w:t>
            </w:r>
          </w:p>
        </w:tc>
        <w:tc>
          <w:tcPr>
            <w:tcW w:w="6988" w:type="dxa"/>
            <w:vAlign w:val="center"/>
          </w:tcPr>
          <w:p>
            <w:pPr>
              <w:rPr>
                <w:rFonts w:ascii="宋体" w:hAnsi="宋体"/>
                <w:b/>
                <w:bCs/>
                <w:sz w:val="21"/>
                <w:szCs w:val="21"/>
                <w:u w:val="single"/>
              </w:rPr>
            </w:pPr>
            <w:r>
              <w:rPr>
                <w:rFonts w:ascii="宋体" w:hAnsi="宋体"/>
                <w:b/>
                <w:bCs/>
                <w:sz w:val="21"/>
                <w:szCs w:val="21"/>
                <w:u w:val="single"/>
              </w:rPr>
              <w:t>履约保证金：见招标文件第八章《货物需求一览表、技术规格及商务要求》中的第二部分“商务要求”。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708" w:type="dxa"/>
            <w:vAlign w:val="center"/>
          </w:tcPr>
          <w:p>
            <w:pPr>
              <w:jc w:val="center"/>
              <w:rPr>
                <w:rFonts w:ascii="宋体" w:hAnsi="宋体"/>
                <w:sz w:val="21"/>
                <w:szCs w:val="21"/>
              </w:rPr>
            </w:pPr>
            <w:r>
              <w:rPr>
                <w:rFonts w:ascii="宋体" w:hAnsi="宋体"/>
                <w:sz w:val="21"/>
                <w:szCs w:val="21"/>
              </w:rPr>
              <w:t>36</w:t>
            </w:r>
          </w:p>
        </w:tc>
        <w:tc>
          <w:tcPr>
            <w:tcW w:w="6988" w:type="dxa"/>
            <w:vAlign w:val="center"/>
          </w:tcPr>
          <w:p>
            <w:pPr>
              <w:rPr>
                <w:rFonts w:ascii="宋体" w:hAnsi="宋体"/>
                <w:sz w:val="21"/>
                <w:szCs w:val="21"/>
              </w:rPr>
            </w:pPr>
            <w:r>
              <w:rPr>
                <w:rFonts w:ascii="宋体" w:hAnsi="宋体"/>
                <w:sz w:val="21"/>
                <w:szCs w:val="21"/>
              </w:rPr>
              <w:t>有关中标服务费见招标文件第二册第九章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11" w:hRule="atLeast"/>
        </w:trPr>
        <w:tc>
          <w:tcPr>
            <w:tcW w:w="8696" w:type="dxa"/>
            <w:gridSpan w:val="2"/>
            <w:tcBorders>
              <w:top w:val="single" w:color="auto" w:sz="12" w:space="0"/>
              <w:left w:val="single" w:color="auto" w:sz="12" w:space="0"/>
              <w:bottom w:val="single" w:color="auto" w:sz="12" w:space="0"/>
              <w:right w:val="single" w:color="auto" w:sz="12" w:space="0"/>
            </w:tcBorders>
            <w:vAlign w:val="center"/>
          </w:tcPr>
          <w:p>
            <w:pPr>
              <w:ind w:left="105"/>
              <w:rPr>
                <w:rFonts w:ascii="宋体" w:hAnsi="宋体"/>
                <w:sz w:val="21"/>
                <w:szCs w:val="21"/>
              </w:rPr>
            </w:pPr>
            <w:r>
              <w:rPr>
                <w:rFonts w:ascii="宋体" w:hAnsi="宋体"/>
                <w:sz w:val="21"/>
                <w:szCs w:val="21"/>
              </w:rPr>
              <w:t>适用于本投标人须知的额外增加的变动：无</w:t>
            </w:r>
          </w:p>
        </w:tc>
      </w:tr>
    </w:tbl>
    <w:p>
      <w:pPr>
        <w:spacing w:line="480" w:lineRule="auto"/>
        <w:jc w:val="center"/>
        <w:rPr>
          <w:rFonts w:ascii="宋体" w:hAnsi="宋体"/>
          <w:b/>
          <w:bCs/>
          <w:sz w:val="36"/>
          <w:szCs w:val="36"/>
        </w:rPr>
      </w:pPr>
    </w:p>
    <w:p>
      <w:pPr>
        <w:spacing w:line="480" w:lineRule="auto"/>
        <w:jc w:val="center"/>
        <w:rPr>
          <w:rFonts w:ascii="宋体" w:hAnsi="宋体"/>
          <w:b/>
          <w:bCs/>
          <w:sz w:val="36"/>
          <w:szCs w:val="36"/>
        </w:rPr>
      </w:pPr>
    </w:p>
    <w:p>
      <w:pPr>
        <w:spacing w:line="480" w:lineRule="auto"/>
        <w:jc w:val="center"/>
        <w:rPr>
          <w:rFonts w:ascii="宋体" w:hAnsi="宋体"/>
          <w:b/>
          <w:bCs/>
          <w:sz w:val="36"/>
          <w:szCs w:val="36"/>
        </w:rPr>
      </w:pPr>
    </w:p>
    <w:p>
      <w:pPr>
        <w:spacing w:line="480" w:lineRule="auto"/>
        <w:jc w:val="center"/>
        <w:rPr>
          <w:rFonts w:ascii="宋体" w:hAnsi="宋体"/>
          <w:b/>
          <w:bCs/>
          <w:sz w:val="36"/>
          <w:szCs w:val="36"/>
        </w:rPr>
      </w:pPr>
    </w:p>
    <w:p>
      <w:pPr>
        <w:widowControl/>
        <w:adjustRightInd/>
        <w:spacing w:line="240" w:lineRule="auto"/>
        <w:textAlignment w:val="auto"/>
        <w:rPr>
          <w:rFonts w:ascii="宋体" w:hAnsi="宋体"/>
          <w:b/>
          <w:bCs/>
          <w:sz w:val="32"/>
          <w:szCs w:val="32"/>
        </w:rPr>
      </w:pPr>
      <w:r>
        <w:rPr>
          <w:rFonts w:ascii="宋体" w:hAnsi="宋体"/>
          <w:b/>
          <w:bCs/>
          <w:sz w:val="32"/>
          <w:szCs w:val="32"/>
        </w:rPr>
        <w:br w:type="page"/>
      </w:r>
    </w:p>
    <w:p>
      <w:pPr>
        <w:spacing w:line="480" w:lineRule="auto"/>
        <w:jc w:val="center"/>
        <w:rPr>
          <w:rFonts w:ascii="宋体" w:hAnsi="宋体"/>
          <w:b/>
          <w:bCs/>
          <w:sz w:val="36"/>
          <w:szCs w:val="36"/>
        </w:rPr>
      </w:pPr>
    </w:p>
    <w:p>
      <w:pPr>
        <w:spacing w:line="480" w:lineRule="auto"/>
        <w:jc w:val="center"/>
        <w:rPr>
          <w:rFonts w:ascii="宋体" w:hAnsi="宋体"/>
          <w:b/>
          <w:bCs/>
          <w:sz w:val="36"/>
          <w:szCs w:val="36"/>
        </w:rPr>
      </w:pPr>
    </w:p>
    <w:p>
      <w:pPr>
        <w:spacing w:line="480" w:lineRule="auto"/>
        <w:jc w:val="center"/>
        <w:rPr>
          <w:rFonts w:ascii="宋体" w:hAnsi="宋体"/>
          <w:b/>
          <w:bCs/>
          <w:sz w:val="36"/>
          <w:szCs w:val="36"/>
        </w:rPr>
      </w:pPr>
    </w:p>
    <w:p>
      <w:pPr>
        <w:spacing w:line="480" w:lineRule="auto"/>
        <w:jc w:val="center"/>
        <w:rPr>
          <w:rFonts w:ascii="宋体" w:hAnsi="宋体"/>
          <w:b/>
          <w:bCs/>
          <w:sz w:val="36"/>
          <w:szCs w:val="36"/>
        </w:rPr>
      </w:pPr>
    </w:p>
    <w:p>
      <w:pPr>
        <w:jc w:val="center"/>
        <w:rPr>
          <w:rFonts w:ascii="宋体" w:hAnsi="宋体"/>
          <w:spacing w:val="20"/>
          <w:sz w:val="32"/>
          <w:szCs w:val="32"/>
        </w:rPr>
      </w:pPr>
      <w:r>
        <w:rPr>
          <w:rFonts w:ascii="宋体" w:hAnsi="宋体"/>
          <w:b/>
          <w:bCs/>
          <w:sz w:val="32"/>
          <w:szCs w:val="32"/>
        </w:rPr>
        <w:t>第七章合同专用条款</w:t>
      </w:r>
    </w:p>
    <w:p>
      <w:pPr>
        <w:jc w:val="center"/>
        <w:rPr>
          <w:rFonts w:ascii="宋体" w:hAnsi="宋体"/>
          <w:spacing w:val="20"/>
          <w:sz w:val="30"/>
          <w:szCs w:val="30"/>
        </w:rPr>
      </w:pPr>
    </w:p>
    <w:p>
      <w:pPr>
        <w:jc w:val="center"/>
        <w:rPr>
          <w:rFonts w:ascii="宋体" w:hAnsi="宋体"/>
          <w:spacing w:val="20"/>
          <w:sz w:val="30"/>
          <w:szCs w:val="30"/>
        </w:rPr>
      </w:pPr>
    </w:p>
    <w:p>
      <w:pPr>
        <w:jc w:val="center"/>
        <w:rPr>
          <w:rFonts w:ascii="宋体" w:hAnsi="宋体"/>
          <w:spacing w:val="20"/>
          <w:sz w:val="30"/>
          <w:szCs w:val="30"/>
        </w:rPr>
      </w:pPr>
      <w:r>
        <w:t xml:space="preserve">    </w:t>
      </w:r>
      <w:r>
        <w:rPr>
          <w:rFonts w:hint="eastAsia"/>
        </w:rPr>
        <w:t xml:space="preserve"> 招标文件第一册合同条款不适用</w:t>
      </w:r>
      <w:r>
        <w:rPr>
          <w:rFonts w:hint="eastAsia" w:ascii="宋体"/>
        </w:rPr>
        <w:t>，中标人与招标人合同签订以招标文件第二册合同版本为准。</w:t>
      </w:r>
    </w:p>
    <w:p>
      <w:pPr>
        <w:jc w:val="center"/>
        <w:rPr>
          <w:rFonts w:ascii="宋体" w:hAnsi="宋体"/>
          <w:spacing w:val="20"/>
          <w:sz w:val="30"/>
          <w:szCs w:val="30"/>
        </w:rPr>
      </w:pPr>
    </w:p>
    <w:p>
      <w:pPr>
        <w:jc w:val="center"/>
        <w:rPr>
          <w:rFonts w:ascii="宋体" w:hAnsi="宋体"/>
          <w:spacing w:val="20"/>
          <w:sz w:val="30"/>
          <w:szCs w:val="30"/>
        </w:rPr>
      </w:pPr>
    </w:p>
    <w:p>
      <w:pPr>
        <w:jc w:val="center"/>
        <w:rPr>
          <w:rFonts w:ascii="宋体" w:hAnsi="宋体"/>
          <w:spacing w:val="20"/>
          <w:sz w:val="30"/>
          <w:szCs w:val="30"/>
        </w:rPr>
      </w:pPr>
    </w:p>
    <w:p>
      <w:pPr>
        <w:jc w:val="center"/>
        <w:rPr>
          <w:rFonts w:ascii="宋体" w:hAnsi="宋体"/>
          <w:spacing w:val="20"/>
          <w:sz w:val="30"/>
          <w:szCs w:val="30"/>
        </w:rPr>
      </w:pPr>
    </w:p>
    <w:p>
      <w:pPr>
        <w:jc w:val="center"/>
        <w:rPr>
          <w:rFonts w:ascii="宋体" w:hAnsi="宋体"/>
          <w:spacing w:val="20"/>
          <w:sz w:val="30"/>
          <w:szCs w:val="30"/>
        </w:rPr>
      </w:pPr>
    </w:p>
    <w:p>
      <w:pPr>
        <w:jc w:val="center"/>
        <w:rPr>
          <w:rFonts w:ascii="宋体" w:hAnsi="宋体"/>
          <w:spacing w:val="20"/>
          <w:sz w:val="30"/>
          <w:szCs w:val="30"/>
        </w:rPr>
      </w:pPr>
    </w:p>
    <w:p>
      <w:pPr>
        <w:jc w:val="center"/>
        <w:rPr>
          <w:rFonts w:ascii="宋体" w:hAnsi="宋体"/>
          <w:spacing w:val="20"/>
          <w:sz w:val="30"/>
          <w:szCs w:val="30"/>
        </w:rPr>
      </w:pPr>
    </w:p>
    <w:p>
      <w:pPr>
        <w:jc w:val="center"/>
        <w:rPr>
          <w:rFonts w:ascii="宋体" w:hAnsi="宋体"/>
          <w:spacing w:val="20"/>
          <w:sz w:val="30"/>
          <w:szCs w:val="30"/>
        </w:rPr>
      </w:pPr>
    </w:p>
    <w:p>
      <w:pPr>
        <w:jc w:val="center"/>
        <w:rPr>
          <w:rFonts w:ascii="宋体" w:hAnsi="宋体"/>
          <w:spacing w:val="20"/>
          <w:sz w:val="30"/>
          <w:szCs w:val="30"/>
        </w:rPr>
      </w:pPr>
    </w:p>
    <w:p>
      <w:pPr>
        <w:jc w:val="center"/>
        <w:rPr>
          <w:rFonts w:ascii="宋体" w:hAnsi="宋体"/>
          <w:spacing w:val="20"/>
          <w:sz w:val="30"/>
          <w:szCs w:val="30"/>
        </w:rPr>
      </w:pPr>
    </w:p>
    <w:p>
      <w:pPr>
        <w:snapToGrid w:val="0"/>
        <w:spacing w:line="300" w:lineRule="auto"/>
        <w:jc w:val="center"/>
        <w:rPr>
          <w:rFonts w:ascii="宋体" w:hAnsi="宋体" w:cs="Tahoma"/>
          <w:b/>
          <w:spacing w:val="20"/>
          <w:sz w:val="32"/>
          <w:szCs w:val="36"/>
        </w:rPr>
      </w:pPr>
      <w:r>
        <w:rPr>
          <w:rFonts w:ascii="宋体" w:hAnsi="宋体"/>
          <w:b/>
          <w:bCs/>
          <w:sz w:val="28"/>
          <w:szCs w:val="28"/>
        </w:rPr>
        <w:br w:type="page"/>
      </w:r>
      <w:r>
        <w:rPr>
          <w:rFonts w:ascii="宋体" w:hAnsi="宋体"/>
          <w:spacing w:val="20"/>
          <w:sz w:val="30"/>
          <w:szCs w:val="30"/>
        </w:rPr>
        <w:t xml:space="preserve"> </w:t>
      </w:r>
    </w:p>
    <w:p>
      <w:pPr>
        <w:snapToGrid w:val="0"/>
        <w:spacing w:line="360" w:lineRule="auto"/>
        <w:jc w:val="center"/>
        <w:rPr>
          <w:rFonts w:ascii="宋体" w:hAnsi="宋体" w:cs="Tahoma"/>
          <w:b/>
          <w:spacing w:val="20"/>
          <w:sz w:val="32"/>
          <w:szCs w:val="36"/>
        </w:rPr>
      </w:pPr>
    </w:p>
    <w:p>
      <w:pPr>
        <w:snapToGrid w:val="0"/>
        <w:spacing w:line="360" w:lineRule="auto"/>
        <w:jc w:val="center"/>
        <w:rPr>
          <w:rFonts w:ascii="宋体" w:hAnsi="宋体" w:cs="Tahoma"/>
          <w:b/>
          <w:spacing w:val="20"/>
          <w:sz w:val="32"/>
          <w:szCs w:val="36"/>
        </w:rPr>
      </w:pPr>
    </w:p>
    <w:p>
      <w:pPr>
        <w:snapToGrid w:val="0"/>
        <w:spacing w:line="360" w:lineRule="auto"/>
        <w:jc w:val="center"/>
        <w:rPr>
          <w:rFonts w:ascii="宋体" w:hAnsi="宋体" w:cs="Tahoma"/>
          <w:b/>
          <w:spacing w:val="20"/>
          <w:sz w:val="52"/>
          <w:szCs w:val="36"/>
        </w:rPr>
      </w:pPr>
      <w:r>
        <w:rPr>
          <w:rFonts w:hint="eastAsia" w:ascii="宋体" w:hAnsi="宋体" w:cs="Tahoma"/>
          <w:b/>
          <w:spacing w:val="20"/>
          <w:sz w:val="52"/>
          <w:szCs w:val="36"/>
        </w:rPr>
        <w:t>暨南大学政府采购项目</w:t>
      </w:r>
    </w:p>
    <w:p>
      <w:pPr>
        <w:snapToGrid w:val="0"/>
        <w:spacing w:line="360" w:lineRule="auto"/>
        <w:jc w:val="center"/>
        <w:rPr>
          <w:rFonts w:ascii="仿宋_GB2312" w:hAnsi="宋体" w:eastAsia="仿宋_GB2312" w:cs="Tahoma"/>
          <w:b/>
          <w:spacing w:val="20"/>
          <w:sz w:val="32"/>
          <w:szCs w:val="32"/>
        </w:rPr>
      </w:pPr>
    </w:p>
    <w:p>
      <w:pPr>
        <w:snapToGrid w:val="0"/>
        <w:spacing w:line="360" w:lineRule="auto"/>
        <w:jc w:val="center"/>
        <w:rPr>
          <w:rFonts w:ascii="仿宋_GB2312" w:hAnsi="宋体" w:eastAsia="仿宋_GB2312" w:cs="Tahoma"/>
          <w:b/>
          <w:spacing w:val="20"/>
          <w:sz w:val="32"/>
          <w:szCs w:val="32"/>
        </w:rPr>
      </w:pPr>
    </w:p>
    <w:p>
      <w:pPr>
        <w:snapToGrid w:val="0"/>
        <w:spacing w:line="360" w:lineRule="auto"/>
        <w:jc w:val="center"/>
        <w:rPr>
          <w:rFonts w:ascii="宋体" w:hAnsi="宋体" w:cs="Tahoma"/>
          <w:b/>
          <w:spacing w:val="20"/>
          <w:sz w:val="52"/>
          <w:szCs w:val="36"/>
        </w:rPr>
      </w:pPr>
      <w:r>
        <w:rPr>
          <w:rFonts w:hint="eastAsia" w:ascii="宋体" w:hAnsi="宋体" w:cs="Tahoma"/>
          <w:b/>
          <w:spacing w:val="20"/>
          <w:sz w:val="52"/>
          <w:szCs w:val="36"/>
        </w:rPr>
        <w:t>货物采购协议书</w:t>
      </w:r>
    </w:p>
    <w:p>
      <w:pPr>
        <w:snapToGrid w:val="0"/>
        <w:spacing w:line="360" w:lineRule="auto"/>
        <w:jc w:val="center"/>
        <w:rPr>
          <w:rFonts w:ascii="Tahoma" w:hAnsi="Tahoma" w:cs="Tahoma"/>
          <w:b/>
          <w:sz w:val="32"/>
        </w:rPr>
      </w:pPr>
    </w:p>
    <w:p>
      <w:pPr>
        <w:snapToGrid w:val="0"/>
        <w:spacing w:line="360" w:lineRule="auto"/>
        <w:jc w:val="center"/>
        <w:rPr>
          <w:rFonts w:ascii="Tahoma" w:hAnsi="Tahoma" w:cs="Tahoma"/>
          <w:b/>
          <w:sz w:val="32"/>
        </w:rPr>
      </w:pPr>
    </w:p>
    <w:p>
      <w:pPr>
        <w:snapToGrid w:val="0"/>
        <w:spacing w:line="360" w:lineRule="auto"/>
        <w:jc w:val="center"/>
        <w:rPr>
          <w:rFonts w:ascii="Tahoma" w:hAnsi="Tahoma" w:cs="Tahoma"/>
          <w:b/>
          <w:sz w:val="32"/>
        </w:rPr>
      </w:pPr>
    </w:p>
    <w:p>
      <w:pPr>
        <w:snapToGrid w:val="0"/>
        <w:spacing w:line="360" w:lineRule="auto"/>
        <w:jc w:val="center"/>
        <w:rPr>
          <w:rFonts w:ascii="Tahoma" w:hAnsi="Tahoma" w:cs="Tahoma"/>
          <w:b/>
          <w:sz w:val="32"/>
        </w:rPr>
      </w:pPr>
    </w:p>
    <w:p>
      <w:pPr>
        <w:snapToGrid w:val="0"/>
        <w:spacing w:line="360" w:lineRule="auto"/>
        <w:jc w:val="center"/>
        <w:rPr>
          <w:rFonts w:ascii="Tahoma" w:hAnsi="Tahoma" w:cs="Tahoma"/>
          <w:b/>
          <w:sz w:val="32"/>
        </w:rPr>
      </w:pPr>
    </w:p>
    <w:p>
      <w:pPr>
        <w:snapToGrid w:val="0"/>
        <w:spacing w:line="360" w:lineRule="auto"/>
        <w:ind w:firstLine="2088" w:firstLineChars="650"/>
        <w:rPr>
          <w:rFonts w:ascii="Tahoma" w:hAnsi="Tahoma" w:cs="Tahoma"/>
          <w:b/>
          <w:sz w:val="32"/>
        </w:rPr>
      </w:pPr>
      <w:r>
        <w:rPr>
          <w:rFonts w:hint="eastAsia" w:ascii="Tahoma" w:hAnsi="Tahoma" w:cs="Tahoma"/>
          <w:b/>
          <w:sz w:val="32"/>
        </w:rPr>
        <w:t>甲方：</w:t>
      </w:r>
      <w:r>
        <w:rPr>
          <w:rFonts w:hint="eastAsia" w:ascii="Arial" w:hAnsi="Arial" w:cs="Arial"/>
          <w:b/>
          <w:bCs/>
          <w:u w:val="single"/>
        </w:rPr>
        <w:t>**************************</w:t>
      </w:r>
    </w:p>
    <w:p>
      <w:pPr>
        <w:snapToGrid w:val="0"/>
        <w:spacing w:line="360" w:lineRule="auto"/>
        <w:ind w:firstLine="2088" w:firstLineChars="650"/>
        <w:rPr>
          <w:rFonts w:ascii="Tahoma" w:hAnsi="Tahoma" w:cs="Tahoma"/>
          <w:b/>
          <w:sz w:val="32"/>
        </w:rPr>
      </w:pPr>
      <w:r>
        <w:rPr>
          <w:rFonts w:hint="eastAsia" w:ascii="Tahoma" w:hAnsi="Tahoma" w:cs="Tahoma"/>
          <w:b/>
          <w:sz w:val="32"/>
        </w:rPr>
        <w:t>乙方：</w:t>
      </w:r>
      <w:r>
        <w:rPr>
          <w:rFonts w:hint="eastAsia" w:ascii="Arial" w:hAnsi="Arial" w:cs="Arial"/>
          <w:b/>
          <w:bCs/>
          <w:u w:val="single"/>
        </w:rPr>
        <w:t>**************************</w:t>
      </w:r>
    </w:p>
    <w:p>
      <w:pPr>
        <w:snapToGrid w:val="0"/>
        <w:spacing w:line="360" w:lineRule="auto"/>
        <w:rPr>
          <w:rFonts w:ascii="宋体" w:hAnsi="宋体" w:cs="Tahoma"/>
          <w:b/>
          <w:sz w:val="28"/>
          <w:szCs w:val="28"/>
        </w:rPr>
      </w:pPr>
    </w:p>
    <w:p>
      <w:pPr>
        <w:snapToGrid w:val="0"/>
        <w:spacing w:line="360" w:lineRule="auto"/>
        <w:ind w:left="480" w:leftChars="200"/>
        <w:rPr>
          <w:rFonts w:ascii="宋体" w:hAnsi="宋体" w:cs="Tahoma"/>
          <w:b/>
          <w:sz w:val="28"/>
          <w:szCs w:val="28"/>
          <w:u w:val="single"/>
        </w:rPr>
      </w:pPr>
      <w:r>
        <w:rPr>
          <w:rFonts w:hint="eastAsia" w:ascii="宋体" w:hAnsi="宋体" w:cs="Tahoma"/>
          <w:b/>
          <w:sz w:val="28"/>
          <w:szCs w:val="28"/>
        </w:rPr>
        <w:t>项目名称：</w:t>
      </w:r>
      <w:r>
        <w:rPr>
          <w:rFonts w:hint="eastAsia" w:ascii="Arial" w:hAnsi="Arial" w:cs="Arial"/>
          <w:b/>
          <w:bCs/>
          <w:u w:val="single"/>
        </w:rPr>
        <w:t>*********************（招标项目名称+子项目名称）</w:t>
      </w:r>
    </w:p>
    <w:p>
      <w:pPr>
        <w:snapToGrid w:val="0"/>
        <w:spacing w:line="360" w:lineRule="auto"/>
        <w:ind w:left="480" w:leftChars="200"/>
        <w:rPr>
          <w:rFonts w:ascii="Arial" w:hAnsi="Arial" w:cs="Arial"/>
          <w:b/>
          <w:u w:val="single"/>
        </w:rPr>
      </w:pPr>
      <w:r>
        <w:rPr>
          <w:rFonts w:hint="eastAsia" w:ascii="宋体" w:hAnsi="宋体" w:cs="Tahoma"/>
          <w:b/>
          <w:sz w:val="28"/>
          <w:szCs w:val="28"/>
        </w:rPr>
        <w:t>采购编号：</w:t>
      </w:r>
      <w:r>
        <w:rPr>
          <w:rFonts w:hint="eastAsia" w:ascii="Arial" w:hAnsi="Arial" w:cs="Arial"/>
          <w:b/>
          <w:u w:val="single"/>
        </w:rPr>
        <w:t>*********************（请填招标项目编号+子项目编号）</w:t>
      </w:r>
    </w:p>
    <w:p>
      <w:pPr>
        <w:snapToGrid w:val="0"/>
        <w:spacing w:line="360" w:lineRule="auto"/>
        <w:ind w:left="480" w:leftChars="200"/>
        <w:rPr>
          <w:rFonts w:ascii="宋体" w:hAnsi="宋体" w:cs="Tahoma"/>
          <w:b/>
          <w:sz w:val="28"/>
          <w:szCs w:val="28"/>
          <w:u w:val="single"/>
        </w:rPr>
      </w:pPr>
      <w:r>
        <w:rPr>
          <w:rFonts w:hint="eastAsia" w:ascii="宋体" w:hAnsi="宋体" w:cs="Tahoma"/>
          <w:b/>
          <w:sz w:val="28"/>
          <w:szCs w:val="28"/>
        </w:rPr>
        <w:t>合同名称：</w:t>
      </w:r>
      <w:r>
        <w:rPr>
          <w:rFonts w:hint="eastAsia" w:ascii="Arial" w:hAnsi="Arial" w:cs="Arial"/>
          <w:b/>
          <w:u w:val="single"/>
        </w:rPr>
        <w:t>*********************（请填招标项目名称+子项目名称）合同</w:t>
      </w:r>
    </w:p>
    <w:p>
      <w:pPr>
        <w:snapToGrid w:val="0"/>
        <w:spacing w:line="360" w:lineRule="auto"/>
        <w:ind w:left="480" w:leftChars="200"/>
        <w:rPr>
          <w:rFonts w:ascii="宋体" w:hAnsi="宋体" w:cs="Tahoma"/>
          <w:b/>
          <w:sz w:val="28"/>
          <w:szCs w:val="28"/>
          <w:u w:val="single"/>
        </w:rPr>
      </w:pPr>
      <w:r>
        <w:rPr>
          <w:rFonts w:hint="eastAsia" w:ascii="宋体" w:hAnsi="宋体" w:cs="Tahoma"/>
          <w:b/>
          <w:sz w:val="28"/>
          <w:szCs w:val="28"/>
        </w:rPr>
        <w:t>合同编号：</w:t>
      </w:r>
      <w:r>
        <w:rPr>
          <w:rFonts w:hint="eastAsia" w:ascii="Arial" w:hAnsi="Arial" w:cs="Arial"/>
          <w:b/>
          <w:u w:val="single"/>
        </w:rPr>
        <w:t>*********************（请填招标项目-子项目编号）</w:t>
      </w:r>
    </w:p>
    <w:p>
      <w:pPr>
        <w:snapToGrid w:val="0"/>
        <w:spacing w:line="360" w:lineRule="auto"/>
        <w:ind w:left="480" w:leftChars="200"/>
        <w:rPr>
          <w:rFonts w:ascii="Tahoma" w:hAnsi="Tahoma" w:cs="Tahoma"/>
          <w:sz w:val="32"/>
        </w:rPr>
      </w:pPr>
      <w:r>
        <w:rPr>
          <w:rFonts w:hint="eastAsia" w:ascii="宋体" w:hAnsi="宋体" w:cs="Tahoma"/>
          <w:b/>
          <w:sz w:val="28"/>
          <w:szCs w:val="28"/>
        </w:rPr>
        <w:t>签约地点：</w:t>
      </w:r>
      <w:r>
        <w:rPr>
          <w:rFonts w:hint="eastAsia" w:ascii="宋体" w:hAnsi="宋体" w:cs="Tahoma"/>
          <w:b/>
          <w:sz w:val="28"/>
          <w:szCs w:val="28"/>
          <w:u w:val="single"/>
        </w:rPr>
        <w:t>广州市，暨南大学</w:t>
      </w:r>
    </w:p>
    <w:p>
      <w:pPr>
        <w:widowControl/>
        <w:adjustRightInd/>
        <w:spacing w:line="240" w:lineRule="auto"/>
        <w:textAlignment w:val="auto"/>
        <w:rPr>
          <w:rFonts w:ascii="宋体" w:hAnsi="宋体" w:cs="Tahoma"/>
          <w:kern w:val="28"/>
        </w:rPr>
      </w:pPr>
      <w:r>
        <w:rPr>
          <w:rFonts w:ascii="宋体" w:hAnsi="宋体" w:cs="Tahoma"/>
          <w:kern w:val="28"/>
        </w:rPr>
        <w:br w:type="page"/>
      </w:r>
    </w:p>
    <w:p>
      <w:pPr>
        <w:snapToGrid w:val="0"/>
        <w:spacing w:line="360" w:lineRule="auto"/>
        <w:ind w:firstLine="480" w:firstLineChars="200"/>
        <w:rPr>
          <w:rFonts w:ascii="宋体" w:hAnsi="宋体" w:cs="Tahoma"/>
          <w:kern w:val="28"/>
        </w:rPr>
      </w:pPr>
      <w:r>
        <w:rPr>
          <w:rFonts w:hint="eastAsia" w:ascii="宋体" w:hAnsi="宋体" w:cs="Tahoma"/>
          <w:kern w:val="28"/>
        </w:rPr>
        <w:t>根据</w:t>
      </w:r>
      <w:r>
        <w:rPr>
          <w:rFonts w:hint="eastAsia" w:ascii="宋体" w:hAnsi="宋体" w:cs="Tahoma"/>
          <w:b/>
          <w:bCs/>
          <w:kern w:val="28"/>
          <w:u w:val="single"/>
        </w:rPr>
        <w:t>******</w:t>
      </w:r>
      <w:r>
        <w:rPr>
          <w:rFonts w:hint="eastAsia" w:ascii="宋体" w:hAnsi="宋体" w:cs="Tahoma"/>
          <w:b/>
          <w:bCs/>
          <w:kern w:val="28"/>
        </w:rPr>
        <w:t>采购项目</w:t>
      </w:r>
      <w:r>
        <w:rPr>
          <w:rFonts w:hint="eastAsia" w:ascii="宋体" w:hAnsi="宋体" w:cs="Tahoma"/>
          <w:b/>
          <w:bCs/>
          <w:kern w:val="28"/>
          <w:u w:val="single"/>
        </w:rPr>
        <w:t>（编号：***********）子包**</w:t>
      </w:r>
      <w:r>
        <w:rPr>
          <w:rFonts w:hint="eastAsia" w:ascii="宋体" w:hAnsi="宋体" w:cs="Tahoma"/>
          <w:kern w:val="28"/>
        </w:rPr>
        <w:t>的招标结果及招、投标文件，经</w:t>
      </w:r>
      <w:r>
        <w:rPr>
          <w:rFonts w:hint="eastAsia" w:ascii="宋体" w:hAnsi="宋体" w:cs="Tahoma"/>
          <w:b/>
          <w:kern w:val="28"/>
          <w:u w:val="single"/>
        </w:rPr>
        <w:t>暨南大学</w:t>
      </w:r>
      <w:r>
        <w:rPr>
          <w:rFonts w:hint="eastAsia" w:ascii="宋体" w:hAnsi="宋体" w:cs="Tahoma"/>
          <w:kern w:val="28"/>
        </w:rPr>
        <w:t>（以下简称甲方）与中标人</w:t>
      </w:r>
      <w:r>
        <w:rPr>
          <w:rFonts w:hint="eastAsia" w:ascii="宋体" w:hAnsi="宋体" w:cs="Tahoma"/>
          <w:b/>
          <w:kern w:val="28"/>
          <w:u w:val="single"/>
        </w:rPr>
        <w:t>*****************</w:t>
      </w:r>
      <w:r>
        <w:rPr>
          <w:rFonts w:hint="eastAsia" w:ascii="宋体" w:hAnsi="宋体" w:cs="Tahoma"/>
          <w:kern w:val="28"/>
        </w:rPr>
        <w:t>（以下简称乙方）双方协商一致，就甲方向乙方购买</w:t>
      </w:r>
      <w:r>
        <w:rPr>
          <w:rFonts w:hint="eastAsia" w:ascii="宋体" w:hAnsi="宋体" w:cs="Tahoma"/>
          <w:b/>
          <w:bCs/>
          <w:kern w:val="28"/>
          <w:u w:val="single"/>
        </w:rPr>
        <w:t>***************</w:t>
      </w:r>
      <w:r>
        <w:rPr>
          <w:rFonts w:hint="eastAsia" w:ascii="宋体" w:hAnsi="宋体" w:cs="Tahoma"/>
          <w:kern w:val="28"/>
        </w:rPr>
        <w:t>及相关服务事宜，签订本合同，共同遵守如下条款：</w:t>
      </w:r>
    </w:p>
    <w:p>
      <w:pPr>
        <w:snapToGrid w:val="0"/>
        <w:spacing w:line="360" w:lineRule="auto"/>
        <w:ind w:left="700" w:hanging="700"/>
        <w:jc w:val="both"/>
        <w:outlineLvl w:val="0"/>
        <w:rPr>
          <w:rFonts w:ascii="Tahoma" w:hAnsi="Tahoma" w:cs="Tahoma"/>
          <w:b/>
        </w:rPr>
      </w:pPr>
      <w:r>
        <w:rPr>
          <w:rFonts w:hint="eastAsia" w:ascii="Tahoma" w:hAnsi="Tahoma" w:cs="Tahoma"/>
          <w:b/>
        </w:rPr>
        <w:t>一、合同标的</w:t>
      </w:r>
    </w:p>
    <w:p>
      <w:pPr>
        <w:widowControl/>
        <w:numPr>
          <w:ilvl w:val="0"/>
          <w:numId w:val="2"/>
        </w:numPr>
        <w:adjustRightInd/>
        <w:snapToGrid w:val="0"/>
        <w:spacing w:line="360" w:lineRule="auto"/>
        <w:textAlignment w:val="auto"/>
        <w:rPr>
          <w:rFonts w:ascii="宋体" w:hAnsi="宋体" w:cs="Tahoma"/>
          <w:kern w:val="28"/>
        </w:rPr>
      </w:pPr>
      <w:r>
        <w:rPr>
          <w:rFonts w:hint="eastAsia" w:ascii="Tahoma" w:hAnsi="Tahoma" w:cs="Tahoma"/>
          <w:szCs w:val="21"/>
        </w:rPr>
        <w:t>本合同标的为</w:t>
      </w:r>
      <w:r>
        <w:rPr>
          <w:rFonts w:hint="eastAsia" w:ascii="Tahoma" w:hAnsi="Tahoma" w:cs="Tahoma"/>
          <w:b/>
          <w:bCs/>
          <w:szCs w:val="21"/>
          <w:u w:val="single"/>
        </w:rPr>
        <w:t>***********1套</w:t>
      </w:r>
      <w:r>
        <w:rPr>
          <w:rFonts w:hint="eastAsia" w:ascii="Tahoma" w:hAnsi="Tahoma" w:cs="Tahoma"/>
          <w:szCs w:val="21"/>
        </w:rPr>
        <w:t>。</w:t>
      </w:r>
    </w:p>
    <w:p>
      <w:pPr>
        <w:widowControl/>
        <w:numPr>
          <w:ilvl w:val="0"/>
          <w:numId w:val="2"/>
        </w:numPr>
        <w:adjustRightInd/>
        <w:snapToGrid w:val="0"/>
        <w:spacing w:line="360" w:lineRule="auto"/>
        <w:textAlignment w:val="auto"/>
        <w:rPr>
          <w:rFonts w:ascii="宋体" w:hAnsi="宋体" w:cs="Tahoma"/>
          <w:kern w:val="28"/>
        </w:rPr>
      </w:pPr>
      <w:r>
        <w:rPr>
          <w:rFonts w:hint="eastAsia" w:ascii="Tahoma" w:hAnsi="Tahoma" w:cs="Tahoma"/>
          <w:szCs w:val="21"/>
        </w:rPr>
        <w:t>货物名称、品牌型号、产地、数量单位、单价总价（单位：人民币）等见下表，配置清单见附件1，技术参数详见附件2。</w:t>
      </w:r>
    </w:p>
    <w:tbl>
      <w:tblPr>
        <w:tblStyle w:val="23"/>
        <w:tblW w:w="10651"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55"/>
        <w:gridCol w:w="1100"/>
        <w:gridCol w:w="958"/>
        <w:gridCol w:w="708"/>
        <w:gridCol w:w="709"/>
        <w:gridCol w:w="1276"/>
        <w:gridCol w:w="1134"/>
        <w:gridCol w:w="1134"/>
        <w:gridCol w:w="1134"/>
        <w:gridCol w:w="1134"/>
        <w:gridCol w:w="70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4" w:hRule="atLeast"/>
          <w:jc w:val="center"/>
        </w:trPr>
        <w:tc>
          <w:tcPr>
            <w:tcW w:w="655" w:type="dxa"/>
            <w:vAlign w:val="center"/>
          </w:tcPr>
          <w:p>
            <w:pPr>
              <w:spacing w:line="360" w:lineRule="auto"/>
              <w:jc w:val="center"/>
              <w:rPr>
                <w:rFonts w:ascii="宋体" w:hAnsi="宋体"/>
                <w:b/>
                <w:bCs/>
                <w:szCs w:val="21"/>
              </w:rPr>
            </w:pPr>
            <w:r>
              <w:rPr>
                <w:rFonts w:ascii="宋体" w:hAnsi="宋体"/>
                <w:b/>
                <w:bCs/>
                <w:szCs w:val="21"/>
              </w:rPr>
              <w:t>序号</w:t>
            </w:r>
          </w:p>
        </w:tc>
        <w:tc>
          <w:tcPr>
            <w:tcW w:w="1100" w:type="dxa"/>
            <w:vAlign w:val="center"/>
          </w:tcPr>
          <w:p>
            <w:pPr>
              <w:spacing w:line="360" w:lineRule="auto"/>
              <w:jc w:val="center"/>
              <w:rPr>
                <w:rFonts w:ascii="宋体" w:hAnsi="宋体"/>
                <w:b/>
                <w:bCs/>
                <w:szCs w:val="21"/>
              </w:rPr>
            </w:pPr>
            <w:r>
              <w:rPr>
                <w:rFonts w:hint="eastAsia" w:ascii="宋体" w:hAnsi="宋体"/>
                <w:b/>
                <w:bCs/>
                <w:szCs w:val="21"/>
              </w:rPr>
              <w:t>货物</w:t>
            </w:r>
            <w:r>
              <w:rPr>
                <w:rFonts w:ascii="宋体" w:hAnsi="宋体"/>
                <w:b/>
                <w:bCs/>
                <w:szCs w:val="21"/>
              </w:rPr>
              <w:t>名称</w:t>
            </w:r>
          </w:p>
        </w:tc>
        <w:tc>
          <w:tcPr>
            <w:tcW w:w="958" w:type="dxa"/>
            <w:vAlign w:val="center"/>
          </w:tcPr>
          <w:p>
            <w:pPr>
              <w:spacing w:line="360" w:lineRule="auto"/>
              <w:jc w:val="center"/>
              <w:rPr>
                <w:rFonts w:ascii="宋体" w:hAnsi="宋体"/>
                <w:b/>
                <w:bCs/>
                <w:szCs w:val="21"/>
              </w:rPr>
            </w:pPr>
            <w:r>
              <w:rPr>
                <w:rFonts w:hint="eastAsia" w:ascii="宋体" w:hAnsi="宋体"/>
                <w:b/>
                <w:bCs/>
                <w:szCs w:val="21"/>
              </w:rPr>
              <w:t>制造商</w:t>
            </w:r>
          </w:p>
        </w:tc>
        <w:tc>
          <w:tcPr>
            <w:tcW w:w="708" w:type="dxa"/>
            <w:vAlign w:val="center"/>
          </w:tcPr>
          <w:p>
            <w:pPr>
              <w:spacing w:line="360" w:lineRule="auto"/>
              <w:jc w:val="center"/>
              <w:rPr>
                <w:rFonts w:ascii="宋体" w:hAnsi="宋体"/>
                <w:b/>
                <w:bCs/>
                <w:szCs w:val="21"/>
              </w:rPr>
            </w:pPr>
            <w:r>
              <w:rPr>
                <w:rFonts w:hint="eastAsia" w:ascii="宋体" w:hAnsi="宋体"/>
                <w:b/>
                <w:bCs/>
                <w:szCs w:val="21"/>
              </w:rPr>
              <w:t>型号</w:t>
            </w:r>
          </w:p>
        </w:tc>
        <w:tc>
          <w:tcPr>
            <w:tcW w:w="709" w:type="dxa"/>
            <w:vAlign w:val="center"/>
          </w:tcPr>
          <w:p>
            <w:pPr>
              <w:spacing w:line="360" w:lineRule="auto"/>
              <w:jc w:val="center"/>
              <w:rPr>
                <w:rFonts w:ascii="宋体" w:hAnsi="宋体"/>
                <w:b/>
                <w:bCs/>
                <w:szCs w:val="21"/>
              </w:rPr>
            </w:pPr>
            <w:r>
              <w:rPr>
                <w:rFonts w:hint="eastAsia" w:ascii="宋体" w:hAnsi="宋体"/>
                <w:b/>
                <w:bCs/>
                <w:szCs w:val="21"/>
              </w:rPr>
              <w:t>产地</w:t>
            </w:r>
          </w:p>
        </w:tc>
        <w:tc>
          <w:tcPr>
            <w:tcW w:w="1276" w:type="dxa"/>
            <w:vAlign w:val="center"/>
          </w:tcPr>
          <w:p>
            <w:pPr>
              <w:spacing w:line="360" w:lineRule="auto"/>
              <w:jc w:val="center"/>
              <w:rPr>
                <w:rFonts w:ascii="宋体" w:hAnsi="宋体"/>
                <w:b/>
                <w:bCs/>
                <w:szCs w:val="21"/>
              </w:rPr>
            </w:pPr>
            <w:r>
              <w:rPr>
                <w:rFonts w:hint="eastAsia" w:ascii="宋体" w:hAnsi="宋体"/>
                <w:b/>
                <w:bCs/>
                <w:szCs w:val="21"/>
              </w:rPr>
              <w:t>数量/单位</w:t>
            </w:r>
          </w:p>
        </w:tc>
        <w:tc>
          <w:tcPr>
            <w:tcW w:w="1134" w:type="dxa"/>
            <w:vAlign w:val="center"/>
          </w:tcPr>
          <w:p>
            <w:pPr>
              <w:spacing w:line="360" w:lineRule="auto"/>
              <w:jc w:val="center"/>
              <w:rPr>
                <w:rFonts w:ascii="宋体" w:hAnsi="宋体"/>
                <w:b/>
                <w:bCs/>
                <w:szCs w:val="21"/>
              </w:rPr>
            </w:pPr>
            <w:r>
              <w:rPr>
                <w:rFonts w:hint="eastAsia" w:ascii="宋体" w:hAnsi="宋体"/>
                <w:b/>
                <w:bCs/>
                <w:szCs w:val="21"/>
              </w:rPr>
              <w:t>装运口岸</w:t>
            </w:r>
          </w:p>
        </w:tc>
        <w:tc>
          <w:tcPr>
            <w:tcW w:w="1134" w:type="dxa"/>
            <w:tcBorders>
              <w:bottom w:val="single" w:color="auto" w:sz="4" w:space="0"/>
            </w:tcBorders>
            <w:vAlign w:val="center"/>
          </w:tcPr>
          <w:p>
            <w:pPr>
              <w:spacing w:line="360" w:lineRule="auto"/>
              <w:jc w:val="center"/>
              <w:rPr>
                <w:rFonts w:ascii="宋体" w:hAnsi="宋体"/>
                <w:b/>
                <w:bCs/>
                <w:szCs w:val="21"/>
              </w:rPr>
            </w:pPr>
            <w:r>
              <w:rPr>
                <w:rFonts w:hint="eastAsia" w:ascii="宋体" w:hAnsi="宋体"/>
                <w:b/>
                <w:bCs/>
                <w:szCs w:val="21"/>
              </w:rPr>
              <w:t>目的口岸</w:t>
            </w:r>
          </w:p>
        </w:tc>
        <w:tc>
          <w:tcPr>
            <w:tcW w:w="1134" w:type="dxa"/>
            <w:tcBorders>
              <w:bottom w:val="single" w:color="auto" w:sz="4" w:space="0"/>
            </w:tcBorders>
            <w:vAlign w:val="center"/>
          </w:tcPr>
          <w:p>
            <w:pPr>
              <w:spacing w:line="360" w:lineRule="auto"/>
              <w:jc w:val="center"/>
              <w:rPr>
                <w:rFonts w:ascii="宋体" w:hAnsi="宋体"/>
                <w:b/>
                <w:bCs/>
                <w:szCs w:val="21"/>
              </w:rPr>
            </w:pPr>
            <w:r>
              <w:rPr>
                <w:rFonts w:ascii="宋体" w:hAnsi="宋体"/>
                <w:b/>
                <w:bCs/>
                <w:szCs w:val="21"/>
              </w:rPr>
              <w:t>单价</w:t>
            </w:r>
            <w:r>
              <w:rPr>
                <w:rFonts w:hint="eastAsia" w:ascii="宋体" w:hAnsi="宋体"/>
                <w:b/>
                <w:bCs/>
                <w:szCs w:val="21"/>
              </w:rPr>
              <w:t>（￥</w:t>
            </w:r>
            <w:r>
              <w:rPr>
                <w:rFonts w:hint="eastAsia" w:ascii="Tahoma" w:hAnsi="Tahoma" w:cs="Tahoma"/>
                <w:b/>
                <w:bCs/>
                <w:szCs w:val="21"/>
              </w:rPr>
              <w:t>）</w:t>
            </w:r>
          </w:p>
        </w:tc>
        <w:tc>
          <w:tcPr>
            <w:tcW w:w="1134" w:type="dxa"/>
            <w:tcBorders>
              <w:bottom w:val="single" w:color="auto" w:sz="4" w:space="0"/>
            </w:tcBorders>
            <w:vAlign w:val="center"/>
          </w:tcPr>
          <w:p>
            <w:pPr>
              <w:spacing w:line="360" w:lineRule="auto"/>
              <w:jc w:val="center"/>
              <w:rPr>
                <w:rFonts w:ascii="宋体" w:hAnsi="宋体"/>
                <w:b/>
                <w:bCs/>
                <w:szCs w:val="21"/>
              </w:rPr>
            </w:pPr>
            <w:r>
              <w:rPr>
                <w:rFonts w:ascii="宋体" w:hAnsi="宋体"/>
                <w:b/>
                <w:bCs/>
                <w:szCs w:val="21"/>
              </w:rPr>
              <w:t>总价</w:t>
            </w:r>
            <w:r>
              <w:rPr>
                <w:rFonts w:hint="eastAsia" w:ascii="宋体" w:hAnsi="宋体"/>
                <w:b/>
                <w:bCs/>
                <w:szCs w:val="21"/>
              </w:rPr>
              <w:t>（￥）</w:t>
            </w:r>
          </w:p>
        </w:tc>
        <w:tc>
          <w:tcPr>
            <w:tcW w:w="709" w:type="dxa"/>
            <w:tcBorders>
              <w:bottom w:val="single" w:color="auto" w:sz="4" w:space="0"/>
            </w:tcBorders>
          </w:tcPr>
          <w:p>
            <w:pPr>
              <w:spacing w:line="360" w:lineRule="auto"/>
              <w:jc w:val="center"/>
              <w:rPr>
                <w:rFonts w:ascii="宋体" w:hAnsi="宋体"/>
                <w:b/>
                <w:bCs/>
                <w:szCs w:val="21"/>
              </w:rPr>
            </w:pPr>
            <w:r>
              <w:rPr>
                <w:rFonts w:hint="eastAsia" w:ascii="宋体" w:hAnsi="宋体"/>
                <w:b/>
                <w:bCs/>
                <w:szCs w:val="21"/>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7" w:hRule="atLeast"/>
          <w:jc w:val="center"/>
        </w:trPr>
        <w:tc>
          <w:tcPr>
            <w:tcW w:w="655" w:type="dxa"/>
            <w:vAlign w:val="center"/>
          </w:tcPr>
          <w:p>
            <w:pPr>
              <w:spacing w:line="360" w:lineRule="auto"/>
              <w:jc w:val="center"/>
              <w:rPr>
                <w:rFonts w:ascii="宋体" w:hAnsi="宋体" w:cs="AdobeSongStd-Light"/>
                <w:szCs w:val="21"/>
              </w:rPr>
            </w:pPr>
            <w:r>
              <w:rPr>
                <w:rFonts w:hint="eastAsia" w:ascii="宋体" w:hAnsi="宋体" w:cs="AdobeSongStd-Light"/>
                <w:szCs w:val="21"/>
              </w:rPr>
              <w:t>1</w:t>
            </w:r>
          </w:p>
        </w:tc>
        <w:tc>
          <w:tcPr>
            <w:tcW w:w="1100" w:type="dxa"/>
            <w:vAlign w:val="center"/>
          </w:tcPr>
          <w:p>
            <w:pPr>
              <w:spacing w:line="360" w:lineRule="auto"/>
              <w:jc w:val="center"/>
              <w:rPr>
                <w:rFonts w:ascii="宋体" w:hAnsi="宋体" w:cs="AdobeSongStd-Light"/>
                <w:szCs w:val="21"/>
              </w:rPr>
            </w:pPr>
          </w:p>
        </w:tc>
        <w:tc>
          <w:tcPr>
            <w:tcW w:w="958" w:type="dxa"/>
            <w:vAlign w:val="center"/>
          </w:tcPr>
          <w:p>
            <w:pPr>
              <w:spacing w:line="360" w:lineRule="auto"/>
              <w:jc w:val="center"/>
              <w:rPr>
                <w:rFonts w:ascii="宋体" w:hAnsi="宋体" w:cs="AdobeSongStd-Light"/>
                <w:szCs w:val="21"/>
              </w:rPr>
            </w:pPr>
          </w:p>
        </w:tc>
        <w:tc>
          <w:tcPr>
            <w:tcW w:w="708" w:type="dxa"/>
            <w:vAlign w:val="center"/>
          </w:tcPr>
          <w:p>
            <w:pPr>
              <w:spacing w:line="360" w:lineRule="auto"/>
              <w:jc w:val="center"/>
              <w:rPr>
                <w:rFonts w:ascii="宋体" w:hAnsi="宋体" w:cs="AdobeSongStd-Light"/>
                <w:szCs w:val="21"/>
              </w:rPr>
            </w:pPr>
          </w:p>
        </w:tc>
        <w:tc>
          <w:tcPr>
            <w:tcW w:w="709" w:type="dxa"/>
            <w:vAlign w:val="center"/>
          </w:tcPr>
          <w:p>
            <w:pPr>
              <w:autoSpaceDE w:val="0"/>
              <w:autoSpaceDN w:val="0"/>
              <w:spacing w:line="360" w:lineRule="auto"/>
              <w:jc w:val="center"/>
              <w:rPr>
                <w:rFonts w:ascii="宋体" w:hAnsi="宋体" w:cs="AdobeSongStd-Light"/>
                <w:szCs w:val="21"/>
              </w:rPr>
            </w:pPr>
          </w:p>
        </w:tc>
        <w:tc>
          <w:tcPr>
            <w:tcW w:w="1276" w:type="dxa"/>
            <w:vAlign w:val="center"/>
          </w:tcPr>
          <w:p>
            <w:pPr>
              <w:spacing w:line="360" w:lineRule="auto"/>
              <w:jc w:val="center"/>
              <w:rPr>
                <w:rFonts w:ascii="宋体" w:hAnsi="宋体" w:cs="AdobeSongStd-Light"/>
                <w:szCs w:val="21"/>
              </w:rPr>
            </w:pPr>
          </w:p>
        </w:tc>
        <w:tc>
          <w:tcPr>
            <w:tcW w:w="1134" w:type="dxa"/>
            <w:vAlign w:val="center"/>
          </w:tcPr>
          <w:p>
            <w:pPr>
              <w:spacing w:line="360" w:lineRule="auto"/>
              <w:jc w:val="center"/>
              <w:rPr>
                <w:rFonts w:ascii="宋体" w:hAnsi="宋体" w:cs="AdobeSongStd-Light"/>
                <w:szCs w:val="21"/>
              </w:rPr>
            </w:pPr>
          </w:p>
        </w:tc>
        <w:tc>
          <w:tcPr>
            <w:tcW w:w="1134" w:type="dxa"/>
            <w:vAlign w:val="center"/>
          </w:tcPr>
          <w:p>
            <w:pPr>
              <w:spacing w:line="360" w:lineRule="auto"/>
              <w:jc w:val="center"/>
              <w:rPr>
                <w:rFonts w:ascii="宋体" w:hAnsi="宋体" w:cs="AdobeSongStd-Light"/>
                <w:szCs w:val="21"/>
              </w:rPr>
            </w:pPr>
          </w:p>
        </w:tc>
        <w:tc>
          <w:tcPr>
            <w:tcW w:w="1134" w:type="dxa"/>
            <w:vAlign w:val="center"/>
          </w:tcPr>
          <w:p>
            <w:pPr>
              <w:spacing w:line="360" w:lineRule="auto"/>
              <w:rPr>
                <w:rFonts w:ascii="宋体" w:hAnsi="宋体" w:cs="AdobeSongStd-Light"/>
                <w:szCs w:val="21"/>
              </w:rPr>
            </w:pPr>
          </w:p>
        </w:tc>
        <w:tc>
          <w:tcPr>
            <w:tcW w:w="1134" w:type="dxa"/>
            <w:tcBorders>
              <w:bottom w:val="single" w:color="auto" w:sz="4" w:space="0"/>
            </w:tcBorders>
            <w:vAlign w:val="center"/>
          </w:tcPr>
          <w:p>
            <w:pPr>
              <w:spacing w:line="360" w:lineRule="auto"/>
              <w:rPr>
                <w:rFonts w:ascii="宋体" w:hAnsi="宋体" w:cs="AdobeSongStd-Light"/>
                <w:szCs w:val="21"/>
              </w:rPr>
            </w:pPr>
          </w:p>
        </w:tc>
        <w:tc>
          <w:tcPr>
            <w:tcW w:w="709" w:type="dxa"/>
            <w:tcBorders>
              <w:bottom w:val="single" w:color="auto" w:sz="4" w:space="0"/>
            </w:tcBorders>
            <w:vAlign w:val="center"/>
          </w:tcPr>
          <w:p>
            <w:pPr>
              <w:spacing w:line="360" w:lineRule="auto"/>
              <w:jc w:val="center"/>
              <w:rPr>
                <w:rFonts w:ascii="宋体" w:hAnsi="宋体" w:cs="AdobeSongStd-Light"/>
                <w:szCs w:val="21"/>
              </w:rPr>
            </w:pPr>
            <w:r>
              <w:rPr>
                <w:rFonts w:hint="eastAsia" w:ascii="宋体" w:hAnsi="宋体" w:cs="AdobeSongStd-Light"/>
                <w:szCs w:val="21"/>
              </w:rPr>
              <w:t>免税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3" w:hRule="atLeast"/>
          <w:jc w:val="center"/>
        </w:trPr>
        <w:tc>
          <w:tcPr>
            <w:tcW w:w="10651" w:type="dxa"/>
            <w:gridSpan w:val="11"/>
            <w:vAlign w:val="center"/>
          </w:tcPr>
          <w:p>
            <w:pPr>
              <w:spacing w:line="360" w:lineRule="auto"/>
              <w:jc w:val="right"/>
              <w:rPr>
                <w:rFonts w:ascii="宋体" w:hAnsi="宋体"/>
                <w:b/>
                <w:bCs/>
                <w:szCs w:val="21"/>
              </w:rPr>
            </w:pPr>
            <w:r>
              <w:rPr>
                <w:rFonts w:hint="eastAsia" w:ascii="仿宋" w:hAnsi="仿宋" w:eastAsia="仿宋" w:cs="仿宋"/>
                <w:b/>
                <w:bCs/>
                <w:szCs w:val="21"/>
              </w:rPr>
              <w:t>合计：人民币X佰X拾X万元整(￥</w:t>
            </w:r>
            <w:r>
              <w:rPr>
                <w:rFonts w:hint="eastAsia"/>
                <w:iCs/>
                <w:szCs w:val="21"/>
              </w:rPr>
              <w:t>****.00元</w:t>
            </w:r>
            <w:r>
              <w:rPr>
                <w:rFonts w:hint="eastAsia" w:ascii="仿宋" w:hAnsi="仿宋" w:eastAsia="仿宋" w:cs="仿宋"/>
                <w:b/>
                <w:bCs/>
                <w:szCs w:val="21"/>
              </w:rPr>
              <w:t>)</w:t>
            </w:r>
          </w:p>
        </w:tc>
      </w:tr>
    </w:tbl>
    <w:p>
      <w:pPr>
        <w:snapToGrid w:val="0"/>
        <w:spacing w:line="360" w:lineRule="auto"/>
        <w:ind w:left="700" w:hanging="700"/>
        <w:jc w:val="both"/>
        <w:rPr>
          <w:rFonts w:ascii="Tahoma" w:hAnsi="Tahoma" w:cs="Tahoma"/>
          <w:b/>
        </w:rPr>
      </w:pPr>
      <w:r>
        <w:rPr>
          <w:rFonts w:hint="eastAsia" w:ascii="Tahoma" w:hAnsi="Tahoma" w:cs="Tahoma"/>
          <w:b/>
        </w:rPr>
        <w:t>二、合同金额</w:t>
      </w:r>
    </w:p>
    <w:p>
      <w:pPr>
        <w:widowControl/>
        <w:numPr>
          <w:ilvl w:val="0"/>
          <w:numId w:val="3"/>
        </w:numPr>
        <w:adjustRightInd/>
        <w:snapToGrid w:val="0"/>
        <w:spacing w:line="360" w:lineRule="auto"/>
        <w:ind w:left="720"/>
        <w:jc w:val="both"/>
        <w:textAlignment w:val="auto"/>
        <w:rPr>
          <w:rFonts w:ascii="宋体" w:hAnsi="宋体" w:cs="Tahoma"/>
          <w:szCs w:val="21"/>
        </w:rPr>
      </w:pPr>
      <w:r>
        <w:rPr>
          <w:rFonts w:hint="eastAsia" w:ascii="宋体" w:hAnsi="宋体" w:cs="Tahoma"/>
          <w:szCs w:val="21"/>
        </w:rPr>
        <w:t>合同总价为</w:t>
      </w:r>
      <w:r>
        <w:rPr>
          <w:rFonts w:hint="eastAsia" w:ascii="仿宋" w:hAnsi="仿宋" w:eastAsia="仿宋" w:cs="仿宋"/>
          <w:b/>
          <w:bCs/>
          <w:szCs w:val="21"/>
        </w:rPr>
        <w:t>人民币X佰X拾X万元整(￥</w:t>
      </w:r>
      <w:r>
        <w:rPr>
          <w:rFonts w:hint="eastAsia"/>
          <w:iCs/>
          <w:szCs w:val="21"/>
        </w:rPr>
        <w:t>****.00元</w:t>
      </w:r>
      <w:r>
        <w:rPr>
          <w:rFonts w:hint="eastAsia" w:ascii="仿宋" w:hAnsi="仿宋" w:eastAsia="仿宋" w:cs="仿宋"/>
          <w:b/>
          <w:bCs/>
          <w:szCs w:val="21"/>
        </w:rPr>
        <w:t>)</w:t>
      </w:r>
      <w:r>
        <w:rPr>
          <w:rFonts w:hint="eastAsia" w:ascii="宋体" w:hAnsi="宋体" w:cs="Tahoma"/>
          <w:szCs w:val="21"/>
        </w:rPr>
        <w:t>。</w:t>
      </w:r>
    </w:p>
    <w:p>
      <w:pPr>
        <w:widowControl/>
        <w:numPr>
          <w:ilvl w:val="0"/>
          <w:numId w:val="3"/>
        </w:numPr>
        <w:adjustRightInd/>
        <w:snapToGrid w:val="0"/>
        <w:spacing w:line="360" w:lineRule="auto"/>
        <w:ind w:left="720"/>
        <w:jc w:val="both"/>
        <w:textAlignment w:val="auto"/>
        <w:rPr>
          <w:rFonts w:ascii="宋体" w:hAnsi="宋体" w:cs="Tahoma"/>
          <w:szCs w:val="21"/>
        </w:rPr>
      </w:pPr>
      <w:r>
        <w:rPr>
          <w:rFonts w:hint="eastAsia" w:ascii="宋体" w:hAnsi="宋体" w:cs="Tahoma"/>
          <w:szCs w:val="21"/>
        </w:rPr>
        <w:t>合同总价为货到暨南大学校内甲方指定地点免税全包价，包含但不限于货物的设计、制造、包装、仓储（含海关仓储）、运输（含国内运输）、保险（至货物运抵使用单位放置、拆箱、就位）、办理外贸进口和免税相关手续（含外贸进口代理费，外贸进口和免税相关手续其它费用）、装卸、搬运、安装调试、验收、培训、技术服务（包括技术资料、图纸的提供）、质保期服务等的全部费用。</w:t>
      </w:r>
    </w:p>
    <w:p>
      <w:pPr>
        <w:widowControl/>
        <w:numPr>
          <w:ilvl w:val="0"/>
          <w:numId w:val="3"/>
        </w:numPr>
        <w:adjustRightInd/>
        <w:snapToGrid w:val="0"/>
        <w:spacing w:line="360" w:lineRule="auto"/>
        <w:ind w:left="720"/>
        <w:jc w:val="both"/>
        <w:textAlignment w:val="auto"/>
        <w:rPr>
          <w:rFonts w:ascii="宋体" w:hAnsi="宋体" w:cs="Tahoma"/>
          <w:szCs w:val="21"/>
        </w:rPr>
      </w:pPr>
      <w:r>
        <w:rPr>
          <w:rFonts w:ascii="宋体" w:hAnsi="宋体" w:cs="Tahoma"/>
          <w:szCs w:val="21"/>
        </w:rPr>
        <w:t>本协议价格为固定不变价</w:t>
      </w:r>
      <w:r>
        <w:rPr>
          <w:rFonts w:hint="eastAsia" w:ascii="宋体" w:hAnsi="宋体" w:cs="Tahoma"/>
          <w:szCs w:val="21"/>
        </w:rPr>
        <w:t>。甲方以人民币支付，合同执行期间产生的汇率损失由乙方承担。</w:t>
      </w:r>
    </w:p>
    <w:p>
      <w:pPr>
        <w:widowControl/>
        <w:numPr>
          <w:ilvl w:val="0"/>
          <w:numId w:val="3"/>
        </w:numPr>
        <w:adjustRightInd/>
        <w:snapToGrid w:val="0"/>
        <w:spacing w:line="360" w:lineRule="auto"/>
        <w:ind w:left="720"/>
        <w:jc w:val="both"/>
        <w:textAlignment w:val="auto"/>
        <w:rPr>
          <w:rFonts w:ascii="宋体" w:hAnsi="宋体" w:cs="Tahoma"/>
          <w:szCs w:val="21"/>
        </w:rPr>
      </w:pPr>
      <w:r>
        <w:rPr>
          <w:rFonts w:hint="eastAsia" w:ascii="宋体" w:hAnsi="宋体" w:cs="Tahoma"/>
          <w:szCs w:val="21"/>
        </w:rPr>
        <w:t>除本合同明确约定的费用外，甲方无需支付本合同项下任何额外费用。</w:t>
      </w:r>
    </w:p>
    <w:p>
      <w:pPr>
        <w:tabs>
          <w:tab w:val="left" w:pos="840"/>
        </w:tabs>
        <w:snapToGrid w:val="0"/>
        <w:spacing w:line="360" w:lineRule="auto"/>
        <w:jc w:val="both"/>
        <w:rPr>
          <w:rFonts w:ascii="Tahoma" w:hAnsi="Tahoma" w:cs="Tahoma"/>
          <w:b/>
        </w:rPr>
      </w:pPr>
      <w:r>
        <w:rPr>
          <w:rFonts w:hint="eastAsia" w:ascii="Tahoma" w:hAnsi="Tahoma" w:cs="Tahoma"/>
          <w:b/>
        </w:rPr>
        <w:t>三、进口代理事项约定</w:t>
      </w:r>
    </w:p>
    <w:p>
      <w:pPr>
        <w:widowControl/>
        <w:numPr>
          <w:ilvl w:val="0"/>
          <w:numId w:val="4"/>
        </w:numPr>
        <w:adjustRightInd/>
        <w:snapToGrid w:val="0"/>
        <w:spacing w:line="360" w:lineRule="auto"/>
        <w:jc w:val="both"/>
        <w:textAlignment w:val="auto"/>
        <w:rPr>
          <w:rFonts w:ascii="宋体" w:hAnsi="宋体" w:cs="Tahoma"/>
          <w:szCs w:val="21"/>
        </w:rPr>
      </w:pPr>
      <w:r>
        <w:rPr>
          <w:rFonts w:hint="eastAsia" w:ascii="宋体" w:hAnsi="宋体" w:cs="Tahoma"/>
          <w:szCs w:val="21"/>
        </w:rPr>
        <w:t>本合同标的备注为免税的货物是以甲方科教单位名义向海关申报免税进口的产品，接受海关减免税后续监管，由甲方的进口代理公司代理进口业务。</w:t>
      </w:r>
    </w:p>
    <w:p>
      <w:pPr>
        <w:widowControl/>
        <w:numPr>
          <w:ilvl w:val="0"/>
          <w:numId w:val="4"/>
        </w:numPr>
        <w:adjustRightInd/>
        <w:snapToGrid w:val="0"/>
        <w:spacing w:line="360" w:lineRule="auto"/>
        <w:jc w:val="both"/>
        <w:textAlignment w:val="auto"/>
        <w:rPr>
          <w:rFonts w:ascii="宋体" w:hAnsi="宋体" w:cs="Tahoma"/>
          <w:szCs w:val="21"/>
        </w:rPr>
      </w:pPr>
      <w:r>
        <w:rPr>
          <w:rFonts w:hint="eastAsia" w:ascii="宋体" w:hAnsi="宋体" w:cs="Tahoma"/>
          <w:szCs w:val="21"/>
        </w:rPr>
        <w:t>甲方的进口代理公司代理进口业务的范围，包括与乙方或其授权的境外商家签订外贸合同、负责</w:t>
      </w:r>
      <w:r>
        <w:rPr>
          <w:rFonts w:ascii="宋体" w:hAnsi="宋体" w:cs="Tahoma"/>
          <w:szCs w:val="21"/>
        </w:rPr>
        <w:t>/协助申办免税、代理甲方支付货款（包括</w:t>
      </w:r>
      <w:r>
        <w:rPr>
          <w:rFonts w:hint="eastAsia" w:ascii="宋体" w:hAnsi="宋体" w:cs="Tahoma"/>
          <w:szCs w:val="21"/>
        </w:rPr>
        <w:t>开立信用证等银行手续）、负责货物报关、清关、报检、货物入境后的送货运输、开箱点货以及退关、索赔等与外贸业务有关的一切事宜。</w:t>
      </w:r>
    </w:p>
    <w:p>
      <w:pPr>
        <w:widowControl/>
        <w:numPr>
          <w:ilvl w:val="0"/>
          <w:numId w:val="4"/>
        </w:numPr>
        <w:adjustRightInd/>
        <w:snapToGrid w:val="0"/>
        <w:spacing w:line="360" w:lineRule="auto"/>
        <w:jc w:val="both"/>
        <w:textAlignment w:val="auto"/>
        <w:rPr>
          <w:rFonts w:ascii="宋体" w:hAnsi="宋体" w:cs="Tahoma"/>
          <w:szCs w:val="21"/>
        </w:rPr>
      </w:pPr>
      <w:r>
        <w:rPr>
          <w:rFonts w:hint="eastAsia" w:ascii="宋体" w:hAnsi="宋体" w:cs="Tahoma"/>
          <w:szCs w:val="21"/>
        </w:rPr>
        <w:t>乙方或其授权的外贸合同签订方须于本合同签署后十个工作日内与甲方的进口代理公司按本合同条款签订正式外贸合同，执行外贸合同过程中出现违规或违约行为的，乙方及其授权的外贸合同签订方承担连带责任，共同负责赔偿所造成的一切损失。</w:t>
      </w:r>
    </w:p>
    <w:p>
      <w:pPr>
        <w:widowControl/>
        <w:numPr>
          <w:ilvl w:val="0"/>
          <w:numId w:val="4"/>
        </w:numPr>
        <w:adjustRightInd/>
        <w:snapToGrid w:val="0"/>
        <w:spacing w:line="360" w:lineRule="auto"/>
        <w:jc w:val="both"/>
        <w:textAlignment w:val="auto"/>
        <w:rPr>
          <w:rFonts w:ascii="宋体" w:hAnsi="宋体" w:cs="Tahoma"/>
          <w:szCs w:val="21"/>
        </w:rPr>
      </w:pPr>
      <w:r>
        <w:rPr>
          <w:rFonts w:hint="eastAsia" w:ascii="宋体" w:hAnsi="宋体" w:cs="Tahoma"/>
          <w:szCs w:val="21"/>
        </w:rPr>
        <w:t>本协议项下第二条（合同金额）第2款所载之“办理外贸进口和免税相关手续”的费用，包含外贸进口代理费，外贸进口和免税相关手续其他费用。“外贸进口代理费”指甲方指定之外贸进口代理商为办理外贸进口事宜所收取的代理费，</w:t>
      </w:r>
      <w:r>
        <w:rPr>
          <w:rFonts w:ascii="宋体" w:hAnsi="宋体" w:cs="Tahoma"/>
          <w:szCs w:val="21"/>
        </w:rPr>
        <w:t>以</w:t>
      </w:r>
      <w:r>
        <w:rPr>
          <w:rFonts w:hint="eastAsia" w:ascii="宋体" w:hAnsi="宋体" w:cs="Tahoma"/>
          <w:szCs w:val="21"/>
        </w:rPr>
        <w:t>本协议项下第二条（合同金额）第1款所载之合同总价按1.5%计算，以人民币计价及支付，总计</w:t>
      </w:r>
      <w:r>
        <w:rPr>
          <w:rFonts w:ascii="Arial" w:hAnsi="Arial" w:cs="Arial"/>
          <w:b/>
          <w:szCs w:val="21"/>
        </w:rPr>
        <w:t>￥_______</w:t>
      </w:r>
      <w:r>
        <w:rPr>
          <w:rFonts w:hint="eastAsia" w:ascii="Arial" w:hAnsi="Arial" w:cs="Arial"/>
          <w:b/>
          <w:szCs w:val="21"/>
        </w:rPr>
        <w:t>元。</w:t>
      </w:r>
      <w:r>
        <w:rPr>
          <w:rFonts w:hint="eastAsia" w:ascii="Arial" w:hAnsi="Arial" w:cs="Arial"/>
          <w:szCs w:val="21"/>
        </w:rPr>
        <w:t>“外贸进口和免税相关手续</w:t>
      </w:r>
      <w:r>
        <w:rPr>
          <w:rFonts w:hint="eastAsia" w:ascii="宋体" w:hAnsi="宋体" w:cs="Tahoma"/>
          <w:szCs w:val="21"/>
        </w:rPr>
        <w:t>其他费用”包括但不限于信用证开立等银行手续费用、向海关申报免税进口手续所产生的相关费用、汇率损失、报关、报检、国内运输、保险等</w:t>
      </w:r>
      <w:r>
        <w:rPr>
          <w:rFonts w:ascii="宋体" w:hAnsi="宋体"/>
        </w:rPr>
        <w:t>属于外贸</w:t>
      </w:r>
      <w:r>
        <w:rPr>
          <w:rFonts w:hint="eastAsia" w:ascii="宋体" w:hAnsi="宋体"/>
        </w:rPr>
        <w:t>进口</w:t>
      </w:r>
      <w:r>
        <w:rPr>
          <w:rFonts w:ascii="宋体" w:hAnsi="宋体"/>
        </w:rPr>
        <w:t>代理</w:t>
      </w:r>
      <w:r>
        <w:rPr>
          <w:rFonts w:hint="eastAsia" w:ascii="宋体" w:hAnsi="宋体"/>
        </w:rPr>
        <w:t>公司</w:t>
      </w:r>
      <w:r>
        <w:rPr>
          <w:rFonts w:ascii="宋体" w:hAnsi="宋体"/>
        </w:rPr>
        <w:t>以外</w:t>
      </w:r>
      <w:r>
        <w:rPr>
          <w:rFonts w:hint="eastAsia" w:ascii="宋体" w:hAnsi="宋体"/>
        </w:rPr>
        <w:t>的</w:t>
      </w:r>
      <w:r>
        <w:rPr>
          <w:rFonts w:ascii="宋体" w:hAnsi="宋体"/>
        </w:rPr>
        <w:t>单位收取的各项费用</w:t>
      </w:r>
      <w:r>
        <w:rPr>
          <w:rFonts w:hint="eastAsia" w:ascii="宋体" w:hAnsi="宋体"/>
        </w:rPr>
        <w:t>。</w:t>
      </w:r>
    </w:p>
    <w:p>
      <w:pPr>
        <w:widowControl/>
        <w:numPr>
          <w:ilvl w:val="0"/>
          <w:numId w:val="4"/>
        </w:numPr>
        <w:adjustRightInd/>
        <w:snapToGrid w:val="0"/>
        <w:spacing w:line="360" w:lineRule="auto"/>
        <w:jc w:val="both"/>
        <w:textAlignment w:val="auto"/>
        <w:rPr>
          <w:rFonts w:ascii="宋体" w:hAnsi="宋体" w:cs="Tahoma"/>
          <w:szCs w:val="21"/>
        </w:rPr>
      </w:pPr>
      <w:r>
        <w:rPr>
          <w:rFonts w:hint="eastAsia" w:ascii="宋体" w:hAnsi="宋体" w:cs="Tahoma"/>
          <w:szCs w:val="21"/>
        </w:rPr>
        <w:t>“外贸合同签署金额”为扣除外贸进口代理费后的人民币金额，外贸合同应载明由乙方或乙方指定外贸</w:t>
      </w:r>
      <w:r>
        <w:rPr>
          <w:rFonts w:hint="eastAsia" w:ascii="Cambria" w:hAnsi="Cambria" w:cs="Cambria"/>
          <w:szCs w:val="21"/>
        </w:rPr>
        <w:t>商承担本协议第三条（进口代理事项约定）第4款下的“外贸进口和免税相关手续其他费用”</w:t>
      </w:r>
      <w:r>
        <w:rPr>
          <w:rFonts w:hint="eastAsia" w:ascii="宋体" w:hAnsi="宋体" w:cs="Tahoma"/>
          <w:szCs w:val="21"/>
        </w:rPr>
        <w:t>。如外贸合同以外币计价，外币合同金额折算所适用的人民币对外币的汇率，以本协议第三条（进口代理事项约定）第6款规定为准。</w:t>
      </w:r>
    </w:p>
    <w:p>
      <w:pPr>
        <w:widowControl/>
        <w:numPr>
          <w:ilvl w:val="0"/>
          <w:numId w:val="4"/>
        </w:numPr>
        <w:adjustRightInd/>
        <w:snapToGrid w:val="0"/>
        <w:spacing w:line="360" w:lineRule="auto"/>
        <w:jc w:val="both"/>
        <w:textAlignment w:val="auto"/>
        <w:rPr>
          <w:rFonts w:ascii="宋体" w:hAnsi="宋体" w:cs="Tahoma"/>
          <w:szCs w:val="21"/>
        </w:rPr>
      </w:pPr>
      <w:r>
        <w:rPr>
          <w:rFonts w:hint="eastAsia" w:ascii="宋体" w:hAnsi="宋体" w:cs="Tahoma"/>
          <w:szCs w:val="21"/>
        </w:rPr>
        <w:t>人民币与外币的折算以开标当日（</w:t>
      </w:r>
      <w:r>
        <w:rPr>
          <w:rFonts w:hint="eastAsia" w:ascii="宋体" w:hAnsi="宋体" w:cs="Tahoma"/>
          <w:kern w:val="28"/>
        </w:rPr>
        <w:t>***年***月***日</w:t>
      </w:r>
      <w:r>
        <w:rPr>
          <w:rFonts w:hint="eastAsia" w:ascii="宋体" w:hAnsi="宋体" w:cs="Tahoma"/>
          <w:szCs w:val="21"/>
        </w:rPr>
        <w:t>）中国银行首次对外公布的外币对人民币汇率卖出价计算。</w:t>
      </w:r>
    </w:p>
    <w:p>
      <w:pPr>
        <w:widowControl/>
        <w:numPr>
          <w:ilvl w:val="0"/>
          <w:numId w:val="4"/>
        </w:numPr>
        <w:adjustRightInd/>
        <w:snapToGrid w:val="0"/>
        <w:spacing w:line="360" w:lineRule="auto"/>
        <w:jc w:val="both"/>
        <w:textAlignment w:val="auto"/>
        <w:rPr>
          <w:rFonts w:ascii="宋体" w:hAnsi="宋体" w:cs="Tahoma"/>
          <w:szCs w:val="21"/>
        </w:rPr>
      </w:pPr>
      <w:r>
        <w:rPr>
          <w:rFonts w:hint="eastAsia" w:ascii="宋体" w:hAnsi="宋体" w:cs="Tahoma"/>
          <w:szCs w:val="21"/>
        </w:rPr>
        <w:t>免税申请业务由甲方或其进口代理公司负责办理。甲方或其进口代理公司提交给海关的免税申请如被拒绝，或货物在海关清关时被要求征税，则所需征取税费全部由乙方承担，相关责任概由乙方承担。</w:t>
      </w:r>
    </w:p>
    <w:p>
      <w:pPr>
        <w:tabs>
          <w:tab w:val="left" w:pos="840"/>
        </w:tabs>
        <w:snapToGrid w:val="0"/>
        <w:spacing w:line="360" w:lineRule="auto"/>
        <w:jc w:val="both"/>
        <w:rPr>
          <w:rFonts w:ascii="Tahoma" w:hAnsi="Tahoma" w:cs="Tahoma"/>
          <w:b/>
        </w:rPr>
      </w:pPr>
      <w:r>
        <w:rPr>
          <w:rFonts w:hint="eastAsia" w:ascii="Tahoma" w:hAnsi="Tahoma" w:cs="Tahoma"/>
          <w:b/>
        </w:rPr>
        <w:t>四、货物质量标准</w:t>
      </w:r>
    </w:p>
    <w:p>
      <w:pPr>
        <w:widowControl/>
        <w:numPr>
          <w:ilvl w:val="0"/>
          <w:numId w:val="5"/>
        </w:numPr>
        <w:adjustRightInd/>
        <w:snapToGrid w:val="0"/>
        <w:spacing w:line="360" w:lineRule="auto"/>
        <w:jc w:val="both"/>
        <w:textAlignment w:val="auto"/>
        <w:rPr>
          <w:rFonts w:ascii="宋体" w:hAnsi="宋体" w:cs="Tahoma"/>
          <w:szCs w:val="21"/>
        </w:rPr>
      </w:pPr>
      <w:r>
        <w:rPr>
          <w:rFonts w:hint="eastAsia" w:ascii="宋体" w:hAnsi="宋体" w:cs="Tahoma"/>
          <w:szCs w:val="21"/>
        </w:rPr>
        <w:t>乙方提供的货物为全新的、未使用过的原厂原包装产品（含零部件、配件、随机工具、技术文件等），具出厂合格证，序列号、包装箱号与出厂批号一致，可追索查阅，进货渠道合法。</w:t>
      </w:r>
    </w:p>
    <w:p>
      <w:pPr>
        <w:widowControl/>
        <w:numPr>
          <w:ilvl w:val="0"/>
          <w:numId w:val="5"/>
        </w:numPr>
        <w:adjustRightInd/>
        <w:snapToGrid w:val="0"/>
        <w:spacing w:line="360" w:lineRule="auto"/>
        <w:jc w:val="both"/>
        <w:textAlignment w:val="auto"/>
        <w:rPr>
          <w:rFonts w:ascii="宋体" w:hAnsi="宋体" w:cs="Tahoma"/>
          <w:szCs w:val="21"/>
        </w:rPr>
      </w:pPr>
      <w:r>
        <w:rPr>
          <w:rFonts w:hint="eastAsia" w:ascii="宋体" w:hAnsi="宋体" w:cs="Microsoft Sans Serif"/>
          <w:bCs/>
          <w:szCs w:val="21"/>
        </w:rPr>
        <w:t>货物包装必须与合同约定相符，</w:t>
      </w:r>
      <w:r>
        <w:rPr>
          <w:rFonts w:ascii="宋体" w:hAnsi="宋体" w:cs="Microsoft Sans Serif"/>
          <w:bCs/>
          <w:szCs w:val="21"/>
        </w:rPr>
        <w:t>包装外观完好</w:t>
      </w:r>
      <w:r>
        <w:rPr>
          <w:rFonts w:hint="eastAsia" w:ascii="宋体" w:hAnsi="宋体" w:cs="Microsoft Sans Serif"/>
          <w:bCs/>
          <w:szCs w:val="21"/>
        </w:rPr>
        <w:t>、</w:t>
      </w:r>
      <w:r>
        <w:rPr>
          <w:rFonts w:ascii="宋体" w:hAnsi="宋体" w:cs="Microsoft Sans Serif"/>
          <w:bCs/>
          <w:szCs w:val="21"/>
        </w:rPr>
        <w:t>无破损</w:t>
      </w:r>
      <w:r>
        <w:rPr>
          <w:rFonts w:hint="eastAsia" w:ascii="宋体" w:hAnsi="宋体" w:cs="Microsoft Sans Serif"/>
          <w:bCs/>
          <w:szCs w:val="21"/>
        </w:rPr>
        <w:t>，</w:t>
      </w:r>
      <w:r>
        <w:rPr>
          <w:rFonts w:hint="eastAsia" w:ascii="宋体" w:hAnsi="宋体"/>
          <w:szCs w:val="21"/>
        </w:rPr>
        <w:t>货物</w:t>
      </w:r>
      <w:r>
        <w:rPr>
          <w:rFonts w:hint="eastAsia" w:ascii="宋体" w:hAnsi="宋体" w:cs="Tahoma"/>
          <w:szCs w:val="21"/>
        </w:rPr>
        <w:t>洁净</w:t>
      </w:r>
      <w:r>
        <w:rPr>
          <w:rFonts w:ascii="宋体" w:hAnsi="宋体" w:cs="Microsoft Sans Serif"/>
          <w:bCs/>
          <w:szCs w:val="21"/>
        </w:rPr>
        <w:t>完好</w:t>
      </w:r>
      <w:r>
        <w:rPr>
          <w:rFonts w:hint="eastAsia" w:ascii="宋体" w:hAnsi="宋体" w:cs="Microsoft Sans Serif"/>
          <w:bCs/>
          <w:szCs w:val="21"/>
        </w:rPr>
        <w:t>、</w:t>
      </w:r>
      <w:r>
        <w:rPr>
          <w:rFonts w:hint="eastAsia" w:ascii="宋体" w:hAnsi="宋体" w:cs="Tahoma"/>
          <w:szCs w:val="21"/>
        </w:rPr>
        <w:t>无划痕、无凹陷、无褪色、无锈迹。</w:t>
      </w:r>
    </w:p>
    <w:p>
      <w:pPr>
        <w:widowControl/>
        <w:numPr>
          <w:ilvl w:val="0"/>
          <w:numId w:val="5"/>
        </w:numPr>
        <w:adjustRightInd/>
        <w:snapToGrid w:val="0"/>
        <w:spacing w:line="360" w:lineRule="auto"/>
        <w:jc w:val="both"/>
        <w:textAlignment w:val="auto"/>
        <w:rPr>
          <w:rFonts w:ascii="宋体" w:hAnsi="宋体" w:cs="Tahoma"/>
          <w:szCs w:val="21"/>
        </w:rPr>
      </w:pPr>
      <w:r>
        <w:rPr>
          <w:rFonts w:hint="eastAsia" w:ascii="宋体" w:hAnsi="宋体" w:cs="Tahoma"/>
          <w:szCs w:val="21"/>
        </w:rPr>
        <w:t>实际到货的货物名称、数量、品牌、型号、规格、配置、产地等信息须与合同一致。</w:t>
      </w:r>
    </w:p>
    <w:p>
      <w:pPr>
        <w:widowControl/>
        <w:numPr>
          <w:ilvl w:val="0"/>
          <w:numId w:val="5"/>
        </w:numPr>
        <w:adjustRightInd/>
        <w:snapToGrid w:val="0"/>
        <w:spacing w:line="360" w:lineRule="auto"/>
        <w:jc w:val="both"/>
        <w:textAlignment w:val="auto"/>
        <w:rPr>
          <w:rFonts w:ascii="宋体" w:hAnsi="宋体" w:cs="Tahoma"/>
          <w:szCs w:val="21"/>
        </w:rPr>
      </w:pPr>
      <w:r>
        <w:rPr>
          <w:rFonts w:hint="eastAsia" w:ascii="宋体" w:hAnsi="宋体" w:cs="Tahoma"/>
          <w:szCs w:val="21"/>
        </w:rPr>
        <w:t>货物性能参数及技术指标必须与招标文件要求及投标文件响应的内容相符，并达到中华人民共和国国家相关标准及行业标准。</w:t>
      </w:r>
    </w:p>
    <w:p>
      <w:pPr>
        <w:widowControl/>
        <w:numPr>
          <w:ilvl w:val="0"/>
          <w:numId w:val="5"/>
        </w:numPr>
        <w:adjustRightInd/>
        <w:snapToGrid w:val="0"/>
        <w:spacing w:line="360" w:lineRule="auto"/>
        <w:jc w:val="both"/>
        <w:textAlignment w:val="auto"/>
        <w:rPr>
          <w:rFonts w:ascii="宋体" w:hAnsi="宋体" w:cs="Tahoma"/>
          <w:szCs w:val="21"/>
        </w:rPr>
      </w:pPr>
      <w:r>
        <w:rPr>
          <w:rFonts w:hint="eastAsia" w:ascii="宋体" w:hAnsi="宋体" w:cs="Tahoma"/>
          <w:szCs w:val="21"/>
        </w:rPr>
        <w:t>进口产品必须具备原产地证明和商检局的检验证明。</w:t>
      </w:r>
    </w:p>
    <w:p>
      <w:pPr>
        <w:widowControl/>
        <w:numPr>
          <w:ilvl w:val="0"/>
          <w:numId w:val="5"/>
        </w:numPr>
        <w:adjustRightInd/>
        <w:snapToGrid w:val="0"/>
        <w:spacing w:line="360" w:lineRule="auto"/>
        <w:jc w:val="both"/>
        <w:textAlignment w:val="auto"/>
        <w:rPr>
          <w:rFonts w:ascii="宋体" w:hAnsi="宋体"/>
          <w:szCs w:val="21"/>
        </w:rPr>
      </w:pPr>
      <w:r>
        <w:rPr>
          <w:rFonts w:hint="eastAsia" w:ascii="宋体" w:hAnsi="宋体"/>
          <w:szCs w:val="21"/>
        </w:rPr>
        <w:t>因货物的质量问题发生争议，由广东省或广州市商检部门进行质量鉴定。货物符合质量标准的，鉴定费由甲方承担；货物不符合质量标准的，鉴定费由乙方承担。</w:t>
      </w:r>
    </w:p>
    <w:p>
      <w:pPr>
        <w:snapToGrid w:val="0"/>
        <w:spacing w:line="360" w:lineRule="auto"/>
        <w:ind w:left="700" w:hanging="700"/>
        <w:jc w:val="both"/>
        <w:outlineLvl w:val="0"/>
        <w:rPr>
          <w:rFonts w:ascii="Tahoma" w:hAnsi="Tahoma" w:cs="Tahoma"/>
          <w:b/>
        </w:rPr>
      </w:pPr>
      <w:r>
        <w:rPr>
          <w:rFonts w:hint="eastAsia" w:ascii="Tahoma" w:hAnsi="Tahoma" w:cs="Tahoma"/>
          <w:b/>
        </w:rPr>
        <w:t>五、包装</w:t>
      </w:r>
    </w:p>
    <w:p>
      <w:pPr>
        <w:widowControl/>
        <w:numPr>
          <w:ilvl w:val="0"/>
          <w:numId w:val="6"/>
        </w:numPr>
        <w:adjustRightInd/>
        <w:snapToGrid w:val="0"/>
        <w:spacing w:line="360" w:lineRule="auto"/>
        <w:jc w:val="both"/>
        <w:textAlignment w:val="auto"/>
        <w:rPr>
          <w:rFonts w:ascii="宋体" w:hAnsi="宋体"/>
          <w:szCs w:val="21"/>
        </w:rPr>
      </w:pPr>
      <w:r>
        <w:rPr>
          <w:rFonts w:hint="eastAsia" w:ascii="宋体" w:hAnsi="宋体"/>
          <w:szCs w:val="21"/>
        </w:rPr>
        <w:t>包装必须与运输方式相适应，包装方式的确定及包装费用均由乙方负责；由于不适当的包装而造成货物在运输过程中有任何损坏、丢失由乙方负责。</w:t>
      </w:r>
    </w:p>
    <w:p>
      <w:pPr>
        <w:widowControl/>
        <w:numPr>
          <w:ilvl w:val="0"/>
          <w:numId w:val="6"/>
        </w:numPr>
        <w:adjustRightInd/>
        <w:snapToGrid w:val="0"/>
        <w:spacing w:line="360" w:lineRule="auto"/>
        <w:jc w:val="both"/>
        <w:textAlignment w:val="auto"/>
        <w:rPr>
          <w:rFonts w:ascii="宋体" w:hAnsi="宋体"/>
          <w:szCs w:val="21"/>
        </w:rPr>
      </w:pPr>
      <w:r>
        <w:rPr>
          <w:rFonts w:hint="eastAsia" w:ascii="宋体" w:hAnsi="宋体"/>
          <w:szCs w:val="21"/>
        </w:rPr>
        <w:t>包装应足以承受整个过程中的运输、转运、装缷、储存等，充分考虑到运输途中的各种情况（如暴露于恶劣气候等），以及露天存放的需要。</w:t>
      </w:r>
    </w:p>
    <w:p>
      <w:pPr>
        <w:widowControl/>
        <w:numPr>
          <w:ilvl w:val="0"/>
          <w:numId w:val="6"/>
        </w:numPr>
        <w:adjustRightInd/>
        <w:snapToGrid w:val="0"/>
        <w:spacing w:line="360" w:lineRule="auto"/>
        <w:jc w:val="both"/>
        <w:textAlignment w:val="auto"/>
        <w:rPr>
          <w:rFonts w:ascii="宋体" w:hAnsi="宋体"/>
          <w:szCs w:val="21"/>
        </w:rPr>
      </w:pPr>
      <w:r>
        <w:rPr>
          <w:rFonts w:hint="eastAsia" w:ascii="宋体" w:hAnsi="宋体"/>
          <w:szCs w:val="21"/>
        </w:rPr>
        <w:t>专用工具及备品备件应分别包装，并在包装箱外加以注明其用处。</w:t>
      </w:r>
    </w:p>
    <w:p>
      <w:pPr>
        <w:widowControl/>
        <w:numPr>
          <w:ilvl w:val="0"/>
          <w:numId w:val="6"/>
        </w:numPr>
        <w:adjustRightInd/>
        <w:snapToGrid w:val="0"/>
        <w:spacing w:line="360" w:lineRule="auto"/>
        <w:jc w:val="both"/>
        <w:textAlignment w:val="auto"/>
        <w:rPr>
          <w:rFonts w:ascii="宋体" w:hAnsi="宋体"/>
          <w:szCs w:val="21"/>
        </w:rPr>
      </w:pPr>
      <w:r>
        <w:rPr>
          <w:rFonts w:hint="eastAsia" w:ascii="宋体" w:hAnsi="宋体"/>
          <w:szCs w:val="21"/>
        </w:rPr>
        <w:t>包装外观应标明总包装数、包装编号、毛重、净重、尺寸、体积等相关包装信息。</w:t>
      </w:r>
    </w:p>
    <w:p>
      <w:pPr>
        <w:widowControl/>
        <w:numPr>
          <w:ilvl w:val="0"/>
          <w:numId w:val="6"/>
        </w:numPr>
        <w:adjustRightInd/>
        <w:snapToGrid w:val="0"/>
        <w:spacing w:line="360" w:lineRule="auto"/>
        <w:jc w:val="both"/>
        <w:textAlignment w:val="auto"/>
        <w:rPr>
          <w:rFonts w:ascii="宋体" w:hAnsi="宋体"/>
          <w:szCs w:val="21"/>
        </w:rPr>
      </w:pPr>
      <w:r>
        <w:rPr>
          <w:rFonts w:hint="eastAsia" w:ascii="宋体" w:hAnsi="宋体"/>
          <w:szCs w:val="21"/>
        </w:rPr>
        <w:t>外包装应贴上能证明货物状态及来龙去脉的标签，至少须注明合同编号、货物名称、货物数量、发货人、始发地、承运人、运输方式、收货人、目的地等信息。</w:t>
      </w:r>
    </w:p>
    <w:p>
      <w:pPr>
        <w:widowControl/>
        <w:numPr>
          <w:ilvl w:val="0"/>
          <w:numId w:val="6"/>
        </w:numPr>
        <w:adjustRightInd/>
        <w:snapToGrid w:val="0"/>
        <w:spacing w:line="360" w:lineRule="auto"/>
        <w:jc w:val="both"/>
        <w:textAlignment w:val="auto"/>
        <w:rPr>
          <w:rFonts w:ascii="宋体" w:hAnsi="宋体"/>
          <w:szCs w:val="21"/>
        </w:rPr>
      </w:pPr>
      <w:r>
        <w:rPr>
          <w:rFonts w:hint="eastAsia" w:ascii="宋体" w:hAnsi="宋体"/>
          <w:szCs w:val="21"/>
        </w:rPr>
        <w:t>外包装应附上货物清单，注明包装内货物的名称和数量。</w:t>
      </w:r>
    </w:p>
    <w:p>
      <w:pPr>
        <w:widowControl/>
        <w:numPr>
          <w:ilvl w:val="0"/>
          <w:numId w:val="6"/>
        </w:numPr>
        <w:adjustRightInd/>
        <w:snapToGrid w:val="0"/>
        <w:spacing w:line="360" w:lineRule="auto"/>
        <w:jc w:val="both"/>
        <w:textAlignment w:val="auto"/>
        <w:rPr>
          <w:rFonts w:ascii="宋体" w:hAnsi="宋体"/>
          <w:szCs w:val="21"/>
        </w:rPr>
      </w:pPr>
      <w:r>
        <w:rPr>
          <w:rFonts w:hint="eastAsia" w:ascii="宋体" w:hAnsi="宋体"/>
          <w:szCs w:val="21"/>
        </w:rPr>
        <w:t>精密仪器应在外包装贴上小心轻放、防火、防雨淋、防雷、防震、防倒置等提醒注意的标志。易燃、易爆、有毒、含辐射等危险物品应贴上安全标识。</w:t>
      </w:r>
    </w:p>
    <w:p>
      <w:pPr>
        <w:snapToGrid w:val="0"/>
        <w:spacing w:line="360" w:lineRule="auto"/>
        <w:ind w:left="700" w:hanging="700"/>
        <w:jc w:val="both"/>
        <w:outlineLvl w:val="0"/>
        <w:rPr>
          <w:rFonts w:ascii="Tahoma" w:hAnsi="Tahoma" w:cs="Tahoma"/>
          <w:b/>
        </w:rPr>
      </w:pPr>
      <w:r>
        <w:rPr>
          <w:rFonts w:hint="eastAsia" w:ascii="Tahoma" w:hAnsi="Tahoma" w:cs="Tahoma"/>
          <w:b/>
        </w:rPr>
        <w:t>六、运输、装卸、仓储</w:t>
      </w:r>
    </w:p>
    <w:p>
      <w:pPr>
        <w:widowControl/>
        <w:numPr>
          <w:ilvl w:val="0"/>
          <w:numId w:val="7"/>
        </w:numPr>
        <w:adjustRightInd/>
        <w:snapToGrid w:val="0"/>
        <w:spacing w:line="360" w:lineRule="auto"/>
        <w:jc w:val="both"/>
        <w:textAlignment w:val="auto"/>
        <w:rPr>
          <w:rFonts w:ascii="宋体" w:hAnsi="宋体" w:cs="Tahoma"/>
          <w:szCs w:val="21"/>
        </w:rPr>
      </w:pPr>
      <w:r>
        <w:rPr>
          <w:rFonts w:hint="eastAsia" w:ascii="宋体" w:hAnsi="宋体"/>
          <w:szCs w:val="21"/>
        </w:rPr>
        <w:t>货物装卸、运输、仓储等业务由乙方负责。</w:t>
      </w:r>
    </w:p>
    <w:p>
      <w:pPr>
        <w:widowControl/>
        <w:numPr>
          <w:ilvl w:val="0"/>
          <w:numId w:val="7"/>
        </w:numPr>
        <w:adjustRightInd/>
        <w:snapToGrid w:val="0"/>
        <w:spacing w:line="360" w:lineRule="auto"/>
        <w:jc w:val="both"/>
        <w:textAlignment w:val="auto"/>
        <w:rPr>
          <w:rFonts w:ascii="宋体" w:hAnsi="宋体" w:cs="Tahoma"/>
          <w:szCs w:val="21"/>
        </w:rPr>
      </w:pPr>
      <w:r>
        <w:rPr>
          <w:rFonts w:hint="eastAsia" w:ascii="宋体" w:hAnsi="宋体" w:cs="Tahoma"/>
          <w:szCs w:val="21"/>
        </w:rPr>
        <w:t>装卸、运输、仓储过程应充分考虑可能遇到的各种情况，避免货物遭受暴晒、浸泡、碰撞、挤压、剧烈震荡等伤害，注意防火、防盗、防爆、防雷击，保证货物完好，不被丢失、损坏、损毁或灭失。乙方在保证货物财产安全的同时，还须注意人员安全，避免危害他人身体健康和造成人员伤亡情况的发生。如在上述装卸、运输、仓储过程中出现任何货物损坏、损毁、丢失、灭失或人员伤亡等情况，一切责任由乙方承担。</w:t>
      </w:r>
    </w:p>
    <w:p>
      <w:pPr>
        <w:widowControl/>
        <w:numPr>
          <w:ilvl w:val="0"/>
          <w:numId w:val="7"/>
        </w:numPr>
        <w:adjustRightInd/>
        <w:snapToGrid w:val="0"/>
        <w:spacing w:line="360" w:lineRule="auto"/>
        <w:jc w:val="both"/>
        <w:textAlignment w:val="auto"/>
        <w:rPr>
          <w:rFonts w:ascii="宋体" w:hAnsi="宋体" w:cs="Tahoma"/>
          <w:szCs w:val="21"/>
        </w:rPr>
      </w:pPr>
      <w:r>
        <w:rPr>
          <w:rFonts w:hint="eastAsia" w:ascii="宋体" w:hAnsi="宋体" w:cs="Tahoma"/>
          <w:szCs w:val="21"/>
        </w:rPr>
        <w:t>海外运输：由乙方负责确定合适的运输方式。在充分保证货物财产安全的前提下，乙方应选择快捷高效的运输途径，尽量减少货物中转、装卸的次数。</w:t>
      </w:r>
    </w:p>
    <w:p>
      <w:pPr>
        <w:widowControl/>
        <w:numPr>
          <w:ilvl w:val="0"/>
          <w:numId w:val="7"/>
        </w:numPr>
        <w:adjustRightInd/>
        <w:snapToGrid w:val="0"/>
        <w:spacing w:line="360" w:lineRule="auto"/>
        <w:jc w:val="both"/>
        <w:textAlignment w:val="auto"/>
        <w:rPr>
          <w:rFonts w:ascii="宋体" w:hAnsi="宋体" w:cs="Tahoma"/>
          <w:szCs w:val="21"/>
        </w:rPr>
      </w:pPr>
      <w:r>
        <w:rPr>
          <w:rFonts w:hint="eastAsia" w:ascii="宋体" w:hAnsi="宋体" w:cs="Tahoma"/>
          <w:szCs w:val="21"/>
        </w:rPr>
        <w:t>内陆运输：乙方须派人全程跟踪，不得任由承运人随意处置货物。</w:t>
      </w:r>
    </w:p>
    <w:p>
      <w:pPr>
        <w:widowControl/>
        <w:numPr>
          <w:ilvl w:val="0"/>
          <w:numId w:val="7"/>
        </w:numPr>
        <w:adjustRightInd/>
        <w:snapToGrid w:val="0"/>
        <w:spacing w:line="360" w:lineRule="auto"/>
        <w:jc w:val="both"/>
        <w:textAlignment w:val="auto"/>
        <w:rPr>
          <w:rFonts w:ascii="宋体" w:hAnsi="宋体" w:cs="Tahoma"/>
          <w:szCs w:val="21"/>
        </w:rPr>
      </w:pPr>
      <w:r>
        <w:rPr>
          <w:rFonts w:hint="eastAsia" w:ascii="宋体" w:hAnsi="宋体" w:cs="Tahoma"/>
          <w:szCs w:val="21"/>
        </w:rPr>
        <w:t>货物抵达甲方收货地点进行卸货作业时，不得损坏甲方电梯、墙体、家具、用具等物品，如有对甲方造成财产损失的，乙方须赔偿甲方全部损失。</w:t>
      </w:r>
    </w:p>
    <w:p>
      <w:pPr>
        <w:snapToGrid w:val="0"/>
        <w:spacing w:line="360" w:lineRule="auto"/>
        <w:ind w:left="700" w:hanging="700"/>
        <w:jc w:val="both"/>
        <w:outlineLvl w:val="0"/>
        <w:rPr>
          <w:rFonts w:ascii="Tahoma" w:hAnsi="Tahoma" w:cs="Tahoma"/>
          <w:b/>
        </w:rPr>
      </w:pPr>
      <w:r>
        <w:rPr>
          <w:rFonts w:hint="eastAsia" w:ascii="Tahoma" w:hAnsi="Tahoma" w:cs="Tahoma"/>
          <w:b/>
        </w:rPr>
        <w:t>七、交货</w:t>
      </w:r>
    </w:p>
    <w:p>
      <w:pPr>
        <w:widowControl/>
        <w:numPr>
          <w:ilvl w:val="0"/>
          <w:numId w:val="8"/>
        </w:numPr>
        <w:adjustRightInd/>
        <w:snapToGrid w:val="0"/>
        <w:spacing w:line="360" w:lineRule="auto"/>
        <w:jc w:val="both"/>
        <w:textAlignment w:val="auto"/>
        <w:rPr>
          <w:rFonts w:ascii="宋体" w:hAnsi="宋体" w:cs="Tahoma"/>
          <w:szCs w:val="21"/>
        </w:rPr>
      </w:pPr>
      <w:r>
        <w:rPr>
          <w:rFonts w:hint="eastAsia" w:ascii="宋体" w:hAnsi="宋体"/>
          <w:szCs w:val="21"/>
        </w:rPr>
        <w:t>合同交货期：合同签订后</w:t>
      </w:r>
      <w:r>
        <w:rPr>
          <w:rFonts w:hint="eastAsia" w:ascii="宋体" w:hAnsi="宋体"/>
          <w:szCs w:val="28"/>
          <w:u w:val="single"/>
        </w:rPr>
        <w:t>***天</w:t>
      </w:r>
      <w:r>
        <w:rPr>
          <w:rFonts w:hint="eastAsia" w:ascii="宋体" w:hAnsi="宋体"/>
          <w:szCs w:val="21"/>
        </w:rPr>
        <w:t>内完成交货。</w:t>
      </w:r>
    </w:p>
    <w:p>
      <w:pPr>
        <w:widowControl/>
        <w:numPr>
          <w:ilvl w:val="0"/>
          <w:numId w:val="8"/>
        </w:numPr>
        <w:adjustRightInd/>
        <w:snapToGrid w:val="0"/>
        <w:spacing w:line="360" w:lineRule="auto"/>
        <w:jc w:val="both"/>
        <w:textAlignment w:val="auto"/>
        <w:rPr>
          <w:rFonts w:ascii="宋体" w:hAnsi="宋体" w:cs="Tahoma"/>
          <w:szCs w:val="21"/>
        </w:rPr>
      </w:pPr>
      <w:r>
        <w:rPr>
          <w:rFonts w:hint="eastAsia" w:ascii="宋体" w:hAnsi="宋体" w:cs="Tahoma"/>
          <w:szCs w:val="21"/>
        </w:rPr>
        <w:t>交货地点：暨南大学校内甲方指定地点。</w:t>
      </w:r>
    </w:p>
    <w:p>
      <w:pPr>
        <w:widowControl/>
        <w:numPr>
          <w:ilvl w:val="0"/>
          <w:numId w:val="8"/>
        </w:numPr>
        <w:adjustRightInd/>
        <w:snapToGrid w:val="0"/>
        <w:spacing w:line="360" w:lineRule="auto"/>
        <w:jc w:val="both"/>
        <w:textAlignment w:val="auto"/>
        <w:rPr>
          <w:rFonts w:ascii="宋体" w:hAnsi="宋体" w:cs="Tahoma"/>
          <w:szCs w:val="21"/>
        </w:rPr>
      </w:pPr>
      <w:r>
        <w:rPr>
          <w:rFonts w:hint="eastAsia" w:ascii="宋体" w:hAnsi="宋体" w:cs="Tahoma"/>
          <w:szCs w:val="21"/>
        </w:rPr>
        <w:t>甲方收货联系人：</w:t>
      </w:r>
      <w:r>
        <w:rPr>
          <w:rFonts w:hint="eastAsia" w:ascii="宋体" w:hAnsi="宋体" w:cs="Tahoma"/>
          <w:szCs w:val="21"/>
          <w:u w:val="single"/>
        </w:rPr>
        <w:t xml:space="preserve">        </w:t>
      </w:r>
      <w:r>
        <w:rPr>
          <w:rFonts w:hint="eastAsia" w:ascii="宋体" w:hAnsi="宋体" w:cs="Tahoma"/>
          <w:szCs w:val="21"/>
        </w:rPr>
        <w:t>；联系电话（手机）：</w:t>
      </w:r>
      <w:r>
        <w:rPr>
          <w:rFonts w:hint="eastAsia" w:ascii="宋体" w:hAnsi="宋体" w:cs="Tahoma"/>
          <w:szCs w:val="21"/>
          <w:u w:val="single"/>
        </w:rPr>
        <w:t xml:space="preserve">            </w:t>
      </w:r>
      <w:r>
        <w:rPr>
          <w:rFonts w:hint="eastAsia" w:ascii="宋体" w:hAnsi="宋体" w:cs="Tahoma"/>
          <w:szCs w:val="21"/>
        </w:rPr>
        <w:t>；电子邮箱：</w:t>
      </w:r>
      <w:r>
        <w:rPr>
          <w:rFonts w:hint="eastAsia" w:ascii="宋体" w:hAnsi="宋体" w:cs="Tahoma"/>
          <w:szCs w:val="21"/>
          <w:u w:val="single"/>
        </w:rPr>
        <w:t xml:space="preserve">                  </w:t>
      </w:r>
      <w:r>
        <w:rPr>
          <w:rFonts w:hint="eastAsia" w:ascii="宋体" w:hAnsi="宋体" w:cs="Tahoma"/>
          <w:szCs w:val="21"/>
        </w:rPr>
        <w:t>。</w:t>
      </w:r>
    </w:p>
    <w:p>
      <w:pPr>
        <w:widowControl/>
        <w:numPr>
          <w:ilvl w:val="0"/>
          <w:numId w:val="8"/>
        </w:numPr>
        <w:adjustRightInd/>
        <w:snapToGrid w:val="0"/>
        <w:spacing w:line="360" w:lineRule="auto"/>
        <w:jc w:val="both"/>
        <w:textAlignment w:val="auto"/>
        <w:rPr>
          <w:rFonts w:ascii="宋体" w:hAnsi="宋体" w:cs="Tahoma"/>
          <w:szCs w:val="21"/>
        </w:rPr>
      </w:pPr>
      <w:r>
        <w:rPr>
          <w:rFonts w:hint="eastAsia" w:ascii="宋体" w:hAnsi="宋体" w:cs="Tahoma"/>
          <w:szCs w:val="21"/>
        </w:rPr>
        <w:t>乙方送货联系人：</w:t>
      </w:r>
      <w:r>
        <w:rPr>
          <w:rFonts w:hint="eastAsia" w:ascii="宋体" w:hAnsi="宋体" w:cs="Tahoma"/>
          <w:szCs w:val="21"/>
          <w:u w:val="single"/>
        </w:rPr>
        <w:t xml:space="preserve">        </w:t>
      </w:r>
      <w:r>
        <w:rPr>
          <w:rFonts w:hint="eastAsia" w:ascii="宋体" w:hAnsi="宋体" w:cs="Tahoma"/>
          <w:szCs w:val="21"/>
        </w:rPr>
        <w:t>；联系电话（手机）：</w:t>
      </w:r>
      <w:r>
        <w:rPr>
          <w:rFonts w:hint="eastAsia" w:ascii="宋体" w:hAnsi="宋体" w:cs="Tahoma"/>
          <w:szCs w:val="21"/>
          <w:u w:val="single"/>
        </w:rPr>
        <w:t xml:space="preserve">            </w:t>
      </w:r>
      <w:r>
        <w:rPr>
          <w:rFonts w:hint="eastAsia" w:ascii="宋体" w:hAnsi="宋体" w:cs="Tahoma"/>
          <w:szCs w:val="21"/>
        </w:rPr>
        <w:t>；电子邮箱：</w:t>
      </w:r>
      <w:r>
        <w:rPr>
          <w:rFonts w:hint="eastAsia" w:ascii="宋体" w:hAnsi="宋体" w:cs="Tahoma"/>
          <w:szCs w:val="21"/>
          <w:u w:val="single"/>
        </w:rPr>
        <w:t xml:space="preserve">                  </w:t>
      </w:r>
      <w:r>
        <w:rPr>
          <w:rFonts w:hint="eastAsia" w:ascii="宋体" w:hAnsi="宋体" w:cs="Tahoma"/>
          <w:szCs w:val="21"/>
        </w:rPr>
        <w:t>。</w:t>
      </w:r>
    </w:p>
    <w:p>
      <w:pPr>
        <w:widowControl/>
        <w:numPr>
          <w:ilvl w:val="0"/>
          <w:numId w:val="8"/>
        </w:numPr>
        <w:adjustRightInd/>
        <w:snapToGrid w:val="0"/>
        <w:spacing w:line="360" w:lineRule="auto"/>
        <w:jc w:val="both"/>
        <w:textAlignment w:val="auto"/>
        <w:rPr>
          <w:rFonts w:ascii="宋体" w:hAnsi="宋体" w:cs="Tahoma"/>
          <w:szCs w:val="21"/>
        </w:rPr>
      </w:pPr>
      <w:r>
        <w:rPr>
          <w:rFonts w:hint="eastAsia" w:ascii="宋体" w:hAnsi="宋体" w:cs="Tahoma"/>
          <w:szCs w:val="21"/>
        </w:rPr>
        <w:t>送货：</w:t>
      </w:r>
    </w:p>
    <w:p>
      <w:pPr>
        <w:tabs>
          <w:tab w:val="left" w:pos="720"/>
        </w:tabs>
        <w:snapToGrid w:val="0"/>
        <w:spacing w:line="360" w:lineRule="auto"/>
        <w:ind w:left="720"/>
        <w:jc w:val="both"/>
        <w:rPr>
          <w:rFonts w:ascii="宋体" w:hAnsi="宋体" w:cs="Tahoma"/>
          <w:szCs w:val="21"/>
        </w:rPr>
      </w:pPr>
      <w:r>
        <w:rPr>
          <w:rFonts w:hint="eastAsia" w:ascii="宋体" w:hAnsi="宋体" w:cs="Tahoma"/>
          <w:szCs w:val="21"/>
        </w:rPr>
        <w:t>1）货物清关前，乙方应提前通知甲方并安排好送货及开箱的时间。</w:t>
      </w:r>
    </w:p>
    <w:p>
      <w:pPr>
        <w:tabs>
          <w:tab w:val="left" w:pos="720"/>
        </w:tabs>
        <w:snapToGrid w:val="0"/>
        <w:spacing w:line="360" w:lineRule="auto"/>
        <w:ind w:left="720"/>
        <w:jc w:val="both"/>
        <w:rPr>
          <w:rFonts w:ascii="宋体" w:hAnsi="宋体" w:cs="Tahoma"/>
          <w:szCs w:val="21"/>
        </w:rPr>
      </w:pPr>
      <w:r>
        <w:rPr>
          <w:rFonts w:hint="eastAsia" w:ascii="宋体" w:hAnsi="宋体" w:cs="Tahoma"/>
          <w:szCs w:val="21"/>
        </w:rPr>
        <w:t>2）货物清关入境后，乙方应于当天将货物运送到甲方指定的交货地点。</w:t>
      </w:r>
    </w:p>
    <w:p>
      <w:pPr>
        <w:tabs>
          <w:tab w:val="left" w:pos="720"/>
        </w:tabs>
        <w:snapToGrid w:val="0"/>
        <w:spacing w:line="360" w:lineRule="auto"/>
        <w:ind w:left="720"/>
        <w:jc w:val="both"/>
        <w:rPr>
          <w:rFonts w:ascii="宋体" w:hAnsi="宋体" w:cs="Tahoma"/>
          <w:szCs w:val="21"/>
        </w:rPr>
      </w:pPr>
      <w:r>
        <w:rPr>
          <w:rFonts w:hint="eastAsia" w:ascii="宋体" w:hAnsi="宋体" w:cs="Tahoma"/>
          <w:szCs w:val="21"/>
        </w:rPr>
        <w:t>3）交货时，甲乙双方及外贸公司三方共同参与。送货单上须注明合同编号、货物名称、包装数量、外包装是否完好、外包装尺寸（体积）、重量等信息。同时对交货状况拍照留存。</w:t>
      </w:r>
    </w:p>
    <w:p>
      <w:pPr>
        <w:tabs>
          <w:tab w:val="left" w:pos="720"/>
        </w:tabs>
        <w:snapToGrid w:val="0"/>
        <w:spacing w:line="360" w:lineRule="auto"/>
        <w:ind w:left="720"/>
        <w:jc w:val="both"/>
        <w:rPr>
          <w:rFonts w:ascii="宋体" w:hAnsi="宋体" w:cs="Tahoma"/>
          <w:szCs w:val="21"/>
        </w:rPr>
      </w:pPr>
      <w:r>
        <w:rPr>
          <w:rFonts w:hint="eastAsia" w:ascii="宋体" w:hAnsi="宋体" w:cs="Tahoma"/>
          <w:szCs w:val="21"/>
        </w:rPr>
        <w:t>4）交货时，如发现货物外包装有破损、被撞击的痕迹，或货物数量不足，甲方有权拒收，按未交货处理。</w:t>
      </w:r>
    </w:p>
    <w:p>
      <w:pPr>
        <w:tabs>
          <w:tab w:val="left" w:pos="720"/>
        </w:tabs>
        <w:snapToGrid w:val="0"/>
        <w:spacing w:line="360" w:lineRule="auto"/>
        <w:ind w:left="720"/>
        <w:jc w:val="both"/>
        <w:rPr>
          <w:rFonts w:ascii="宋体" w:hAnsi="宋体" w:cs="Tahoma"/>
          <w:szCs w:val="21"/>
        </w:rPr>
      </w:pPr>
      <w:r>
        <w:rPr>
          <w:rFonts w:hint="eastAsia" w:ascii="宋体" w:hAnsi="宋体" w:cs="Tahoma"/>
          <w:szCs w:val="21"/>
        </w:rPr>
        <w:t>5）乙方应将合同货物的产品序列号、用户手册、技术资料（包括设备说明书、使用手册和其它相关技术资料）及配件、随机工具等一并交付给甲方。</w:t>
      </w:r>
    </w:p>
    <w:p>
      <w:pPr>
        <w:tabs>
          <w:tab w:val="left" w:pos="720"/>
        </w:tabs>
        <w:snapToGrid w:val="0"/>
        <w:spacing w:line="360" w:lineRule="auto"/>
        <w:ind w:left="720"/>
        <w:jc w:val="both"/>
        <w:rPr>
          <w:rFonts w:ascii="宋体" w:hAnsi="宋体" w:cs="Tahoma"/>
          <w:szCs w:val="21"/>
        </w:rPr>
      </w:pPr>
      <w:r>
        <w:rPr>
          <w:rFonts w:hint="eastAsia" w:ascii="宋体" w:hAnsi="宋体" w:cs="Tahoma"/>
          <w:szCs w:val="21"/>
        </w:rPr>
        <w:t>6）乙方应向甲方提供关于货物从始发地运送至甲方收货现场整个运输过程中所涉及到的全部运输单据。</w:t>
      </w:r>
    </w:p>
    <w:p>
      <w:pPr>
        <w:widowControl/>
        <w:numPr>
          <w:ilvl w:val="0"/>
          <w:numId w:val="8"/>
        </w:numPr>
        <w:adjustRightInd/>
        <w:snapToGrid w:val="0"/>
        <w:spacing w:line="360" w:lineRule="auto"/>
        <w:jc w:val="both"/>
        <w:textAlignment w:val="auto"/>
        <w:rPr>
          <w:rFonts w:ascii="宋体" w:hAnsi="宋体" w:cs="Tahoma"/>
          <w:szCs w:val="21"/>
        </w:rPr>
      </w:pPr>
      <w:r>
        <w:rPr>
          <w:rFonts w:hint="eastAsia" w:ascii="宋体" w:hAnsi="宋体" w:cs="Tahoma"/>
          <w:szCs w:val="21"/>
        </w:rPr>
        <w:t>开箱清点：</w:t>
      </w:r>
    </w:p>
    <w:p>
      <w:pPr>
        <w:tabs>
          <w:tab w:val="left" w:pos="720"/>
        </w:tabs>
        <w:snapToGrid w:val="0"/>
        <w:spacing w:line="360" w:lineRule="auto"/>
        <w:ind w:left="720"/>
        <w:jc w:val="both"/>
        <w:rPr>
          <w:rFonts w:ascii="宋体" w:hAnsi="宋体"/>
          <w:szCs w:val="21"/>
        </w:rPr>
      </w:pPr>
      <w:r>
        <w:rPr>
          <w:rFonts w:hint="eastAsia" w:ascii="宋体" w:hAnsi="宋体"/>
          <w:szCs w:val="21"/>
        </w:rPr>
        <w:t>1）合同货物抵达甲方当天，由甲乙双方及进口代理公司三方到场共同开箱（除使用单位代表外，还需通知甲方设备管理部门派人到场开箱）。</w:t>
      </w:r>
    </w:p>
    <w:p>
      <w:pPr>
        <w:tabs>
          <w:tab w:val="left" w:pos="720"/>
        </w:tabs>
        <w:snapToGrid w:val="0"/>
        <w:spacing w:line="360" w:lineRule="auto"/>
        <w:ind w:left="720"/>
        <w:jc w:val="both"/>
        <w:rPr>
          <w:rFonts w:ascii="宋体" w:hAnsi="宋体"/>
          <w:szCs w:val="21"/>
        </w:rPr>
      </w:pPr>
      <w:r>
        <w:rPr>
          <w:rFonts w:hint="eastAsia" w:ascii="宋体" w:hAnsi="宋体"/>
          <w:szCs w:val="21"/>
        </w:rPr>
        <w:t>2）如因特殊原因不能于送货当天开箱验货的，则货物在甲方地点存放期间发生的货物灭失的风险由乙方承担。</w:t>
      </w:r>
    </w:p>
    <w:p>
      <w:pPr>
        <w:tabs>
          <w:tab w:val="left" w:pos="720"/>
        </w:tabs>
        <w:snapToGrid w:val="0"/>
        <w:spacing w:line="360" w:lineRule="auto"/>
        <w:ind w:left="720"/>
        <w:jc w:val="both"/>
        <w:rPr>
          <w:rFonts w:ascii="宋体" w:hAnsi="宋体"/>
          <w:szCs w:val="21"/>
        </w:rPr>
      </w:pPr>
      <w:r>
        <w:rPr>
          <w:rFonts w:hint="eastAsia" w:ascii="宋体" w:hAnsi="宋体"/>
          <w:szCs w:val="21"/>
        </w:rPr>
        <w:t>3）开箱时，三方共同检验货物表面状况，核对货物名称、品牌、型号、规格、产地等信息，清点货物及配置数量，登记产品序列号/机身号、货号信息，如实记录货物到货的情况，并填写《暨南大学免税进口物资开箱现场记录》。</w:t>
      </w:r>
    </w:p>
    <w:p>
      <w:pPr>
        <w:tabs>
          <w:tab w:val="left" w:pos="720"/>
        </w:tabs>
        <w:snapToGrid w:val="0"/>
        <w:spacing w:line="360" w:lineRule="auto"/>
        <w:ind w:left="720"/>
        <w:jc w:val="both"/>
        <w:rPr>
          <w:rFonts w:ascii="宋体" w:hAnsi="宋体"/>
          <w:szCs w:val="21"/>
        </w:rPr>
      </w:pPr>
      <w:r>
        <w:rPr>
          <w:rFonts w:hint="eastAsia" w:ascii="宋体" w:hAnsi="宋体"/>
          <w:szCs w:val="21"/>
        </w:rPr>
        <w:t>4）若交货时未发现货物</w:t>
      </w:r>
      <w:r>
        <w:rPr>
          <w:rFonts w:hint="eastAsia" w:ascii="宋体" w:hAnsi="宋体" w:cs="Tahoma"/>
          <w:szCs w:val="21"/>
        </w:rPr>
        <w:t>外包装有破损、被撞击的痕迹，或货物数量不足，</w:t>
      </w:r>
      <w:r>
        <w:rPr>
          <w:rFonts w:hint="eastAsia" w:ascii="宋体" w:hAnsi="宋体"/>
          <w:szCs w:val="21"/>
        </w:rPr>
        <w:t>但在开箱时发现存在上述情况的，甲方仍有权拒收货物。</w:t>
      </w:r>
    </w:p>
    <w:p>
      <w:pPr>
        <w:tabs>
          <w:tab w:val="left" w:pos="720"/>
        </w:tabs>
        <w:snapToGrid w:val="0"/>
        <w:spacing w:line="360" w:lineRule="auto"/>
        <w:ind w:left="720"/>
        <w:jc w:val="both"/>
        <w:rPr>
          <w:rFonts w:ascii="宋体" w:hAnsi="宋体"/>
          <w:szCs w:val="21"/>
        </w:rPr>
      </w:pPr>
      <w:r>
        <w:rPr>
          <w:rFonts w:hint="eastAsia" w:ascii="宋体" w:hAnsi="宋体"/>
          <w:szCs w:val="21"/>
        </w:rPr>
        <w:t>5）乙方未派员参加开箱的，视为乙方接受甲方及进口代理公司开箱检验清点的所有结果，并负责解决开箱检验清点发现的问题和赔偿。</w:t>
      </w:r>
    </w:p>
    <w:p>
      <w:pPr>
        <w:tabs>
          <w:tab w:val="left" w:pos="720"/>
        </w:tabs>
        <w:snapToGrid w:val="0"/>
        <w:spacing w:line="360" w:lineRule="auto"/>
        <w:ind w:left="720"/>
        <w:jc w:val="both"/>
        <w:rPr>
          <w:rFonts w:ascii="宋体" w:hAnsi="宋体" w:cs="Tahoma"/>
          <w:szCs w:val="21"/>
        </w:rPr>
      </w:pPr>
      <w:r>
        <w:rPr>
          <w:rFonts w:hint="eastAsia" w:ascii="宋体" w:hAnsi="宋体"/>
          <w:szCs w:val="21"/>
        </w:rPr>
        <w:t>6）开箱时发现有缺少货物的，乙方应在合同交货期内补足缺少的货物。乙方须保证补发的货物进货渠道合法，</w:t>
      </w:r>
      <w:r>
        <w:rPr>
          <w:rFonts w:hint="eastAsia" w:ascii="宋体" w:hAnsi="宋体" w:cs="Tahoma"/>
          <w:szCs w:val="21"/>
        </w:rPr>
        <w:t>进口产品须具备原厂合格证和原产地证明以及进口海关商检部门出具的检验证明。</w:t>
      </w:r>
    </w:p>
    <w:p>
      <w:pPr>
        <w:tabs>
          <w:tab w:val="left" w:pos="720"/>
        </w:tabs>
        <w:snapToGrid w:val="0"/>
        <w:spacing w:line="360" w:lineRule="auto"/>
        <w:ind w:left="720"/>
        <w:jc w:val="both"/>
        <w:rPr>
          <w:rFonts w:ascii="宋体" w:hAnsi="宋体" w:cs="Tahoma"/>
          <w:szCs w:val="21"/>
        </w:rPr>
      </w:pPr>
      <w:r>
        <w:rPr>
          <w:rFonts w:hint="eastAsia" w:ascii="宋体" w:hAnsi="宋体" w:cs="Tahoma"/>
          <w:szCs w:val="21"/>
        </w:rPr>
        <w:t>7）开箱时发现有比合同多出的货物的，由甲方进口代理公司负责办理出境退关手续，所需费用由乙方承担。如涉及违反海关进出口相关法律法规的，一切责任由乙方负责。乙方不得带走任何货物。</w:t>
      </w:r>
    </w:p>
    <w:p>
      <w:pPr>
        <w:tabs>
          <w:tab w:val="left" w:pos="720"/>
        </w:tabs>
        <w:snapToGrid w:val="0"/>
        <w:spacing w:line="360" w:lineRule="auto"/>
        <w:ind w:left="720"/>
        <w:jc w:val="both"/>
        <w:rPr>
          <w:rFonts w:ascii="宋体" w:hAnsi="宋体" w:cs="Tahoma"/>
          <w:szCs w:val="21"/>
        </w:rPr>
      </w:pPr>
      <w:r>
        <w:rPr>
          <w:rFonts w:hint="eastAsia" w:ascii="宋体" w:hAnsi="宋体" w:cs="Tahoma"/>
          <w:szCs w:val="21"/>
        </w:rPr>
        <w:t>8）甲方接收乙方交货及开箱清点不视为对乙方提供货物质量的认可，甲方收货后发现乙方提供的货物不符合本合同约定的质量标准，有权要求乙方更换，直至符合本合同约定的质量标准。因乙方提供的货物不符合本合同约定的质量标准给甲方造成损失的，由乙方负责赔偿。</w:t>
      </w:r>
    </w:p>
    <w:p>
      <w:pPr>
        <w:snapToGrid w:val="0"/>
        <w:spacing w:line="360" w:lineRule="auto"/>
        <w:ind w:left="600" w:hanging="600"/>
        <w:jc w:val="both"/>
        <w:outlineLvl w:val="0"/>
        <w:rPr>
          <w:rFonts w:ascii="宋体" w:hAnsi="宋体" w:cs="Tahoma"/>
          <w:b/>
        </w:rPr>
      </w:pPr>
      <w:r>
        <w:rPr>
          <w:rFonts w:hint="eastAsia" w:ascii="Tahoma" w:hAnsi="Tahoma" w:cs="Tahoma"/>
          <w:b/>
        </w:rPr>
        <w:t>八、</w:t>
      </w:r>
      <w:r>
        <w:rPr>
          <w:rFonts w:hint="eastAsia" w:ascii="宋体" w:hAnsi="宋体" w:cs="Tahoma"/>
          <w:b/>
        </w:rPr>
        <w:t>安装、调试、试运行</w:t>
      </w:r>
    </w:p>
    <w:p>
      <w:pPr>
        <w:widowControl/>
        <w:numPr>
          <w:ilvl w:val="0"/>
          <w:numId w:val="9"/>
        </w:numPr>
        <w:adjustRightInd/>
        <w:snapToGrid w:val="0"/>
        <w:spacing w:line="360" w:lineRule="auto"/>
        <w:jc w:val="both"/>
        <w:textAlignment w:val="auto"/>
        <w:rPr>
          <w:rFonts w:ascii="宋体" w:hAnsi="宋体" w:cs="Tahoma"/>
          <w:szCs w:val="21"/>
        </w:rPr>
      </w:pPr>
      <w:r>
        <w:rPr>
          <w:rFonts w:hint="eastAsia" w:ascii="宋体" w:hAnsi="宋体" w:cs="Tahoma"/>
          <w:szCs w:val="21"/>
        </w:rPr>
        <w:t>货物到达甲方使用现场、开箱清点无误后，10日内或甲方另行要求的时间内，由乙方负责完成货物的现场安装、调试、正常启动。</w:t>
      </w:r>
    </w:p>
    <w:p>
      <w:pPr>
        <w:widowControl/>
        <w:numPr>
          <w:ilvl w:val="0"/>
          <w:numId w:val="9"/>
        </w:numPr>
        <w:adjustRightInd/>
        <w:snapToGrid w:val="0"/>
        <w:spacing w:line="360" w:lineRule="auto"/>
        <w:jc w:val="both"/>
        <w:textAlignment w:val="auto"/>
        <w:rPr>
          <w:rFonts w:ascii="宋体" w:hAnsi="宋体" w:cs="Tahoma"/>
          <w:szCs w:val="21"/>
        </w:rPr>
      </w:pPr>
      <w:r>
        <w:rPr>
          <w:rFonts w:hint="eastAsia" w:ascii="宋体" w:hAnsi="宋体" w:cs="Tahoma"/>
          <w:szCs w:val="21"/>
        </w:rPr>
        <w:t>乙方应派专业的技术人员上门安装、调试。乙方技术人员应按照投标文件提供的技术方案和行业操作规范对货物进行安装、调试作业。乙方在甲方现场安装调试期间须遵守甲方相关管理规定，遵守甲方作息时间，避免出现噪声扰民、造成环境污染等问题，不得损坏、损毁甲方物品。如造成甲方财产损失的，责任由乙方承担。</w:t>
      </w:r>
    </w:p>
    <w:p>
      <w:pPr>
        <w:widowControl/>
        <w:numPr>
          <w:ilvl w:val="0"/>
          <w:numId w:val="9"/>
        </w:numPr>
        <w:adjustRightInd/>
        <w:snapToGrid w:val="0"/>
        <w:spacing w:line="360" w:lineRule="auto"/>
        <w:jc w:val="both"/>
        <w:textAlignment w:val="auto"/>
        <w:rPr>
          <w:rFonts w:ascii="宋体" w:hAnsi="宋体" w:cs="Tahoma"/>
          <w:szCs w:val="21"/>
        </w:rPr>
      </w:pPr>
      <w:r>
        <w:rPr>
          <w:rFonts w:hint="eastAsia" w:ascii="宋体" w:hAnsi="宋体" w:cs="Tahoma"/>
          <w:szCs w:val="21"/>
        </w:rPr>
        <w:t>乙方将货物安装、调试完毕，正常启动后，进入试运行阶段。</w:t>
      </w:r>
    </w:p>
    <w:p>
      <w:pPr>
        <w:widowControl/>
        <w:numPr>
          <w:ilvl w:val="0"/>
          <w:numId w:val="9"/>
        </w:numPr>
        <w:adjustRightInd/>
        <w:snapToGrid w:val="0"/>
        <w:spacing w:line="360" w:lineRule="auto"/>
        <w:jc w:val="both"/>
        <w:textAlignment w:val="auto"/>
        <w:rPr>
          <w:rFonts w:ascii="宋体" w:hAnsi="宋体" w:cs="Tahoma"/>
          <w:szCs w:val="21"/>
        </w:rPr>
      </w:pPr>
      <w:r>
        <w:rPr>
          <w:rFonts w:hint="eastAsia" w:ascii="宋体" w:hAnsi="宋体" w:cs="Tahoma"/>
          <w:szCs w:val="21"/>
        </w:rPr>
        <w:t>货物试运行期间如出现故障，乙方应立即进行处理。如故障无法修复，应作退/换货处理。由此产生的费用由乙方承担。</w:t>
      </w:r>
    </w:p>
    <w:p>
      <w:pPr>
        <w:snapToGrid w:val="0"/>
        <w:spacing w:line="360" w:lineRule="auto"/>
        <w:ind w:left="600" w:hanging="600"/>
        <w:jc w:val="both"/>
        <w:outlineLvl w:val="0"/>
        <w:rPr>
          <w:rFonts w:ascii="Tahoma" w:hAnsi="Tahoma" w:cs="Tahoma"/>
          <w:b/>
        </w:rPr>
      </w:pPr>
      <w:r>
        <w:rPr>
          <w:rFonts w:hint="eastAsia" w:ascii="Tahoma" w:hAnsi="Tahoma" w:cs="Tahoma"/>
          <w:b/>
        </w:rPr>
        <w:t>九、培训</w:t>
      </w:r>
    </w:p>
    <w:p>
      <w:pPr>
        <w:widowControl/>
        <w:numPr>
          <w:ilvl w:val="0"/>
          <w:numId w:val="10"/>
        </w:numPr>
        <w:adjustRightInd/>
        <w:snapToGrid w:val="0"/>
        <w:spacing w:line="360" w:lineRule="auto"/>
        <w:jc w:val="both"/>
        <w:textAlignment w:val="auto"/>
        <w:rPr>
          <w:rFonts w:ascii="宋体" w:hAnsi="宋体" w:cs="Tahoma"/>
          <w:szCs w:val="21"/>
        </w:rPr>
      </w:pPr>
      <w:r>
        <w:rPr>
          <w:rFonts w:hint="eastAsia" w:ascii="宋体" w:hAnsi="宋体" w:cs="Tahoma"/>
          <w:szCs w:val="21"/>
        </w:rPr>
        <w:t>货物试运行期间，乙方负责根据投标文件提供的培训方案和行业规范向甲方至少2名人员进行现场培训，培训内容至少包括货物现场操作使用、运行、维护、修理等相关课程，提供必需的培训资料、完整的仪器操作和维护手册等。</w:t>
      </w:r>
    </w:p>
    <w:p>
      <w:pPr>
        <w:widowControl/>
        <w:numPr>
          <w:ilvl w:val="0"/>
          <w:numId w:val="10"/>
        </w:numPr>
        <w:adjustRightInd/>
        <w:snapToGrid w:val="0"/>
        <w:spacing w:line="360" w:lineRule="auto"/>
        <w:jc w:val="both"/>
        <w:textAlignment w:val="auto"/>
        <w:rPr>
          <w:rFonts w:ascii="宋体" w:hAnsi="宋体" w:cs="Tahoma"/>
          <w:szCs w:val="21"/>
        </w:rPr>
      </w:pPr>
      <w:r>
        <w:rPr>
          <w:rFonts w:hint="eastAsia" w:ascii="宋体" w:hAnsi="宋体" w:cs="Tahoma"/>
          <w:szCs w:val="21"/>
        </w:rPr>
        <w:t>培训费用全部包含在合同总价中，甲方不再支付任何费用。</w:t>
      </w:r>
    </w:p>
    <w:p>
      <w:pPr>
        <w:snapToGrid w:val="0"/>
        <w:spacing w:line="360" w:lineRule="auto"/>
        <w:ind w:left="600" w:hanging="600"/>
        <w:jc w:val="both"/>
        <w:outlineLvl w:val="0"/>
        <w:rPr>
          <w:rFonts w:ascii="宋体" w:hAnsi="宋体" w:cs="Tahoma"/>
          <w:b/>
        </w:rPr>
      </w:pPr>
      <w:r>
        <w:rPr>
          <w:rFonts w:hint="eastAsia" w:ascii="Tahoma" w:hAnsi="Tahoma" w:cs="Tahoma"/>
          <w:b/>
        </w:rPr>
        <w:t>十、合同</w:t>
      </w:r>
      <w:r>
        <w:rPr>
          <w:rFonts w:hint="eastAsia" w:ascii="宋体" w:hAnsi="宋体" w:cs="Tahoma"/>
          <w:b/>
        </w:rPr>
        <w:t>验收</w:t>
      </w:r>
    </w:p>
    <w:p>
      <w:pPr>
        <w:widowControl/>
        <w:numPr>
          <w:ilvl w:val="0"/>
          <w:numId w:val="11"/>
        </w:numPr>
        <w:adjustRightInd/>
        <w:snapToGrid w:val="0"/>
        <w:spacing w:line="360" w:lineRule="auto"/>
        <w:jc w:val="both"/>
        <w:textAlignment w:val="auto"/>
        <w:rPr>
          <w:rFonts w:ascii="宋体" w:hAnsi="宋体" w:cs="Tahoma"/>
          <w:szCs w:val="21"/>
        </w:rPr>
      </w:pPr>
      <w:r>
        <w:rPr>
          <w:rFonts w:hint="eastAsia" w:ascii="宋体" w:hAnsi="宋体" w:cs="Tahoma"/>
          <w:szCs w:val="21"/>
        </w:rPr>
        <w:t>乙方完成安装、调试、培训，试运行正常后，向甲方提交书面验收通知，甲方（使用单位或货物管理部门）在收到验收通知后30天内组织验收。</w:t>
      </w:r>
    </w:p>
    <w:p>
      <w:pPr>
        <w:widowControl/>
        <w:numPr>
          <w:ilvl w:val="0"/>
          <w:numId w:val="11"/>
        </w:numPr>
        <w:adjustRightInd/>
        <w:snapToGrid w:val="0"/>
        <w:spacing w:line="360" w:lineRule="auto"/>
        <w:jc w:val="both"/>
        <w:textAlignment w:val="auto"/>
        <w:rPr>
          <w:rFonts w:ascii="宋体" w:hAnsi="宋体" w:cs="Tahoma"/>
          <w:szCs w:val="21"/>
        </w:rPr>
      </w:pPr>
      <w:r>
        <w:rPr>
          <w:rFonts w:hint="eastAsia" w:ascii="Tahoma" w:hAnsi="Tahoma" w:cs="Tahoma"/>
          <w:szCs w:val="21"/>
        </w:rPr>
        <w:t>乙方应在验收前，向甲方提供按本合同的技术规格、技术规范的要求进行的测试与验收方案，验收以招投标文件、合同技术规格、产品技术说明、货物生产国相关标准等为准。</w:t>
      </w:r>
    </w:p>
    <w:p>
      <w:pPr>
        <w:widowControl/>
        <w:numPr>
          <w:ilvl w:val="0"/>
          <w:numId w:val="11"/>
        </w:numPr>
        <w:adjustRightInd/>
        <w:snapToGrid w:val="0"/>
        <w:spacing w:line="360" w:lineRule="auto"/>
        <w:jc w:val="both"/>
        <w:textAlignment w:val="auto"/>
        <w:rPr>
          <w:rFonts w:ascii="宋体" w:hAnsi="宋体" w:cs="Tahoma"/>
          <w:szCs w:val="21"/>
        </w:rPr>
      </w:pPr>
      <w:r>
        <w:rPr>
          <w:rFonts w:hint="eastAsia" w:ascii="Tahoma" w:hAnsi="Tahoma" w:cs="Tahoma"/>
          <w:szCs w:val="21"/>
        </w:rPr>
        <w:t>验收未能通过的，乙方负责在15天内完成整改。若整改后仍未能合格的，甲方有权单方终止本协议并要求乙方退还已支付款项。因乙方整改原因导致逾期完成安装调试验收通过的，由乙方承担相应责任。</w:t>
      </w:r>
    </w:p>
    <w:p>
      <w:pPr>
        <w:widowControl/>
        <w:numPr>
          <w:ilvl w:val="0"/>
          <w:numId w:val="11"/>
        </w:numPr>
        <w:adjustRightInd/>
        <w:snapToGrid w:val="0"/>
        <w:spacing w:line="360" w:lineRule="auto"/>
        <w:jc w:val="both"/>
        <w:textAlignment w:val="auto"/>
        <w:rPr>
          <w:rFonts w:ascii="宋体" w:hAnsi="宋体" w:cs="Tahoma"/>
          <w:szCs w:val="21"/>
        </w:rPr>
      </w:pPr>
      <w:r>
        <w:rPr>
          <w:rFonts w:hint="eastAsia" w:ascii="宋体" w:hAnsi="宋体" w:cs="Tahoma"/>
          <w:szCs w:val="21"/>
        </w:rPr>
        <w:t>验收合格后双方共同签署《暨南大学物资采购质量验收表》或《暨南大学大型精密仪器设备大宗物资采购验收报告》，验收合格日期以最后的签字日为准。甲方验收合格的结果仅视为货物在外观、数量、型号、规格上符合约定的证明，检验合格文件的签署不使甲方丧失因质量问题而向乙方索赔和求偿的权利，同时不免除乙方对于货物质量缺陷或瑕疵负有的相应责任。</w:t>
      </w:r>
    </w:p>
    <w:p>
      <w:pPr>
        <w:snapToGrid w:val="0"/>
        <w:spacing w:line="360" w:lineRule="auto"/>
        <w:ind w:left="700" w:hanging="700"/>
        <w:jc w:val="both"/>
        <w:outlineLvl w:val="0"/>
        <w:rPr>
          <w:rFonts w:ascii="Tahoma" w:hAnsi="Tahoma" w:cs="Tahoma"/>
          <w:b/>
        </w:rPr>
      </w:pPr>
      <w:r>
        <w:rPr>
          <w:rFonts w:hint="eastAsia" w:ascii="Tahoma" w:hAnsi="Tahoma" w:cs="Tahoma"/>
          <w:b/>
        </w:rPr>
        <w:t>十一、付款</w:t>
      </w:r>
    </w:p>
    <w:p>
      <w:pPr>
        <w:widowControl/>
        <w:numPr>
          <w:ilvl w:val="0"/>
          <w:numId w:val="12"/>
        </w:numPr>
        <w:adjustRightInd/>
        <w:snapToGrid w:val="0"/>
        <w:spacing w:line="360" w:lineRule="auto"/>
        <w:jc w:val="both"/>
        <w:textAlignment w:val="auto"/>
        <w:rPr>
          <w:rFonts w:ascii="宋体" w:hAnsi="宋体" w:cs="Tahoma"/>
          <w:szCs w:val="21"/>
        </w:rPr>
      </w:pPr>
      <w:r>
        <w:rPr>
          <w:rFonts w:hint="eastAsia" w:ascii="宋体" w:hAnsi="宋体" w:cs="Tahoma"/>
          <w:szCs w:val="21"/>
        </w:rPr>
        <w:t>本协议及外贸合同生效后30天内，甲方通过其进口代理公司开出以外贸合同卖方为受益人、金额为依据本协议第三条（进口代理事项约定）第5款确定之“外贸合同金额”的100％L/C。其中80％凭甲乙双方和外贸公司共同签署的交货齐全的《</w:t>
      </w:r>
      <w:r>
        <w:rPr>
          <w:rFonts w:hint="eastAsia" w:ascii="宋体" w:hAnsi="宋体"/>
          <w:szCs w:val="21"/>
        </w:rPr>
        <w:t>暨南大学免税进口物资开箱现场记录</w:t>
      </w:r>
      <w:r>
        <w:rPr>
          <w:rFonts w:hint="eastAsia" w:ascii="宋体" w:hAnsi="宋体" w:cs="Tahoma"/>
          <w:szCs w:val="21"/>
        </w:rPr>
        <w:t>》及L/C规定的单证支付；20％凭甲方验收合格的《暨南大学物资采购质量验收表》或《暨南大学大型精密仪器设备大宗物资采购验收报告》支付。</w:t>
      </w:r>
    </w:p>
    <w:p>
      <w:pPr>
        <w:widowControl/>
        <w:numPr>
          <w:ilvl w:val="0"/>
          <w:numId w:val="12"/>
        </w:numPr>
        <w:adjustRightInd/>
        <w:snapToGrid w:val="0"/>
        <w:spacing w:line="360" w:lineRule="auto"/>
        <w:jc w:val="both"/>
        <w:textAlignment w:val="auto"/>
        <w:rPr>
          <w:rFonts w:ascii="Tahoma" w:hAnsi="Tahoma" w:cs="Tahoma"/>
          <w:szCs w:val="21"/>
        </w:rPr>
      </w:pPr>
      <w:r>
        <w:rPr>
          <w:rFonts w:hint="eastAsia" w:ascii="Tahoma" w:hAnsi="Tahoma" w:cs="Tahoma"/>
          <w:szCs w:val="21"/>
        </w:rPr>
        <w:t>若属国库支付项目的按财政部相关规定支付。</w:t>
      </w:r>
    </w:p>
    <w:p>
      <w:pPr>
        <w:snapToGrid w:val="0"/>
        <w:spacing w:line="360" w:lineRule="auto"/>
        <w:ind w:left="700" w:hanging="700"/>
        <w:jc w:val="both"/>
        <w:outlineLvl w:val="0"/>
        <w:rPr>
          <w:rFonts w:ascii="Tahoma" w:hAnsi="Tahoma" w:cs="Tahoma"/>
          <w:b/>
        </w:rPr>
      </w:pPr>
      <w:r>
        <w:rPr>
          <w:rFonts w:hint="eastAsia" w:ascii="Tahoma" w:hAnsi="Tahoma" w:cs="Tahoma"/>
          <w:b/>
        </w:rPr>
        <w:t>十二、售后服务</w:t>
      </w:r>
    </w:p>
    <w:p>
      <w:pPr>
        <w:pStyle w:val="45"/>
        <w:widowControl/>
        <w:numPr>
          <w:ilvl w:val="0"/>
          <w:numId w:val="13"/>
        </w:numPr>
        <w:tabs>
          <w:tab w:val="left" w:pos="840"/>
        </w:tabs>
        <w:snapToGrid w:val="0"/>
        <w:spacing w:line="360" w:lineRule="auto"/>
        <w:ind w:firstLineChars="0"/>
        <w:rPr>
          <w:sz w:val="24"/>
        </w:rPr>
      </w:pPr>
      <w:r>
        <w:rPr>
          <w:rFonts w:hint="eastAsia"/>
          <w:sz w:val="24"/>
        </w:rPr>
        <w:t>本合同货物乙方提供</w:t>
      </w:r>
      <w:r>
        <w:rPr>
          <w:rFonts w:hint="eastAsia"/>
          <w:b/>
          <w:sz w:val="24"/>
        </w:rPr>
        <w:t>原厂免费上门全质保壹年</w:t>
      </w:r>
      <w:r>
        <w:rPr>
          <w:rFonts w:hint="eastAsia"/>
          <w:sz w:val="24"/>
        </w:rPr>
        <w:t>，软件终身免费升级，质保期自甲乙双方在《暨南大学物资采购质量验收表》或《暨南大学大型精密仪器设备大宗物资采购验收报告》签字之日起计算。质保期内，乙方负责对其提供的货物上门进行硬件维修、软件维护和升级等免费服务，甲方不再支付任何费用，但人为因素或自然灾害造成的损坏除外。</w:t>
      </w:r>
    </w:p>
    <w:p>
      <w:pPr>
        <w:pStyle w:val="45"/>
        <w:widowControl/>
        <w:numPr>
          <w:ilvl w:val="0"/>
          <w:numId w:val="13"/>
        </w:numPr>
        <w:tabs>
          <w:tab w:val="left" w:pos="840"/>
        </w:tabs>
        <w:snapToGrid w:val="0"/>
        <w:spacing w:line="360" w:lineRule="auto"/>
        <w:ind w:firstLineChars="0"/>
        <w:rPr>
          <w:sz w:val="24"/>
        </w:rPr>
      </w:pPr>
      <w:r>
        <w:rPr>
          <w:rFonts w:hint="eastAsia"/>
          <w:sz w:val="24"/>
        </w:rPr>
        <w:t>质保期内，乙方在接到甲方系统故障或问题告知后，</w:t>
      </w:r>
      <w:r>
        <w:rPr>
          <w:sz w:val="24"/>
        </w:rPr>
        <w:t>4</w:t>
      </w:r>
      <w:r>
        <w:rPr>
          <w:rFonts w:hint="eastAsia"/>
          <w:sz w:val="24"/>
        </w:rPr>
        <w:t>小时内进行电话响应排除故障，若电话中无法解决，</w:t>
      </w:r>
      <w:r>
        <w:rPr>
          <w:sz w:val="24"/>
        </w:rPr>
        <w:t>24</w:t>
      </w:r>
      <w:r>
        <w:rPr>
          <w:rFonts w:hint="eastAsia"/>
          <w:sz w:val="24"/>
        </w:rPr>
        <w:t>小时内到达现场排除故障。如果需要更换配件的，更换的配件跟被更换的品牌、类型相一致或者是同类更高档次的替代品，并且必须征得甲方管理人员同意。因货物故障停用的时间，保修期相应顺延。</w:t>
      </w:r>
    </w:p>
    <w:p>
      <w:pPr>
        <w:pStyle w:val="45"/>
        <w:widowControl/>
        <w:numPr>
          <w:ilvl w:val="0"/>
          <w:numId w:val="13"/>
        </w:numPr>
        <w:tabs>
          <w:tab w:val="left" w:pos="840"/>
        </w:tabs>
        <w:snapToGrid w:val="0"/>
        <w:spacing w:line="360" w:lineRule="auto"/>
        <w:ind w:firstLineChars="0"/>
        <w:rPr>
          <w:sz w:val="24"/>
        </w:rPr>
      </w:pPr>
      <w:r>
        <w:rPr>
          <w:rFonts w:hint="eastAsia"/>
          <w:sz w:val="24"/>
        </w:rPr>
        <w:t>质保期内对故障的报修，如乙方未能做到上款的服务承诺，甲方可采取必要的补救措施，但其风险和费用由乙方承担，甲方根据合同规定对乙方行使的其它权利不受影响。</w:t>
      </w:r>
    </w:p>
    <w:p>
      <w:pPr>
        <w:pStyle w:val="45"/>
        <w:widowControl/>
        <w:numPr>
          <w:ilvl w:val="0"/>
          <w:numId w:val="13"/>
        </w:numPr>
        <w:tabs>
          <w:tab w:val="left" w:pos="840"/>
        </w:tabs>
        <w:snapToGrid w:val="0"/>
        <w:spacing w:line="360" w:lineRule="auto"/>
        <w:ind w:firstLineChars="0"/>
        <w:rPr>
          <w:sz w:val="24"/>
        </w:rPr>
      </w:pPr>
      <w:r>
        <w:rPr>
          <w:rFonts w:hint="eastAsia"/>
          <w:sz w:val="24"/>
        </w:rPr>
        <w:t>质保期满后，若有零部件出现故障，经权威部门鉴定属于寿命异常问题（明显短于该零部件正常寿命）时，则由乙方负责免费更换及维修。乙方负责终身维修，只收取材料费，不收维护和人工费用。</w:t>
      </w:r>
    </w:p>
    <w:p>
      <w:pPr>
        <w:pStyle w:val="45"/>
        <w:widowControl/>
        <w:numPr>
          <w:ilvl w:val="0"/>
          <w:numId w:val="13"/>
        </w:numPr>
        <w:tabs>
          <w:tab w:val="left" w:pos="840"/>
        </w:tabs>
        <w:snapToGrid w:val="0"/>
        <w:spacing w:line="360" w:lineRule="auto"/>
        <w:ind w:firstLineChars="0"/>
        <w:rPr>
          <w:rFonts w:ascii="宋体" w:hAnsi="宋体" w:cs="Tahoma"/>
          <w:sz w:val="24"/>
        </w:rPr>
      </w:pPr>
      <w:r>
        <w:rPr>
          <w:rFonts w:hint="eastAsia" w:ascii="宋体" w:hAnsi="宋体" w:cs="Tahoma"/>
          <w:sz w:val="24"/>
        </w:rPr>
        <w:t>如投标文件中涉及的售后服务条款与本合同有不一致的，则以投标文件为准。</w:t>
      </w:r>
    </w:p>
    <w:p>
      <w:pPr>
        <w:snapToGrid w:val="0"/>
        <w:spacing w:line="360" w:lineRule="auto"/>
        <w:ind w:left="700" w:hanging="700"/>
        <w:jc w:val="both"/>
        <w:outlineLvl w:val="0"/>
        <w:rPr>
          <w:rFonts w:ascii="Tahoma" w:hAnsi="Tahoma" w:cs="Tahoma"/>
          <w:b/>
        </w:rPr>
      </w:pPr>
      <w:r>
        <w:rPr>
          <w:rFonts w:hint="eastAsia" w:ascii="Tahoma" w:hAnsi="Tahoma" w:cs="Tahoma"/>
          <w:b/>
        </w:rPr>
        <w:t>十三、履约保证金</w:t>
      </w:r>
    </w:p>
    <w:p>
      <w:pPr>
        <w:widowControl/>
        <w:numPr>
          <w:ilvl w:val="0"/>
          <w:numId w:val="14"/>
        </w:numPr>
        <w:adjustRightInd/>
        <w:snapToGrid w:val="0"/>
        <w:spacing w:line="360" w:lineRule="auto"/>
        <w:jc w:val="both"/>
        <w:textAlignment w:val="auto"/>
        <w:rPr>
          <w:rFonts w:ascii="宋体" w:hAnsi="宋体" w:cs="Tahoma"/>
          <w:szCs w:val="21"/>
        </w:rPr>
      </w:pPr>
      <w:r>
        <w:rPr>
          <w:rFonts w:hint="eastAsia" w:ascii="宋体" w:hAnsi="宋体" w:cs="Tahoma"/>
          <w:szCs w:val="21"/>
        </w:rPr>
        <w:t>乙方须于本合同签订前向甲方提交履约保证金，履约保证金金额为中标金额的5%，即</w:t>
      </w:r>
      <w:r>
        <w:rPr>
          <w:rFonts w:hint="eastAsia" w:ascii="宋体" w:hAnsi="宋体" w:cs="Tahoma"/>
          <w:b/>
          <w:szCs w:val="21"/>
        </w:rPr>
        <w:t>人民币X万X仟X佰X元整（￥***.**元）。</w:t>
      </w:r>
    </w:p>
    <w:p>
      <w:pPr>
        <w:widowControl/>
        <w:numPr>
          <w:ilvl w:val="0"/>
          <w:numId w:val="14"/>
        </w:numPr>
        <w:adjustRightInd/>
        <w:snapToGrid w:val="0"/>
        <w:spacing w:line="360" w:lineRule="auto"/>
        <w:jc w:val="both"/>
        <w:textAlignment w:val="auto"/>
        <w:rPr>
          <w:rFonts w:ascii="宋体" w:hAnsi="宋体" w:cs="Tahoma"/>
          <w:szCs w:val="21"/>
        </w:rPr>
      </w:pPr>
      <w:r>
        <w:rPr>
          <w:rFonts w:hint="eastAsia" w:ascii="宋体" w:hAnsi="宋体" w:cs="Tahoma"/>
          <w:szCs w:val="21"/>
        </w:rPr>
        <w:t>货物验收合格后，乙方凭经甲方使用单位盖章确认的《退还履约保证金申请函》（甲方版本）申请退款，甲方于收到乙方退款申请之日起十个工作日内一次性无息退还。</w:t>
      </w:r>
    </w:p>
    <w:p>
      <w:pPr>
        <w:widowControl/>
        <w:numPr>
          <w:ilvl w:val="0"/>
          <w:numId w:val="14"/>
        </w:numPr>
        <w:adjustRightInd/>
        <w:snapToGrid w:val="0"/>
        <w:spacing w:line="360" w:lineRule="auto"/>
        <w:jc w:val="both"/>
        <w:textAlignment w:val="auto"/>
        <w:rPr>
          <w:rFonts w:ascii="宋体" w:hAnsi="宋体" w:cs="Tahoma"/>
          <w:szCs w:val="21"/>
        </w:rPr>
      </w:pPr>
      <w:r>
        <w:rPr>
          <w:rFonts w:hint="eastAsia" w:ascii="宋体" w:hAnsi="宋体" w:cs="Tahoma"/>
          <w:szCs w:val="21"/>
        </w:rPr>
        <w:t>提交履约保证金的形式：支票、电汇或银行保函（见索即付）等非现金方式。</w:t>
      </w:r>
    </w:p>
    <w:p>
      <w:pPr>
        <w:snapToGrid w:val="0"/>
        <w:spacing w:line="360" w:lineRule="auto"/>
        <w:ind w:left="720"/>
        <w:jc w:val="both"/>
        <w:rPr>
          <w:rFonts w:ascii="宋体" w:hAnsi="宋体" w:cs="Tahoma"/>
          <w:szCs w:val="21"/>
        </w:rPr>
      </w:pPr>
      <w:r>
        <w:rPr>
          <w:rFonts w:hint="eastAsia" w:ascii="宋体" w:hAnsi="宋体" w:cs="Tahoma"/>
          <w:szCs w:val="21"/>
        </w:rPr>
        <w:t>收款人：暨南大学</w:t>
      </w:r>
    </w:p>
    <w:p>
      <w:pPr>
        <w:snapToGrid w:val="0"/>
        <w:spacing w:line="360" w:lineRule="auto"/>
        <w:ind w:left="720"/>
        <w:jc w:val="both"/>
        <w:rPr>
          <w:rFonts w:ascii="宋体" w:hAnsi="宋体" w:cs="Tahoma"/>
          <w:szCs w:val="21"/>
        </w:rPr>
      </w:pPr>
      <w:r>
        <w:rPr>
          <w:rFonts w:hint="eastAsia" w:ascii="宋体" w:hAnsi="宋体" w:cs="Tahoma"/>
          <w:szCs w:val="21"/>
        </w:rPr>
        <w:t>开户行：广州工行暨南大学支行</w:t>
      </w:r>
    </w:p>
    <w:p>
      <w:pPr>
        <w:snapToGrid w:val="0"/>
        <w:spacing w:line="360" w:lineRule="auto"/>
        <w:ind w:left="720"/>
        <w:jc w:val="both"/>
        <w:rPr>
          <w:rFonts w:ascii="宋体" w:hAnsi="宋体" w:cs="Tahoma"/>
          <w:szCs w:val="21"/>
        </w:rPr>
      </w:pPr>
      <w:r>
        <w:rPr>
          <w:rFonts w:hint="eastAsia" w:ascii="宋体" w:hAnsi="宋体" w:cs="Tahoma"/>
          <w:szCs w:val="21"/>
        </w:rPr>
        <w:t>帐号：3602015819100000858</w:t>
      </w:r>
    </w:p>
    <w:p>
      <w:pPr>
        <w:snapToGrid w:val="0"/>
        <w:spacing w:line="360" w:lineRule="auto"/>
        <w:ind w:left="720"/>
        <w:jc w:val="both"/>
        <w:rPr>
          <w:rFonts w:ascii="宋体" w:hAnsi="宋体" w:cs="Tahoma"/>
          <w:szCs w:val="21"/>
        </w:rPr>
      </w:pPr>
      <w:r>
        <w:rPr>
          <w:rFonts w:hint="eastAsia" w:ascii="宋体" w:hAnsi="宋体" w:cs="Tahoma"/>
          <w:szCs w:val="21"/>
        </w:rPr>
        <w:t>用途：（填招标编号及包组号）履约保证金</w:t>
      </w:r>
    </w:p>
    <w:p>
      <w:pPr>
        <w:snapToGrid w:val="0"/>
        <w:spacing w:line="360" w:lineRule="auto"/>
        <w:ind w:left="720"/>
        <w:jc w:val="both"/>
        <w:rPr>
          <w:rFonts w:ascii="宋体" w:hAnsi="宋体" w:cs="Tahoma"/>
          <w:szCs w:val="21"/>
        </w:rPr>
      </w:pPr>
      <w:r>
        <w:rPr>
          <w:rFonts w:hint="eastAsia" w:ascii="宋体" w:hAnsi="宋体" w:cs="Tahoma"/>
          <w:szCs w:val="21"/>
        </w:rPr>
        <w:t>支票交纳地址：暨南大学行政办公楼227室财务处</w:t>
      </w:r>
    </w:p>
    <w:p>
      <w:pPr>
        <w:widowControl/>
        <w:numPr>
          <w:ilvl w:val="0"/>
          <w:numId w:val="14"/>
        </w:numPr>
        <w:adjustRightInd/>
        <w:snapToGrid w:val="0"/>
        <w:spacing w:line="360" w:lineRule="auto"/>
        <w:jc w:val="both"/>
        <w:textAlignment w:val="auto"/>
        <w:rPr>
          <w:rFonts w:ascii="宋体" w:hAnsi="宋体" w:cs="Tahoma"/>
          <w:szCs w:val="21"/>
        </w:rPr>
      </w:pPr>
      <w:r>
        <w:rPr>
          <w:rFonts w:hint="eastAsia" w:ascii="宋体" w:hAnsi="宋体" w:cs="Tahoma"/>
          <w:szCs w:val="21"/>
        </w:rPr>
        <w:t>以银行保函形式提交履约保证金的，保函有效期应长于合同履行期。原则上国内供货设备保函有效期不少于合同生效之日起半年，免税进口设备保函有效期不少于合同生效之日起一年。如遇特殊情况在有效期内不能完成履约验收的，需提前15天办理保函延期手续。</w:t>
      </w:r>
    </w:p>
    <w:p>
      <w:pPr>
        <w:widowControl/>
        <w:numPr>
          <w:ilvl w:val="0"/>
          <w:numId w:val="14"/>
        </w:numPr>
        <w:adjustRightInd/>
        <w:snapToGrid w:val="0"/>
        <w:spacing w:line="360" w:lineRule="auto"/>
        <w:jc w:val="both"/>
        <w:textAlignment w:val="auto"/>
        <w:rPr>
          <w:rFonts w:ascii="宋体" w:hAnsi="宋体" w:cs="Tahoma"/>
          <w:szCs w:val="21"/>
        </w:rPr>
      </w:pPr>
      <w:r>
        <w:rPr>
          <w:rFonts w:hint="eastAsia" w:ascii="宋体" w:hAnsi="宋体" w:cs="Tahoma"/>
          <w:szCs w:val="21"/>
        </w:rPr>
        <w:t>以银行保函形式提交履约保证金的，必须在合同签订前提交保函原件。</w:t>
      </w:r>
    </w:p>
    <w:p>
      <w:pPr>
        <w:snapToGrid w:val="0"/>
        <w:spacing w:line="360" w:lineRule="auto"/>
        <w:ind w:left="700" w:hanging="700"/>
        <w:jc w:val="both"/>
        <w:outlineLvl w:val="0"/>
        <w:rPr>
          <w:rFonts w:ascii="Tahoma" w:hAnsi="Tahoma" w:cs="Tahoma"/>
          <w:b/>
        </w:rPr>
      </w:pPr>
      <w:r>
        <w:rPr>
          <w:rFonts w:hint="eastAsia" w:ascii="Tahoma" w:hAnsi="Tahoma" w:cs="Tahoma"/>
          <w:b/>
        </w:rPr>
        <w:t>十四、保密</w:t>
      </w:r>
    </w:p>
    <w:p>
      <w:pPr>
        <w:widowControl/>
        <w:numPr>
          <w:ilvl w:val="0"/>
          <w:numId w:val="15"/>
        </w:numPr>
        <w:adjustRightInd/>
        <w:snapToGrid w:val="0"/>
        <w:spacing w:line="360" w:lineRule="auto"/>
        <w:jc w:val="both"/>
        <w:textAlignment w:val="auto"/>
        <w:rPr>
          <w:rFonts w:ascii="宋体" w:hAnsi="宋体" w:cs="Tahoma"/>
          <w:szCs w:val="21"/>
        </w:rPr>
      </w:pPr>
      <w:r>
        <w:rPr>
          <w:rFonts w:hint="eastAsia" w:ascii="宋体" w:hAnsi="宋体" w:cs="Tahoma"/>
          <w:szCs w:val="21"/>
        </w:rPr>
        <w:t>未经甲方事先书面同意，乙方不得将由甲方为本合同提供的条文、规格、计划、图纸、模型、样品或资料提供给与本合同无关的任何第三方，不得将其用于履行本合同之外的其它用途。即使向与履行本合同有关的人员提供，也应注意保密并限于履行合同所必需的范围。</w:t>
      </w:r>
    </w:p>
    <w:p>
      <w:pPr>
        <w:widowControl/>
        <w:numPr>
          <w:ilvl w:val="0"/>
          <w:numId w:val="15"/>
        </w:numPr>
        <w:adjustRightInd/>
        <w:snapToGrid w:val="0"/>
        <w:spacing w:line="360" w:lineRule="auto"/>
        <w:jc w:val="both"/>
        <w:textAlignment w:val="auto"/>
        <w:rPr>
          <w:rFonts w:ascii="宋体" w:hAnsi="宋体" w:cs="Tahoma"/>
          <w:szCs w:val="21"/>
        </w:rPr>
      </w:pPr>
      <w:r>
        <w:rPr>
          <w:rFonts w:hint="eastAsia" w:ascii="宋体" w:hAnsi="宋体" w:cs="Tahoma"/>
          <w:szCs w:val="21"/>
        </w:rPr>
        <w:t>除了合同本身之外，上款所列举的任何物件均是甲方的财产。如果甲方有要求，乙方在完成合同后应将这些物件及全部自制件还给甲方。</w:t>
      </w:r>
    </w:p>
    <w:p>
      <w:pPr>
        <w:snapToGrid w:val="0"/>
        <w:spacing w:line="360" w:lineRule="auto"/>
        <w:ind w:left="700" w:hanging="700"/>
        <w:jc w:val="both"/>
        <w:outlineLvl w:val="0"/>
        <w:rPr>
          <w:rFonts w:ascii="Tahoma" w:hAnsi="Tahoma" w:cs="Tahoma"/>
          <w:b/>
        </w:rPr>
      </w:pPr>
      <w:r>
        <w:rPr>
          <w:rFonts w:hint="eastAsia" w:ascii="Tahoma" w:hAnsi="Tahoma" w:cs="Tahoma"/>
          <w:b/>
        </w:rPr>
        <w:t>十五、知识产权</w:t>
      </w:r>
    </w:p>
    <w:p>
      <w:pPr>
        <w:widowControl/>
        <w:numPr>
          <w:ilvl w:val="0"/>
          <w:numId w:val="16"/>
        </w:numPr>
        <w:adjustRightInd/>
        <w:snapToGrid w:val="0"/>
        <w:spacing w:line="360" w:lineRule="auto"/>
        <w:jc w:val="both"/>
        <w:textAlignment w:val="auto"/>
        <w:rPr>
          <w:rFonts w:ascii="宋体" w:hAnsi="宋体" w:cs="Tahoma"/>
        </w:rPr>
      </w:pPr>
      <w:r>
        <w:rPr>
          <w:rFonts w:hint="eastAsia" w:ascii="宋体" w:hAnsi="宋体" w:cs="Tahoma"/>
          <w:szCs w:val="21"/>
        </w:rPr>
        <w:t>乙方及制造商承诺对本协议标的具有合法的知识产权，保证甲方对产品的使用不侵犯任何第三方的合法权益。</w:t>
      </w:r>
      <w:r>
        <w:rPr>
          <w:rFonts w:hint="eastAsia" w:ascii="Tahoma" w:hAnsi="Tahoma" w:cs="Tahoma"/>
        </w:rPr>
        <w:t>如受第三方提出的侵犯其专利权、商标权或其他知识产权的起诉或其他任何形式的索赔，由乙方对甲方进行赔偿并承担一切责任。</w:t>
      </w:r>
    </w:p>
    <w:p>
      <w:pPr>
        <w:widowControl/>
        <w:numPr>
          <w:ilvl w:val="0"/>
          <w:numId w:val="16"/>
        </w:numPr>
        <w:tabs>
          <w:tab w:val="left" w:pos="1440"/>
        </w:tabs>
        <w:adjustRightInd/>
        <w:snapToGrid w:val="0"/>
        <w:spacing w:line="360" w:lineRule="auto"/>
        <w:jc w:val="both"/>
        <w:textAlignment w:val="auto"/>
        <w:rPr>
          <w:rFonts w:ascii="宋体" w:hAnsi="宋体" w:cs="Tahoma"/>
        </w:rPr>
      </w:pPr>
      <w:r>
        <w:rPr>
          <w:rFonts w:hint="eastAsia" w:ascii="Tahoma" w:hAnsi="Tahoma" w:cs="Tahoma"/>
        </w:rPr>
        <w:t>乙方为执行本合同而提供的技术资料、软件的使用权归甲方所有。</w:t>
      </w:r>
    </w:p>
    <w:p>
      <w:pPr>
        <w:snapToGrid w:val="0"/>
        <w:spacing w:line="360" w:lineRule="auto"/>
        <w:ind w:left="700" w:hanging="700"/>
        <w:jc w:val="both"/>
        <w:outlineLvl w:val="0"/>
        <w:rPr>
          <w:rFonts w:ascii="Tahoma" w:hAnsi="Tahoma" w:cs="Tahoma"/>
          <w:b/>
        </w:rPr>
      </w:pPr>
      <w:r>
        <w:rPr>
          <w:rFonts w:hint="eastAsia" w:ascii="Tahoma" w:hAnsi="Tahoma" w:cs="Tahoma"/>
          <w:b/>
        </w:rPr>
        <w:t>十六、产权与风险转移</w:t>
      </w:r>
    </w:p>
    <w:p>
      <w:pPr>
        <w:widowControl/>
        <w:numPr>
          <w:ilvl w:val="0"/>
          <w:numId w:val="17"/>
        </w:numPr>
        <w:tabs>
          <w:tab w:val="left" w:pos="1440"/>
        </w:tabs>
        <w:adjustRightInd/>
        <w:snapToGrid w:val="0"/>
        <w:spacing w:line="360" w:lineRule="auto"/>
        <w:jc w:val="both"/>
        <w:textAlignment w:val="auto"/>
        <w:rPr>
          <w:rFonts w:ascii="Tahoma" w:hAnsi="Tahoma" w:cs="Tahoma"/>
        </w:rPr>
      </w:pPr>
      <w:r>
        <w:rPr>
          <w:rFonts w:hint="eastAsia" w:ascii="Tahoma" w:hAnsi="Tahoma" w:cs="Tahoma"/>
        </w:rPr>
        <w:t>货物的产权在货物验收合格、交付甲方使用前均归属于乙方。</w:t>
      </w:r>
    </w:p>
    <w:p>
      <w:pPr>
        <w:widowControl/>
        <w:numPr>
          <w:ilvl w:val="0"/>
          <w:numId w:val="17"/>
        </w:numPr>
        <w:tabs>
          <w:tab w:val="left" w:pos="1440"/>
        </w:tabs>
        <w:adjustRightInd/>
        <w:snapToGrid w:val="0"/>
        <w:spacing w:line="360" w:lineRule="auto"/>
        <w:jc w:val="both"/>
        <w:textAlignment w:val="auto"/>
        <w:rPr>
          <w:rFonts w:ascii="Tahoma" w:hAnsi="Tahoma" w:cs="Tahoma"/>
        </w:rPr>
      </w:pPr>
      <w:r>
        <w:rPr>
          <w:rFonts w:hint="eastAsia" w:ascii="Tahoma" w:hAnsi="Tahoma" w:cs="Tahoma"/>
        </w:rPr>
        <w:t>因货物验收不合格甲方拒收，或双方已解除合同，货物毁损、灭失的风险由乙方承担。</w:t>
      </w:r>
    </w:p>
    <w:p>
      <w:pPr>
        <w:widowControl/>
        <w:numPr>
          <w:ilvl w:val="0"/>
          <w:numId w:val="17"/>
        </w:numPr>
        <w:tabs>
          <w:tab w:val="left" w:pos="1440"/>
        </w:tabs>
        <w:adjustRightInd/>
        <w:snapToGrid w:val="0"/>
        <w:spacing w:line="360" w:lineRule="auto"/>
        <w:jc w:val="both"/>
        <w:textAlignment w:val="auto"/>
        <w:rPr>
          <w:rFonts w:ascii="Tahoma" w:hAnsi="Tahoma" w:cs="Tahoma"/>
        </w:rPr>
      </w:pPr>
      <w:r>
        <w:rPr>
          <w:rFonts w:hint="eastAsia" w:ascii="Tahoma" w:hAnsi="Tahoma" w:cs="Tahoma"/>
        </w:rPr>
        <w:t>产权和风险的转移，不影响因乙方履行义务不符合约定导致甲方要求其承担违约责任的权利。</w:t>
      </w:r>
    </w:p>
    <w:p>
      <w:pPr>
        <w:snapToGrid w:val="0"/>
        <w:spacing w:line="360" w:lineRule="auto"/>
        <w:ind w:left="700" w:hanging="700"/>
        <w:jc w:val="both"/>
        <w:outlineLvl w:val="0"/>
        <w:rPr>
          <w:rFonts w:ascii="Tahoma" w:hAnsi="Tahoma" w:cs="Tahoma"/>
          <w:b/>
        </w:rPr>
      </w:pPr>
      <w:r>
        <w:rPr>
          <w:rFonts w:hint="eastAsia" w:ascii="Tahoma" w:hAnsi="Tahoma" w:cs="Tahoma"/>
          <w:b/>
        </w:rPr>
        <w:t>十七、保险</w:t>
      </w:r>
    </w:p>
    <w:p>
      <w:pPr>
        <w:snapToGrid w:val="0"/>
        <w:spacing w:line="360" w:lineRule="auto"/>
        <w:ind w:left="792" w:leftChars="330"/>
        <w:jc w:val="both"/>
        <w:outlineLvl w:val="0"/>
        <w:rPr>
          <w:rFonts w:ascii="Tahoma" w:hAnsi="Tahoma" w:cs="Tahoma"/>
          <w:b/>
        </w:rPr>
      </w:pPr>
      <w:r>
        <w:rPr>
          <w:rFonts w:hint="eastAsia" w:ascii="Tahoma" w:hAnsi="Tahoma" w:cs="Tahoma"/>
        </w:rPr>
        <w:t>根据本协议关于产权与风险转移条款规定，乙方承担货物到达交货地点并安装、验收合格交付使用之前的所有风险。因此，乙方应按货物总价的110%价值为货物投保一切险、为派往甲方服务的人员投保人身险、为货物交付前活动可能涉及的第三方投保相关险种，保险费用均由乙方负责。</w:t>
      </w:r>
    </w:p>
    <w:p>
      <w:pPr>
        <w:snapToGrid w:val="0"/>
        <w:spacing w:line="360" w:lineRule="auto"/>
        <w:ind w:left="700" w:hanging="700"/>
        <w:jc w:val="both"/>
        <w:outlineLvl w:val="0"/>
        <w:rPr>
          <w:rFonts w:ascii="Tahoma" w:hAnsi="Tahoma" w:cs="Tahoma"/>
          <w:b/>
        </w:rPr>
      </w:pPr>
      <w:r>
        <w:rPr>
          <w:rFonts w:hint="eastAsia" w:ascii="Tahoma" w:hAnsi="Tahoma" w:cs="Tahoma"/>
          <w:b/>
        </w:rPr>
        <w:t>十八、违约责任</w:t>
      </w:r>
    </w:p>
    <w:p>
      <w:pPr>
        <w:widowControl/>
        <w:numPr>
          <w:ilvl w:val="0"/>
          <w:numId w:val="18"/>
        </w:numPr>
        <w:adjustRightInd/>
        <w:snapToGrid w:val="0"/>
        <w:spacing w:line="360" w:lineRule="auto"/>
        <w:jc w:val="both"/>
        <w:textAlignment w:val="auto"/>
        <w:rPr>
          <w:rFonts w:ascii="宋体" w:hAnsi="宋体" w:cs="Tahoma"/>
        </w:rPr>
      </w:pPr>
      <w:r>
        <w:rPr>
          <w:rFonts w:hint="eastAsia" w:ascii="Tahoma" w:hAnsi="Tahoma" w:cs="Tahoma"/>
        </w:rPr>
        <w:t>乙方未能交付物品，则向甲方支付合同总额</w:t>
      </w:r>
      <w:r>
        <w:rPr>
          <w:rFonts w:ascii="Tahoma" w:hAnsi="Tahoma" w:cs="Tahoma"/>
        </w:rPr>
        <w:t>5%</w:t>
      </w:r>
      <w:r>
        <w:rPr>
          <w:rFonts w:hint="eastAsia" w:ascii="Tahoma" w:hAnsi="Tahoma" w:cs="Tahoma"/>
        </w:rPr>
        <w:t>的违约金，已收取甲方预付款的退还货款。因乙方未能交付物品给甲方造成损失的，乙方还应赔偿甲方损失。</w:t>
      </w:r>
    </w:p>
    <w:p>
      <w:pPr>
        <w:widowControl/>
        <w:numPr>
          <w:ilvl w:val="0"/>
          <w:numId w:val="18"/>
        </w:numPr>
        <w:adjustRightInd/>
        <w:snapToGrid w:val="0"/>
        <w:spacing w:line="360" w:lineRule="auto"/>
        <w:jc w:val="both"/>
        <w:textAlignment w:val="auto"/>
        <w:rPr>
          <w:rFonts w:ascii="Tahoma" w:hAnsi="Tahoma" w:cs="Tahoma"/>
        </w:rPr>
      </w:pPr>
      <w:r>
        <w:rPr>
          <w:rFonts w:hint="eastAsia" w:ascii="Tahoma" w:hAnsi="Tahoma" w:cs="Tahoma"/>
        </w:rPr>
        <w:t>乙方交付的物品不符合合同规定的，甲方有权拒收，按乙方未能交付物品处置，交货期限不予顺延。</w:t>
      </w:r>
    </w:p>
    <w:p>
      <w:pPr>
        <w:widowControl/>
        <w:numPr>
          <w:ilvl w:val="0"/>
          <w:numId w:val="18"/>
        </w:numPr>
        <w:adjustRightInd/>
        <w:snapToGrid w:val="0"/>
        <w:spacing w:line="360" w:lineRule="auto"/>
        <w:jc w:val="both"/>
        <w:textAlignment w:val="auto"/>
        <w:rPr>
          <w:rFonts w:ascii="Tahoma" w:hAnsi="Tahoma" w:cs="Tahoma"/>
        </w:rPr>
      </w:pPr>
      <w:r>
        <w:rPr>
          <w:rFonts w:hint="eastAsia" w:ascii="Tahoma" w:hAnsi="Tahoma" w:cs="Tahoma"/>
        </w:rPr>
        <w:t>甲方无正当理由拒收物品或拒付货款的，则向乙方支付合同总额</w:t>
      </w:r>
      <w:r>
        <w:rPr>
          <w:rFonts w:ascii="Tahoma" w:hAnsi="Tahoma" w:cs="Tahoma"/>
        </w:rPr>
        <w:t>5%</w:t>
      </w:r>
      <w:r>
        <w:rPr>
          <w:rFonts w:hint="eastAsia" w:ascii="Tahoma" w:hAnsi="Tahoma" w:cs="Tahoma"/>
        </w:rPr>
        <w:t>的违约金，已收乙方物品的退还物品。</w:t>
      </w:r>
    </w:p>
    <w:p>
      <w:pPr>
        <w:widowControl/>
        <w:numPr>
          <w:ilvl w:val="0"/>
          <w:numId w:val="18"/>
        </w:numPr>
        <w:adjustRightInd/>
        <w:snapToGrid w:val="0"/>
        <w:spacing w:line="360" w:lineRule="auto"/>
        <w:jc w:val="both"/>
        <w:textAlignment w:val="auto"/>
        <w:rPr>
          <w:rFonts w:ascii="Tahoma" w:hAnsi="Tahoma" w:cs="Tahoma"/>
        </w:rPr>
      </w:pPr>
      <w:r>
        <w:rPr>
          <w:rFonts w:hint="eastAsia" w:ascii="Tahoma" w:hAnsi="Tahoma" w:cs="Tahoma"/>
        </w:rPr>
        <w:t>乙方逾期交付物品，则每日按合同总额</w:t>
      </w:r>
      <w:r>
        <w:rPr>
          <w:rFonts w:ascii="Tahoma" w:hAnsi="Tahoma" w:cs="Tahoma"/>
        </w:rPr>
        <w:t>3</w:t>
      </w:r>
      <w:r>
        <w:rPr>
          <w:rFonts w:hint="eastAsia" w:ascii="Tahoma" w:hAnsi="Tahoma" w:cs="Tahoma"/>
        </w:rPr>
        <w:t>‰向甲方偿付违约金，违约金总额不超过合同总金额的5%。逾期交付超过15天，甲方有权终止合同，按乙方未能交付物品处置，乙方向甲方支付合同总额</w:t>
      </w:r>
      <w:r>
        <w:rPr>
          <w:rFonts w:ascii="Tahoma" w:hAnsi="Tahoma" w:cs="Tahoma"/>
        </w:rPr>
        <w:t>5%</w:t>
      </w:r>
      <w:r>
        <w:rPr>
          <w:rFonts w:hint="eastAsia" w:ascii="Tahoma" w:hAnsi="Tahoma" w:cs="Tahoma"/>
        </w:rPr>
        <w:t>的违约金。</w:t>
      </w:r>
    </w:p>
    <w:p>
      <w:pPr>
        <w:widowControl/>
        <w:numPr>
          <w:ilvl w:val="0"/>
          <w:numId w:val="18"/>
        </w:numPr>
        <w:adjustRightInd/>
        <w:snapToGrid w:val="0"/>
        <w:spacing w:line="360" w:lineRule="auto"/>
        <w:jc w:val="both"/>
        <w:textAlignment w:val="auto"/>
        <w:rPr>
          <w:rFonts w:ascii="Tahoma" w:hAnsi="Tahoma" w:cs="Tahoma"/>
        </w:rPr>
      </w:pPr>
      <w:r>
        <w:rPr>
          <w:rFonts w:hint="eastAsia" w:ascii="Tahoma" w:hAnsi="Tahoma" w:cs="Tahoma"/>
        </w:rPr>
        <w:t>甲方无正当理由逾期付款，则每日按合同总额</w:t>
      </w:r>
      <w:r>
        <w:rPr>
          <w:rFonts w:ascii="Tahoma" w:hAnsi="Tahoma" w:cs="Tahoma"/>
        </w:rPr>
        <w:t>3</w:t>
      </w:r>
      <w:r>
        <w:rPr>
          <w:rFonts w:hint="eastAsia" w:ascii="Tahoma" w:hAnsi="Tahoma" w:cs="Tahoma"/>
        </w:rPr>
        <w:t>‰向乙方偿付违约金。违约金总额不超过合同总金额的5%。逾期付款超过15天，乙方有权终止合同，甲方向乙方支付合同总额</w:t>
      </w:r>
      <w:r>
        <w:rPr>
          <w:rFonts w:ascii="Tahoma" w:hAnsi="Tahoma" w:cs="Tahoma"/>
        </w:rPr>
        <w:t>5%</w:t>
      </w:r>
      <w:r>
        <w:rPr>
          <w:rFonts w:hint="eastAsia" w:ascii="Tahoma" w:hAnsi="Tahoma" w:cs="Tahoma"/>
        </w:rPr>
        <w:t>的违约金，已收乙方物品的退还物品。若属于财政拨款等非因甲方原因导致付款延迟或出现其他不符合约定的情形，甲方不承担任何责任。</w:t>
      </w:r>
    </w:p>
    <w:p>
      <w:pPr>
        <w:snapToGrid w:val="0"/>
        <w:spacing w:line="360" w:lineRule="auto"/>
        <w:ind w:left="700" w:hanging="700"/>
        <w:jc w:val="both"/>
        <w:outlineLvl w:val="0"/>
        <w:rPr>
          <w:rFonts w:ascii="Tahoma" w:hAnsi="Tahoma" w:cs="Tahoma"/>
          <w:b/>
        </w:rPr>
      </w:pPr>
      <w:r>
        <w:rPr>
          <w:rFonts w:hint="eastAsia" w:ascii="Tahoma" w:hAnsi="Tahoma" w:cs="Tahoma"/>
          <w:b/>
        </w:rPr>
        <w:t>十九、争端的解决</w:t>
      </w:r>
    </w:p>
    <w:p>
      <w:pPr>
        <w:widowControl/>
        <w:numPr>
          <w:ilvl w:val="0"/>
          <w:numId w:val="19"/>
        </w:numPr>
        <w:adjustRightInd/>
        <w:snapToGrid w:val="0"/>
        <w:spacing w:line="360" w:lineRule="auto"/>
        <w:jc w:val="both"/>
        <w:textAlignment w:val="auto"/>
        <w:rPr>
          <w:rFonts w:ascii="Tahoma" w:hAnsi="Tahoma" w:cs="Tahoma"/>
        </w:rPr>
      </w:pPr>
      <w:r>
        <w:rPr>
          <w:rFonts w:hint="eastAsia" w:ascii="Tahoma" w:hAnsi="Tahoma" w:cs="Tahoma"/>
        </w:rPr>
        <w:t>凡与本合同有关而引起的一切争议，甲乙双方通过友好协商解决，如协商不成，任何一方可以向广州仲裁委员会申请仲裁裁决。</w:t>
      </w:r>
    </w:p>
    <w:p>
      <w:pPr>
        <w:widowControl/>
        <w:numPr>
          <w:ilvl w:val="0"/>
          <w:numId w:val="19"/>
        </w:numPr>
        <w:adjustRightInd/>
        <w:snapToGrid w:val="0"/>
        <w:spacing w:line="360" w:lineRule="auto"/>
        <w:jc w:val="both"/>
        <w:textAlignment w:val="auto"/>
        <w:rPr>
          <w:rFonts w:ascii="Tahoma" w:hAnsi="Tahoma" w:cs="Tahoma"/>
        </w:rPr>
      </w:pPr>
      <w:r>
        <w:rPr>
          <w:rFonts w:hint="eastAsia" w:ascii="Tahoma" w:hAnsi="Tahoma" w:cs="Tahoma"/>
        </w:rPr>
        <w:t>在进行仲裁期间，除提交仲裁机构的事项外，合同其他部分应继续履行。</w:t>
      </w:r>
    </w:p>
    <w:p>
      <w:pPr>
        <w:snapToGrid w:val="0"/>
        <w:spacing w:line="360" w:lineRule="auto"/>
        <w:ind w:left="700" w:hanging="700"/>
        <w:jc w:val="both"/>
        <w:outlineLvl w:val="0"/>
        <w:rPr>
          <w:rFonts w:ascii="Tahoma" w:hAnsi="Tahoma" w:cs="Tahoma"/>
          <w:b/>
        </w:rPr>
      </w:pPr>
      <w:r>
        <w:rPr>
          <w:rFonts w:hint="eastAsia" w:ascii="Tahoma" w:hAnsi="Tahoma" w:cs="Tahoma"/>
          <w:b/>
        </w:rPr>
        <w:t>二十、合同解除和终止</w:t>
      </w:r>
    </w:p>
    <w:p>
      <w:pPr>
        <w:snapToGrid w:val="0"/>
        <w:spacing w:line="360" w:lineRule="auto"/>
        <w:ind w:left="360"/>
        <w:jc w:val="both"/>
        <w:rPr>
          <w:rFonts w:ascii="Tahoma" w:hAnsi="Tahoma" w:cs="Tahoma"/>
        </w:rPr>
      </w:pPr>
      <w:r>
        <w:rPr>
          <w:rFonts w:hint="eastAsia" w:ascii="Tahoma" w:hAnsi="Tahoma" w:cs="Tahoma"/>
        </w:rPr>
        <w:t>甲乙双方各自完成合同规定的责任和义务，合同自然终止。</w:t>
      </w:r>
    </w:p>
    <w:p>
      <w:pPr>
        <w:snapToGrid w:val="0"/>
        <w:spacing w:line="360" w:lineRule="auto"/>
        <w:ind w:left="700" w:hanging="700"/>
        <w:jc w:val="both"/>
        <w:outlineLvl w:val="0"/>
        <w:rPr>
          <w:rFonts w:ascii="Tahoma" w:hAnsi="Tahoma" w:cs="Tahoma"/>
          <w:b/>
        </w:rPr>
      </w:pPr>
      <w:r>
        <w:rPr>
          <w:rFonts w:hint="eastAsia" w:ascii="Tahoma" w:hAnsi="Tahoma" w:cs="Tahoma"/>
          <w:b/>
        </w:rPr>
        <w:t>二十一、其它</w:t>
      </w:r>
    </w:p>
    <w:p>
      <w:pPr>
        <w:widowControl/>
        <w:numPr>
          <w:ilvl w:val="0"/>
          <w:numId w:val="20"/>
        </w:numPr>
        <w:adjustRightInd/>
        <w:snapToGrid w:val="0"/>
        <w:spacing w:line="360" w:lineRule="auto"/>
        <w:jc w:val="both"/>
        <w:textAlignment w:val="auto"/>
        <w:rPr>
          <w:rFonts w:ascii="宋体" w:hAnsi="宋体" w:cs="Tahoma"/>
          <w:szCs w:val="21"/>
        </w:rPr>
      </w:pPr>
      <w:r>
        <w:rPr>
          <w:rFonts w:hint="eastAsia" w:ascii="宋体" w:hAnsi="宋体" w:cs="Tahoma"/>
          <w:szCs w:val="21"/>
        </w:rPr>
        <w:t>本合同乙方在任何情况下都不得全部或部分转让其应履行的合同义务，乙方不得将本合同分包给他人。</w:t>
      </w:r>
    </w:p>
    <w:p>
      <w:pPr>
        <w:widowControl/>
        <w:numPr>
          <w:ilvl w:val="0"/>
          <w:numId w:val="20"/>
        </w:numPr>
        <w:adjustRightInd/>
        <w:snapToGrid w:val="0"/>
        <w:spacing w:line="360" w:lineRule="auto"/>
        <w:jc w:val="both"/>
        <w:textAlignment w:val="auto"/>
        <w:rPr>
          <w:rFonts w:ascii="宋体" w:hAnsi="宋体" w:cs="Tahoma"/>
          <w:szCs w:val="21"/>
        </w:rPr>
      </w:pPr>
      <w:r>
        <w:rPr>
          <w:rFonts w:hint="eastAsia" w:ascii="宋体" w:hAnsi="宋体"/>
          <w:bCs/>
          <w:szCs w:val="21"/>
        </w:rPr>
        <w:t>本项目</w:t>
      </w:r>
      <w:r>
        <w:rPr>
          <w:rFonts w:hint="eastAsia" w:ascii="宋体" w:hAnsi="宋体"/>
          <w:b/>
          <w:szCs w:val="21"/>
        </w:rPr>
        <w:t>招标文件、投标文件、中标通知书及本合同之附件等</w:t>
      </w:r>
      <w:r>
        <w:rPr>
          <w:rFonts w:hint="eastAsia" w:ascii="宋体" w:hAnsi="宋体" w:cs="Tahoma"/>
          <w:szCs w:val="21"/>
        </w:rPr>
        <w:t>均为本合同的有效组成部分，与本合同具有同样法律效力。合同相关文件的解释顺序如下：1）合同书（协议书）及其附件；2）中标通知书；3）投标文件；4）招标文件；5）其它相关文件。</w:t>
      </w:r>
    </w:p>
    <w:p>
      <w:pPr>
        <w:widowControl/>
        <w:numPr>
          <w:ilvl w:val="0"/>
          <w:numId w:val="20"/>
        </w:numPr>
        <w:adjustRightInd/>
        <w:snapToGrid w:val="0"/>
        <w:spacing w:line="360" w:lineRule="auto"/>
        <w:jc w:val="both"/>
        <w:textAlignment w:val="auto"/>
        <w:rPr>
          <w:rFonts w:ascii="宋体" w:hAnsi="宋体" w:cs="Tahoma"/>
          <w:szCs w:val="21"/>
        </w:rPr>
      </w:pPr>
      <w:r>
        <w:rPr>
          <w:rFonts w:hint="eastAsia" w:ascii="宋体" w:hAnsi="宋体" w:cs="Tahoma"/>
          <w:szCs w:val="21"/>
        </w:rPr>
        <w:t>在执行本合同的过程中，所有经双方签署确认的文件（包括会议纪要、补充协议、合同修改书、往来信函等）均为本合同的有效组成部分，其生效日期为双方签字盖章或确认之日期。</w:t>
      </w:r>
    </w:p>
    <w:p>
      <w:pPr>
        <w:widowControl/>
        <w:numPr>
          <w:ilvl w:val="0"/>
          <w:numId w:val="20"/>
        </w:numPr>
        <w:adjustRightInd/>
        <w:snapToGrid w:val="0"/>
        <w:spacing w:line="360" w:lineRule="auto"/>
        <w:jc w:val="both"/>
        <w:textAlignment w:val="auto"/>
        <w:rPr>
          <w:rFonts w:ascii="宋体" w:hAnsi="宋体" w:cs="Tahoma"/>
          <w:szCs w:val="21"/>
        </w:rPr>
      </w:pPr>
      <w:r>
        <w:rPr>
          <w:rFonts w:hint="eastAsia" w:ascii="宋体" w:hAnsi="宋体" w:cs="Tahoma"/>
          <w:szCs w:val="21"/>
        </w:rPr>
        <w:t>本合同一式八份，甲方六份，乙方两份。</w:t>
      </w:r>
    </w:p>
    <w:p>
      <w:pPr>
        <w:widowControl/>
        <w:numPr>
          <w:ilvl w:val="0"/>
          <w:numId w:val="20"/>
        </w:numPr>
        <w:adjustRightInd/>
        <w:snapToGrid w:val="0"/>
        <w:spacing w:line="360" w:lineRule="auto"/>
        <w:jc w:val="both"/>
        <w:textAlignment w:val="auto"/>
        <w:rPr>
          <w:rFonts w:ascii="宋体" w:hAnsi="宋体" w:cs="Tahoma"/>
          <w:szCs w:val="21"/>
        </w:rPr>
      </w:pPr>
      <w:r>
        <w:rPr>
          <w:rFonts w:hint="eastAsia" w:ascii="宋体" w:hAnsi="宋体" w:cs="Tahoma"/>
          <w:szCs w:val="21"/>
        </w:rPr>
        <w:t>合同经双方授权代表签字、盖章后生效，生效日以最后一个签字日为准。</w:t>
      </w:r>
    </w:p>
    <w:p>
      <w:pPr>
        <w:widowControl/>
        <w:numPr>
          <w:ilvl w:val="0"/>
          <w:numId w:val="20"/>
        </w:numPr>
        <w:adjustRightInd/>
        <w:snapToGrid w:val="0"/>
        <w:spacing w:line="360" w:lineRule="auto"/>
        <w:jc w:val="both"/>
        <w:textAlignment w:val="auto"/>
        <w:rPr>
          <w:rFonts w:ascii="宋体" w:hAnsi="宋体" w:cs="Tahoma"/>
          <w:szCs w:val="21"/>
        </w:rPr>
      </w:pPr>
      <w:r>
        <w:rPr>
          <w:rFonts w:hint="eastAsia" w:ascii="宋体" w:hAnsi="宋体" w:cs="Tahoma"/>
          <w:szCs w:val="21"/>
        </w:rPr>
        <w:t>本合同合计</w:t>
      </w:r>
      <w:r>
        <w:rPr>
          <w:rFonts w:hint="eastAsia" w:ascii="宋体" w:hAnsi="宋体" w:cs="Tahoma"/>
          <w:b/>
          <w:bCs/>
          <w:szCs w:val="21"/>
          <w:u w:val="single"/>
        </w:rPr>
        <w:t>**</w:t>
      </w:r>
      <w:r>
        <w:rPr>
          <w:rFonts w:hint="eastAsia" w:ascii="宋体" w:hAnsi="宋体" w:cs="Tahoma"/>
          <w:b/>
          <w:szCs w:val="21"/>
        </w:rPr>
        <w:t>页</w:t>
      </w:r>
      <w:r>
        <w:rPr>
          <w:rFonts w:hint="eastAsia" w:ascii="宋体" w:hAnsi="宋体" w:cs="Tahoma"/>
          <w:szCs w:val="21"/>
        </w:rPr>
        <w:t>A4纸张，缺页之合同为无效合同。</w:t>
      </w:r>
    </w:p>
    <w:p>
      <w:pPr>
        <w:widowControl/>
        <w:numPr>
          <w:ilvl w:val="0"/>
          <w:numId w:val="20"/>
        </w:numPr>
        <w:adjustRightInd/>
        <w:snapToGrid w:val="0"/>
        <w:spacing w:line="360" w:lineRule="auto"/>
        <w:jc w:val="both"/>
        <w:textAlignment w:val="auto"/>
        <w:rPr>
          <w:rFonts w:ascii="宋体" w:hAnsi="宋体" w:cs="Tahoma"/>
          <w:szCs w:val="21"/>
        </w:rPr>
      </w:pPr>
      <w:r>
        <w:rPr>
          <w:rFonts w:hint="eastAsia" w:ascii="宋体" w:hAnsi="宋体" w:cs="Tahoma"/>
          <w:szCs w:val="21"/>
        </w:rPr>
        <w:t>一方在本合同履行过程中向对方发出或者提供的所有通知、文件、文书、资料等，均以本合同所列明的地址送达。一方如果迁址、变更电话，应当书面通知对方，未履行书面通知义务的，一方按原地址邮寄相关材料或通知相关信息即视为已履行送达义务。当面交付上述材料的，在交付之时视为送达；以邮寄方式交付的，寄出、发出或者投邮后即视为送达。</w:t>
      </w:r>
    </w:p>
    <w:p>
      <w:pPr>
        <w:widowControl/>
        <w:numPr>
          <w:ilvl w:val="0"/>
          <w:numId w:val="20"/>
        </w:numPr>
        <w:adjustRightInd/>
        <w:snapToGrid w:val="0"/>
        <w:spacing w:line="360" w:lineRule="auto"/>
        <w:jc w:val="both"/>
        <w:textAlignment w:val="auto"/>
        <w:rPr>
          <w:rFonts w:ascii="宋体" w:hAnsi="宋体" w:cs="Tahoma"/>
          <w:szCs w:val="21"/>
        </w:rPr>
      </w:pPr>
      <w:r>
        <w:rPr>
          <w:rFonts w:hint="eastAsia" w:ascii="宋体" w:hAnsi="宋体" w:cs="Tahoma"/>
          <w:szCs w:val="21"/>
        </w:rPr>
        <w:t>由于不能预见、不能避免和不能克服的客观的自然原因或社会原因，致使本合同不能履行或者不能完全履行时，遇到上述不可抗力事件的一方，应立即书面通知合同其他方，并应在不可抗力事件发生后十五天内，向合同其他方提供经不可抗力事件发生地区县级以上政府部门出具的证明合同不能履行或需要延期履行、部分履行的有效证明文件原件，由合同各方按事件对履行合同影响的程度协商决定是否解除合同、或者部分或全部免除履行合同的责任、或者延期履行合同。遭受不可抗力的一方未履行上述义务的，不能免除其违约责任。</w:t>
      </w:r>
    </w:p>
    <w:p>
      <w:pPr>
        <w:widowControl/>
        <w:numPr>
          <w:ilvl w:val="0"/>
          <w:numId w:val="20"/>
        </w:numPr>
        <w:adjustRightInd/>
        <w:snapToGrid w:val="0"/>
        <w:spacing w:line="360" w:lineRule="auto"/>
        <w:jc w:val="both"/>
        <w:textAlignment w:val="auto"/>
        <w:rPr>
          <w:rFonts w:ascii="宋体" w:hAnsi="宋体" w:cs="Tahoma"/>
          <w:szCs w:val="21"/>
        </w:rPr>
      </w:pPr>
      <w:r>
        <w:rPr>
          <w:rFonts w:hint="eastAsia" w:ascii="宋体" w:hAnsi="宋体" w:cs="Tahoma"/>
          <w:szCs w:val="21"/>
        </w:rPr>
        <w:t>未详尽之处双方协商解决。</w:t>
      </w:r>
    </w:p>
    <w:p>
      <w:pPr>
        <w:tabs>
          <w:tab w:val="left" w:pos="720"/>
        </w:tabs>
        <w:snapToGrid w:val="0"/>
        <w:spacing w:line="360" w:lineRule="auto"/>
        <w:jc w:val="both"/>
        <w:rPr>
          <w:rFonts w:ascii="宋体" w:hAnsi="宋体" w:cs="Tahoma"/>
          <w:szCs w:val="21"/>
        </w:rPr>
      </w:pPr>
    </w:p>
    <w:p>
      <w:pPr>
        <w:tabs>
          <w:tab w:val="left" w:pos="720"/>
        </w:tabs>
        <w:snapToGrid w:val="0"/>
        <w:spacing w:line="360" w:lineRule="auto"/>
        <w:jc w:val="center"/>
        <w:rPr>
          <w:rFonts w:ascii="宋体" w:hAnsi="宋体" w:cs="Tahoma"/>
          <w:szCs w:val="21"/>
        </w:rPr>
      </w:pPr>
      <w:r>
        <w:rPr>
          <w:rFonts w:hint="eastAsia" w:ascii="宋体" w:hAnsi="宋体" w:cs="Tahoma"/>
          <w:szCs w:val="21"/>
        </w:rPr>
        <w:t>（以下无正文）</w:t>
      </w:r>
    </w:p>
    <w:p>
      <w:pPr>
        <w:tabs>
          <w:tab w:val="left" w:pos="720"/>
        </w:tabs>
        <w:snapToGrid w:val="0"/>
        <w:spacing w:line="360" w:lineRule="auto"/>
        <w:jc w:val="both"/>
        <w:rPr>
          <w:rFonts w:ascii="宋体" w:hAnsi="宋体" w:cs="Tahoma"/>
          <w:szCs w:val="21"/>
        </w:rPr>
      </w:pPr>
    </w:p>
    <w:p>
      <w:pPr>
        <w:tabs>
          <w:tab w:val="left" w:pos="4920"/>
        </w:tabs>
        <w:snapToGrid w:val="0"/>
        <w:spacing w:line="360" w:lineRule="auto"/>
        <w:jc w:val="both"/>
        <w:rPr>
          <w:rFonts w:ascii="Tahoma" w:hAnsi="Tahoma" w:cs="Tahoma"/>
          <w:b/>
          <w:szCs w:val="21"/>
        </w:rPr>
      </w:pPr>
      <w:r>
        <w:rPr>
          <w:rFonts w:hint="eastAsia" w:ascii="Tahoma" w:hAnsi="Tahoma" w:cs="Tahoma"/>
          <w:b/>
          <w:szCs w:val="21"/>
        </w:rPr>
        <w:t>甲方：暨南大学</w:t>
      </w:r>
      <w:r>
        <w:rPr>
          <w:rFonts w:ascii="Tahoma" w:hAnsi="Tahoma" w:cs="Tahoma"/>
          <w:b/>
          <w:szCs w:val="21"/>
        </w:rPr>
        <w:tab/>
      </w:r>
      <w:r>
        <w:rPr>
          <w:rFonts w:hint="eastAsia" w:ascii="Tahoma" w:hAnsi="Tahoma" w:cs="Tahoma"/>
          <w:b/>
          <w:szCs w:val="21"/>
        </w:rPr>
        <w:t>乙方：*******</w:t>
      </w:r>
    </w:p>
    <w:p>
      <w:pPr>
        <w:tabs>
          <w:tab w:val="left" w:pos="4920"/>
        </w:tabs>
        <w:snapToGrid w:val="0"/>
        <w:spacing w:line="360" w:lineRule="auto"/>
        <w:jc w:val="both"/>
        <w:rPr>
          <w:rFonts w:ascii="宋体" w:hAnsi="宋体"/>
          <w:szCs w:val="21"/>
        </w:rPr>
      </w:pPr>
      <w:r>
        <w:rPr>
          <w:rFonts w:hint="eastAsia" w:ascii="宋体" w:hAnsi="宋体"/>
          <w:szCs w:val="21"/>
        </w:rPr>
        <w:t>甲方使用单位：××学院/系/所</w:t>
      </w:r>
    </w:p>
    <w:p>
      <w:pPr>
        <w:tabs>
          <w:tab w:val="left" w:pos="4920"/>
        </w:tabs>
        <w:snapToGrid w:val="0"/>
        <w:spacing w:before="120" w:beforeLines="50" w:line="360" w:lineRule="auto"/>
        <w:jc w:val="both"/>
        <w:rPr>
          <w:rFonts w:ascii="Tahoma" w:hAnsi="Tahoma" w:cs="Tahoma"/>
          <w:szCs w:val="21"/>
        </w:rPr>
      </w:pPr>
      <w:r>
        <w:rPr>
          <w:rFonts w:hint="eastAsia" w:ascii="Tahoma" w:hAnsi="Tahoma" w:cs="Tahoma"/>
          <w:szCs w:val="21"/>
        </w:rPr>
        <w:t>代表人：</w:t>
      </w:r>
      <w:r>
        <w:rPr>
          <w:rFonts w:ascii="Tahoma" w:hAnsi="Tahoma" w:cs="Tahoma"/>
          <w:szCs w:val="21"/>
        </w:rPr>
        <w:tab/>
      </w:r>
      <w:r>
        <w:rPr>
          <w:rFonts w:hint="eastAsia" w:ascii="Tahoma" w:hAnsi="Tahoma" w:cs="Tahoma"/>
          <w:szCs w:val="21"/>
        </w:rPr>
        <w:t>代表人：</w:t>
      </w:r>
    </w:p>
    <w:p>
      <w:pPr>
        <w:tabs>
          <w:tab w:val="left" w:pos="4500"/>
        </w:tabs>
        <w:snapToGrid w:val="0"/>
        <w:spacing w:line="360" w:lineRule="auto"/>
        <w:jc w:val="both"/>
        <w:rPr>
          <w:rFonts w:ascii="Tahoma" w:hAnsi="Tahoma" w:cs="Tahoma"/>
          <w:szCs w:val="21"/>
        </w:rPr>
      </w:pPr>
      <w:r>
        <w:rPr>
          <w:rFonts w:hint="eastAsia" w:ascii="Tahoma" w:hAnsi="Tahoma" w:cs="Tahoma"/>
          <w:szCs w:val="21"/>
        </w:rPr>
        <w:t>日期：      年   月   日                       日期：      年    月    日</w:t>
      </w:r>
    </w:p>
    <w:p>
      <w:pPr>
        <w:tabs>
          <w:tab w:val="left" w:pos="4920"/>
        </w:tabs>
        <w:snapToGrid w:val="0"/>
        <w:spacing w:line="360" w:lineRule="auto"/>
        <w:ind w:left="6720" w:hanging="6720" w:hangingChars="2800"/>
        <w:jc w:val="both"/>
        <w:rPr>
          <w:rFonts w:ascii="Tahoma" w:hAnsi="Tahoma" w:cs="Tahoma"/>
          <w:szCs w:val="21"/>
        </w:rPr>
      </w:pPr>
      <w:r>
        <w:rPr>
          <w:rFonts w:hint="eastAsia" w:ascii="Tahoma" w:hAnsi="Tahoma" w:cs="Tahoma"/>
          <w:szCs w:val="21"/>
        </w:rPr>
        <w:t>地址：广州市黄埔大道西601号</w:t>
      </w:r>
      <w:r>
        <w:rPr>
          <w:rFonts w:ascii="Tahoma" w:hAnsi="Tahoma" w:cs="Tahoma"/>
          <w:szCs w:val="21"/>
        </w:rPr>
        <w:tab/>
      </w:r>
      <w:r>
        <w:rPr>
          <w:rFonts w:hint="eastAsia" w:ascii="Tahoma" w:hAnsi="Tahoma" w:cs="Tahoma"/>
          <w:szCs w:val="21"/>
        </w:rPr>
        <w:t>地址：</w:t>
      </w:r>
      <w:r>
        <w:rPr>
          <w:rFonts w:hint="eastAsia" w:ascii="宋体" w:hAnsi="宋体" w:cs="Arial"/>
          <w:szCs w:val="21"/>
        </w:rPr>
        <w:t>**************</w:t>
      </w:r>
    </w:p>
    <w:p>
      <w:pPr>
        <w:tabs>
          <w:tab w:val="left" w:pos="4920"/>
        </w:tabs>
        <w:snapToGrid w:val="0"/>
        <w:spacing w:line="360" w:lineRule="auto"/>
        <w:jc w:val="both"/>
        <w:rPr>
          <w:rFonts w:ascii="Tahoma" w:hAnsi="Tahoma" w:cs="Tahoma"/>
          <w:szCs w:val="21"/>
        </w:rPr>
      </w:pPr>
      <w:r>
        <w:rPr>
          <w:rFonts w:hint="eastAsia" w:ascii="Tahoma" w:hAnsi="Tahoma" w:cs="Tahoma"/>
          <w:szCs w:val="21"/>
        </w:rPr>
        <w:t>邮政编码：510632</w:t>
      </w:r>
      <w:r>
        <w:rPr>
          <w:rFonts w:ascii="Tahoma" w:hAnsi="Tahoma" w:cs="Tahoma"/>
          <w:szCs w:val="21"/>
        </w:rPr>
        <w:tab/>
      </w:r>
      <w:r>
        <w:rPr>
          <w:rFonts w:hint="eastAsia" w:ascii="Tahoma" w:hAnsi="Tahoma" w:cs="Tahoma"/>
          <w:szCs w:val="21"/>
        </w:rPr>
        <w:t>邮政编码：******</w:t>
      </w:r>
    </w:p>
    <w:p>
      <w:pPr>
        <w:tabs>
          <w:tab w:val="left" w:pos="4920"/>
        </w:tabs>
        <w:snapToGrid w:val="0"/>
        <w:spacing w:line="360" w:lineRule="auto"/>
        <w:jc w:val="both"/>
        <w:rPr>
          <w:rFonts w:ascii="Tahoma" w:hAnsi="Tahoma" w:cs="Tahoma"/>
          <w:szCs w:val="21"/>
        </w:rPr>
      </w:pPr>
      <w:r>
        <w:rPr>
          <w:rFonts w:hint="eastAsia" w:ascii="Tahoma" w:hAnsi="Tahoma" w:cs="Tahoma"/>
          <w:szCs w:val="21"/>
        </w:rPr>
        <w:t>电话：********</w:t>
      </w:r>
      <w:r>
        <w:rPr>
          <w:rFonts w:ascii="Tahoma" w:hAnsi="Tahoma" w:cs="Tahoma"/>
          <w:szCs w:val="21"/>
        </w:rPr>
        <w:tab/>
      </w:r>
      <w:r>
        <w:rPr>
          <w:rFonts w:hint="eastAsia" w:ascii="Tahoma" w:hAnsi="Tahoma" w:cs="Tahoma"/>
          <w:szCs w:val="21"/>
        </w:rPr>
        <w:t>电话：********</w:t>
      </w:r>
    </w:p>
    <w:p>
      <w:pPr>
        <w:tabs>
          <w:tab w:val="left" w:pos="4920"/>
        </w:tabs>
        <w:snapToGrid w:val="0"/>
        <w:spacing w:line="360" w:lineRule="auto"/>
        <w:jc w:val="both"/>
        <w:rPr>
          <w:rFonts w:ascii="Tahoma" w:hAnsi="Tahoma" w:cs="Tahoma"/>
          <w:szCs w:val="21"/>
        </w:rPr>
      </w:pPr>
      <w:r>
        <w:rPr>
          <w:rFonts w:hint="eastAsia" w:ascii="Tahoma" w:hAnsi="Tahoma" w:cs="Tahoma"/>
          <w:szCs w:val="21"/>
        </w:rPr>
        <w:t>传真：********</w:t>
      </w:r>
      <w:r>
        <w:rPr>
          <w:rFonts w:ascii="Tahoma" w:hAnsi="Tahoma" w:cs="Tahoma"/>
          <w:szCs w:val="21"/>
        </w:rPr>
        <w:tab/>
      </w:r>
      <w:r>
        <w:rPr>
          <w:rFonts w:hint="eastAsia" w:ascii="Tahoma" w:hAnsi="Tahoma" w:cs="Tahoma"/>
          <w:szCs w:val="21"/>
        </w:rPr>
        <w:t>传真：********</w:t>
      </w:r>
    </w:p>
    <w:p>
      <w:pPr>
        <w:tabs>
          <w:tab w:val="left" w:pos="851"/>
        </w:tabs>
        <w:spacing w:line="360" w:lineRule="auto"/>
        <w:rPr>
          <w:rFonts w:ascii="宋体"/>
          <w:szCs w:val="21"/>
        </w:rPr>
      </w:pPr>
      <w:r>
        <w:rPr>
          <w:rFonts w:hint="eastAsia" w:ascii="宋体"/>
          <w:szCs w:val="21"/>
        </w:rPr>
        <w:t>开户行：广州工行暨南大学支行                   开户行：</w:t>
      </w:r>
      <w:r>
        <w:rPr>
          <w:rFonts w:hint="eastAsia" w:ascii="Tahoma" w:hAnsi="Tahoma" w:cs="Tahoma"/>
          <w:b/>
          <w:szCs w:val="21"/>
        </w:rPr>
        <w:t>*******</w:t>
      </w:r>
    </w:p>
    <w:p>
      <w:pPr>
        <w:tabs>
          <w:tab w:val="left" w:pos="851"/>
        </w:tabs>
        <w:spacing w:line="360" w:lineRule="auto"/>
        <w:rPr>
          <w:rFonts w:ascii="宋体"/>
          <w:szCs w:val="21"/>
        </w:rPr>
      </w:pPr>
      <w:r>
        <w:rPr>
          <w:rFonts w:hint="eastAsia" w:ascii="宋体"/>
          <w:szCs w:val="21"/>
        </w:rPr>
        <w:t>帐号：3602015819100000858                      账号：</w:t>
      </w:r>
      <w:r>
        <w:rPr>
          <w:rFonts w:hint="eastAsia" w:ascii="Tahoma" w:hAnsi="Tahoma" w:cs="Tahoma"/>
          <w:b/>
          <w:szCs w:val="21"/>
        </w:rPr>
        <w:t>*******</w:t>
      </w:r>
    </w:p>
    <w:p>
      <w:pPr>
        <w:snapToGrid w:val="0"/>
        <w:spacing w:line="360" w:lineRule="auto"/>
        <w:jc w:val="both"/>
        <w:rPr>
          <w:rFonts w:ascii="宋体" w:hAnsi="宋体"/>
          <w:b/>
          <w:bCs/>
          <w:sz w:val="28"/>
          <w:szCs w:val="21"/>
        </w:rPr>
      </w:pPr>
      <w:r>
        <w:rPr>
          <w:rFonts w:ascii="宋体" w:hAnsi="宋体"/>
          <w:szCs w:val="21"/>
        </w:rPr>
        <w:br w:type="page"/>
      </w:r>
      <w:r>
        <w:rPr>
          <w:rFonts w:hint="eastAsia" w:ascii="宋体" w:hAnsi="宋体"/>
          <w:b/>
          <w:bCs/>
          <w:sz w:val="28"/>
          <w:szCs w:val="21"/>
        </w:rPr>
        <w:t>附件1：配置清单</w:t>
      </w:r>
    </w:p>
    <w:tbl>
      <w:tblPr>
        <w:tblStyle w:val="23"/>
        <w:tblW w:w="8716" w:type="dxa"/>
        <w:jc w:val="center"/>
        <w:tblInd w:w="0" w:type="dxa"/>
        <w:tblBorders>
          <w:top w:val="thickThinSmallGap" w:color="000000" w:sz="18" w:space="0"/>
          <w:left w:val="thickThinSmallGap" w:color="000000" w:sz="18" w:space="0"/>
          <w:bottom w:val="thickThinSmallGap" w:color="000000" w:sz="18" w:space="0"/>
          <w:right w:val="thickThinSmallGap" w:color="000000" w:sz="18" w:space="0"/>
          <w:insideH w:val="single" w:color="000000" w:sz="4" w:space="0"/>
          <w:insideV w:val="single" w:color="000000" w:sz="4" w:space="0"/>
        </w:tblBorders>
        <w:tblLayout w:type="fixed"/>
        <w:tblCellMar>
          <w:top w:w="0" w:type="dxa"/>
          <w:left w:w="15" w:type="dxa"/>
          <w:bottom w:w="0" w:type="dxa"/>
          <w:right w:w="15" w:type="dxa"/>
        </w:tblCellMar>
      </w:tblPr>
      <w:tblGrid>
        <w:gridCol w:w="564"/>
        <w:gridCol w:w="978"/>
        <w:gridCol w:w="978"/>
        <w:gridCol w:w="978"/>
        <w:gridCol w:w="978"/>
        <w:gridCol w:w="978"/>
        <w:gridCol w:w="978"/>
        <w:gridCol w:w="978"/>
        <w:gridCol w:w="1306"/>
      </w:tblGrid>
      <w:tr>
        <w:tblPrEx>
          <w:tblBorders>
            <w:top w:val="thickThinSmallGap" w:color="000000" w:sz="18" w:space="0"/>
            <w:left w:val="thickThinSmallGap" w:color="000000" w:sz="18" w:space="0"/>
            <w:bottom w:val="thickThinSmallGap" w:color="000000" w:sz="18" w:space="0"/>
            <w:right w:val="thickThinSmallGap" w:color="000000" w:sz="18" w:space="0"/>
            <w:insideH w:val="single" w:color="000000" w:sz="4" w:space="0"/>
            <w:insideV w:val="single" w:color="000000" w:sz="4" w:space="0"/>
          </w:tblBorders>
          <w:tblLayout w:type="fixed"/>
          <w:tblCellMar>
            <w:top w:w="0" w:type="dxa"/>
            <w:left w:w="15" w:type="dxa"/>
            <w:bottom w:w="0" w:type="dxa"/>
            <w:right w:w="15" w:type="dxa"/>
          </w:tblCellMar>
        </w:tblPrEx>
        <w:trPr>
          <w:trHeight w:val="285" w:hRule="atLeast"/>
          <w:jc w:val="center"/>
        </w:trPr>
        <w:tc>
          <w:tcPr>
            <w:tcW w:w="564" w:type="dxa"/>
          </w:tcPr>
          <w:p>
            <w:pPr>
              <w:jc w:val="center"/>
              <w:rPr>
                <w:rFonts w:ascii="宋体"/>
                <w:b/>
              </w:rPr>
            </w:pPr>
            <w:r>
              <w:rPr>
                <w:rFonts w:hint="eastAsia" w:ascii="宋体"/>
                <w:b/>
              </w:rPr>
              <w:t>序号</w:t>
            </w:r>
          </w:p>
        </w:tc>
        <w:tc>
          <w:tcPr>
            <w:tcW w:w="978" w:type="dxa"/>
            <w:vAlign w:val="center"/>
          </w:tcPr>
          <w:p>
            <w:pPr>
              <w:jc w:val="center"/>
              <w:rPr>
                <w:rFonts w:ascii="宋体" w:hAnsi="宋体"/>
                <w:b/>
              </w:rPr>
            </w:pPr>
            <w:r>
              <w:rPr>
                <w:rFonts w:hint="eastAsia" w:ascii="宋体"/>
                <w:b/>
              </w:rPr>
              <w:t>货物名称</w:t>
            </w:r>
          </w:p>
        </w:tc>
        <w:tc>
          <w:tcPr>
            <w:tcW w:w="978" w:type="dxa"/>
            <w:vAlign w:val="center"/>
          </w:tcPr>
          <w:p>
            <w:pPr>
              <w:jc w:val="center"/>
              <w:rPr>
                <w:rFonts w:ascii="宋体" w:hAnsi="宋体"/>
                <w:b/>
              </w:rPr>
            </w:pPr>
            <w:r>
              <w:rPr>
                <w:rFonts w:hint="eastAsia" w:ascii="宋体"/>
                <w:b/>
              </w:rPr>
              <w:t>数量/单位</w:t>
            </w:r>
          </w:p>
        </w:tc>
        <w:tc>
          <w:tcPr>
            <w:tcW w:w="978" w:type="dxa"/>
            <w:vAlign w:val="center"/>
          </w:tcPr>
          <w:p>
            <w:pPr>
              <w:jc w:val="center"/>
              <w:rPr>
                <w:rFonts w:ascii="宋体" w:hAnsi="宋体"/>
                <w:b/>
              </w:rPr>
            </w:pPr>
            <w:r>
              <w:rPr>
                <w:rFonts w:hint="eastAsia" w:ascii="宋体"/>
                <w:b/>
              </w:rPr>
              <w:t>配置名称</w:t>
            </w:r>
          </w:p>
        </w:tc>
        <w:tc>
          <w:tcPr>
            <w:tcW w:w="978" w:type="dxa"/>
            <w:vAlign w:val="center"/>
          </w:tcPr>
          <w:p>
            <w:pPr>
              <w:jc w:val="center"/>
              <w:rPr>
                <w:rFonts w:ascii="宋体" w:hAnsi="宋体"/>
                <w:b/>
              </w:rPr>
            </w:pPr>
            <w:r>
              <w:rPr>
                <w:rFonts w:hint="eastAsia" w:ascii="宋体"/>
                <w:b/>
              </w:rPr>
              <w:t>配置描述</w:t>
            </w:r>
          </w:p>
        </w:tc>
        <w:tc>
          <w:tcPr>
            <w:tcW w:w="978" w:type="dxa"/>
            <w:vAlign w:val="center"/>
          </w:tcPr>
          <w:p>
            <w:pPr>
              <w:jc w:val="center"/>
              <w:rPr>
                <w:rFonts w:ascii="宋体" w:hAnsi="宋体"/>
                <w:b/>
              </w:rPr>
            </w:pPr>
            <w:r>
              <w:rPr>
                <w:rFonts w:hint="eastAsia" w:ascii="宋体"/>
                <w:b/>
              </w:rPr>
              <w:t>制造商</w:t>
            </w:r>
          </w:p>
        </w:tc>
        <w:tc>
          <w:tcPr>
            <w:tcW w:w="978" w:type="dxa"/>
            <w:vAlign w:val="center"/>
          </w:tcPr>
          <w:p>
            <w:pPr>
              <w:jc w:val="center"/>
              <w:rPr>
                <w:rFonts w:ascii="宋体" w:hAnsi="宋体"/>
                <w:b/>
              </w:rPr>
            </w:pPr>
            <w:r>
              <w:rPr>
                <w:rFonts w:hint="eastAsia" w:ascii="宋体"/>
                <w:b/>
              </w:rPr>
              <w:t>型号规格</w:t>
            </w:r>
          </w:p>
        </w:tc>
        <w:tc>
          <w:tcPr>
            <w:tcW w:w="978" w:type="dxa"/>
            <w:vAlign w:val="center"/>
          </w:tcPr>
          <w:p>
            <w:pPr>
              <w:jc w:val="center"/>
              <w:rPr>
                <w:rFonts w:ascii="宋体" w:hAnsi="宋体"/>
                <w:b/>
              </w:rPr>
            </w:pPr>
            <w:r>
              <w:rPr>
                <w:rFonts w:hint="eastAsia" w:ascii="宋体"/>
                <w:b/>
              </w:rPr>
              <w:t>数量/单位</w:t>
            </w:r>
          </w:p>
        </w:tc>
        <w:tc>
          <w:tcPr>
            <w:tcW w:w="1306" w:type="dxa"/>
            <w:vAlign w:val="center"/>
          </w:tcPr>
          <w:p>
            <w:pPr>
              <w:jc w:val="center"/>
              <w:rPr>
                <w:rFonts w:ascii="宋体" w:hAnsi="宋体"/>
                <w:b/>
              </w:rPr>
            </w:pPr>
            <w:r>
              <w:rPr>
                <w:rFonts w:hint="eastAsia" w:ascii="宋体" w:hAnsi="宋体"/>
                <w:b/>
              </w:rPr>
              <w:t>境外/境内供货</w:t>
            </w:r>
          </w:p>
        </w:tc>
      </w:tr>
      <w:tr>
        <w:tblPrEx>
          <w:tblBorders>
            <w:top w:val="thickThinSmallGap" w:color="000000" w:sz="18" w:space="0"/>
            <w:left w:val="thickThinSmallGap" w:color="000000" w:sz="18" w:space="0"/>
            <w:bottom w:val="thickThinSmallGap" w:color="000000" w:sz="18" w:space="0"/>
            <w:right w:val="thickThinSmallGap" w:color="000000" w:sz="18" w:space="0"/>
            <w:insideH w:val="single" w:color="000000" w:sz="4" w:space="0"/>
            <w:insideV w:val="single" w:color="000000" w:sz="4" w:space="0"/>
          </w:tblBorders>
          <w:tblLayout w:type="fixed"/>
          <w:tblCellMar>
            <w:top w:w="0" w:type="dxa"/>
            <w:left w:w="15" w:type="dxa"/>
            <w:bottom w:w="0" w:type="dxa"/>
            <w:right w:w="15" w:type="dxa"/>
          </w:tblCellMar>
        </w:tblPrEx>
        <w:trPr>
          <w:trHeight w:val="538" w:hRule="atLeast"/>
          <w:jc w:val="center"/>
        </w:trPr>
        <w:tc>
          <w:tcPr>
            <w:tcW w:w="564" w:type="dxa"/>
          </w:tcPr>
          <w:p>
            <w:pPr>
              <w:autoSpaceDN w:val="0"/>
              <w:spacing w:line="300" w:lineRule="auto"/>
              <w:jc w:val="center"/>
              <w:textAlignment w:val="center"/>
              <w:rPr>
                <w:rFonts w:ascii="宋体" w:hAnsi="宋体"/>
                <w:b/>
              </w:rPr>
            </w:pPr>
          </w:p>
        </w:tc>
        <w:tc>
          <w:tcPr>
            <w:tcW w:w="978" w:type="dxa"/>
          </w:tcPr>
          <w:p>
            <w:pPr>
              <w:autoSpaceDN w:val="0"/>
              <w:spacing w:line="300" w:lineRule="auto"/>
              <w:jc w:val="center"/>
              <w:textAlignment w:val="center"/>
              <w:rPr>
                <w:rFonts w:ascii="宋体" w:hAnsi="宋体"/>
                <w:b/>
              </w:rPr>
            </w:pPr>
          </w:p>
        </w:tc>
        <w:tc>
          <w:tcPr>
            <w:tcW w:w="978" w:type="dxa"/>
            <w:vAlign w:val="center"/>
          </w:tcPr>
          <w:p>
            <w:pPr>
              <w:autoSpaceDN w:val="0"/>
              <w:spacing w:line="300" w:lineRule="auto"/>
              <w:jc w:val="center"/>
              <w:textAlignment w:val="center"/>
              <w:rPr>
                <w:rFonts w:ascii="宋体" w:hAnsi="宋体"/>
                <w:b/>
              </w:rPr>
            </w:pPr>
          </w:p>
        </w:tc>
        <w:tc>
          <w:tcPr>
            <w:tcW w:w="978" w:type="dxa"/>
            <w:vAlign w:val="center"/>
          </w:tcPr>
          <w:p>
            <w:pPr>
              <w:autoSpaceDN w:val="0"/>
              <w:spacing w:line="300" w:lineRule="auto"/>
              <w:textAlignment w:val="center"/>
              <w:rPr>
                <w:rFonts w:hAnsi="宋体"/>
              </w:rPr>
            </w:pPr>
          </w:p>
        </w:tc>
        <w:tc>
          <w:tcPr>
            <w:tcW w:w="978" w:type="dxa"/>
            <w:vAlign w:val="center"/>
          </w:tcPr>
          <w:p>
            <w:pPr>
              <w:autoSpaceDN w:val="0"/>
              <w:spacing w:line="300" w:lineRule="auto"/>
              <w:textAlignment w:val="center"/>
              <w:rPr>
                <w:rFonts w:hAnsi="宋体"/>
              </w:rPr>
            </w:pPr>
          </w:p>
        </w:tc>
        <w:tc>
          <w:tcPr>
            <w:tcW w:w="978" w:type="dxa"/>
            <w:vAlign w:val="center"/>
          </w:tcPr>
          <w:p>
            <w:pPr>
              <w:autoSpaceDN w:val="0"/>
              <w:spacing w:line="300" w:lineRule="auto"/>
              <w:textAlignment w:val="center"/>
              <w:rPr>
                <w:rFonts w:hAnsi="宋体"/>
              </w:rPr>
            </w:pPr>
          </w:p>
        </w:tc>
        <w:tc>
          <w:tcPr>
            <w:tcW w:w="978" w:type="dxa"/>
            <w:vAlign w:val="center"/>
          </w:tcPr>
          <w:p>
            <w:pPr>
              <w:autoSpaceDN w:val="0"/>
              <w:spacing w:line="300" w:lineRule="auto"/>
              <w:textAlignment w:val="center"/>
              <w:rPr>
                <w:rFonts w:hAnsi="宋体"/>
              </w:rPr>
            </w:pPr>
          </w:p>
        </w:tc>
        <w:tc>
          <w:tcPr>
            <w:tcW w:w="978" w:type="dxa"/>
            <w:vAlign w:val="center"/>
          </w:tcPr>
          <w:p>
            <w:pPr>
              <w:autoSpaceDN w:val="0"/>
              <w:spacing w:line="300" w:lineRule="auto"/>
              <w:textAlignment w:val="center"/>
              <w:rPr>
                <w:rFonts w:hAnsi="宋体"/>
              </w:rPr>
            </w:pPr>
          </w:p>
        </w:tc>
        <w:tc>
          <w:tcPr>
            <w:tcW w:w="1306" w:type="dxa"/>
            <w:vAlign w:val="center"/>
          </w:tcPr>
          <w:p>
            <w:pPr>
              <w:autoSpaceDN w:val="0"/>
              <w:spacing w:line="300" w:lineRule="auto"/>
              <w:textAlignment w:val="center"/>
              <w:rPr>
                <w:rFonts w:hAnsi="宋体"/>
              </w:rPr>
            </w:pPr>
          </w:p>
        </w:tc>
      </w:tr>
      <w:tr>
        <w:tblPrEx>
          <w:tblBorders>
            <w:top w:val="thickThinSmallGap" w:color="000000" w:sz="18" w:space="0"/>
            <w:left w:val="thickThinSmallGap" w:color="000000" w:sz="18" w:space="0"/>
            <w:bottom w:val="thickThinSmallGap" w:color="000000" w:sz="18" w:space="0"/>
            <w:right w:val="thickThinSmallGap" w:color="000000" w:sz="18" w:space="0"/>
            <w:insideH w:val="single" w:color="000000" w:sz="4" w:space="0"/>
            <w:insideV w:val="single" w:color="000000" w:sz="4" w:space="0"/>
          </w:tblBorders>
          <w:tblLayout w:type="fixed"/>
          <w:tblCellMar>
            <w:top w:w="0" w:type="dxa"/>
            <w:left w:w="15" w:type="dxa"/>
            <w:bottom w:w="0" w:type="dxa"/>
            <w:right w:w="15" w:type="dxa"/>
          </w:tblCellMar>
        </w:tblPrEx>
        <w:trPr>
          <w:trHeight w:val="23" w:hRule="atLeast"/>
          <w:jc w:val="center"/>
        </w:trPr>
        <w:tc>
          <w:tcPr>
            <w:tcW w:w="564" w:type="dxa"/>
          </w:tcPr>
          <w:p>
            <w:pPr>
              <w:autoSpaceDN w:val="0"/>
              <w:spacing w:line="300" w:lineRule="auto"/>
              <w:jc w:val="center"/>
              <w:textAlignment w:val="center"/>
              <w:rPr>
                <w:rFonts w:ascii="宋体" w:hAnsi="宋体"/>
                <w:b/>
                <w:szCs w:val="21"/>
              </w:rPr>
            </w:pPr>
          </w:p>
        </w:tc>
        <w:tc>
          <w:tcPr>
            <w:tcW w:w="978" w:type="dxa"/>
          </w:tcPr>
          <w:p>
            <w:pPr>
              <w:autoSpaceDN w:val="0"/>
              <w:spacing w:line="300" w:lineRule="auto"/>
              <w:jc w:val="center"/>
              <w:textAlignment w:val="center"/>
              <w:rPr>
                <w:rFonts w:ascii="宋体" w:hAnsi="宋体"/>
                <w:b/>
                <w:szCs w:val="21"/>
              </w:rPr>
            </w:pPr>
          </w:p>
        </w:tc>
        <w:tc>
          <w:tcPr>
            <w:tcW w:w="978" w:type="dxa"/>
            <w:vAlign w:val="center"/>
          </w:tcPr>
          <w:p>
            <w:pPr>
              <w:autoSpaceDN w:val="0"/>
              <w:spacing w:line="300" w:lineRule="auto"/>
              <w:jc w:val="center"/>
              <w:textAlignment w:val="center"/>
              <w:rPr>
                <w:rFonts w:ascii="宋体" w:hAnsi="宋体"/>
                <w:b/>
                <w:szCs w:val="21"/>
              </w:rPr>
            </w:pPr>
          </w:p>
        </w:tc>
        <w:tc>
          <w:tcPr>
            <w:tcW w:w="978" w:type="dxa"/>
            <w:vAlign w:val="center"/>
          </w:tcPr>
          <w:p>
            <w:pPr>
              <w:autoSpaceDN w:val="0"/>
              <w:spacing w:line="300" w:lineRule="auto"/>
              <w:textAlignment w:val="center"/>
              <w:rPr>
                <w:rFonts w:ascii="宋体" w:hAnsi="宋体"/>
                <w:b/>
                <w:szCs w:val="21"/>
              </w:rPr>
            </w:pPr>
          </w:p>
        </w:tc>
        <w:tc>
          <w:tcPr>
            <w:tcW w:w="978" w:type="dxa"/>
            <w:vAlign w:val="center"/>
          </w:tcPr>
          <w:p>
            <w:pPr>
              <w:autoSpaceDN w:val="0"/>
              <w:spacing w:line="300" w:lineRule="auto"/>
              <w:textAlignment w:val="center"/>
              <w:rPr>
                <w:rFonts w:ascii="宋体" w:hAnsi="宋体"/>
                <w:b/>
                <w:szCs w:val="21"/>
              </w:rPr>
            </w:pPr>
          </w:p>
        </w:tc>
        <w:tc>
          <w:tcPr>
            <w:tcW w:w="978" w:type="dxa"/>
            <w:vAlign w:val="center"/>
          </w:tcPr>
          <w:p>
            <w:pPr>
              <w:autoSpaceDN w:val="0"/>
              <w:spacing w:line="300" w:lineRule="auto"/>
              <w:textAlignment w:val="center"/>
              <w:rPr>
                <w:rFonts w:ascii="宋体" w:hAnsi="宋体"/>
                <w:b/>
                <w:szCs w:val="21"/>
              </w:rPr>
            </w:pPr>
          </w:p>
        </w:tc>
        <w:tc>
          <w:tcPr>
            <w:tcW w:w="978" w:type="dxa"/>
            <w:vAlign w:val="center"/>
          </w:tcPr>
          <w:p>
            <w:pPr>
              <w:autoSpaceDN w:val="0"/>
              <w:spacing w:line="300" w:lineRule="auto"/>
              <w:textAlignment w:val="center"/>
              <w:rPr>
                <w:rFonts w:ascii="宋体" w:hAnsi="宋体"/>
                <w:b/>
                <w:szCs w:val="21"/>
              </w:rPr>
            </w:pPr>
          </w:p>
        </w:tc>
        <w:tc>
          <w:tcPr>
            <w:tcW w:w="978" w:type="dxa"/>
            <w:vAlign w:val="center"/>
          </w:tcPr>
          <w:p>
            <w:pPr>
              <w:autoSpaceDN w:val="0"/>
              <w:spacing w:line="300" w:lineRule="auto"/>
              <w:textAlignment w:val="center"/>
              <w:rPr>
                <w:rFonts w:ascii="宋体" w:hAnsi="宋体"/>
                <w:b/>
                <w:szCs w:val="21"/>
              </w:rPr>
            </w:pPr>
          </w:p>
        </w:tc>
        <w:tc>
          <w:tcPr>
            <w:tcW w:w="1306" w:type="dxa"/>
            <w:vAlign w:val="center"/>
          </w:tcPr>
          <w:p>
            <w:pPr>
              <w:autoSpaceDN w:val="0"/>
              <w:spacing w:line="300" w:lineRule="auto"/>
              <w:textAlignment w:val="center"/>
              <w:rPr>
                <w:rFonts w:ascii="宋体" w:hAnsi="宋体"/>
                <w:b/>
                <w:szCs w:val="21"/>
              </w:rPr>
            </w:pPr>
          </w:p>
        </w:tc>
      </w:tr>
      <w:tr>
        <w:tblPrEx>
          <w:tblBorders>
            <w:top w:val="thickThinSmallGap" w:color="000000" w:sz="18" w:space="0"/>
            <w:left w:val="thickThinSmallGap" w:color="000000" w:sz="18" w:space="0"/>
            <w:bottom w:val="thickThinSmallGap" w:color="000000" w:sz="18" w:space="0"/>
            <w:right w:val="thickThinSmallGap" w:color="000000" w:sz="18" w:space="0"/>
            <w:insideH w:val="single" w:color="000000" w:sz="4" w:space="0"/>
            <w:insideV w:val="single" w:color="000000" w:sz="4" w:space="0"/>
          </w:tblBorders>
          <w:tblLayout w:type="fixed"/>
          <w:tblCellMar>
            <w:top w:w="0" w:type="dxa"/>
            <w:left w:w="15" w:type="dxa"/>
            <w:bottom w:w="0" w:type="dxa"/>
            <w:right w:w="15" w:type="dxa"/>
          </w:tblCellMar>
        </w:tblPrEx>
        <w:trPr>
          <w:trHeight w:val="23" w:hRule="atLeast"/>
          <w:jc w:val="center"/>
        </w:trPr>
        <w:tc>
          <w:tcPr>
            <w:tcW w:w="564" w:type="dxa"/>
          </w:tcPr>
          <w:p>
            <w:pPr>
              <w:autoSpaceDN w:val="0"/>
              <w:spacing w:line="300" w:lineRule="auto"/>
              <w:jc w:val="center"/>
              <w:textAlignment w:val="center"/>
              <w:rPr>
                <w:rFonts w:ascii="宋体" w:hAnsi="宋体"/>
                <w:szCs w:val="21"/>
              </w:rPr>
            </w:pPr>
          </w:p>
        </w:tc>
        <w:tc>
          <w:tcPr>
            <w:tcW w:w="978" w:type="dxa"/>
          </w:tcPr>
          <w:p>
            <w:pPr>
              <w:autoSpaceDN w:val="0"/>
              <w:spacing w:line="300" w:lineRule="auto"/>
              <w:jc w:val="center"/>
              <w:textAlignment w:val="center"/>
              <w:rPr>
                <w:rFonts w:ascii="宋体" w:hAnsi="宋体"/>
                <w:szCs w:val="21"/>
              </w:rPr>
            </w:pPr>
          </w:p>
        </w:tc>
        <w:tc>
          <w:tcPr>
            <w:tcW w:w="978" w:type="dxa"/>
            <w:vAlign w:val="center"/>
          </w:tcPr>
          <w:p>
            <w:pPr>
              <w:autoSpaceDN w:val="0"/>
              <w:spacing w:line="300" w:lineRule="auto"/>
              <w:jc w:val="center"/>
              <w:textAlignment w:val="center"/>
              <w:rPr>
                <w:rFonts w:ascii="宋体" w:hAnsi="宋体"/>
                <w:szCs w:val="21"/>
              </w:rPr>
            </w:pPr>
          </w:p>
        </w:tc>
        <w:tc>
          <w:tcPr>
            <w:tcW w:w="978" w:type="dxa"/>
            <w:vAlign w:val="center"/>
          </w:tcPr>
          <w:p>
            <w:pPr>
              <w:autoSpaceDN w:val="0"/>
              <w:spacing w:line="300" w:lineRule="auto"/>
              <w:textAlignment w:val="center"/>
              <w:rPr>
                <w:rFonts w:ascii="宋体" w:hAnsi="宋体"/>
                <w:szCs w:val="21"/>
              </w:rPr>
            </w:pPr>
          </w:p>
        </w:tc>
        <w:tc>
          <w:tcPr>
            <w:tcW w:w="978" w:type="dxa"/>
            <w:vAlign w:val="center"/>
          </w:tcPr>
          <w:p>
            <w:pPr>
              <w:autoSpaceDN w:val="0"/>
              <w:spacing w:line="300" w:lineRule="auto"/>
              <w:textAlignment w:val="center"/>
              <w:rPr>
                <w:rFonts w:ascii="宋体" w:hAnsi="宋体"/>
                <w:szCs w:val="21"/>
              </w:rPr>
            </w:pPr>
          </w:p>
        </w:tc>
        <w:tc>
          <w:tcPr>
            <w:tcW w:w="978" w:type="dxa"/>
            <w:vAlign w:val="center"/>
          </w:tcPr>
          <w:p>
            <w:pPr>
              <w:autoSpaceDN w:val="0"/>
              <w:spacing w:line="300" w:lineRule="auto"/>
              <w:textAlignment w:val="center"/>
              <w:rPr>
                <w:rFonts w:ascii="宋体" w:hAnsi="宋体"/>
                <w:szCs w:val="21"/>
              </w:rPr>
            </w:pPr>
          </w:p>
        </w:tc>
        <w:tc>
          <w:tcPr>
            <w:tcW w:w="978" w:type="dxa"/>
            <w:vAlign w:val="center"/>
          </w:tcPr>
          <w:p>
            <w:pPr>
              <w:autoSpaceDN w:val="0"/>
              <w:spacing w:line="300" w:lineRule="auto"/>
              <w:textAlignment w:val="center"/>
              <w:rPr>
                <w:rFonts w:ascii="宋体" w:hAnsi="宋体"/>
                <w:szCs w:val="21"/>
              </w:rPr>
            </w:pPr>
          </w:p>
        </w:tc>
        <w:tc>
          <w:tcPr>
            <w:tcW w:w="978" w:type="dxa"/>
            <w:vAlign w:val="center"/>
          </w:tcPr>
          <w:p>
            <w:pPr>
              <w:autoSpaceDN w:val="0"/>
              <w:spacing w:line="300" w:lineRule="auto"/>
              <w:textAlignment w:val="center"/>
              <w:rPr>
                <w:rFonts w:ascii="宋体" w:hAnsi="宋体"/>
                <w:szCs w:val="21"/>
              </w:rPr>
            </w:pPr>
          </w:p>
        </w:tc>
        <w:tc>
          <w:tcPr>
            <w:tcW w:w="1306" w:type="dxa"/>
            <w:vAlign w:val="center"/>
          </w:tcPr>
          <w:p>
            <w:pPr>
              <w:autoSpaceDN w:val="0"/>
              <w:spacing w:line="300" w:lineRule="auto"/>
              <w:textAlignment w:val="center"/>
              <w:rPr>
                <w:rFonts w:ascii="宋体" w:hAnsi="宋体"/>
                <w:szCs w:val="21"/>
              </w:rPr>
            </w:pPr>
          </w:p>
        </w:tc>
      </w:tr>
      <w:tr>
        <w:tblPrEx>
          <w:tblBorders>
            <w:top w:val="thickThinSmallGap" w:color="000000" w:sz="18" w:space="0"/>
            <w:left w:val="thickThinSmallGap" w:color="000000" w:sz="18" w:space="0"/>
            <w:bottom w:val="thickThinSmallGap" w:color="000000" w:sz="18" w:space="0"/>
            <w:right w:val="thickThinSmallGap" w:color="000000" w:sz="18" w:space="0"/>
            <w:insideH w:val="single" w:color="000000" w:sz="4" w:space="0"/>
            <w:insideV w:val="single" w:color="000000" w:sz="4" w:space="0"/>
          </w:tblBorders>
          <w:tblLayout w:type="fixed"/>
          <w:tblCellMar>
            <w:top w:w="0" w:type="dxa"/>
            <w:left w:w="15" w:type="dxa"/>
            <w:bottom w:w="0" w:type="dxa"/>
            <w:right w:w="15" w:type="dxa"/>
          </w:tblCellMar>
        </w:tblPrEx>
        <w:trPr>
          <w:trHeight w:val="23" w:hRule="atLeast"/>
          <w:jc w:val="center"/>
        </w:trPr>
        <w:tc>
          <w:tcPr>
            <w:tcW w:w="564" w:type="dxa"/>
          </w:tcPr>
          <w:p>
            <w:pPr>
              <w:autoSpaceDN w:val="0"/>
              <w:spacing w:line="300" w:lineRule="auto"/>
              <w:jc w:val="center"/>
              <w:textAlignment w:val="center"/>
              <w:rPr>
                <w:rFonts w:ascii="宋体" w:hAnsi="宋体"/>
                <w:szCs w:val="21"/>
              </w:rPr>
            </w:pPr>
          </w:p>
        </w:tc>
        <w:tc>
          <w:tcPr>
            <w:tcW w:w="978" w:type="dxa"/>
          </w:tcPr>
          <w:p>
            <w:pPr>
              <w:autoSpaceDN w:val="0"/>
              <w:spacing w:line="300" w:lineRule="auto"/>
              <w:jc w:val="center"/>
              <w:textAlignment w:val="center"/>
              <w:rPr>
                <w:rFonts w:ascii="宋体" w:hAnsi="宋体"/>
                <w:szCs w:val="21"/>
              </w:rPr>
            </w:pPr>
          </w:p>
        </w:tc>
        <w:tc>
          <w:tcPr>
            <w:tcW w:w="978" w:type="dxa"/>
            <w:vAlign w:val="center"/>
          </w:tcPr>
          <w:p>
            <w:pPr>
              <w:autoSpaceDN w:val="0"/>
              <w:spacing w:line="300" w:lineRule="auto"/>
              <w:jc w:val="center"/>
              <w:textAlignment w:val="center"/>
              <w:rPr>
                <w:rFonts w:ascii="宋体" w:hAnsi="宋体"/>
                <w:szCs w:val="21"/>
              </w:rPr>
            </w:pPr>
          </w:p>
        </w:tc>
        <w:tc>
          <w:tcPr>
            <w:tcW w:w="978" w:type="dxa"/>
            <w:vAlign w:val="center"/>
          </w:tcPr>
          <w:p>
            <w:pPr>
              <w:autoSpaceDN w:val="0"/>
              <w:spacing w:line="300" w:lineRule="auto"/>
              <w:textAlignment w:val="center"/>
              <w:rPr>
                <w:rFonts w:ascii="宋体" w:hAnsi="宋体"/>
                <w:szCs w:val="21"/>
              </w:rPr>
            </w:pPr>
          </w:p>
        </w:tc>
        <w:tc>
          <w:tcPr>
            <w:tcW w:w="978" w:type="dxa"/>
            <w:vAlign w:val="center"/>
          </w:tcPr>
          <w:p>
            <w:pPr>
              <w:autoSpaceDN w:val="0"/>
              <w:spacing w:line="300" w:lineRule="auto"/>
              <w:textAlignment w:val="center"/>
              <w:rPr>
                <w:rFonts w:ascii="宋体" w:hAnsi="宋体"/>
                <w:szCs w:val="21"/>
              </w:rPr>
            </w:pPr>
          </w:p>
        </w:tc>
        <w:tc>
          <w:tcPr>
            <w:tcW w:w="978" w:type="dxa"/>
            <w:vAlign w:val="center"/>
          </w:tcPr>
          <w:p>
            <w:pPr>
              <w:autoSpaceDN w:val="0"/>
              <w:spacing w:line="300" w:lineRule="auto"/>
              <w:textAlignment w:val="center"/>
              <w:rPr>
                <w:rFonts w:ascii="宋体" w:hAnsi="宋体"/>
                <w:szCs w:val="21"/>
              </w:rPr>
            </w:pPr>
          </w:p>
        </w:tc>
        <w:tc>
          <w:tcPr>
            <w:tcW w:w="978" w:type="dxa"/>
            <w:vAlign w:val="center"/>
          </w:tcPr>
          <w:p>
            <w:pPr>
              <w:autoSpaceDN w:val="0"/>
              <w:spacing w:line="300" w:lineRule="auto"/>
              <w:textAlignment w:val="center"/>
              <w:rPr>
                <w:rFonts w:ascii="宋体" w:hAnsi="宋体"/>
                <w:szCs w:val="21"/>
              </w:rPr>
            </w:pPr>
          </w:p>
        </w:tc>
        <w:tc>
          <w:tcPr>
            <w:tcW w:w="978" w:type="dxa"/>
            <w:vAlign w:val="center"/>
          </w:tcPr>
          <w:p>
            <w:pPr>
              <w:autoSpaceDN w:val="0"/>
              <w:spacing w:line="300" w:lineRule="auto"/>
              <w:textAlignment w:val="center"/>
              <w:rPr>
                <w:rFonts w:ascii="宋体" w:hAnsi="宋体"/>
                <w:szCs w:val="21"/>
              </w:rPr>
            </w:pPr>
          </w:p>
        </w:tc>
        <w:tc>
          <w:tcPr>
            <w:tcW w:w="1306" w:type="dxa"/>
            <w:vAlign w:val="center"/>
          </w:tcPr>
          <w:p>
            <w:pPr>
              <w:autoSpaceDN w:val="0"/>
              <w:spacing w:line="300" w:lineRule="auto"/>
              <w:textAlignment w:val="center"/>
              <w:rPr>
                <w:rFonts w:ascii="宋体" w:hAnsi="宋体"/>
                <w:szCs w:val="21"/>
              </w:rPr>
            </w:pPr>
          </w:p>
        </w:tc>
      </w:tr>
      <w:tr>
        <w:tblPrEx>
          <w:tblBorders>
            <w:top w:val="thickThinSmallGap" w:color="000000" w:sz="18" w:space="0"/>
            <w:left w:val="thickThinSmallGap" w:color="000000" w:sz="18" w:space="0"/>
            <w:bottom w:val="thickThinSmallGap" w:color="000000" w:sz="18" w:space="0"/>
            <w:right w:val="thickThinSmallGap" w:color="000000" w:sz="18" w:space="0"/>
            <w:insideH w:val="single" w:color="000000" w:sz="4" w:space="0"/>
            <w:insideV w:val="single" w:color="000000" w:sz="4" w:space="0"/>
          </w:tblBorders>
          <w:tblLayout w:type="fixed"/>
          <w:tblCellMar>
            <w:top w:w="0" w:type="dxa"/>
            <w:left w:w="15" w:type="dxa"/>
            <w:bottom w:w="0" w:type="dxa"/>
            <w:right w:w="15" w:type="dxa"/>
          </w:tblCellMar>
        </w:tblPrEx>
        <w:trPr>
          <w:trHeight w:val="23" w:hRule="atLeast"/>
          <w:jc w:val="center"/>
        </w:trPr>
        <w:tc>
          <w:tcPr>
            <w:tcW w:w="564" w:type="dxa"/>
          </w:tcPr>
          <w:p>
            <w:pPr>
              <w:autoSpaceDN w:val="0"/>
              <w:spacing w:line="300" w:lineRule="auto"/>
              <w:jc w:val="center"/>
              <w:textAlignment w:val="center"/>
              <w:rPr>
                <w:rFonts w:ascii="宋体" w:hAnsi="宋体"/>
                <w:szCs w:val="21"/>
              </w:rPr>
            </w:pPr>
          </w:p>
        </w:tc>
        <w:tc>
          <w:tcPr>
            <w:tcW w:w="978" w:type="dxa"/>
          </w:tcPr>
          <w:p>
            <w:pPr>
              <w:autoSpaceDN w:val="0"/>
              <w:spacing w:line="300" w:lineRule="auto"/>
              <w:jc w:val="center"/>
              <w:textAlignment w:val="center"/>
              <w:rPr>
                <w:rFonts w:ascii="宋体" w:hAnsi="宋体"/>
                <w:szCs w:val="21"/>
              </w:rPr>
            </w:pPr>
          </w:p>
        </w:tc>
        <w:tc>
          <w:tcPr>
            <w:tcW w:w="978" w:type="dxa"/>
            <w:vAlign w:val="center"/>
          </w:tcPr>
          <w:p>
            <w:pPr>
              <w:autoSpaceDN w:val="0"/>
              <w:spacing w:line="300" w:lineRule="auto"/>
              <w:jc w:val="center"/>
              <w:textAlignment w:val="center"/>
              <w:rPr>
                <w:rFonts w:ascii="宋体" w:hAnsi="宋体"/>
                <w:szCs w:val="21"/>
              </w:rPr>
            </w:pPr>
          </w:p>
        </w:tc>
        <w:tc>
          <w:tcPr>
            <w:tcW w:w="978" w:type="dxa"/>
            <w:vAlign w:val="center"/>
          </w:tcPr>
          <w:p>
            <w:pPr>
              <w:autoSpaceDN w:val="0"/>
              <w:spacing w:line="300" w:lineRule="auto"/>
              <w:textAlignment w:val="center"/>
              <w:rPr>
                <w:rFonts w:ascii="宋体" w:hAnsi="宋体"/>
                <w:szCs w:val="21"/>
              </w:rPr>
            </w:pPr>
          </w:p>
        </w:tc>
        <w:tc>
          <w:tcPr>
            <w:tcW w:w="978" w:type="dxa"/>
            <w:vAlign w:val="center"/>
          </w:tcPr>
          <w:p>
            <w:pPr>
              <w:autoSpaceDN w:val="0"/>
              <w:spacing w:line="300" w:lineRule="auto"/>
              <w:textAlignment w:val="center"/>
              <w:rPr>
                <w:rFonts w:ascii="宋体" w:hAnsi="宋体"/>
                <w:szCs w:val="21"/>
              </w:rPr>
            </w:pPr>
          </w:p>
        </w:tc>
        <w:tc>
          <w:tcPr>
            <w:tcW w:w="978" w:type="dxa"/>
            <w:vAlign w:val="center"/>
          </w:tcPr>
          <w:p>
            <w:pPr>
              <w:autoSpaceDN w:val="0"/>
              <w:spacing w:line="300" w:lineRule="auto"/>
              <w:textAlignment w:val="center"/>
              <w:rPr>
                <w:rFonts w:ascii="宋体" w:hAnsi="宋体"/>
                <w:szCs w:val="21"/>
              </w:rPr>
            </w:pPr>
          </w:p>
        </w:tc>
        <w:tc>
          <w:tcPr>
            <w:tcW w:w="978" w:type="dxa"/>
            <w:vAlign w:val="center"/>
          </w:tcPr>
          <w:p>
            <w:pPr>
              <w:autoSpaceDN w:val="0"/>
              <w:spacing w:line="300" w:lineRule="auto"/>
              <w:textAlignment w:val="center"/>
              <w:rPr>
                <w:rFonts w:ascii="宋体" w:hAnsi="宋体"/>
                <w:szCs w:val="21"/>
              </w:rPr>
            </w:pPr>
          </w:p>
        </w:tc>
        <w:tc>
          <w:tcPr>
            <w:tcW w:w="978" w:type="dxa"/>
            <w:vAlign w:val="center"/>
          </w:tcPr>
          <w:p>
            <w:pPr>
              <w:autoSpaceDN w:val="0"/>
              <w:spacing w:line="300" w:lineRule="auto"/>
              <w:textAlignment w:val="center"/>
              <w:rPr>
                <w:rFonts w:ascii="宋体" w:hAnsi="宋体"/>
                <w:szCs w:val="21"/>
              </w:rPr>
            </w:pPr>
          </w:p>
        </w:tc>
        <w:tc>
          <w:tcPr>
            <w:tcW w:w="1306" w:type="dxa"/>
            <w:vAlign w:val="center"/>
          </w:tcPr>
          <w:p>
            <w:pPr>
              <w:autoSpaceDN w:val="0"/>
              <w:spacing w:line="300" w:lineRule="auto"/>
              <w:textAlignment w:val="center"/>
              <w:rPr>
                <w:rFonts w:ascii="宋体" w:hAnsi="宋体"/>
                <w:szCs w:val="21"/>
              </w:rPr>
            </w:pPr>
          </w:p>
        </w:tc>
      </w:tr>
      <w:tr>
        <w:tblPrEx>
          <w:tblBorders>
            <w:top w:val="thickThinSmallGap" w:color="000000" w:sz="18" w:space="0"/>
            <w:left w:val="thickThinSmallGap" w:color="000000" w:sz="18" w:space="0"/>
            <w:bottom w:val="thickThinSmallGap" w:color="000000" w:sz="18" w:space="0"/>
            <w:right w:val="thickThinSmallGap" w:color="000000" w:sz="18" w:space="0"/>
            <w:insideH w:val="single" w:color="000000" w:sz="4" w:space="0"/>
            <w:insideV w:val="single" w:color="000000" w:sz="4" w:space="0"/>
          </w:tblBorders>
          <w:tblLayout w:type="fixed"/>
          <w:tblCellMar>
            <w:top w:w="0" w:type="dxa"/>
            <w:left w:w="15" w:type="dxa"/>
            <w:bottom w:w="0" w:type="dxa"/>
            <w:right w:w="15" w:type="dxa"/>
          </w:tblCellMar>
        </w:tblPrEx>
        <w:trPr>
          <w:trHeight w:val="23" w:hRule="atLeast"/>
          <w:jc w:val="center"/>
        </w:trPr>
        <w:tc>
          <w:tcPr>
            <w:tcW w:w="564" w:type="dxa"/>
          </w:tcPr>
          <w:p>
            <w:pPr>
              <w:autoSpaceDN w:val="0"/>
              <w:spacing w:line="300" w:lineRule="auto"/>
              <w:jc w:val="center"/>
              <w:textAlignment w:val="center"/>
              <w:rPr>
                <w:rFonts w:ascii="宋体" w:hAnsi="宋体"/>
                <w:szCs w:val="21"/>
              </w:rPr>
            </w:pPr>
          </w:p>
        </w:tc>
        <w:tc>
          <w:tcPr>
            <w:tcW w:w="978" w:type="dxa"/>
          </w:tcPr>
          <w:p>
            <w:pPr>
              <w:autoSpaceDN w:val="0"/>
              <w:spacing w:line="300" w:lineRule="auto"/>
              <w:jc w:val="center"/>
              <w:textAlignment w:val="center"/>
              <w:rPr>
                <w:rFonts w:ascii="宋体" w:hAnsi="宋体"/>
                <w:szCs w:val="21"/>
              </w:rPr>
            </w:pPr>
          </w:p>
        </w:tc>
        <w:tc>
          <w:tcPr>
            <w:tcW w:w="978" w:type="dxa"/>
            <w:vAlign w:val="center"/>
          </w:tcPr>
          <w:p>
            <w:pPr>
              <w:autoSpaceDN w:val="0"/>
              <w:spacing w:line="300" w:lineRule="auto"/>
              <w:jc w:val="center"/>
              <w:textAlignment w:val="center"/>
              <w:rPr>
                <w:rFonts w:ascii="宋体" w:hAnsi="宋体"/>
                <w:szCs w:val="21"/>
              </w:rPr>
            </w:pPr>
          </w:p>
        </w:tc>
        <w:tc>
          <w:tcPr>
            <w:tcW w:w="978" w:type="dxa"/>
            <w:vAlign w:val="center"/>
          </w:tcPr>
          <w:p>
            <w:pPr>
              <w:autoSpaceDN w:val="0"/>
              <w:spacing w:line="300" w:lineRule="auto"/>
              <w:textAlignment w:val="center"/>
              <w:rPr>
                <w:rFonts w:ascii="宋体" w:hAnsi="宋体"/>
                <w:szCs w:val="21"/>
              </w:rPr>
            </w:pPr>
          </w:p>
        </w:tc>
        <w:tc>
          <w:tcPr>
            <w:tcW w:w="978" w:type="dxa"/>
            <w:vAlign w:val="center"/>
          </w:tcPr>
          <w:p>
            <w:pPr>
              <w:autoSpaceDN w:val="0"/>
              <w:spacing w:line="300" w:lineRule="auto"/>
              <w:textAlignment w:val="center"/>
              <w:rPr>
                <w:rFonts w:ascii="宋体" w:hAnsi="宋体"/>
                <w:szCs w:val="21"/>
              </w:rPr>
            </w:pPr>
          </w:p>
        </w:tc>
        <w:tc>
          <w:tcPr>
            <w:tcW w:w="978" w:type="dxa"/>
            <w:vAlign w:val="center"/>
          </w:tcPr>
          <w:p>
            <w:pPr>
              <w:autoSpaceDN w:val="0"/>
              <w:spacing w:line="300" w:lineRule="auto"/>
              <w:textAlignment w:val="center"/>
              <w:rPr>
                <w:rFonts w:ascii="宋体" w:hAnsi="宋体"/>
                <w:szCs w:val="21"/>
              </w:rPr>
            </w:pPr>
          </w:p>
        </w:tc>
        <w:tc>
          <w:tcPr>
            <w:tcW w:w="978" w:type="dxa"/>
            <w:vAlign w:val="center"/>
          </w:tcPr>
          <w:p>
            <w:pPr>
              <w:autoSpaceDN w:val="0"/>
              <w:spacing w:line="300" w:lineRule="auto"/>
              <w:textAlignment w:val="center"/>
              <w:rPr>
                <w:rFonts w:ascii="宋体" w:hAnsi="宋体"/>
                <w:szCs w:val="21"/>
              </w:rPr>
            </w:pPr>
          </w:p>
        </w:tc>
        <w:tc>
          <w:tcPr>
            <w:tcW w:w="978" w:type="dxa"/>
            <w:vAlign w:val="center"/>
          </w:tcPr>
          <w:p>
            <w:pPr>
              <w:autoSpaceDN w:val="0"/>
              <w:spacing w:line="300" w:lineRule="auto"/>
              <w:textAlignment w:val="center"/>
              <w:rPr>
                <w:rFonts w:ascii="宋体" w:hAnsi="宋体"/>
                <w:szCs w:val="21"/>
              </w:rPr>
            </w:pPr>
          </w:p>
        </w:tc>
        <w:tc>
          <w:tcPr>
            <w:tcW w:w="1306" w:type="dxa"/>
            <w:vAlign w:val="center"/>
          </w:tcPr>
          <w:p>
            <w:pPr>
              <w:autoSpaceDN w:val="0"/>
              <w:spacing w:line="300" w:lineRule="auto"/>
              <w:textAlignment w:val="center"/>
              <w:rPr>
                <w:rFonts w:ascii="宋体" w:hAnsi="宋体"/>
                <w:szCs w:val="21"/>
              </w:rPr>
            </w:pPr>
          </w:p>
        </w:tc>
      </w:tr>
      <w:tr>
        <w:tblPrEx>
          <w:tblBorders>
            <w:top w:val="thickThinSmallGap" w:color="000000" w:sz="18" w:space="0"/>
            <w:left w:val="thickThinSmallGap" w:color="000000" w:sz="18" w:space="0"/>
            <w:bottom w:val="thickThinSmallGap" w:color="000000" w:sz="18" w:space="0"/>
            <w:right w:val="thickThinSmallGap" w:color="000000" w:sz="18" w:space="0"/>
            <w:insideH w:val="single" w:color="000000" w:sz="4" w:space="0"/>
            <w:insideV w:val="single" w:color="000000" w:sz="4" w:space="0"/>
          </w:tblBorders>
          <w:tblLayout w:type="fixed"/>
          <w:tblCellMar>
            <w:top w:w="0" w:type="dxa"/>
            <w:left w:w="15" w:type="dxa"/>
            <w:bottom w:w="0" w:type="dxa"/>
            <w:right w:w="15" w:type="dxa"/>
          </w:tblCellMar>
        </w:tblPrEx>
        <w:trPr>
          <w:trHeight w:val="23" w:hRule="atLeast"/>
          <w:jc w:val="center"/>
        </w:trPr>
        <w:tc>
          <w:tcPr>
            <w:tcW w:w="564" w:type="dxa"/>
          </w:tcPr>
          <w:p>
            <w:pPr>
              <w:autoSpaceDN w:val="0"/>
              <w:spacing w:line="300" w:lineRule="auto"/>
              <w:jc w:val="center"/>
              <w:textAlignment w:val="center"/>
              <w:rPr>
                <w:rFonts w:ascii="宋体" w:hAnsi="宋体"/>
                <w:szCs w:val="21"/>
              </w:rPr>
            </w:pPr>
          </w:p>
        </w:tc>
        <w:tc>
          <w:tcPr>
            <w:tcW w:w="978" w:type="dxa"/>
          </w:tcPr>
          <w:p>
            <w:pPr>
              <w:autoSpaceDN w:val="0"/>
              <w:spacing w:line="300" w:lineRule="auto"/>
              <w:jc w:val="center"/>
              <w:textAlignment w:val="center"/>
              <w:rPr>
                <w:rFonts w:ascii="宋体" w:hAnsi="宋体"/>
                <w:szCs w:val="21"/>
              </w:rPr>
            </w:pPr>
          </w:p>
        </w:tc>
        <w:tc>
          <w:tcPr>
            <w:tcW w:w="978" w:type="dxa"/>
            <w:vAlign w:val="center"/>
          </w:tcPr>
          <w:p>
            <w:pPr>
              <w:autoSpaceDN w:val="0"/>
              <w:spacing w:line="300" w:lineRule="auto"/>
              <w:jc w:val="center"/>
              <w:textAlignment w:val="center"/>
              <w:rPr>
                <w:rFonts w:ascii="宋体" w:hAnsi="宋体"/>
                <w:szCs w:val="21"/>
              </w:rPr>
            </w:pPr>
          </w:p>
        </w:tc>
        <w:tc>
          <w:tcPr>
            <w:tcW w:w="978" w:type="dxa"/>
            <w:vAlign w:val="center"/>
          </w:tcPr>
          <w:p>
            <w:pPr>
              <w:autoSpaceDN w:val="0"/>
              <w:spacing w:line="300" w:lineRule="auto"/>
              <w:textAlignment w:val="center"/>
              <w:rPr>
                <w:rFonts w:ascii="宋体" w:hAnsi="宋体"/>
                <w:szCs w:val="21"/>
              </w:rPr>
            </w:pPr>
          </w:p>
        </w:tc>
        <w:tc>
          <w:tcPr>
            <w:tcW w:w="978" w:type="dxa"/>
            <w:vAlign w:val="center"/>
          </w:tcPr>
          <w:p>
            <w:pPr>
              <w:autoSpaceDN w:val="0"/>
              <w:spacing w:line="300" w:lineRule="auto"/>
              <w:textAlignment w:val="center"/>
              <w:rPr>
                <w:rFonts w:ascii="宋体" w:hAnsi="宋体"/>
                <w:szCs w:val="21"/>
              </w:rPr>
            </w:pPr>
          </w:p>
        </w:tc>
        <w:tc>
          <w:tcPr>
            <w:tcW w:w="978" w:type="dxa"/>
            <w:vAlign w:val="center"/>
          </w:tcPr>
          <w:p>
            <w:pPr>
              <w:autoSpaceDN w:val="0"/>
              <w:spacing w:line="300" w:lineRule="auto"/>
              <w:textAlignment w:val="center"/>
              <w:rPr>
                <w:rFonts w:ascii="宋体" w:hAnsi="宋体"/>
                <w:szCs w:val="21"/>
              </w:rPr>
            </w:pPr>
          </w:p>
        </w:tc>
        <w:tc>
          <w:tcPr>
            <w:tcW w:w="978" w:type="dxa"/>
            <w:vAlign w:val="center"/>
          </w:tcPr>
          <w:p>
            <w:pPr>
              <w:autoSpaceDN w:val="0"/>
              <w:spacing w:line="300" w:lineRule="auto"/>
              <w:textAlignment w:val="center"/>
              <w:rPr>
                <w:rFonts w:ascii="宋体" w:hAnsi="宋体"/>
                <w:szCs w:val="21"/>
              </w:rPr>
            </w:pPr>
          </w:p>
        </w:tc>
        <w:tc>
          <w:tcPr>
            <w:tcW w:w="978" w:type="dxa"/>
            <w:vAlign w:val="center"/>
          </w:tcPr>
          <w:p>
            <w:pPr>
              <w:autoSpaceDN w:val="0"/>
              <w:spacing w:line="300" w:lineRule="auto"/>
              <w:textAlignment w:val="center"/>
              <w:rPr>
                <w:rFonts w:ascii="宋体" w:hAnsi="宋体"/>
                <w:szCs w:val="21"/>
              </w:rPr>
            </w:pPr>
          </w:p>
        </w:tc>
        <w:tc>
          <w:tcPr>
            <w:tcW w:w="1306" w:type="dxa"/>
            <w:vAlign w:val="center"/>
          </w:tcPr>
          <w:p>
            <w:pPr>
              <w:autoSpaceDN w:val="0"/>
              <w:spacing w:line="300" w:lineRule="auto"/>
              <w:textAlignment w:val="center"/>
              <w:rPr>
                <w:rFonts w:ascii="宋体" w:hAnsi="宋体"/>
                <w:szCs w:val="21"/>
              </w:rPr>
            </w:pPr>
          </w:p>
        </w:tc>
      </w:tr>
      <w:tr>
        <w:tblPrEx>
          <w:tblBorders>
            <w:top w:val="thickThinSmallGap" w:color="000000" w:sz="18" w:space="0"/>
            <w:left w:val="thickThinSmallGap" w:color="000000" w:sz="18" w:space="0"/>
            <w:bottom w:val="thickThinSmallGap" w:color="000000" w:sz="18" w:space="0"/>
            <w:right w:val="thickThinSmallGap" w:color="000000" w:sz="18" w:space="0"/>
            <w:insideH w:val="single" w:color="000000" w:sz="4" w:space="0"/>
            <w:insideV w:val="single" w:color="000000" w:sz="4" w:space="0"/>
          </w:tblBorders>
          <w:tblLayout w:type="fixed"/>
          <w:tblCellMar>
            <w:top w:w="0" w:type="dxa"/>
            <w:left w:w="15" w:type="dxa"/>
            <w:bottom w:w="0" w:type="dxa"/>
            <w:right w:w="15" w:type="dxa"/>
          </w:tblCellMar>
        </w:tblPrEx>
        <w:trPr>
          <w:trHeight w:val="70" w:hRule="atLeast"/>
          <w:jc w:val="center"/>
        </w:trPr>
        <w:tc>
          <w:tcPr>
            <w:tcW w:w="564" w:type="dxa"/>
          </w:tcPr>
          <w:p>
            <w:pPr>
              <w:autoSpaceDN w:val="0"/>
              <w:spacing w:line="300" w:lineRule="auto"/>
              <w:jc w:val="center"/>
              <w:textAlignment w:val="center"/>
              <w:rPr>
                <w:rFonts w:ascii="宋体" w:hAnsi="宋体"/>
                <w:szCs w:val="21"/>
              </w:rPr>
            </w:pPr>
          </w:p>
        </w:tc>
        <w:tc>
          <w:tcPr>
            <w:tcW w:w="978" w:type="dxa"/>
          </w:tcPr>
          <w:p>
            <w:pPr>
              <w:autoSpaceDN w:val="0"/>
              <w:spacing w:line="300" w:lineRule="auto"/>
              <w:jc w:val="center"/>
              <w:textAlignment w:val="center"/>
              <w:rPr>
                <w:rFonts w:ascii="宋体" w:hAnsi="宋体"/>
                <w:szCs w:val="21"/>
              </w:rPr>
            </w:pPr>
          </w:p>
        </w:tc>
        <w:tc>
          <w:tcPr>
            <w:tcW w:w="978" w:type="dxa"/>
            <w:vAlign w:val="center"/>
          </w:tcPr>
          <w:p>
            <w:pPr>
              <w:autoSpaceDN w:val="0"/>
              <w:spacing w:line="300" w:lineRule="auto"/>
              <w:jc w:val="center"/>
              <w:textAlignment w:val="center"/>
              <w:rPr>
                <w:rFonts w:ascii="宋体" w:hAnsi="宋体"/>
                <w:szCs w:val="21"/>
              </w:rPr>
            </w:pPr>
          </w:p>
        </w:tc>
        <w:tc>
          <w:tcPr>
            <w:tcW w:w="978" w:type="dxa"/>
            <w:vAlign w:val="center"/>
          </w:tcPr>
          <w:p>
            <w:pPr>
              <w:autoSpaceDN w:val="0"/>
              <w:spacing w:line="300" w:lineRule="auto"/>
              <w:textAlignment w:val="center"/>
              <w:rPr>
                <w:rFonts w:ascii="宋体" w:hAnsi="宋体"/>
                <w:szCs w:val="21"/>
              </w:rPr>
            </w:pPr>
          </w:p>
        </w:tc>
        <w:tc>
          <w:tcPr>
            <w:tcW w:w="978" w:type="dxa"/>
            <w:vAlign w:val="center"/>
          </w:tcPr>
          <w:p>
            <w:pPr>
              <w:autoSpaceDN w:val="0"/>
              <w:spacing w:line="300" w:lineRule="auto"/>
              <w:textAlignment w:val="center"/>
              <w:rPr>
                <w:rFonts w:ascii="宋体" w:hAnsi="宋体"/>
                <w:szCs w:val="21"/>
              </w:rPr>
            </w:pPr>
          </w:p>
        </w:tc>
        <w:tc>
          <w:tcPr>
            <w:tcW w:w="978" w:type="dxa"/>
            <w:vAlign w:val="center"/>
          </w:tcPr>
          <w:p>
            <w:pPr>
              <w:autoSpaceDN w:val="0"/>
              <w:spacing w:line="300" w:lineRule="auto"/>
              <w:textAlignment w:val="center"/>
              <w:rPr>
                <w:rFonts w:ascii="宋体" w:hAnsi="宋体"/>
                <w:szCs w:val="21"/>
              </w:rPr>
            </w:pPr>
          </w:p>
        </w:tc>
        <w:tc>
          <w:tcPr>
            <w:tcW w:w="978" w:type="dxa"/>
            <w:vAlign w:val="center"/>
          </w:tcPr>
          <w:p>
            <w:pPr>
              <w:autoSpaceDN w:val="0"/>
              <w:spacing w:line="300" w:lineRule="auto"/>
              <w:textAlignment w:val="center"/>
              <w:rPr>
                <w:rFonts w:ascii="宋体" w:hAnsi="宋体"/>
                <w:szCs w:val="21"/>
              </w:rPr>
            </w:pPr>
          </w:p>
        </w:tc>
        <w:tc>
          <w:tcPr>
            <w:tcW w:w="978" w:type="dxa"/>
            <w:vAlign w:val="center"/>
          </w:tcPr>
          <w:p>
            <w:pPr>
              <w:autoSpaceDN w:val="0"/>
              <w:spacing w:line="300" w:lineRule="auto"/>
              <w:textAlignment w:val="center"/>
              <w:rPr>
                <w:rFonts w:ascii="宋体" w:hAnsi="宋体"/>
                <w:szCs w:val="21"/>
              </w:rPr>
            </w:pPr>
          </w:p>
        </w:tc>
        <w:tc>
          <w:tcPr>
            <w:tcW w:w="1306" w:type="dxa"/>
            <w:vAlign w:val="center"/>
          </w:tcPr>
          <w:p>
            <w:pPr>
              <w:autoSpaceDN w:val="0"/>
              <w:spacing w:line="300" w:lineRule="auto"/>
              <w:textAlignment w:val="center"/>
              <w:rPr>
                <w:rFonts w:ascii="宋体" w:hAnsi="宋体"/>
                <w:szCs w:val="21"/>
              </w:rPr>
            </w:pPr>
          </w:p>
        </w:tc>
      </w:tr>
      <w:tr>
        <w:tblPrEx>
          <w:tblBorders>
            <w:top w:val="thickThinSmallGap" w:color="000000" w:sz="18" w:space="0"/>
            <w:left w:val="thickThinSmallGap" w:color="000000" w:sz="18" w:space="0"/>
            <w:bottom w:val="thickThinSmallGap" w:color="000000" w:sz="18" w:space="0"/>
            <w:right w:val="thickThinSmallGap" w:color="000000" w:sz="18" w:space="0"/>
            <w:insideH w:val="single" w:color="000000" w:sz="4" w:space="0"/>
            <w:insideV w:val="single" w:color="000000" w:sz="4" w:space="0"/>
          </w:tblBorders>
          <w:tblLayout w:type="fixed"/>
          <w:tblCellMar>
            <w:top w:w="0" w:type="dxa"/>
            <w:left w:w="15" w:type="dxa"/>
            <w:bottom w:w="0" w:type="dxa"/>
            <w:right w:w="15" w:type="dxa"/>
          </w:tblCellMar>
        </w:tblPrEx>
        <w:trPr>
          <w:trHeight w:val="23" w:hRule="atLeast"/>
          <w:jc w:val="center"/>
        </w:trPr>
        <w:tc>
          <w:tcPr>
            <w:tcW w:w="564" w:type="dxa"/>
          </w:tcPr>
          <w:p>
            <w:pPr>
              <w:autoSpaceDN w:val="0"/>
              <w:spacing w:line="300" w:lineRule="auto"/>
              <w:jc w:val="center"/>
              <w:textAlignment w:val="center"/>
              <w:rPr>
                <w:rFonts w:ascii="宋体" w:hAnsi="宋体"/>
                <w:szCs w:val="21"/>
              </w:rPr>
            </w:pPr>
          </w:p>
        </w:tc>
        <w:tc>
          <w:tcPr>
            <w:tcW w:w="978" w:type="dxa"/>
          </w:tcPr>
          <w:p>
            <w:pPr>
              <w:autoSpaceDN w:val="0"/>
              <w:spacing w:line="300" w:lineRule="auto"/>
              <w:jc w:val="center"/>
              <w:textAlignment w:val="center"/>
              <w:rPr>
                <w:rFonts w:ascii="宋体" w:hAnsi="宋体"/>
                <w:szCs w:val="21"/>
              </w:rPr>
            </w:pPr>
          </w:p>
        </w:tc>
        <w:tc>
          <w:tcPr>
            <w:tcW w:w="978" w:type="dxa"/>
            <w:vAlign w:val="center"/>
          </w:tcPr>
          <w:p>
            <w:pPr>
              <w:autoSpaceDN w:val="0"/>
              <w:spacing w:line="300" w:lineRule="auto"/>
              <w:jc w:val="center"/>
              <w:textAlignment w:val="center"/>
              <w:rPr>
                <w:rFonts w:ascii="宋体" w:hAnsi="宋体"/>
                <w:szCs w:val="21"/>
              </w:rPr>
            </w:pPr>
          </w:p>
        </w:tc>
        <w:tc>
          <w:tcPr>
            <w:tcW w:w="978" w:type="dxa"/>
            <w:vAlign w:val="center"/>
          </w:tcPr>
          <w:p>
            <w:pPr>
              <w:autoSpaceDN w:val="0"/>
              <w:spacing w:line="300" w:lineRule="auto"/>
              <w:textAlignment w:val="center"/>
              <w:rPr>
                <w:rFonts w:ascii="宋体" w:hAnsi="宋体"/>
                <w:szCs w:val="21"/>
              </w:rPr>
            </w:pPr>
          </w:p>
        </w:tc>
        <w:tc>
          <w:tcPr>
            <w:tcW w:w="978" w:type="dxa"/>
            <w:vAlign w:val="center"/>
          </w:tcPr>
          <w:p>
            <w:pPr>
              <w:autoSpaceDN w:val="0"/>
              <w:spacing w:line="300" w:lineRule="auto"/>
              <w:textAlignment w:val="center"/>
              <w:rPr>
                <w:rFonts w:ascii="宋体" w:hAnsi="宋体"/>
                <w:szCs w:val="21"/>
              </w:rPr>
            </w:pPr>
          </w:p>
        </w:tc>
        <w:tc>
          <w:tcPr>
            <w:tcW w:w="978" w:type="dxa"/>
            <w:vAlign w:val="center"/>
          </w:tcPr>
          <w:p>
            <w:pPr>
              <w:autoSpaceDN w:val="0"/>
              <w:spacing w:line="300" w:lineRule="auto"/>
              <w:textAlignment w:val="center"/>
              <w:rPr>
                <w:rFonts w:ascii="宋体" w:hAnsi="宋体"/>
                <w:szCs w:val="21"/>
              </w:rPr>
            </w:pPr>
          </w:p>
        </w:tc>
        <w:tc>
          <w:tcPr>
            <w:tcW w:w="978" w:type="dxa"/>
            <w:vAlign w:val="center"/>
          </w:tcPr>
          <w:p>
            <w:pPr>
              <w:autoSpaceDN w:val="0"/>
              <w:spacing w:line="300" w:lineRule="auto"/>
              <w:textAlignment w:val="center"/>
              <w:rPr>
                <w:rFonts w:ascii="宋体" w:hAnsi="宋体"/>
                <w:szCs w:val="21"/>
              </w:rPr>
            </w:pPr>
          </w:p>
        </w:tc>
        <w:tc>
          <w:tcPr>
            <w:tcW w:w="978" w:type="dxa"/>
            <w:vAlign w:val="center"/>
          </w:tcPr>
          <w:p>
            <w:pPr>
              <w:autoSpaceDN w:val="0"/>
              <w:spacing w:line="300" w:lineRule="auto"/>
              <w:textAlignment w:val="center"/>
              <w:rPr>
                <w:rFonts w:ascii="宋体" w:hAnsi="宋体"/>
                <w:szCs w:val="21"/>
              </w:rPr>
            </w:pPr>
          </w:p>
        </w:tc>
        <w:tc>
          <w:tcPr>
            <w:tcW w:w="1306" w:type="dxa"/>
            <w:vAlign w:val="center"/>
          </w:tcPr>
          <w:p>
            <w:pPr>
              <w:autoSpaceDN w:val="0"/>
              <w:spacing w:line="300" w:lineRule="auto"/>
              <w:textAlignment w:val="center"/>
              <w:rPr>
                <w:rFonts w:ascii="宋体" w:hAnsi="宋体"/>
                <w:szCs w:val="21"/>
              </w:rPr>
            </w:pPr>
          </w:p>
        </w:tc>
      </w:tr>
    </w:tbl>
    <w:p>
      <w:pPr>
        <w:snapToGrid w:val="0"/>
        <w:spacing w:line="360" w:lineRule="auto"/>
        <w:jc w:val="center"/>
        <w:rPr>
          <w:rFonts w:ascii="宋体" w:hAnsi="宋体"/>
          <w:b/>
          <w:bCs/>
          <w:sz w:val="28"/>
          <w:szCs w:val="21"/>
        </w:rPr>
      </w:pPr>
    </w:p>
    <w:p>
      <w:pPr>
        <w:snapToGrid w:val="0"/>
        <w:spacing w:line="360" w:lineRule="auto"/>
        <w:rPr>
          <w:rFonts w:ascii="宋体" w:hAnsi="宋体"/>
          <w:b/>
          <w:bCs/>
          <w:sz w:val="28"/>
          <w:szCs w:val="21"/>
        </w:rPr>
      </w:pPr>
    </w:p>
    <w:p>
      <w:pPr>
        <w:snapToGrid w:val="0"/>
        <w:spacing w:line="300" w:lineRule="auto"/>
        <w:rPr>
          <w:rFonts w:ascii="宋体" w:hAnsi="宋体"/>
          <w:b/>
          <w:bCs/>
          <w:sz w:val="28"/>
          <w:szCs w:val="21"/>
        </w:rPr>
      </w:pPr>
      <w:r>
        <w:rPr>
          <w:rFonts w:hint="eastAsia" w:ascii="宋体" w:hAnsi="宋体"/>
          <w:b/>
          <w:bCs/>
          <w:sz w:val="28"/>
          <w:szCs w:val="21"/>
        </w:rPr>
        <w:t>附件2：技术参数（</w:t>
      </w:r>
      <w:r>
        <w:rPr>
          <w:rFonts w:hint="eastAsia" w:ascii="宋体" w:hAnsi="宋体"/>
          <w:b/>
          <w:bCs/>
          <w:szCs w:val="21"/>
        </w:rPr>
        <w:t>合同书中其他部分与本附件不一致的以本附件为准</w:t>
      </w:r>
      <w:r>
        <w:rPr>
          <w:rFonts w:hint="eastAsia" w:ascii="宋体" w:hAnsi="宋体"/>
          <w:b/>
          <w:bCs/>
          <w:sz w:val="28"/>
          <w:szCs w:val="21"/>
        </w:rPr>
        <w:t>）</w:t>
      </w:r>
    </w:p>
    <w:tbl>
      <w:tblPr>
        <w:tblStyle w:val="23"/>
        <w:tblW w:w="8856" w:type="dxa"/>
        <w:tblInd w:w="0" w:type="dxa"/>
        <w:tblBorders>
          <w:top w:val="thinThickSmallGap" w:color="auto" w:sz="18" w:space="0"/>
          <w:left w:val="thinThickSmallGap" w:color="auto" w:sz="18" w:space="0"/>
          <w:bottom w:val="thickThinSmallGap" w:color="auto" w:sz="18" w:space="0"/>
          <w:right w:val="thickThinSmallGap"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632"/>
        <w:gridCol w:w="1095"/>
        <w:gridCol w:w="7129"/>
      </w:tblGrid>
      <w:tr>
        <w:tblPrEx>
          <w:tblBorders>
            <w:top w:val="thinThickSmallGap" w:color="auto" w:sz="18" w:space="0"/>
            <w:left w:val="thinThickSmallGap" w:color="auto" w:sz="18" w:space="0"/>
            <w:bottom w:val="thickThinSmallGap" w:color="auto" w:sz="18" w:space="0"/>
            <w:right w:val="thickThinSmallGap"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32" w:type="dxa"/>
            <w:vAlign w:val="center"/>
          </w:tcPr>
          <w:p>
            <w:pPr>
              <w:spacing w:line="360" w:lineRule="auto"/>
              <w:jc w:val="center"/>
              <w:rPr>
                <w:rFonts w:ascii="宋体" w:hAnsi="宋体"/>
                <w:b/>
                <w:bCs/>
              </w:rPr>
            </w:pPr>
            <w:r>
              <w:rPr>
                <w:rFonts w:hint="eastAsia" w:ascii="宋体" w:hAnsi="宋体"/>
                <w:b/>
                <w:bCs/>
              </w:rPr>
              <w:t>序号</w:t>
            </w:r>
          </w:p>
        </w:tc>
        <w:tc>
          <w:tcPr>
            <w:tcW w:w="1095" w:type="dxa"/>
            <w:vAlign w:val="center"/>
          </w:tcPr>
          <w:p>
            <w:pPr>
              <w:jc w:val="center"/>
              <w:rPr>
                <w:rFonts w:ascii="宋体" w:hAnsi="宋体"/>
                <w:b/>
                <w:bCs/>
              </w:rPr>
            </w:pPr>
            <w:r>
              <w:rPr>
                <w:rFonts w:hint="eastAsia" w:ascii="宋体" w:hAnsi="宋体"/>
                <w:b/>
                <w:bCs/>
              </w:rPr>
              <w:t>货物名称</w:t>
            </w:r>
          </w:p>
        </w:tc>
        <w:tc>
          <w:tcPr>
            <w:tcW w:w="7129" w:type="dxa"/>
            <w:vAlign w:val="center"/>
          </w:tcPr>
          <w:p>
            <w:pPr>
              <w:spacing w:line="360" w:lineRule="auto"/>
              <w:jc w:val="center"/>
              <w:rPr>
                <w:rFonts w:ascii="宋体" w:hAnsi="宋体"/>
                <w:b/>
                <w:bCs/>
              </w:rPr>
            </w:pPr>
            <w:r>
              <w:rPr>
                <w:rFonts w:hint="eastAsia" w:ascii="宋体" w:hAnsi="宋体"/>
                <w:b/>
                <w:bCs/>
                <w:sz w:val="28"/>
                <w:szCs w:val="21"/>
              </w:rPr>
              <w:t>技术参数</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632" w:type="dxa"/>
            <w:vAlign w:val="center"/>
          </w:tcPr>
          <w:p>
            <w:pPr>
              <w:jc w:val="center"/>
              <w:rPr>
                <w:rFonts w:ascii="宋体" w:hAnsi="宋体"/>
              </w:rPr>
            </w:pPr>
            <w:r>
              <w:rPr>
                <w:rFonts w:hint="eastAsia" w:ascii="宋体" w:hAnsi="宋体"/>
              </w:rPr>
              <w:t>1</w:t>
            </w:r>
          </w:p>
        </w:tc>
        <w:tc>
          <w:tcPr>
            <w:tcW w:w="1095" w:type="dxa"/>
            <w:vAlign w:val="center"/>
          </w:tcPr>
          <w:p>
            <w:pPr>
              <w:spacing w:line="300" w:lineRule="auto"/>
              <w:jc w:val="center"/>
              <w:rPr>
                <w:rFonts w:ascii="宋体" w:hAnsi="宋体" w:cs="宋体"/>
                <w:szCs w:val="21"/>
              </w:rPr>
            </w:pPr>
          </w:p>
        </w:tc>
        <w:tc>
          <w:tcPr>
            <w:tcW w:w="7129" w:type="dxa"/>
            <w:vAlign w:val="center"/>
          </w:tcPr>
          <w:p>
            <w:pPr>
              <w:spacing w:line="300" w:lineRule="auto"/>
              <w:ind w:left="588" w:hanging="588" w:hangingChars="245"/>
              <w:rPr>
                <w:rFonts w:ascii="宋体" w:hAnsi="宋体"/>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632" w:type="dxa"/>
            <w:vAlign w:val="center"/>
          </w:tcPr>
          <w:p>
            <w:pPr>
              <w:jc w:val="center"/>
              <w:rPr>
                <w:rFonts w:ascii="宋体" w:hAnsi="宋体"/>
              </w:rPr>
            </w:pPr>
            <w:r>
              <w:rPr>
                <w:rFonts w:hint="eastAsia" w:ascii="宋体" w:hAnsi="宋体"/>
              </w:rPr>
              <w:t>2</w:t>
            </w:r>
          </w:p>
        </w:tc>
        <w:tc>
          <w:tcPr>
            <w:tcW w:w="1095" w:type="dxa"/>
            <w:vAlign w:val="center"/>
          </w:tcPr>
          <w:p>
            <w:pPr>
              <w:spacing w:line="300" w:lineRule="auto"/>
              <w:jc w:val="center"/>
              <w:rPr>
                <w:rFonts w:ascii="宋体" w:hAnsi="宋体" w:cs="宋体"/>
                <w:szCs w:val="21"/>
              </w:rPr>
            </w:pPr>
          </w:p>
        </w:tc>
        <w:tc>
          <w:tcPr>
            <w:tcW w:w="7129" w:type="dxa"/>
            <w:vAlign w:val="center"/>
          </w:tcPr>
          <w:p>
            <w:pPr>
              <w:spacing w:line="300" w:lineRule="auto"/>
              <w:ind w:left="588" w:hanging="588" w:hangingChars="245"/>
              <w:rPr>
                <w:rFonts w:ascii="宋体" w:hAnsi="宋体"/>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632" w:type="dxa"/>
            <w:vAlign w:val="center"/>
          </w:tcPr>
          <w:p>
            <w:pPr>
              <w:jc w:val="center"/>
              <w:rPr>
                <w:rFonts w:ascii="宋体" w:hAnsi="宋体"/>
              </w:rPr>
            </w:pPr>
            <w:r>
              <w:rPr>
                <w:rFonts w:hint="eastAsia" w:ascii="宋体" w:hAnsi="宋体"/>
              </w:rPr>
              <w:t>3</w:t>
            </w:r>
          </w:p>
        </w:tc>
        <w:tc>
          <w:tcPr>
            <w:tcW w:w="1095" w:type="dxa"/>
            <w:vAlign w:val="center"/>
          </w:tcPr>
          <w:p>
            <w:pPr>
              <w:spacing w:line="300" w:lineRule="auto"/>
              <w:jc w:val="center"/>
              <w:rPr>
                <w:rFonts w:ascii="宋体" w:hAnsi="宋体" w:cs="宋体"/>
                <w:szCs w:val="21"/>
              </w:rPr>
            </w:pPr>
          </w:p>
        </w:tc>
        <w:tc>
          <w:tcPr>
            <w:tcW w:w="7129" w:type="dxa"/>
            <w:vAlign w:val="center"/>
          </w:tcPr>
          <w:p>
            <w:pPr>
              <w:spacing w:line="300" w:lineRule="auto"/>
              <w:ind w:left="588" w:hanging="588" w:hangingChars="245"/>
              <w:rPr>
                <w:rFonts w:ascii="宋体" w:hAnsi="宋体"/>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632" w:type="dxa"/>
            <w:vAlign w:val="center"/>
          </w:tcPr>
          <w:p>
            <w:pPr>
              <w:jc w:val="center"/>
              <w:rPr>
                <w:rFonts w:ascii="宋体" w:hAnsi="宋体"/>
              </w:rPr>
            </w:pPr>
            <w:r>
              <w:rPr>
                <w:rFonts w:hint="eastAsia" w:ascii="宋体" w:hAnsi="宋体"/>
              </w:rPr>
              <w:t>4</w:t>
            </w:r>
          </w:p>
        </w:tc>
        <w:tc>
          <w:tcPr>
            <w:tcW w:w="1095" w:type="dxa"/>
            <w:vAlign w:val="center"/>
          </w:tcPr>
          <w:p>
            <w:pPr>
              <w:spacing w:line="300" w:lineRule="auto"/>
              <w:jc w:val="center"/>
              <w:rPr>
                <w:rFonts w:ascii="宋体" w:hAnsi="宋体" w:cs="宋体"/>
                <w:szCs w:val="21"/>
              </w:rPr>
            </w:pPr>
          </w:p>
        </w:tc>
        <w:tc>
          <w:tcPr>
            <w:tcW w:w="7129" w:type="dxa"/>
            <w:vAlign w:val="center"/>
          </w:tcPr>
          <w:p>
            <w:pPr>
              <w:spacing w:line="300" w:lineRule="auto"/>
              <w:ind w:left="588" w:hanging="588" w:hangingChars="245"/>
              <w:rPr>
                <w:rFonts w:ascii="宋体" w:hAnsi="宋体"/>
              </w:rPr>
            </w:pPr>
          </w:p>
        </w:tc>
      </w:tr>
    </w:tbl>
    <w:p>
      <w:pPr>
        <w:snapToGrid w:val="0"/>
        <w:spacing w:line="360" w:lineRule="auto"/>
      </w:pPr>
    </w:p>
    <w:p>
      <w:pPr>
        <w:snapToGrid w:val="0"/>
        <w:spacing w:line="360" w:lineRule="auto"/>
      </w:pPr>
    </w:p>
    <w:p>
      <w:pPr>
        <w:spacing w:line="360" w:lineRule="auto"/>
        <w:rPr>
          <w:rFonts w:ascii="宋体" w:hAnsi="宋体"/>
          <w:b/>
          <w:bCs/>
          <w:sz w:val="28"/>
          <w:szCs w:val="21"/>
        </w:rPr>
      </w:pPr>
      <w:r>
        <w:rPr>
          <w:rFonts w:hint="eastAsia" w:ascii="宋体" w:hAnsi="宋体"/>
          <w:b/>
          <w:bCs/>
          <w:sz w:val="28"/>
          <w:szCs w:val="21"/>
        </w:rPr>
        <w:t>附件3：中标通知书复印件</w:t>
      </w:r>
    </w:p>
    <w:p>
      <w:pPr>
        <w:spacing w:line="360" w:lineRule="auto"/>
        <w:rPr>
          <w:rFonts w:ascii="宋体" w:hAnsi="宋体"/>
          <w:b/>
          <w:bCs/>
          <w:sz w:val="28"/>
          <w:szCs w:val="21"/>
        </w:rPr>
      </w:pPr>
    </w:p>
    <w:p>
      <w:pPr>
        <w:spacing w:line="360" w:lineRule="auto"/>
        <w:rPr>
          <w:rFonts w:ascii="宋体" w:hAnsi="宋体"/>
          <w:b/>
          <w:bCs/>
          <w:sz w:val="28"/>
          <w:szCs w:val="21"/>
        </w:rPr>
      </w:pPr>
    </w:p>
    <w:p>
      <w:pPr>
        <w:widowControl/>
        <w:adjustRightInd/>
        <w:spacing w:line="240" w:lineRule="auto"/>
        <w:textAlignment w:val="auto"/>
        <w:rPr>
          <w:rFonts w:ascii="宋体" w:hAnsi="宋体"/>
          <w:b/>
          <w:bCs/>
          <w:sz w:val="36"/>
          <w:szCs w:val="36"/>
        </w:rPr>
      </w:pPr>
      <w:r>
        <w:rPr>
          <w:rFonts w:hint="eastAsia" w:ascii="宋体" w:hAnsi="宋体"/>
          <w:b/>
          <w:bCs/>
          <w:sz w:val="28"/>
          <w:szCs w:val="21"/>
        </w:rPr>
        <w:t>附件4：履约保证金转账凭证复印件（以保函形式提交保证金的，须同时提交保函原件）</w:t>
      </w:r>
    </w:p>
    <w:p>
      <w:pPr>
        <w:spacing w:line="480" w:lineRule="auto"/>
        <w:jc w:val="center"/>
        <w:rPr>
          <w:rFonts w:ascii="宋体" w:hAnsi="宋体"/>
          <w:b/>
          <w:bCs/>
          <w:sz w:val="36"/>
          <w:szCs w:val="36"/>
        </w:rPr>
      </w:pPr>
    </w:p>
    <w:p>
      <w:pPr>
        <w:spacing w:line="480" w:lineRule="auto"/>
        <w:jc w:val="center"/>
        <w:rPr>
          <w:rFonts w:ascii="宋体" w:hAnsi="宋体"/>
          <w:b/>
          <w:bCs/>
          <w:sz w:val="36"/>
          <w:szCs w:val="36"/>
        </w:rPr>
      </w:pPr>
    </w:p>
    <w:p>
      <w:pPr>
        <w:spacing w:line="480" w:lineRule="auto"/>
        <w:jc w:val="center"/>
        <w:rPr>
          <w:rFonts w:ascii="宋体" w:hAnsi="宋体"/>
          <w:b/>
          <w:bCs/>
          <w:sz w:val="32"/>
          <w:szCs w:val="32"/>
        </w:rPr>
      </w:pPr>
    </w:p>
    <w:p>
      <w:pPr>
        <w:spacing w:line="480" w:lineRule="auto"/>
        <w:jc w:val="center"/>
        <w:rPr>
          <w:rFonts w:ascii="宋体" w:hAnsi="宋体"/>
          <w:b/>
          <w:bCs/>
          <w:sz w:val="32"/>
          <w:szCs w:val="32"/>
        </w:rPr>
      </w:pPr>
    </w:p>
    <w:p>
      <w:pPr>
        <w:spacing w:line="480" w:lineRule="auto"/>
        <w:jc w:val="center"/>
        <w:rPr>
          <w:rFonts w:ascii="宋体" w:hAnsi="宋体"/>
          <w:b/>
          <w:bCs/>
          <w:sz w:val="32"/>
          <w:szCs w:val="32"/>
        </w:rPr>
      </w:pPr>
    </w:p>
    <w:p>
      <w:pPr>
        <w:spacing w:line="480" w:lineRule="auto"/>
        <w:jc w:val="center"/>
        <w:rPr>
          <w:rFonts w:ascii="宋体" w:hAnsi="宋体"/>
          <w:b/>
          <w:bCs/>
          <w:sz w:val="32"/>
          <w:szCs w:val="32"/>
        </w:rPr>
      </w:pPr>
    </w:p>
    <w:p>
      <w:pPr>
        <w:spacing w:line="480" w:lineRule="auto"/>
        <w:jc w:val="center"/>
        <w:rPr>
          <w:rFonts w:ascii="宋体" w:hAnsi="宋体"/>
          <w:b/>
          <w:bCs/>
          <w:sz w:val="32"/>
          <w:szCs w:val="32"/>
        </w:rPr>
      </w:pPr>
    </w:p>
    <w:p>
      <w:pPr>
        <w:spacing w:line="480" w:lineRule="auto"/>
        <w:jc w:val="center"/>
        <w:rPr>
          <w:rFonts w:ascii="宋体" w:hAnsi="宋体"/>
          <w:b/>
          <w:bCs/>
          <w:sz w:val="32"/>
          <w:szCs w:val="32"/>
        </w:rPr>
      </w:pPr>
      <w:r>
        <w:rPr>
          <w:rFonts w:ascii="宋体" w:hAnsi="宋体"/>
          <w:b/>
          <w:bCs/>
          <w:sz w:val="32"/>
          <w:szCs w:val="32"/>
        </w:rPr>
        <w:t>第八章</w:t>
      </w:r>
    </w:p>
    <w:p>
      <w:pPr>
        <w:spacing w:line="500" w:lineRule="atLeast"/>
        <w:jc w:val="center"/>
        <w:rPr>
          <w:rFonts w:ascii="宋体" w:hAnsi="宋体"/>
          <w:spacing w:val="20"/>
          <w:sz w:val="32"/>
          <w:szCs w:val="32"/>
        </w:rPr>
      </w:pPr>
      <w:r>
        <w:rPr>
          <w:rFonts w:ascii="宋体" w:hAnsi="宋体"/>
          <w:b/>
          <w:bCs/>
          <w:sz w:val="32"/>
          <w:szCs w:val="32"/>
        </w:rPr>
        <w:t>货物需求一览表、技术规格及商务要求</w:t>
      </w:r>
    </w:p>
    <w:p>
      <w:pPr>
        <w:spacing w:line="500" w:lineRule="atLeast"/>
        <w:jc w:val="center"/>
        <w:rPr>
          <w:rFonts w:ascii="宋体" w:hAnsi="宋体"/>
          <w:spacing w:val="20"/>
          <w:sz w:val="28"/>
          <w:szCs w:val="28"/>
        </w:rPr>
      </w:pPr>
      <w:r>
        <w:rPr>
          <w:rFonts w:ascii="宋体" w:hAnsi="宋体"/>
          <w:spacing w:val="20"/>
          <w:sz w:val="28"/>
          <w:szCs w:val="28"/>
        </w:rPr>
        <w:t>（招标文件其他部分与本章不一致的要求以本章为准）</w:t>
      </w:r>
    </w:p>
    <w:p>
      <w:pPr>
        <w:jc w:val="center"/>
        <w:rPr>
          <w:rFonts w:ascii="宋体" w:hAnsi="宋体"/>
          <w:spacing w:val="20"/>
          <w:sz w:val="30"/>
          <w:szCs w:val="30"/>
        </w:rPr>
      </w:pPr>
    </w:p>
    <w:p>
      <w:pPr>
        <w:jc w:val="center"/>
        <w:rPr>
          <w:rFonts w:ascii="宋体" w:hAnsi="宋体"/>
          <w:spacing w:val="20"/>
          <w:sz w:val="30"/>
          <w:szCs w:val="30"/>
        </w:rPr>
      </w:pPr>
    </w:p>
    <w:p>
      <w:pPr>
        <w:jc w:val="center"/>
        <w:rPr>
          <w:rFonts w:ascii="宋体" w:hAnsi="宋体"/>
          <w:spacing w:val="20"/>
          <w:sz w:val="30"/>
          <w:szCs w:val="30"/>
        </w:rPr>
      </w:pPr>
    </w:p>
    <w:p>
      <w:pPr>
        <w:jc w:val="center"/>
        <w:rPr>
          <w:rFonts w:ascii="宋体" w:hAnsi="宋体"/>
          <w:spacing w:val="20"/>
          <w:sz w:val="30"/>
          <w:szCs w:val="30"/>
        </w:rPr>
      </w:pPr>
    </w:p>
    <w:p>
      <w:pPr>
        <w:jc w:val="center"/>
        <w:rPr>
          <w:rFonts w:ascii="宋体" w:hAnsi="宋体"/>
          <w:spacing w:val="20"/>
          <w:sz w:val="30"/>
          <w:szCs w:val="30"/>
        </w:rPr>
      </w:pPr>
    </w:p>
    <w:p>
      <w:pPr>
        <w:jc w:val="center"/>
        <w:rPr>
          <w:rFonts w:ascii="宋体" w:hAnsi="宋体"/>
          <w:spacing w:val="20"/>
          <w:sz w:val="30"/>
          <w:szCs w:val="30"/>
        </w:rPr>
      </w:pPr>
    </w:p>
    <w:p>
      <w:pPr>
        <w:jc w:val="center"/>
        <w:rPr>
          <w:rFonts w:ascii="宋体" w:hAnsi="宋体"/>
          <w:spacing w:val="20"/>
          <w:sz w:val="30"/>
          <w:szCs w:val="30"/>
        </w:rPr>
      </w:pPr>
    </w:p>
    <w:p>
      <w:pPr>
        <w:jc w:val="center"/>
        <w:rPr>
          <w:rFonts w:ascii="宋体" w:hAnsi="宋体"/>
          <w:spacing w:val="20"/>
          <w:sz w:val="30"/>
          <w:szCs w:val="30"/>
        </w:rPr>
      </w:pPr>
    </w:p>
    <w:p>
      <w:pPr>
        <w:jc w:val="center"/>
        <w:rPr>
          <w:rFonts w:ascii="宋体" w:hAnsi="宋体"/>
          <w:spacing w:val="20"/>
          <w:sz w:val="30"/>
          <w:szCs w:val="30"/>
        </w:rPr>
      </w:pPr>
    </w:p>
    <w:p>
      <w:pPr>
        <w:jc w:val="center"/>
        <w:rPr>
          <w:rFonts w:ascii="宋体" w:hAnsi="宋体"/>
          <w:spacing w:val="20"/>
          <w:sz w:val="30"/>
          <w:szCs w:val="30"/>
        </w:rPr>
      </w:pPr>
    </w:p>
    <w:p>
      <w:pPr>
        <w:jc w:val="center"/>
        <w:rPr>
          <w:rFonts w:ascii="宋体" w:hAnsi="宋体"/>
          <w:spacing w:val="20"/>
          <w:sz w:val="30"/>
          <w:szCs w:val="30"/>
        </w:rPr>
      </w:pPr>
    </w:p>
    <w:p>
      <w:pPr>
        <w:jc w:val="center"/>
        <w:rPr>
          <w:rFonts w:ascii="宋体" w:hAnsi="宋体"/>
          <w:spacing w:val="20"/>
          <w:sz w:val="30"/>
          <w:szCs w:val="30"/>
        </w:rPr>
      </w:pPr>
    </w:p>
    <w:p>
      <w:pPr>
        <w:jc w:val="center"/>
        <w:rPr>
          <w:rFonts w:ascii="宋体" w:hAnsi="宋体"/>
          <w:spacing w:val="20"/>
          <w:sz w:val="30"/>
          <w:szCs w:val="30"/>
        </w:rPr>
      </w:pPr>
    </w:p>
    <w:p>
      <w:pPr>
        <w:jc w:val="center"/>
        <w:rPr>
          <w:rFonts w:ascii="宋体" w:hAnsi="宋体"/>
          <w:spacing w:val="20"/>
          <w:sz w:val="30"/>
          <w:szCs w:val="30"/>
        </w:rPr>
      </w:pPr>
    </w:p>
    <w:p>
      <w:pPr>
        <w:jc w:val="center"/>
        <w:rPr>
          <w:rFonts w:ascii="宋体" w:hAnsi="宋体"/>
          <w:spacing w:val="20"/>
          <w:sz w:val="30"/>
          <w:szCs w:val="30"/>
        </w:rPr>
      </w:pPr>
    </w:p>
    <w:p>
      <w:pPr>
        <w:jc w:val="center"/>
        <w:rPr>
          <w:rFonts w:ascii="宋体" w:hAnsi="宋体"/>
          <w:spacing w:val="20"/>
          <w:sz w:val="30"/>
          <w:szCs w:val="30"/>
        </w:rPr>
      </w:pPr>
    </w:p>
    <w:p>
      <w:pPr>
        <w:jc w:val="center"/>
        <w:rPr>
          <w:rFonts w:ascii="宋体" w:hAnsi="宋体"/>
          <w:spacing w:val="20"/>
          <w:sz w:val="30"/>
          <w:szCs w:val="30"/>
        </w:rPr>
      </w:pPr>
    </w:p>
    <w:p>
      <w:pPr>
        <w:jc w:val="center"/>
        <w:rPr>
          <w:rFonts w:ascii="宋体" w:hAnsi="宋体"/>
          <w:spacing w:val="20"/>
          <w:sz w:val="30"/>
          <w:szCs w:val="30"/>
        </w:rPr>
      </w:pPr>
    </w:p>
    <w:p>
      <w:pPr>
        <w:jc w:val="center"/>
        <w:rPr>
          <w:rFonts w:ascii="宋体" w:hAnsi="宋体"/>
          <w:spacing w:val="20"/>
          <w:sz w:val="30"/>
          <w:szCs w:val="30"/>
        </w:rPr>
      </w:pPr>
    </w:p>
    <w:p>
      <w:pPr>
        <w:jc w:val="center"/>
        <w:rPr>
          <w:rFonts w:ascii="宋体" w:hAnsi="宋体"/>
          <w:spacing w:val="20"/>
          <w:sz w:val="30"/>
          <w:szCs w:val="30"/>
        </w:rPr>
      </w:pPr>
    </w:p>
    <w:p>
      <w:pPr>
        <w:spacing w:line="360" w:lineRule="auto"/>
        <w:rPr>
          <w:rFonts w:ascii="宋体" w:hAnsi="宋体"/>
          <w:b/>
          <w:bCs/>
          <w:sz w:val="28"/>
          <w:szCs w:val="28"/>
        </w:rPr>
      </w:pPr>
    </w:p>
    <w:p>
      <w:pPr>
        <w:spacing w:line="360" w:lineRule="auto"/>
        <w:jc w:val="center"/>
        <w:rPr>
          <w:rFonts w:ascii="宋体" w:hAnsi="宋体"/>
          <w:b/>
          <w:bCs/>
          <w:sz w:val="28"/>
          <w:szCs w:val="28"/>
        </w:rPr>
      </w:pPr>
      <w:r>
        <w:rPr>
          <w:rFonts w:ascii="宋体" w:hAnsi="宋体"/>
          <w:b/>
          <w:bCs/>
          <w:sz w:val="28"/>
          <w:szCs w:val="28"/>
        </w:rPr>
        <w:t>总体要求</w:t>
      </w:r>
    </w:p>
    <w:p>
      <w:pPr>
        <w:spacing w:line="360" w:lineRule="auto"/>
        <w:ind w:left="210" w:hanging="210" w:hangingChars="100"/>
        <w:rPr>
          <w:rFonts w:ascii="宋体" w:hAnsi="宋体"/>
          <w:sz w:val="21"/>
          <w:szCs w:val="21"/>
        </w:rPr>
      </w:pPr>
    </w:p>
    <w:p>
      <w:pPr>
        <w:spacing w:line="360" w:lineRule="auto"/>
        <w:ind w:firstLine="420" w:firstLineChars="200"/>
        <w:rPr>
          <w:rFonts w:ascii="宋体" w:hAnsi="宋体"/>
          <w:sz w:val="21"/>
          <w:szCs w:val="21"/>
        </w:rPr>
      </w:pPr>
      <w:r>
        <w:rPr>
          <w:rFonts w:ascii="宋体" w:hAnsi="宋体"/>
          <w:sz w:val="21"/>
          <w:szCs w:val="21"/>
        </w:rPr>
        <w:t>1、投标人可以对一个子包投标，也可以对多个子包投标，但子包是投标的最小单位，投标人必须对子包内所有设备、备品备件、专用工具和伴随服务投标，并对该子包提交投标分项报价表。</w:t>
      </w:r>
    </w:p>
    <w:p>
      <w:pPr>
        <w:spacing w:line="360" w:lineRule="auto"/>
        <w:ind w:firstLine="422" w:firstLineChars="200"/>
        <w:rPr>
          <w:rFonts w:ascii="宋体" w:hAnsi="宋体"/>
          <w:b/>
          <w:bCs/>
          <w:sz w:val="21"/>
          <w:szCs w:val="21"/>
        </w:rPr>
      </w:pPr>
      <w:r>
        <w:rPr>
          <w:rFonts w:ascii="宋体" w:hAnsi="宋体"/>
          <w:b/>
          <w:bCs/>
          <w:sz w:val="21"/>
          <w:szCs w:val="21"/>
        </w:rPr>
        <w:t>2、本项目不接受不平衡报价投标，若投标报价明显低于其成本或者明显高于市场价的，投标人必须作出书面说明，若评标委员会不认可其书面说明的可认定其为不平衡报价投标，其投标将被否决。</w:t>
      </w:r>
    </w:p>
    <w:p>
      <w:pPr>
        <w:spacing w:line="360" w:lineRule="auto"/>
        <w:ind w:firstLine="420" w:firstLineChars="200"/>
        <w:rPr>
          <w:rFonts w:ascii="宋体" w:hAnsi="宋体"/>
          <w:sz w:val="21"/>
          <w:szCs w:val="21"/>
        </w:rPr>
      </w:pPr>
      <w:r>
        <w:rPr>
          <w:rFonts w:ascii="宋体" w:hAnsi="宋体"/>
          <w:sz w:val="21"/>
          <w:szCs w:val="21"/>
        </w:rPr>
        <w:t>3、本项目为包运送、包安装、包验收的总包工程，投标人必须达到有关技术指标、技术要求，投标总报价包括完成本项目的成本、利润、运费、税金等全部费用。</w:t>
      </w:r>
    </w:p>
    <w:p>
      <w:pPr>
        <w:spacing w:line="360" w:lineRule="auto"/>
        <w:ind w:firstLine="420" w:firstLineChars="200"/>
        <w:rPr>
          <w:rFonts w:ascii="宋体" w:hAnsi="宋体"/>
          <w:sz w:val="21"/>
          <w:szCs w:val="21"/>
        </w:rPr>
      </w:pPr>
      <w:r>
        <w:rPr>
          <w:rFonts w:ascii="宋体" w:hAnsi="宋体"/>
          <w:sz w:val="21"/>
          <w:szCs w:val="21"/>
        </w:rPr>
        <w:t>4、投标方提供的物品必须是全新，表面无划伤、无碰撞的。投标方应保证提供的货物是符合本技术标书和国家、国际最新的有关标准、规范的优质产品。若有异议，不管是多么微小，都应在投标文件“技术偏离”中予以详细说明。</w:t>
      </w:r>
    </w:p>
    <w:p>
      <w:pPr>
        <w:spacing w:line="360" w:lineRule="auto"/>
        <w:ind w:firstLine="420" w:firstLineChars="200"/>
        <w:rPr>
          <w:rFonts w:ascii="宋体" w:hAnsi="宋体"/>
          <w:sz w:val="21"/>
          <w:szCs w:val="21"/>
        </w:rPr>
      </w:pPr>
      <w:r>
        <w:rPr>
          <w:rFonts w:ascii="宋体" w:hAnsi="宋体"/>
          <w:sz w:val="21"/>
          <w:szCs w:val="21"/>
        </w:rPr>
        <w:t>5、本技术要求所使用的标准、规范等，如与投标方所执行的标准、规范不一致时，应按高于本技术要求所列的标准、规范执行，并在投标文件“技术偏离”中予以说明。</w:t>
      </w:r>
    </w:p>
    <w:p>
      <w:pPr>
        <w:spacing w:line="360" w:lineRule="auto"/>
        <w:ind w:firstLine="420" w:firstLineChars="200"/>
        <w:rPr>
          <w:rFonts w:ascii="宋体" w:hAnsi="宋体"/>
          <w:sz w:val="21"/>
          <w:szCs w:val="21"/>
        </w:rPr>
      </w:pPr>
      <w:r>
        <w:rPr>
          <w:rFonts w:ascii="宋体" w:hAnsi="宋体"/>
          <w:sz w:val="21"/>
          <w:szCs w:val="21"/>
        </w:rPr>
        <w:t>6、投标方认为所供货物必须由招标方配备、解决或提供的其它要求，均应在投标文件“技术偏离”中予以充分说明。</w:t>
      </w:r>
    </w:p>
    <w:p>
      <w:pPr>
        <w:spacing w:line="360" w:lineRule="auto"/>
        <w:ind w:firstLine="420" w:firstLineChars="200"/>
        <w:rPr>
          <w:rFonts w:ascii="宋体" w:hAnsi="宋体"/>
          <w:sz w:val="21"/>
          <w:szCs w:val="21"/>
        </w:rPr>
      </w:pPr>
      <w:r>
        <w:rPr>
          <w:rFonts w:ascii="宋体" w:hAnsi="宋体"/>
          <w:sz w:val="21"/>
          <w:szCs w:val="21"/>
        </w:rPr>
        <w:t>7、投标人必须对每一项投标设备如实、完整地填写设备的品牌型号、制造商的全称和地址、设备生产国地址，不得遗漏。所有信息将输入中国国际招标网。如果是在中国境外生产的货物（需要进关的），必须填写境外的生产制造地址；而不能填写该国外制造商在国内或香港的代表处、分支机构。如有错漏，将导致货物无法进关或无法申报免税手续，一切后果由投标人自行负责。</w:t>
      </w:r>
    </w:p>
    <w:p>
      <w:pPr>
        <w:spacing w:line="360" w:lineRule="auto"/>
        <w:ind w:firstLine="422" w:firstLineChars="200"/>
        <w:rPr>
          <w:rFonts w:ascii="宋体" w:hAnsi="宋体"/>
          <w:b/>
          <w:bCs/>
          <w:sz w:val="21"/>
          <w:szCs w:val="21"/>
          <w:u w:val="single"/>
        </w:rPr>
      </w:pPr>
      <w:r>
        <w:rPr>
          <w:rFonts w:ascii="宋体" w:hAnsi="宋体"/>
          <w:b/>
          <w:bCs/>
          <w:sz w:val="21"/>
          <w:szCs w:val="21"/>
          <w:u w:val="single"/>
        </w:rPr>
        <w:t>*8、投标人必须提供本项目投标人授权代表在投标单位最近六个月的社保缴纳证明。</w:t>
      </w:r>
    </w:p>
    <w:p>
      <w:pPr>
        <w:spacing w:line="360" w:lineRule="auto"/>
        <w:ind w:firstLine="422" w:firstLineChars="200"/>
        <w:rPr>
          <w:rFonts w:ascii="宋体" w:hAnsi="宋体"/>
          <w:b/>
          <w:bCs/>
          <w:sz w:val="21"/>
          <w:szCs w:val="21"/>
          <w:u w:val="single"/>
        </w:rPr>
      </w:pPr>
      <w:r>
        <w:rPr>
          <w:rFonts w:ascii="宋体" w:hAnsi="宋体"/>
          <w:b/>
          <w:bCs/>
          <w:sz w:val="21"/>
          <w:szCs w:val="21"/>
          <w:u w:val="single"/>
        </w:rPr>
        <w:t>*9、投标人保证货物供应商完全履行投标人与招标人签署的协议应履行的权利、义务和责任，否则承担货物供应商给招标人所产生的一切责任和经济损失。（承诺函格式详见附件10）</w:t>
      </w:r>
    </w:p>
    <w:p>
      <w:pPr>
        <w:spacing w:line="360" w:lineRule="auto"/>
        <w:ind w:firstLine="422" w:firstLineChars="200"/>
        <w:rPr>
          <w:rFonts w:ascii="宋体" w:hAnsi="宋体"/>
          <w:b/>
          <w:bCs/>
          <w:sz w:val="21"/>
          <w:szCs w:val="21"/>
        </w:rPr>
      </w:pPr>
    </w:p>
    <w:p>
      <w:pPr>
        <w:spacing w:line="360" w:lineRule="auto"/>
        <w:ind w:left="360" w:hanging="360" w:hangingChars="150"/>
        <w:rPr>
          <w:rFonts w:ascii="宋体" w:hAnsi="宋体"/>
        </w:rPr>
      </w:pPr>
    </w:p>
    <w:p>
      <w:pPr>
        <w:spacing w:line="360" w:lineRule="auto"/>
        <w:jc w:val="center"/>
        <w:rPr>
          <w:rFonts w:ascii="宋体" w:hAnsi="宋体"/>
          <w:b/>
          <w:bCs/>
          <w:sz w:val="44"/>
          <w:szCs w:val="44"/>
        </w:rPr>
      </w:pPr>
      <w:r>
        <w:rPr>
          <w:rFonts w:ascii="宋体" w:hAnsi="宋体"/>
          <w:b/>
          <w:bCs/>
          <w:sz w:val="44"/>
          <w:szCs w:val="44"/>
        </w:rPr>
        <w:br w:type="page"/>
      </w:r>
    </w:p>
    <w:p>
      <w:pPr>
        <w:spacing w:line="360" w:lineRule="auto"/>
        <w:jc w:val="center"/>
        <w:rPr>
          <w:rFonts w:ascii="宋体" w:hAnsi="宋体"/>
          <w:b/>
          <w:bCs/>
          <w:sz w:val="28"/>
          <w:szCs w:val="28"/>
        </w:rPr>
      </w:pPr>
      <w:r>
        <w:rPr>
          <w:rFonts w:hint="eastAsia" w:ascii="宋体" w:hAnsi="宋体"/>
          <w:b/>
          <w:bCs/>
          <w:sz w:val="28"/>
          <w:szCs w:val="28"/>
        </w:rPr>
        <w:t>货物需求一览表</w:t>
      </w:r>
    </w:p>
    <w:p>
      <w:pPr>
        <w:spacing w:line="360" w:lineRule="auto"/>
        <w:jc w:val="center"/>
        <w:rPr>
          <w:rFonts w:ascii="宋体" w:hAnsi="宋体"/>
          <w:b/>
          <w:bCs/>
          <w:sz w:val="28"/>
          <w:szCs w:val="28"/>
        </w:rPr>
      </w:pPr>
      <w:r>
        <w:rPr>
          <w:rFonts w:hint="eastAsia" w:ascii="宋体" w:hAnsi="宋体"/>
          <w:b/>
          <w:bCs/>
          <w:sz w:val="28"/>
          <w:szCs w:val="28"/>
        </w:rPr>
        <w:t>子包一货物需求一览表</w:t>
      </w:r>
    </w:p>
    <w:tbl>
      <w:tblPr>
        <w:tblStyle w:val="23"/>
        <w:tblW w:w="8300" w:type="dxa"/>
        <w:jc w:val="center"/>
        <w:tblInd w:w="0" w:type="dxa"/>
        <w:tblLayout w:type="fixed"/>
        <w:tblCellMar>
          <w:top w:w="0" w:type="dxa"/>
          <w:left w:w="108" w:type="dxa"/>
          <w:bottom w:w="0" w:type="dxa"/>
          <w:right w:w="108" w:type="dxa"/>
        </w:tblCellMar>
      </w:tblPr>
      <w:tblGrid>
        <w:gridCol w:w="1106"/>
        <w:gridCol w:w="3822"/>
        <w:gridCol w:w="1509"/>
        <w:gridCol w:w="1863"/>
      </w:tblGrid>
      <w:tr>
        <w:tblPrEx>
          <w:tblLayout w:type="fixed"/>
          <w:tblCellMar>
            <w:top w:w="0" w:type="dxa"/>
            <w:left w:w="108" w:type="dxa"/>
            <w:bottom w:w="0" w:type="dxa"/>
            <w:right w:w="108" w:type="dxa"/>
          </w:tblCellMar>
        </w:tblPrEx>
        <w:trPr>
          <w:trHeight w:val="587" w:hRule="atLeast"/>
          <w:jc w:val="center"/>
        </w:trPr>
        <w:tc>
          <w:tcPr>
            <w:tcW w:w="110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1"/>
                <w:szCs w:val="21"/>
              </w:rPr>
            </w:pPr>
            <w:r>
              <w:rPr>
                <w:rFonts w:hint="eastAsia" w:ascii="宋体" w:hAnsi="宋体"/>
                <w:b/>
                <w:bCs/>
              </w:rPr>
              <w:t>序号</w:t>
            </w:r>
          </w:p>
        </w:tc>
        <w:tc>
          <w:tcPr>
            <w:tcW w:w="382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1"/>
                <w:szCs w:val="21"/>
              </w:rPr>
            </w:pPr>
            <w:r>
              <w:rPr>
                <w:rFonts w:hint="eastAsia" w:ascii="宋体" w:hAnsi="宋体"/>
                <w:b/>
                <w:bCs/>
              </w:rPr>
              <w:t>设备名称</w:t>
            </w:r>
          </w:p>
        </w:tc>
        <w:tc>
          <w:tcPr>
            <w:tcW w:w="15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1"/>
                <w:szCs w:val="21"/>
              </w:rPr>
            </w:pPr>
            <w:r>
              <w:rPr>
                <w:rFonts w:hint="eastAsia" w:ascii="宋体" w:hAnsi="宋体"/>
                <w:b/>
                <w:bCs/>
              </w:rPr>
              <w:t>数量</w:t>
            </w:r>
          </w:p>
        </w:tc>
        <w:tc>
          <w:tcPr>
            <w:tcW w:w="1863" w:type="dxa"/>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b/>
                <w:bCs/>
              </w:rPr>
            </w:pPr>
            <w:r>
              <w:rPr>
                <w:rFonts w:hint="eastAsia" w:ascii="宋体" w:hAnsi="宋体"/>
                <w:b/>
                <w:bCs/>
              </w:rPr>
              <w:t>最高限价</w:t>
            </w:r>
          </w:p>
        </w:tc>
      </w:tr>
      <w:tr>
        <w:tblPrEx>
          <w:tblLayout w:type="fixed"/>
          <w:tblCellMar>
            <w:top w:w="0" w:type="dxa"/>
            <w:left w:w="108" w:type="dxa"/>
            <w:bottom w:w="0" w:type="dxa"/>
            <w:right w:w="108" w:type="dxa"/>
          </w:tblCellMar>
        </w:tblPrEx>
        <w:trPr>
          <w:trHeight w:val="70" w:hRule="atLeast"/>
          <w:jc w:val="center"/>
        </w:trPr>
        <w:tc>
          <w:tcPr>
            <w:tcW w:w="110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1"/>
                <w:szCs w:val="21"/>
              </w:rPr>
            </w:pPr>
            <w:r>
              <w:rPr>
                <w:rFonts w:hint="eastAsia" w:ascii="宋体" w:hAnsi="宋体" w:cs="宋体"/>
                <w:sz w:val="21"/>
                <w:szCs w:val="21"/>
              </w:rPr>
              <w:t>1</w:t>
            </w:r>
          </w:p>
        </w:tc>
        <w:tc>
          <w:tcPr>
            <w:tcW w:w="3822" w:type="dxa"/>
            <w:tcBorders>
              <w:top w:val="single" w:color="auto" w:sz="4" w:space="0"/>
              <w:left w:val="nil"/>
              <w:bottom w:val="single" w:color="auto" w:sz="4" w:space="0"/>
              <w:right w:val="single" w:color="auto" w:sz="4" w:space="0"/>
            </w:tcBorders>
            <w:vAlign w:val="bottom"/>
          </w:tcPr>
          <w:p>
            <w:pPr>
              <w:snapToGrid w:val="0"/>
              <w:spacing w:line="360" w:lineRule="auto"/>
              <w:jc w:val="center"/>
              <w:rPr>
                <w:rFonts w:ascii="宋体" w:hAnsi="宋体" w:cs="宋体"/>
                <w:sz w:val="21"/>
                <w:szCs w:val="21"/>
              </w:rPr>
            </w:pPr>
            <w:r>
              <w:rPr>
                <w:rFonts w:hint="eastAsia" w:ascii="宋体" w:hAnsi="宋体" w:cs="宋体"/>
                <w:sz w:val="21"/>
                <w:szCs w:val="21"/>
              </w:rPr>
              <w:t>超高效液相色谱仪</w:t>
            </w:r>
          </w:p>
        </w:tc>
        <w:tc>
          <w:tcPr>
            <w:tcW w:w="1509"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hAnsi="宋体" w:cs="宋体"/>
                <w:sz w:val="21"/>
                <w:szCs w:val="21"/>
              </w:rPr>
            </w:pPr>
            <w:r>
              <w:rPr>
                <w:rFonts w:hint="eastAsia" w:ascii="宋体" w:hAnsi="宋体" w:cs="宋体"/>
                <w:sz w:val="21"/>
                <w:szCs w:val="21"/>
              </w:rPr>
              <w:t>1台</w:t>
            </w:r>
          </w:p>
        </w:tc>
        <w:tc>
          <w:tcPr>
            <w:tcW w:w="1863"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hAnsi="宋体" w:cs="宋体"/>
                <w:sz w:val="21"/>
                <w:szCs w:val="21"/>
              </w:rPr>
            </w:pPr>
            <w:r>
              <w:rPr>
                <w:rFonts w:hint="eastAsia" w:ascii="宋体" w:hAnsi="宋体" w:cs="宋体"/>
                <w:sz w:val="21"/>
                <w:szCs w:val="21"/>
              </w:rPr>
              <w:t>人民币70万元</w:t>
            </w:r>
          </w:p>
        </w:tc>
      </w:tr>
      <w:tr>
        <w:tblPrEx>
          <w:tblLayout w:type="fixed"/>
          <w:tblCellMar>
            <w:top w:w="0" w:type="dxa"/>
            <w:left w:w="108" w:type="dxa"/>
            <w:bottom w:w="0" w:type="dxa"/>
            <w:right w:w="108" w:type="dxa"/>
          </w:tblCellMar>
        </w:tblPrEx>
        <w:trPr>
          <w:trHeight w:val="70" w:hRule="atLeast"/>
          <w:jc w:val="center"/>
        </w:trPr>
        <w:tc>
          <w:tcPr>
            <w:tcW w:w="110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1"/>
                <w:szCs w:val="21"/>
              </w:rPr>
            </w:pPr>
            <w:r>
              <w:rPr>
                <w:rFonts w:hint="eastAsia" w:ascii="宋体" w:hAnsi="宋体" w:cs="宋体"/>
                <w:sz w:val="21"/>
                <w:szCs w:val="21"/>
              </w:rPr>
              <w:t>2</w:t>
            </w:r>
          </w:p>
        </w:tc>
        <w:tc>
          <w:tcPr>
            <w:tcW w:w="3822" w:type="dxa"/>
            <w:tcBorders>
              <w:top w:val="single" w:color="auto" w:sz="4" w:space="0"/>
              <w:left w:val="nil"/>
              <w:bottom w:val="single" w:color="auto" w:sz="4" w:space="0"/>
              <w:right w:val="single" w:color="auto" w:sz="4" w:space="0"/>
            </w:tcBorders>
            <w:vAlign w:val="bottom"/>
          </w:tcPr>
          <w:p>
            <w:pPr>
              <w:snapToGrid w:val="0"/>
              <w:spacing w:line="360" w:lineRule="auto"/>
              <w:jc w:val="center"/>
              <w:rPr>
                <w:rFonts w:ascii="宋体" w:hAnsi="宋体" w:cs="宋体"/>
                <w:sz w:val="21"/>
                <w:szCs w:val="21"/>
              </w:rPr>
            </w:pPr>
            <w:r>
              <w:rPr>
                <w:rFonts w:hint="eastAsia" w:ascii="宋体" w:hAnsi="宋体" w:cs="宋体"/>
                <w:sz w:val="21"/>
                <w:szCs w:val="21"/>
              </w:rPr>
              <w:t>制备型高效液相色谱仪</w:t>
            </w:r>
          </w:p>
        </w:tc>
        <w:tc>
          <w:tcPr>
            <w:tcW w:w="1509"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hAnsi="宋体" w:cs="宋体"/>
                <w:sz w:val="21"/>
                <w:szCs w:val="21"/>
              </w:rPr>
            </w:pPr>
            <w:r>
              <w:rPr>
                <w:rFonts w:hint="eastAsia" w:ascii="宋体" w:hAnsi="宋体" w:cs="宋体"/>
                <w:sz w:val="21"/>
                <w:szCs w:val="21"/>
              </w:rPr>
              <w:t>1台</w:t>
            </w:r>
          </w:p>
        </w:tc>
        <w:tc>
          <w:tcPr>
            <w:tcW w:w="1863"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hAnsi="宋体" w:cs="宋体"/>
                <w:sz w:val="21"/>
                <w:szCs w:val="21"/>
              </w:rPr>
            </w:pPr>
            <w:r>
              <w:rPr>
                <w:rFonts w:hint="eastAsia" w:ascii="宋体" w:hAnsi="宋体" w:cs="宋体"/>
                <w:sz w:val="21"/>
                <w:szCs w:val="21"/>
              </w:rPr>
              <w:t>人民币30万元</w:t>
            </w:r>
          </w:p>
        </w:tc>
      </w:tr>
    </w:tbl>
    <w:p>
      <w:pPr>
        <w:spacing w:line="360" w:lineRule="auto"/>
        <w:jc w:val="center"/>
        <w:rPr>
          <w:rFonts w:ascii="宋体" w:hAnsi="宋体"/>
          <w:b/>
          <w:bCs/>
          <w:sz w:val="28"/>
          <w:szCs w:val="28"/>
        </w:rPr>
      </w:pPr>
    </w:p>
    <w:p>
      <w:pPr>
        <w:spacing w:line="360" w:lineRule="auto"/>
        <w:jc w:val="center"/>
        <w:rPr>
          <w:rFonts w:ascii="宋体" w:hAnsi="宋体"/>
          <w:b/>
          <w:bCs/>
          <w:sz w:val="28"/>
          <w:szCs w:val="28"/>
        </w:rPr>
      </w:pPr>
      <w:r>
        <w:rPr>
          <w:rFonts w:hint="eastAsia" w:ascii="宋体" w:hAnsi="宋体"/>
          <w:b/>
          <w:bCs/>
          <w:sz w:val="28"/>
          <w:szCs w:val="28"/>
        </w:rPr>
        <w:br w:type="page"/>
      </w:r>
      <w:r>
        <w:rPr>
          <w:rFonts w:hint="eastAsia" w:ascii="宋体" w:hAnsi="宋体"/>
          <w:b/>
          <w:bCs/>
          <w:sz w:val="28"/>
          <w:szCs w:val="28"/>
        </w:rPr>
        <w:t>子包一技术规格</w:t>
      </w:r>
    </w:p>
    <w:tbl>
      <w:tblPr>
        <w:tblStyle w:val="23"/>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307"/>
        <w:gridCol w:w="802"/>
        <w:gridCol w:w="5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8" w:type="dxa"/>
            <w:vAlign w:val="center"/>
          </w:tcPr>
          <w:p>
            <w:pPr>
              <w:jc w:val="center"/>
              <w:rPr>
                <w:rFonts w:ascii="宋体" w:hAnsi="宋体" w:eastAsia="宋体"/>
                <w:b/>
                <w:sz w:val="21"/>
                <w:szCs w:val="21"/>
              </w:rPr>
            </w:pPr>
            <w:r>
              <w:rPr>
                <w:rFonts w:hint="eastAsia" w:ascii="宋体" w:hAnsi="宋体" w:eastAsia="宋体"/>
                <w:b/>
                <w:sz w:val="21"/>
                <w:szCs w:val="21"/>
              </w:rPr>
              <w:t>序号</w:t>
            </w:r>
          </w:p>
        </w:tc>
        <w:tc>
          <w:tcPr>
            <w:tcW w:w="1307" w:type="dxa"/>
            <w:vAlign w:val="center"/>
          </w:tcPr>
          <w:p>
            <w:pPr>
              <w:jc w:val="center"/>
              <w:rPr>
                <w:rFonts w:ascii="宋体" w:hAnsi="宋体" w:eastAsia="宋体"/>
                <w:b/>
                <w:sz w:val="21"/>
                <w:szCs w:val="21"/>
              </w:rPr>
            </w:pPr>
            <w:r>
              <w:rPr>
                <w:rFonts w:hint="eastAsia" w:ascii="宋体" w:hAnsi="宋体" w:eastAsia="宋体"/>
                <w:b/>
                <w:sz w:val="21"/>
                <w:szCs w:val="21"/>
              </w:rPr>
              <w:t>设备名称</w:t>
            </w:r>
          </w:p>
        </w:tc>
        <w:tc>
          <w:tcPr>
            <w:tcW w:w="802" w:type="dxa"/>
            <w:vAlign w:val="center"/>
          </w:tcPr>
          <w:p>
            <w:pPr>
              <w:jc w:val="center"/>
              <w:rPr>
                <w:rFonts w:ascii="宋体" w:hAnsi="宋体" w:eastAsia="宋体"/>
                <w:b/>
                <w:sz w:val="21"/>
                <w:szCs w:val="21"/>
              </w:rPr>
            </w:pPr>
            <w:r>
              <w:rPr>
                <w:rFonts w:hint="eastAsia" w:ascii="宋体" w:hAnsi="宋体" w:eastAsia="宋体"/>
                <w:b/>
                <w:sz w:val="21"/>
                <w:szCs w:val="21"/>
              </w:rPr>
              <w:t>数量</w:t>
            </w:r>
          </w:p>
        </w:tc>
        <w:tc>
          <w:tcPr>
            <w:tcW w:w="5939" w:type="dxa"/>
            <w:vAlign w:val="center"/>
          </w:tcPr>
          <w:p>
            <w:pPr>
              <w:jc w:val="center"/>
              <w:rPr>
                <w:rFonts w:ascii="宋体" w:hAnsi="宋体" w:eastAsia="宋体"/>
                <w:b/>
                <w:sz w:val="21"/>
                <w:szCs w:val="21"/>
              </w:rPr>
            </w:pPr>
            <w:r>
              <w:rPr>
                <w:rFonts w:hint="eastAsia" w:ascii="宋体" w:hAnsi="宋体" w:eastAsia="宋体"/>
                <w:b/>
                <w:sz w:val="21"/>
                <w:szCs w:val="21"/>
              </w:rPr>
              <w:t>技术参数与指标要求</w:t>
            </w:r>
            <w:r>
              <w:rPr>
                <w:rFonts w:hint="eastAsia" w:ascii="宋体" w:hAnsi="宋体"/>
                <w:b/>
                <w:bCs/>
                <w:color w:val="000000"/>
                <w:sz w:val="21"/>
                <w:szCs w:val="21"/>
              </w:rPr>
              <w:t>（*为重要条款）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8" w:type="dxa"/>
            <w:vAlign w:val="center"/>
          </w:tcPr>
          <w:p>
            <w:pPr>
              <w:jc w:val="center"/>
              <w:rPr>
                <w:rFonts w:ascii="宋体" w:hAnsi="宋体" w:eastAsia="宋体"/>
                <w:sz w:val="21"/>
                <w:szCs w:val="21"/>
              </w:rPr>
            </w:pPr>
            <w:r>
              <w:rPr>
                <w:rFonts w:hint="eastAsia" w:ascii="宋体" w:hAnsi="宋体" w:eastAsia="宋体"/>
                <w:sz w:val="21"/>
                <w:szCs w:val="21"/>
              </w:rPr>
              <w:t>1</w:t>
            </w:r>
          </w:p>
        </w:tc>
        <w:tc>
          <w:tcPr>
            <w:tcW w:w="1307" w:type="dxa"/>
            <w:vAlign w:val="center"/>
          </w:tcPr>
          <w:p>
            <w:pPr>
              <w:jc w:val="center"/>
              <w:rPr>
                <w:rFonts w:ascii="宋体" w:hAnsi="宋体" w:eastAsia="宋体"/>
                <w:sz w:val="21"/>
                <w:szCs w:val="21"/>
              </w:rPr>
            </w:pPr>
            <w:r>
              <w:rPr>
                <w:rFonts w:hint="eastAsia" w:ascii="宋体" w:hAnsi="宋体" w:eastAsia="宋体"/>
                <w:sz w:val="21"/>
                <w:szCs w:val="21"/>
              </w:rPr>
              <w:t>超高效液相色谱仪</w:t>
            </w:r>
          </w:p>
        </w:tc>
        <w:tc>
          <w:tcPr>
            <w:tcW w:w="802" w:type="dxa"/>
            <w:vAlign w:val="center"/>
          </w:tcPr>
          <w:p>
            <w:pPr>
              <w:jc w:val="center"/>
              <w:rPr>
                <w:rFonts w:ascii="宋体" w:hAnsi="宋体" w:eastAsia="宋体"/>
                <w:sz w:val="21"/>
                <w:szCs w:val="21"/>
              </w:rPr>
            </w:pPr>
            <w:r>
              <w:rPr>
                <w:rFonts w:hint="eastAsia" w:ascii="宋体" w:hAnsi="宋体" w:eastAsia="宋体"/>
                <w:sz w:val="21"/>
                <w:szCs w:val="21"/>
              </w:rPr>
              <w:t>1台</w:t>
            </w:r>
          </w:p>
        </w:tc>
        <w:tc>
          <w:tcPr>
            <w:tcW w:w="5939" w:type="dxa"/>
            <w:vAlign w:val="center"/>
          </w:tcPr>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一、</w:t>
            </w:r>
            <w:r>
              <w:rPr>
                <w:rFonts w:hint="eastAsia" w:ascii="宋体" w:hAnsi="宋体" w:eastAsia="宋体"/>
                <w:sz w:val="21"/>
                <w:szCs w:val="21"/>
              </w:rPr>
              <w:t>配置要求</w:t>
            </w:r>
          </w:p>
          <w:p>
            <w:pPr>
              <w:tabs>
                <w:tab w:val="left" w:pos="720"/>
              </w:tabs>
              <w:spacing w:line="400" w:lineRule="atLeast"/>
              <w:jc w:val="both"/>
              <w:rPr>
                <w:rFonts w:ascii="宋体" w:hAnsi="宋体" w:eastAsia="宋体"/>
                <w:sz w:val="21"/>
                <w:szCs w:val="21"/>
              </w:rPr>
            </w:pPr>
            <w:r>
              <w:rPr>
                <w:rFonts w:ascii="宋体" w:hAnsi="宋体" w:eastAsia="宋体"/>
                <w:sz w:val="21"/>
                <w:szCs w:val="21"/>
              </w:rPr>
              <w:t>1、二极管阵列检测器</w:t>
            </w:r>
          </w:p>
          <w:p>
            <w:pPr>
              <w:tabs>
                <w:tab w:val="left" w:pos="720"/>
              </w:tabs>
              <w:spacing w:line="400" w:lineRule="atLeast"/>
              <w:jc w:val="both"/>
              <w:rPr>
                <w:rFonts w:ascii="宋体" w:hAnsi="宋体" w:eastAsia="宋体"/>
                <w:sz w:val="21"/>
                <w:szCs w:val="21"/>
              </w:rPr>
            </w:pPr>
            <w:r>
              <w:rPr>
                <w:rFonts w:ascii="宋体" w:hAnsi="宋体" w:eastAsia="宋体"/>
                <w:sz w:val="21"/>
                <w:szCs w:val="21"/>
              </w:rPr>
              <w:t>2、自动进样器</w:t>
            </w:r>
          </w:p>
          <w:p>
            <w:pPr>
              <w:tabs>
                <w:tab w:val="left" w:pos="720"/>
              </w:tabs>
              <w:spacing w:line="400" w:lineRule="atLeast"/>
              <w:jc w:val="both"/>
              <w:rPr>
                <w:rFonts w:ascii="宋体" w:hAnsi="宋体" w:eastAsia="宋体"/>
                <w:sz w:val="21"/>
                <w:szCs w:val="21"/>
              </w:rPr>
            </w:pPr>
            <w:r>
              <w:rPr>
                <w:rFonts w:hint="eastAsia" w:ascii="宋体" w:hAnsi="宋体" w:eastAsia="宋体"/>
                <w:sz w:val="21"/>
                <w:szCs w:val="21"/>
              </w:rPr>
              <w:t>3</w:t>
            </w:r>
            <w:r>
              <w:rPr>
                <w:rFonts w:ascii="宋体" w:hAnsi="宋体" w:eastAsia="宋体"/>
                <w:sz w:val="21"/>
                <w:szCs w:val="21"/>
              </w:rPr>
              <w:t>、柱温箱</w:t>
            </w:r>
          </w:p>
          <w:p>
            <w:pPr>
              <w:tabs>
                <w:tab w:val="left" w:pos="720"/>
              </w:tabs>
              <w:spacing w:line="400" w:lineRule="atLeast"/>
              <w:jc w:val="both"/>
              <w:rPr>
                <w:rFonts w:ascii="宋体" w:hAnsi="宋体" w:eastAsia="宋体"/>
                <w:sz w:val="21"/>
                <w:szCs w:val="21"/>
              </w:rPr>
            </w:pPr>
            <w:r>
              <w:rPr>
                <w:rFonts w:ascii="宋体" w:hAnsi="宋体" w:eastAsia="宋体"/>
                <w:sz w:val="21"/>
                <w:szCs w:val="21"/>
              </w:rPr>
              <w:t>4、色谱柱和样品瓶</w:t>
            </w:r>
          </w:p>
          <w:p>
            <w:pPr>
              <w:tabs>
                <w:tab w:val="left" w:pos="720"/>
              </w:tabs>
              <w:spacing w:line="400" w:lineRule="atLeast"/>
              <w:jc w:val="both"/>
              <w:rPr>
                <w:rFonts w:ascii="宋体" w:hAnsi="宋体" w:eastAsia="宋体"/>
                <w:sz w:val="21"/>
                <w:szCs w:val="21"/>
              </w:rPr>
            </w:pPr>
            <w:r>
              <w:rPr>
                <w:rFonts w:ascii="宋体" w:hAnsi="宋体" w:eastAsia="宋体"/>
                <w:sz w:val="21"/>
                <w:szCs w:val="21"/>
              </w:rPr>
              <w:t>5、其它耗材: 溶剂瓶</w:t>
            </w:r>
            <w:r>
              <w:rPr>
                <w:rFonts w:asciiTheme="minorEastAsia" w:hAnsiTheme="minorEastAsia"/>
                <w:sz w:val="21"/>
                <w:szCs w:val="21"/>
              </w:rPr>
              <w:t>,</w:t>
            </w:r>
            <w:r>
              <w:rPr>
                <w:rFonts w:ascii="宋体" w:hAnsi="宋体" w:eastAsia="宋体"/>
                <w:sz w:val="21"/>
                <w:szCs w:val="21"/>
              </w:rPr>
              <w:t>在线过滤器</w:t>
            </w:r>
            <w:r>
              <w:rPr>
                <w:rFonts w:asciiTheme="minorEastAsia" w:hAnsiTheme="minorEastAsia"/>
                <w:sz w:val="21"/>
                <w:szCs w:val="21"/>
              </w:rPr>
              <w:t>,</w:t>
            </w:r>
            <w:r>
              <w:rPr>
                <w:rFonts w:ascii="宋体" w:hAnsi="宋体" w:eastAsia="宋体"/>
                <w:sz w:val="21"/>
                <w:szCs w:val="21"/>
              </w:rPr>
              <w:t>在线过滤器滤芯</w:t>
            </w:r>
          </w:p>
          <w:p>
            <w:pPr>
              <w:tabs>
                <w:tab w:val="left" w:pos="720"/>
              </w:tabs>
              <w:spacing w:line="400" w:lineRule="atLeast"/>
              <w:jc w:val="both"/>
              <w:rPr>
                <w:rFonts w:ascii="宋体" w:hAnsi="宋体" w:eastAsia="宋体"/>
                <w:sz w:val="21"/>
                <w:szCs w:val="21"/>
              </w:rPr>
            </w:pPr>
            <w:r>
              <w:rPr>
                <w:rFonts w:ascii="宋体" w:hAnsi="宋体" w:eastAsia="宋体"/>
                <w:sz w:val="21"/>
                <w:szCs w:val="21"/>
              </w:rPr>
              <w:t>6、电脑</w:t>
            </w:r>
            <w:r>
              <w:rPr>
                <w:rFonts w:hint="eastAsia" w:asciiTheme="minorEastAsia" w:hAnsiTheme="minorEastAsia"/>
                <w:sz w:val="21"/>
                <w:szCs w:val="21"/>
              </w:rPr>
              <w:t>：</w:t>
            </w:r>
            <w:r>
              <w:rPr>
                <w:rFonts w:ascii="宋体" w:hAnsi="宋体" w:eastAsia="宋体"/>
                <w:sz w:val="21"/>
                <w:szCs w:val="21"/>
              </w:rPr>
              <w:t>品牌电脑，</w:t>
            </w:r>
            <w:r>
              <w:rPr>
                <w:rFonts w:hint="eastAsia" w:asciiTheme="minorEastAsia" w:hAnsiTheme="minorEastAsia"/>
                <w:sz w:val="21"/>
                <w:szCs w:val="21"/>
              </w:rPr>
              <w:t>不小于</w:t>
            </w:r>
            <w:r>
              <w:rPr>
                <w:rFonts w:ascii="宋体" w:hAnsi="宋体" w:eastAsia="宋体"/>
                <w:sz w:val="21"/>
                <w:szCs w:val="21"/>
              </w:rPr>
              <w:t>16G内存，</w:t>
            </w:r>
            <w:r>
              <w:rPr>
                <w:rFonts w:hint="eastAsia" w:asciiTheme="minorEastAsia" w:hAnsiTheme="minorEastAsia"/>
                <w:sz w:val="21"/>
                <w:szCs w:val="21"/>
              </w:rPr>
              <w:t>不小于</w:t>
            </w:r>
            <w:r>
              <w:rPr>
                <w:rFonts w:hint="eastAsia" w:ascii="宋体" w:hAnsi="宋体" w:eastAsia="宋体"/>
                <w:sz w:val="21"/>
                <w:szCs w:val="21"/>
              </w:rPr>
              <w:t>1T</w:t>
            </w:r>
            <w:r>
              <w:rPr>
                <w:rFonts w:ascii="宋体" w:hAnsi="宋体" w:eastAsia="宋体"/>
                <w:sz w:val="21"/>
                <w:szCs w:val="21"/>
              </w:rPr>
              <w:t>硬盘，</w:t>
            </w:r>
            <w:r>
              <w:rPr>
                <w:rFonts w:hint="eastAsia" w:asciiTheme="minorEastAsia" w:hAnsiTheme="minorEastAsia"/>
                <w:sz w:val="21"/>
                <w:szCs w:val="21"/>
              </w:rPr>
              <w:t>不小于</w:t>
            </w:r>
            <w:r>
              <w:rPr>
                <w:rFonts w:ascii="宋体" w:hAnsi="宋体" w:eastAsia="宋体"/>
                <w:sz w:val="21"/>
                <w:szCs w:val="21"/>
              </w:rPr>
              <w:t>22寸液晶显示屏</w:t>
            </w:r>
          </w:p>
          <w:p>
            <w:pPr>
              <w:spacing w:line="400" w:lineRule="atLeast"/>
              <w:jc w:val="both"/>
              <w:rPr>
                <w:rFonts w:asciiTheme="minorEastAsia" w:hAnsiTheme="minorEastAsia"/>
                <w:sz w:val="21"/>
                <w:szCs w:val="21"/>
              </w:rPr>
            </w:pPr>
            <w:r>
              <w:rPr>
                <w:rFonts w:ascii="宋体" w:hAnsi="宋体" w:eastAsia="宋体"/>
                <w:sz w:val="21"/>
                <w:szCs w:val="21"/>
              </w:rPr>
              <w:t>7、黑白激光打印机</w:t>
            </w:r>
            <w:r>
              <w:rPr>
                <w:rFonts w:hint="eastAsia" w:ascii="宋体" w:hAnsi="宋体" w:eastAsia="宋体"/>
                <w:sz w:val="21"/>
                <w:szCs w:val="21"/>
              </w:rPr>
              <w:t>，可A4双面打印，不小于15张/分钟</w:t>
            </w:r>
          </w:p>
          <w:p>
            <w:pPr>
              <w:spacing w:line="400" w:lineRule="atLeast"/>
              <w:jc w:val="both"/>
              <w:rPr>
                <w:rFonts w:ascii="宋体" w:hAnsi="宋体" w:eastAsia="宋体"/>
                <w:sz w:val="21"/>
                <w:szCs w:val="21"/>
              </w:rPr>
            </w:pP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二、</w:t>
            </w:r>
            <w:r>
              <w:rPr>
                <w:rFonts w:hint="eastAsia" w:ascii="宋体" w:hAnsi="宋体" w:eastAsia="宋体"/>
                <w:sz w:val="21"/>
                <w:szCs w:val="21"/>
              </w:rPr>
              <w:t>技术参数与性能指标要求</w:t>
            </w:r>
          </w:p>
          <w:p>
            <w:pPr>
              <w:tabs>
                <w:tab w:val="left" w:pos="720"/>
              </w:tabs>
              <w:adjustRightInd/>
              <w:spacing w:line="400" w:lineRule="atLeast"/>
              <w:jc w:val="both"/>
              <w:textAlignment w:val="auto"/>
              <w:rPr>
                <w:rFonts w:asciiTheme="minorEastAsia" w:hAnsiTheme="minorEastAsia"/>
                <w:sz w:val="21"/>
                <w:szCs w:val="21"/>
              </w:rPr>
            </w:pPr>
            <w:r>
              <w:rPr>
                <w:rFonts w:asciiTheme="minorEastAsia" w:hAnsiTheme="minorEastAsia"/>
                <w:sz w:val="21"/>
                <w:szCs w:val="21"/>
              </w:rPr>
              <w:t>1、工作环境</w:t>
            </w:r>
          </w:p>
          <w:p>
            <w:pPr>
              <w:tabs>
                <w:tab w:val="left" w:pos="720"/>
              </w:tabs>
              <w:adjustRightInd/>
              <w:spacing w:line="400" w:lineRule="atLeast"/>
              <w:jc w:val="both"/>
              <w:textAlignment w:val="auto"/>
              <w:rPr>
                <w:rFonts w:asciiTheme="minorEastAsia" w:hAnsiTheme="minorEastAsia"/>
                <w:sz w:val="21"/>
                <w:szCs w:val="21"/>
              </w:rPr>
            </w:pPr>
            <w:r>
              <w:rPr>
                <w:rFonts w:hint="eastAsia" w:asciiTheme="minorEastAsia" w:hAnsiTheme="minorEastAsia"/>
                <w:sz w:val="21"/>
                <w:szCs w:val="21"/>
              </w:rPr>
              <w:t xml:space="preserve">1.1 </w:t>
            </w:r>
            <w:r>
              <w:rPr>
                <w:rFonts w:ascii="宋体" w:hAnsi="宋体" w:eastAsia="宋体"/>
                <w:sz w:val="21"/>
                <w:szCs w:val="21"/>
              </w:rPr>
              <w:t>环境温度：摄氏4-40度</w:t>
            </w:r>
          </w:p>
          <w:p>
            <w:pPr>
              <w:tabs>
                <w:tab w:val="left" w:pos="720"/>
              </w:tabs>
              <w:adjustRightInd/>
              <w:spacing w:line="400" w:lineRule="atLeast"/>
              <w:jc w:val="both"/>
              <w:textAlignment w:val="auto"/>
              <w:rPr>
                <w:rFonts w:asciiTheme="minorEastAsia" w:hAnsiTheme="minorEastAsia"/>
                <w:sz w:val="21"/>
                <w:szCs w:val="21"/>
              </w:rPr>
            </w:pPr>
            <w:r>
              <w:rPr>
                <w:rFonts w:hint="eastAsia" w:asciiTheme="minorEastAsia" w:hAnsiTheme="minorEastAsia"/>
                <w:sz w:val="21"/>
                <w:szCs w:val="21"/>
              </w:rPr>
              <w:t xml:space="preserve">1.2 </w:t>
            </w:r>
            <w:r>
              <w:rPr>
                <w:rFonts w:ascii="宋体" w:hAnsi="宋体" w:eastAsia="宋体"/>
                <w:sz w:val="21"/>
                <w:szCs w:val="21"/>
              </w:rPr>
              <w:t>环境湿度：</w:t>
            </w:r>
            <w:r>
              <w:rPr>
                <w:rFonts w:asciiTheme="minorEastAsia" w:hAnsiTheme="minorEastAsia"/>
                <w:sz w:val="21"/>
                <w:szCs w:val="21"/>
              </w:rPr>
              <w:t>20-80%</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1.3 </w:t>
            </w:r>
            <w:r>
              <w:rPr>
                <w:rFonts w:ascii="宋体" w:hAnsi="宋体" w:eastAsia="宋体"/>
                <w:sz w:val="21"/>
                <w:szCs w:val="21"/>
              </w:rPr>
              <w:t>电压：90-264V</w:t>
            </w:r>
          </w:p>
          <w:p>
            <w:pPr>
              <w:tabs>
                <w:tab w:val="left" w:pos="720"/>
              </w:tabs>
              <w:adjustRightInd/>
              <w:spacing w:line="400" w:lineRule="atLeast"/>
              <w:jc w:val="both"/>
              <w:textAlignment w:val="auto"/>
              <w:rPr>
                <w:rFonts w:ascii="宋体" w:hAnsi="宋体" w:eastAsia="宋体"/>
                <w:sz w:val="21"/>
                <w:szCs w:val="21"/>
              </w:rPr>
            </w:pPr>
            <w:r>
              <w:rPr>
                <w:rFonts w:asciiTheme="minorEastAsia" w:hAnsiTheme="minorEastAsia"/>
                <w:sz w:val="21"/>
                <w:szCs w:val="21"/>
              </w:rPr>
              <w:t>2、</w:t>
            </w:r>
            <w:r>
              <w:rPr>
                <w:rFonts w:ascii="宋体" w:hAnsi="宋体" w:eastAsia="宋体"/>
                <w:sz w:val="21"/>
                <w:szCs w:val="21"/>
              </w:rPr>
              <w:t>性能指标</w:t>
            </w:r>
          </w:p>
          <w:p>
            <w:pPr>
              <w:tabs>
                <w:tab w:val="left" w:pos="720"/>
              </w:tabs>
              <w:adjustRightInd/>
              <w:spacing w:line="400" w:lineRule="atLeast"/>
              <w:jc w:val="both"/>
              <w:textAlignment w:val="auto"/>
              <w:rPr>
                <w:rFonts w:ascii="宋体" w:hAnsi="宋体" w:eastAsia="宋体"/>
                <w:sz w:val="21"/>
                <w:szCs w:val="21"/>
              </w:rPr>
            </w:pPr>
            <w:r>
              <w:rPr>
                <w:rFonts w:asciiTheme="minorEastAsia" w:hAnsiTheme="minorEastAsia"/>
                <w:sz w:val="21"/>
                <w:szCs w:val="21"/>
              </w:rPr>
              <w:t xml:space="preserve">2.1 </w:t>
            </w:r>
            <w:r>
              <w:rPr>
                <w:rFonts w:hint="eastAsia" w:ascii="宋体" w:hAnsi="宋体" w:eastAsia="宋体"/>
                <w:sz w:val="21"/>
                <w:szCs w:val="21"/>
              </w:rPr>
              <w:t>二</w:t>
            </w:r>
            <w:r>
              <w:rPr>
                <w:rFonts w:ascii="宋体" w:hAnsi="宋体" w:eastAsia="宋体"/>
                <w:sz w:val="21"/>
                <w:szCs w:val="21"/>
              </w:rPr>
              <w:t>元超高效梯度系统</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2.1.1 </w:t>
            </w:r>
            <w:r>
              <w:rPr>
                <w:rFonts w:ascii="宋体" w:hAnsi="宋体" w:eastAsia="宋体"/>
                <w:sz w:val="21"/>
                <w:szCs w:val="21"/>
              </w:rPr>
              <w:t>流速范围：</w:t>
            </w:r>
            <w:r>
              <w:rPr>
                <w:rFonts w:asciiTheme="minorEastAsia" w:hAnsiTheme="minorEastAsia"/>
                <w:sz w:val="21"/>
                <w:szCs w:val="21"/>
              </w:rPr>
              <w:t>0.010-2.000 ml/min</w:t>
            </w:r>
            <w:r>
              <w:rPr>
                <w:rFonts w:hint="eastAsia" w:asciiTheme="minorEastAsia" w:hAnsiTheme="minorEastAsia"/>
                <w:sz w:val="21"/>
                <w:szCs w:val="21"/>
              </w:rPr>
              <w:t>，</w:t>
            </w:r>
            <w:r>
              <w:rPr>
                <w:rFonts w:ascii="宋体" w:hAnsi="宋体" w:eastAsia="宋体"/>
                <w:sz w:val="21"/>
                <w:szCs w:val="21"/>
              </w:rPr>
              <w:t>以</w:t>
            </w:r>
            <w:r>
              <w:rPr>
                <w:rFonts w:asciiTheme="minorEastAsia" w:hAnsiTheme="minorEastAsia"/>
                <w:sz w:val="21"/>
                <w:szCs w:val="21"/>
              </w:rPr>
              <w:t xml:space="preserve"> 0.001ml/min</w:t>
            </w:r>
            <w:r>
              <w:rPr>
                <w:rFonts w:ascii="宋体" w:hAnsi="宋体" w:eastAsia="宋体"/>
                <w:sz w:val="21"/>
                <w:szCs w:val="21"/>
              </w:rPr>
              <w:t>为增量</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2.1.2 </w:t>
            </w:r>
            <w:r>
              <w:rPr>
                <w:rFonts w:ascii="宋体" w:hAnsi="宋体" w:eastAsia="宋体"/>
                <w:sz w:val="21"/>
                <w:szCs w:val="21"/>
              </w:rPr>
              <w:t>流量精度：</w:t>
            </w:r>
            <w:r>
              <w:rPr>
                <w:rFonts w:asciiTheme="minorEastAsia" w:hAnsiTheme="minorEastAsia"/>
                <w:sz w:val="21"/>
                <w:szCs w:val="21"/>
              </w:rPr>
              <w:t>0.075% or</w:t>
            </w:r>
            <w:r>
              <w:rPr>
                <w:rFonts w:ascii="宋体" w:hAnsi="宋体" w:eastAsia="宋体"/>
                <w:sz w:val="21"/>
                <w:szCs w:val="21"/>
              </w:rPr>
              <w:t>±0.02min SD</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2.1.3 </w:t>
            </w:r>
            <w:r>
              <w:rPr>
                <w:rFonts w:ascii="宋体" w:hAnsi="宋体" w:eastAsia="宋体"/>
                <w:sz w:val="21"/>
                <w:szCs w:val="21"/>
              </w:rPr>
              <w:t>溶剂数量：4</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2.1.4 </w:t>
            </w:r>
            <w:r>
              <w:rPr>
                <w:rFonts w:ascii="宋体" w:hAnsi="宋体" w:eastAsia="宋体"/>
                <w:sz w:val="21"/>
                <w:szCs w:val="21"/>
              </w:rPr>
              <w:t>最高操作压力：15000psi</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2.1.5 </w:t>
            </w:r>
            <w:r>
              <w:rPr>
                <w:rFonts w:ascii="宋体" w:hAnsi="宋体" w:eastAsia="宋体"/>
                <w:sz w:val="21"/>
                <w:szCs w:val="21"/>
              </w:rPr>
              <w:t>延迟体积：&lt;400µL，不随反压变化（包括100µL混合器）</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2.1.6 </w:t>
            </w:r>
            <w:r>
              <w:rPr>
                <w:rFonts w:ascii="宋体" w:hAnsi="宋体" w:eastAsia="宋体"/>
                <w:sz w:val="21"/>
                <w:szCs w:val="21"/>
              </w:rPr>
              <w:t>五通道在线脱气机，流动相与针清洗溶液均脱气，有效降低交叉污染</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2.1.7 </w:t>
            </w:r>
            <w:r>
              <w:rPr>
                <w:rFonts w:ascii="宋体" w:hAnsi="宋体" w:eastAsia="宋体"/>
                <w:sz w:val="21"/>
                <w:szCs w:val="21"/>
              </w:rPr>
              <w:t>混合方式：</w:t>
            </w:r>
            <w:r>
              <w:rPr>
                <w:rFonts w:hint="eastAsia" w:ascii="宋体" w:hAnsi="宋体" w:eastAsia="宋体"/>
                <w:sz w:val="21"/>
                <w:szCs w:val="21"/>
              </w:rPr>
              <w:t>高</w:t>
            </w:r>
            <w:r>
              <w:rPr>
                <w:rFonts w:ascii="宋体" w:hAnsi="宋体" w:eastAsia="宋体"/>
                <w:sz w:val="21"/>
                <w:szCs w:val="21"/>
              </w:rPr>
              <w:t>压混合，</w:t>
            </w:r>
            <w:r>
              <w:rPr>
                <w:rFonts w:hint="eastAsia" w:ascii="宋体" w:hAnsi="宋体" w:eastAsia="宋体"/>
                <w:sz w:val="21"/>
                <w:szCs w:val="21"/>
              </w:rPr>
              <w:t>二</w:t>
            </w:r>
            <w:r>
              <w:rPr>
                <w:rFonts w:ascii="宋体" w:hAnsi="宋体" w:eastAsia="宋体"/>
                <w:sz w:val="21"/>
                <w:szCs w:val="21"/>
              </w:rPr>
              <w:t>元梯度</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2.1.8 </w:t>
            </w:r>
            <w:r>
              <w:rPr>
                <w:rFonts w:ascii="宋体" w:hAnsi="宋体" w:eastAsia="宋体"/>
                <w:sz w:val="21"/>
                <w:szCs w:val="21"/>
              </w:rPr>
              <w:t>流速准确度：±1.0%</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2.1.9 </w:t>
            </w:r>
            <w:r>
              <w:rPr>
                <w:rFonts w:ascii="宋体" w:hAnsi="宋体" w:eastAsia="宋体"/>
                <w:sz w:val="21"/>
                <w:szCs w:val="21"/>
              </w:rPr>
              <w:t>梯度准确度：</w:t>
            </w:r>
            <w:r>
              <w:rPr>
                <w:rFonts w:asciiTheme="minorEastAsia" w:hAnsiTheme="minorEastAsia"/>
                <w:sz w:val="21"/>
                <w:szCs w:val="21"/>
              </w:rPr>
              <w:t>±</w:t>
            </w:r>
            <w:r>
              <w:rPr>
                <w:rFonts w:ascii="宋体" w:hAnsi="宋体" w:eastAsia="宋体"/>
                <w:sz w:val="21"/>
                <w:szCs w:val="21"/>
              </w:rPr>
              <w:t>0.5%，不随反压变化</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2.1.10 </w:t>
            </w:r>
            <w:r>
              <w:rPr>
                <w:rFonts w:ascii="宋体" w:hAnsi="宋体" w:eastAsia="宋体"/>
                <w:sz w:val="21"/>
                <w:szCs w:val="21"/>
              </w:rPr>
              <w:t>梯度精度：</w:t>
            </w:r>
            <w:r>
              <w:rPr>
                <w:rFonts w:asciiTheme="minorEastAsia" w:hAnsiTheme="minorEastAsia"/>
                <w:sz w:val="21"/>
                <w:szCs w:val="21"/>
              </w:rPr>
              <w:t>&lt;0.15% or</w:t>
            </w:r>
            <w:r>
              <w:rPr>
                <w:rFonts w:ascii="宋体" w:hAnsi="宋体" w:eastAsia="宋体"/>
                <w:sz w:val="21"/>
                <w:szCs w:val="21"/>
              </w:rPr>
              <w:t>±0.04min SD，不随反压变化</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2.1.11 </w:t>
            </w:r>
            <w:r>
              <w:rPr>
                <w:rFonts w:ascii="宋体" w:hAnsi="宋体" w:eastAsia="宋体"/>
                <w:sz w:val="21"/>
                <w:szCs w:val="21"/>
              </w:rPr>
              <w:t>压缩补偿：自动，连续</w:t>
            </w:r>
          </w:p>
          <w:p>
            <w:pPr>
              <w:tabs>
                <w:tab w:val="left" w:pos="720"/>
              </w:tabs>
              <w:adjustRightInd/>
              <w:spacing w:line="400" w:lineRule="atLeast"/>
              <w:jc w:val="both"/>
              <w:textAlignment w:val="auto"/>
              <w:rPr>
                <w:rFonts w:ascii="宋体" w:hAnsi="宋体" w:eastAsia="宋体"/>
                <w:b/>
                <w:sz w:val="21"/>
                <w:szCs w:val="21"/>
              </w:rPr>
            </w:pPr>
            <w:r>
              <w:rPr>
                <w:rFonts w:hint="eastAsia" w:ascii="宋体" w:hAnsi="宋体"/>
                <w:b/>
                <w:bCs/>
                <w:color w:val="000000"/>
                <w:sz w:val="21"/>
                <w:szCs w:val="21"/>
              </w:rPr>
              <w:t>*</w:t>
            </w:r>
            <w:r>
              <w:rPr>
                <w:rFonts w:asciiTheme="minorEastAsia" w:hAnsiTheme="minorEastAsia"/>
                <w:b/>
                <w:sz w:val="21"/>
                <w:szCs w:val="21"/>
              </w:rPr>
              <w:t xml:space="preserve">2.1.12 </w:t>
            </w:r>
            <w:r>
              <w:rPr>
                <w:rFonts w:ascii="宋体" w:hAnsi="宋体" w:eastAsia="宋体"/>
                <w:b/>
                <w:sz w:val="21"/>
                <w:szCs w:val="21"/>
              </w:rPr>
              <w:t>梯度曲线：11种梯度曲线，线性、步进、凹线和凸线</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2.1.13 </w:t>
            </w:r>
            <w:r>
              <w:rPr>
                <w:rFonts w:ascii="宋体" w:hAnsi="宋体" w:eastAsia="宋体"/>
                <w:sz w:val="21"/>
                <w:szCs w:val="21"/>
              </w:rPr>
              <w:t>延迟体积、梯度准确度和梯度精度指标不随反压变化</w:t>
            </w:r>
          </w:p>
          <w:p>
            <w:pPr>
              <w:tabs>
                <w:tab w:val="left" w:pos="720"/>
              </w:tabs>
              <w:adjustRightInd/>
              <w:spacing w:line="400" w:lineRule="atLeast"/>
              <w:jc w:val="both"/>
              <w:textAlignment w:val="auto"/>
              <w:rPr>
                <w:rFonts w:ascii="宋体" w:hAnsi="宋体" w:eastAsia="宋体"/>
                <w:sz w:val="21"/>
                <w:szCs w:val="21"/>
              </w:rPr>
            </w:pPr>
            <w:r>
              <w:rPr>
                <w:rFonts w:asciiTheme="minorEastAsia" w:hAnsiTheme="minorEastAsia"/>
                <w:sz w:val="21"/>
                <w:szCs w:val="21"/>
              </w:rPr>
              <w:t xml:space="preserve">2.2 </w:t>
            </w:r>
            <w:r>
              <w:rPr>
                <w:rFonts w:ascii="宋体" w:hAnsi="宋体" w:eastAsia="宋体"/>
                <w:sz w:val="21"/>
                <w:szCs w:val="21"/>
              </w:rPr>
              <w:t>样品管理系统</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2.2.1 </w:t>
            </w:r>
            <w:r>
              <w:rPr>
                <w:rFonts w:ascii="宋体" w:hAnsi="宋体" w:eastAsia="宋体"/>
                <w:sz w:val="21"/>
                <w:szCs w:val="21"/>
              </w:rPr>
              <w:t>样品数量：96孔板、384孔板、24x4ml瓶、48x2ml瓶，可扩展到8000样品位。</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2.2.2 </w:t>
            </w:r>
            <w:r>
              <w:rPr>
                <w:rFonts w:ascii="宋体" w:hAnsi="宋体" w:eastAsia="宋体"/>
                <w:sz w:val="21"/>
                <w:szCs w:val="21"/>
              </w:rPr>
              <w:t>进样范围：0.1 - 10.0</w:t>
            </w:r>
            <w:r>
              <w:rPr>
                <w:rFonts w:ascii="宋体" w:hAnsi="宋体" w:eastAsia="宋体"/>
                <w:sz w:val="21"/>
                <w:szCs w:val="21"/>
              </w:rPr>
              <w:sym w:font="Symbol" w:char="F06D"/>
            </w:r>
            <w:r>
              <w:rPr>
                <w:rFonts w:ascii="宋体" w:hAnsi="宋体" w:eastAsia="宋体"/>
                <w:sz w:val="21"/>
                <w:szCs w:val="21"/>
              </w:rPr>
              <w:t>L，最高可扩展到1000</w:t>
            </w:r>
            <w:r>
              <w:rPr>
                <w:rFonts w:ascii="宋体" w:hAnsi="宋体" w:eastAsia="宋体"/>
                <w:sz w:val="21"/>
                <w:szCs w:val="21"/>
              </w:rPr>
              <w:sym w:font="Symbol" w:char="F06D"/>
            </w:r>
            <w:r>
              <w:rPr>
                <w:rFonts w:ascii="宋体" w:hAnsi="宋体" w:eastAsia="宋体"/>
                <w:sz w:val="21"/>
                <w:szCs w:val="21"/>
              </w:rPr>
              <w:t>L</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2.2.3 </w:t>
            </w:r>
            <w:r>
              <w:rPr>
                <w:rFonts w:ascii="宋体" w:hAnsi="宋体" w:eastAsia="宋体"/>
                <w:sz w:val="21"/>
                <w:szCs w:val="21"/>
              </w:rPr>
              <w:t>控温范围：4.0 - 40.0</w:t>
            </w:r>
            <w:r>
              <w:rPr>
                <w:rFonts w:hint="eastAsia" w:ascii="宋体" w:hAnsi="宋体" w:eastAsia="宋体"/>
                <w:sz w:val="21"/>
                <w:szCs w:val="21"/>
              </w:rPr>
              <w:t>℃</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2.2.4 </w:t>
            </w:r>
            <w:r>
              <w:rPr>
                <w:rFonts w:ascii="宋体" w:hAnsi="宋体" w:eastAsia="宋体"/>
                <w:sz w:val="21"/>
                <w:szCs w:val="21"/>
              </w:rPr>
              <w:t>进样次数：每个样品1 - 99次进样</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2.2.5 </w:t>
            </w:r>
            <w:r>
              <w:rPr>
                <w:rFonts w:ascii="宋体" w:hAnsi="宋体" w:eastAsia="宋体"/>
                <w:sz w:val="21"/>
                <w:szCs w:val="21"/>
              </w:rPr>
              <w:t>进样精度：&lt;0.25%RSD</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2.2.6 </w:t>
            </w:r>
            <w:r>
              <w:rPr>
                <w:rFonts w:ascii="宋体" w:hAnsi="宋体" w:eastAsia="宋体"/>
                <w:sz w:val="21"/>
                <w:szCs w:val="21"/>
              </w:rPr>
              <w:t>进样线性度：&gt;0.999</w:t>
            </w:r>
          </w:p>
          <w:p>
            <w:pPr>
              <w:tabs>
                <w:tab w:val="left" w:pos="720"/>
              </w:tabs>
              <w:adjustRightInd/>
              <w:spacing w:line="400" w:lineRule="atLeast"/>
              <w:jc w:val="both"/>
              <w:textAlignment w:val="auto"/>
              <w:rPr>
                <w:rFonts w:ascii="宋体" w:hAnsi="宋体" w:eastAsia="宋体"/>
                <w:b/>
                <w:sz w:val="21"/>
                <w:szCs w:val="21"/>
              </w:rPr>
            </w:pPr>
            <w:r>
              <w:rPr>
                <w:rFonts w:hint="eastAsia" w:asciiTheme="minorEastAsia" w:hAnsiTheme="minorEastAsia"/>
                <w:b/>
                <w:sz w:val="21"/>
                <w:szCs w:val="21"/>
              </w:rPr>
              <w:t>▲</w:t>
            </w:r>
            <w:r>
              <w:rPr>
                <w:rFonts w:asciiTheme="minorEastAsia" w:hAnsiTheme="minorEastAsia"/>
                <w:b/>
                <w:sz w:val="21"/>
                <w:szCs w:val="21"/>
              </w:rPr>
              <w:t xml:space="preserve">2.2.7 </w:t>
            </w:r>
            <w:r>
              <w:rPr>
                <w:rFonts w:ascii="宋体" w:hAnsi="宋体" w:eastAsia="宋体"/>
                <w:b/>
                <w:sz w:val="21"/>
                <w:szCs w:val="21"/>
              </w:rPr>
              <w:t>样品污染度：&lt;0.002%</w:t>
            </w:r>
          </w:p>
          <w:p>
            <w:pPr>
              <w:tabs>
                <w:tab w:val="left" w:pos="720"/>
              </w:tabs>
              <w:adjustRightInd/>
              <w:spacing w:line="400" w:lineRule="atLeast"/>
              <w:jc w:val="both"/>
              <w:textAlignment w:val="auto"/>
              <w:rPr>
                <w:rFonts w:ascii="宋体" w:hAnsi="宋体" w:eastAsia="宋体"/>
                <w:sz w:val="21"/>
                <w:szCs w:val="21"/>
              </w:rPr>
            </w:pPr>
            <w:r>
              <w:rPr>
                <w:rFonts w:asciiTheme="minorEastAsia" w:hAnsiTheme="minorEastAsia"/>
                <w:sz w:val="21"/>
                <w:szCs w:val="21"/>
              </w:rPr>
              <w:t xml:space="preserve">2.3 </w:t>
            </w:r>
            <w:r>
              <w:rPr>
                <w:rFonts w:ascii="宋体" w:hAnsi="宋体" w:eastAsia="宋体"/>
                <w:sz w:val="21"/>
                <w:szCs w:val="21"/>
              </w:rPr>
              <w:t>柱管理器（CM-A）</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2.3.1 </w:t>
            </w:r>
            <w:r>
              <w:rPr>
                <w:rFonts w:ascii="宋体" w:hAnsi="宋体" w:eastAsia="宋体"/>
                <w:sz w:val="21"/>
                <w:szCs w:val="21"/>
              </w:rPr>
              <w:t>控温范围：</w:t>
            </w:r>
            <w:r>
              <w:rPr>
                <w:rFonts w:asciiTheme="minorEastAsia" w:hAnsiTheme="minorEastAsia"/>
                <w:sz w:val="21"/>
                <w:szCs w:val="21"/>
              </w:rPr>
              <w:t>4.0–</w:t>
            </w:r>
            <w:r>
              <w:rPr>
                <w:rFonts w:ascii="宋体" w:hAnsi="宋体" w:eastAsia="宋体"/>
                <w:sz w:val="21"/>
                <w:szCs w:val="21"/>
              </w:rPr>
              <w:t>90.0</w:t>
            </w:r>
            <w:r>
              <w:rPr>
                <w:rFonts w:hint="eastAsia" w:ascii="宋体" w:hAnsi="宋体" w:eastAsia="宋体"/>
                <w:sz w:val="21"/>
                <w:szCs w:val="21"/>
              </w:rPr>
              <w:t>℃</w:t>
            </w:r>
            <w:r>
              <w:rPr>
                <w:rFonts w:ascii="宋体" w:hAnsi="宋体" w:eastAsia="宋体"/>
                <w:sz w:val="21"/>
                <w:szCs w:val="21"/>
              </w:rPr>
              <w:t>，0.1</w:t>
            </w:r>
            <w:r>
              <w:rPr>
                <w:rFonts w:hint="eastAsia" w:ascii="宋体" w:hAnsi="宋体" w:eastAsia="宋体"/>
                <w:sz w:val="21"/>
                <w:szCs w:val="21"/>
              </w:rPr>
              <w:t>℃</w:t>
            </w:r>
            <w:r>
              <w:rPr>
                <w:rFonts w:ascii="宋体" w:hAnsi="宋体" w:eastAsia="宋体"/>
                <w:sz w:val="21"/>
                <w:szCs w:val="21"/>
              </w:rPr>
              <w:t>为增量</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2.3.2 </w:t>
            </w:r>
            <w:r>
              <w:rPr>
                <w:rFonts w:ascii="宋体" w:hAnsi="宋体" w:eastAsia="宋体"/>
                <w:sz w:val="21"/>
                <w:szCs w:val="21"/>
              </w:rPr>
              <w:t>控温准确度：±0.5</w:t>
            </w:r>
            <w:r>
              <w:rPr>
                <w:rFonts w:hint="eastAsia" w:ascii="宋体" w:hAnsi="宋体" w:eastAsia="宋体"/>
                <w:sz w:val="21"/>
                <w:szCs w:val="21"/>
              </w:rPr>
              <w:t>℃</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2.3.3 </w:t>
            </w:r>
            <w:r>
              <w:rPr>
                <w:rFonts w:ascii="宋体" w:hAnsi="宋体" w:eastAsia="宋体"/>
                <w:sz w:val="21"/>
                <w:szCs w:val="21"/>
              </w:rPr>
              <w:t>温度稳定性：±0.3</w:t>
            </w:r>
            <w:r>
              <w:rPr>
                <w:rFonts w:hint="eastAsia" w:ascii="宋体" w:hAnsi="宋体" w:eastAsia="宋体"/>
                <w:sz w:val="21"/>
                <w:szCs w:val="21"/>
              </w:rPr>
              <w:t>℃</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2.3.4 </w:t>
            </w:r>
            <w:r>
              <w:rPr>
                <w:rFonts w:ascii="宋体" w:hAnsi="宋体" w:eastAsia="宋体"/>
                <w:sz w:val="21"/>
                <w:szCs w:val="21"/>
              </w:rPr>
              <w:t>柱使用追踪：色谱柱有eCord信息管理器，自动记录使用记录。</w:t>
            </w:r>
          </w:p>
          <w:p>
            <w:pPr>
              <w:tabs>
                <w:tab w:val="left" w:pos="720"/>
              </w:tabs>
              <w:adjustRightInd/>
              <w:spacing w:line="400" w:lineRule="atLeast"/>
              <w:jc w:val="both"/>
              <w:textAlignment w:val="auto"/>
              <w:rPr>
                <w:rFonts w:ascii="宋体" w:hAnsi="宋体" w:eastAsia="宋体"/>
                <w:sz w:val="21"/>
                <w:szCs w:val="21"/>
              </w:rPr>
            </w:pPr>
            <w:r>
              <w:rPr>
                <w:rFonts w:asciiTheme="minorEastAsia" w:hAnsiTheme="minorEastAsia"/>
                <w:sz w:val="21"/>
                <w:szCs w:val="21"/>
              </w:rPr>
              <w:t xml:space="preserve">2.4 </w:t>
            </w:r>
            <w:r>
              <w:rPr>
                <w:rFonts w:ascii="宋体" w:hAnsi="宋体" w:eastAsia="宋体"/>
                <w:sz w:val="21"/>
                <w:szCs w:val="21"/>
              </w:rPr>
              <w:t>二极管阵列检测器</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2.4.1 </w:t>
            </w:r>
            <w:r>
              <w:rPr>
                <w:rFonts w:ascii="宋体" w:hAnsi="宋体" w:eastAsia="宋体"/>
                <w:sz w:val="21"/>
                <w:szCs w:val="21"/>
              </w:rPr>
              <w:t>波长范围：190 nm 到</w:t>
            </w:r>
            <w:r>
              <w:rPr>
                <w:rFonts w:asciiTheme="minorEastAsia" w:hAnsiTheme="minorEastAsia"/>
                <w:sz w:val="21"/>
                <w:szCs w:val="21"/>
              </w:rPr>
              <w:t>800</w:t>
            </w:r>
            <w:r>
              <w:rPr>
                <w:rFonts w:ascii="宋体" w:hAnsi="宋体" w:eastAsia="宋体"/>
                <w:sz w:val="21"/>
                <w:szCs w:val="21"/>
              </w:rPr>
              <w:t>nm</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2.4.2 </w:t>
            </w:r>
            <w:r>
              <w:rPr>
                <w:rFonts w:ascii="宋体" w:hAnsi="宋体" w:eastAsia="宋体"/>
                <w:sz w:val="21"/>
                <w:szCs w:val="21"/>
              </w:rPr>
              <w:t>光源：单灯系统，全程只用氘灯，不用钨灯</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2.4.3 </w:t>
            </w:r>
            <w:r>
              <w:rPr>
                <w:rFonts w:ascii="宋体" w:hAnsi="宋体" w:eastAsia="宋体"/>
                <w:sz w:val="21"/>
                <w:szCs w:val="21"/>
              </w:rPr>
              <w:t>数字分辨率：</w:t>
            </w:r>
            <w:r>
              <w:rPr>
                <w:rFonts w:hint="eastAsia" w:ascii="宋体" w:hAnsi="宋体" w:eastAsia="宋体"/>
                <w:sz w:val="21"/>
                <w:szCs w:val="21"/>
              </w:rPr>
              <w:t>不小于</w:t>
            </w:r>
            <w:r>
              <w:rPr>
                <w:rFonts w:ascii="宋体" w:hAnsi="宋体" w:eastAsia="宋体"/>
                <w:sz w:val="21"/>
                <w:szCs w:val="21"/>
              </w:rPr>
              <w:t>1.2nm</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2.4.4 </w:t>
            </w:r>
            <w:r>
              <w:rPr>
                <w:rFonts w:ascii="宋体" w:hAnsi="宋体" w:eastAsia="宋体"/>
                <w:sz w:val="21"/>
                <w:szCs w:val="21"/>
              </w:rPr>
              <w:t>波长准确度：≤1.0 nm</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2.4.5 </w:t>
            </w:r>
            <w:r>
              <w:rPr>
                <w:rFonts w:ascii="宋体" w:hAnsi="宋体" w:eastAsia="宋体"/>
                <w:sz w:val="21"/>
                <w:szCs w:val="21"/>
              </w:rPr>
              <w:t>波长重现性：≤0.1 nm</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2.4.6 </w:t>
            </w:r>
            <w:r>
              <w:rPr>
                <w:rFonts w:ascii="宋体" w:hAnsi="宋体" w:eastAsia="宋体"/>
                <w:sz w:val="21"/>
                <w:szCs w:val="21"/>
              </w:rPr>
              <w:t>基线噪音：≤15×10-6AU</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2.4.7 </w:t>
            </w:r>
            <w:r>
              <w:rPr>
                <w:rFonts w:ascii="宋体" w:hAnsi="宋体" w:eastAsia="宋体"/>
                <w:sz w:val="21"/>
                <w:szCs w:val="21"/>
              </w:rPr>
              <w:t>基线漂移：≤1.0×10-3AU/hour</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2.4.8 </w:t>
            </w:r>
            <w:r>
              <w:rPr>
                <w:rFonts w:ascii="宋体" w:hAnsi="宋体" w:eastAsia="宋体"/>
                <w:sz w:val="21"/>
                <w:szCs w:val="21"/>
              </w:rPr>
              <w:t>采样率：≤80Hz</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2.4.9 </w:t>
            </w:r>
            <w:r>
              <w:rPr>
                <w:rFonts w:ascii="宋体" w:hAnsi="宋体" w:eastAsia="宋体"/>
                <w:sz w:val="21"/>
                <w:szCs w:val="21"/>
              </w:rPr>
              <w:t>流通池体积：≤500nL</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2.4.10 </w:t>
            </w:r>
            <w:r>
              <w:rPr>
                <w:rFonts w:ascii="宋体" w:hAnsi="宋体" w:eastAsia="宋体"/>
                <w:sz w:val="21"/>
                <w:szCs w:val="21"/>
              </w:rPr>
              <w:t>光程：</w:t>
            </w:r>
            <w:r>
              <w:rPr>
                <w:rFonts w:hint="eastAsia" w:ascii="宋体" w:hAnsi="宋体" w:eastAsia="宋体"/>
                <w:sz w:val="21"/>
                <w:szCs w:val="21"/>
              </w:rPr>
              <w:t>≥</w:t>
            </w:r>
            <w:r>
              <w:rPr>
                <w:rFonts w:ascii="宋体" w:hAnsi="宋体" w:eastAsia="宋体"/>
                <w:sz w:val="21"/>
                <w:szCs w:val="21"/>
              </w:rPr>
              <w:t>10mm</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2.4.11 </w:t>
            </w:r>
            <w:r>
              <w:rPr>
                <w:rFonts w:ascii="宋体" w:hAnsi="宋体" w:eastAsia="宋体"/>
                <w:sz w:val="21"/>
                <w:szCs w:val="21"/>
              </w:rPr>
              <w:t>操作压力：</w:t>
            </w:r>
            <w:r>
              <w:rPr>
                <w:rFonts w:hint="eastAsia" w:ascii="宋体" w:hAnsi="宋体" w:eastAsia="宋体"/>
                <w:sz w:val="21"/>
                <w:szCs w:val="21"/>
              </w:rPr>
              <w:t>≥</w:t>
            </w:r>
            <w:r>
              <w:rPr>
                <w:rFonts w:ascii="宋体" w:hAnsi="宋体" w:eastAsia="宋体"/>
                <w:sz w:val="21"/>
                <w:szCs w:val="21"/>
              </w:rPr>
              <w:t>1000psi</w:t>
            </w:r>
          </w:p>
          <w:p>
            <w:pPr>
              <w:tabs>
                <w:tab w:val="left" w:pos="720"/>
              </w:tabs>
              <w:adjustRightInd/>
              <w:spacing w:line="400" w:lineRule="atLeast"/>
              <w:jc w:val="both"/>
              <w:textAlignment w:val="auto"/>
              <w:rPr>
                <w:rFonts w:ascii="宋体" w:hAnsi="宋体" w:eastAsia="宋体"/>
                <w:b/>
                <w:sz w:val="21"/>
                <w:szCs w:val="21"/>
              </w:rPr>
            </w:pPr>
            <w:r>
              <w:rPr>
                <w:rFonts w:asciiTheme="minorEastAsia" w:hAnsiTheme="minorEastAsia"/>
                <w:sz w:val="21"/>
                <w:szCs w:val="21"/>
              </w:rPr>
              <w:t xml:space="preserve">2.5 </w:t>
            </w:r>
            <w:r>
              <w:rPr>
                <w:rFonts w:ascii="宋体" w:hAnsi="宋体" w:eastAsia="宋体"/>
                <w:sz w:val="21"/>
                <w:szCs w:val="21"/>
              </w:rPr>
              <w:t>色谱软件</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2.5.1 </w:t>
            </w:r>
            <w:r>
              <w:rPr>
                <w:rFonts w:ascii="宋体" w:hAnsi="宋体" w:eastAsia="宋体"/>
                <w:sz w:val="21"/>
                <w:szCs w:val="21"/>
              </w:rPr>
              <w:t>是在最新Windows 7（64位）操作系统下编写和测试，支持多窗口、多任务的操作模式。</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2.5.2 </w:t>
            </w:r>
            <w:r>
              <w:rPr>
                <w:rFonts w:ascii="宋体" w:hAnsi="宋体" w:eastAsia="宋体"/>
                <w:sz w:val="21"/>
                <w:szCs w:val="21"/>
              </w:rPr>
              <w:t>可以双向连接（仪器控制和数据采集）本厂的各种泵和检测器（紫外、示差、二极管阵列、蒸发光散射、荧光、电化学、电导、单级质谱），也可以控制和采集其它厂商的气相和液相系统数据。</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2.5.3 </w:t>
            </w:r>
            <w:r>
              <w:rPr>
                <w:rFonts w:ascii="宋体" w:hAnsi="宋体" w:eastAsia="宋体"/>
                <w:sz w:val="21"/>
                <w:szCs w:val="21"/>
              </w:rPr>
              <w:t>原厂源代码级全中文版，其中包括在线帮助采用简体中文。</w:t>
            </w:r>
          </w:p>
          <w:p>
            <w:pPr>
              <w:tabs>
                <w:tab w:val="left" w:pos="720"/>
              </w:tabs>
              <w:adjustRightInd/>
              <w:spacing w:line="400" w:lineRule="atLeast"/>
              <w:jc w:val="both"/>
              <w:textAlignment w:val="auto"/>
              <w:rPr>
                <w:rFonts w:ascii="宋体" w:hAnsi="宋体" w:eastAsia="宋体"/>
                <w:b/>
                <w:sz w:val="21"/>
                <w:szCs w:val="21"/>
              </w:rPr>
            </w:pPr>
            <w:r>
              <w:rPr>
                <w:rFonts w:hint="eastAsia" w:ascii="宋体" w:hAnsi="宋体"/>
                <w:b/>
                <w:bCs/>
                <w:color w:val="000000"/>
                <w:sz w:val="21"/>
                <w:szCs w:val="21"/>
              </w:rPr>
              <w:t>*</w:t>
            </w:r>
            <w:r>
              <w:rPr>
                <w:rFonts w:asciiTheme="minorEastAsia" w:hAnsiTheme="minorEastAsia"/>
                <w:b/>
                <w:sz w:val="21"/>
                <w:szCs w:val="21"/>
              </w:rPr>
              <w:t>2.5.4</w:t>
            </w:r>
            <w:r>
              <w:rPr>
                <w:rFonts w:ascii="宋体" w:hAnsi="宋体" w:eastAsia="宋体"/>
                <w:b/>
                <w:sz w:val="21"/>
                <w:szCs w:val="21"/>
              </w:rPr>
              <w:t>内置ORACLE®</w:t>
            </w:r>
            <w:r>
              <w:rPr>
                <w:rFonts w:hint="eastAsia" w:ascii="宋体" w:hAnsi="宋体" w:eastAsia="宋体"/>
                <w:b/>
                <w:sz w:val="21"/>
                <w:szCs w:val="21"/>
              </w:rPr>
              <w:t>（甲骨文第三方数据库）</w:t>
            </w:r>
            <w:r>
              <w:rPr>
                <w:rFonts w:ascii="宋体" w:hAnsi="宋体" w:eastAsia="宋体"/>
                <w:b/>
                <w:sz w:val="21"/>
                <w:szCs w:val="21"/>
              </w:rPr>
              <w:t xml:space="preserve"> 11g版图文数据库：强大的数据管理功能，保证数据的完整性和安全性。原始数据、仪器条件和处理参数等信息的关联由软件自动建立，用户无需记忆就能找到相应的信息。在数据库中，用户可以采用各种检索方式从大量的数据中取出想要的数据。</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2.5.5 </w:t>
            </w:r>
            <w:r>
              <w:rPr>
                <w:rFonts w:ascii="宋体" w:hAnsi="宋体" w:eastAsia="宋体"/>
                <w:sz w:val="21"/>
                <w:szCs w:val="21"/>
              </w:rPr>
              <w:t>多级操作界面：操作者可根据需要，选择不同操作界面，适合初学者使用、常规实验分析和专家级分析。</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2.5.6 </w:t>
            </w:r>
            <w:r>
              <w:rPr>
                <w:rFonts w:ascii="宋体" w:hAnsi="宋体" w:eastAsia="宋体"/>
                <w:sz w:val="21"/>
                <w:szCs w:val="21"/>
              </w:rPr>
              <w:t>报告的编辑和排版：结果可以有单个报告或综合报告。报告的版式可以编排，操作向导模式和在线帮助功能：只需按照指南要求进行操作即可执行相应的功能。</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2.5.7 </w:t>
            </w:r>
            <w:r>
              <w:rPr>
                <w:rFonts w:ascii="宋体" w:hAnsi="宋体" w:eastAsia="宋体"/>
                <w:sz w:val="21"/>
                <w:szCs w:val="21"/>
              </w:rPr>
              <w:t>具有数据安全性：符合cGMP/GLP和21 CFR Part 11法规的要求。登录时输入用户名和密码，每个使用者可以使用各自的用户名，密码和权限，相互之间的数据互相独立，互不干扰，防止了数据的误删除。</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2.5.8 </w:t>
            </w:r>
            <w:r>
              <w:rPr>
                <w:rFonts w:ascii="宋体" w:hAnsi="宋体" w:eastAsia="宋体"/>
                <w:sz w:val="21"/>
                <w:szCs w:val="21"/>
              </w:rPr>
              <w:t>可以进行色谱峰的积分和标定。</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2.5.9 </w:t>
            </w:r>
            <w:r>
              <w:rPr>
                <w:rFonts w:ascii="宋体" w:hAnsi="宋体" w:eastAsia="宋体"/>
                <w:sz w:val="21"/>
                <w:szCs w:val="21"/>
              </w:rPr>
              <w:t>支持多种定量曲线方式。</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2.5.10 </w:t>
            </w:r>
            <w:r>
              <w:rPr>
                <w:rFonts w:ascii="宋体" w:hAnsi="宋体" w:eastAsia="宋体"/>
                <w:sz w:val="21"/>
                <w:szCs w:val="21"/>
              </w:rPr>
              <w:t>可以对色谱峰建立各种积分方式和积分事件。</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2.5.11 </w:t>
            </w:r>
            <w:r>
              <w:rPr>
                <w:rFonts w:ascii="宋体" w:hAnsi="宋体" w:eastAsia="宋体"/>
                <w:sz w:val="21"/>
                <w:szCs w:val="21"/>
              </w:rPr>
              <w:t>直观而强大的谱图比较功能。对光电二极管检测器的数据可以建立光谱谱库；可以对色谱峰进行纯度分析以判断是否有共流出物。</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2.5.12 </w:t>
            </w:r>
            <w:r>
              <w:rPr>
                <w:rFonts w:ascii="宋体" w:hAnsi="宋体" w:eastAsia="宋体"/>
                <w:sz w:val="21"/>
                <w:szCs w:val="21"/>
              </w:rPr>
              <w:t>用溶剂角及噪音角计算色谱峰一致性。</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2.5.13 </w:t>
            </w:r>
            <w:r>
              <w:rPr>
                <w:rFonts w:ascii="宋体" w:hAnsi="宋体" w:eastAsia="宋体"/>
                <w:sz w:val="21"/>
                <w:szCs w:val="21"/>
              </w:rPr>
              <w:t>三维光谱图可以任意转动。</w:t>
            </w: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 xml:space="preserve">2.5.14 </w:t>
            </w:r>
            <w:r>
              <w:rPr>
                <w:rFonts w:ascii="宋体" w:hAnsi="宋体" w:eastAsia="宋体"/>
                <w:sz w:val="21"/>
                <w:szCs w:val="21"/>
              </w:rPr>
              <w:t>原始数据和结果可通过多种方式输出到其它软件中（如Excel/PDF等）。</w:t>
            </w:r>
          </w:p>
          <w:p>
            <w:pPr>
              <w:tabs>
                <w:tab w:val="left" w:pos="720"/>
              </w:tabs>
              <w:spacing w:line="400" w:lineRule="atLeast"/>
              <w:jc w:val="both"/>
              <w:rPr>
                <w:rFonts w:ascii="宋体" w:hAnsi="宋体" w:eastAsia="宋体"/>
                <w:sz w:val="21"/>
                <w:szCs w:val="21"/>
              </w:rPr>
            </w:pPr>
          </w:p>
          <w:p>
            <w:pPr>
              <w:tabs>
                <w:tab w:val="left" w:pos="720"/>
              </w:tabs>
              <w:adjustRightInd/>
              <w:spacing w:line="400" w:lineRule="atLeast"/>
              <w:jc w:val="both"/>
              <w:textAlignment w:val="auto"/>
              <w:rPr>
                <w:rFonts w:ascii="宋体" w:hAnsi="宋体" w:eastAsia="宋体"/>
                <w:sz w:val="21"/>
                <w:szCs w:val="21"/>
              </w:rPr>
            </w:pPr>
            <w:r>
              <w:rPr>
                <w:rFonts w:hint="eastAsia" w:asciiTheme="minorEastAsia" w:hAnsiTheme="minorEastAsia"/>
                <w:sz w:val="21"/>
                <w:szCs w:val="21"/>
              </w:rPr>
              <w:t>三、</w:t>
            </w:r>
            <w:r>
              <w:rPr>
                <w:rFonts w:hint="eastAsia" w:ascii="宋体" w:hAnsi="宋体" w:eastAsia="宋体"/>
                <w:sz w:val="21"/>
                <w:szCs w:val="21"/>
              </w:rPr>
              <w:t>质保期与售后服务</w:t>
            </w:r>
          </w:p>
          <w:p>
            <w:pPr>
              <w:tabs>
                <w:tab w:val="left" w:pos="720"/>
              </w:tabs>
              <w:spacing w:line="400" w:lineRule="atLeast"/>
              <w:jc w:val="both"/>
              <w:rPr>
                <w:rFonts w:ascii="宋体" w:hAnsi="宋体" w:eastAsia="宋体"/>
                <w:sz w:val="21"/>
                <w:szCs w:val="21"/>
              </w:rPr>
            </w:pPr>
            <w:r>
              <w:rPr>
                <w:rFonts w:hint="eastAsia" w:asciiTheme="minorEastAsia" w:hAnsiTheme="minorEastAsia"/>
                <w:sz w:val="21"/>
                <w:szCs w:val="21"/>
              </w:rPr>
              <w:t>1、</w:t>
            </w:r>
            <w:r>
              <w:rPr>
                <w:rFonts w:hint="eastAsia" w:ascii="宋体" w:hAnsi="宋体" w:eastAsia="宋体"/>
                <w:sz w:val="21"/>
                <w:szCs w:val="21"/>
              </w:rPr>
              <w:t>整机免费保修一年，色谱操作软件终身免费升级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8" w:type="dxa"/>
            <w:vAlign w:val="center"/>
          </w:tcPr>
          <w:p>
            <w:pPr>
              <w:jc w:val="center"/>
              <w:rPr>
                <w:rFonts w:ascii="宋体" w:hAnsi="宋体" w:eastAsia="宋体"/>
                <w:sz w:val="21"/>
                <w:szCs w:val="21"/>
              </w:rPr>
            </w:pPr>
            <w:r>
              <w:rPr>
                <w:rFonts w:hint="eastAsia" w:ascii="宋体" w:hAnsi="宋体" w:eastAsia="宋体"/>
                <w:sz w:val="21"/>
                <w:szCs w:val="21"/>
              </w:rPr>
              <w:t>2</w:t>
            </w:r>
          </w:p>
        </w:tc>
        <w:tc>
          <w:tcPr>
            <w:tcW w:w="1307" w:type="dxa"/>
            <w:vAlign w:val="center"/>
          </w:tcPr>
          <w:p>
            <w:pPr>
              <w:jc w:val="center"/>
              <w:rPr>
                <w:rFonts w:ascii="宋体" w:hAnsi="宋体" w:eastAsia="宋体"/>
                <w:sz w:val="21"/>
                <w:szCs w:val="21"/>
              </w:rPr>
            </w:pPr>
            <w:r>
              <w:rPr>
                <w:rFonts w:hint="eastAsia" w:ascii="宋体" w:hAnsi="宋体" w:eastAsia="宋体"/>
                <w:sz w:val="21"/>
                <w:szCs w:val="21"/>
              </w:rPr>
              <w:t>制备型高效液相色谱仪</w:t>
            </w:r>
          </w:p>
        </w:tc>
        <w:tc>
          <w:tcPr>
            <w:tcW w:w="802" w:type="dxa"/>
            <w:vAlign w:val="center"/>
          </w:tcPr>
          <w:p>
            <w:pPr>
              <w:jc w:val="center"/>
              <w:rPr>
                <w:rFonts w:ascii="宋体" w:hAnsi="宋体" w:eastAsia="宋体"/>
                <w:sz w:val="21"/>
                <w:szCs w:val="21"/>
              </w:rPr>
            </w:pPr>
            <w:r>
              <w:rPr>
                <w:rFonts w:hint="eastAsia" w:ascii="宋体" w:hAnsi="宋体" w:eastAsia="宋体"/>
                <w:sz w:val="21"/>
                <w:szCs w:val="21"/>
              </w:rPr>
              <w:t>1台</w:t>
            </w:r>
          </w:p>
        </w:tc>
        <w:tc>
          <w:tcPr>
            <w:tcW w:w="5939" w:type="dxa"/>
            <w:vAlign w:val="center"/>
          </w:tcPr>
          <w:p>
            <w:pPr>
              <w:numPr>
                <w:ilvl w:val="0"/>
                <w:numId w:val="21"/>
              </w:numPr>
              <w:adjustRightInd/>
              <w:spacing w:line="240" w:lineRule="auto"/>
              <w:jc w:val="both"/>
              <w:textAlignment w:val="auto"/>
              <w:rPr>
                <w:rFonts w:ascii="宋体" w:hAnsi="宋体" w:eastAsia="宋体"/>
                <w:sz w:val="21"/>
                <w:szCs w:val="21"/>
              </w:rPr>
            </w:pPr>
            <w:r>
              <w:rPr>
                <w:rFonts w:hint="eastAsia" w:ascii="宋体" w:hAnsi="宋体" w:eastAsia="宋体"/>
                <w:sz w:val="21"/>
                <w:szCs w:val="21"/>
              </w:rPr>
              <w:t>配置要求</w:t>
            </w:r>
          </w:p>
          <w:p>
            <w:pPr>
              <w:jc w:val="both"/>
              <w:rPr>
                <w:rFonts w:ascii="宋体" w:hAnsi="宋体" w:eastAsia="宋体"/>
                <w:bCs/>
                <w:sz w:val="21"/>
                <w:szCs w:val="21"/>
              </w:rPr>
            </w:pPr>
            <w:r>
              <w:rPr>
                <w:rFonts w:ascii="宋体" w:hAnsi="宋体" w:eastAsia="宋体"/>
                <w:bCs/>
                <w:sz w:val="21"/>
                <w:szCs w:val="21"/>
              </w:rPr>
              <w:t>1. 全制备型二元高压梯度泵</w:t>
            </w:r>
            <w:r>
              <w:rPr>
                <w:rFonts w:hint="eastAsia" w:ascii="宋体" w:hAnsi="宋体" w:eastAsia="宋体"/>
                <w:bCs/>
                <w:sz w:val="21"/>
                <w:szCs w:val="21"/>
              </w:rPr>
              <w:t>1</w:t>
            </w:r>
            <w:r>
              <w:rPr>
                <w:rFonts w:ascii="宋体" w:hAnsi="宋体" w:eastAsia="宋体"/>
                <w:bCs/>
                <w:sz w:val="21"/>
                <w:szCs w:val="21"/>
              </w:rPr>
              <w:t>台（含系统工具包、毛细管工具包）</w:t>
            </w:r>
          </w:p>
          <w:p>
            <w:pPr>
              <w:jc w:val="both"/>
              <w:rPr>
                <w:rFonts w:ascii="宋体" w:hAnsi="宋体" w:eastAsia="宋体"/>
                <w:bCs/>
                <w:sz w:val="21"/>
                <w:szCs w:val="21"/>
              </w:rPr>
            </w:pPr>
            <w:r>
              <w:rPr>
                <w:rFonts w:ascii="宋体" w:hAnsi="宋体" w:eastAsia="宋体"/>
                <w:bCs/>
                <w:sz w:val="21"/>
                <w:szCs w:val="21"/>
              </w:rPr>
              <w:t>2．手动进样器</w:t>
            </w:r>
            <w:r>
              <w:rPr>
                <w:rFonts w:hint="eastAsia" w:ascii="宋体" w:hAnsi="宋体" w:eastAsia="宋体"/>
                <w:bCs/>
                <w:sz w:val="21"/>
                <w:szCs w:val="21"/>
              </w:rPr>
              <w:t>1</w:t>
            </w:r>
            <w:r>
              <w:rPr>
                <w:rFonts w:ascii="宋体" w:hAnsi="宋体" w:eastAsia="宋体"/>
                <w:bCs/>
                <w:sz w:val="21"/>
                <w:szCs w:val="21"/>
              </w:rPr>
              <w:t>台</w:t>
            </w:r>
          </w:p>
          <w:p>
            <w:pPr>
              <w:jc w:val="both"/>
              <w:rPr>
                <w:rFonts w:ascii="宋体" w:hAnsi="宋体" w:eastAsia="宋体"/>
                <w:bCs/>
                <w:sz w:val="21"/>
                <w:szCs w:val="21"/>
              </w:rPr>
            </w:pPr>
            <w:r>
              <w:rPr>
                <w:rFonts w:ascii="宋体" w:hAnsi="宋体" w:eastAsia="宋体"/>
                <w:bCs/>
                <w:sz w:val="21"/>
                <w:szCs w:val="21"/>
              </w:rPr>
              <w:t>3. 可变波长紫外检测器</w:t>
            </w:r>
            <w:r>
              <w:rPr>
                <w:rFonts w:hint="eastAsia" w:ascii="宋体" w:hAnsi="宋体" w:eastAsia="宋体"/>
                <w:bCs/>
                <w:sz w:val="21"/>
                <w:szCs w:val="21"/>
              </w:rPr>
              <w:t>1</w:t>
            </w:r>
            <w:r>
              <w:rPr>
                <w:rFonts w:ascii="宋体" w:hAnsi="宋体" w:eastAsia="宋体"/>
                <w:bCs/>
                <w:sz w:val="21"/>
                <w:szCs w:val="21"/>
              </w:rPr>
              <w:t>台</w:t>
            </w:r>
          </w:p>
          <w:p>
            <w:pPr>
              <w:jc w:val="both"/>
              <w:rPr>
                <w:rFonts w:ascii="宋体" w:hAnsi="宋体" w:eastAsia="宋体"/>
                <w:bCs/>
                <w:sz w:val="21"/>
                <w:szCs w:val="21"/>
              </w:rPr>
            </w:pPr>
            <w:r>
              <w:rPr>
                <w:rFonts w:ascii="宋体" w:hAnsi="宋体" w:eastAsia="宋体"/>
                <w:bCs/>
                <w:sz w:val="21"/>
                <w:szCs w:val="21"/>
              </w:rPr>
              <w:t>4. 色谱软件</w:t>
            </w:r>
            <w:r>
              <w:rPr>
                <w:rFonts w:hint="eastAsia" w:ascii="宋体" w:hAnsi="宋体" w:eastAsia="宋体"/>
                <w:bCs/>
                <w:sz w:val="21"/>
                <w:szCs w:val="21"/>
              </w:rPr>
              <w:t>1</w:t>
            </w:r>
            <w:r>
              <w:rPr>
                <w:rFonts w:ascii="宋体" w:hAnsi="宋体" w:eastAsia="宋体"/>
                <w:bCs/>
                <w:sz w:val="21"/>
                <w:szCs w:val="21"/>
              </w:rPr>
              <w:t>个</w:t>
            </w:r>
          </w:p>
          <w:p>
            <w:pPr>
              <w:widowControl/>
              <w:snapToGrid w:val="0"/>
              <w:jc w:val="both"/>
              <w:rPr>
                <w:rFonts w:ascii="宋体" w:hAnsi="宋体" w:eastAsia="宋体"/>
                <w:bCs/>
                <w:sz w:val="21"/>
                <w:szCs w:val="21"/>
              </w:rPr>
            </w:pPr>
            <w:r>
              <w:rPr>
                <w:rFonts w:ascii="宋体" w:hAnsi="宋体" w:eastAsia="宋体"/>
                <w:bCs/>
                <w:sz w:val="21"/>
                <w:szCs w:val="21"/>
              </w:rPr>
              <w:t>5. 正、反相专用出入口阀及密封圈各</w:t>
            </w:r>
            <w:r>
              <w:rPr>
                <w:rFonts w:hint="eastAsia" w:ascii="宋体" w:hAnsi="宋体" w:eastAsia="宋体"/>
                <w:bCs/>
                <w:sz w:val="21"/>
                <w:szCs w:val="21"/>
              </w:rPr>
              <w:t>1</w:t>
            </w:r>
            <w:r>
              <w:rPr>
                <w:rFonts w:ascii="宋体" w:hAnsi="宋体" w:eastAsia="宋体"/>
                <w:bCs/>
                <w:sz w:val="21"/>
                <w:szCs w:val="21"/>
              </w:rPr>
              <w:t>套；</w:t>
            </w:r>
          </w:p>
          <w:p>
            <w:pPr>
              <w:jc w:val="both"/>
              <w:rPr>
                <w:rFonts w:asciiTheme="minorEastAsia" w:hAnsiTheme="minorEastAsia"/>
                <w:bCs/>
                <w:sz w:val="21"/>
                <w:szCs w:val="21"/>
              </w:rPr>
            </w:pPr>
            <w:r>
              <w:rPr>
                <w:rFonts w:ascii="宋体" w:hAnsi="宋体" w:eastAsia="宋体"/>
                <w:bCs/>
                <w:sz w:val="21"/>
                <w:szCs w:val="21"/>
              </w:rPr>
              <w:t>6. 电脑</w:t>
            </w:r>
            <w:r>
              <w:rPr>
                <w:rFonts w:hint="eastAsia" w:ascii="宋体" w:hAnsi="宋体" w:eastAsia="宋体"/>
                <w:bCs/>
                <w:sz w:val="21"/>
                <w:szCs w:val="21"/>
              </w:rPr>
              <w:t>1</w:t>
            </w:r>
            <w:r>
              <w:rPr>
                <w:rFonts w:ascii="宋体" w:hAnsi="宋体" w:eastAsia="宋体"/>
                <w:bCs/>
                <w:sz w:val="21"/>
                <w:szCs w:val="21"/>
              </w:rPr>
              <w:t>套</w:t>
            </w:r>
            <w:r>
              <w:rPr>
                <w:rFonts w:hint="eastAsia" w:ascii="宋体" w:hAnsi="宋体" w:eastAsia="宋体"/>
                <w:bCs/>
                <w:sz w:val="21"/>
                <w:szCs w:val="21"/>
              </w:rPr>
              <w:t>（配置不低于CPU:i5-6500，内存:4G，硬盘:1TB，显示器:</w:t>
            </w:r>
            <w:r>
              <w:rPr>
                <w:rFonts w:ascii="宋体" w:hAnsi="宋体" w:eastAsia="宋体"/>
                <w:bCs/>
                <w:sz w:val="21"/>
                <w:szCs w:val="21"/>
              </w:rPr>
              <w:t xml:space="preserve"> </w:t>
            </w:r>
            <w:r>
              <w:rPr>
                <w:rFonts w:hint="eastAsia" w:ascii="宋体" w:hAnsi="宋体" w:eastAsia="宋体"/>
                <w:bCs/>
                <w:sz w:val="21"/>
                <w:szCs w:val="21"/>
              </w:rPr>
              <w:t>19.5英寸，操作系统:</w:t>
            </w:r>
            <w:r>
              <w:rPr>
                <w:rFonts w:ascii="宋体" w:hAnsi="宋体" w:eastAsia="宋体"/>
                <w:bCs/>
                <w:sz w:val="21"/>
                <w:szCs w:val="21"/>
              </w:rPr>
              <w:t xml:space="preserve"> win</w:t>
            </w:r>
            <w:r>
              <w:rPr>
                <w:rFonts w:hint="eastAsia" w:ascii="宋体" w:hAnsi="宋体" w:eastAsia="宋体"/>
                <w:bCs/>
                <w:sz w:val="21"/>
                <w:szCs w:val="21"/>
              </w:rPr>
              <w:t>10 64位专业版</w:t>
            </w:r>
            <w:r>
              <w:rPr>
                <w:rFonts w:hint="eastAsia" w:eastAsia="宋体" w:asciiTheme="minorEastAsia" w:hAnsiTheme="minorEastAsia"/>
                <w:bCs/>
                <w:sz w:val="21"/>
                <w:szCs w:val="21"/>
              </w:rPr>
              <w:t>）</w:t>
            </w:r>
          </w:p>
          <w:p>
            <w:pPr>
              <w:jc w:val="both"/>
              <w:rPr>
                <w:rFonts w:ascii="宋体" w:hAnsi="宋体" w:eastAsia="宋体"/>
                <w:sz w:val="21"/>
                <w:szCs w:val="21"/>
              </w:rPr>
            </w:pPr>
          </w:p>
          <w:p>
            <w:pPr>
              <w:numPr>
                <w:ilvl w:val="0"/>
                <w:numId w:val="21"/>
              </w:numPr>
              <w:adjustRightInd/>
              <w:spacing w:line="240" w:lineRule="auto"/>
              <w:jc w:val="both"/>
              <w:textAlignment w:val="auto"/>
              <w:rPr>
                <w:rFonts w:ascii="宋体" w:hAnsi="宋体" w:eastAsia="宋体"/>
                <w:sz w:val="21"/>
                <w:szCs w:val="21"/>
              </w:rPr>
            </w:pPr>
            <w:r>
              <w:rPr>
                <w:rFonts w:hint="eastAsia" w:ascii="宋体" w:hAnsi="宋体" w:eastAsia="宋体"/>
                <w:sz w:val="21"/>
                <w:szCs w:val="21"/>
              </w:rPr>
              <w:t>技术参数与性能指标要求</w:t>
            </w:r>
          </w:p>
          <w:p>
            <w:pPr>
              <w:spacing w:line="400" w:lineRule="exact"/>
              <w:jc w:val="both"/>
              <w:rPr>
                <w:rFonts w:ascii="宋体" w:hAnsi="宋体" w:eastAsia="宋体"/>
                <w:sz w:val="21"/>
                <w:szCs w:val="21"/>
              </w:rPr>
            </w:pPr>
            <w:r>
              <w:rPr>
                <w:rFonts w:ascii="宋体" w:hAnsi="宋体" w:eastAsia="宋体"/>
                <w:sz w:val="21"/>
                <w:szCs w:val="21"/>
              </w:rPr>
              <w:t>1 全制备型二元高压梯度泵</w:t>
            </w:r>
          </w:p>
          <w:p>
            <w:pPr>
              <w:spacing w:line="400" w:lineRule="exact"/>
              <w:jc w:val="both"/>
              <w:rPr>
                <w:rFonts w:ascii="宋体" w:hAnsi="宋体" w:eastAsia="宋体"/>
                <w:b/>
                <w:bCs/>
                <w:sz w:val="21"/>
                <w:szCs w:val="21"/>
              </w:rPr>
            </w:pPr>
            <w:r>
              <w:rPr>
                <w:rFonts w:hint="eastAsia" w:ascii="宋体" w:hAnsi="宋体"/>
                <w:b/>
                <w:bCs/>
                <w:color w:val="000000"/>
                <w:sz w:val="21"/>
                <w:szCs w:val="21"/>
              </w:rPr>
              <w:t>*</w:t>
            </w:r>
            <w:r>
              <w:rPr>
                <w:rFonts w:ascii="宋体" w:hAnsi="宋体" w:eastAsia="宋体"/>
                <w:b/>
                <w:bCs/>
                <w:sz w:val="21"/>
                <w:szCs w:val="21"/>
              </w:rPr>
              <w:t>1.1 压力操作范围不低于：42MPa</w:t>
            </w:r>
          </w:p>
          <w:p>
            <w:pPr>
              <w:spacing w:line="400" w:lineRule="exact"/>
              <w:jc w:val="both"/>
              <w:rPr>
                <w:rFonts w:ascii="宋体" w:hAnsi="宋体" w:eastAsia="宋体"/>
                <w:bCs/>
                <w:sz w:val="21"/>
                <w:szCs w:val="21"/>
              </w:rPr>
            </w:pPr>
            <w:r>
              <w:rPr>
                <w:rFonts w:ascii="宋体" w:hAnsi="宋体" w:eastAsia="宋体"/>
                <w:bCs/>
                <w:sz w:val="21"/>
                <w:szCs w:val="21"/>
              </w:rPr>
              <w:t>1.2 压缩补偿：预定义或根据流动相种类压缩</w:t>
            </w:r>
          </w:p>
          <w:p>
            <w:pPr>
              <w:spacing w:line="400" w:lineRule="exact"/>
              <w:jc w:val="both"/>
              <w:rPr>
                <w:rFonts w:ascii="宋体" w:hAnsi="宋体" w:eastAsia="宋体"/>
                <w:bCs/>
                <w:sz w:val="21"/>
                <w:szCs w:val="21"/>
              </w:rPr>
            </w:pPr>
            <w:r>
              <w:rPr>
                <w:rFonts w:ascii="宋体" w:hAnsi="宋体" w:eastAsia="宋体"/>
                <w:bCs/>
                <w:sz w:val="21"/>
                <w:szCs w:val="21"/>
              </w:rPr>
              <w:t>1.3 可设流速范围：</w:t>
            </w:r>
            <w:r>
              <w:rPr>
                <w:rFonts w:asciiTheme="minorEastAsia" w:hAnsiTheme="minorEastAsia"/>
                <w:bCs/>
                <w:sz w:val="21"/>
                <w:szCs w:val="21"/>
              </w:rPr>
              <w:t>0.01-</w:t>
            </w:r>
            <w:r>
              <w:rPr>
                <w:rFonts w:ascii="宋体" w:hAnsi="宋体" w:eastAsia="宋体"/>
                <w:bCs/>
                <w:sz w:val="21"/>
                <w:szCs w:val="21"/>
              </w:rPr>
              <w:t>50 mL/min, 0.01ml/min增量</w:t>
            </w:r>
          </w:p>
          <w:p>
            <w:pPr>
              <w:spacing w:line="400" w:lineRule="exact"/>
              <w:jc w:val="both"/>
              <w:rPr>
                <w:rFonts w:ascii="宋体" w:hAnsi="宋体" w:eastAsia="宋体"/>
                <w:bCs/>
                <w:sz w:val="21"/>
                <w:szCs w:val="21"/>
              </w:rPr>
            </w:pPr>
            <w:r>
              <w:rPr>
                <w:rFonts w:ascii="宋体" w:hAnsi="宋体" w:eastAsia="宋体"/>
                <w:bCs/>
                <w:sz w:val="21"/>
                <w:szCs w:val="21"/>
              </w:rPr>
              <w:t>1.4 推荐pH范围：</w:t>
            </w:r>
            <w:r>
              <w:rPr>
                <w:rFonts w:asciiTheme="minorEastAsia" w:hAnsiTheme="minorEastAsia"/>
                <w:bCs/>
                <w:sz w:val="21"/>
                <w:szCs w:val="21"/>
              </w:rPr>
              <w:t>1.0-</w:t>
            </w:r>
            <w:r>
              <w:rPr>
                <w:rFonts w:ascii="宋体" w:hAnsi="宋体" w:eastAsia="宋体"/>
                <w:bCs/>
                <w:sz w:val="21"/>
                <w:szCs w:val="21"/>
              </w:rPr>
              <w:t>12.5</w:t>
            </w:r>
          </w:p>
          <w:p>
            <w:pPr>
              <w:spacing w:line="400" w:lineRule="exact"/>
              <w:jc w:val="both"/>
              <w:rPr>
                <w:rFonts w:ascii="宋体" w:hAnsi="宋体" w:eastAsia="宋体"/>
                <w:bCs/>
                <w:sz w:val="21"/>
                <w:szCs w:val="21"/>
              </w:rPr>
            </w:pPr>
            <w:r>
              <w:rPr>
                <w:rFonts w:ascii="宋体" w:hAnsi="宋体" w:eastAsia="宋体"/>
                <w:bCs/>
                <w:sz w:val="21"/>
                <w:szCs w:val="21"/>
              </w:rPr>
              <w:t>1.5 梯度方式：高压梯度混合</w:t>
            </w:r>
          </w:p>
          <w:p>
            <w:pPr>
              <w:spacing w:line="400" w:lineRule="exact"/>
              <w:jc w:val="both"/>
              <w:rPr>
                <w:rFonts w:ascii="宋体" w:hAnsi="宋体" w:eastAsia="宋体"/>
                <w:bCs/>
                <w:sz w:val="21"/>
                <w:szCs w:val="21"/>
              </w:rPr>
            </w:pPr>
            <w:r>
              <w:rPr>
                <w:rFonts w:ascii="宋体" w:hAnsi="宋体" w:eastAsia="宋体"/>
                <w:bCs/>
                <w:sz w:val="21"/>
                <w:szCs w:val="21"/>
              </w:rPr>
              <w:t>1.6 可设梯度范围：</w:t>
            </w:r>
            <w:r>
              <w:rPr>
                <w:rFonts w:asciiTheme="minorEastAsia" w:hAnsiTheme="minorEastAsia"/>
                <w:bCs/>
                <w:sz w:val="21"/>
                <w:szCs w:val="21"/>
              </w:rPr>
              <w:t>0-</w:t>
            </w:r>
            <w:r>
              <w:rPr>
                <w:rFonts w:ascii="宋体" w:hAnsi="宋体" w:eastAsia="宋体"/>
                <w:bCs/>
                <w:sz w:val="21"/>
                <w:szCs w:val="21"/>
              </w:rPr>
              <w:t>100%, 0.1%增量</w:t>
            </w:r>
          </w:p>
          <w:p>
            <w:pPr>
              <w:spacing w:line="400" w:lineRule="exact"/>
              <w:jc w:val="both"/>
              <w:rPr>
                <w:rFonts w:ascii="宋体" w:hAnsi="宋体" w:eastAsia="宋体"/>
                <w:bCs/>
                <w:sz w:val="21"/>
                <w:szCs w:val="21"/>
              </w:rPr>
            </w:pPr>
            <w:r>
              <w:rPr>
                <w:rFonts w:ascii="宋体" w:hAnsi="宋体" w:eastAsia="宋体"/>
                <w:bCs/>
                <w:sz w:val="21"/>
                <w:szCs w:val="21"/>
              </w:rPr>
              <w:t>1.7 推荐梯度范围：</w:t>
            </w:r>
            <w:r>
              <w:rPr>
                <w:rFonts w:asciiTheme="minorEastAsia" w:hAnsiTheme="minorEastAsia"/>
                <w:bCs/>
                <w:sz w:val="21"/>
                <w:szCs w:val="21"/>
              </w:rPr>
              <w:t>5-</w:t>
            </w:r>
            <w:r>
              <w:rPr>
                <w:rFonts w:ascii="宋体" w:hAnsi="宋体" w:eastAsia="宋体"/>
                <w:bCs/>
                <w:sz w:val="21"/>
                <w:szCs w:val="21"/>
              </w:rPr>
              <w:t>95%</w:t>
            </w:r>
          </w:p>
          <w:p>
            <w:pPr>
              <w:spacing w:line="400" w:lineRule="exact"/>
              <w:jc w:val="both"/>
              <w:rPr>
                <w:rFonts w:ascii="宋体" w:hAnsi="宋体" w:eastAsia="宋体"/>
                <w:bCs/>
                <w:sz w:val="21"/>
                <w:szCs w:val="21"/>
              </w:rPr>
            </w:pPr>
            <w:r>
              <w:rPr>
                <w:rFonts w:ascii="宋体" w:hAnsi="宋体" w:eastAsia="宋体"/>
                <w:bCs/>
                <w:sz w:val="21"/>
                <w:szCs w:val="21"/>
              </w:rPr>
              <w:t>1.8 流速准度：</w:t>
            </w:r>
            <w:r>
              <w:rPr>
                <w:rFonts w:asciiTheme="minorEastAsia" w:hAnsiTheme="minorEastAsia"/>
                <w:bCs/>
                <w:sz w:val="21"/>
                <w:szCs w:val="21"/>
              </w:rPr>
              <w:t>&lt;</w:t>
            </w:r>
            <w:r>
              <w:rPr>
                <w:rFonts w:ascii="宋体" w:hAnsi="宋体" w:eastAsia="宋体"/>
                <w:bCs/>
                <w:sz w:val="21"/>
                <w:szCs w:val="21"/>
              </w:rPr>
              <w:t>±1 %</w:t>
            </w:r>
          </w:p>
          <w:p>
            <w:pPr>
              <w:spacing w:line="400" w:lineRule="exact"/>
              <w:jc w:val="both"/>
              <w:rPr>
                <w:rFonts w:ascii="宋体" w:hAnsi="宋体" w:eastAsia="宋体"/>
                <w:bCs/>
                <w:sz w:val="21"/>
                <w:szCs w:val="21"/>
              </w:rPr>
            </w:pPr>
            <w:r>
              <w:rPr>
                <w:rFonts w:ascii="宋体" w:hAnsi="宋体" w:eastAsia="宋体"/>
                <w:bCs/>
                <w:sz w:val="21"/>
                <w:szCs w:val="21"/>
              </w:rPr>
              <w:t>1.9 组成准度：</w:t>
            </w:r>
            <w:r>
              <w:rPr>
                <w:rFonts w:asciiTheme="minorEastAsia" w:hAnsiTheme="minorEastAsia"/>
                <w:bCs/>
                <w:sz w:val="21"/>
                <w:szCs w:val="21"/>
              </w:rPr>
              <w:t>&lt;±1 %,</w:t>
            </w:r>
            <w:r>
              <w:rPr>
                <w:rFonts w:ascii="宋体" w:hAnsi="宋体" w:eastAsia="宋体"/>
                <w:bCs/>
                <w:sz w:val="21"/>
                <w:szCs w:val="21"/>
              </w:rPr>
              <w:t>从5-95%</w:t>
            </w:r>
          </w:p>
          <w:p>
            <w:pPr>
              <w:spacing w:line="400" w:lineRule="exact"/>
              <w:jc w:val="both"/>
              <w:rPr>
                <w:rFonts w:ascii="宋体" w:hAnsi="宋体" w:eastAsia="宋体"/>
                <w:bCs/>
                <w:sz w:val="21"/>
                <w:szCs w:val="21"/>
              </w:rPr>
            </w:pPr>
            <w:r>
              <w:rPr>
                <w:rFonts w:ascii="宋体" w:hAnsi="宋体" w:eastAsia="宋体"/>
                <w:bCs/>
                <w:sz w:val="21"/>
                <w:szCs w:val="21"/>
              </w:rPr>
              <w:t>1.10 流速精密度：&lt;0.3 % RSD</w:t>
            </w:r>
          </w:p>
          <w:p>
            <w:pPr>
              <w:spacing w:line="400" w:lineRule="exact"/>
              <w:jc w:val="both"/>
              <w:rPr>
                <w:rFonts w:ascii="宋体" w:hAnsi="宋体" w:eastAsia="宋体"/>
                <w:bCs/>
                <w:sz w:val="21"/>
                <w:szCs w:val="21"/>
              </w:rPr>
            </w:pPr>
            <w:r>
              <w:rPr>
                <w:rFonts w:ascii="宋体" w:hAnsi="宋体" w:eastAsia="宋体"/>
                <w:bCs/>
                <w:sz w:val="21"/>
                <w:szCs w:val="21"/>
              </w:rPr>
              <w:t>1.11 组成精密度：&lt;0.3 % RSD</w:t>
            </w:r>
          </w:p>
          <w:p>
            <w:pPr>
              <w:spacing w:line="400" w:lineRule="exact"/>
              <w:jc w:val="both"/>
              <w:rPr>
                <w:rFonts w:ascii="宋体" w:hAnsi="宋体" w:eastAsia="宋体"/>
                <w:bCs/>
                <w:sz w:val="21"/>
                <w:szCs w:val="21"/>
              </w:rPr>
            </w:pPr>
            <w:r>
              <w:rPr>
                <w:rFonts w:ascii="宋体" w:hAnsi="宋体" w:eastAsia="宋体"/>
                <w:bCs/>
                <w:sz w:val="21"/>
                <w:szCs w:val="21"/>
              </w:rPr>
              <w:t>1.12 并联双柱塞往复泵设计；具备用户自主溶剂压缩因子设置，可保证在不同流速及不同流动相组成的最佳流速稳定性。</w:t>
            </w:r>
          </w:p>
          <w:p>
            <w:pPr>
              <w:spacing w:line="400" w:lineRule="exact"/>
              <w:jc w:val="both"/>
              <w:rPr>
                <w:rFonts w:ascii="宋体" w:hAnsi="宋体" w:eastAsia="宋体"/>
                <w:sz w:val="21"/>
                <w:szCs w:val="21"/>
              </w:rPr>
            </w:pPr>
            <w:r>
              <w:rPr>
                <w:rFonts w:ascii="宋体" w:hAnsi="宋体" w:eastAsia="宋体"/>
                <w:sz w:val="21"/>
                <w:szCs w:val="21"/>
              </w:rPr>
              <w:t>2.手动进样器</w:t>
            </w:r>
          </w:p>
          <w:p>
            <w:pPr>
              <w:spacing w:line="400" w:lineRule="exact"/>
              <w:jc w:val="both"/>
              <w:rPr>
                <w:rFonts w:ascii="宋体" w:hAnsi="宋体" w:eastAsia="宋体"/>
                <w:bCs/>
                <w:sz w:val="21"/>
                <w:szCs w:val="21"/>
              </w:rPr>
            </w:pPr>
            <w:r>
              <w:rPr>
                <w:rFonts w:ascii="宋体" w:hAnsi="宋体" w:eastAsia="宋体"/>
                <w:bCs/>
                <w:sz w:val="21"/>
                <w:szCs w:val="21"/>
              </w:rPr>
              <w:t>2.1 MBB设计，有效降低阀切换时的压力波动；内置位置传感开关，触发液相色谱系统的启动。</w:t>
            </w:r>
          </w:p>
          <w:p>
            <w:pPr>
              <w:spacing w:line="400" w:lineRule="exact"/>
              <w:jc w:val="both"/>
              <w:rPr>
                <w:rFonts w:ascii="宋体" w:hAnsi="宋体" w:eastAsia="宋体"/>
                <w:bCs/>
                <w:sz w:val="21"/>
                <w:szCs w:val="21"/>
              </w:rPr>
            </w:pPr>
            <w:r>
              <w:rPr>
                <w:rFonts w:ascii="宋体" w:hAnsi="宋体" w:eastAsia="宋体"/>
                <w:bCs/>
                <w:sz w:val="21"/>
                <w:szCs w:val="21"/>
              </w:rPr>
              <w:t>2.2 3725i (不锈钢材质)</w:t>
            </w:r>
          </w:p>
          <w:p>
            <w:pPr>
              <w:spacing w:line="400" w:lineRule="exact"/>
              <w:jc w:val="both"/>
              <w:rPr>
                <w:rFonts w:ascii="宋体" w:hAnsi="宋体" w:eastAsia="宋体"/>
                <w:bCs/>
                <w:sz w:val="21"/>
                <w:szCs w:val="21"/>
              </w:rPr>
            </w:pPr>
            <w:r>
              <w:rPr>
                <w:rFonts w:ascii="宋体" w:hAnsi="宋体" w:eastAsia="宋体"/>
                <w:bCs/>
                <w:sz w:val="21"/>
                <w:szCs w:val="21"/>
              </w:rPr>
              <w:t>2.3适配定量环：2mL</w:t>
            </w:r>
          </w:p>
          <w:p>
            <w:pPr>
              <w:spacing w:line="400" w:lineRule="exact"/>
              <w:jc w:val="both"/>
              <w:rPr>
                <w:rFonts w:ascii="宋体" w:hAnsi="宋体" w:eastAsia="宋体"/>
                <w:b/>
                <w:bCs/>
                <w:sz w:val="21"/>
                <w:szCs w:val="21"/>
              </w:rPr>
            </w:pPr>
            <w:r>
              <w:rPr>
                <w:rFonts w:hint="eastAsia" w:ascii="宋体" w:hAnsi="宋体"/>
                <w:b/>
                <w:bCs/>
                <w:color w:val="000000"/>
                <w:sz w:val="21"/>
                <w:szCs w:val="21"/>
              </w:rPr>
              <w:t>*</w:t>
            </w:r>
            <w:r>
              <w:rPr>
                <w:rFonts w:ascii="宋体" w:hAnsi="宋体" w:eastAsia="宋体"/>
                <w:b/>
                <w:bCs/>
                <w:sz w:val="21"/>
                <w:szCs w:val="21"/>
              </w:rPr>
              <w:t>2.4 最大操作压力：600 bar</w:t>
            </w:r>
          </w:p>
          <w:p>
            <w:pPr>
              <w:spacing w:line="400" w:lineRule="exact"/>
              <w:jc w:val="both"/>
              <w:rPr>
                <w:rFonts w:ascii="宋体" w:hAnsi="宋体" w:eastAsia="宋体"/>
                <w:sz w:val="21"/>
                <w:szCs w:val="21"/>
              </w:rPr>
            </w:pPr>
            <w:r>
              <w:rPr>
                <w:rFonts w:ascii="宋体" w:hAnsi="宋体" w:eastAsia="宋体"/>
                <w:sz w:val="21"/>
                <w:szCs w:val="21"/>
              </w:rPr>
              <w:t>3.可变波长紫外检测器</w:t>
            </w:r>
          </w:p>
          <w:p>
            <w:pPr>
              <w:spacing w:line="400" w:lineRule="exact"/>
              <w:jc w:val="both"/>
              <w:rPr>
                <w:rFonts w:ascii="宋体" w:hAnsi="宋体" w:eastAsia="宋体"/>
                <w:bCs/>
                <w:sz w:val="21"/>
                <w:szCs w:val="21"/>
              </w:rPr>
            </w:pPr>
            <w:r>
              <w:rPr>
                <w:rFonts w:ascii="宋体" w:hAnsi="宋体" w:eastAsia="宋体"/>
                <w:bCs/>
                <w:sz w:val="21"/>
                <w:szCs w:val="21"/>
              </w:rPr>
              <w:t>3.1光源：氘灯</w:t>
            </w:r>
          </w:p>
          <w:p>
            <w:pPr>
              <w:spacing w:line="400" w:lineRule="exact"/>
              <w:jc w:val="both"/>
              <w:rPr>
                <w:rFonts w:ascii="宋体" w:hAnsi="宋体" w:eastAsia="宋体"/>
                <w:bCs/>
                <w:sz w:val="21"/>
                <w:szCs w:val="21"/>
              </w:rPr>
            </w:pPr>
            <w:r>
              <w:rPr>
                <w:rFonts w:ascii="宋体" w:hAnsi="宋体" w:eastAsia="宋体"/>
                <w:bCs/>
                <w:sz w:val="21"/>
                <w:szCs w:val="21"/>
              </w:rPr>
              <w:t>3.2信号数量：单波长检测和双波长检测</w:t>
            </w:r>
          </w:p>
          <w:p>
            <w:pPr>
              <w:spacing w:line="400" w:lineRule="exact"/>
              <w:jc w:val="both"/>
              <w:rPr>
                <w:rFonts w:ascii="宋体" w:hAnsi="宋体" w:eastAsia="宋体"/>
                <w:bCs/>
                <w:sz w:val="21"/>
                <w:szCs w:val="21"/>
              </w:rPr>
            </w:pPr>
            <w:r>
              <w:rPr>
                <w:rFonts w:ascii="宋体" w:hAnsi="宋体" w:eastAsia="宋体"/>
                <w:bCs/>
                <w:sz w:val="21"/>
                <w:szCs w:val="21"/>
              </w:rPr>
              <w:t>3.3最快采样速率：120Hz</w:t>
            </w:r>
          </w:p>
          <w:p>
            <w:pPr>
              <w:spacing w:line="400" w:lineRule="exact"/>
              <w:jc w:val="both"/>
              <w:rPr>
                <w:rFonts w:ascii="宋体" w:hAnsi="宋体" w:eastAsia="宋体"/>
                <w:bCs/>
                <w:sz w:val="21"/>
                <w:szCs w:val="21"/>
              </w:rPr>
            </w:pPr>
            <w:r>
              <w:rPr>
                <w:rFonts w:ascii="宋体" w:hAnsi="宋体" w:eastAsia="宋体"/>
                <w:bCs/>
                <w:sz w:val="21"/>
                <w:szCs w:val="21"/>
              </w:rPr>
              <w:t>3.4噪音：</w:t>
            </w:r>
            <w:r>
              <w:rPr>
                <w:rFonts w:asciiTheme="minorEastAsia" w:hAnsiTheme="minorEastAsia"/>
                <w:bCs/>
                <w:sz w:val="21"/>
                <w:szCs w:val="21"/>
              </w:rPr>
              <w:t>&lt;</w:t>
            </w:r>
            <w:r>
              <w:rPr>
                <w:rFonts w:ascii="宋体" w:hAnsi="宋体" w:eastAsia="宋体"/>
                <w:bCs/>
                <w:sz w:val="21"/>
                <w:szCs w:val="21"/>
              </w:rPr>
              <w:t>0.25</w:t>
            </w:r>
            <w:r>
              <w:rPr>
                <w:rFonts w:ascii="宋体" w:hAnsi="宋体" w:eastAsia="宋体"/>
                <w:sz w:val="21"/>
                <w:szCs w:val="21"/>
              </w:rPr>
              <w:sym w:font="Symbol" w:char="00B4"/>
            </w:r>
            <w:r>
              <w:rPr>
                <w:rFonts w:ascii="宋体" w:hAnsi="宋体" w:eastAsia="宋体"/>
                <w:bCs/>
                <w:sz w:val="21"/>
                <w:szCs w:val="21"/>
              </w:rPr>
              <w:t>10</w:t>
            </w:r>
            <w:r>
              <w:rPr>
                <w:rFonts w:ascii="宋体" w:hAnsi="宋体" w:eastAsia="宋体"/>
                <w:bCs/>
                <w:sz w:val="21"/>
                <w:szCs w:val="21"/>
                <w:vertAlign w:val="superscript"/>
              </w:rPr>
              <w:t>-5</w:t>
            </w:r>
            <w:r>
              <w:rPr>
                <w:rFonts w:ascii="宋体" w:hAnsi="宋体" w:eastAsia="宋体"/>
                <w:bCs/>
                <w:sz w:val="21"/>
                <w:szCs w:val="21"/>
              </w:rPr>
              <w:t xml:space="preserve"> AU 在230nm条件下</w:t>
            </w:r>
          </w:p>
          <w:p>
            <w:pPr>
              <w:spacing w:line="400" w:lineRule="exact"/>
              <w:jc w:val="both"/>
              <w:rPr>
                <w:rFonts w:ascii="宋体" w:hAnsi="宋体" w:eastAsia="宋体"/>
                <w:bCs/>
                <w:sz w:val="21"/>
                <w:szCs w:val="21"/>
              </w:rPr>
            </w:pPr>
            <w:r>
              <w:rPr>
                <w:rFonts w:ascii="宋体" w:hAnsi="宋体" w:eastAsia="宋体"/>
                <w:bCs/>
                <w:sz w:val="21"/>
                <w:szCs w:val="21"/>
              </w:rPr>
              <w:t>3.5 基线漂移：1</w:t>
            </w:r>
            <w:r>
              <w:rPr>
                <w:rFonts w:ascii="宋体" w:hAnsi="宋体" w:eastAsia="宋体"/>
                <w:sz w:val="21"/>
                <w:szCs w:val="21"/>
              </w:rPr>
              <w:sym w:font="Symbol" w:char="00B4"/>
            </w:r>
            <w:r>
              <w:rPr>
                <w:rFonts w:ascii="宋体" w:hAnsi="宋体" w:eastAsia="宋体"/>
                <w:bCs/>
                <w:sz w:val="21"/>
                <w:szCs w:val="21"/>
              </w:rPr>
              <w:t>10</w:t>
            </w:r>
            <w:r>
              <w:rPr>
                <w:rFonts w:ascii="宋体" w:hAnsi="宋体" w:eastAsia="宋体"/>
                <w:bCs/>
                <w:sz w:val="21"/>
                <w:szCs w:val="21"/>
                <w:vertAlign w:val="superscript"/>
              </w:rPr>
              <w:t>-4</w:t>
            </w:r>
            <w:r>
              <w:rPr>
                <w:rFonts w:ascii="宋体" w:hAnsi="宋体" w:eastAsia="宋体"/>
                <w:bCs/>
                <w:sz w:val="21"/>
                <w:szCs w:val="21"/>
              </w:rPr>
              <w:t>mAU/h 在230nm条件下</w:t>
            </w:r>
          </w:p>
          <w:p>
            <w:pPr>
              <w:spacing w:line="400" w:lineRule="exact"/>
              <w:jc w:val="both"/>
              <w:rPr>
                <w:rFonts w:ascii="宋体" w:hAnsi="宋体" w:eastAsia="宋体"/>
                <w:bCs/>
                <w:sz w:val="21"/>
                <w:szCs w:val="21"/>
              </w:rPr>
            </w:pPr>
            <w:r>
              <w:rPr>
                <w:rFonts w:ascii="宋体" w:hAnsi="宋体" w:eastAsia="宋体"/>
                <w:bCs/>
                <w:sz w:val="21"/>
                <w:szCs w:val="21"/>
              </w:rPr>
              <w:t>3.6 线性范围：&gt;2.5 AU</w:t>
            </w:r>
          </w:p>
          <w:p>
            <w:pPr>
              <w:spacing w:line="400" w:lineRule="exact"/>
              <w:jc w:val="both"/>
              <w:rPr>
                <w:rFonts w:ascii="宋体" w:hAnsi="宋体" w:eastAsia="宋体"/>
                <w:bCs/>
                <w:sz w:val="21"/>
                <w:szCs w:val="21"/>
              </w:rPr>
            </w:pPr>
            <w:r>
              <w:rPr>
                <w:rFonts w:ascii="宋体" w:hAnsi="宋体" w:eastAsia="宋体"/>
                <w:bCs/>
                <w:sz w:val="21"/>
                <w:szCs w:val="21"/>
              </w:rPr>
              <w:t>3.7 波长范围：190 nm～600nm</w:t>
            </w:r>
          </w:p>
          <w:p>
            <w:pPr>
              <w:spacing w:line="400" w:lineRule="exact"/>
              <w:jc w:val="both"/>
              <w:rPr>
                <w:rFonts w:ascii="宋体" w:hAnsi="宋体" w:eastAsia="宋体"/>
                <w:bCs/>
                <w:sz w:val="21"/>
                <w:szCs w:val="21"/>
              </w:rPr>
            </w:pPr>
            <w:r>
              <w:rPr>
                <w:rFonts w:ascii="宋体" w:hAnsi="宋体" w:eastAsia="宋体"/>
                <w:bCs/>
                <w:sz w:val="21"/>
                <w:szCs w:val="21"/>
              </w:rPr>
              <w:t>3.8 波长准确度：</w:t>
            </w:r>
            <w:r>
              <w:rPr>
                <w:rFonts w:hint="eastAsia" w:ascii="宋体" w:hAnsi="宋体" w:eastAsia="宋体"/>
                <w:bCs/>
                <w:sz w:val="21"/>
                <w:szCs w:val="21"/>
              </w:rPr>
              <w:t>≤</w:t>
            </w:r>
            <w:r>
              <w:rPr>
                <w:rFonts w:ascii="宋体" w:hAnsi="宋体" w:eastAsia="宋体"/>
                <w:bCs/>
                <w:sz w:val="21"/>
                <w:szCs w:val="21"/>
              </w:rPr>
              <w:t>1nm</w:t>
            </w:r>
          </w:p>
          <w:p>
            <w:pPr>
              <w:spacing w:line="400" w:lineRule="exact"/>
              <w:jc w:val="both"/>
              <w:rPr>
                <w:rFonts w:ascii="宋体" w:hAnsi="宋体" w:eastAsia="宋体"/>
                <w:bCs/>
                <w:sz w:val="21"/>
                <w:szCs w:val="21"/>
              </w:rPr>
            </w:pPr>
            <w:r>
              <w:rPr>
                <w:rFonts w:ascii="宋体" w:hAnsi="宋体" w:eastAsia="宋体"/>
                <w:bCs/>
                <w:sz w:val="21"/>
                <w:szCs w:val="21"/>
              </w:rPr>
              <w:t>3.9 波长精度：&lt;0.1nm</w:t>
            </w:r>
          </w:p>
          <w:p>
            <w:pPr>
              <w:spacing w:line="400" w:lineRule="exact"/>
              <w:jc w:val="both"/>
              <w:rPr>
                <w:rFonts w:ascii="宋体" w:hAnsi="宋体" w:eastAsia="宋体"/>
                <w:bCs/>
                <w:sz w:val="21"/>
                <w:szCs w:val="21"/>
              </w:rPr>
            </w:pPr>
            <w:r>
              <w:rPr>
                <w:rFonts w:ascii="宋体" w:hAnsi="宋体" w:eastAsia="宋体"/>
                <w:bCs/>
                <w:sz w:val="21"/>
                <w:szCs w:val="21"/>
              </w:rPr>
              <w:t>3.10 狭缝宽度：</w:t>
            </w:r>
            <w:r>
              <w:rPr>
                <w:rFonts w:hint="eastAsia" w:ascii="宋体" w:hAnsi="宋体" w:eastAsia="宋体"/>
                <w:bCs/>
                <w:sz w:val="21"/>
                <w:szCs w:val="21"/>
              </w:rPr>
              <w:t>≤</w:t>
            </w:r>
            <w:r>
              <w:rPr>
                <w:rFonts w:ascii="宋体" w:hAnsi="宋体" w:eastAsia="宋体"/>
                <w:bCs/>
                <w:sz w:val="21"/>
                <w:szCs w:val="21"/>
              </w:rPr>
              <w:t>6.5nm</w:t>
            </w:r>
          </w:p>
          <w:p>
            <w:pPr>
              <w:spacing w:line="400" w:lineRule="exact"/>
              <w:jc w:val="both"/>
              <w:rPr>
                <w:rFonts w:ascii="宋体" w:hAnsi="宋体" w:eastAsia="宋体"/>
                <w:bCs/>
                <w:sz w:val="21"/>
                <w:szCs w:val="21"/>
              </w:rPr>
            </w:pPr>
            <w:r>
              <w:rPr>
                <w:rFonts w:ascii="宋体" w:hAnsi="宋体" w:eastAsia="宋体"/>
                <w:bCs/>
                <w:sz w:val="21"/>
                <w:szCs w:val="21"/>
              </w:rPr>
              <w:t>3.11 光谱：停流扫描</w:t>
            </w:r>
          </w:p>
          <w:p>
            <w:pPr>
              <w:spacing w:line="400" w:lineRule="exact"/>
              <w:jc w:val="both"/>
              <w:rPr>
                <w:rFonts w:ascii="宋体" w:hAnsi="宋体" w:eastAsia="宋体"/>
                <w:bCs/>
                <w:sz w:val="21"/>
                <w:szCs w:val="21"/>
              </w:rPr>
            </w:pPr>
            <w:r>
              <w:rPr>
                <w:rFonts w:ascii="宋体" w:hAnsi="宋体" w:eastAsia="宋体"/>
                <w:bCs/>
                <w:sz w:val="21"/>
                <w:szCs w:val="21"/>
              </w:rPr>
              <w:t>3.12 波长校正：氘灯和内置氧化钬滤光片自动校正</w:t>
            </w:r>
          </w:p>
          <w:p>
            <w:pPr>
              <w:spacing w:line="400" w:lineRule="exact"/>
              <w:jc w:val="both"/>
              <w:rPr>
                <w:rFonts w:ascii="宋体" w:hAnsi="宋体" w:eastAsia="宋体"/>
                <w:bCs/>
                <w:sz w:val="21"/>
                <w:szCs w:val="21"/>
              </w:rPr>
            </w:pPr>
            <w:r>
              <w:rPr>
                <w:rFonts w:ascii="宋体" w:hAnsi="宋体" w:eastAsia="宋体"/>
                <w:bCs/>
                <w:sz w:val="21"/>
                <w:szCs w:val="21"/>
              </w:rPr>
              <w:t>3.13可编程时间表：波长，峰宽，氘灯开/关，信号自动回零，峰反转，采样时间</w:t>
            </w:r>
          </w:p>
          <w:p>
            <w:pPr>
              <w:spacing w:line="400" w:lineRule="exact"/>
              <w:jc w:val="both"/>
              <w:rPr>
                <w:rFonts w:ascii="宋体" w:hAnsi="宋体" w:eastAsia="宋体"/>
                <w:sz w:val="21"/>
                <w:szCs w:val="21"/>
              </w:rPr>
            </w:pPr>
            <w:r>
              <w:rPr>
                <w:rFonts w:ascii="宋体" w:hAnsi="宋体" w:eastAsia="宋体"/>
                <w:sz w:val="21"/>
                <w:szCs w:val="21"/>
              </w:rPr>
              <w:t xml:space="preserve">4. </w:t>
            </w:r>
            <w:r>
              <w:rPr>
                <w:rFonts w:hint="eastAsia" w:ascii="宋体" w:hAnsi="宋体" w:eastAsia="宋体"/>
                <w:sz w:val="21"/>
                <w:szCs w:val="21"/>
              </w:rPr>
              <w:t>色谱软件</w:t>
            </w:r>
          </w:p>
          <w:p>
            <w:pPr>
              <w:spacing w:line="400" w:lineRule="exact"/>
              <w:jc w:val="both"/>
              <w:rPr>
                <w:rFonts w:ascii="宋体" w:hAnsi="宋体" w:eastAsia="宋体"/>
                <w:bCs/>
                <w:sz w:val="21"/>
                <w:szCs w:val="21"/>
              </w:rPr>
            </w:pPr>
            <w:r>
              <w:rPr>
                <w:rFonts w:ascii="宋体" w:hAnsi="宋体" w:eastAsia="宋体"/>
                <w:bCs/>
                <w:sz w:val="21"/>
                <w:szCs w:val="21"/>
              </w:rPr>
              <w:t>4.1 真正意义上的四级仪器控制软件;</w:t>
            </w:r>
          </w:p>
          <w:p>
            <w:pPr>
              <w:spacing w:line="400" w:lineRule="exact"/>
              <w:jc w:val="both"/>
              <w:rPr>
                <w:rFonts w:ascii="宋体" w:hAnsi="宋体" w:eastAsia="宋体"/>
                <w:bCs/>
                <w:sz w:val="21"/>
                <w:szCs w:val="21"/>
              </w:rPr>
            </w:pPr>
            <w:r>
              <w:rPr>
                <w:rFonts w:ascii="宋体" w:hAnsi="宋体" w:eastAsia="宋体"/>
                <w:bCs/>
                <w:sz w:val="21"/>
                <w:szCs w:val="21"/>
              </w:rPr>
              <w:t>4.2 参数输入：仪器控制参数，数据采集及数据处理参数的设定；</w:t>
            </w:r>
          </w:p>
          <w:p>
            <w:pPr>
              <w:spacing w:line="400" w:lineRule="exact"/>
              <w:jc w:val="both"/>
              <w:rPr>
                <w:rFonts w:ascii="宋体" w:hAnsi="宋体" w:eastAsia="宋体"/>
                <w:bCs/>
                <w:sz w:val="21"/>
                <w:szCs w:val="21"/>
              </w:rPr>
            </w:pPr>
            <w:r>
              <w:rPr>
                <w:rFonts w:ascii="宋体" w:hAnsi="宋体" w:eastAsia="宋体"/>
                <w:bCs/>
                <w:sz w:val="21"/>
                <w:szCs w:val="21"/>
              </w:rPr>
              <w:t>4.3 报告：内置多种报告格式，可自动生成系统适应性报告、峰纯度报告、光谱检索报告等；用户也可编辑个性化的报告模板；</w:t>
            </w:r>
          </w:p>
          <w:p>
            <w:pPr>
              <w:spacing w:line="400" w:lineRule="exact"/>
              <w:jc w:val="both"/>
              <w:rPr>
                <w:rFonts w:ascii="宋体" w:hAnsi="宋体" w:eastAsia="宋体"/>
                <w:bCs/>
                <w:sz w:val="21"/>
                <w:szCs w:val="21"/>
              </w:rPr>
            </w:pPr>
            <w:r>
              <w:rPr>
                <w:rFonts w:ascii="宋体" w:hAnsi="宋体" w:eastAsia="宋体"/>
                <w:bCs/>
                <w:sz w:val="21"/>
                <w:szCs w:val="21"/>
              </w:rPr>
              <w:t>4.4 诊断：自动诊断仪器各个组件的多种性能，内置多种常见的液相分析出错原因分析；</w:t>
            </w:r>
          </w:p>
          <w:p>
            <w:pPr>
              <w:jc w:val="both"/>
              <w:rPr>
                <w:rFonts w:ascii="宋体" w:hAnsi="宋体" w:eastAsia="宋体"/>
                <w:sz w:val="21"/>
                <w:szCs w:val="21"/>
              </w:rPr>
            </w:pPr>
            <w:r>
              <w:rPr>
                <w:rFonts w:ascii="宋体" w:hAnsi="宋体" w:eastAsia="宋体"/>
                <w:bCs/>
                <w:sz w:val="21"/>
                <w:szCs w:val="21"/>
              </w:rPr>
              <w:t>4.5早期维护预警（EMF）：提供消耗元件累计使用情况，以便及时进行系统预防性维护；</w:t>
            </w:r>
          </w:p>
          <w:p>
            <w:pPr>
              <w:jc w:val="both"/>
              <w:rPr>
                <w:rFonts w:ascii="宋体" w:hAnsi="宋体" w:eastAsia="宋体"/>
                <w:sz w:val="21"/>
                <w:szCs w:val="21"/>
              </w:rPr>
            </w:pPr>
          </w:p>
          <w:p>
            <w:pPr>
              <w:numPr>
                <w:ilvl w:val="0"/>
                <w:numId w:val="21"/>
              </w:numPr>
              <w:adjustRightInd/>
              <w:spacing w:line="240" w:lineRule="auto"/>
              <w:jc w:val="both"/>
              <w:textAlignment w:val="auto"/>
              <w:rPr>
                <w:rFonts w:ascii="宋体" w:hAnsi="宋体" w:eastAsia="宋体"/>
                <w:sz w:val="21"/>
                <w:szCs w:val="21"/>
              </w:rPr>
            </w:pPr>
            <w:r>
              <w:rPr>
                <w:rFonts w:hint="eastAsia" w:ascii="宋体" w:hAnsi="宋体" w:eastAsia="宋体"/>
                <w:sz w:val="21"/>
                <w:szCs w:val="21"/>
              </w:rPr>
              <w:t>质保期与售后服务</w:t>
            </w:r>
          </w:p>
          <w:p>
            <w:pPr>
              <w:widowControl/>
              <w:tabs>
                <w:tab w:val="left" w:pos="851"/>
              </w:tabs>
              <w:spacing w:line="276" w:lineRule="auto"/>
              <w:jc w:val="both"/>
              <w:rPr>
                <w:rFonts w:ascii="宋体" w:hAnsi="宋体" w:eastAsia="宋体"/>
                <w:sz w:val="21"/>
                <w:szCs w:val="21"/>
              </w:rPr>
            </w:pPr>
            <w:r>
              <w:rPr>
                <w:rFonts w:ascii="宋体" w:hAnsi="宋体" w:eastAsia="宋体"/>
                <w:sz w:val="21"/>
                <w:szCs w:val="21"/>
              </w:rPr>
              <w:t>1.自仪器安装调试合格之日起免费保修</w:t>
            </w:r>
            <w:r>
              <w:rPr>
                <w:rFonts w:hint="eastAsia" w:asciiTheme="minorEastAsia" w:hAnsiTheme="minorEastAsia"/>
                <w:sz w:val="21"/>
                <w:szCs w:val="21"/>
              </w:rPr>
              <w:t>一</w:t>
            </w:r>
            <w:r>
              <w:rPr>
                <w:rFonts w:ascii="宋体" w:hAnsi="宋体" w:eastAsia="宋体"/>
                <w:sz w:val="21"/>
                <w:szCs w:val="21"/>
              </w:rPr>
              <w:t>年。</w:t>
            </w:r>
          </w:p>
          <w:p>
            <w:pPr>
              <w:widowControl/>
              <w:tabs>
                <w:tab w:val="left" w:pos="851"/>
              </w:tabs>
              <w:spacing w:line="276" w:lineRule="auto"/>
              <w:jc w:val="both"/>
              <w:rPr>
                <w:rFonts w:ascii="宋体" w:hAnsi="宋体" w:eastAsia="宋体"/>
                <w:sz w:val="21"/>
                <w:szCs w:val="21"/>
              </w:rPr>
            </w:pPr>
            <w:r>
              <w:rPr>
                <w:rFonts w:ascii="宋体" w:hAnsi="宋体" w:eastAsia="宋体"/>
                <w:sz w:val="21"/>
                <w:szCs w:val="21"/>
              </w:rPr>
              <w:t>2.维修响应时间一般情况≤24小时，到现场时间小于72小时。</w:t>
            </w:r>
          </w:p>
          <w:p>
            <w:pPr>
              <w:widowControl/>
              <w:tabs>
                <w:tab w:val="left" w:pos="851"/>
              </w:tabs>
              <w:spacing w:line="276" w:lineRule="auto"/>
              <w:jc w:val="both"/>
              <w:rPr>
                <w:rFonts w:ascii="宋体" w:hAnsi="宋体" w:eastAsia="宋体"/>
                <w:sz w:val="21"/>
                <w:szCs w:val="21"/>
              </w:rPr>
            </w:pPr>
            <w:r>
              <w:rPr>
                <w:rFonts w:ascii="宋体" w:hAnsi="宋体" w:eastAsia="宋体"/>
                <w:sz w:val="21"/>
                <w:szCs w:val="21"/>
              </w:rPr>
              <w:t>3.用户现场免费安装，调试，培训。</w:t>
            </w:r>
          </w:p>
          <w:p>
            <w:pPr>
              <w:widowControl/>
              <w:tabs>
                <w:tab w:val="left" w:pos="851"/>
              </w:tabs>
              <w:spacing w:line="276" w:lineRule="auto"/>
              <w:jc w:val="both"/>
              <w:rPr>
                <w:rFonts w:ascii="宋体" w:hAnsi="宋体" w:eastAsia="宋体"/>
                <w:sz w:val="21"/>
                <w:szCs w:val="21"/>
              </w:rPr>
            </w:pPr>
            <w:r>
              <w:rPr>
                <w:rFonts w:ascii="宋体" w:hAnsi="宋体" w:eastAsia="宋体"/>
                <w:sz w:val="21"/>
                <w:szCs w:val="21"/>
              </w:rPr>
              <w:t>4.供应商在中国境内设有专业的培训中心,为用户提供免费培训</w:t>
            </w:r>
            <w:r>
              <w:rPr>
                <w:rFonts w:hint="eastAsia" w:asciiTheme="minorEastAsia" w:hAnsiTheme="minorEastAsia"/>
                <w:sz w:val="21"/>
                <w:szCs w:val="21"/>
              </w:rPr>
              <w:t>。</w:t>
            </w:r>
          </w:p>
        </w:tc>
      </w:tr>
    </w:tbl>
    <w:p>
      <w:pPr>
        <w:widowControl/>
        <w:shd w:val="clear" w:color="auto" w:fill="FFFFFF"/>
        <w:spacing w:line="360" w:lineRule="auto"/>
        <w:rPr>
          <w:rFonts w:ascii="宋体" w:hAnsi="宋体" w:eastAsia="宋体"/>
          <w:szCs w:val="21"/>
          <w:shd w:val="clear" w:color="auto" w:fill="FFFFFF"/>
        </w:rPr>
      </w:pPr>
    </w:p>
    <w:p>
      <w:pPr>
        <w:widowControl/>
        <w:adjustRightInd/>
        <w:spacing w:line="240" w:lineRule="auto"/>
        <w:textAlignment w:val="auto"/>
        <w:rPr>
          <w:rFonts w:ascii="宋体" w:hAnsi="宋体" w:eastAsia="宋体"/>
          <w:szCs w:val="21"/>
          <w:shd w:val="clear" w:color="auto" w:fill="FFFFFF"/>
        </w:rPr>
      </w:pPr>
      <w:r>
        <w:rPr>
          <w:rFonts w:ascii="宋体" w:hAnsi="宋体" w:eastAsia="宋体"/>
          <w:szCs w:val="21"/>
          <w:shd w:val="clear" w:color="auto" w:fill="FFFFFF"/>
        </w:rPr>
        <w:br w:type="page"/>
      </w:r>
    </w:p>
    <w:p>
      <w:pPr>
        <w:spacing w:line="360" w:lineRule="auto"/>
        <w:jc w:val="center"/>
        <w:rPr>
          <w:rFonts w:ascii="宋体" w:hAnsi="宋体"/>
          <w:b/>
          <w:bCs/>
          <w:sz w:val="28"/>
          <w:szCs w:val="28"/>
        </w:rPr>
      </w:pPr>
      <w:r>
        <w:rPr>
          <w:rFonts w:hint="eastAsia" w:ascii="宋体" w:hAnsi="宋体"/>
          <w:b/>
          <w:bCs/>
          <w:sz w:val="28"/>
          <w:szCs w:val="28"/>
        </w:rPr>
        <w:t>子包二货物需求一览表</w:t>
      </w:r>
    </w:p>
    <w:tbl>
      <w:tblPr>
        <w:tblStyle w:val="23"/>
        <w:tblW w:w="9904" w:type="dxa"/>
        <w:jc w:val="center"/>
        <w:tblInd w:w="0" w:type="dxa"/>
        <w:tblLayout w:type="fixed"/>
        <w:tblCellMar>
          <w:top w:w="0" w:type="dxa"/>
          <w:left w:w="108" w:type="dxa"/>
          <w:bottom w:w="0" w:type="dxa"/>
          <w:right w:w="108" w:type="dxa"/>
        </w:tblCellMar>
      </w:tblPr>
      <w:tblGrid>
        <w:gridCol w:w="959"/>
        <w:gridCol w:w="5439"/>
        <w:gridCol w:w="1244"/>
        <w:gridCol w:w="2262"/>
      </w:tblGrid>
      <w:tr>
        <w:tblPrEx>
          <w:tblLayout w:type="fixed"/>
          <w:tblCellMar>
            <w:top w:w="0" w:type="dxa"/>
            <w:left w:w="108" w:type="dxa"/>
            <w:bottom w:w="0" w:type="dxa"/>
            <w:right w:w="108" w:type="dxa"/>
          </w:tblCellMar>
        </w:tblPrEx>
        <w:trPr>
          <w:trHeight w:val="886"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1"/>
                <w:szCs w:val="21"/>
              </w:rPr>
            </w:pPr>
            <w:r>
              <w:rPr>
                <w:rFonts w:hint="eastAsia" w:ascii="宋体" w:hAnsi="宋体"/>
                <w:b/>
                <w:bCs/>
              </w:rPr>
              <w:t>序号</w:t>
            </w:r>
          </w:p>
        </w:tc>
        <w:tc>
          <w:tcPr>
            <w:tcW w:w="543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1"/>
                <w:szCs w:val="21"/>
              </w:rPr>
            </w:pPr>
            <w:r>
              <w:rPr>
                <w:rFonts w:hint="eastAsia" w:ascii="宋体" w:hAnsi="宋体"/>
                <w:b/>
                <w:bCs/>
              </w:rPr>
              <w:t>设备名称</w:t>
            </w:r>
          </w:p>
        </w:tc>
        <w:tc>
          <w:tcPr>
            <w:tcW w:w="12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1"/>
                <w:szCs w:val="21"/>
              </w:rPr>
            </w:pPr>
            <w:r>
              <w:rPr>
                <w:rFonts w:hint="eastAsia" w:ascii="宋体" w:hAnsi="宋体"/>
                <w:b/>
                <w:bCs/>
              </w:rPr>
              <w:t>数量</w:t>
            </w:r>
          </w:p>
        </w:tc>
        <w:tc>
          <w:tcPr>
            <w:tcW w:w="2262" w:type="dxa"/>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b/>
                <w:bCs/>
              </w:rPr>
            </w:pPr>
            <w:r>
              <w:rPr>
                <w:rFonts w:hint="eastAsia" w:ascii="宋体" w:hAnsi="宋体"/>
                <w:b/>
                <w:bCs/>
              </w:rPr>
              <w:t>最高限价</w:t>
            </w:r>
          </w:p>
        </w:tc>
      </w:tr>
      <w:tr>
        <w:tblPrEx>
          <w:tblLayout w:type="fixed"/>
          <w:tblCellMar>
            <w:top w:w="0" w:type="dxa"/>
            <w:left w:w="108" w:type="dxa"/>
            <w:bottom w:w="0" w:type="dxa"/>
            <w:right w:w="108" w:type="dxa"/>
          </w:tblCellMar>
        </w:tblPrEx>
        <w:trPr>
          <w:trHeight w:val="70"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1"/>
                <w:szCs w:val="21"/>
              </w:rPr>
            </w:pPr>
            <w:r>
              <w:rPr>
                <w:rFonts w:hint="eastAsia" w:ascii="宋体" w:hAnsi="宋体" w:cs="宋体"/>
                <w:sz w:val="21"/>
                <w:szCs w:val="21"/>
              </w:rPr>
              <w:t>1</w:t>
            </w:r>
          </w:p>
        </w:tc>
        <w:tc>
          <w:tcPr>
            <w:tcW w:w="5439" w:type="dxa"/>
            <w:tcBorders>
              <w:top w:val="single" w:color="auto" w:sz="4" w:space="0"/>
              <w:left w:val="nil"/>
              <w:bottom w:val="single" w:color="auto" w:sz="4" w:space="0"/>
              <w:right w:val="single" w:color="auto" w:sz="4" w:space="0"/>
            </w:tcBorders>
            <w:vAlign w:val="bottom"/>
          </w:tcPr>
          <w:p>
            <w:pPr>
              <w:snapToGrid w:val="0"/>
              <w:spacing w:line="360" w:lineRule="auto"/>
              <w:jc w:val="center"/>
              <w:rPr>
                <w:rFonts w:ascii="宋体" w:hAnsi="宋体" w:cs="宋体"/>
                <w:sz w:val="21"/>
                <w:szCs w:val="21"/>
              </w:rPr>
            </w:pPr>
            <w:r>
              <w:rPr>
                <w:rFonts w:hint="eastAsia" w:ascii="宋体" w:hAnsi="宋体" w:cs="宋体"/>
                <w:sz w:val="21"/>
                <w:szCs w:val="21"/>
              </w:rPr>
              <w:t>带加热模块全自动温和组织处理器（自动组织处理器）</w:t>
            </w:r>
          </w:p>
        </w:tc>
        <w:tc>
          <w:tcPr>
            <w:tcW w:w="1244"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hAnsi="宋体" w:cs="宋体"/>
                <w:sz w:val="21"/>
                <w:szCs w:val="21"/>
              </w:rPr>
            </w:pPr>
            <w:r>
              <w:rPr>
                <w:rFonts w:hint="eastAsia" w:ascii="宋体" w:hAnsi="宋体" w:cs="宋体"/>
                <w:sz w:val="21"/>
                <w:szCs w:val="21"/>
              </w:rPr>
              <w:t>1台</w:t>
            </w:r>
          </w:p>
        </w:tc>
        <w:tc>
          <w:tcPr>
            <w:tcW w:w="2262"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hAnsi="宋体" w:cs="宋体"/>
                <w:sz w:val="21"/>
                <w:szCs w:val="21"/>
              </w:rPr>
            </w:pPr>
            <w:r>
              <w:rPr>
                <w:rFonts w:hint="eastAsia" w:ascii="宋体" w:hAnsi="宋体" w:cs="宋体"/>
                <w:sz w:val="21"/>
                <w:szCs w:val="21"/>
              </w:rPr>
              <w:t>人民币54.2万元</w:t>
            </w:r>
          </w:p>
        </w:tc>
      </w:tr>
      <w:tr>
        <w:tblPrEx>
          <w:tblLayout w:type="fixed"/>
          <w:tblCellMar>
            <w:top w:w="0" w:type="dxa"/>
            <w:left w:w="108" w:type="dxa"/>
            <w:bottom w:w="0" w:type="dxa"/>
            <w:right w:w="108" w:type="dxa"/>
          </w:tblCellMar>
        </w:tblPrEx>
        <w:trPr>
          <w:trHeight w:val="70"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1"/>
                <w:szCs w:val="21"/>
              </w:rPr>
            </w:pPr>
            <w:r>
              <w:rPr>
                <w:rFonts w:hint="eastAsia" w:ascii="宋体" w:hAnsi="宋体" w:cs="宋体"/>
                <w:sz w:val="21"/>
                <w:szCs w:val="21"/>
              </w:rPr>
              <w:t>2</w:t>
            </w:r>
          </w:p>
        </w:tc>
        <w:tc>
          <w:tcPr>
            <w:tcW w:w="5439" w:type="dxa"/>
            <w:tcBorders>
              <w:top w:val="single" w:color="auto" w:sz="4" w:space="0"/>
              <w:left w:val="nil"/>
              <w:bottom w:val="single" w:color="auto" w:sz="4" w:space="0"/>
              <w:right w:val="single" w:color="auto" w:sz="4" w:space="0"/>
            </w:tcBorders>
            <w:vAlign w:val="bottom"/>
          </w:tcPr>
          <w:p>
            <w:pPr>
              <w:snapToGrid w:val="0"/>
              <w:spacing w:line="360" w:lineRule="auto"/>
              <w:jc w:val="center"/>
              <w:rPr>
                <w:rFonts w:ascii="宋体" w:hAnsi="宋体" w:cs="宋体"/>
                <w:sz w:val="21"/>
                <w:szCs w:val="21"/>
              </w:rPr>
            </w:pPr>
            <w:r>
              <w:rPr>
                <w:rFonts w:hint="eastAsia" w:ascii="宋体" w:hAnsi="宋体" w:cs="宋体"/>
                <w:sz w:val="21"/>
                <w:szCs w:val="21"/>
              </w:rPr>
              <w:t>制备型高效液相色谱仪</w:t>
            </w:r>
          </w:p>
        </w:tc>
        <w:tc>
          <w:tcPr>
            <w:tcW w:w="1244"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hAnsi="宋体" w:cs="宋体"/>
                <w:sz w:val="21"/>
                <w:szCs w:val="21"/>
              </w:rPr>
            </w:pPr>
            <w:r>
              <w:rPr>
                <w:rFonts w:hint="eastAsia" w:ascii="宋体" w:hAnsi="宋体" w:cs="宋体"/>
                <w:sz w:val="21"/>
                <w:szCs w:val="21"/>
              </w:rPr>
              <w:t>1台</w:t>
            </w:r>
          </w:p>
        </w:tc>
        <w:tc>
          <w:tcPr>
            <w:tcW w:w="2262"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hAnsi="宋体" w:cs="宋体"/>
                <w:sz w:val="21"/>
                <w:szCs w:val="21"/>
              </w:rPr>
            </w:pPr>
            <w:r>
              <w:rPr>
                <w:rFonts w:hint="eastAsia" w:ascii="宋体" w:hAnsi="宋体" w:cs="宋体"/>
                <w:sz w:val="21"/>
                <w:szCs w:val="21"/>
              </w:rPr>
              <w:t>人民币40万元</w:t>
            </w:r>
          </w:p>
        </w:tc>
      </w:tr>
    </w:tbl>
    <w:p>
      <w:pPr>
        <w:spacing w:line="360" w:lineRule="auto"/>
        <w:jc w:val="center"/>
        <w:rPr>
          <w:rFonts w:ascii="宋体" w:hAnsi="宋体"/>
          <w:b/>
          <w:bCs/>
          <w:sz w:val="28"/>
          <w:szCs w:val="28"/>
        </w:rPr>
      </w:pPr>
    </w:p>
    <w:p>
      <w:pPr>
        <w:spacing w:line="360" w:lineRule="auto"/>
        <w:jc w:val="center"/>
        <w:rPr>
          <w:rFonts w:ascii="宋体" w:hAnsi="宋体"/>
          <w:b/>
          <w:bCs/>
          <w:sz w:val="28"/>
          <w:szCs w:val="28"/>
        </w:rPr>
      </w:pPr>
      <w:r>
        <w:rPr>
          <w:rFonts w:hint="eastAsia" w:ascii="宋体" w:hAnsi="宋体"/>
          <w:b/>
          <w:bCs/>
          <w:sz w:val="28"/>
          <w:szCs w:val="28"/>
        </w:rPr>
        <w:br w:type="page"/>
      </w:r>
      <w:r>
        <w:rPr>
          <w:rFonts w:hint="eastAsia" w:ascii="宋体" w:hAnsi="宋体"/>
          <w:b/>
          <w:bCs/>
          <w:sz w:val="28"/>
          <w:szCs w:val="28"/>
        </w:rPr>
        <w:t>子包二技术规格</w:t>
      </w:r>
    </w:p>
    <w:tbl>
      <w:tblPr>
        <w:tblStyle w:val="23"/>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261"/>
        <w:gridCol w:w="894"/>
        <w:gridCol w:w="5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3" w:type="dxa"/>
            <w:vAlign w:val="center"/>
          </w:tcPr>
          <w:p>
            <w:pPr>
              <w:jc w:val="center"/>
              <w:rPr>
                <w:rFonts w:ascii="宋体" w:hAnsi="宋体" w:eastAsia="宋体"/>
                <w:b/>
                <w:sz w:val="21"/>
                <w:szCs w:val="21"/>
              </w:rPr>
            </w:pPr>
            <w:r>
              <w:rPr>
                <w:rFonts w:hint="eastAsia" w:ascii="宋体" w:hAnsi="宋体" w:eastAsia="宋体"/>
                <w:b/>
                <w:sz w:val="21"/>
                <w:szCs w:val="21"/>
              </w:rPr>
              <w:t>序号</w:t>
            </w:r>
          </w:p>
        </w:tc>
        <w:tc>
          <w:tcPr>
            <w:tcW w:w="1261" w:type="dxa"/>
            <w:vAlign w:val="center"/>
          </w:tcPr>
          <w:p>
            <w:pPr>
              <w:jc w:val="center"/>
              <w:rPr>
                <w:rFonts w:ascii="宋体" w:hAnsi="宋体" w:eastAsia="宋体"/>
                <w:b/>
                <w:sz w:val="21"/>
                <w:szCs w:val="21"/>
              </w:rPr>
            </w:pPr>
            <w:r>
              <w:rPr>
                <w:rFonts w:hint="eastAsia" w:ascii="宋体" w:hAnsi="宋体" w:eastAsia="宋体"/>
                <w:b/>
                <w:sz w:val="21"/>
                <w:szCs w:val="21"/>
              </w:rPr>
              <w:t>设备名称</w:t>
            </w:r>
          </w:p>
        </w:tc>
        <w:tc>
          <w:tcPr>
            <w:tcW w:w="894" w:type="dxa"/>
            <w:vAlign w:val="center"/>
          </w:tcPr>
          <w:p>
            <w:pPr>
              <w:jc w:val="center"/>
              <w:rPr>
                <w:rFonts w:ascii="宋体" w:hAnsi="宋体" w:eastAsia="宋体"/>
                <w:b/>
                <w:sz w:val="21"/>
                <w:szCs w:val="21"/>
              </w:rPr>
            </w:pPr>
            <w:r>
              <w:rPr>
                <w:rFonts w:hint="eastAsia" w:ascii="宋体" w:hAnsi="宋体" w:eastAsia="宋体"/>
                <w:b/>
                <w:sz w:val="21"/>
                <w:szCs w:val="21"/>
              </w:rPr>
              <w:t>数量</w:t>
            </w:r>
          </w:p>
        </w:tc>
        <w:tc>
          <w:tcPr>
            <w:tcW w:w="5898" w:type="dxa"/>
            <w:vAlign w:val="center"/>
          </w:tcPr>
          <w:p>
            <w:pPr>
              <w:jc w:val="center"/>
              <w:rPr>
                <w:rFonts w:ascii="宋体" w:hAnsi="宋体" w:eastAsia="宋体"/>
                <w:b/>
                <w:sz w:val="21"/>
                <w:szCs w:val="21"/>
              </w:rPr>
            </w:pPr>
            <w:r>
              <w:rPr>
                <w:rFonts w:hint="eastAsia" w:ascii="宋体" w:hAnsi="宋体" w:eastAsia="宋体"/>
                <w:b/>
                <w:sz w:val="21"/>
                <w:szCs w:val="21"/>
              </w:rPr>
              <w:t>技术参数与指标要求</w:t>
            </w:r>
            <w:r>
              <w:rPr>
                <w:rFonts w:hint="eastAsia" w:ascii="宋体" w:hAnsi="宋体"/>
                <w:b/>
                <w:bCs/>
                <w:color w:val="000000"/>
                <w:sz w:val="21"/>
                <w:szCs w:val="21"/>
              </w:rPr>
              <w:t>（*为重要条款）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3" w:type="dxa"/>
            <w:vAlign w:val="center"/>
          </w:tcPr>
          <w:p>
            <w:pPr>
              <w:jc w:val="center"/>
              <w:rPr>
                <w:rFonts w:ascii="宋体" w:hAnsi="宋体" w:eastAsia="宋体"/>
                <w:sz w:val="21"/>
                <w:szCs w:val="21"/>
              </w:rPr>
            </w:pPr>
            <w:r>
              <w:rPr>
                <w:rFonts w:hint="eastAsia" w:ascii="宋体" w:hAnsi="宋体" w:eastAsia="宋体"/>
                <w:sz w:val="21"/>
                <w:szCs w:val="21"/>
              </w:rPr>
              <w:t>1</w:t>
            </w:r>
          </w:p>
        </w:tc>
        <w:tc>
          <w:tcPr>
            <w:tcW w:w="1261" w:type="dxa"/>
            <w:vAlign w:val="center"/>
          </w:tcPr>
          <w:p>
            <w:pPr>
              <w:jc w:val="center"/>
              <w:rPr>
                <w:rFonts w:ascii="宋体" w:hAnsi="宋体" w:eastAsia="宋体"/>
                <w:sz w:val="21"/>
                <w:szCs w:val="21"/>
              </w:rPr>
            </w:pPr>
            <w:r>
              <w:rPr>
                <w:rFonts w:hint="eastAsia" w:ascii="宋体" w:hAnsi="宋体" w:eastAsia="宋体"/>
                <w:sz w:val="21"/>
                <w:szCs w:val="21"/>
              </w:rPr>
              <w:t>带加热模块全自动温和组织处理器（自动组织处理器）</w:t>
            </w:r>
          </w:p>
        </w:tc>
        <w:tc>
          <w:tcPr>
            <w:tcW w:w="894" w:type="dxa"/>
            <w:vAlign w:val="center"/>
          </w:tcPr>
          <w:p>
            <w:pPr>
              <w:jc w:val="center"/>
              <w:rPr>
                <w:rFonts w:ascii="宋体" w:hAnsi="宋体" w:eastAsia="宋体"/>
                <w:sz w:val="21"/>
                <w:szCs w:val="21"/>
              </w:rPr>
            </w:pPr>
            <w:r>
              <w:rPr>
                <w:rFonts w:hint="eastAsia" w:ascii="宋体" w:hAnsi="宋体" w:eastAsia="宋体"/>
                <w:sz w:val="21"/>
                <w:szCs w:val="21"/>
              </w:rPr>
              <w:t>1台</w:t>
            </w:r>
          </w:p>
        </w:tc>
        <w:tc>
          <w:tcPr>
            <w:tcW w:w="5898" w:type="dxa"/>
            <w:vAlign w:val="center"/>
          </w:tcPr>
          <w:p>
            <w:pPr>
              <w:numPr>
                <w:ilvl w:val="0"/>
                <w:numId w:val="22"/>
              </w:numPr>
              <w:adjustRightInd/>
              <w:spacing w:line="240" w:lineRule="auto"/>
              <w:jc w:val="both"/>
              <w:textAlignment w:val="auto"/>
              <w:rPr>
                <w:rFonts w:ascii="宋体" w:hAnsi="宋体" w:eastAsia="宋体"/>
                <w:sz w:val="21"/>
                <w:szCs w:val="21"/>
              </w:rPr>
            </w:pPr>
            <w:r>
              <w:rPr>
                <w:rFonts w:hint="eastAsia" w:ascii="宋体" w:hAnsi="宋体" w:eastAsia="宋体"/>
                <w:sz w:val="21"/>
                <w:szCs w:val="21"/>
              </w:rPr>
              <w:t>配置要求</w:t>
            </w:r>
          </w:p>
          <w:p>
            <w:pPr>
              <w:jc w:val="both"/>
              <w:rPr>
                <w:rFonts w:ascii="宋体" w:hAnsi="宋体" w:eastAsia="宋体"/>
                <w:sz w:val="21"/>
                <w:szCs w:val="21"/>
              </w:rPr>
            </w:pPr>
            <w:r>
              <w:rPr>
                <w:rFonts w:hint="eastAsia" w:ascii="宋体" w:hAnsi="宋体" w:eastAsia="宋体"/>
                <w:sz w:val="21"/>
                <w:szCs w:val="21"/>
              </w:rPr>
              <w:t>1、主机  1台</w:t>
            </w:r>
          </w:p>
          <w:p>
            <w:pPr>
              <w:jc w:val="both"/>
              <w:rPr>
                <w:rFonts w:ascii="宋体" w:hAnsi="宋体" w:eastAsia="宋体"/>
                <w:sz w:val="21"/>
                <w:szCs w:val="21"/>
              </w:rPr>
            </w:pPr>
            <w:r>
              <w:rPr>
                <w:rFonts w:hint="eastAsia" w:ascii="宋体" w:hAnsi="宋体" w:eastAsia="宋体"/>
                <w:sz w:val="21"/>
                <w:szCs w:val="21"/>
              </w:rPr>
              <w:t>2、电源线  1条</w:t>
            </w:r>
          </w:p>
          <w:p>
            <w:pPr>
              <w:jc w:val="both"/>
              <w:rPr>
                <w:rFonts w:ascii="宋体" w:hAnsi="宋体" w:eastAsia="宋体"/>
                <w:sz w:val="21"/>
                <w:szCs w:val="21"/>
              </w:rPr>
            </w:pPr>
            <w:r>
              <w:rPr>
                <w:rFonts w:hint="eastAsia" w:ascii="宋体" w:hAnsi="宋体" w:eastAsia="宋体"/>
                <w:sz w:val="21"/>
                <w:szCs w:val="21"/>
              </w:rPr>
              <w:t>3、使用说明书</w:t>
            </w:r>
            <w:r>
              <w:rPr>
                <w:rFonts w:hint="eastAsia" w:asciiTheme="minorEastAsia" w:hAnsiTheme="minorEastAsia"/>
                <w:sz w:val="21"/>
                <w:szCs w:val="21"/>
              </w:rPr>
              <w:t xml:space="preserve">  </w:t>
            </w:r>
            <w:r>
              <w:rPr>
                <w:rFonts w:hint="eastAsia" w:ascii="宋体" w:hAnsi="宋体" w:eastAsia="宋体"/>
                <w:sz w:val="21"/>
                <w:szCs w:val="21"/>
              </w:rPr>
              <w:t>1本</w:t>
            </w:r>
          </w:p>
          <w:p>
            <w:pPr>
              <w:jc w:val="both"/>
              <w:rPr>
                <w:rFonts w:ascii="宋体" w:hAnsi="宋体" w:eastAsia="宋体"/>
                <w:sz w:val="21"/>
                <w:szCs w:val="21"/>
              </w:rPr>
            </w:pPr>
          </w:p>
          <w:p>
            <w:pPr>
              <w:numPr>
                <w:ilvl w:val="0"/>
                <w:numId w:val="22"/>
              </w:numPr>
              <w:adjustRightInd/>
              <w:spacing w:line="240" w:lineRule="auto"/>
              <w:jc w:val="both"/>
              <w:textAlignment w:val="auto"/>
              <w:rPr>
                <w:rFonts w:ascii="宋体" w:hAnsi="宋体" w:eastAsia="宋体"/>
                <w:sz w:val="21"/>
                <w:szCs w:val="21"/>
              </w:rPr>
            </w:pPr>
            <w:r>
              <w:rPr>
                <w:rFonts w:hint="eastAsia" w:ascii="宋体" w:hAnsi="宋体" w:eastAsia="宋体"/>
                <w:sz w:val="21"/>
                <w:szCs w:val="21"/>
              </w:rPr>
              <w:t>技术参数与性能指标要求</w:t>
            </w:r>
          </w:p>
          <w:p>
            <w:pPr>
              <w:jc w:val="both"/>
              <w:rPr>
                <w:rFonts w:ascii="宋体" w:hAnsi="宋体" w:eastAsia="宋体"/>
                <w:sz w:val="21"/>
                <w:szCs w:val="21"/>
              </w:rPr>
            </w:pPr>
            <w:r>
              <w:rPr>
                <w:rFonts w:hint="eastAsia" w:asciiTheme="minorEastAsia" w:hAnsiTheme="minorEastAsia"/>
                <w:sz w:val="21"/>
                <w:szCs w:val="21"/>
              </w:rPr>
              <w:t>1.</w:t>
            </w:r>
            <w:r>
              <w:rPr>
                <w:rFonts w:hint="eastAsia" w:ascii="宋体" w:hAnsi="宋体" w:eastAsia="宋体"/>
                <w:sz w:val="21"/>
                <w:szCs w:val="21"/>
              </w:rPr>
              <w:t>一机两用，既可以高效的将组织处理成高活性的单细胞悬液，也可以将组织处理成组织匀浆。</w:t>
            </w:r>
          </w:p>
          <w:p>
            <w:pPr>
              <w:jc w:val="both"/>
              <w:rPr>
                <w:rFonts w:ascii="宋体" w:hAnsi="宋体" w:eastAsia="宋体"/>
                <w:sz w:val="21"/>
                <w:szCs w:val="21"/>
              </w:rPr>
            </w:pPr>
            <w:r>
              <w:rPr>
                <w:rFonts w:hint="eastAsia" w:asciiTheme="minorEastAsia" w:hAnsiTheme="minorEastAsia"/>
                <w:sz w:val="21"/>
                <w:szCs w:val="21"/>
              </w:rPr>
              <w:t>2.</w:t>
            </w:r>
            <w:r>
              <w:rPr>
                <w:rFonts w:hint="eastAsia" w:ascii="宋体" w:hAnsi="宋体" w:eastAsia="宋体"/>
                <w:sz w:val="21"/>
                <w:szCs w:val="21"/>
              </w:rPr>
              <w:t>仪器可以处理多种不同的组织，包括人和小鼠肿瘤组织、小鼠脾脏、神经组织等。</w:t>
            </w:r>
          </w:p>
          <w:p>
            <w:pPr>
              <w:jc w:val="both"/>
              <w:rPr>
                <w:rFonts w:ascii="宋体" w:hAnsi="宋体" w:eastAsia="宋体"/>
                <w:sz w:val="21"/>
                <w:szCs w:val="21"/>
              </w:rPr>
            </w:pPr>
            <w:r>
              <w:rPr>
                <w:rFonts w:hint="eastAsia" w:asciiTheme="minorEastAsia" w:hAnsiTheme="minorEastAsia"/>
                <w:sz w:val="21"/>
                <w:szCs w:val="21"/>
              </w:rPr>
              <w:t>3.</w:t>
            </w:r>
            <w:r>
              <w:rPr>
                <w:rFonts w:hint="eastAsia" w:ascii="宋体" w:hAnsi="宋体" w:eastAsia="宋体"/>
                <w:sz w:val="21"/>
                <w:szCs w:val="21"/>
              </w:rPr>
              <w:t>所获得的单细胞悬液可以用于细胞分选，细胞培养，流式分析等多种不同的后续应用。</w:t>
            </w:r>
          </w:p>
          <w:p>
            <w:pPr>
              <w:jc w:val="both"/>
              <w:rPr>
                <w:rFonts w:ascii="宋体" w:hAnsi="宋体" w:eastAsia="宋体"/>
                <w:sz w:val="21"/>
                <w:szCs w:val="21"/>
              </w:rPr>
            </w:pPr>
            <w:r>
              <w:rPr>
                <w:rFonts w:hint="eastAsia" w:asciiTheme="minorEastAsia" w:hAnsiTheme="minorEastAsia"/>
                <w:sz w:val="21"/>
                <w:szCs w:val="21"/>
              </w:rPr>
              <w:t>4.</w:t>
            </w:r>
            <w:r>
              <w:rPr>
                <w:rFonts w:hint="eastAsia" w:ascii="宋体" w:hAnsi="宋体" w:eastAsia="宋体"/>
                <w:sz w:val="21"/>
                <w:szCs w:val="21"/>
              </w:rPr>
              <w:t>满足新鲜组织和冰冻组织制备组织匀浆的功能，制备出的组织匀浆可以满足蛋白制备，提取，分析等应用，也可以满足核酸提取，纯化和分选等后续应用。</w:t>
            </w:r>
          </w:p>
          <w:p>
            <w:pPr>
              <w:jc w:val="both"/>
              <w:rPr>
                <w:rFonts w:ascii="宋体" w:hAnsi="宋体" w:eastAsia="宋体"/>
                <w:sz w:val="21"/>
                <w:szCs w:val="21"/>
              </w:rPr>
            </w:pPr>
            <w:r>
              <w:rPr>
                <w:rFonts w:hint="eastAsia" w:asciiTheme="minorEastAsia" w:hAnsiTheme="minorEastAsia"/>
                <w:sz w:val="21"/>
                <w:szCs w:val="21"/>
              </w:rPr>
              <w:t>5.</w:t>
            </w:r>
            <w:r>
              <w:rPr>
                <w:rFonts w:hint="eastAsia" w:ascii="宋体" w:hAnsi="宋体" w:eastAsia="宋体"/>
                <w:sz w:val="21"/>
                <w:szCs w:val="21"/>
              </w:rPr>
              <w:t>标本处理：密闭的空间，全过程可以无菌操作，便于后续细胞实验。</w:t>
            </w:r>
          </w:p>
          <w:p>
            <w:pPr>
              <w:jc w:val="both"/>
              <w:rPr>
                <w:rFonts w:ascii="宋体" w:hAnsi="宋体" w:eastAsia="宋体"/>
                <w:sz w:val="21"/>
                <w:szCs w:val="21"/>
              </w:rPr>
            </w:pPr>
            <w:r>
              <w:rPr>
                <w:rFonts w:hint="eastAsia" w:asciiTheme="minorEastAsia" w:hAnsiTheme="minorEastAsia"/>
                <w:sz w:val="21"/>
                <w:szCs w:val="21"/>
              </w:rPr>
              <w:t>6.</w:t>
            </w:r>
            <w:r>
              <w:rPr>
                <w:rFonts w:hint="eastAsia" w:ascii="宋体" w:hAnsi="宋体" w:eastAsia="宋体"/>
                <w:sz w:val="21"/>
                <w:szCs w:val="21"/>
              </w:rPr>
              <w:t>一次处理样品不少于八个。</w:t>
            </w:r>
          </w:p>
          <w:p>
            <w:pPr>
              <w:jc w:val="both"/>
              <w:rPr>
                <w:rFonts w:ascii="宋体" w:hAnsi="宋体" w:eastAsia="宋体"/>
                <w:sz w:val="21"/>
                <w:szCs w:val="21"/>
              </w:rPr>
            </w:pPr>
            <w:r>
              <w:rPr>
                <w:rFonts w:hint="eastAsia" w:asciiTheme="minorEastAsia" w:hAnsiTheme="minorEastAsia"/>
                <w:sz w:val="21"/>
                <w:szCs w:val="21"/>
              </w:rPr>
              <w:t>7.</w:t>
            </w:r>
            <w:r>
              <w:rPr>
                <w:rFonts w:hint="eastAsia" w:ascii="宋体" w:hAnsi="宋体" w:eastAsia="宋体"/>
                <w:sz w:val="21"/>
                <w:szCs w:val="21"/>
              </w:rPr>
              <w:t>可以同时处理八个不同的样品。</w:t>
            </w:r>
          </w:p>
          <w:p>
            <w:pPr>
              <w:jc w:val="both"/>
              <w:rPr>
                <w:rFonts w:ascii="宋体" w:hAnsi="宋体" w:eastAsia="宋体"/>
                <w:sz w:val="21"/>
                <w:szCs w:val="21"/>
              </w:rPr>
            </w:pPr>
            <w:r>
              <w:rPr>
                <w:rFonts w:hint="eastAsia" w:asciiTheme="minorEastAsia" w:hAnsiTheme="minorEastAsia"/>
                <w:sz w:val="21"/>
                <w:szCs w:val="21"/>
              </w:rPr>
              <w:t>8.</w:t>
            </w:r>
            <w:r>
              <w:rPr>
                <w:rFonts w:hint="eastAsia" w:ascii="宋体" w:hAnsi="宋体" w:eastAsia="宋体"/>
                <w:sz w:val="21"/>
                <w:szCs w:val="21"/>
              </w:rPr>
              <w:t>厂家可对仪器进行免费的程序升级，并提供国际相关实验的最新进展。</w:t>
            </w:r>
          </w:p>
          <w:p>
            <w:pPr>
              <w:jc w:val="both"/>
              <w:rPr>
                <w:rFonts w:ascii="宋体" w:hAnsi="宋体" w:eastAsia="宋体"/>
                <w:sz w:val="21"/>
                <w:szCs w:val="21"/>
              </w:rPr>
            </w:pPr>
            <w:r>
              <w:rPr>
                <w:rFonts w:hint="eastAsia" w:asciiTheme="minorEastAsia" w:hAnsiTheme="minorEastAsia"/>
                <w:sz w:val="21"/>
                <w:szCs w:val="21"/>
              </w:rPr>
              <w:t>9.</w:t>
            </w:r>
            <w:r>
              <w:rPr>
                <w:rFonts w:hint="eastAsia" w:ascii="宋体" w:hAnsi="宋体" w:eastAsia="宋体"/>
                <w:sz w:val="21"/>
                <w:szCs w:val="21"/>
              </w:rPr>
              <w:t>仪器可以编程优化方案，并且可以保存方案便于后续使用。</w:t>
            </w:r>
          </w:p>
          <w:p>
            <w:pPr>
              <w:jc w:val="both"/>
              <w:rPr>
                <w:rFonts w:ascii="宋体" w:hAnsi="宋体" w:eastAsia="宋体"/>
                <w:sz w:val="21"/>
                <w:szCs w:val="21"/>
              </w:rPr>
            </w:pPr>
            <w:r>
              <w:rPr>
                <w:rFonts w:hint="eastAsia" w:asciiTheme="minorEastAsia" w:hAnsiTheme="minorEastAsia"/>
                <w:sz w:val="21"/>
                <w:szCs w:val="21"/>
              </w:rPr>
              <w:t>10.</w:t>
            </w:r>
            <w:r>
              <w:rPr>
                <w:rFonts w:hint="eastAsia" w:ascii="宋体" w:hAnsi="宋体" w:eastAsia="宋体"/>
                <w:sz w:val="21"/>
                <w:szCs w:val="21"/>
              </w:rPr>
              <w:t>标配加热模块便于组织处理过程中的酶解加热。</w:t>
            </w:r>
          </w:p>
          <w:p>
            <w:pPr>
              <w:jc w:val="both"/>
              <w:rPr>
                <w:rFonts w:ascii="宋体" w:hAnsi="宋体" w:eastAsia="宋体"/>
                <w:sz w:val="21"/>
                <w:szCs w:val="21"/>
              </w:rPr>
            </w:pPr>
            <w:r>
              <w:rPr>
                <w:rFonts w:hint="eastAsia" w:asciiTheme="minorEastAsia" w:hAnsiTheme="minorEastAsia"/>
                <w:sz w:val="21"/>
                <w:szCs w:val="21"/>
              </w:rPr>
              <w:t>11.</w:t>
            </w:r>
            <w:r>
              <w:rPr>
                <w:rFonts w:hint="eastAsia" w:ascii="宋体" w:hAnsi="宋体" w:eastAsia="宋体"/>
                <w:sz w:val="21"/>
                <w:szCs w:val="21"/>
              </w:rPr>
              <w:t>样本容量0.3</w:t>
            </w:r>
            <w:r>
              <w:rPr>
                <w:rFonts w:hint="eastAsia" w:asciiTheme="minorEastAsia" w:hAnsiTheme="minorEastAsia"/>
                <w:sz w:val="21"/>
                <w:szCs w:val="21"/>
              </w:rPr>
              <w:t>ml</w:t>
            </w:r>
            <w:r>
              <w:rPr>
                <w:rFonts w:hint="eastAsia" w:ascii="宋体" w:hAnsi="宋体" w:eastAsia="宋体"/>
                <w:sz w:val="21"/>
                <w:szCs w:val="21"/>
              </w:rPr>
              <w:t>-10ml。</w:t>
            </w:r>
          </w:p>
          <w:p>
            <w:pPr>
              <w:jc w:val="both"/>
              <w:rPr>
                <w:rFonts w:ascii="宋体" w:hAnsi="宋体" w:eastAsia="宋体"/>
                <w:sz w:val="21"/>
                <w:szCs w:val="21"/>
              </w:rPr>
            </w:pPr>
            <w:r>
              <w:rPr>
                <w:rFonts w:hint="eastAsia" w:ascii="宋体" w:hAnsi="宋体" w:eastAsia="宋体"/>
                <w:sz w:val="21"/>
                <w:szCs w:val="21"/>
              </w:rPr>
              <w:t>12．标本大小20</w:t>
            </w:r>
            <w:r>
              <w:rPr>
                <w:rFonts w:hint="eastAsia" w:asciiTheme="minorEastAsia" w:hAnsiTheme="minorEastAsia"/>
                <w:sz w:val="21"/>
                <w:szCs w:val="21"/>
              </w:rPr>
              <w:t>mg</w:t>
            </w:r>
            <w:r>
              <w:rPr>
                <w:rFonts w:hint="eastAsia" w:ascii="宋体" w:hAnsi="宋体" w:eastAsia="宋体"/>
                <w:sz w:val="21"/>
                <w:szCs w:val="21"/>
              </w:rPr>
              <w:t>-4000mg。</w:t>
            </w:r>
          </w:p>
          <w:p>
            <w:pPr>
              <w:jc w:val="both"/>
              <w:rPr>
                <w:rFonts w:ascii="宋体" w:hAnsi="宋体" w:eastAsia="宋体"/>
                <w:sz w:val="21"/>
                <w:szCs w:val="21"/>
              </w:rPr>
            </w:pPr>
            <w:r>
              <w:rPr>
                <w:rFonts w:hint="eastAsia" w:ascii="宋体" w:hAnsi="宋体" w:eastAsia="宋体"/>
                <w:sz w:val="21"/>
                <w:szCs w:val="21"/>
              </w:rPr>
              <w:t>13．转速：200</w:t>
            </w:r>
            <w:r>
              <w:rPr>
                <w:rFonts w:hint="eastAsia" w:asciiTheme="minorEastAsia" w:hAnsiTheme="minorEastAsia"/>
                <w:sz w:val="21"/>
                <w:szCs w:val="21"/>
              </w:rPr>
              <w:t>rpm</w:t>
            </w:r>
            <w:r>
              <w:rPr>
                <w:rFonts w:hint="eastAsia" w:ascii="宋体" w:hAnsi="宋体" w:eastAsia="宋体"/>
                <w:sz w:val="21"/>
                <w:szCs w:val="21"/>
              </w:rPr>
              <w:t>-4000rpm，两个方向，顺时针或逆时针。</w:t>
            </w:r>
          </w:p>
          <w:p>
            <w:pPr>
              <w:jc w:val="both"/>
              <w:rPr>
                <w:rFonts w:ascii="宋体" w:hAnsi="宋体" w:eastAsia="宋体"/>
                <w:sz w:val="21"/>
                <w:szCs w:val="21"/>
              </w:rPr>
            </w:pPr>
          </w:p>
          <w:p>
            <w:pPr>
              <w:numPr>
                <w:ilvl w:val="0"/>
                <w:numId w:val="22"/>
              </w:numPr>
              <w:adjustRightInd/>
              <w:spacing w:line="240" w:lineRule="auto"/>
              <w:jc w:val="both"/>
              <w:textAlignment w:val="auto"/>
              <w:rPr>
                <w:rFonts w:ascii="宋体" w:hAnsi="宋体" w:eastAsia="宋体"/>
                <w:b/>
                <w:sz w:val="21"/>
                <w:szCs w:val="21"/>
              </w:rPr>
            </w:pPr>
            <w:r>
              <w:rPr>
                <w:rFonts w:hint="eastAsia" w:ascii="宋体" w:hAnsi="宋体" w:eastAsia="宋体"/>
                <w:b/>
                <w:sz w:val="21"/>
                <w:szCs w:val="21"/>
              </w:rPr>
              <w:t>质保期与售后服务</w:t>
            </w:r>
          </w:p>
          <w:p>
            <w:pPr>
              <w:spacing w:line="400" w:lineRule="exact"/>
              <w:jc w:val="both"/>
              <w:rPr>
                <w:rFonts w:ascii="宋体" w:hAnsi="宋体" w:eastAsia="宋体"/>
                <w:bCs/>
                <w:sz w:val="21"/>
                <w:szCs w:val="21"/>
              </w:rPr>
            </w:pPr>
            <w:r>
              <w:rPr>
                <w:rFonts w:hint="eastAsia" w:ascii="宋体" w:hAnsi="宋体" w:eastAsia="宋体"/>
                <w:sz w:val="21"/>
                <w:szCs w:val="21"/>
              </w:rPr>
              <w:t>整机免费保修一年，操作软件终身免费升级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3" w:type="dxa"/>
            <w:vAlign w:val="center"/>
          </w:tcPr>
          <w:p>
            <w:pPr>
              <w:jc w:val="center"/>
              <w:rPr>
                <w:rFonts w:ascii="宋体" w:hAnsi="宋体" w:eastAsia="宋体"/>
                <w:sz w:val="21"/>
                <w:szCs w:val="21"/>
              </w:rPr>
            </w:pPr>
            <w:r>
              <w:rPr>
                <w:rFonts w:hint="eastAsia" w:ascii="宋体" w:hAnsi="宋体" w:eastAsia="宋体"/>
                <w:sz w:val="21"/>
                <w:szCs w:val="21"/>
              </w:rPr>
              <w:t>2</w:t>
            </w:r>
          </w:p>
        </w:tc>
        <w:tc>
          <w:tcPr>
            <w:tcW w:w="1261" w:type="dxa"/>
            <w:vAlign w:val="center"/>
          </w:tcPr>
          <w:p>
            <w:pPr>
              <w:jc w:val="center"/>
              <w:rPr>
                <w:rFonts w:ascii="宋体" w:hAnsi="宋体" w:eastAsia="宋体"/>
                <w:sz w:val="21"/>
                <w:szCs w:val="21"/>
              </w:rPr>
            </w:pPr>
            <w:r>
              <w:rPr>
                <w:rFonts w:hint="eastAsia" w:ascii="宋体" w:hAnsi="宋体" w:eastAsia="宋体"/>
                <w:sz w:val="21"/>
                <w:szCs w:val="21"/>
              </w:rPr>
              <w:t>制备型高效液相色谱仪</w:t>
            </w:r>
          </w:p>
        </w:tc>
        <w:tc>
          <w:tcPr>
            <w:tcW w:w="894" w:type="dxa"/>
            <w:vAlign w:val="center"/>
          </w:tcPr>
          <w:p>
            <w:pPr>
              <w:jc w:val="center"/>
              <w:rPr>
                <w:rFonts w:ascii="宋体" w:hAnsi="宋体" w:eastAsia="宋体"/>
                <w:sz w:val="21"/>
                <w:szCs w:val="21"/>
              </w:rPr>
            </w:pPr>
            <w:r>
              <w:rPr>
                <w:rFonts w:hint="eastAsia" w:ascii="宋体" w:hAnsi="宋体" w:eastAsia="宋体"/>
                <w:sz w:val="21"/>
                <w:szCs w:val="21"/>
              </w:rPr>
              <w:t>1台</w:t>
            </w:r>
          </w:p>
        </w:tc>
        <w:tc>
          <w:tcPr>
            <w:tcW w:w="5898" w:type="dxa"/>
            <w:vAlign w:val="center"/>
          </w:tcPr>
          <w:p>
            <w:pPr>
              <w:jc w:val="both"/>
              <w:rPr>
                <w:rFonts w:ascii="宋体" w:hAnsi="宋体" w:eastAsia="宋体"/>
                <w:sz w:val="21"/>
                <w:szCs w:val="21"/>
              </w:rPr>
            </w:pPr>
            <w:r>
              <w:rPr>
                <w:rFonts w:asciiTheme="minorEastAsia" w:hAnsiTheme="minorEastAsia"/>
                <w:sz w:val="21"/>
                <w:szCs w:val="21"/>
              </w:rPr>
              <w:t>一、配置要求</w:t>
            </w:r>
          </w:p>
          <w:p>
            <w:pPr>
              <w:jc w:val="both"/>
              <w:rPr>
                <w:rFonts w:ascii="宋体" w:hAnsi="宋体" w:eastAsia="宋体"/>
                <w:bCs/>
                <w:sz w:val="21"/>
                <w:szCs w:val="21"/>
              </w:rPr>
            </w:pPr>
            <w:r>
              <w:rPr>
                <w:rFonts w:ascii="宋体" w:hAnsi="宋体" w:eastAsia="宋体"/>
                <w:bCs/>
                <w:sz w:val="21"/>
                <w:szCs w:val="21"/>
              </w:rPr>
              <w:t>1. 全制备型二元高压梯度泵</w:t>
            </w:r>
            <w:r>
              <w:rPr>
                <w:rFonts w:hint="eastAsia" w:ascii="宋体" w:hAnsi="宋体" w:eastAsia="宋体"/>
                <w:bCs/>
                <w:sz w:val="21"/>
                <w:szCs w:val="21"/>
              </w:rPr>
              <w:t>1</w:t>
            </w:r>
            <w:r>
              <w:rPr>
                <w:rFonts w:ascii="宋体" w:hAnsi="宋体" w:eastAsia="宋体"/>
                <w:bCs/>
                <w:sz w:val="21"/>
                <w:szCs w:val="21"/>
              </w:rPr>
              <w:t>台（含系统工具包、毛细管工具包）</w:t>
            </w:r>
          </w:p>
          <w:p>
            <w:pPr>
              <w:jc w:val="both"/>
              <w:rPr>
                <w:rFonts w:ascii="宋体" w:hAnsi="宋体" w:eastAsia="宋体"/>
                <w:bCs/>
                <w:sz w:val="21"/>
                <w:szCs w:val="21"/>
              </w:rPr>
            </w:pPr>
            <w:r>
              <w:rPr>
                <w:rFonts w:ascii="宋体" w:hAnsi="宋体" w:eastAsia="宋体"/>
                <w:bCs/>
                <w:sz w:val="21"/>
                <w:szCs w:val="21"/>
              </w:rPr>
              <w:t>2．手动进样器</w:t>
            </w:r>
            <w:r>
              <w:rPr>
                <w:rFonts w:hint="eastAsia" w:ascii="宋体" w:hAnsi="宋体" w:eastAsia="宋体"/>
                <w:bCs/>
                <w:sz w:val="21"/>
                <w:szCs w:val="21"/>
              </w:rPr>
              <w:t>1</w:t>
            </w:r>
            <w:r>
              <w:rPr>
                <w:rFonts w:ascii="宋体" w:hAnsi="宋体" w:eastAsia="宋体"/>
                <w:bCs/>
                <w:sz w:val="21"/>
                <w:szCs w:val="21"/>
              </w:rPr>
              <w:t>台</w:t>
            </w:r>
          </w:p>
          <w:p>
            <w:pPr>
              <w:jc w:val="both"/>
              <w:rPr>
                <w:rFonts w:ascii="宋体" w:hAnsi="宋体" w:eastAsia="宋体"/>
                <w:bCs/>
                <w:sz w:val="21"/>
                <w:szCs w:val="21"/>
              </w:rPr>
            </w:pPr>
            <w:r>
              <w:rPr>
                <w:rFonts w:ascii="宋体" w:hAnsi="宋体" w:eastAsia="宋体"/>
                <w:bCs/>
                <w:sz w:val="21"/>
                <w:szCs w:val="21"/>
              </w:rPr>
              <w:t>3. 可变波长紫外检测器</w:t>
            </w:r>
            <w:r>
              <w:rPr>
                <w:rFonts w:hint="eastAsia" w:ascii="宋体" w:hAnsi="宋体" w:eastAsia="宋体"/>
                <w:bCs/>
                <w:sz w:val="21"/>
                <w:szCs w:val="21"/>
              </w:rPr>
              <w:t>1</w:t>
            </w:r>
            <w:r>
              <w:rPr>
                <w:rFonts w:ascii="宋体" w:hAnsi="宋体" w:eastAsia="宋体"/>
                <w:bCs/>
                <w:sz w:val="21"/>
                <w:szCs w:val="21"/>
              </w:rPr>
              <w:t>台</w:t>
            </w:r>
          </w:p>
          <w:p>
            <w:pPr>
              <w:jc w:val="both"/>
              <w:rPr>
                <w:rFonts w:ascii="宋体" w:hAnsi="宋体" w:eastAsia="宋体"/>
                <w:bCs/>
                <w:sz w:val="21"/>
                <w:szCs w:val="21"/>
              </w:rPr>
            </w:pPr>
            <w:r>
              <w:rPr>
                <w:rFonts w:ascii="宋体" w:hAnsi="宋体" w:eastAsia="宋体"/>
                <w:bCs/>
                <w:sz w:val="21"/>
                <w:szCs w:val="21"/>
              </w:rPr>
              <w:t>4. 色谱软件</w:t>
            </w:r>
            <w:r>
              <w:rPr>
                <w:rFonts w:hint="eastAsia" w:ascii="宋体" w:hAnsi="宋体" w:eastAsia="宋体"/>
                <w:bCs/>
                <w:sz w:val="21"/>
                <w:szCs w:val="21"/>
              </w:rPr>
              <w:t>1</w:t>
            </w:r>
            <w:r>
              <w:rPr>
                <w:rFonts w:ascii="宋体" w:hAnsi="宋体" w:eastAsia="宋体"/>
                <w:bCs/>
                <w:sz w:val="21"/>
                <w:szCs w:val="21"/>
              </w:rPr>
              <w:t>个</w:t>
            </w:r>
          </w:p>
          <w:p>
            <w:pPr>
              <w:widowControl/>
              <w:snapToGrid w:val="0"/>
              <w:jc w:val="both"/>
              <w:rPr>
                <w:rFonts w:ascii="宋体" w:hAnsi="宋体" w:eastAsia="宋体"/>
                <w:bCs/>
                <w:sz w:val="21"/>
                <w:szCs w:val="21"/>
              </w:rPr>
            </w:pPr>
            <w:r>
              <w:rPr>
                <w:rFonts w:ascii="宋体" w:hAnsi="宋体" w:eastAsia="宋体"/>
                <w:bCs/>
                <w:sz w:val="21"/>
                <w:szCs w:val="21"/>
              </w:rPr>
              <w:t>5. 正、反相专用出入口阀及密封圈各</w:t>
            </w:r>
            <w:r>
              <w:rPr>
                <w:rFonts w:hint="eastAsia" w:ascii="宋体" w:hAnsi="宋体" w:eastAsia="宋体"/>
                <w:bCs/>
                <w:sz w:val="21"/>
                <w:szCs w:val="21"/>
              </w:rPr>
              <w:t>1</w:t>
            </w:r>
            <w:r>
              <w:rPr>
                <w:rFonts w:ascii="宋体" w:hAnsi="宋体" w:eastAsia="宋体"/>
                <w:bCs/>
                <w:sz w:val="21"/>
                <w:szCs w:val="21"/>
              </w:rPr>
              <w:t>套；</w:t>
            </w:r>
          </w:p>
          <w:p>
            <w:pPr>
              <w:jc w:val="both"/>
              <w:rPr>
                <w:rFonts w:ascii="宋体" w:hAnsi="宋体" w:eastAsia="宋体"/>
                <w:sz w:val="21"/>
                <w:szCs w:val="21"/>
              </w:rPr>
            </w:pPr>
            <w:r>
              <w:rPr>
                <w:rFonts w:ascii="宋体" w:hAnsi="宋体" w:eastAsia="宋体"/>
                <w:bCs/>
                <w:sz w:val="21"/>
                <w:szCs w:val="21"/>
              </w:rPr>
              <w:t>6. 电脑</w:t>
            </w:r>
            <w:r>
              <w:rPr>
                <w:rFonts w:hint="eastAsia" w:ascii="宋体" w:hAnsi="宋体" w:eastAsia="宋体"/>
                <w:bCs/>
                <w:sz w:val="21"/>
                <w:szCs w:val="21"/>
              </w:rPr>
              <w:t>1</w:t>
            </w:r>
            <w:r>
              <w:rPr>
                <w:rFonts w:ascii="宋体" w:hAnsi="宋体" w:eastAsia="宋体"/>
                <w:bCs/>
                <w:sz w:val="21"/>
                <w:szCs w:val="21"/>
              </w:rPr>
              <w:t>套</w:t>
            </w:r>
            <w:r>
              <w:rPr>
                <w:rStyle w:val="30"/>
                <w:rFonts w:hint="eastAsia"/>
                <w:kern w:val="2"/>
              </w:rPr>
              <w:t>(配置不低于：CPU:i5-6500，内存:4G，硬盘:1TB，显示器:19.5英寸，操作系统: win10 64位专业版)</w:t>
            </w:r>
          </w:p>
          <w:p>
            <w:pPr>
              <w:jc w:val="both"/>
              <w:rPr>
                <w:rFonts w:ascii="宋体" w:hAnsi="宋体" w:eastAsia="宋体"/>
                <w:sz w:val="21"/>
                <w:szCs w:val="21"/>
              </w:rPr>
            </w:pPr>
            <w:r>
              <w:rPr>
                <w:rFonts w:hint="eastAsia" w:ascii="宋体" w:hAnsi="宋体" w:eastAsia="宋体"/>
                <w:sz w:val="21"/>
                <w:szCs w:val="21"/>
              </w:rPr>
              <w:t>二、技术参数与性能指标要求</w:t>
            </w:r>
          </w:p>
          <w:p>
            <w:pPr>
              <w:spacing w:line="400" w:lineRule="exact"/>
              <w:jc w:val="both"/>
              <w:rPr>
                <w:rFonts w:ascii="宋体" w:hAnsi="宋体" w:eastAsia="宋体"/>
                <w:sz w:val="21"/>
                <w:szCs w:val="21"/>
              </w:rPr>
            </w:pPr>
            <w:r>
              <w:rPr>
                <w:rFonts w:ascii="宋体" w:hAnsi="宋体" w:eastAsia="宋体"/>
                <w:sz w:val="21"/>
                <w:szCs w:val="21"/>
              </w:rPr>
              <w:t>1 全制备型二元高压梯度泵</w:t>
            </w:r>
          </w:p>
          <w:p>
            <w:pPr>
              <w:spacing w:line="400" w:lineRule="exact"/>
              <w:jc w:val="both"/>
              <w:rPr>
                <w:rFonts w:ascii="宋体" w:hAnsi="宋体" w:eastAsia="宋体"/>
                <w:b/>
                <w:bCs/>
                <w:sz w:val="21"/>
                <w:szCs w:val="21"/>
              </w:rPr>
            </w:pPr>
            <w:r>
              <w:rPr>
                <w:rFonts w:hint="eastAsia" w:ascii="宋体" w:hAnsi="宋体"/>
                <w:b/>
                <w:bCs/>
                <w:color w:val="000000"/>
                <w:sz w:val="21"/>
                <w:szCs w:val="21"/>
              </w:rPr>
              <w:t>*</w:t>
            </w:r>
            <w:r>
              <w:rPr>
                <w:rFonts w:ascii="宋体" w:hAnsi="宋体" w:eastAsia="宋体"/>
                <w:b/>
                <w:bCs/>
                <w:sz w:val="21"/>
                <w:szCs w:val="21"/>
              </w:rPr>
              <w:t>1.1 压力操作范围不低于：42MPa</w:t>
            </w:r>
          </w:p>
          <w:p>
            <w:pPr>
              <w:spacing w:line="400" w:lineRule="exact"/>
              <w:jc w:val="both"/>
              <w:rPr>
                <w:rFonts w:ascii="宋体" w:hAnsi="宋体" w:eastAsia="宋体"/>
                <w:bCs/>
                <w:sz w:val="21"/>
                <w:szCs w:val="21"/>
              </w:rPr>
            </w:pPr>
            <w:r>
              <w:rPr>
                <w:rFonts w:ascii="宋体" w:hAnsi="宋体" w:eastAsia="宋体"/>
                <w:bCs/>
                <w:sz w:val="21"/>
                <w:szCs w:val="21"/>
              </w:rPr>
              <w:t>1.2 压缩补偿：预定义或根据流动相种类压缩</w:t>
            </w:r>
          </w:p>
          <w:p>
            <w:pPr>
              <w:spacing w:line="400" w:lineRule="exact"/>
              <w:jc w:val="both"/>
              <w:rPr>
                <w:rFonts w:ascii="宋体" w:hAnsi="宋体" w:eastAsia="宋体"/>
                <w:b/>
                <w:bCs/>
                <w:sz w:val="21"/>
                <w:szCs w:val="21"/>
              </w:rPr>
            </w:pPr>
            <w:r>
              <w:rPr>
                <w:rFonts w:hint="eastAsia" w:ascii="宋体" w:hAnsi="宋体"/>
                <w:b/>
                <w:bCs/>
                <w:color w:val="000000"/>
                <w:sz w:val="21"/>
                <w:szCs w:val="21"/>
              </w:rPr>
              <w:t>*</w:t>
            </w:r>
            <w:r>
              <w:rPr>
                <w:rFonts w:ascii="宋体" w:hAnsi="宋体" w:eastAsia="宋体"/>
                <w:b/>
                <w:bCs/>
                <w:sz w:val="21"/>
                <w:szCs w:val="21"/>
              </w:rPr>
              <w:t>1.3 可设流速范围：</w:t>
            </w:r>
            <w:r>
              <w:rPr>
                <w:rFonts w:asciiTheme="minorEastAsia" w:hAnsiTheme="minorEastAsia"/>
                <w:b/>
                <w:bCs/>
                <w:sz w:val="21"/>
                <w:szCs w:val="21"/>
              </w:rPr>
              <w:t>0.01-</w:t>
            </w:r>
            <w:r>
              <w:rPr>
                <w:rFonts w:ascii="宋体" w:hAnsi="宋体" w:eastAsia="宋体"/>
                <w:b/>
                <w:bCs/>
                <w:sz w:val="21"/>
                <w:szCs w:val="21"/>
              </w:rPr>
              <w:t>50 mL/min, 0.01ml/min增量</w:t>
            </w:r>
          </w:p>
          <w:p>
            <w:pPr>
              <w:spacing w:line="400" w:lineRule="exact"/>
              <w:jc w:val="both"/>
              <w:rPr>
                <w:rFonts w:ascii="宋体" w:hAnsi="宋体" w:eastAsia="宋体"/>
                <w:bCs/>
                <w:sz w:val="21"/>
                <w:szCs w:val="21"/>
              </w:rPr>
            </w:pPr>
            <w:r>
              <w:rPr>
                <w:rFonts w:ascii="宋体" w:hAnsi="宋体" w:eastAsia="宋体"/>
                <w:bCs/>
                <w:sz w:val="21"/>
                <w:szCs w:val="21"/>
              </w:rPr>
              <w:t>1.4 推荐pH范围：</w:t>
            </w:r>
            <w:r>
              <w:rPr>
                <w:rFonts w:asciiTheme="minorEastAsia" w:hAnsiTheme="minorEastAsia"/>
                <w:bCs/>
                <w:sz w:val="21"/>
                <w:szCs w:val="21"/>
              </w:rPr>
              <w:t>1.0-</w:t>
            </w:r>
            <w:r>
              <w:rPr>
                <w:rFonts w:ascii="宋体" w:hAnsi="宋体" w:eastAsia="宋体"/>
                <w:bCs/>
                <w:sz w:val="21"/>
                <w:szCs w:val="21"/>
              </w:rPr>
              <w:t>12.5</w:t>
            </w:r>
          </w:p>
          <w:p>
            <w:pPr>
              <w:spacing w:line="400" w:lineRule="exact"/>
              <w:jc w:val="both"/>
              <w:rPr>
                <w:rFonts w:ascii="宋体" w:hAnsi="宋体" w:eastAsia="宋体"/>
                <w:bCs/>
                <w:sz w:val="21"/>
                <w:szCs w:val="21"/>
              </w:rPr>
            </w:pPr>
            <w:r>
              <w:rPr>
                <w:rFonts w:ascii="宋体" w:hAnsi="宋体" w:eastAsia="宋体"/>
                <w:bCs/>
                <w:sz w:val="21"/>
                <w:szCs w:val="21"/>
              </w:rPr>
              <w:t>1.5 梯度方式：高压梯度混合</w:t>
            </w:r>
          </w:p>
          <w:p>
            <w:pPr>
              <w:spacing w:line="400" w:lineRule="exact"/>
              <w:jc w:val="both"/>
              <w:rPr>
                <w:rFonts w:ascii="宋体" w:hAnsi="宋体" w:eastAsia="宋体"/>
                <w:bCs/>
                <w:sz w:val="21"/>
                <w:szCs w:val="21"/>
              </w:rPr>
            </w:pPr>
            <w:r>
              <w:rPr>
                <w:rFonts w:ascii="宋体" w:hAnsi="宋体" w:eastAsia="宋体"/>
                <w:bCs/>
                <w:sz w:val="21"/>
                <w:szCs w:val="21"/>
              </w:rPr>
              <w:t>1.6 可设梯度范围：</w:t>
            </w:r>
            <w:r>
              <w:rPr>
                <w:rFonts w:asciiTheme="minorEastAsia" w:hAnsiTheme="minorEastAsia"/>
                <w:bCs/>
                <w:sz w:val="21"/>
                <w:szCs w:val="21"/>
              </w:rPr>
              <w:t>0-</w:t>
            </w:r>
            <w:r>
              <w:rPr>
                <w:rFonts w:ascii="宋体" w:hAnsi="宋体" w:eastAsia="宋体"/>
                <w:bCs/>
                <w:sz w:val="21"/>
                <w:szCs w:val="21"/>
              </w:rPr>
              <w:t>100%, 0.1%增量</w:t>
            </w:r>
          </w:p>
          <w:p>
            <w:pPr>
              <w:spacing w:line="400" w:lineRule="exact"/>
              <w:jc w:val="both"/>
              <w:rPr>
                <w:rFonts w:ascii="宋体" w:hAnsi="宋体" w:eastAsia="宋体"/>
                <w:bCs/>
                <w:sz w:val="21"/>
                <w:szCs w:val="21"/>
              </w:rPr>
            </w:pPr>
            <w:r>
              <w:rPr>
                <w:rFonts w:ascii="宋体" w:hAnsi="宋体" w:eastAsia="宋体"/>
                <w:bCs/>
                <w:sz w:val="21"/>
                <w:szCs w:val="21"/>
              </w:rPr>
              <w:t>1.7 推荐梯度范围：</w:t>
            </w:r>
            <w:r>
              <w:rPr>
                <w:rFonts w:asciiTheme="minorEastAsia" w:hAnsiTheme="minorEastAsia"/>
                <w:bCs/>
                <w:sz w:val="21"/>
                <w:szCs w:val="21"/>
              </w:rPr>
              <w:t>5-</w:t>
            </w:r>
            <w:r>
              <w:rPr>
                <w:rFonts w:ascii="宋体" w:hAnsi="宋体" w:eastAsia="宋体"/>
                <w:bCs/>
                <w:sz w:val="21"/>
                <w:szCs w:val="21"/>
              </w:rPr>
              <w:t>95%</w:t>
            </w:r>
          </w:p>
          <w:p>
            <w:pPr>
              <w:spacing w:line="400" w:lineRule="exact"/>
              <w:jc w:val="both"/>
              <w:rPr>
                <w:rFonts w:ascii="宋体" w:hAnsi="宋体" w:eastAsia="宋体"/>
                <w:bCs/>
                <w:sz w:val="21"/>
                <w:szCs w:val="21"/>
              </w:rPr>
            </w:pPr>
            <w:r>
              <w:rPr>
                <w:rFonts w:ascii="宋体" w:hAnsi="宋体" w:eastAsia="宋体"/>
                <w:bCs/>
                <w:sz w:val="21"/>
                <w:szCs w:val="21"/>
              </w:rPr>
              <w:t>1.8 流速准度：</w:t>
            </w:r>
            <w:r>
              <w:rPr>
                <w:rFonts w:asciiTheme="minorEastAsia" w:hAnsiTheme="minorEastAsia"/>
                <w:bCs/>
                <w:sz w:val="21"/>
                <w:szCs w:val="21"/>
              </w:rPr>
              <w:t>&lt;</w:t>
            </w:r>
            <w:r>
              <w:rPr>
                <w:rFonts w:ascii="宋体" w:hAnsi="宋体" w:eastAsia="宋体"/>
                <w:bCs/>
                <w:sz w:val="21"/>
                <w:szCs w:val="21"/>
              </w:rPr>
              <w:t>±1 %</w:t>
            </w:r>
          </w:p>
          <w:p>
            <w:pPr>
              <w:spacing w:line="400" w:lineRule="exact"/>
              <w:jc w:val="both"/>
              <w:rPr>
                <w:rFonts w:ascii="宋体" w:hAnsi="宋体" w:eastAsia="宋体"/>
                <w:bCs/>
                <w:sz w:val="21"/>
                <w:szCs w:val="21"/>
              </w:rPr>
            </w:pPr>
            <w:r>
              <w:rPr>
                <w:rFonts w:ascii="宋体" w:hAnsi="宋体" w:eastAsia="宋体"/>
                <w:bCs/>
                <w:sz w:val="21"/>
                <w:szCs w:val="21"/>
              </w:rPr>
              <w:t>1.9 组成准度：</w:t>
            </w:r>
            <w:r>
              <w:rPr>
                <w:rFonts w:asciiTheme="minorEastAsia" w:hAnsiTheme="minorEastAsia"/>
                <w:bCs/>
                <w:sz w:val="21"/>
                <w:szCs w:val="21"/>
              </w:rPr>
              <w:t>&lt;</w:t>
            </w:r>
            <w:r>
              <w:rPr>
                <w:rFonts w:ascii="宋体" w:hAnsi="宋体" w:eastAsia="宋体"/>
                <w:bCs/>
                <w:sz w:val="21"/>
                <w:szCs w:val="21"/>
              </w:rPr>
              <w:t>±1 %, 从5-95%</w:t>
            </w:r>
          </w:p>
          <w:p>
            <w:pPr>
              <w:spacing w:line="400" w:lineRule="exact"/>
              <w:jc w:val="both"/>
              <w:rPr>
                <w:rFonts w:ascii="宋体" w:hAnsi="宋体" w:eastAsia="宋体"/>
                <w:bCs/>
                <w:sz w:val="21"/>
                <w:szCs w:val="21"/>
              </w:rPr>
            </w:pPr>
            <w:r>
              <w:rPr>
                <w:rFonts w:ascii="宋体" w:hAnsi="宋体" w:eastAsia="宋体"/>
                <w:bCs/>
                <w:sz w:val="21"/>
                <w:szCs w:val="21"/>
              </w:rPr>
              <w:t>1.10 流速精密度：&lt;0.3 % RSD</w:t>
            </w:r>
          </w:p>
          <w:p>
            <w:pPr>
              <w:spacing w:line="400" w:lineRule="exact"/>
              <w:jc w:val="both"/>
              <w:rPr>
                <w:rFonts w:ascii="宋体" w:hAnsi="宋体" w:eastAsia="宋体"/>
                <w:bCs/>
                <w:sz w:val="21"/>
                <w:szCs w:val="21"/>
              </w:rPr>
            </w:pPr>
            <w:r>
              <w:rPr>
                <w:rFonts w:ascii="宋体" w:hAnsi="宋体" w:eastAsia="宋体"/>
                <w:bCs/>
                <w:sz w:val="21"/>
                <w:szCs w:val="21"/>
              </w:rPr>
              <w:t>1.11 组成精密度：&lt;0.3 % RSD</w:t>
            </w:r>
          </w:p>
          <w:p>
            <w:pPr>
              <w:spacing w:line="400" w:lineRule="exact"/>
              <w:jc w:val="both"/>
              <w:rPr>
                <w:rFonts w:ascii="宋体" w:hAnsi="宋体" w:eastAsia="宋体"/>
                <w:bCs/>
                <w:sz w:val="21"/>
                <w:szCs w:val="21"/>
              </w:rPr>
            </w:pPr>
            <w:r>
              <w:rPr>
                <w:rFonts w:ascii="宋体" w:hAnsi="宋体" w:eastAsia="宋体"/>
                <w:bCs/>
                <w:sz w:val="21"/>
                <w:szCs w:val="21"/>
              </w:rPr>
              <w:t>1.12 并联双柱塞往复泵设计；具备用户自主溶剂压缩因子设置，可保证在不同流速及不同流动相组成的最佳流速稳定性。</w:t>
            </w:r>
          </w:p>
          <w:p>
            <w:pPr>
              <w:spacing w:line="400" w:lineRule="exact"/>
              <w:jc w:val="both"/>
              <w:rPr>
                <w:rFonts w:ascii="宋体" w:hAnsi="宋体" w:eastAsia="宋体"/>
                <w:sz w:val="21"/>
                <w:szCs w:val="21"/>
              </w:rPr>
            </w:pPr>
            <w:r>
              <w:rPr>
                <w:rFonts w:ascii="宋体" w:hAnsi="宋体" w:eastAsia="宋体"/>
                <w:sz w:val="21"/>
                <w:szCs w:val="21"/>
              </w:rPr>
              <w:t>2.手动进样器</w:t>
            </w:r>
          </w:p>
          <w:p>
            <w:pPr>
              <w:spacing w:line="400" w:lineRule="exact"/>
              <w:jc w:val="both"/>
              <w:rPr>
                <w:rFonts w:ascii="宋体" w:hAnsi="宋体" w:eastAsia="宋体"/>
                <w:bCs/>
                <w:sz w:val="21"/>
                <w:szCs w:val="21"/>
              </w:rPr>
            </w:pPr>
            <w:r>
              <w:rPr>
                <w:rFonts w:ascii="宋体" w:hAnsi="宋体" w:eastAsia="宋体"/>
                <w:bCs/>
                <w:sz w:val="21"/>
                <w:szCs w:val="21"/>
              </w:rPr>
              <w:t>2.1 MBB设计，有效降低阀切换时的压力波动；内置位置传感开关，触发液相色谱系统的启动。</w:t>
            </w:r>
          </w:p>
          <w:p>
            <w:pPr>
              <w:spacing w:line="400" w:lineRule="exact"/>
              <w:jc w:val="both"/>
              <w:rPr>
                <w:rFonts w:ascii="宋体" w:hAnsi="宋体" w:eastAsia="宋体"/>
                <w:bCs/>
                <w:sz w:val="21"/>
                <w:szCs w:val="21"/>
              </w:rPr>
            </w:pPr>
            <w:r>
              <w:rPr>
                <w:rFonts w:ascii="宋体" w:hAnsi="宋体" w:eastAsia="宋体"/>
                <w:bCs/>
                <w:sz w:val="21"/>
                <w:szCs w:val="21"/>
              </w:rPr>
              <w:t>2.2 3725i (不锈钢材质)</w:t>
            </w:r>
          </w:p>
          <w:p>
            <w:pPr>
              <w:spacing w:line="400" w:lineRule="exact"/>
              <w:jc w:val="both"/>
              <w:rPr>
                <w:rFonts w:ascii="宋体" w:hAnsi="宋体" w:eastAsia="宋体"/>
                <w:bCs/>
                <w:sz w:val="21"/>
                <w:szCs w:val="21"/>
              </w:rPr>
            </w:pPr>
            <w:r>
              <w:rPr>
                <w:rFonts w:ascii="宋体" w:hAnsi="宋体" w:eastAsia="宋体"/>
                <w:bCs/>
                <w:sz w:val="21"/>
                <w:szCs w:val="21"/>
              </w:rPr>
              <w:t>2.3适配定量环：2mL</w:t>
            </w:r>
          </w:p>
          <w:p>
            <w:pPr>
              <w:spacing w:line="400" w:lineRule="exact"/>
              <w:jc w:val="both"/>
              <w:rPr>
                <w:rFonts w:ascii="宋体" w:hAnsi="宋体" w:eastAsia="宋体"/>
                <w:b/>
                <w:bCs/>
                <w:sz w:val="21"/>
                <w:szCs w:val="21"/>
              </w:rPr>
            </w:pPr>
            <w:r>
              <w:rPr>
                <w:rFonts w:hint="eastAsia" w:ascii="宋体" w:hAnsi="宋体"/>
                <w:b/>
                <w:bCs/>
                <w:color w:val="000000"/>
                <w:sz w:val="21"/>
                <w:szCs w:val="21"/>
              </w:rPr>
              <w:t>*</w:t>
            </w:r>
            <w:r>
              <w:rPr>
                <w:rFonts w:ascii="宋体" w:hAnsi="宋体" w:eastAsia="宋体"/>
                <w:b/>
                <w:bCs/>
                <w:sz w:val="21"/>
                <w:szCs w:val="21"/>
              </w:rPr>
              <w:t>2.4 最大操作压力：600 bar</w:t>
            </w:r>
          </w:p>
          <w:p>
            <w:pPr>
              <w:spacing w:line="400" w:lineRule="exact"/>
              <w:jc w:val="both"/>
              <w:rPr>
                <w:rFonts w:ascii="宋体" w:hAnsi="宋体" w:eastAsia="宋体"/>
                <w:sz w:val="21"/>
                <w:szCs w:val="21"/>
              </w:rPr>
            </w:pPr>
            <w:r>
              <w:rPr>
                <w:rFonts w:ascii="宋体" w:hAnsi="宋体" w:eastAsia="宋体"/>
                <w:sz w:val="21"/>
                <w:szCs w:val="21"/>
              </w:rPr>
              <w:t>3.</w:t>
            </w:r>
            <w:r>
              <w:rPr>
                <w:rFonts w:ascii="宋体" w:hAnsi="宋体" w:eastAsia="宋体"/>
                <w:bCs/>
                <w:sz w:val="21"/>
                <w:szCs w:val="21"/>
              </w:rPr>
              <w:t xml:space="preserve"> 可变波长</w:t>
            </w:r>
            <w:r>
              <w:rPr>
                <w:rFonts w:ascii="宋体" w:hAnsi="宋体" w:eastAsia="宋体"/>
                <w:sz w:val="21"/>
                <w:szCs w:val="21"/>
              </w:rPr>
              <w:t>紫外检测器</w:t>
            </w:r>
          </w:p>
          <w:p>
            <w:pPr>
              <w:spacing w:line="400" w:lineRule="exact"/>
              <w:jc w:val="both"/>
              <w:rPr>
                <w:rFonts w:ascii="宋体" w:hAnsi="宋体" w:eastAsia="宋体"/>
                <w:bCs/>
                <w:sz w:val="21"/>
                <w:szCs w:val="21"/>
              </w:rPr>
            </w:pPr>
            <w:r>
              <w:rPr>
                <w:rFonts w:ascii="宋体" w:hAnsi="宋体" w:eastAsia="宋体"/>
                <w:bCs/>
                <w:sz w:val="21"/>
                <w:szCs w:val="21"/>
              </w:rPr>
              <w:t>3.1光源：氘灯</w:t>
            </w:r>
          </w:p>
          <w:p>
            <w:pPr>
              <w:spacing w:line="400" w:lineRule="exact"/>
              <w:jc w:val="both"/>
              <w:rPr>
                <w:rFonts w:ascii="宋体" w:hAnsi="宋体" w:eastAsia="宋体"/>
                <w:bCs/>
                <w:sz w:val="21"/>
                <w:szCs w:val="21"/>
              </w:rPr>
            </w:pPr>
            <w:r>
              <w:rPr>
                <w:rFonts w:ascii="宋体" w:hAnsi="宋体" w:eastAsia="宋体"/>
                <w:bCs/>
                <w:sz w:val="21"/>
                <w:szCs w:val="21"/>
              </w:rPr>
              <w:t>3.2信号数量：单波长检测和双波长检测</w:t>
            </w:r>
          </w:p>
          <w:p>
            <w:pPr>
              <w:spacing w:line="400" w:lineRule="exact"/>
              <w:jc w:val="both"/>
              <w:rPr>
                <w:rFonts w:ascii="宋体" w:hAnsi="宋体" w:eastAsia="宋体"/>
                <w:bCs/>
                <w:sz w:val="21"/>
                <w:szCs w:val="21"/>
              </w:rPr>
            </w:pPr>
            <w:r>
              <w:rPr>
                <w:rFonts w:ascii="宋体" w:hAnsi="宋体" w:eastAsia="宋体"/>
                <w:bCs/>
                <w:sz w:val="21"/>
                <w:szCs w:val="21"/>
              </w:rPr>
              <w:t>3.3最快采样速率：120Hz</w:t>
            </w:r>
          </w:p>
          <w:p>
            <w:pPr>
              <w:spacing w:line="400" w:lineRule="exact"/>
              <w:jc w:val="both"/>
              <w:rPr>
                <w:rFonts w:ascii="宋体" w:hAnsi="宋体" w:eastAsia="宋体"/>
                <w:bCs/>
                <w:sz w:val="21"/>
                <w:szCs w:val="21"/>
              </w:rPr>
            </w:pPr>
            <w:r>
              <w:rPr>
                <w:rFonts w:ascii="宋体" w:hAnsi="宋体" w:eastAsia="宋体"/>
                <w:bCs/>
                <w:sz w:val="21"/>
                <w:szCs w:val="21"/>
              </w:rPr>
              <w:t>3.4噪音：&lt; 0.25</w:t>
            </w:r>
            <w:r>
              <w:rPr>
                <w:rFonts w:ascii="宋体" w:hAnsi="宋体" w:eastAsia="宋体"/>
                <w:sz w:val="21"/>
                <w:szCs w:val="21"/>
              </w:rPr>
              <w:sym w:font="Symbol" w:char="00B4"/>
            </w:r>
            <w:r>
              <w:rPr>
                <w:rFonts w:ascii="宋体" w:hAnsi="宋体" w:eastAsia="宋体"/>
                <w:bCs/>
                <w:sz w:val="21"/>
                <w:szCs w:val="21"/>
              </w:rPr>
              <w:t>10</w:t>
            </w:r>
            <w:r>
              <w:rPr>
                <w:rFonts w:ascii="宋体" w:hAnsi="宋体" w:eastAsia="宋体"/>
                <w:bCs/>
                <w:sz w:val="21"/>
                <w:szCs w:val="21"/>
                <w:vertAlign w:val="superscript"/>
              </w:rPr>
              <w:t>-5</w:t>
            </w:r>
            <w:r>
              <w:rPr>
                <w:rFonts w:ascii="宋体" w:hAnsi="宋体" w:eastAsia="宋体"/>
                <w:bCs/>
                <w:sz w:val="21"/>
                <w:szCs w:val="21"/>
              </w:rPr>
              <w:t xml:space="preserve"> AU 在230nm条件下</w:t>
            </w:r>
          </w:p>
          <w:p>
            <w:pPr>
              <w:spacing w:line="400" w:lineRule="exact"/>
              <w:jc w:val="both"/>
              <w:rPr>
                <w:rFonts w:ascii="宋体" w:hAnsi="宋体" w:eastAsia="宋体"/>
                <w:bCs/>
                <w:sz w:val="21"/>
                <w:szCs w:val="21"/>
              </w:rPr>
            </w:pPr>
            <w:r>
              <w:rPr>
                <w:rFonts w:ascii="宋体" w:hAnsi="宋体" w:eastAsia="宋体"/>
                <w:bCs/>
                <w:sz w:val="21"/>
                <w:szCs w:val="21"/>
              </w:rPr>
              <w:t>3.5 基线漂移：1</w:t>
            </w:r>
            <w:r>
              <w:rPr>
                <w:rFonts w:ascii="宋体" w:hAnsi="宋体" w:eastAsia="宋体"/>
                <w:sz w:val="21"/>
                <w:szCs w:val="21"/>
              </w:rPr>
              <w:sym w:font="Symbol" w:char="00B4"/>
            </w:r>
            <w:r>
              <w:rPr>
                <w:rFonts w:ascii="宋体" w:hAnsi="宋体" w:eastAsia="宋体"/>
                <w:bCs/>
                <w:sz w:val="21"/>
                <w:szCs w:val="21"/>
              </w:rPr>
              <w:t>10</w:t>
            </w:r>
            <w:r>
              <w:rPr>
                <w:rFonts w:ascii="宋体" w:hAnsi="宋体" w:eastAsia="宋体"/>
                <w:bCs/>
                <w:sz w:val="21"/>
                <w:szCs w:val="21"/>
                <w:vertAlign w:val="superscript"/>
              </w:rPr>
              <w:t>-4</w:t>
            </w:r>
            <w:r>
              <w:rPr>
                <w:rFonts w:ascii="宋体" w:hAnsi="宋体" w:eastAsia="宋体"/>
                <w:bCs/>
                <w:sz w:val="21"/>
                <w:szCs w:val="21"/>
              </w:rPr>
              <w:t>mAU/h 在230nm条件下</w:t>
            </w:r>
          </w:p>
          <w:p>
            <w:pPr>
              <w:spacing w:line="400" w:lineRule="exact"/>
              <w:jc w:val="both"/>
              <w:rPr>
                <w:rFonts w:ascii="宋体" w:hAnsi="宋体" w:eastAsia="宋体"/>
                <w:bCs/>
                <w:sz w:val="21"/>
                <w:szCs w:val="21"/>
              </w:rPr>
            </w:pPr>
            <w:r>
              <w:rPr>
                <w:rFonts w:ascii="宋体" w:hAnsi="宋体" w:eastAsia="宋体"/>
                <w:bCs/>
                <w:sz w:val="21"/>
                <w:szCs w:val="21"/>
              </w:rPr>
              <w:t>3.6 线性范围：&gt;2.5 AU</w:t>
            </w:r>
          </w:p>
          <w:p>
            <w:pPr>
              <w:spacing w:line="400" w:lineRule="exact"/>
              <w:jc w:val="both"/>
              <w:rPr>
                <w:rFonts w:ascii="宋体" w:hAnsi="宋体" w:eastAsia="宋体"/>
                <w:bCs/>
                <w:sz w:val="21"/>
                <w:szCs w:val="21"/>
              </w:rPr>
            </w:pPr>
            <w:r>
              <w:rPr>
                <w:rFonts w:ascii="宋体" w:hAnsi="宋体" w:eastAsia="宋体"/>
                <w:bCs/>
                <w:sz w:val="21"/>
                <w:szCs w:val="21"/>
              </w:rPr>
              <w:t>3.7 波长范围：190～600nm</w:t>
            </w:r>
          </w:p>
          <w:p>
            <w:pPr>
              <w:spacing w:line="400" w:lineRule="exact"/>
              <w:jc w:val="both"/>
              <w:rPr>
                <w:rFonts w:ascii="宋体" w:hAnsi="宋体" w:eastAsia="宋体"/>
                <w:bCs/>
                <w:sz w:val="21"/>
                <w:szCs w:val="21"/>
              </w:rPr>
            </w:pPr>
            <w:r>
              <w:rPr>
                <w:rFonts w:ascii="宋体" w:hAnsi="宋体" w:eastAsia="宋体"/>
                <w:bCs/>
                <w:sz w:val="21"/>
                <w:szCs w:val="21"/>
              </w:rPr>
              <w:t>3.8 波长准确度：</w:t>
            </w:r>
            <w:r>
              <w:rPr>
                <w:rFonts w:hint="eastAsia" w:ascii="宋体" w:hAnsi="宋体" w:eastAsia="宋体"/>
                <w:bCs/>
                <w:sz w:val="21"/>
                <w:szCs w:val="21"/>
              </w:rPr>
              <w:t>≤</w:t>
            </w:r>
            <w:r>
              <w:rPr>
                <w:rFonts w:ascii="宋体" w:hAnsi="宋体" w:eastAsia="宋体"/>
                <w:bCs/>
                <w:sz w:val="21"/>
                <w:szCs w:val="21"/>
              </w:rPr>
              <w:t>1nm</w:t>
            </w:r>
          </w:p>
          <w:p>
            <w:pPr>
              <w:spacing w:line="400" w:lineRule="exact"/>
              <w:jc w:val="both"/>
              <w:rPr>
                <w:rFonts w:ascii="宋体" w:hAnsi="宋体" w:eastAsia="宋体"/>
                <w:bCs/>
                <w:sz w:val="21"/>
                <w:szCs w:val="21"/>
              </w:rPr>
            </w:pPr>
            <w:r>
              <w:rPr>
                <w:rFonts w:ascii="宋体" w:hAnsi="宋体" w:eastAsia="宋体"/>
                <w:bCs/>
                <w:sz w:val="21"/>
                <w:szCs w:val="21"/>
              </w:rPr>
              <w:t>3.9 波长精度：&lt; 0.1nm</w:t>
            </w:r>
          </w:p>
          <w:p>
            <w:pPr>
              <w:spacing w:line="400" w:lineRule="exact"/>
              <w:jc w:val="both"/>
              <w:rPr>
                <w:rFonts w:ascii="宋体" w:hAnsi="宋体" w:eastAsia="宋体"/>
                <w:bCs/>
                <w:sz w:val="21"/>
                <w:szCs w:val="21"/>
              </w:rPr>
            </w:pPr>
            <w:r>
              <w:rPr>
                <w:rFonts w:ascii="宋体" w:hAnsi="宋体" w:eastAsia="宋体"/>
                <w:bCs/>
                <w:sz w:val="21"/>
                <w:szCs w:val="21"/>
              </w:rPr>
              <w:t>3.10 狭缝宽度：</w:t>
            </w:r>
            <w:r>
              <w:rPr>
                <w:rFonts w:hint="eastAsia" w:ascii="宋体" w:hAnsi="宋体" w:eastAsia="宋体"/>
                <w:bCs/>
                <w:sz w:val="21"/>
                <w:szCs w:val="21"/>
              </w:rPr>
              <w:t>≤</w:t>
            </w:r>
            <w:r>
              <w:rPr>
                <w:rFonts w:ascii="宋体" w:hAnsi="宋体" w:eastAsia="宋体"/>
                <w:bCs/>
                <w:sz w:val="21"/>
                <w:szCs w:val="21"/>
              </w:rPr>
              <w:t>6.5nm</w:t>
            </w:r>
          </w:p>
          <w:p>
            <w:pPr>
              <w:spacing w:line="400" w:lineRule="exact"/>
              <w:jc w:val="both"/>
              <w:rPr>
                <w:rFonts w:ascii="宋体" w:hAnsi="宋体" w:eastAsia="宋体"/>
                <w:bCs/>
                <w:sz w:val="21"/>
                <w:szCs w:val="21"/>
              </w:rPr>
            </w:pPr>
            <w:r>
              <w:rPr>
                <w:rFonts w:ascii="宋体" w:hAnsi="宋体" w:eastAsia="宋体"/>
                <w:bCs/>
                <w:sz w:val="21"/>
                <w:szCs w:val="21"/>
              </w:rPr>
              <w:t>3.11 光谱：停流扫描</w:t>
            </w:r>
          </w:p>
          <w:p>
            <w:pPr>
              <w:spacing w:line="400" w:lineRule="exact"/>
              <w:jc w:val="both"/>
              <w:rPr>
                <w:rFonts w:ascii="宋体" w:hAnsi="宋体" w:eastAsia="宋体"/>
                <w:bCs/>
                <w:sz w:val="21"/>
                <w:szCs w:val="21"/>
              </w:rPr>
            </w:pPr>
            <w:r>
              <w:rPr>
                <w:rFonts w:ascii="宋体" w:hAnsi="宋体" w:eastAsia="宋体"/>
                <w:bCs/>
                <w:sz w:val="21"/>
                <w:szCs w:val="21"/>
              </w:rPr>
              <w:t>3.12 波长校正：氘灯和内置氧化钬滤光片自动校正</w:t>
            </w:r>
          </w:p>
          <w:p>
            <w:pPr>
              <w:spacing w:line="400" w:lineRule="exact"/>
              <w:jc w:val="both"/>
              <w:rPr>
                <w:rFonts w:ascii="宋体" w:hAnsi="宋体" w:eastAsia="宋体"/>
                <w:bCs/>
                <w:sz w:val="21"/>
                <w:szCs w:val="21"/>
              </w:rPr>
            </w:pPr>
            <w:r>
              <w:rPr>
                <w:rFonts w:ascii="宋体" w:hAnsi="宋体" w:eastAsia="宋体"/>
                <w:bCs/>
                <w:sz w:val="21"/>
                <w:szCs w:val="21"/>
              </w:rPr>
              <w:t>3.13可编程时间表：波长，峰宽，氘灯开/关，信号自动回零，峰反转，采样时间</w:t>
            </w:r>
          </w:p>
          <w:p>
            <w:pPr>
              <w:spacing w:line="400" w:lineRule="exact"/>
              <w:jc w:val="both"/>
              <w:rPr>
                <w:rFonts w:ascii="宋体" w:hAnsi="宋体" w:eastAsia="宋体"/>
                <w:b/>
                <w:sz w:val="21"/>
                <w:szCs w:val="21"/>
              </w:rPr>
            </w:pPr>
            <w:r>
              <w:rPr>
                <w:rFonts w:ascii="宋体" w:hAnsi="宋体" w:eastAsia="宋体"/>
                <w:sz w:val="21"/>
                <w:szCs w:val="21"/>
              </w:rPr>
              <w:t xml:space="preserve">4. </w:t>
            </w:r>
            <w:r>
              <w:rPr>
                <w:rFonts w:hint="eastAsia" w:ascii="宋体" w:hAnsi="宋体" w:eastAsia="宋体"/>
                <w:sz w:val="21"/>
                <w:szCs w:val="21"/>
              </w:rPr>
              <w:t>色谱软件</w:t>
            </w:r>
          </w:p>
          <w:p>
            <w:pPr>
              <w:spacing w:line="400" w:lineRule="exact"/>
              <w:jc w:val="both"/>
              <w:rPr>
                <w:rFonts w:ascii="宋体" w:hAnsi="宋体" w:eastAsia="宋体"/>
                <w:bCs/>
                <w:sz w:val="21"/>
                <w:szCs w:val="21"/>
              </w:rPr>
            </w:pPr>
            <w:r>
              <w:rPr>
                <w:rFonts w:ascii="宋体" w:hAnsi="宋体" w:eastAsia="宋体"/>
                <w:bCs/>
                <w:sz w:val="21"/>
                <w:szCs w:val="21"/>
              </w:rPr>
              <w:t>4.1 真正意义上的四级仪器控制软件;</w:t>
            </w:r>
          </w:p>
          <w:p>
            <w:pPr>
              <w:spacing w:line="400" w:lineRule="exact"/>
              <w:jc w:val="both"/>
              <w:rPr>
                <w:rFonts w:ascii="宋体" w:hAnsi="宋体" w:eastAsia="宋体"/>
                <w:bCs/>
                <w:sz w:val="21"/>
                <w:szCs w:val="21"/>
              </w:rPr>
            </w:pPr>
            <w:r>
              <w:rPr>
                <w:rFonts w:ascii="宋体" w:hAnsi="宋体" w:eastAsia="宋体"/>
                <w:bCs/>
                <w:sz w:val="21"/>
                <w:szCs w:val="21"/>
              </w:rPr>
              <w:t>4.2 参数输入：仪器控制参数，数据采集及数据处理参数的设定；</w:t>
            </w:r>
          </w:p>
          <w:p>
            <w:pPr>
              <w:spacing w:line="400" w:lineRule="exact"/>
              <w:jc w:val="both"/>
              <w:rPr>
                <w:rFonts w:ascii="宋体" w:hAnsi="宋体" w:eastAsia="宋体"/>
                <w:bCs/>
                <w:sz w:val="21"/>
                <w:szCs w:val="21"/>
              </w:rPr>
            </w:pPr>
            <w:r>
              <w:rPr>
                <w:rFonts w:ascii="宋体" w:hAnsi="宋体" w:eastAsia="宋体"/>
                <w:bCs/>
                <w:sz w:val="21"/>
                <w:szCs w:val="21"/>
              </w:rPr>
              <w:t>4.3 报告：内置多种报告格式，可自动生成系统适应性报告、峰纯度报告、光谱检索报告等；用户也可编辑个性化的报告模板；</w:t>
            </w:r>
          </w:p>
          <w:p>
            <w:pPr>
              <w:spacing w:line="400" w:lineRule="exact"/>
              <w:jc w:val="both"/>
              <w:rPr>
                <w:rFonts w:ascii="宋体" w:hAnsi="宋体" w:eastAsia="宋体"/>
                <w:bCs/>
                <w:sz w:val="21"/>
                <w:szCs w:val="21"/>
              </w:rPr>
            </w:pPr>
            <w:r>
              <w:rPr>
                <w:rFonts w:ascii="宋体" w:hAnsi="宋体" w:eastAsia="宋体"/>
                <w:bCs/>
                <w:sz w:val="21"/>
                <w:szCs w:val="21"/>
              </w:rPr>
              <w:t>4.4 诊断：自动诊断仪器各个组件的多种性能，内置多种常见的液相分析出错原因分析；</w:t>
            </w:r>
          </w:p>
          <w:p>
            <w:pPr>
              <w:spacing w:line="400" w:lineRule="exact"/>
              <w:jc w:val="both"/>
              <w:rPr>
                <w:rFonts w:ascii="宋体" w:hAnsi="宋体" w:eastAsia="宋体"/>
                <w:bCs/>
                <w:sz w:val="21"/>
                <w:szCs w:val="21"/>
              </w:rPr>
            </w:pPr>
            <w:r>
              <w:rPr>
                <w:rFonts w:ascii="宋体" w:hAnsi="宋体" w:eastAsia="宋体"/>
                <w:bCs/>
                <w:sz w:val="21"/>
                <w:szCs w:val="21"/>
              </w:rPr>
              <w:t>4.5早期维护预警（EMF）：提供消耗元件累计使用情况，以便及时进行系统预防性维护；</w:t>
            </w:r>
          </w:p>
          <w:p>
            <w:pPr>
              <w:spacing w:line="400" w:lineRule="exact"/>
              <w:jc w:val="both"/>
              <w:rPr>
                <w:rFonts w:ascii="宋体" w:hAnsi="宋体" w:eastAsia="宋体"/>
                <w:bCs/>
                <w:sz w:val="21"/>
                <w:szCs w:val="21"/>
              </w:rPr>
            </w:pPr>
          </w:p>
          <w:p>
            <w:pPr>
              <w:numPr>
                <w:ilvl w:val="0"/>
                <w:numId w:val="22"/>
              </w:numPr>
              <w:adjustRightInd/>
              <w:spacing w:line="400" w:lineRule="exact"/>
              <w:jc w:val="both"/>
              <w:textAlignment w:val="auto"/>
              <w:rPr>
                <w:rFonts w:ascii="宋体" w:hAnsi="宋体" w:eastAsia="宋体"/>
                <w:bCs/>
                <w:sz w:val="21"/>
                <w:szCs w:val="21"/>
              </w:rPr>
            </w:pPr>
            <w:r>
              <w:rPr>
                <w:rFonts w:hint="eastAsia" w:ascii="宋体" w:hAnsi="宋体" w:eastAsia="宋体"/>
                <w:bCs/>
                <w:sz w:val="21"/>
                <w:szCs w:val="21"/>
              </w:rPr>
              <w:t>质保期与售后服务</w:t>
            </w:r>
          </w:p>
          <w:p>
            <w:pPr>
              <w:widowControl/>
              <w:tabs>
                <w:tab w:val="left" w:pos="851"/>
              </w:tabs>
              <w:spacing w:line="276" w:lineRule="auto"/>
              <w:jc w:val="both"/>
              <w:rPr>
                <w:rFonts w:ascii="宋体" w:hAnsi="宋体" w:eastAsia="宋体"/>
                <w:sz w:val="21"/>
                <w:szCs w:val="21"/>
              </w:rPr>
            </w:pPr>
            <w:r>
              <w:rPr>
                <w:rFonts w:ascii="宋体" w:hAnsi="宋体" w:eastAsia="宋体"/>
                <w:sz w:val="21"/>
                <w:szCs w:val="21"/>
              </w:rPr>
              <w:t>1.自仪器安装调试合格之日起免费保修</w:t>
            </w:r>
            <w:r>
              <w:rPr>
                <w:rFonts w:hint="eastAsia" w:asciiTheme="minorEastAsia" w:hAnsiTheme="minorEastAsia"/>
                <w:sz w:val="21"/>
                <w:szCs w:val="21"/>
              </w:rPr>
              <w:t>一</w:t>
            </w:r>
            <w:r>
              <w:rPr>
                <w:rFonts w:ascii="宋体" w:hAnsi="宋体" w:eastAsia="宋体"/>
                <w:sz w:val="21"/>
                <w:szCs w:val="21"/>
              </w:rPr>
              <w:t>年。</w:t>
            </w:r>
          </w:p>
          <w:p>
            <w:pPr>
              <w:widowControl/>
              <w:tabs>
                <w:tab w:val="left" w:pos="851"/>
              </w:tabs>
              <w:spacing w:line="276" w:lineRule="auto"/>
              <w:jc w:val="both"/>
              <w:rPr>
                <w:rFonts w:ascii="宋体" w:hAnsi="宋体" w:eastAsia="宋体"/>
                <w:sz w:val="21"/>
                <w:szCs w:val="21"/>
              </w:rPr>
            </w:pPr>
            <w:r>
              <w:rPr>
                <w:rFonts w:ascii="宋体" w:hAnsi="宋体" w:eastAsia="宋体"/>
                <w:sz w:val="21"/>
                <w:szCs w:val="21"/>
              </w:rPr>
              <w:t>2.维修响应时间一般情况≤24小时，到现场时间小于72小时。</w:t>
            </w:r>
          </w:p>
          <w:p>
            <w:pPr>
              <w:widowControl/>
              <w:tabs>
                <w:tab w:val="left" w:pos="851"/>
              </w:tabs>
              <w:spacing w:line="276" w:lineRule="auto"/>
              <w:jc w:val="both"/>
              <w:rPr>
                <w:rFonts w:ascii="宋体" w:hAnsi="宋体" w:eastAsia="宋体"/>
                <w:sz w:val="21"/>
                <w:szCs w:val="21"/>
              </w:rPr>
            </w:pPr>
            <w:r>
              <w:rPr>
                <w:rFonts w:ascii="宋体" w:hAnsi="宋体" w:eastAsia="宋体"/>
                <w:sz w:val="21"/>
                <w:szCs w:val="21"/>
              </w:rPr>
              <w:t>3.用户现场免费安装，调试，培训。</w:t>
            </w:r>
          </w:p>
          <w:p>
            <w:pPr>
              <w:widowControl/>
              <w:tabs>
                <w:tab w:val="left" w:pos="851"/>
              </w:tabs>
              <w:spacing w:line="276" w:lineRule="auto"/>
              <w:jc w:val="both"/>
              <w:rPr>
                <w:rFonts w:ascii="宋体" w:hAnsi="宋体" w:eastAsia="宋体"/>
                <w:sz w:val="21"/>
                <w:szCs w:val="21"/>
              </w:rPr>
            </w:pPr>
            <w:r>
              <w:rPr>
                <w:rFonts w:ascii="宋体" w:hAnsi="宋体" w:eastAsia="宋体"/>
                <w:sz w:val="21"/>
                <w:szCs w:val="21"/>
              </w:rPr>
              <w:t>4.供应商在中国境内设有专业的培训中心,为用户提供免费培训。</w:t>
            </w:r>
          </w:p>
          <w:p>
            <w:pPr>
              <w:spacing w:line="400" w:lineRule="exact"/>
              <w:jc w:val="both"/>
              <w:rPr>
                <w:rFonts w:ascii="宋体" w:hAnsi="宋体" w:eastAsia="宋体"/>
                <w:bCs/>
                <w:sz w:val="21"/>
                <w:szCs w:val="21"/>
              </w:rPr>
            </w:pPr>
          </w:p>
        </w:tc>
      </w:tr>
    </w:tbl>
    <w:p>
      <w:pPr>
        <w:widowControl/>
        <w:shd w:val="clear" w:color="auto" w:fill="FFFFFF"/>
        <w:spacing w:line="360" w:lineRule="auto"/>
        <w:rPr>
          <w:rFonts w:ascii="宋体" w:hAnsi="宋体" w:eastAsia="宋体"/>
          <w:szCs w:val="21"/>
          <w:shd w:val="clear" w:color="auto" w:fill="FFFFFF"/>
        </w:rPr>
      </w:pPr>
    </w:p>
    <w:p>
      <w:pPr>
        <w:spacing w:line="360" w:lineRule="auto"/>
        <w:jc w:val="center"/>
        <w:rPr>
          <w:rFonts w:ascii="宋体" w:hAnsi="宋体" w:cs="宋体"/>
          <w:b/>
          <w:bCs/>
          <w:sz w:val="21"/>
          <w:szCs w:val="21"/>
        </w:rPr>
      </w:pPr>
      <w:r>
        <w:rPr>
          <w:rFonts w:hint="eastAsia" w:ascii="宋体" w:hAnsi="宋体" w:cs="宋体"/>
          <w:b/>
          <w:bCs/>
          <w:sz w:val="21"/>
          <w:szCs w:val="21"/>
        </w:rPr>
        <w:br w:type="page"/>
      </w:r>
    </w:p>
    <w:p>
      <w:pPr>
        <w:spacing w:line="360" w:lineRule="auto"/>
        <w:jc w:val="center"/>
        <w:rPr>
          <w:rFonts w:ascii="宋体" w:hAnsi="宋体"/>
          <w:b/>
          <w:bCs/>
          <w:sz w:val="28"/>
          <w:szCs w:val="28"/>
        </w:rPr>
      </w:pPr>
      <w:r>
        <w:rPr>
          <w:rFonts w:ascii="宋体" w:hAnsi="宋体"/>
          <w:b/>
          <w:bCs/>
          <w:sz w:val="28"/>
          <w:szCs w:val="28"/>
        </w:rPr>
        <w:t>商务要求</w:t>
      </w:r>
    </w:p>
    <w:p>
      <w:pPr>
        <w:spacing w:line="360" w:lineRule="auto"/>
        <w:jc w:val="center"/>
        <w:rPr>
          <w:rFonts w:ascii="宋体" w:hAnsi="宋体"/>
        </w:rPr>
      </w:pPr>
      <w:r>
        <w:rPr>
          <w:rFonts w:ascii="宋体" w:hAnsi="宋体"/>
          <w:b/>
          <w:bCs/>
        </w:rPr>
        <w:t>（“技术规格”中有特别说明的从其要求）</w:t>
      </w:r>
    </w:p>
    <w:p>
      <w:pPr>
        <w:snapToGrid w:val="0"/>
        <w:spacing w:line="360" w:lineRule="auto"/>
        <w:ind w:left="360" w:hanging="360" w:hangingChars="150"/>
        <w:rPr>
          <w:rFonts w:ascii="宋体" w:hAnsi="宋体"/>
        </w:rPr>
      </w:pPr>
    </w:p>
    <w:p>
      <w:pPr>
        <w:spacing w:line="360" w:lineRule="auto"/>
        <w:rPr>
          <w:rFonts w:ascii="宋体" w:hAnsi="宋体"/>
          <w:sz w:val="21"/>
          <w:szCs w:val="21"/>
          <w:lang w:val="zh-CN"/>
        </w:rPr>
      </w:pPr>
      <w:r>
        <w:rPr>
          <w:rFonts w:ascii="宋体" w:hAnsi="宋体"/>
          <w:sz w:val="21"/>
          <w:szCs w:val="21"/>
          <w:lang w:val="zh-CN"/>
        </w:rPr>
        <w:t>1、交货期：</w:t>
      </w:r>
    </w:p>
    <w:p>
      <w:pPr>
        <w:spacing w:line="360" w:lineRule="auto"/>
        <w:ind w:firstLine="420" w:firstLineChars="200"/>
        <w:rPr>
          <w:rFonts w:ascii="宋体" w:hAnsi="宋体"/>
          <w:sz w:val="21"/>
          <w:szCs w:val="21"/>
          <w:lang w:val="zh-CN"/>
        </w:rPr>
      </w:pPr>
      <w:r>
        <w:rPr>
          <w:rFonts w:ascii="宋体" w:hAnsi="宋体"/>
          <w:sz w:val="21"/>
          <w:szCs w:val="21"/>
          <w:lang w:val="zh-CN"/>
        </w:rPr>
        <w:t>国产设备为签定合同后</w:t>
      </w:r>
      <w:r>
        <w:rPr>
          <w:rFonts w:hint="eastAsia" w:ascii="宋体" w:hAnsi="宋体"/>
          <w:sz w:val="21"/>
          <w:szCs w:val="21"/>
          <w:lang w:val="zh-CN"/>
        </w:rPr>
        <w:t>30</w:t>
      </w:r>
      <w:r>
        <w:rPr>
          <w:rFonts w:ascii="宋体" w:hAnsi="宋体"/>
          <w:sz w:val="21"/>
          <w:szCs w:val="21"/>
          <w:lang w:val="zh-CN"/>
        </w:rPr>
        <w:t>天内完成交货。</w:t>
      </w:r>
    </w:p>
    <w:p>
      <w:pPr>
        <w:spacing w:line="360" w:lineRule="auto"/>
        <w:ind w:firstLine="420" w:firstLineChars="200"/>
        <w:rPr>
          <w:rFonts w:ascii="宋体" w:hAnsi="宋体"/>
          <w:sz w:val="21"/>
          <w:szCs w:val="21"/>
          <w:lang w:val="zh-CN"/>
        </w:rPr>
      </w:pPr>
      <w:r>
        <w:rPr>
          <w:rFonts w:ascii="宋体" w:hAnsi="宋体"/>
          <w:sz w:val="21"/>
          <w:szCs w:val="21"/>
          <w:lang w:val="zh-CN"/>
        </w:rPr>
        <w:t>进口设备为签定合同后</w:t>
      </w:r>
      <w:r>
        <w:rPr>
          <w:rFonts w:hint="eastAsia" w:ascii="宋体" w:hAnsi="宋体"/>
          <w:sz w:val="21"/>
          <w:szCs w:val="21"/>
        </w:rPr>
        <w:t>60</w:t>
      </w:r>
      <w:r>
        <w:rPr>
          <w:rFonts w:ascii="宋体" w:hAnsi="宋体"/>
          <w:sz w:val="21"/>
          <w:szCs w:val="21"/>
          <w:lang w:val="zh-CN"/>
        </w:rPr>
        <w:t>天内完成交货。</w:t>
      </w:r>
    </w:p>
    <w:p>
      <w:pPr>
        <w:spacing w:line="360" w:lineRule="auto"/>
        <w:rPr>
          <w:rFonts w:ascii="宋体" w:hAnsi="宋体"/>
          <w:sz w:val="21"/>
          <w:szCs w:val="21"/>
          <w:lang w:val="zh-CN"/>
        </w:rPr>
      </w:pPr>
    </w:p>
    <w:p>
      <w:pPr>
        <w:spacing w:line="360" w:lineRule="auto"/>
        <w:rPr>
          <w:rFonts w:ascii="宋体" w:hAnsi="宋体"/>
          <w:sz w:val="21"/>
          <w:szCs w:val="21"/>
          <w:lang w:val="zh-CN"/>
        </w:rPr>
      </w:pPr>
      <w:r>
        <w:rPr>
          <w:rFonts w:ascii="宋体" w:hAnsi="宋体"/>
          <w:sz w:val="21"/>
          <w:szCs w:val="21"/>
          <w:lang w:val="zh-CN"/>
        </w:rPr>
        <w:t>2、交货地点：广州暨南大学校内用户指定地点。</w:t>
      </w:r>
    </w:p>
    <w:p>
      <w:pPr>
        <w:spacing w:line="360" w:lineRule="auto"/>
        <w:rPr>
          <w:rFonts w:ascii="宋体" w:hAnsi="宋体"/>
          <w:sz w:val="21"/>
          <w:szCs w:val="21"/>
          <w:lang w:val="zh-CN"/>
        </w:rPr>
      </w:pPr>
    </w:p>
    <w:p>
      <w:pPr>
        <w:spacing w:line="360" w:lineRule="auto"/>
        <w:rPr>
          <w:rFonts w:ascii="宋体" w:hAnsi="宋体"/>
          <w:sz w:val="21"/>
          <w:szCs w:val="21"/>
          <w:lang w:val="zh-CN"/>
        </w:rPr>
      </w:pPr>
      <w:r>
        <w:rPr>
          <w:rFonts w:ascii="宋体" w:hAnsi="宋体"/>
          <w:sz w:val="21"/>
          <w:szCs w:val="21"/>
          <w:lang w:val="zh-CN"/>
        </w:rPr>
        <w:t>3、售后服务：</w:t>
      </w:r>
    </w:p>
    <w:p>
      <w:pPr>
        <w:spacing w:line="360" w:lineRule="auto"/>
        <w:ind w:firstLine="420" w:firstLineChars="200"/>
        <w:rPr>
          <w:rFonts w:ascii="宋体" w:hAnsi="宋体"/>
          <w:sz w:val="21"/>
          <w:szCs w:val="21"/>
          <w:lang w:val="zh-CN"/>
        </w:rPr>
      </w:pPr>
      <w:r>
        <w:rPr>
          <w:rFonts w:ascii="宋体" w:hAnsi="宋体"/>
          <w:sz w:val="21"/>
          <w:szCs w:val="21"/>
          <w:lang w:val="zh-CN"/>
        </w:rPr>
        <w:t>（1）中标方须提供硬件</w:t>
      </w:r>
      <w:r>
        <w:rPr>
          <w:rFonts w:hint="eastAsia" w:ascii="宋体" w:hAnsi="宋体"/>
          <w:b/>
          <w:sz w:val="21"/>
          <w:szCs w:val="21"/>
          <w:lang w:val="zh-CN"/>
        </w:rPr>
        <w:t>一年</w:t>
      </w:r>
      <w:r>
        <w:rPr>
          <w:rFonts w:ascii="宋体" w:hAnsi="宋体"/>
          <w:sz w:val="21"/>
          <w:szCs w:val="21"/>
          <w:lang w:val="zh-CN"/>
        </w:rPr>
        <w:t>以上的原厂免费上门全质保服务，软件终身免费升级（招标文件第八章</w:t>
      </w:r>
      <w:r>
        <w:rPr>
          <w:rFonts w:hint="eastAsia" w:ascii="宋体" w:hAnsi="宋体"/>
          <w:sz w:val="21"/>
          <w:szCs w:val="21"/>
          <w:lang w:val="zh-CN"/>
        </w:rPr>
        <w:t>用户需求书</w:t>
      </w:r>
      <w:r>
        <w:rPr>
          <w:rFonts w:ascii="宋体" w:hAnsi="宋体"/>
          <w:sz w:val="21"/>
          <w:szCs w:val="21"/>
          <w:lang w:val="zh-CN"/>
        </w:rPr>
        <w:t>中有特别说明的除外），质保期自双方在验收报告签字之日起计算。质保期内，中标人负责对其提供的货物上门进行硬件维修、软件维护和升级等免费服务，招标方不再支付任何费用，但人为因素或自然灾害造成的损坏除外。</w:t>
      </w:r>
    </w:p>
    <w:p>
      <w:pPr>
        <w:spacing w:line="360" w:lineRule="auto"/>
        <w:ind w:firstLine="420" w:firstLineChars="200"/>
        <w:rPr>
          <w:rFonts w:ascii="宋体" w:hAnsi="宋体"/>
          <w:sz w:val="21"/>
          <w:szCs w:val="21"/>
          <w:lang w:val="zh-CN"/>
        </w:rPr>
      </w:pPr>
      <w:r>
        <w:rPr>
          <w:rFonts w:ascii="宋体" w:hAnsi="宋体"/>
          <w:sz w:val="21"/>
          <w:szCs w:val="21"/>
          <w:lang w:val="zh-CN"/>
        </w:rPr>
        <w:t>（2）质保期内，中标人在接到招标人系统故障或问题告知后，4小时内进行电话响应排除故障，若电话中无法解决，24小时内到达现场排除故障。如果需要更换配件的，更换的配件跟被更换的品牌、类型相一致或者是同类更高档次的替代品，并且必须征得招标人管理人员同意。更换配件所产生的一切费用由中标人承担，因货物故障停用的时间，保修期相应顺延。</w:t>
      </w:r>
    </w:p>
    <w:p>
      <w:pPr>
        <w:spacing w:line="360" w:lineRule="auto"/>
        <w:ind w:firstLine="420" w:firstLineChars="200"/>
        <w:rPr>
          <w:rFonts w:ascii="宋体" w:hAnsi="宋体"/>
          <w:sz w:val="21"/>
          <w:szCs w:val="21"/>
          <w:lang w:val="zh-CN"/>
        </w:rPr>
      </w:pPr>
      <w:r>
        <w:rPr>
          <w:rFonts w:ascii="宋体" w:hAnsi="宋体"/>
          <w:sz w:val="21"/>
          <w:szCs w:val="21"/>
          <w:lang w:val="zh-CN"/>
        </w:rPr>
        <w:t>（3）质保期内对故障的报修，如中标人未能做到上款的服务承诺，招标人可采取必要的补救措施，但其风险和费用由中标人承担，招标人根据合同规定对中标人行使的其它权力不受影响。</w:t>
      </w:r>
    </w:p>
    <w:p>
      <w:pPr>
        <w:spacing w:line="360" w:lineRule="auto"/>
        <w:ind w:firstLine="420" w:firstLineChars="200"/>
        <w:rPr>
          <w:rFonts w:ascii="宋体" w:hAnsi="宋体"/>
          <w:sz w:val="21"/>
          <w:szCs w:val="21"/>
          <w:lang w:val="zh-CN"/>
        </w:rPr>
      </w:pPr>
      <w:r>
        <w:rPr>
          <w:rFonts w:ascii="宋体" w:hAnsi="宋体"/>
          <w:sz w:val="21"/>
          <w:szCs w:val="21"/>
          <w:lang w:val="zh-CN"/>
        </w:rPr>
        <w:t>（4）质保期满后，若有零部件出现故障，经权威部门鉴定属于寿命异常问题（明显短于该零部件正常寿命）时，则由中标人负责免费更换及维修。保修期满后，中标人负责终身维修，只收取材料费，不收维护和人工费用。维修响应时间为接到报修后24小时内。</w:t>
      </w:r>
    </w:p>
    <w:p>
      <w:pPr>
        <w:spacing w:line="360" w:lineRule="auto"/>
        <w:rPr>
          <w:rFonts w:ascii="宋体" w:hAnsi="宋体"/>
          <w:sz w:val="21"/>
          <w:szCs w:val="21"/>
          <w:lang w:val="zh-CN"/>
        </w:rPr>
      </w:pPr>
    </w:p>
    <w:p>
      <w:pPr>
        <w:spacing w:line="360" w:lineRule="auto"/>
        <w:rPr>
          <w:rFonts w:ascii="宋体" w:hAnsi="宋体"/>
          <w:sz w:val="21"/>
          <w:szCs w:val="21"/>
          <w:lang w:val="zh-CN"/>
        </w:rPr>
      </w:pPr>
      <w:r>
        <w:rPr>
          <w:rFonts w:ascii="宋体" w:hAnsi="宋体"/>
          <w:sz w:val="21"/>
          <w:szCs w:val="21"/>
          <w:lang w:val="zh-CN"/>
        </w:rPr>
        <w:t>4、本项目为包运送、包安装、包验收的总包服务，投标人所投货物必须达到有关技术指标、技术要求，投标总报价包括完成本项目的成本、利润、运费、税金等全部费用。卖方提供的物品必须是全新，表面无划伤、无碰撞并且是符合中华人民共和国国家行业标准。</w:t>
      </w:r>
    </w:p>
    <w:p>
      <w:pPr>
        <w:spacing w:line="360" w:lineRule="auto"/>
        <w:rPr>
          <w:rFonts w:ascii="宋体" w:hAnsi="宋体"/>
          <w:sz w:val="21"/>
          <w:szCs w:val="21"/>
          <w:lang w:val="zh-CN"/>
        </w:rPr>
      </w:pPr>
    </w:p>
    <w:p>
      <w:pPr>
        <w:spacing w:line="360" w:lineRule="auto"/>
        <w:rPr>
          <w:rFonts w:ascii="宋体" w:hAnsi="宋体"/>
          <w:sz w:val="21"/>
          <w:szCs w:val="21"/>
          <w:lang w:val="zh-CN"/>
        </w:rPr>
      </w:pPr>
      <w:r>
        <w:rPr>
          <w:rFonts w:ascii="宋体" w:hAnsi="宋体"/>
          <w:sz w:val="21"/>
          <w:szCs w:val="21"/>
          <w:lang w:val="zh-CN"/>
        </w:rPr>
        <w:t>5、中标人应保证，招标人在中华人民共和国使用该货物或货物的任何一部分时，不受第三方提出的侵犯其专利权、商标权或其它知识产权的起诉，否则由中标人承担一切责任。</w:t>
      </w:r>
    </w:p>
    <w:p>
      <w:pPr>
        <w:spacing w:line="360" w:lineRule="auto"/>
        <w:rPr>
          <w:rFonts w:ascii="宋体" w:hAnsi="宋体"/>
          <w:sz w:val="21"/>
          <w:szCs w:val="21"/>
          <w:lang w:val="zh-CN"/>
        </w:rPr>
      </w:pPr>
    </w:p>
    <w:p>
      <w:pPr>
        <w:spacing w:line="360" w:lineRule="auto"/>
        <w:rPr>
          <w:rFonts w:ascii="宋体" w:hAnsi="宋体"/>
          <w:sz w:val="21"/>
          <w:szCs w:val="21"/>
          <w:lang w:val="zh-CN"/>
        </w:rPr>
      </w:pPr>
      <w:r>
        <w:rPr>
          <w:rFonts w:ascii="宋体" w:hAnsi="宋体"/>
          <w:sz w:val="21"/>
          <w:szCs w:val="21"/>
          <w:lang w:val="zh-CN"/>
        </w:rPr>
        <w:t>6、货物的安装、调试、验收等工作应按照有关国际、国家有关标准和规范及投标人中标时所提供的技术要求进行，同时提供设备的出厂检验报告和质量合格证书。</w:t>
      </w:r>
    </w:p>
    <w:p>
      <w:pPr>
        <w:spacing w:line="360" w:lineRule="auto"/>
        <w:rPr>
          <w:rFonts w:ascii="宋体" w:hAnsi="宋体"/>
          <w:sz w:val="21"/>
          <w:szCs w:val="21"/>
          <w:lang w:val="zh-CN"/>
        </w:rPr>
      </w:pPr>
    </w:p>
    <w:p>
      <w:pPr>
        <w:spacing w:line="360" w:lineRule="auto"/>
        <w:rPr>
          <w:rFonts w:ascii="宋体" w:hAnsi="宋体"/>
          <w:sz w:val="21"/>
          <w:szCs w:val="21"/>
          <w:lang w:val="zh-CN"/>
        </w:rPr>
      </w:pPr>
      <w:r>
        <w:rPr>
          <w:rFonts w:ascii="宋体" w:hAnsi="宋体"/>
          <w:sz w:val="21"/>
          <w:szCs w:val="21"/>
          <w:lang w:val="zh-CN"/>
        </w:rPr>
        <w:t>7、货到并开箱验收合格后，中标人应及时派出具有丰富工作经验的技术人员到现场对货物按照招标人指定的安装位置进行规范安装。</w:t>
      </w:r>
    </w:p>
    <w:p>
      <w:pPr>
        <w:spacing w:line="360" w:lineRule="auto"/>
        <w:rPr>
          <w:rFonts w:ascii="宋体" w:hAnsi="宋体"/>
          <w:sz w:val="21"/>
          <w:szCs w:val="21"/>
          <w:lang w:val="zh-CN"/>
        </w:rPr>
      </w:pPr>
    </w:p>
    <w:p>
      <w:pPr>
        <w:spacing w:line="360" w:lineRule="auto"/>
        <w:rPr>
          <w:rFonts w:ascii="宋体" w:hAnsi="宋体"/>
          <w:sz w:val="21"/>
          <w:szCs w:val="21"/>
          <w:lang w:val="zh-CN"/>
        </w:rPr>
      </w:pPr>
      <w:r>
        <w:rPr>
          <w:rFonts w:ascii="宋体" w:hAnsi="宋体"/>
          <w:sz w:val="21"/>
          <w:szCs w:val="21"/>
          <w:lang w:val="zh-CN"/>
        </w:rPr>
        <w:t>8、招标人为中标人的技术人员进场安装设备提供便利，如免费提供安装水电。</w:t>
      </w:r>
    </w:p>
    <w:p>
      <w:pPr>
        <w:spacing w:line="360" w:lineRule="auto"/>
        <w:rPr>
          <w:rFonts w:ascii="宋体" w:hAnsi="宋体"/>
          <w:sz w:val="21"/>
          <w:szCs w:val="21"/>
          <w:lang w:val="zh-CN"/>
        </w:rPr>
      </w:pPr>
    </w:p>
    <w:p>
      <w:pPr>
        <w:spacing w:line="360" w:lineRule="auto"/>
        <w:rPr>
          <w:rFonts w:ascii="宋体" w:hAnsi="宋体"/>
          <w:sz w:val="21"/>
          <w:szCs w:val="21"/>
          <w:lang w:val="zh-CN"/>
        </w:rPr>
      </w:pPr>
      <w:r>
        <w:rPr>
          <w:rFonts w:ascii="宋体" w:hAnsi="宋体"/>
          <w:sz w:val="21"/>
          <w:szCs w:val="21"/>
          <w:lang w:val="zh-CN"/>
        </w:rPr>
        <w:t>9、在货物安装完毕后，由招标人和中标人双方依据国家和行业的有关规定和承诺，共同对安装、组装、调试正常的货物进行验收，并出具验收报告。</w:t>
      </w:r>
    </w:p>
    <w:p>
      <w:pPr>
        <w:spacing w:line="360" w:lineRule="auto"/>
        <w:rPr>
          <w:rFonts w:ascii="宋体" w:hAnsi="宋体"/>
          <w:sz w:val="21"/>
          <w:szCs w:val="21"/>
          <w:lang w:val="zh-CN"/>
        </w:rPr>
      </w:pPr>
    </w:p>
    <w:p>
      <w:pPr>
        <w:spacing w:line="360" w:lineRule="auto"/>
        <w:rPr>
          <w:rFonts w:ascii="宋体" w:hAnsi="宋体"/>
          <w:sz w:val="21"/>
          <w:szCs w:val="21"/>
          <w:lang w:val="zh-CN"/>
        </w:rPr>
      </w:pPr>
      <w:r>
        <w:rPr>
          <w:rFonts w:ascii="宋体" w:hAnsi="宋体"/>
          <w:sz w:val="21"/>
          <w:szCs w:val="21"/>
          <w:lang w:val="zh-CN"/>
        </w:rPr>
        <w:t>10、违约责任：因产品的质量问题发生争议，由广东省或广州市商检部门进行质量鉴定。物品符合质量标准的，鉴定费由买方承担；物品不符合质量标准的，鉴定费由卖方承担。卖方未能交付产品或产品不符合合同规定的则向买方支付合同总价5%的违约金。买方无正当理由拒收物品，拒付货款的，买方向卖方偿付合同总价5%的违约金。另外卖方逾期交付物品或工期延长，则每日按合同总价3‰向买方偿付违约金，</w:t>
      </w:r>
      <w:r>
        <w:rPr>
          <w:rFonts w:hint="eastAsia" w:ascii="宋体" w:hAnsi="宋体"/>
          <w:sz w:val="21"/>
          <w:szCs w:val="21"/>
          <w:lang w:val="zh-CN"/>
        </w:rPr>
        <w:t>违约金总额不超过合同总金额的5%，</w:t>
      </w:r>
      <w:r>
        <w:rPr>
          <w:rFonts w:ascii="宋体" w:hAnsi="宋体"/>
          <w:sz w:val="21"/>
          <w:szCs w:val="21"/>
          <w:lang w:val="zh-CN"/>
        </w:rPr>
        <w:t>但如果超期15天以上则买方有权终止合同。如买方逾期付款则每日按合同总价3‰向卖方支付违约金</w:t>
      </w:r>
      <w:r>
        <w:rPr>
          <w:rFonts w:hint="eastAsia" w:ascii="宋体" w:hAnsi="宋体"/>
          <w:sz w:val="21"/>
          <w:szCs w:val="21"/>
          <w:lang w:val="zh-CN"/>
        </w:rPr>
        <w:t>，违约金总额不超过合同总金额的5%，但逾期付款超过15天，卖方有权终止合同</w:t>
      </w:r>
      <w:r>
        <w:rPr>
          <w:rFonts w:ascii="宋体" w:hAnsi="宋体"/>
          <w:sz w:val="21"/>
          <w:szCs w:val="21"/>
          <w:lang w:val="zh-CN"/>
        </w:rPr>
        <w:t>。如双方发生争议协商不成则在合同签订所在地人民法院起诉。</w:t>
      </w:r>
    </w:p>
    <w:p>
      <w:pPr>
        <w:spacing w:line="360" w:lineRule="auto"/>
        <w:rPr>
          <w:sz w:val="21"/>
          <w:szCs w:val="21"/>
          <w:lang w:val="zh-CN"/>
        </w:rPr>
      </w:pPr>
    </w:p>
    <w:p>
      <w:pPr>
        <w:spacing w:line="360" w:lineRule="auto"/>
        <w:rPr>
          <w:b/>
          <w:bCs/>
          <w:sz w:val="21"/>
          <w:szCs w:val="21"/>
          <w:u w:val="single"/>
          <w:lang w:val="zh-CN"/>
        </w:rPr>
      </w:pPr>
      <w:r>
        <w:rPr>
          <w:b/>
          <w:bCs/>
          <w:sz w:val="21"/>
          <w:szCs w:val="21"/>
          <w:u w:val="single"/>
          <w:lang w:val="zh-CN"/>
        </w:rPr>
        <w:t>*11、履约保证金：</w:t>
      </w:r>
    </w:p>
    <w:p>
      <w:pPr>
        <w:spacing w:line="360" w:lineRule="auto"/>
        <w:ind w:firstLine="422" w:firstLineChars="200"/>
        <w:rPr>
          <w:rFonts w:ascii="宋体" w:hAnsi="宋体" w:cs="宋体"/>
          <w:b/>
          <w:bCs/>
          <w:sz w:val="21"/>
          <w:szCs w:val="21"/>
          <w:u w:val="single"/>
          <w:lang w:val="zh-CN"/>
        </w:rPr>
      </w:pPr>
      <w:r>
        <w:rPr>
          <w:rFonts w:hint="eastAsia" w:ascii="宋体" w:hAnsi="宋体" w:cs="宋体"/>
          <w:b/>
          <w:bCs/>
          <w:sz w:val="21"/>
          <w:szCs w:val="21"/>
          <w:u w:val="single"/>
          <w:lang w:val="zh-CN"/>
        </w:rPr>
        <w:t>11</w:t>
      </w:r>
      <w:r>
        <w:rPr>
          <w:rFonts w:ascii="宋体" w:hAnsi="宋体" w:cs="宋体"/>
          <w:b/>
          <w:bCs/>
          <w:sz w:val="21"/>
          <w:szCs w:val="21"/>
          <w:u w:val="single"/>
          <w:lang w:val="zh-CN"/>
        </w:rPr>
        <w:t xml:space="preserve">.1 </w:t>
      </w:r>
      <w:r>
        <w:rPr>
          <w:rFonts w:hint="eastAsia" w:ascii="宋体" w:hAnsi="宋体" w:cs="宋体"/>
          <w:b/>
          <w:bCs/>
          <w:sz w:val="21"/>
          <w:szCs w:val="21"/>
          <w:u w:val="single"/>
          <w:lang w:val="zh-CN"/>
        </w:rPr>
        <w:t>中标人须于收到中标通知书后十个工作日内向招标人提交履约保证金，履约保证金金额为中标合同金额的</w:t>
      </w:r>
      <w:r>
        <w:rPr>
          <w:rFonts w:ascii="宋体" w:hAnsi="宋体" w:cs="宋体"/>
          <w:b/>
          <w:bCs/>
          <w:sz w:val="21"/>
          <w:szCs w:val="21"/>
          <w:u w:val="single"/>
          <w:lang w:val="zh-CN"/>
        </w:rPr>
        <w:t>5%</w:t>
      </w:r>
      <w:r>
        <w:rPr>
          <w:rFonts w:hint="eastAsia" w:ascii="宋体" w:hAnsi="宋体" w:cs="宋体"/>
          <w:b/>
          <w:bCs/>
          <w:sz w:val="21"/>
          <w:szCs w:val="21"/>
          <w:u w:val="single"/>
          <w:lang w:val="zh-CN"/>
        </w:rPr>
        <w:t>。中标人提交履约保证金后方可与招标人签署合同。</w:t>
      </w:r>
    </w:p>
    <w:p>
      <w:pPr>
        <w:spacing w:line="360" w:lineRule="auto"/>
        <w:ind w:firstLine="422" w:firstLineChars="200"/>
        <w:rPr>
          <w:rFonts w:ascii="宋体" w:hAnsi="宋体" w:cs="宋体"/>
          <w:b/>
          <w:bCs/>
          <w:sz w:val="21"/>
          <w:szCs w:val="21"/>
          <w:u w:val="single"/>
          <w:lang w:val="zh-CN"/>
        </w:rPr>
      </w:pPr>
      <w:r>
        <w:rPr>
          <w:rFonts w:hint="eastAsia" w:ascii="宋体" w:hAnsi="宋体" w:cs="宋体"/>
          <w:b/>
          <w:bCs/>
          <w:sz w:val="21"/>
          <w:szCs w:val="21"/>
          <w:u w:val="single"/>
          <w:lang w:val="zh-CN"/>
        </w:rPr>
        <w:t>11.2货物验收合格后，中标人凭经采购人使用单位盖章确认的《退还履约保证金申请函》(招标人版本)申请退款，采购人于收到中标人退款申请之日起十个工作日内一次性无息退还。</w:t>
      </w:r>
    </w:p>
    <w:p>
      <w:pPr>
        <w:spacing w:line="360" w:lineRule="auto"/>
        <w:ind w:firstLine="422" w:firstLineChars="200"/>
        <w:rPr>
          <w:rFonts w:ascii="宋体" w:hAnsi="宋体" w:cs="宋体"/>
          <w:b/>
          <w:bCs/>
          <w:sz w:val="21"/>
          <w:szCs w:val="21"/>
          <w:u w:val="single"/>
          <w:lang w:val="zh-CN"/>
        </w:rPr>
      </w:pPr>
      <w:r>
        <w:rPr>
          <w:rFonts w:hint="eastAsia" w:ascii="宋体" w:hAnsi="宋体" w:cs="宋体"/>
          <w:b/>
          <w:bCs/>
          <w:sz w:val="21"/>
          <w:szCs w:val="21"/>
          <w:u w:val="single"/>
          <w:lang w:val="zh-CN"/>
        </w:rPr>
        <w:t>11.3 提交履约保证金的形式：支票、电汇或银行保函（见索即付）等非现金方式。</w:t>
      </w:r>
    </w:p>
    <w:p>
      <w:pPr>
        <w:spacing w:line="360" w:lineRule="auto"/>
        <w:ind w:firstLine="422" w:firstLineChars="200"/>
        <w:rPr>
          <w:rFonts w:ascii="宋体" w:hAnsi="宋体" w:cs="宋体"/>
          <w:b/>
          <w:bCs/>
          <w:sz w:val="21"/>
          <w:szCs w:val="21"/>
          <w:u w:val="single"/>
          <w:lang w:val="zh-CN"/>
        </w:rPr>
      </w:pPr>
      <w:r>
        <w:rPr>
          <w:rFonts w:hint="eastAsia" w:ascii="宋体" w:hAnsi="宋体" w:cs="宋体"/>
          <w:b/>
          <w:bCs/>
          <w:sz w:val="21"/>
          <w:szCs w:val="21"/>
          <w:u w:val="single"/>
          <w:lang w:val="zh-CN"/>
        </w:rPr>
        <w:t>收款人：暨南大学</w:t>
      </w:r>
    </w:p>
    <w:p>
      <w:pPr>
        <w:spacing w:line="360" w:lineRule="auto"/>
        <w:ind w:firstLine="422" w:firstLineChars="200"/>
        <w:rPr>
          <w:rFonts w:ascii="宋体" w:hAnsi="宋体" w:cs="宋体"/>
          <w:b/>
          <w:bCs/>
          <w:sz w:val="21"/>
          <w:szCs w:val="21"/>
          <w:u w:val="single"/>
          <w:lang w:val="zh-CN"/>
        </w:rPr>
      </w:pPr>
      <w:r>
        <w:rPr>
          <w:rFonts w:hint="eastAsia" w:ascii="宋体" w:hAnsi="宋体" w:cs="宋体"/>
          <w:b/>
          <w:bCs/>
          <w:sz w:val="21"/>
          <w:szCs w:val="21"/>
          <w:u w:val="single"/>
          <w:lang w:val="zh-CN"/>
        </w:rPr>
        <w:t>开户行：广州工行暨南大学支行</w:t>
      </w:r>
    </w:p>
    <w:p>
      <w:pPr>
        <w:spacing w:line="360" w:lineRule="auto"/>
        <w:ind w:firstLine="422" w:firstLineChars="200"/>
        <w:rPr>
          <w:rFonts w:ascii="宋体" w:hAnsi="宋体" w:cs="宋体"/>
          <w:b/>
          <w:bCs/>
          <w:sz w:val="21"/>
          <w:szCs w:val="21"/>
          <w:u w:val="single"/>
          <w:lang w:val="zh-CN"/>
        </w:rPr>
      </w:pPr>
      <w:r>
        <w:rPr>
          <w:rFonts w:hint="eastAsia" w:ascii="宋体" w:hAnsi="宋体" w:cs="宋体"/>
          <w:b/>
          <w:bCs/>
          <w:sz w:val="21"/>
          <w:szCs w:val="21"/>
          <w:u w:val="single"/>
          <w:lang w:val="zh-CN"/>
        </w:rPr>
        <w:t>帐号：3602015819100000858</w:t>
      </w:r>
    </w:p>
    <w:p>
      <w:pPr>
        <w:spacing w:line="360" w:lineRule="auto"/>
        <w:ind w:firstLine="422" w:firstLineChars="200"/>
        <w:rPr>
          <w:rFonts w:ascii="宋体" w:hAnsi="宋体" w:cs="宋体"/>
          <w:b/>
          <w:bCs/>
          <w:sz w:val="21"/>
          <w:szCs w:val="21"/>
          <w:u w:val="single"/>
          <w:lang w:val="zh-CN"/>
        </w:rPr>
      </w:pPr>
      <w:r>
        <w:rPr>
          <w:rFonts w:hint="eastAsia" w:ascii="宋体" w:hAnsi="宋体" w:cs="宋体"/>
          <w:b/>
          <w:bCs/>
          <w:sz w:val="21"/>
          <w:szCs w:val="21"/>
          <w:u w:val="single"/>
          <w:lang w:val="zh-CN"/>
        </w:rPr>
        <w:t>用途：（填招标编号及子包号）履约保证金</w:t>
      </w:r>
    </w:p>
    <w:p>
      <w:pPr>
        <w:spacing w:line="360" w:lineRule="auto"/>
        <w:ind w:firstLine="422" w:firstLineChars="200"/>
        <w:rPr>
          <w:rFonts w:ascii="宋体" w:hAnsi="宋体" w:cs="宋体"/>
          <w:b/>
          <w:bCs/>
          <w:sz w:val="21"/>
          <w:szCs w:val="21"/>
          <w:u w:val="single"/>
          <w:lang w:val="zh-CN"/>
        </w:rPr>
      </w:pPr>
      <w:r>
        <w:rPr>
          <w:rFonts w:hint="eastAsia" w:ascii="宋体" w:hAnsi="宋体" w:cs="宋体"/>
          <w:b/>
          <w:bCs/>
          <w:sz w:val="21"/>
          <w:szCs w:val="21"/>
          <w:u w:val="single"/>
          <w:lang w:val="zh-CN"/>
        </w:rPr>
        <w:t>支票交纳地址：暨南大学行政办公楼227室财务处</w:t>
      </w:r>
    </w:p>
    <w:p>
      <w:pPr>
        <w:spacing w:line="360" w:lineRule="auto"/>
        <w:ind w:firstLine="422" w:firstLineChars="200"/>
        <w:rPr>
          <w:rFonts w:ascii="宋体" w:hAnsi="宋体" w:cs="宋体"/>
          <w:b/>
          <w:bCs/>
          <w:sz w:val="21"/>
          <w:szCs w:val="21"/>
          <w:u w:val="single"/>
          <w:lang w:val="zh-CN"/>
        </w:rPr>
      </w:pPr>
      <w:r>
        <w:rPr>
          <w:rFonts w:hint="eastAsia" w:ascii="宋体" w:hAnsi="宋体" w:cs="宋体"/>
          <w:b/>
          <w:bCs/>
          <w:sz w:val="21"/>
          <w:szCs w:val="21"/>
          <w:u w:val="single"/>
          <w:lang w:val="zh-CN"/>
        </w:rPr>
        <w:t>11.4 以银行保函形式提交履约保证金的，保函有效期应长于合同履行期。原则上国内供货设备保函有效期不少于合同生效之日起半年，免税进口设备保函有效期不少于合同生效之日起一年。如遇特殊情况在有效期内不能完成履约验收的，需提前15天办理保函延期手续。</w:t>
      </w:r>
    </w:p>
    <w:p>
      <w:pPr>
        <w:spacing w:line="360" w:lineRule="auto"/>
        <w:ind w:firstLine="422" w:firstLineChars="200"/>
        <w:rPr>
          <w:rFonts w:ascii="宋体" w:hAnsi="宋体" w:cs="宋体"/>
          <w:b/>
          <w:bCs/>
          <w:sz w:val="21"/>
          <w:szCs w:val="21"/>
          <w:u w:val="single"/>
          <w:lang w:val="zh-CN"/>
        </w:rPr>
      </w:pPr>
      <w:r>
        <w:rPr>
          <w:rFonts w:hint="eastAsia" w:ascii="宋体" w:hAnsi="宋体" w:cs="宋体"/>
          <w:b/>
          <w:bCs/>
          <w:sz w:val="21"/>
          <w:szCs w:val="21"/>
          <w:u w:val="single"/>
          <w:lang w:val="zh-CN"/>
        </w:rPr>
        <w:t>11.5以银行保函形式提交履约保证金的，必须在合同签订前提交保函原件。</w:t>
      </w:r>
    </w:p>
    <w:p>
      <w:pPr>
        <w:spacing w:line="360" w:lineRule="auto"/>
        <w:ind w:firstLine="843" w:firstLineChars="400"/>
        <w:rPr>
          <w:b/>
          <w:bCs/>
          <w:sz w:val="21"/>
          <w:szCs w:val="21"/>
          <w:u w:val="single"/>
          <w:lang w:val="zh-CN"/>
        </w:rPr>
      </w:pPr>
    </w:p>
    <w:p>
      <w:pPr>
        <w:spacing w:line="360" w:lineRule="auto"/>
        <w:rPr>
          <w:sz w:val="21"/>
          <w:szCs w:val="21"/>
          <w:lang w:val="zh-CN"/>
        </w:rPr>
      </w:pPr>
    </w:p>
    <w:p>
      <w:pPr>
        <w:spacing w:line="360" w:lineRule="auto"/>
        <w:rPr>
          <w:b/>
          <w:bCs/>
          <w:sz w:val="21"/>
          <w:szCs w:val="21"/>
          <w:u w:val="single"/>
          <w:lang w:val="zh-CN"/>
        </w:rPr>
      </w:pPr>
      <w:r>
        <w:rPr>
          <w:b/>
          <w:bCs/>
          <w:sz w:val="21"/>
          <w:szCs w:val="21"/>
          <w:u w:val="single"/>
          <w:lang w:val="zh-CN"/>
        </w:rPr>
        <w:t>*12、付款方式：</w:t>
      </w:r>
    </w:p>
    <w:p>
      <w:pPr>
        <w:spacing w:line="360" w:lineRule="auto"/>
        <w:rPr>
          <w:b/>
          <w:bCs/>
          <w:sz w:val="21"/>
          <w:szCs w:val="21"/>
          <w:u w:val="single"/>
          <w:lang w:val="zh-CN"/>
        </w:rPr>
      </w:pPr>
      <w:r>
        <w:rPr>
          <w:b/>
          <w:bCs/>
          <w:sz w:val="21"/>
          <w:szCs w:val="21"/>
          <w:u w:val="single"/>
          <w:lang w:val="zh-CN"/>
        </w:rPr>
        <w:t>12.1  从中华人民共和国关境内提供的设备的付款方式：</w:t>
      </w:r>
    </w:p>
    <w:p>
      <w:pPr>
        <w:spacing w:line="360" w:lineRule="auto"/>
        <w:ind w:firstLine="422" w:firstLineChars="200"/>
        <w:rPr>
          <w:b/>
          <w:bCs/>
          <w:sz w:val="21"/>
          <w:szCs w:val="21"/>
          <w:u w:val="single"/>
          <w:lang w:val="zh-CN"/>
        </w:rPr>
      </w:pPr>
      <w:r>
        <w:rPr>
          <w:b/>
          <w:bCs/>
          <w:sz w:val="21"/>
          <w:szCs w:val="21"/>
          <w:u w:val="single"/>
          <w:lang w:val="zh-CN"/>
        </w:rPr>
        <w:t>12.1.1  结算货币：人民币。</w:t>
      </w:r>
    </w:p>
    <w:p>
      <w:pPr>
        <w:spacing w:line="360" w:lineRule="auto"/>
        <w:ind w:firstLine="422" w:firstLineChars="200"/>
        <w:rPr>
          <w:b/>
          <w:bCs/>
          <w:sz w:val="21"/>
          <w:szCs w:val="21"/>
          <w:u w:val="single"/>
          <w:lang w:val="zh-CN"/>
        </w:rPr>
      </w:pPr>
      <w:r>
        <w:rPr>
          <w:b/>
          <w:bCs/>
          <w:sz w:val="21"/>
          <w:szCs w:val="21"/>
          <w:u w:val="single"/>
          <w:lang w:val="zh-CN"/>
        </w:rPr>
        <w:t>12.1.2  全部货物安装、调试、验收合格并填写用户方仪器设备验收报告，中标人开具全额完税正式销售发票</w:t>
      </w:r>
      <w:r>
        <w:rPr>
          <w:rFonts w:hint="eastAsia"/>
          <w:b/>
          <w:bCs/>
          <w:sz w:val="21"/>
          <w:szCs w:val="21"/>
          <w:u w:val="single"/>
          <w:lang w:val="zh-CN"/>
        </w:rPr>
        <w:t>(增值税专用发票)</w:t>
      </w:r>
      <w:r>
        <w:rPr>
          <w:b/>
          <w:bCs/>
          <w:sz w:val="21"/>
          <w:szCs w:val="21"/>
          <w:u w:val="single"/>
          <w:lang w:val="zh-CN"/>
        </w:rPr>
        <w:t>后，招标人于十个工作日内一次性支付合同货款。</w:t>
      </w:r>
    </w:p>
    <w:p>
      <w:pPr>
        <w:spacing w:line="360" w:lineRule="auto"/>
        <w:rPr>
          <w:b/>
          <w:bCs/>
          <w:sz w:val="21"/>
          <w:szCs w:val="21"/>
          <w:u w:val="single"/>
          <w:lang w:val="zh-CN"/>
        </w:rPr>
      </w:pPr>
      <w:r>
        <w:rPr>
          <w:b/>
          <w:bCs/>
          <w:sz w:val="21"/>
          <w:szCs w:val="21"/>
          <w:u w:val="single"/>
          <w:lang w:val="zh-CN"/>
        </w:rPr>
        <w:t>12.2  从中华人民共和国关境外提供的设备的付款方式：</w:t>
      </w:r>
    </w:p>
    <w:p>
      <w:pPr>
        <w:spacing w:line="360" w:lineRule="auto"/>
        <w:ind w:firstLine="422" w:firstLineChars="200"/>
        <w:rPr>
          <w:b/>
          <w:bCs/>
          <w:sz w:val="21"/>
          <w:szCs w:val="21"/>
          <w:u w:val="single"/>
          <w:lang w:val="zh-CN"/>
        </w:rPr>
      </w:pPr>
      <w:r>
        <w:rPr>
          <w:b/>
          <w:bCs/>
          <w:sz w:val="21"/>
          <w:szCs w:val="21"/>
          <w:u w:val="single"/>
          <w:lang w:val="zh-CN"/>
        </w:rPr>
        <w:t>12.2.1  结算货币：人民币。</w:t>
      </w:r>
    </w:p>
    <w:p>
      <w:pPr>
        <w:spacing w:line="300" w:lineRule="auto"/>
        <w:ind w:right="29" w:rightChars="12" w:firstLine="422" w:firstLineChars="200"/>
        <w:rPr>
          <w:b/>
          <w:bCs/>
          <w:sz w:val="21"/>
          <w:szCs w:val="21"/>
          <w:u w:val="single"/>
          <w:lang w:val="zh-CN"/>
        </w:rPr>
      </w:pPr>
      <w:r>
        <w:rPr>
          <w:b/>
          <w:bCs/>
          <w:sz w:val="21"/>
          <w:szCs w:val="21"/>
          <w:u w:val="single"/>
          <w:lang w:val="zh-CN"/>
        </w:rPr>
        <w:t xml:space="preserve">12.2.2  </w:t>
      </w:r>
      <w:r>
        <w:rPr>
          <w:rFonts w:hint="eastAsia"/>
          <w:b/>
          <w:bCs/>
          <w:sz w:val="21"/>
          <w:szCs w:val="21"/>
          <w:u w:val="single"/>
          <w:lang w:val="zh-CN"/>
        </w:rPr>
        <w:t>自供货协议签订及外贸合同生效后30天内，买方通过其进口代理公司开出以外贸合同卖方为受益人、金额为外贸合同金额的100％L/C。其中80％凭买卖双方和外贸公司共同签署的交货齐全的《暨南大学免税进口物资开箱现场记录》及L/C规定的单证支付；20％凭买方验收合格的《暨南大学物资采购质量验收表》或《暨南大学大型精密仪器设备大宗物资采购验收报告》支付。</w:t>
      </w:r>
    </w:p>
    <w:p>
      <w:pPr>
        <w:spacing w:line="360" w:lineRule="auto"/>
        <w:ind w:firstLine="422" w:firstLineChars="200"/>
        <w:rPr>
          <w:b/>
          <w:bCs/>
          <w:sz w:val="21"/>
          <w:szCs w:val="21"/>
          <w:u w:val="single"/>
          <w:lang w:val="zh-CN"/>
        </w:rPr>
      </w:pPr>
      <w:r>
        <w:rPr>
          <w:b/>
          <w:bCs/>
          <w:sz w:val="21"/>
          <w:szCs w:val="21"/>
          <w:u w:val="single"/>
          <w:lang w:val="zh-CN"/>
        </w:rPr>
        <w:t>12.3  若属国库支付项目的，其支付时间按财政部相关规定执行。</w:t>
      </w:r>
    </w:p>
    <w:p>
      <w:pPr>
        <w:spacing w:line="360" w:lineRule="auto"/>
        <w:rPr>
          <w:sz w:val="21"/>
          <w:szCs w:val="21"/>
          <w:lang w:val="zh-CN"/>
        </w:rPr>
      </w:pPr>
    </w:p>
    <w:p>
      <w:pPr>
        <w:spacing w:line="360" w:lineRule="auto"/>
        <w:rPr>
          <w:sz w:val="21"/>
          <w:szCs w:val="21"/>
          <w:lang w:val="zh-CN"/>
        </w:rPr>
      </w:pPr>
      <w:r>
        <w:rPr>
          <w:sz w:val="21"/>
          <w:szCs w:val="21"/>
          <w:lang w:val="zh-CN"/>
        </w:rPr>
        <w:t>13、投标人必须如实、认真填写附件</w:t>
      </w:r>
      <w:r>
        <w:rPr>
          <w:rFonts w:hint="eastAsia"/>
          <w:sz w:val="21"/>
          <w:szCs w:val="21"/>
          <w:lang w:val="zh-CN"/>
        </w:rPr>
        <w:t>9</w:t>
      </w:r>
      <w:r>
        <w:rPr>
          <w:sz w:val="21"/>
          <w:szCs w:val="21"/>
          <w:lang w:val="zh-CN"/>
        </w:rPr>
        <w:t>《设备资料表》。对每一项投标设备完整列明设备的品牌、型号、制造商的全称和地址，不得遗漏。所有信息将输入中国国际招标网。如果是在中国境外生产的货物（需要进关的），必须填写境外的生产制造地址，而不能填写该国外制造商在国内或香港的代表处、分支机构等。如有错漏，将导致货物无法进关或无法申报免税手续，一切后果由投标人自行负责。</w:t>
      </w:r>
    </w:p>
    <w:p>
      <w:pPr>
        <w:spacing w:line="360" w:lineRule="auto"/>
        <w:rPr>
          <w:sz w:val="21"/>
          <w:szCs w:val="21"/>
          <w:lang w:val="zh-CN"/>
        </w:rPr>
      </w:pPr>
    </w:p>
    <w:p>
      <w:pPr>
        <w:spacing w:line="360" w:lineRule="auto"/>
        <w:rPr>
          <w:b/>
          <w:sz w:val="21"/>
          <w:szCs w:val="21"/>
          <w:lang w:val="zh-CN"/>
        </w:rPr>
      </w:pPr>
      <w:r>
        <w:rPr>
          <w:rFonts w:hint="eastAsia"/>
          <w:b/>
          <w:sz w:val="21"/>
          <w:szCs w:val="21"/>
          <w:lang w:val="zh-CN"/>
        </w:rPr>
        <w:t>*14、投标人必须提供每项投标设备的详细、完整配置清单，认真核对并填写附件11《设备配置清单》，明确列出投标设备各项配置（包括主机、配件/备品备件、耗材）的名称、制造商、型号、规格、数量及单位。</w:t>
      </w:r>
    </w:p>
    <w:p>
      <w:pPr>
        <w:spacing w:line="360" w:lineRule="auto"/>
        <w:ind w:firstLine="422" w:firstLineChars="200"/>
        <w:rPr>
          <w:b/>
          <w:sz w:val="21"/>
          <w:szCs w:val="21"/>
          <w:lang w:val="zh-CN"/>
        </w:rPr>
      </w:pPr>
    </w:p>
    <w:p>
      <w:pPr>
        <w:spacing w:line="360" w:lineRule="auto"/>
        <w:rPr>
          <w:b/>
          <w:sz w:val="21"/>
          <w:szCs w:val="21"/>
          <w:lang w:val="zh-CN"/>
        </w:rPr>
      </w:pPr>
      <w:r>
        <w:rPr>
          <w:rFonts w:hint="eastAsia"/>
          <w:b/>
          <w:sz w:val="21"/>
          <w:szCs w:val="21"/>
          <w:lang w:val="zh-CN"/>
        </w:rPr>
        <w:t>*15、投标货物名称、品牌/制造商名称、型号、产地等信息必须与产品彩页、机器（机身铭牌）上的信息完全一致，否则投标无效。</w:t>
      </w:r>
    </w:p>
    <w:p>
      <w:pPr>
        <w:spacing w:line="360" w:lineRule="auto"/>
        <w:rPr>
          <w:b/>
          <w:sz w:val="21"/>
          <w:szCs w:val="21"/>
          <w:lang w:val="zh-CN"/>
        </w:rPr>
      </w:pPr>
    </w:p>
    <w:p>
      <w:pPr>
        <w:spacing w:line="360" w:lineRule="auto"/>
        <w:rPr>
          <w:b/>
          <w:sz w:val="21"/>
          <w:szCs w:val="21"/>
          <w:lang w:val="zh-CN"/>
        </w:rPr>
      </w:pPr>
      <w:r>
        <w:rPr>
          <w:rFonts w:hint="eastAsia"/>
          <w:b/>
          <w:sz w:val="21"/>
          <w:szCs w:val="21"/>
          <w:lang w:val="zh-CN"/>
        </w:rPr>
        <w:t>*16、所投货物的名称、品牌/制造商名称、型号、规格、配置（包括备品备件）、产地、数量等信息必须准确无误，且中标后在签署合同（含外贸合同）和供货等后续环节均不得再作任何修改。（投标人必须按附件1</w:t>
      </w:r>
      <w:r>
        <w:rPr>
          <w:b/>
          <w:sz w:val="21"/>
          <w:szCs w:val="21"/>
          <w:lang w:val="zh-CN"/>
        </w:rPr>
        <w:t>2</w:t>
      </w:r>
      <w:r>
        <w:rPr>
          <w:rFonts w:hint="eastAsia"/>
          <w:b/>
          <w:sz w:val="21"/>
          <w:szCs w:val="21"/>
          <w:lang w:val="zh-CN"/>
        </w:rPr>
        <w:t>格式单独提供承诺书）</w:t>
      </w:r>
    </w:p>
    <w:p>
      <w:pPr>
        <w:spacing w:line="360" w:lineRule="auto"/>
        <w:rPr>
          <w:b/>
          <w:sz w:val="21"/>
          <w:szCs w:val="21"/>
          <w:lang w:val="zh-CN"/>
        </w:rPr>
      </w:pPr>
    </w:p>
    <w:p>
      <w:pPr>
        <w:snapToGrid w:val="0"/>
        <w:spacing w:line="360" w:lineRule="auto"/>
        <w:rPr>
          <w:rFonts w:ascii="宋体" w:hAnsi="宋体"/>
          <w:lang w:val="zh-CN"/>
        </w:rPr>
      </w:pPr>
      <w:r>
        <w:rPr>
          <w:rFonts w:hint="eastAsia"/>
          <w:b/>
          <w:sz w:val="21"/>
          <w:szCs w:val="21"/>
          <w:lang w:val="zh-CN"/>
        </w:rPr>
        <w:t>*17、若投标产品原产地为美国且在中国国务院关税税则委员会公告要求加征关税清单范围内的，加征的税费由中标人承担。</w:t>
      </w:r>
    </w:p>
    <w:p>
      <w:pPr>
        <w:snapToGrid w:val="0"/>
        <w:spacing w:line="360" w:lineRule="auto"/>
        <w:rPr>
          <w:rFonts w:ascii="宋体" w:hAnsi="宋体"/>
          <w:lang w:val="zh-CN"/>
        </w:rPr>
      </w:pPr>
    </w:p>
    <w:p>
      <w:pPr>
        <w:rPr>
          <w:rFonts w:ascii="宋体" w:hAnsi="宋体"/>
        </w:rPr>
      </w:pPr>
      <w:r>
        <w:rPr>
          <w:rFonts w:ascii="宋体" w:hAnsi="宋体"/>
        </w:rPr>
        <w:br w:type="page"/>
      </w:r>
    </w:p>
    <w:p>
      <w:pPr>
        <w:tabs>
          <w:tab w:val="left" w:pos="960"/>
        </w:tabs>
        <w:spacing w:line="360" w:lineRule="auto"/>
        <w:jc w:val="center"/>
        <w:rPr>
          <w:rFonts w:ascii="宋体" w:hAnsi="宋体"/>
          <w:b/>
          <w:bCs/>
          <w:sz w:val="28"/>
          <w:szCs w:val="28"/>
        </w:rPr>
      </w:pPr>
      <w:r>
        <w:rPr>
          <w:rFonts w:ascii="宋体" w:hAnsi="宋体"/>
          <w:b/>
          <w:bCs/>
          <w:sz w:val="28"/>
          <w:szCs w:val="28"/>
        </w:rPr>
        <w:t>第九章附件</w:t>
      </w:r>
    </w:p>
    <w:p>
      <w:pPr>
        <w:tabs>
          <w:tab w:val="left" w:pos="960"/>
        </w:tabs>
        <w:spacing w:line="360" w:lineRule="auto"/>
        <w:rPr>
          <w:rFonts w:ascii="宋体" w:hAnsi="宋体"/>
          <w:b/>
          <w:bCs/>
          <w:sz w:val="28"/>
          <w:szCs w:val="28"/>
        </w:rPr>
      </w:pPr>
    </w:p>
    <w:p>
      <w:pPr>
        <w:tabs>
          <w:tab w:val="left" w:pos="960"/>
        </w:tabs>
        <w:spacing w:line="360" w:lineRule="auto"/>
        <w:rPr>
          <w:rFonts w:ascii="宋体" w:hAnsi="宋体"/>
          <w:b/>
          <w:bCs/>
          <w:sz w:val="28"/>
          <w:szCs w:val="28"/>
        </w:rPr>
      </w:pPr>
    </w:p>
    <w:p>
      <w:pPr>
        <w:tabs>
          <w:tab w:val="left" w:pos="960"/>
        </w:tabs>
        <w:spacing w:line="360" w:lineRule="auto"/>
        <w:jc w:val="both"/>
        <w:rPr>
          <w:rFonts w:ascii="宋体" w:hAnsi="宋体"/>
          <w:sz w:val="21"/>
          <w:szCs w:val="21"/>
        </w:rPr>
      </w:pPr>
      <w:r>
        <w:rPr>
          <w:rFonts w:ascii="宋体" w:hAnsi="宋体"/>
          <w:sz w:val="21"/>
          <w:szCs w:val="21"/>
        </w:rPr>
        <w:t>注明：</w:t>
      </w:r>
    </w:p>
    <w:p>
      <w:pPr>
        <w:tabs>
          <w:tab w:val="left" w:pos="960"/>
        </w:tabs>
        <w:spacing w:line="360" w:lineRule="auto"/>
        <w:ind w:firstLine="420" w:firstLineChars="200"/>
        <w:jc w:val="both"/>
        <w:rPr>
          <w:rFonts w:ascii="宋体" w:hAnsi="宋体"/>
          <w:sz w:val="21"/>
          <w:szCs w:val="21"/>
        </w:rPr>
      </w:pPr>
      <w:r>
        <w:rPr>
          <w:rFonts w:ascii="宋体" w:hAnsi="宋体"/>
          <w:sz w:val="21"/>
          <w:szCs w:val="21"/>
        </w:rPr>
        <w:t>1、投标人必须提供本章和第一册第四章表格要求的所有内容。</w:t>
      </w:r>
      <w:r>
        <w:rPr>
          <w:rFonts w:ascii="宋体" w:hAnsi="宋体"/>
          <w:b/>
          <w:bCs/>
          <w:sz w:val="21"/>
          <w:szCs w:val="21"/>
          <w:u w:val="single"/>
        </w:rPr>
        <w:t>如本章附件内容与第一册有重复或矛盾的，以本章附件为准。</w:t>
      </w:r>
      <w:r>
        <w:rPr>
          <w:rFonts w:ascii="宋体" w:hAnsi="宋体"/>
          <w:sz w:val="21"/>
          <w:szCs w:val="21"/>
        </w:rPr>
        <w:t>“投标资料表”和“合同专用条款表”中注明“不适用”的除外。</w:t>
      </w:r>
    </w:p>
    <w:p>
      <w:pPr>
        <w:tabs>
          <w:tab w:val="left" w:pos="960"/>
        </w:tabs>
        <w:spacing w:line="360" w:lineRule="auto"/>
        <w:ind w:firstLine="420" w:firstLineChars="200"/>
        <w:jc w:val="both"/>
        <w:rPr>
          <w:rFonts w:ascii="宋体" w:hAnsi="宋体"/>
          <w:sz w:val="21"/>
          <w:szCs w:val="21"/>
        </w:rPr>
      </w:pPr>
      <w:r>
        <w:rPr>
          <w:rFonts w:ascii="宋体" w:hAnsi="宋体"/>
          <w:sz w:val="21"/>
          <w:szCs w:val="21"/>
        </w:rPr>
        <w:t>2、本章附件接第一册顺序排列，投标文件也应按《投标文件格式》的顺序装订。</w:t>
      </w:r>
    </w:p>
    <w:p>
      <w:pPr>
        <w:tabs>
          <w:tab w:val="left" w:pos="960"/>
        </w:tabs>
        <w:spacing w:line="360" w:lineRule="auto"/>
        <w:ind w:firstLine="420" w:firstLineChars="200"/>
        <w:rPr>
          <w:rFonts w:ascii="宋体" w:hAnsi="宋体"/>
          <w:b/>
          <w:bCs/>
          <w:sz w:val="21"/>
          <w:szCs w:val="21"/>
        </w:rPr>
      </w:pPr>
      <w:r>
        <w:rPr>
          <w:rFonts w:ascii="宋体" w:hAnsi="宋体"/>
          <w:sz w:val="21"/>
          <w:szCs w:val="21"/>
        </w:rPr>
        <w:t>3、除唱标信封内容外，所有资料装订成1册，按一份正本、五份副本、一份电子Word文档的要求提交。</w:t>
      </w:r>
    </w:p>
    <w:p>
      <w:pPr>
        <w:tabs>
          <w:tab w:val="left" w:pos="960"/>
        </w:tabs>
        <w:spacing w:line="360" w:lineRule="auto"/>
        <w:rPr>
          <w:rFonts w:ascii="宋体" w:hAnsi="宋体"/>
          <w:b/>
          <w:bCs/>
          <w:sz w:val="28"/>
          <w:szCs w:val="28"/>
        </w:rPr>
      </w:pPr>
    </w:p>
    <w:p>
      <w:pPr>
        <w:tabs>
          <w:tab w:val="left" w:pos="960"/>
        </w:tabs>
        <w:spacing w:line="360" w:lineRule="auto"/>
        <w:rPr>
          <w:rFonts w:ascii="宋体" w:hAnsi="宋体"/>
          <w:b/>
          <w:bCs/>
          <w:sz w:val="28"/>
          <w:szCs w:val="28"/>
        </w:rPr>
      </w:pPr>
    </w:p>
    <w:p>
      <w:pPr>
        <w:jc w:val="both"/>
        <w:rPr>
          <w:rFonts w:ascii="宋体" w:hAnsi="宋体"/>
          <w:b/>
          <w:bCs/>
          <w:sz w:val="21"/>
          <w:szCs w:val="21"/>
        </w:rPr>
      </w:pPr>
      <w:r>
        <w:rPr>
          <w:rFonts w:ascii="宋体" w:hAnsi="宋体"/>
          <w:b/>
          <w:bCs/>
          <w:sz w:val="36"/>
          <w:szCs w:val="36"/>
        </w:rPr>
        <w:br w:type="page"/>
      </w:r>
      <w:r>
        <w:rPr>
          <w:rFonts w:ascii="宋体" w:hAnsi="宋体"/>
          <w:b/>
          <w:bCs/>
          <w:sz w:val="21"/>
          <w:szCs w:val="21"/>
        </w:rPr>
        <w:t>附件1</w:t>
      </w:r>
    </w:p>
    <w:p>
      <w:pPr>
        <w:spacing w:line="360" w:lineRule="auto"/>
        <w:jc w:val="both"/>
        <w:rPr>
          <w:rFonts w:ascii="宋体" w:hAnsi="宋体"/>
          <w:b/>
          <w:bCs/>
          <w:sz w:val="21"/>
          <w:szCs w:val="21"/>
        </w:rPr>
      </w:pPr>
    </w:p>
    <w:p>
      <w:pPr>
        <w:spacing w:line="360" w:lineRule="auto"/>
        <w:rPr>
          <w:rFonts w:ascii="宋体" w:hAnsi="宋体"/>
          <w:sz w:val="21"/>
          <w:szCs w:val="21"/>
        </w:rPr>
      </w:pPr>
      <w:r>
        <w:rPr>
          <w:rFonts w:ascii="宋体" w:hAnsi="宋体"/>
          <w:sz w:val="21"/>
          <w:szCs w:val="21"/>
        </w:rPr>
        <w:t>（投标人可使用下述格式，也可使用广东省工商行政管理局统一印制的法定代表人证明书格式）</w:t>
      </w:r>
    </w:p>
    <w:p>
      <w:pPr>
        <w:spacing w:line="360" w:lineRule="auto"/>
        <w:jc w:val="center"/>
        <w:rPr>
          <w:rFonts w:ascii="宋体" w:hAnsi="宋体"/>
          <w:b/>
          <w:bCs/>
          <w:sz w:val="21"/>
          <w:szCs w:val="21"/>
        </w:rPr>
      </w:pPr>
    </w:p>
    <w:p>
      <w:pPr>
        <w:spacing w:line="360" w:lineRule="auto"/>
        <w:jc w:val="center"/>
        <w:rPr>
          <w:rFonts w:ascii="宋体" w:hAnsi="宋体"/>
          <w:b/>
          <w:bCs/>
          <w:sz w:val="21"/>
          <w:szCs w:val="21"/>
        </w:rPr>
      </w:pPr>
      <w:r>
        <w:rPr>
          <w:rFonts w:ascii="宋体" w:hAnsi="宋体"/>
          <w:b/>
          <w:bCs/>
          <w:sz w:val="21"/>
          <w:szCs w:val="21"/>
        </w:rPr>
        <w:t>法定代表人证明书</w:t>
      </w:r>
    </w:p>
    <w:p>
      <w:pPr>
        <w:spacing w:line="360" w:lineRule="auto"/>
        <w:rPr>
          <w:rFonts w:ascii="宋体" w:hAnsi="宋体"/>
          <w:sz w:val="21"/>
          <w:szCs w:val="21"/>
          <w:u w:val="single"/>
        </w:rPr>
      </w:pPr>
    </w:p>
    <w:p>
      <w:pPr>
        <w:spacing w:line="360" w:lineRule="auto"/>
        <w:rPr>
          <w:rFonts w:ascii="宋体" w:hAnsi="宋体"/>
          <w:sz w:val="21"/>
          <w:szCs w:val="21"/>
        </w:rPr>
      </w:pPr>
      <w:r>
        <w:rPr>
          <w:rFonts w:ascii="宋体" w:hAnsi="宋体"/>
          <w:sz w:val="21"/>
          <w:szCs w:val="21"/>
        </w:rPr>
        <w:t>_________现任我单位</w:t>
      </w:r>
      <w:r>
        <w:rPr>
          <w:rFonts w:ascii="宋体" w:hAnsi="宋体"/>
          <w:sz w:val="21"/>
          <w:szCs w:val="21"/>
          <w:u w:val="single"/>
        </w:rPr>
        <w:t xml:space="preserve">           </w:t>
      </w:r>
      <w:r>
        <w:rPr>
          <w:rFonts w:ascii="宋体" w:hAnsi="宋体"/>
          <w:sz w:val="21"/>
          <w:szCs w:val="21"/>
        </w:rPr>
        <w:t>职务，为法定代表人，特此证明。</w:t>
      </w:r>
    </w:p>
    <w:p>
      <w:pPr>
        <w:spacing w:line="360" w:lineRule="auto"/>
        <w:rPr>
          <w:rFonts w:ascii="宋体" w:hAnsi="宋体"/>
          <w:sz w:val="21"/>
          <w:szCs w:val="21"/>
        </w:rPr>
      </w:pPr>
      <w:r>
        <w:rPr>
          <w:rFonts w:ascii="宋体" w:hAnsi="宋体"/>
          <w:sz w:val="21"/>
          <w:szCs w:val="21"/>
        </w:rPr>
        <w:t>有效期限：</w:t>
      </w:r>
    </w:p>
    <w:p>
      <w:pPr>
        <w:spacing w:line="360" w:lineRule="auto"/>
        <w:rPr>
          <w:rFonts w:ascii="宋体" w:hAnsi="宋体"/>
          <w:sz w:val="21"/>
          <w:szCs w:val="21"/>
        </w:rPr>
      </w:pPr>
      <w:r>
        <w:rPr>
          <w:rFonts w:ascii="宋体" w:hAnsi="宋体"/>
          <w:sz w:val="21"/>
          <w:szCs w:val="21"/>
        </w:rPr>
        <w:t>附：代表人性别：</w:t>
      </w:r>
      <w:r>
        <w:rPr>
          <w:rFonts w:ascii="宋体" w:hAnsi="宋体"/>
          <w:sz w:val="21"/>
          <w:szCs w:val="21"/>
          <w:u w:val="single"/>
        </w:rPr>
        <w:t xml:space="preserve">         </w:t>
      </w:r>
      <w:r>
        <w:rPr>
          <w:rFonts w:ascii="宋体" w:hAnsi="宋体"/>
          <w:sz w:val="21"/>
          <w:szCs w:val="21"/>
        </w:rPr>
        <w:t>年龄：</w:t>
      </w:r>
      <w:r>
        <w:rPr>
          <w:rFonts w:ascii="宋体" w:hAnsi="宋体"/>
          <w:sz w:val="21"/>
          <w:szCs w:val="21"/>
          <w:u w:val="single"/>
        </w:rPr>
        <w:t xml:space="preserve">        </w:t>
      </w:r>
      <w:r>
        <w:rPr>
          <w:rFonts w:ascii="宋体" w:hAnsi="宋体"/>
          <w:sz w:val="21"/>
          <w:szCs w:val="21"/>
        </w:rPr>
        <w:t>身份证号码：_________</w:t>
      </w:r>
    </w:p>
    <w:p>
      <w:pPr>
        <w:spacing w:line="360" w:lineRule="auto"/>
        <w:rPr>
          <w:rFonts w:ascii="宋体" w:hAnsi="宋体"/>
          <w:sz w:val="21"/>
          <w:szCs w:val="21"/>
        </w:rPr>
      </w:pPr>
      <w:r>
        <w:rPr>
          <w:rFonts w:ascii="宋体" w:hAnsi="宋体"/>
          <w:sz w:val="21"/>
          <w:szCs w:val="21"/>
        </w:rPr>
        <w:t>注册号码：</w:t>
      </w:r>
      <w:r>
        <w:rPr>
          <w:rFonts w:ascii="宋体" w:hAnsi="宋体"/>
          <w:sz w:val="21"/>
          <w:szCs w:val="21"/>
          <w:u w:val="single"/>
        </w:rPr>
        <w:t xml:space="preserve">                 </w:t>
      </w:r>
      <w:r>
        <w:rPr>
          <w:rFonts w:ascii="宋体" w:hAnsi="宋体"/>
          <w:sz w:val="21"/>
          <w:szCs w:val="21"/>
        </w:rPr>
        <w:t xml:space="preserve">企业类型：_____________________________________ </w:t>
      </w:r>
    </w:p>
    <w:p>
      <w:pPr>
        <w:spacing w:line="360" w:lineRule="auto"/>
        <w:rPr>
          <w:rFonts w:ascii="宋体" w:hAnsi="宋体"/>
          <w:b/>
          <w:bCs/>
          <w:sz w:val="21"/>
          <w:szCs w:val="21"/>
          <w:u w:val="single"/>
        </w:rPr>
      </w:pPr>
      <w:r>
        <w:rPr>
          <w:rFonts w:ascii="宋体" w:hAnsi="宋体"/>
          <w:sz w:val="21"/>
          <w:szCs w:val="21"/>
        </w:rPr>
        <w:t>经营范围：</w:t>
      </w:r>
      <w:r>
        <w:rPr>
          <w:rFonts w:ascii="宋体" w:hAnsi="宋体"/>
          <w:sz w:val="21"/>
          <w:szCs w:val="21"/>
          <w:u w:val="single"/>
        </w:rPr>
        <w:t xml:space="preserve">                                                                  </w:t>
      </w:r>
      <w:r>
        <w:rPr>
          <w:rFonts w:ascii="宋体" w:hAnsi="宋体"/>
          <w:sz w:val="21"/>
          <w:szCs w:val="21"/>
        </w:rPr>
        <w:t>。</w:t>
      </w:r>
    </w:p>
    <w:p>
      <w:pPr>
        <w:spacing w:line="360" w:lineRule="auto"/>
        <w:rPr>
          <w:rFonts w:ascii="宋体" w:hAnsi="宋体"/>
          <w:b/>
          <w:bCs/>
          <w:sz w:val="21"/>
          <w:szCs w:val="21"/>
        </w:rPr>
      </w:pPr>
      <w:r>
        <mc:AlternateContent>
          <mc:Choice Requires="wps">
            <w:drawing>
              <wp:anchor distT="0" distB="0" distL="114300" distR="114300" simplePos="0" relativeHeight="251658240" behindDoc="0" locked="0" layoutInCell="1" allowOverlap="1">
                <wp:simplePos x="0" y="0"/>
                <wp:positionH relativeFrom="column">
                  <wp:posOffset>207010</wp:posOffset>
                </wp:positionH>
                <wp:positionV relativeFrom="paragraph">
                  <wp:posOffset>99695</wp:posOffset>
                </wp:positionV>
                <wp:extent cx="4953000" cy="3642360"/>
                <wp:effectExtent l="4445" t="4445" r="14605" b="10795"/>
                <wp:wrapNone/>
                <wp:docPr id="2" name="AutoShape 2"/>
                <wp:cNvGraphicFramePr/>
                <a:graphic xmlns:a="http://schemas.openxmlformats.org/drawingml/2006/main">
                  <a:graphicData uri="http://schemas.microsoft.com/office/word/2010/wordprocessingShape">
                    <wps:wsp>
                      <wps:cNvSpPr>
                        <a:spLocks noChangeArrowheads="1"/>
                      </wps:cNvSpPr>
                      <wps:spPr bwMode="auto">
                        <a:xfrm>
                          <a:off x="0" y="0"/>
                          <a:ext cx="4953000" cy="3642360"/>
                        </a:xfrm>
                        <a:prstGeom prst="flowChartAlternateProcess">
                          <a:avLst/>
                        </a:prstGeom>
                        <a:solidFill>
                          <a:srgbClr val="FFFFFF"/>
                        </a:solidFill>
                        <a:ln w="9525">
                          <a:solidFill>
                            <a:srgbClr val="000000"/>
                          </a:solidFill>
                          <a:prstDash val="dash"/>
                          <a:miter lim="800000"/>
                        </a:ln>
                        <a:effectLst/>
                      </wps:spPr>
                      <wps:txbx>
                        <w:txbxContent>
                          <w:p>
                            <w:pPr>
                              <w:rPr>
                                <w:b/>
                                <w:bCs/>
                                <w:sz w:val="21"/>
                                <w:szCs w:val="21"/>
                              </w:rPr>
                            </w:pPr>
                            <w:r>
                              <w:rPr>
                                <w:rFonts w:hint="eastAsia" w:cs="宋体"/>
                                <w:b/>
                                <w:bCs/>
                                <w:sz w:val="21"/>
                                <w:szCs w:val="21"/>
                              </w:rPr>
                              <w:t>提示：请将法定代表人身份证复印件（正反面）粘贴在此处，并加盖公章。</w:t>
                            </w:r>
                          </w:p>
                          <w:p>
                            <w:pPr>
                              <w:rPr>
                                <w:b/>
                                <w:bCs/>
                                <w:sz w:val="22"/>
                                <w:szCs w:val="22"/>
                              </w:rPr>
                            </w:pPr>
                          </w:p>
                        </w:txbxContent>
                      </wps:txbx>
                      <wps:bodyPr rot="0" vert="horz" wrap="square" lIns="91440" tIns="45720" rIns="91440" bIns="45720" anchor="t" anchorCtr="0" upright="1">
                        <a:noAutofit/>
                      </wps:bodyPr>
                    </wps:wsp>
                  </a:graphicData>
                </a:graphic>
              </wp:anchor>
            </w:drawing>
          </mc:Choice>
          <mc:Fallback>
            <w:pict>
              <v:shape id="AutoShape 2" o:spid="_x0000_s1026" o:spt="176" type="#_x0000_t176" style="position:absolute;left:0pt;margin-left:16.3pt;margin-top:7.85pt;height:286.8pt;width:390pt;z-index:251658240;mso-width-relative:page;mso-height-relative:page;" fillcolor="#FFFFFF" filled="t" stroked="t" coordsize="21600,21600" o:gfxdata="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XMSE32QAAAAkBAAAPAAAAAAAAAAEAIAAAACIAAABkcnMvZG93bnJldi54&#10;bWxQSwECFAAUAAAACACHTuJAubho8jICAABrBAAADgAAAAAAAAABACAAAAAoAQAAZHJzL2Uyb0Rv&#10;Yy54bWxQSwUGAAAAAAYABgBZAQAAzAUAAAAA&#10;">
                <v:fill on="t" focussize="0,0"/>
                <v:stroke color="#000000" miterlimit="8" joinstyle="miter" dashstyle="dash"/>
                <v:imagedata o:title=""/>
                <o:lock v:ext="edit" aspectratio="f"/>
                <v:textbox>
                  <w:txbxContent>
                    <w:p>
                      <w:pPr>
                        <w:rPr>
                          <w:b/>
                          <w:bCs/>
                          <w:sz w:val="21"/>
                          <w:szCs w:val="21"/>
                        </w:rPr>
                      </w:pPr>
                      <w:r>
                        <w:rPr>
                          <w:rFonts w:hint="eastAsia" w:cs="宋体"/>
                          <w:b/>
                          <w:bCs/>
                          <w:sz w:val="21"/>
                          <w:szCs w:val="21"/>
                        </w:rPr>
                        <w:t>提示：请将法定代表人身份证复印件（正反面）粘贴在此处，并加盖公章。</w:t>
                      </w:r>
                    </w:p>
                    <w:p>
                      <w:pPr>
                        <w:rPr>
                          <w:b/>
                          <w:bCs/>
                          <w:sz w:val="22"/>
                          <w:szCs w:val="22"/>
                        </w:rPr>
                      </w:pPr>
                    </w:p>
                  </w:txbxContent>
                </v:textbox>
              </v:shape>
            </w:pict>
          </mc:Fallback>
        </mc:AlternateContent>
      </w:r>
    </w:p>
    <w:p>
      <w:pPr>
        <w:spacing w:line="360" w:lineRule="auto"/>
        <w:rPr>
          <w:rFonts w:ascii="宋体" w:hAnsi="宋体"/>
          <w:b/>
          <w:bCs/>
          <w:sz w:val="21"/>
          <w:szCs w:val="21"/>
        </w:rPr>
      </w:pPr>
    </w:p>
    <w:p>
      <w:pPr>
        <w:spacing w:line="360" w:lineRule="auto"/>
        <w:rPr>
          <w:rFonts w:ascii="宋体" w:hAnsi="宋体"/>
          <w:sz w:val="21"/>
          <w:szCs w:val="21"/>
        </w:rPr>
      </w:pPr>
    </w:p>
    <w:p>
      <w:pPr>
        <w:spacing w:line="360" w:lineRule="auto"/>
        <w:rPr>
          <w:rFonts w:ascii="宋体" w:hAnsi="宋体"/>
          <w:sz w:val="21"/>
          <w:szCs w:val="21"/>
        </w:rPr>
      </w:pPr>
    </w:p>
    <w:p>
      <w:pPr>
        <w:spacing w:line="360" w:lineRule="auto"/>
        <w:rPr>
          <w:rFonts w:ascii="宋体" w:hAnsi="宋体"/>
          <w:sz w:val="21"/>
          <w:szCs w:val="21"/>
        </w:rPr>
      </w:pPr>
    </w:p>
    <w:p>
      <w:pPr>
        <w:spacing w:line="360" w:lineRule="auto"/>
        <w:rPr>
          <w:rFonts w:ascii="宋体" w:hAnsi="宋体"/>
          <w:sz w:val="21"/>
          <w:szCs w:val="21"/>
        </w:rPr>
      </w:pPr>
    </w:p>
    <w:p>
      <w:pPr>
        <w:spacing w:line="360" w:lineRule="auto"/>
        <w:rPr>
          <w:rFonts w:ascii="宋体" w:hAnsi="宋体"/>
          <w:sz w:val="21"/>
          <w:szCs w:val="21"/>
        </w:rPr>
      </w:pPr>
    </w:p>
    <w:p>
      <w:pPr>
        <w:spacing w:line="360" w:lineRule="auto"/>
        <w:rPr>
          <w:rFonts w:ascii="宋体" w:hAnsi="宋体"/>
          <w:sz w:val="21"/>
          <w:szCs w:val="21"/>
        </w:rPr>
      </w:pPr>
    </w:p>
    <w:p>
      <w:pPr>
        <w:spacing w:line="360" w:lineRule="auto"/>
        <w:rPr>
          <w:rFonts w:ascii="宋体" w:hAnsi="宋体"/>
          <w:sz w:val="21"/>
          <w:szCs w:val="21"/>
        </w:rPr>
      </w:pPr>
    </w:p>
    <w:p>
      <w:pPr>
        <w:spacing w:line="360" w:lineRule="auto"/>
        <w:rPr>
          <w:rFonts w:ascii="宋体" w:hAnsi="宋体"/>
          <w:sz w:val="21"/>
          <w:szCs w:val="21"/>
        </w:rPr>
      </w:pPr>
    </w:p>
    <w:p>
      <w:pPr>
        <w:spacing w:line="360" w:lineRule="auto"/>
        <w:rPr>
          <w:rFonts w:ascii="宋体" w:hAnsi="宋体"/>
          <w:sz w:val="21"/>
          <w:szCs w:val="21"/>
        </w:rPr>
      </w:pPr>
    </w:p>
    <w:p>
      <w:pPr>
        <w:spacing w:line="360" w:lineRule="auto"/>
        <w:rPr>
          <w:rFonts w:ascii="宋体" w:hAnsi="宋体"/>
          <w:sz w:val="21"/>
          <w:szCs w:val="21"/>
        </w:rPr>
      </w:pPr>
    </w:p>
    <w:p>
      <w:pPr>
        <w:spacing w:line="360" w:lineRule="auto"/>
        <w:rPr>
          <w:rFonts w:ascii="宋体" w:hAnsi="宋体"/>
          <w:sz w:val="21"/>
          <w:szCs w:val="21"/>
        </w:rPr>
      </w:pPr>
    </w:p>
    <w:p>
      <w:pPr>
        <w:spacing w:line="360" w:lineRule="auto"/>
        <w:rPr>
          <w:rFonts w:ascii="宋体" w:hAnsi="宋体"/>
          <w:sz w:val="21"/>
          <w:szCs w:val="21"/>
        </w:rPr>
      </w:pPr>
    </w:p>
    <w:p>
      <w:pPr>
        <w:spacing w:line="360" w:lineRule="auto"/>
        <w:rPr>
          <w:rFonts w:ascii="宋体" w:hAnsi="宋体"/>
          <w:sz w:val="21"/>
          <w:szCs w:val="21"/>
        </w:rPr>
      </w:pPr>
    </w:p>
    <w:p>
      <w:pPr>
        <w:spacing w:line="360" w:lineRule="auto"/>
        <w:rPr>
          <w:rFonts w:ascii="宋体" w:hAnsi="宋体"/>
          <w:sz w:val="21"/>
          <w:szCs w:val="21"/>
        </w:rPr>
      </w:pPr>
    </w:p>
    <w:p>
      <w:pPr>
        <w:spacing w:line="360" w:lineRule="auto"/>
        <w:rPr>
          <w:rFonts w:ascii="宋体" w:hAnsi="宋体"/>
          <w:sz w:val="21"/>
          <w:szCs w:val="21"/>
        </w:rPr>
      </w:pPr>
    </w:p>
    <w:p>
      <w:pPr>
        <w:spacing w:line="360" w:lineRule="auto"/>
        <w:rPr>
          <w:rFonts w:ascii="宋体" w:hAnsi="宋体"/>
          <w:sz w:val="21"/>
          <w:szCs w:val="21"/>
        </w:rPr>
      </w:pPr>
      <w:r>
        <w:rPr>
          <w:rFonts w:ascii="宋体" w:hAnsi="宋体"/>
          <w:sz w:val="21"/>
          <w:szCs w:val="21"/>
        </w:rPr>
        <w:t>投标人（盖章）：</w:t>
      </w:r>
    </w:p>
    <w:p>
      <w:pPr>
        <w:spacing w:line="360" w:lineRule="auto"/>
        <w:rPr>
          <w:rFonts w:ascii="宋体" w:hAnsi="宋体"/>
          <w:sz w:val="21"/>
          <w:szCs w:val="21"/>
        </w:rPr>
      </w:pPr>
      <w:r>
        <w:rPr>
          <w:rFonts w:ascii="宋体" w:hAnsi="宋体"/>
          <w:sz w:val="21"/>
          <w:szCs w:val="21"/>
        </w:rPr>
        <w:t>地址：</w:t>
      </w:r>
    </w:p>
    <w:p>
      <w:pPr>
        <w:spacing w:line="360" w:lineRule="auto"/>
        <w:rPr>
          <w:rFonts w:ascii="宋体" w:hAnsi="宋体"/>
          <w:sz w:val="21"/>
          <w:szCs w:val="21"/>
        </w:rPr>
      </w:pPr>
    </w:p>
    <w:p>
      <w:pPr>
        <w:spacing w:line="360" w:lineRule="auto"/>
        <w:rPr>
          <w:rFonts w:ascii="宋体" w:hAnsi="宋体"/>
          <w:sz w:val="21"/>
          <w:szCs w:val="21"/>
        </w:rPr>
      </w:pPr>
      <w:r>
        <w:rPr>
          <w:rFonts w:ascii="宋体" w:hAnsi="宋体"/>
          <w:sz w:val="21"/>
          <w:szCs w:val="21"/>
        </w:rPr>
        <w:t>法定代表人（签字或签章）：</w:t>
      </w:r>
    </w:p>
    <w:p>
      <w:pPr>
        <w:jc w:val="both"/>
        <w:rPr>
          <w:rFonts w:ascii="宋体" w:hAnsi="宋体"/>
          <w:b/>
          <w:bCs/>
          <w:sz w:val="21"/>
          <w:szCs w:val="21"/>
        </w:rPr>
      </w:pPr>
      <w:r>
        <w:rPr>
          <w:rFonts w:ascii="宋体" w:hAnsi="宋体"/>
          <w:sz w:val="21"/>
          <w:szCs w:val="21"/>
        </w:rPr>
        <w:t>职务：</w:t>
      </w:r>
    </w:p>
    <w:p>
      <w:pPr>
        <w:jc w:val="both"/>
        <w:rPr>
          <w:rFonts w:ascii="宋体" w:hAnsi="宋体"/>
          <w:b/>
          <w:bCs/>
          <w:sz w:val="21"/>
          <w:szCs w:val="21"/>
        </w:rPr>
      </w:pPr>
      <w:r>
        <w:rPr>
          <w:rFonts w:ascii="宋体" w:hAnsi="宋体"/>
          <w:b/>
          <w:bCs/>
          <w:sz w:val="21"/>
          <w:szCs w:val="21"/>
        </w:rPr>
        <w:br w:type="page"/>
      </w:r>
      <w:r>
        <w:rPr>
          <w:rFonts w:ascii="宋体" w:hAnsi="宋体"/>
          <w:b/>
          <w:bCs/>
          <w:sz w:val="21"/>
          <w:szCs w:val="21"/>
        </w:rPr>
        <w:t>附件2</w:t>
      </w:r>
    </w:p>
    <w:p>
      <w:pPr>
        <w:pStyle w:val="12"/>
        <w:spacing w:line="360" w:lineRule="auto"/>
        <w:jc w:val="center"/>
        <w:rPr>
          <w:rFonts w:hAnsi="宋体"/>
          <w:b/>
          <w:bCs/>
        </w:rPr>
      </w:pPr>
    </w:p>
    <w:p>
      <w:pPr>
        <w:pStyle w:val="12"/>
        <w:spacing w:line="360" w:lineRule="auto"/>
        <w:jc w:val="center"/>
        <w:rPr>
          <w:rFonts w:hAnsi="宋体"/>
          <w:b/>
          <w:bCs/>
        </w:rPr>
      </w:pPr>
      <w:r>
        <w:rPr>
          <w:rFonts w:hAnsi="宋体"/>
          <w:b/>
          <w:bCs/>
        </w:rPr>
        <w:t>法定代表人授权书</w:t>
      </w:r>
    </w:p>
    <w:p>
      <w:pPr>
        <w:pStyle w:val="12"/>
        <w:spacing w:line="360" w:lineRule="auto"/>
        <w:rPr>
          <w:rFonts w:hAnsi="宋体"/>
        </w:rPr>
      </w:pPr>
    </w:p>
    <w:p>
      <w:pPr>
        <w:pStyle w:val="12"/>
        <w:spacing w:line="360" w:lineRule="auto"/>
        <w:rPr>
          <w:rFonts w:hAnsi="宋体"/>
          <w:b/>
          <w:bCs/>
        </w:rPr>
      </w:pPr>
      <w:r>
        <w:rPr>
          <w:rFonts w:hAnsi="宋体"/>
        </w:rPr>
        <w:t>致：</w:t>
      </w:r>
      <w:r>
        <w:rPr>
          <w:rFonts w:hint="eastAsia" w:hAnsi="宋体"/>
          <w:b/>
          <w:bCs/>
        </w:rPr>
        <w:t>广东华伦招标有限公司</w:t>
      </w:r>
    </w:p>
    <w:p>
      <w:pPr>
        <w:pStyle w:val="12"/>
        <w:spacing w:line="360" w:lineRule="auto"/>
        <w:ind w:firstLine="420" w:firstLineChars="200"/>
        <w:rPr>
          <w:rFonts w:hAnsi="宋体"/>
        </w:rPr>
      </w:pPr>
      <w:r>
        <w:rPr>
          <w:rFonts w:hAnsi="宋体"/>
        </w:rPr>
        <w:t>本授权书声明：</w:t>
      </w:r>
      <w:r>
        <w:rPr>
          <w:rFonts w:hAnsi="宋体"/>
          <w:u w:val="single"/>
        </w:rPr>
        <w:t xml:space="preserve">           </w:t>
      </w:r>
      <w:r>
        <w:rPr>
          <w:rFonts w:hAnsi="宋体"/>
        </w:rPr>
        <w:t>是注册于</w:t>
      </w:r>
      <w:r>
        <w:rPr>
          <w:rFonts w:hAnsi="宋体"/>
          <w:i/>
          <w:iCs/>
          <w:u w:val="single"/>
        </w:rPr>
        <w:t>（国家或地区）</w:t>
      </w:r>
      <w:r>
        <w:rPr>
          <w:rFonts w:hAnsi="宋体"/>
        </w:rPr>
        <w:t>的</w:t>
      </w:r>
      <w:r>
        <w:rPr>
          <w:rFonts w:hAnsi="宋体"/>
          <w:i/>
          <w:iCs/>
          <w:u w:val="single"/>
        </w:rPr>
        <w:t>（投标人名称）</w:t>
      </w:r>
      <w:r>
        <w:rPr>
          <w:rFonts w:hAnsi="宋体"/>
        </w:rPr>
        <w:t>的法定代表人，现任</w:t>
      </w:r>
      <w:r>
        <w:rPr>
          <w:rFonts w:hAnsi="宋体"/>
          <w:u w:val="single"/>
        </w:rPr>
        <w:t xml:space="preserve">       </w:t>
      </w:r>
      <w:r>
        <w:rPr>
          <w:rFonts w:hAnsi="宋体"/>
        </w:rPr>
        <w:t>职务，有效证件号码：</w:t>
      </w:r>
      <w:r>
        <w:rPr>
          <w:rFonts w:hAnsi="宋体"/>
          <w:u w:val="single"/>
        </w:rPr>
        <w:t xml:space="preserve">                    </w:t>
      </w:r>
      <w:r>
        <w:rPr>
          <w:rFonts w:hAnsi="宋体"/>
        </w:rPr>
        <w:t>。现授权</w:t>
      </w:r>
      <w:r>
        <w:rPr>
          <w:rFonts w:hAnsi="宋体"/>
          <w:i/>
          <w:iCs/>
          <w:u w:val="single"/>
        </w:rPr>
        <w:t>（姓名、职务）</w:t>
      </w:r>
      <w:r>
        <w:rPr>
          <w:rFonts w:hAnsi="宋体"/>
        </w:rPr>
        <w:t>作为我公司的全权代理人，就</w:t>
      </w:r>
      <w:r>
        <w:rPr>
          <w:rFonts w:hAnsi="宋体"/>
          <w:u w:val="single"/>
        </w:rPr>
        <w:t xml:space="preserve">                   </w:t>
      </w:r>
      <w:r>
        <w:rPr>
          <w:rFonts w:hAnsi="宋体"/>
        </w:rPr>
        <w:t>项目采购（项目编号：</w:t>
      </w:r>
      <w:r>
        <w:rPr>
          <w:rFonts w:hAnsi="宋体"/>
          <w:u w:val="single"/>
        </w:rPr>
        <w:t xml:space="preserve">            </w:t>
      </w:r>
      <w:r>
        <w:rPr>
          <w:rFonts w:hAnsi="宋体"/>
        </w:rPr>
        <w:t>）的投标和合同执行，以我方的名义处理一切与之有关的事宜。</w:t>
      </w:r>
    </w:p>
    <w:p>
      <w:pPr>
        <w:spacing w:line="360" w:lineRule="auto"/>
        <w:ind w:firstLine="420" w:firstLineChars="200"/>
        <w:rPr>
          <w:rFonts w:ascii="宋体" w:hAnsi="宋体"/>
          <w:sz w:val="21"/>
          <w:szCs w:val="21"/>
        </w:rPr>
      </w:pPr>
      <w:r>
        <w:rPr>
          <w:rFonts w:ascii="宋体" w:hAnsi="宋体"/>
          <w:sz w:val="21"/>
          <w:szCs w:val="21"/>
        </w:rPr>
        <w:t>本授权书于</w:t>
      </w:r>
      <w:r>
        <w:rPr>
          <w:rFonts w:ascii="宋体" w:hAnsi="宋体"/>
          <w:sz w:val="21"/>
          <w:szCs w:val="21"/>
          <w:u w:val="single"/>
        </w:rPr>
        <w:t xml:space="preserve">     </w:t>
      </w:r>
      <w:r>
        <w:rPr>
          <w:rFonts w:ascii="宋体" w:hAnsi="宋体"/>
          <w:sz w:val="21"/>
          <w:szCs w:val="21"/>
        </w:rPr>
        <w:t>年</w:t>
      </w:r>
      <w:r>
        <w:rPr>
          <w:rFonts w:ascii="宋体" w:hAnsi="宋体"/>
          <w:sz w:val="21"/>
          <w:szCs w:val="21"/>
          <w:u w:val="single"/>
        </w:rPr>
        <w:t xml:space="preserve">     </w:t>
      </w:r>
      <w:r>
        <w:rPr>
          <w:rFonts w:ascii="宋体" w:hAnsi="宋体"/>
          <w:sz w:val="21"/>
          <w:szCs w:val="21"/>
        </w:rPr>
        <w:t>月</w:t>
      </w:r>
      <w:r>
        <w:rPr>
          <w:rFonts w:ascii="宋体" w:hAnsi="宋体"/>
          <w:sz w:val="21"/>
          <w:szCs w:val="21"/>
          <w:u w:val="single"/>
        </w:rPr>
        <w:t xml:space="preserve">     </w:t>
      </w:r>
      <w:r>
        <w:rPr>
          <w:rFonts w:ascii="宋体" w:hAnsi="宋体"/>
          <w:sz w:val="21"/>
          <w:szCs w:val="21"/>
        </w:rPr>
        <w:t>日签字生效，特此声明。</w:t>
      </w:r>
    </w:p>
    <w:p>
      <w:pPr>
        <w:spacing w:line="360" w:lineRule="auto"/>
        <w:rPr>
          <w:rFonts w:ascii="宋体" w:hAnsi="宋体"/>
          <w:sz w:val="21"/>
          <w:szCs w:val="21"/>
        </w:rPr>
      </w:pPr>
      <w:r>
        <mc:AlternateContent>
          <mc:Choice Requires="wps">
            <w:drawing>
              <wp:anchor distT="0" distB="0" distL="114300" distR="114300" simplePos="0" relativeHeight="251659264" behindDoc="0" locked="0" layoutInCell="1" allowOverlap="1">
                <wp:simplePos x="0" y="0"/>
                <wp:positionH relativeFrom="column">
                  <wp:posOffset>457835</wp:posOffset>
                </wp:positionH>
                <wp:positionV relativeFrom="paragraph">
                  <wp:posOffset>121285</wp:posOffset>
                </wp:positionV>
                <wp:extent cx="4953000" cy="1858010"/>
                <wp:effectExtent l="4445" t="4445" r="14605" b="23495"/>
                <wp:wrapNone/>
                <wp:docPr id="1" name="AutoShape 4"/>
                <wp:cNvGraphicFramePr/>
                <a:graphic xmlns:a="http://schemas.openxmlformats.org/drawingml/2006/main">
                  <a:graphicData uri="http://schemas.microsoft.com/office/word/2010/wordprocessingShape">
                    <wps:wsp>
                      <wps:cNvSpPr>
                        <a:spLocks noChangeArrowheads="1"/>
                      </wps:cNvSpPr>
                      <wps:spPr bwMode="auto">
                        <a:xfrm>
                          <a:off x="0" y="0"/>
                          <a:ext cx="4953000" cy="1858010"/>
                        </a:xfrm>
                        <a:prstGeom prst="flowChartAlternateProcess">
                          <a:avLst/>
                        </a:prstGeom>
                        <a:solidFill>
                          <a:srgbClr val="FFFFFF"/>
                        </a:solidFill>
                        <a:ln w="9525">
                          <a:solidFill>
                            <a:srgbClr val="000000"/>
                          </a:solidFill>
                          <a:prstDash val="dash"/>
                          <a:miter lim="800000"/>
                        </a:ln>
                        <a:effectLst/>
                      </wps:spPr>
                      <wps:txbx>
                        <w:txbxContent>
                          <w:p>
                            <w:pPr>
                              <w:rPr>
                                <w:b/>
                                <w:bCs/>
                                <w:sz w:val="21"/>
                                <w:szCs w:val="21"/>
                              </w:rPr>
                            </w:pPr>
                            <w:r>
                              <w:rPr>
                                <w:rFonts w:hint="eastAsia" w:cs="宋体"/>
                                <w:b/>
                                <w:bCs/>
                                <w:sz w:val="21"/>
                                <w:szCs w:val="21"/>
                              </w:rPr>
                              <w:t>提示：请将授权代表身份证复印件（正反面）粘贴在此处，并加盖公章。</w:t>
                            </w:r>
                          </w:p>
                          <w:p>
                            <w:pPr>
                              <w:rPr>
                                <w:b/>
                                <w:bCs/>
                                <w:sz w:val="21"/>
                                <w:szCs w:val="21"/>
                              </w:rPr>
                            </w:pPr>
                          </w:p>
                        </w:txbxContent>
                      </wps:txbx>
                      <wps:bodyPr rot="0" vert="horz" wrap="square" lIns="91440" tIns="45720" rIns="91440" bIns="45720" anchor="t" anchorCtr="0" upright="1">
                        <a:noAutofit/>
                      </wps:bodyPr>
                    </wps:wsp>
                  </a:graphicData>
                </a:graphic>
              </wp:anchor>
            </w:drawing>
          </mc:Choice>
          <mc:Fallback>
            <w:pict>
              <v:shape id="AutoShape 4" o:spid="_x0000_s1026" o:spt="176" type="#_x0000_t176" style="position:absolute;left:0pt;margin-left:36.05pt;margin-top:9.55pt;height:146.3pt;width:390pt;z-index:251659264;mso-width-relative:page;mso-height-relative:page;" fillcolor="#FFFFFF" filled="t" stroked="t" coordsize="21600,21600" o:gfxdata="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wkeE2QAAAAkBAAAPAAAAAAAAAAEAIAAAACIAAABkcnMvZG93bnJldi54bWxQ&#10;SwECFAAUAAAACACHTuJAJFFrQS8CAABrBAAADgAAAAAAAAABACAAAAAoAQAAZHJzL2Uyb0RvYy54&#10;bWxQSwUGAAAAAAYABgBZAQAAyQUAAAAA&#10;">
                <v:fill on="t" focussize="0,0"/>
                <v:stroke color="#000000" miterlimit="8" joinstyle="miter" dashstyle="dash"/>
                <v:imagedata o:title=""/>
                <o:lock v:ext="edit" aspectratio="f"/>
                <v:textbox>
                  <w:txbxContent>
                    <w:p>
                      <w:pPr>
                        <w:rPr>
                          <w:b/>
                          <w:bCs/>
                          <w:sz w:val="21"/>
                          <w:szCs w:val="21"/>
                        </w:rPr>
                      </w:pPr>
                      <w:r>
                        <w:rPr>
                          <w:rFonts w:hint="eastAsia" w:cs="宋体"/>
                          <w:b/>
                          <w:bCs/>
                          <w:sz w:val="21"/>
                          <w:szCs w:val="21"/>
                        </w:rPr>
                        <w:t>提示：请将授权代表身份证复印件（正反面）粘贴在此处，并加盖公章。</w:t>
                      </w:r>
                    </w:p>
                    <w:p>
                      <w:pPr>
                        <w:rPr>
                          <w:b/>
                          <w:bCs/>
                          <w:sz w:val="21"/>
                          <w:szCs w:val="21"/>
                        </w:rPr>
                      </w:pPr>
                    </w:p>
                  </w:txbxContent>
                </v:textbox>
              </v:shape>
            </w:pict>
          </mc:Fallback>
        </mc:AlternateContent>
      </w:r>
    </w:p>
    <w:p>
      <w:pPr>
        <w:spacing w:line="360" w:lineRule="auto"/>
        <w:rPr>
          <w:rFonts w:ascii="宋体" w:hAnsi="宋体"/>
          <w:b/>
          <w:bCs/>
          <w:sz w:val="21"/>
          <w:szCs w:val="21"/>
        </w:rPr>
      </w:pPr>
    </w:p>
    <w:p>
      <w:pPr>
        <w:spacing w:line="360" w:lineRule="auto"/>
        <w:rPr>
          <w:rFonts w:ascii="宋体" w:hAnsi="宋体"/>
          <w:sz w:val="21"/>
          <w:szCs w:val="21"/>
        </w:rPr>
      </w:pPr>
    </w:p>
    <w:p>
      <w:pPr>
        <w:spacing w:line="360" w:lineRule="auto"/>
        <w:rPr>
          <w:rFonts w:ascii="宋体" w:hAnsi="宋体"/>
          <w:sz w:val="21"/>
          <w:szCs w:val="21"/>
        </w:rPr>
      </w:pPr>
    </w:p>
    <w:p>
      <w:pPr>
        <w:spacing w:line="360" w:lineRule="auto"/>
        <w:rPr>
          <w:rFonts w:ascii="宋体" w:hAnsi="宋体"/>
          <w:sz w:val="21"/>
          <w:szCs w:val="21"/>
        </w:rPr>
      </w:pPr>
    </w:p>
    <w:p>
      <w:pPr>
        <w:spacing w:line="360" w:lineRule="auto"/>
        <w:rPr>
          <w:rFonts w:ascii="宋体" w:hAnsi="宋体"/>
          <w:sz w:val="21"/>
          <w:szCs w:val="21"/>
        </w:rPr>
      </w:pPr>
    </w:p>
    <w:p>
      <w:pPr>
        <w:spacing w:line="360" w:lineRule="auto"/>
        <w:rPr>
          <w:rFonts w:ascii="宋体" w:hAnsi="宋体"/>
          <w:sz w:val="21"/>
          <w:szCs w:val="21"/>
        </w:rPr>
      </w:pPr>
    </w:p>
    <w:p>
      <w:pPr>
        <w:spacing w:line="360" w:lineRule="auto"/>
        <w:rPr>
          <w:rFonts w:ascii="宋体" w:hAnsi="宋体"/>
          <w:sz w:val="21"/>
          <w:szCs w:val="21"/>
        </w:rPr>
      </w:pPr>
    </w:p>
    <w:p>
      <w:pPr>
        <w:spacing w:line="360" w:lineRule="auto"/>
        <w:rPr>
          <w:rFonts w:ascii="宋体" w:hAnsi="宋体"/>
          <w:sz w:val="21"/>
          <w:szCs w:val="21"/>
        </w:rPr>
      </w:pPr>
    </w:p>
    <w:p>
      <w:pPr>
        <w:spacing w:line="360" w:lineRule="auto"/>
        <w:rPr>
          <w:rFonts w:ascii="宋体" w:hAnsi="宋体"/>
          <w:sz w:val="21"/>
          <w:szCs w:val="21"/>
        </w:rPr>
      </w:pPr>
      <w:r>
        <w:rPr>
          <w:rFonts w:ascii="宋体" w:hAnsi="宋体"/>
          <w:sz w:val="21"/>
          <w:szCs w:val="21"/>
        </w:rPr>
        <w:t>投标人（盖章）：</w:t>
      </w:r>
    </w:p>
    <w:p>
      <w:pPr>
        <w:spacing w:line="360" w:lineRule="auto"/>
        <w:rPr>
          <w:rFonts w:ascii="宋体" w:hAnsi="宋体"/>
          <w:sz w:val="21"/>
          <w:szCs w:val="21"/>
        </w:rPr>
      </w:pPr>
      <w:r>
        <w:rPr>
          <w:rFonts w:ascii="宋体" w:hAnsi="宋体"/>
          <w:sz w:val="21"/>
          <w:szCs w:val="21"/>
        </w:rPr>
        <w:t>地址：</w:t>
      </w:r>
    </w:p>
    <w:p>
      <w:pPr>
        <w:tabs>
          <w:tab w:val="left" w:pos="3780"/>
        </w:tabs>
        <w:spacing w:line="360" w:lineRule="auto"/>
        <w:rPr>
          <w:rFonts w:ascii="宋体" w:hAnsi="宋体"/>
          <w:sz w:val="21"/>
          <w:szCs w:val="21"/>
        </w:rPr>
      </w:pPr>
      <w:r>
        <w:rPr>
          <w:rFonts w:ascii="宋体" w:hAnsi="宋体"/>
          <w:sz w:val="21"/>
          <w:szCs w:val="21"/>
        </w:rPr>
        <w:t>法定代表人（</w:t>
      </w:r>
      <w:r>
        <w:rPr>
          <w:rFonts w:ascii="宋体" w:hAnsi="宋体"/>
          <w:spacing w:val="20"/>
          <w:sz w:val="21"/>
          <w:szCs w:val="21"/>
        </w:rPr>
        <w:t>签字或签章</w:t>
      </w:r>
      <w:r>
        <w:rPr>
          <w:rFonts w:ascii="宋体" w:hAnsi="宋体"/>
          <w:sz w:val="21"/>
          <w:szCs w:val="21"/>
        </w:rPr>
        <w:t>）：</w:t>
      </w:r>
    </w:p>
    <w:p>
      <w:pPr>
        <w:tabs>
          <w:tab w:val="left" w:pos="3885"/>
        </w:tabs>
        <w:spacing w:line="360" w:lineRule="auto"/>
        <w:rPr>
          <w:rFonts w:ascii="宋体" w:hAnsi="宋体"/>
          <w:sz w:val="21"/>
          <w:szCs w:val="21"/>
        </w:rPr>
      </w:pPr>
      <w:r>
        <w:rPr>
          <w:rFonts w:ascii="宋体" w:hAnsi="宋体"/>
          <w:sz w:val="21"/>
          <w:szCs w:val="21"/>
        </w:rPr>
        <w:t>职务：</w:t>
      </w:r>
    </w:p>
    <w:p>
      <w:pPr>
        <w:spacing w:line="360" w:lineRule="auto"/>
        <w:rPr>
          <w:rFonts w:ascii="宋体" w:hAnsi="宋体"/>
          <w:sz w:val="21"/>
          <w:szCs w:val="21"/>
        </w:rPr>
      </w:pPr>
      <w:r>
        <w:rPr>
          <w:rFonts w:ascii="宋体" w:hAnsi="宋体"/>
          <w:spacing w:val="20"/>
          <w:sz w:val="21"/>
          <w:szCs w:val="21"/>
        </w:rPr>
        <w:t>被授权人（签字）</w:t>
      </w:r>
      <w:r>
        <w:rPr>
          <w:rFonts w:ascii="宋体" w:hAnsi="宋体"/>
          <w:sz w:val="21"/>
          <w:szCs w:val="21"/>
        </w:rPr>
        <w:t>：</w:t>
      </w:r>
    </w:p>
    <w:p>
      <w:pPr>
        <w:tabs>
          <w:tab w:val="left" w:pos="2041"/>
        </w:tabs>
        <w:spacing w:line="360" w:lineRule="auto"/>
        <w:rPr>
          <w:rFonts w:ascii="宋体" w:hAnsi="宋体"/>
          <w:sz w:val="21"/>
          <w:szCs w:val="21"/>
        </w:rPr>
      </w:pPr>
      <w:r>
        <w:rPr>
          <w:rFonts w:ascii="宋体" w:hAnsi="宋体"/>
          <w:sz w:val="21"/>
          <w:szCs w:val="21"/>
        </w:rPr>
        <w:t>职务：</w:t>
      </w:r>
    </w:p>
    <w:p>
      <w:pPr>
        <w:tabs>
          <w:tab w:val="left" w:pos="2041"/>
        </w:tabs>
        <w:spacing w:line="360" w:lineRule="auto"/>
        <w:rPr>
          <w:rFonts w:ascii="宋体" w:hAnsi="宋体"/>
          <w:sz w:val="21"/>
          <w:szCs w:val="21"/>
        </w:rPr>
      </w:pPr>
    </w:p>
    <w:p>
      <w:pPr>
        <w:tabs>
          <w:tab w:val="left" w:pos="2041"/>
        </w:tabs>
        <w:spacing w:line="360" w:lineRule="auto"/>
        <w:rPr>
          <w:rFonts w:ascii="宋体" w:hAnsi="宋体"/>
          <w:sz w:val="21"/>
          <w:szCs w:val="21"/>
        </w:rPr>
      </w:pPr>
    </w:p>
    <w:p>
      <w:pPr>
        <w:spacing w:line="360" w:lineRule="auto"/>
        <w:rPr>
          <w:rFonts w:ascii="宋体" w:hAnsi="宋体"/>
          <w:sz w:val="21"/>
          <w:szCs w:val="21"/>
        </w:rPr>
      </w:pPr>
      <w:r>
        <w:rPr>
          <w:rFonts w:ascii="宋体" w:hAnsi="宋体"/>
          <w:sz w:val="21"/>
          <w:szCs w:val="21"/>
        </w:rPr>
        <w:t>说明：</w:t>
      </w:r>
    </w:p>
    <w:p>
      <w:pPr>
        <w:spacing w:line="360" w:lineRule="auto"/>
        <w:rPr>
          <w:rFonts w:ascii="宋体" w:hAnsi="宋体"/>
          <w:sz w:val="21"/>
          <w:szCs w:val="21"/>
        </w:rPr>
      </w:pPr>
      <w:r>
        <w:rPr>
          <w:rFonts w:ascii="宋体" w:hAnsi="宋体"/>
          <w:sz w:val="21"/>
          <w:szCs w:val="21"/>
        </w:rPr>
        <w:t>1.</w:t>
      </w:r>
      <w:r>
        <w:rPr>
          <w:rFonts w:ascii="宋体" w:hAnsi="宋体"/>
          <w:sz w:val="21"/>
          <w:szCs w:val="21"/>
        </w:rPr>
        <w:tab/>
      </w:r>
      <w:r>
        <w:rPr>
          <w:rFonts w:ascii="宋体" w:hAnsi="宋体"/>
          <w:sz w:val="21"/>
          <w:szCs w:val="21"/>
        </w:rPr>
        <w:t>法定代表人亲自签署“投标函”的，则无需提交本表。</w:t>
      </w:r>
    </w:p>
    <w:p>
      <w:pPr>
        <w:spacing w:line="360" w:lineRule="auto"/>
        <w:rPr>
          <w:rFonts w:ascii="宋体" w:hAnsi="宋体"/>
          <w:sz w:val="21"/>
          <w:szCs w:val="21"/>
        </w:rPr>
      </w:pPr>
      <w:r>
        <w:rPr>
          <w:rFonts w:ascii="宋体" w:hAnsi="宋体"/>
          <w:sz w:val="21"/>
          <w:szCs w:val="21"/>
        </w:rPr>
        <w:t>2.</w:t>
      </w:r>
      <w:r>
        <w:rPr>
          <w:rFonts w:ascii="宋体" w:hAnsi="宋体"/>
          <w:sz w:val="21"/>
          <w:szCs w:val="21"/>
        </w:rPr>
        <w:tab/>
      </w:r>
      <w:r>
        <w:rPr>
          <w:rFonts w:ascii="宋体" w:hAnsi="宋体"/>
          <w:sz w:val="21"/>
          <w:szCs w:val="21"/>
        </w:rPr>
        <w:t>“投标函”由委托代理人签署的，须提交本授权委托证明书（要加盖单位公章及法定代表人的亲笔签字或签章，缺一不可）。</w:t>
      </w:r>
    </w:p>
    <w:p>
      <w:pPr>
        <w:jc w:val="both"/>
        <w:rPr>
          <w:rFonts w:ascii="宋体" w:hAnsi="宋体"/>
        </w:rPr>
      </w:pPr>
      <w:r>
        <w:rPr>
          <w:rFonts w:ascii="宋体" w:hAnsi="宋体"/>
          <w:sz w:val="21"/>
          <w:szCs w:val="21"/>
        </w:rPr>
        <w:t>4.</w:t>
      </w:r>
      <w:r>
        <w:rPr>
          <w:rFonts w:ascii="宋体" w:hAnsi="宋体"/>
          <w:sz w:val="21"/>
          <w:szCs w:val="21"/>
        </w:rPr>
        <w:tab/>
      </w:r>
      <w:r>
        <w:rPr>
          <w:rFonts w:ascii="宋体" w:hAnsi="宋体"/>
          <w:sz w:val="21"/>
          <w:szCs w:val="21"/>
        </w:rPr>
        <w:t>非法人投标的，负责人指《营业执照》上载明的负责人</w:t>
      </w:r>
      <w:r>
        <w:rPr>
          <w:rFonts w:ascii="宋体" w:hAnsi="宋体"/>
        </w:rPr>
        <w:t>。</w:t>
      </w:r>
    </w:p>
    <w:p>
      <w:pPr>
        <w:spacing w:line="360" w:lineRule="auto"/>
        <w:jc w:val="both"/>
        <w:rPr>
          <w:rFonts w:ascii="宋体" w:hAnsi="宋体"/>
          <w:b/>
          <w:bCs/>
          <w:sz w:val="21"/>
          <w:szCs w:val="21"/>
        </w:rPr>
      </w:pPr>
      <w:r>
        <w:rPr>
          <w:rFonts w:ascii="宋体" w:hAnsi="宋体"/>
        </w:rPr>
        <w:br w:type="page"/>
      </w:r>
      <w:r>
        <w:rPr>
          <w:rFonts w:ascii="宋体" w:hAnsi="宋体"/>
          <w:b/>
          <w:bCs/>
          <w:sz w:val="21"/>
          <w:szCs w:val="21"/>
        </w:rPr>
        <w:t>附件3</w:t>
      </w:r>
    </w:p>
    <w:p>
      <w:pPr>
        <w:spacing w:line="360" w:lineRule="auto"/>
        <w:jc w:val="both"/>
        <w:rPr>
          <w:rFonts w:ascii="宋体" w:hAnsi="宋体"/>
          <w:sz w:val="21"/>
          <w:szCs w:val="21"/>
        </w:rPr>
      </w:pPr>
      <w:r>
        <w:rPr>
          <w:rFonts w:ascii="宋体" w:hAnsi="宋体"/>
          <w:sz w:val="21"/>
          <w:szCs w:val="21"/>
        </w:rPr>
        <w:t>财务报表</w:t>
      </w:r>
    </w:p>
    <w:p>
      <w:pPr>
        <w:spacing w:line="360" w:lineRule="auto"/>
        <w:ind w:firstLine="420" w:firstLineChars="200"/>
        <w:jc w:val="both"/>
        <w:rPr>
          <w:rFonts w:ascii="宋体" w:hAnsi="宋体"/>
          <w:sz w:val="21"/>
          <w:szCs w:val="21"/>
        </w:rPr>
      </w:pPr>
      <w:r>
        <w:rPr>
          <w:rFonts w:ascii="宋体" w:hAnsi="宋体"/>
          <w:sz w:val="21"/>
          <w:szCs w:val="21"/>
        </w:rPr>
        <w:t>提供201</w:t>
      </w:r>
      <w:r>
        <w:rPr>
          <w:rFonts w:hint="eastAsia" w:ascii="宋体" w:hAnsi="宋体"/>
          <w:sz w:val="21"/>
          <w:szCs w:val="21"/>
        </w:rPr>
        <w:t>7</w:t>
      </w:r>
      <w:r>
        <w:rPr>
          <w:rFonts w:ascii="宋体" w:hAnsi="宋体"/>
          <w:sz w:val="21"/>
          <w:szCs w:val="21"/>
        </w:rPr>
        <w:t>、201</w:t>
      </w:r>
      <w:r>
        <w:rPr>
          <w:rFonts w:hint="eastAsia" w:ascii="宋体" w:hAnsi="宋体"/>
          <w:sz w:val="21"/>
          <w:szCs w:val="21"/>
        </w:rPr>
        <w:t>8</w:t>
      </w:r>
      <w:r>
        <w:rPr>
          <w:rFonts w:ascii="宋体" w:hAnsi="宋体"/>
          <w:sz w:val="21"/>
          <w:szCs w:val="21"/>
        </w:rPr>
        <w:t>年度的经独立会计师事务所出具的审计报告及经审计的财务报表（财务报表包含资产负债表、利润表及现金流量表等）。</w:t>
      </w:r>
    </w:p>
    <w:p>
      <w:pPr>
        <w:jc w:val="both"/>
        <w:rPr>
          <w:rFonts w:ascii="宋体" w:hAnsi="宋体"/>
          <w:b/>
          <w:bCs/>
          <w:sz w:val="21"/>
          <w:szCs w:val="21"/>
        </w:rPr>
      </w:pPr>
      <w:r>
        <w:rPr>
          <w:rFonts w:ascii="宋体" w:hAnsi="宋体"/>
          <w:sz w:val="21"/>
          <w:szCs w:val="21"/>
        </w:rPr>
        <w:br w:type="page"/>
      </w:r>
      <w:r>
        <w:rPr>
          <w:rFonts w:ascii="宋体" w:hAnsi="宋体"/>
          <w:b/>
          <w:bCs/>
          <w:sz w:val="21"/>
          <w:szCs w:val="21"/>
        </w:rPr>
        <w:t>附件4</w:t>
      </w:r>
    </w:p>
    <w:p>
      <w:pPr>
        <w:jc w:val="both"/>
        <w:rPr>
          <w:rFonts w:ascii="宋体" w:hAnsi="宋体"/>
          <w:b/>
          <w:bCs/>
          <w:sz w:val="21"/>
          <w:szCs w:val="21"/>
        </w:rPr>
      </w:pPr>
    </w:p>
    <w:p>
      <w:pPr>
        <w:spacing w:line="360" w:lineRule="auto"/>
        <w:jc w:val="center"/>
        <w:rPr>
          <w:rFonts w:ascii="宋体" w:hAnsi="宋体"/>
          <w:b/>
          <w:bCs/>
          <w:sz w:val="21"/>
          <w:szCs w:val="21"/>
        </w:rPr>
      </w:pPr>
      <w:r>
        <w:rPr>
          <w:rFonts w:ascii="宋体" w:hAnsi="宋体"/>
          <w:b/>
          <w:bCs/>
          <w:sz w:val="21"/>
          <w:szCs w:val="21"/>
        </w:rPr>
        <w:t>同类项目产品业绩表</w:t>
      </w:r>
    </w:p>
    <w:p>
      <w:pPr>
        <w:rPr>
          <w:rFonts w:ascii="宋体" w:hAnsi="宋体"/>
          <w:sz w:val="21"/>
          <w:szCs w:val="21"/>
        </w:rPr>
      </w:pPr>
    </w:p>
    <w:p>
      <w:pPr>
        <w:rPr>
          <w:rFonts w:ascii="宋体" w:hAnsi="宋体"/>
          <w:sz w:val="21"/>
          <w:szCs w:val="21"/>
          <w:u w:val="single"/>
        </w:rPr>
      </w:pPr>
      <w:r>
        <w:rPr>
          <w:rFonts w:ascii="宋体" w:hAnsi="宋体"/>
          <w:sz w:val="21"/>
          <w:szCs w:val="21"/>
        </w:rPr>
        <w:t>项目编号：                             包号：</w:t>
      </w:r>
    </w:p>
    <w:tbl>
      <w:tblPr>
        <w:tblStyle w:val="23"/>
        <w:tblW w:w="8647"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2012"/>
        <w:gridCol w:w="1843"/>
        <w:gridCol w:w="1417"/>
        <w:gridCol w:w="1452"/>
        <w:gridCol w:w="13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540"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b/>
                <w:bCs/>
                <w:sz w:val="21"/>
                <w:szCs w:val="21"/>
              </w:rPr>
            </w:pPr>
            <w:r>
              <w:rPr>
                <w:rFonts w:ascii="宋体" w:hAnsi="宋体"/>
                <w:b/>
                <w:bCs/>
                <w:sz w:val="21"/>
                <w:szCs w:val="21"/>
              </w:rPr>
              <w:t>序号</w:t>
            </w:r>
          </w:p>
        </w:tc>
        <w:tc>
          <w:tcPr>
            <w:tcW w:w="2012"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b/>
                <w:bCs/>
                <w:sz w:val="21"/>
                <w:szCs w:val="21"/>
              </w:rPr>
            </w:pPr>
            <w:r>
              <w:rPr>
                <w:rFonts w:ascii="宋体" w:hAnsi="宋体"/>
                <w:b/>
                <w:bCs/>
                <w:sz w:val="21"/>
                <w:szCs w:val="21"/>
              </w:rPr>
              <w:t>项目名称</w:t>
            </w:r>
          </w:p>
        </w:tc>
        <w:tc>
          <w:tcPr>
            <w:tcW w:w="1843"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b/>
                <w:bCs/>
                <w:sz w:val="21"/>
                <w:szCs w:val="21"/>
              </w:rPr>
            </w:pPr>
            <w:r>
              <w:rPr>
                <w:rFonts w:ascii="宋体" w:hAnsi="宋体"/>
                <w:b/>
                <w:bCs/>
                <w:sz w:val="21"/>
                <w:szCs w:val="21"/>
              </w:rPr>
              <w:t>项目地址</w:t>
            </w:r>
          </w:p>
        </w:tc>
        <w:tc>
          <w:tcPr>
            <w:tcW w:w="1417"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b/>
                <w:bCs/>
                <w:sz w:val="21"/>
                <w:szCs w:val="21"/>
              </w:rPr>
            </w:pPr>
            <w:r>
              <w:rPr>
                <w:rFonts w:ascii="宋体" w:hAnsi="宋体"/>
                <w:b/>
                <w:bCs/>
                <w:sz w:val="21"/>
                <w:szCs w:val="21"/>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b/>
                <w:bCs/>
                <w:sz w:val="21"/>
                <w:szCs w:val="21"/>
              </w:rPr>
            </w:pPr>
            <w:r>
              <w:rPr>
                <w:rFonts w:ascii="宋体" w:hAnsi="宋体"/>
                <w:b/>
                <w:bCs/>
                <w:sz w:val="21"/>
                <w:szCs w:val="21"/>
              </w:rPr>
              <w:t>完成时间</w:t>
            </w:r>
          </w:p>
        </w:tc>
        <w:tc>
          <w:tcPr>
            <w:tcW w:w="1383"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b/>
                <w:bCs/>
                <w:sz w:val="21"/>
                <w:szCs w:val="21"/>
              </w:rPr>
            </w:pPr>
            <w:r>
              <w:rPr>
                <w:rFonts w:ascii="宋体" w:hAnsi="宋体"/>
                <w:b/>
                <w:bCs/>
                <w:sz w:val="21"/>
                <w:szCs w:val="21"/>
              </w:rPr>
              <w:t>项目单位联系人电话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1" w:hRule="atLeast"/>
        </w:trPr>
        <w:tc>
          <w:tcPr>
            <w:tcW w:w="540"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sz w:val="21"/>
                <w:szCs w:val="21"/>
              </w:rPr>
            </w:pPr>
            <w:r>
              <w:rPr>
                <w:rFonts w:ascii="宋体" w:hAnsi="宋体"/>
                <w:sz w:val="21"/>
                <w:szCs w:val="21"/>
              </w:rPr>
              <w:t>1</w:t>
            </w:r>
          </w:p>
        </w:tc>
        <w:tc>
          <w:tcPr>
            <w:tcW w:w="2012"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sz w:val="21"/>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sz w:val="21"/>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sz w:val="21"/>
                <w:szCs w:val="21"/>
              </w:rPr>
            </w:pPr>
          </w:p>
        </w:tc>
        <w:tc>
          <w:tcPr>
            <w:tcW w:w="1452"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sz w:val="21"/>
                <w:szCs w:val="21"/>
              </w:rPr>
            </w:pPr>
          </w:p>
        </w:tc>
        <w:tc>
          <w:tcPr>
            <w:tcW w:w="1383"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trPr>
        <w:tc>
          <w:tcPr>
            <w:tcW w:w="540"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sz w:val="21"/>
                <w:szCs w:val="21"/>
              </w:rPr>
            </w:pPr>
            <w:r>
              <w:rPr>
                <w:rFonts w:ascii="宋体" w:hAnsi="宋体"/>
                <w:sz w:val="21"/>
                <w:szCs w:val="21"/>
              </w:rPr>
              <w:t>2</w:t>
            </w:r>
          </w:p>
        </w:tc>
        <w:tc>
          <w:tcPr>
            <w:tcW w:w="2012"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sz w:val="21"/>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sz w:val="21"/>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sz w:val="21"/>
                <w:szCs w:val="21"/>
              </w:rPr>
            </w:pPr>
          </w:p>
        </w:tc>
        <w:tc>
          <w:tcPr>
            <w:tcW w:w="1452"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sz w:val="21"/>
                <w:szCs w:val="21"/>
              </w:rPr>
            </w:pPr>
          </w:p>
        </w:tc>
        <w:tc>
          <w:tcPr>
            <w:tcW w:w="1383"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3" w:hRule="atLeast"/>
        </w:trPr>
        <w:tc>
          <w:tcPr>
            <w:tcW w:w="540"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sz w:val="21"/>
                <w:szCs w:val="21"/>
              </w:rPr>
            </w:pPr>
            <w:r>
              <w:rPr>
                <w:rFonts w:ascii="宋体" w:hAnsi="宋体"/>
                <w:sz w:val="21"/>
                <w:szCs w:val="21"/>
              </w:rPr>
              <w:t>3</w:t>
            </w:r>
          </w:p>
        </w:tc>
        <w:tc>
          <w:tcPr>
            <w:tcW w:w="2012"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sz w:val="21"/>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sz w:val="21"/>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sz w:val="21"/>
                <w:szCs w:val="21"/>
              </w:rPr>
            </w:pPr>
          </w:p>
        </w:tc>
        <w:tc>
          <w:tcPr>
            <w:tcW w:w="1452"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sz w:val="21"/>
                <w:szCs w:val="21"/>
              </w:rPr>
            </w:pPr>
          </w:p>
        </w:tc>
        <w:tc>
          <w:tcPr>
            <w:tcW w:w="1383"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540"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sz w:val="21"/>
                <w:szCs w:val="21"/>
              </w:rPr>
            </w:pPr>
            <w:r>
              <w:rPr>
                <w:rFonts w:ascii="宋体" w:hAnsi="宋体"/>
                <w:sz w:val="21"/>
                <w:szCs w:val="21"/>
              </w:rPr>
              <w:t>4</w:t>
            </w:r>
          </w:p>
        </w:tc>
        <w:tc>
          <w:tcPr>
            <w:tcW w:w="2012"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sz w:val="21"/>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sz w:val="21"/>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sz w:val="21"/>
                <w:szCs w:val="21"/>
              </w:rPr>
            </w:pPr>
          </w:p>
        </w:tc>
        <w:tc>
          <w:tcPr>
            <w:tcW w:w="1452"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sz w:val="21"/>
                <w:szCs w:val="21"/>
              </w:rPr>
            </w:pPr>
          </w:p>
        </w:tc>
        <w:tc>
          <w:tcPr>
            <w:tcW w:w="1383"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540"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sz w:val="21"/>
                <w:szCs w:val="21"/>
              </w:rPr>
            </w:pPr>
            <w:r>
              <w:rPr>
                <w:rFonts w:ascii="宋体" w:hAnsi="宋体"/>
                <w:sz w:val="21"/>
                <w:szCs w:val="21"/>
              </w:rPr>
              <w:t>5</w:t>
            </w:r>
          </w:p>
        </w:tc>
        <w:tc>
          <w:tcPr>
            <w:tcW w:w="2012"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sz w:val="21"/>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sz w:val="21"/>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sz w:val="21"/>
                <w:szCs w:val="21"/>
              </w:rPr>
            </w:pPr>
          </w:p>
        </w:tc>
        <w:tc>
          <w:tcPr>
            <w:tcW w:w="1452"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sz w:val="21"/>
                <w:szCs w:val="21"/>
              </w:rPr>
            </w:pPr>
          </w:p>
        </w:tc>
        <w:tc>
          <w:tcPr>
            <w:tcW w:w="1383"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540"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sz w:val="21"/>
                <w:szCs w:val="21"/>
              </w:rPr>
            </w:pPr>
            <w:r>
              <w:rPr>
                <w:rFonts w:ascii="宋体" w:hAnsi="宋体"/>
                <w:sz w:val="21"/>
                <w:szCs w:val="21"/>
              </w:rPr>
              <w:t>…</w:t>
            </w:r>
          </w:p>
        </w:tc>
        <w:tc>
          <w:tcPr>
            <w:tcW w:w="2012"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sz w:val="21"/>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sz w:val="21"/>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sz w:val="21"/>
                <w:szCs w:val="21"/>
              </w:rPr>
            </w:pPr>
          </w:p>
        </w:tc>
        <w:tc>
          <w:tcPr>
            <w:tcW w:w="1452"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sz w:val="21"/>
                <w:szCs w:val="21"/>
              </w:rPr>
            </w:pPr>
          </w:p>
        </w:tc>
        <w:tc>
          <w:tcPr>
            <w:tcW w:w="1383"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sz w:val="21"/>
                <w:szCs w:val="21"/>
              </w:rPr>
            </w:pPr>
          </w:p>
        </w:tc>
      </w:tr>
    </w:tbl>
    <w:p>
      <w:pPr>
        <w:rPr>
          <w:rFonts w:ascii="宋体" w:hAnsi="宋体"/>
          <w:b/>
          <w:bCs/>
          <w:spacing w:val="20"/>
          <w:sz w:val="21"/>
          <w:szCs w:val="21"/>
        </w:rPr>
      </w:pPr>
      <w:r>
        <w:rPr>
          <w:rFonts w:ascii="宋体" w:hAnsi="宋体"/>
          <w:b/>
          <w:bCs/>
          <w:sz w:val="21"/>
          <w:szCs w:val="21"/>
        </w:rPr>
        <w:t>注：</w:t>
      </w:r>
      <w:r>
        <w:rPr>
          <w:rFonts w:ascii="宋体" w:hAnsi="宋体"/>
          <w:b/>
          <w:bCs/>
          <w:spacing w:val="20"/>
          <w:sz w:val="21"/>
          <w:szCs w:val="21"/>
        </w:rPr>
        <w:t>提供2014年至今的合同复印件（加盖投标人公章）</w:t>
      </w:r>
    </w:p>
    <w:p>
      <w:pPr>
        <w:rPr>
          <w:rFonts w:ascii="宋体" w:hAnsi="宋体"/>
          <w:b/>
          <w:bCs/>
          <w:spacing w:val="20"/>
          <w:sz w:val="21"/>
          <w:szCs w:val="21"/>
        </w:rPr>
      </w:pPr>
    </w:p>
    <w:p>
      <w:pPr>
        <w:rPr>
          <w:rFonts w:ascii="宋体" w:hAnsi="宋体"/>
          <w:spacing w:val="20"/>
          <w:sz w:val="21"/>
          <w:szCs w:val="21"/>
        </w:rPr>
      </w:pPr>
    </w:p>
    <w:p>
      <w:pPr>
        <w:rPr>
          <w:rFonts w:ascii="宋体" w:hAnsi="宋体"/>
          <w:spacing w:val="20"/>
          <w:sz w:val="21"/>
          <w:szCs w:val="21"/>
        </w:rPr>
      </w:pPr>
      <w:r>
        <w:rPr>
          <w:rFonts w:ascii="宋体" w:hAnsi="宋体"/>
          <w:spacing w:val="20"/>
          <w:sz w:val="21"/>
          <w:szCs w:val="21"/>
        </w:rPr>
        <w:t>投标人名称：（公章）</w:t>
      </w:r>
    </w:p>
    <w:p>
      <w:pPr>
        <w:rPr>
          <w:rFonts w:ascii="宋体" w:hAnsi="宋体"/>
          <w:spacing w:val="20"/>
          <w:sz w:val="21"/>
          <w:szCs w:val="21"/>
        </w:rPr>
      </w:pPr>
    </w:p>
    <w:p>
      <w:pPr>
        <w:rPr>
          <w:rFonts w:ascii="宋体" w:hAnsi="宋体"/>
          <w:spacing w:val="20"/>
          <w:sz w:val="21"/>
          <w:szCs w:val="21"/>
        </w:rPr>
      </w:pPr>
      <w:r>
        <w:rPr>
          <w:rFonts w:ascii="宋体" w:hAnsi="宋体"/>
          <w:spacing w:val="20"/>
          <w:sz w:val="21"/>
          <w:szCs w:val="21"/>
        </w:rPr>
        <w:t>投标人代表：（签字）</w:t>
      </w:r>
    </w:p>
    <w:p>
      <w:pPr>
        <w:rPr>
          <w:rFonts w:ascii="宋体" w:hAnsi="宋体"/>
          <w:spacing w:val="20"/>
          <w:sz w:val="21"/>
          <w:szCs w:val="21"/>
        </w:rPr>
      </w:pPr>
    </w:p>
    <w:p>
      <w:pPr>
        <w:spacing w:line="360" w:lineRule="auto"/>
        <w:ind w:left="2"/>
        <w:rPr>
          <w:rFonts w:ascii="宋体" w:hAnsi="宋体"/>
          <w:b/>
          <w:bCs/>
          <w:sz w:val="21"/>
          <w:szCs w:val="21"/>
        </w:rPr>
      </w:pPr>
      <w:r>
        <w:rPr>
          <w:rFonts w:ascii="宋体" w:hAnsi="宋体"/>
          <w:spacing w:val="20"/>
          <w:sz w:val="21"/>
          <w:szCs w:val="21"/>
        </w:rPr>
        <w:br w:type="page"/>
      </w:r>
      <w:r>
        <w:rPr>
          <w:rFonts w:ascii="宋体" w:hAnsi="宋体"/>
          <w:b/>
          <w:bCs/>
          <w:sz w:val="21"/>
          <w:szCs w:val="21"/>
        </w:rPr>
        <w:t>附件5</w:t>
      </w:r>
    </w:p>
    <w:p>
      <w:pPr>
        <w:spacing w:line="360" w:lineRule="auto"/>
        <w:ind w:left="2"/>
        <w:rPr>
          <w:rFonts w:ascii="宋体" w:hAnsi="宋体"/>
          <w:b/>
          <w:bCs/>
          <w:sz w:val="21"/>
          <w:szCs w:val="21"/>
        </w:rPr>
      </w:pPr>
      <w:r>
        <w:rPr>
          <w:rFonts w:ascii="宋体" w:hAnsi="宋体"/>
          <w:b/>
          <w:bCs/>
          <w:sz w:val="21"/>
          <w:szCs w:val="21"/>
        </w:rPr>
        <w:t>5.1服务承诺</w:t>
      </w:r>
    </w:p>
    <w:tbl>
      <w:tblPr>
        <w:tblStyle w:val="23"/>
        <w:tblW w:w="88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3597"/>
        <w:gridCol w:w="4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69" w:type="dxa"/>
            <w:vAlign w:val="center"/>
          </w:tcPr>
          <w:p>
            <w:pPr>
              <w:spacing w:line="240" w:lineRule="auto"/>
              <w:jc w:val="center"/>
              <w:rPr>
                <w:rFonts w:ascii="宋体" w:hAnsi="宋体"/>
                <w:b/>
                <w:bCs/>
                <w:sz w:val="21"/>
                <w:szCs w:val="21"/>
              </w:rPr>
            </w:pPr>
            <w:r>
              <w:rPr>
                <w:rFonts w:ascii="宋体" w:hAnsi="宋体"/>
                <w:b/>
                <w:bCs/>
                <w:sz w:val="21"/>
                <w:szCs w:val="21"/>
              </w:rPr>
              <w:t>序号</w:t>
            </w:r>
          </w:p>
        </w:tc>
        <w:tc>
          <w:tcPr>
            <w:tcW w:w="3597" w:type="dxa"/>
            <w:vAlign w:val="center"/>
          </w:tcPr>
          <w:p>
            <w:pPr>
              <w:spacing w:line="240" w:lineRule="auto"/>
              <w:jc w:val="center"/>
              <w:rPr>
                <w:rFonts w:ascii="宋体" w:hAnsi="宋体"/>
                <w:b/>
                <w:bCs/>
                <w:sz w:val="21"/>
                <w:szCs w:val="21"/>
              </w:rPr>
            </w:pPr>
            <w:r>
              <w:rPr>
                <w:rFonts w:ascii="宋体" w:hAnsi="宋体"/>
                <w:b/>
                <w:bCs/>
                <w:sz w:val="21"/>
                <w:szCs w:val="21"/>
              </w:rPr>
              <w:t>主要内容（包括但不限于以下内容）</w:t>
            </w:r>
          </w:p>
        </w:tc>
        <w:tc>
          <w:tcPr>
            <w:tcW w:w="4466" w:type="dxa"/>
            <w:vAlign w:val="center"/>
          </w:tcPr>
          <w:p>
            <w:pPr>
              <w:spacing w:line="240" w:lineRule="auto"/>
              <w:jc w:val="center"/>
              <w:rPr>
                <w:rFonts w:ascii="宋体" w:hAnsi="宋体"/>
                <w:b/>
                <w:bCs/>
                <w:sz w:val="21"/>
                <w:szCs w:val="21"/>
              </w:rPr>
            </w:pPr>
            <w:r>
              <w:rPr>
                <w:rFonts w:ascii="宋体" w:hAnsi="宋体"/>
                <w:b/>
                <w:bCs/>
                <w:sz w:val="21"/>
                <w:szCs w:val="21"/>
              </w:rPr>
              <w:t>投标文件响应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69" w:type="dxa"/>
            <w:vAlign w:val="center"/>
          </w:tcPr>
          <w:p>
            <w:pPr>
              <w:jc w:val="center"/>
              <w:rPr>
                <w:rFonts w:ascii="宋体" w:hAnsi="宋体"/>
                <w:sz w:val="21"/>
                <w:szCs w:val="21"/>
              </w:rPr>
            </w:pPr>
            <w:r>
              <w:rPr>
                <w:rFonts w:ascii="宋体" w:hAnsi="宋体"/>
                <w:sz w:val="21"/>
                <w:szCs w:val="21"/>
              </w:rPr>
              <w:t>1</w:t>
            </w:r>
          </w:p>
        </w:tc>
        <w:tc>
          <w:tcPr>
            <w:tcW w:w="3597" w:type="dxa"/>
            <w:vAlign w:val="center"/>
          </w:tcPr>
          <w:p>
            <w:pPr>
              <w:jc w:val="center"/>
              <w:rPr>
                <w:rFonts w:ascii="宋体" w:hAnsi="宋体"/>
                <w:sz w:val="21"/>
                <w:szCs w:val="21"/>
              </w:rPr>
            </w:pPr>
            <w:r>
              <w:rPr>
                <w:rFonts w:ascii="宋体" w:hAnsi="宋体"/>
                <w:sz w:val="21"/>
                <w:szCs w:val="21"/>
              </w:rPr>
              <w:t>质保期限长短</w:t>
            </w:r>
          </w:p>
        </w:tc>
        <w:tc>
          <w:tcPr>
            <w:tcW w:w="4466"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69" w:type="dxa"/>
            <w:vAlign w:val="center"/>
          </w:tcPr>
          <w:p>
            <w:pPr>
              <w:jc w:val="center"/>
              <w:rPr>
                <w:rFonts w:ascii="宋体" w:hAnsi="宋体"/>
                <w:sz w:val="21"/>
                <w:szCs w:val="21"/>
              </w:rPr>
            </w:pPr>
            <w:r>
              <w:rPr>
                <w:rFonts w:ascii="宋体" w:hAnsi="宋体"/>
                <w:sz w:val="21"/>
                <w:szCs w:val="21"/>
              </w:rPr>
              <w:t>2</w:t>
            </w:r>
          </w:p>
        </w:tc>
        <w:tc>
          <w:tcPr>
            <w:tcW w:w="3597" w:type="dxa"/>
            <w:vAlign w:val="center"/>
          </w:tcPr>
          <w:p>
            <w:pPr>
              <w:jc w:val="center"/>
              <w:rPr>
                <w:rFonts w:ascii="宋体" w:hAnsi="宋体"/>
                <w:sz w:val="21"/>
                <w:szCs w:val="21"/>
              </w:rPr>
            </w:pPr>
            <w:r>
              <w:rPr>
                <w:rFonts w:ascii="宋体" w:hAnsi="宋体"/>
                <w:sz w:val="21"/>
                <w:szCs w:val="21"/>
              </w:rPr>
              <w:t>服务响应时间</w:t>
            </w:r>
          </w:p>
        </w:tc>
        <w:tc>
          <w:tcPr>
            <w:tcW w:w="4466"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69" w:type="dxa"/>
            <w:vAlign w:val="center"/>
          </w:tcPr>
          <w:p>
            <w:pPr>
              <w:jc w:val="center"/>
              <w:rPr>
                <w:rFonts w:ascii="宋体" w:hAnsi="宋体"/>
                <w:sz w:val="21"/>
                <w:szCs w:val="21"/>
              </w:rPr>
            </w:pPr>
            <w:r>
              <w:rPr>
                <w:rFonts w:ascii="宋体" w:hAnsi="宋体"/>
                <w:sz w:val="21"/>
                <w:szCs w:val="21"/>
              </w:rPr>
              <w:t>3</w:t>
            </w:r>
          </w:p>
        </w:tc>
        <w:tc>
          <w:tcPr>
            <w:tcW w:w="3597" w:type="dxa"/>
            <w:vAlign w:val="center"/>
          </w:tcPr>
          <w:p>
            <w:pPr>
              <w:jc w:val="center"/>
              <w:rPr>
                <w:rFonts w:ascii="宋体" w:hAnsi="宋体"/>
                <w:sz w:val="21"/>
                <w:szCs w:val="21"/>
              </w:rPr>
            </w:pPr>
            <w:r>
              <w:rPr>
                <w:rFonts w:ascii="宋体" w:hAnsi="宋体"/>
                <w:sz w:val="21"/>
                <w:szCs w:val="21"/>
              </w:rPr>
              <w:t>技术保障能力</w:t>
            </w:r>
          </w:p>
        </w:tc>
        <w:tc>
          <w:tcPr>
            <w:tcW w:w="4466"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69" w:type="dxa"/>
            <w:vAlign w:val="center"/>
          </w:tcPr>
          <w:p>
            <w:pPr>
              <w:jc w:val="center"/>
              <w:rPr>
                <w:rFonts w:ascii="宋体" w:hAnsi="宋体"/>
                <w:sz w:val="21"/>
                <w:szCs w:val="21"/>
              </w:rPr>
            </w:pPr>
            <w:r>
              <w:rPr>
                <w:rFonts w:ascii="宋体" w:hAnsi="宋体"/>
                <w:sz w:val="21"/>
                <w:szCs w:val="21"/>
              </w:rPr>
              <w:t>4</w:t>
            </w:r>
          </w:p>
        </w:tc>
        <w:tc>
          <w:tcPr>
            <w:tcW w:w="3597" w:type="dxa"/>
            <w:vAlign w:val="center"/>
          </w:tcPr>
          <w:p>
            <w:pPr>
              <w:jc w:val="center"/>
              <w:rPr>
                <w:rFonts w:ascii="宋体" w:hAnsi="宋体"/>
                <w:sz w:val="21"/>
                <w:szCs w:val="21"/>
              </w:rPr>
            </w:pPr>
            <w:r>
              <w:rPr>
                <w:rFonts w:ascii="宋体" w:hAnsi="宋体"/>
                <w:sz w:val="21"/>
                <w:szCs w:val="21"/>
              </w:rPr>
              <w:t>维护运行的技术指导能力</w:t>
            </w:r>
          </w:p>
        </w:tc>
        <w:tc>
          <w:tcPr>
            <w:tcW w:w="4466"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69" w:type="dxa"/>
            <w:vAlign w:val="center"/>
          </w:tcPr>
          <w:p>
            <w:pPr>
              <w:jc w:val="center"/>
              <w:rPr>
                <w:rFonts w:ascii="宋体" w:hAnsi="宋体"/>
                <w:sz w:val="21"/>
                <w:szCs w:val="21"/>
              </w:rPr>
            </w:pPr>
            <w:r>
              <w:rPr>
                <w:rFonts w:ascii="宋体" w:hAnsi="宋体"/>
                <w:sz w:val="21"/>
                <w:szCs w:val="21"/>
              </w:rPr>
              <w:t>5</w:t>
            </w:r>
          </w:p>
        </w:tc>
        <w:tc>
          <w:tcPr>
            <w:tcW w:w="3597" w:type="dxa"/>
            <w:vAlign w:val="center"/>
          </w:tcPr>
          <w:p>
            <w:pPr>
              <w:jc w:val="center"/>
              <w:rPr>
                <w:rFonts w:ascii="宋体" w:hAnsi="宋体"/>
                <w:sz w:val="21"/>
                <w:szCs w:val="21"/>
              </w:rPr>
            </w:pPr>
            <w:r>
              <w:rPr>
                <w:rFonts w:ascii="宋体" w:hAnsi="宋体"/>
                <w:sz w:val="21"/>
                <w:szCs w:val="21"/>
              </w:rPr>
              <w:t>提供服务的便利性</w:t>
            </w:r>
          </w:p>
        </w:tc>
        <w:tc>
          <w:tcPr>
            <w:tcW w:w="4466"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69" w:type="dxa"/>
            <w:vAlign w:val="center"/>
          </w:tcPr>
          <w:p>
            <w:pPr>
              <w:jc w:val="center"/>
              <w:rPr>
                <w:rFonts w:ascii="宋体" w:hAnsi="宋体"/>
                <w:sz w:val="21"/>
                <w:szCs w:val="21"/>
              </w:rPr>
            </w:pPr>
            <w:r>
              <w:rPr>
                <w:rFonts w:ascii="宋体" w:hAnsi="宋体"/>
                <w:sz w:val="21"/>
                <w:szCs w:val="21"/>
              </w:rPr>
              <w:t>…</w:t>
            </w:r>
          </w:p>
        </w:tc>
        <w:tc>
          <w:tcPr>
            <w:tcW w:w="3597" w:type="dxa"/>
            <w:vAlign w:val="center"/>
          </w:tcPr>
          <w:p>
            <w:pPr>
              <w:jc w:val="center"/>
              <w:rPr>
                <w:rFonts w:ascii="宋体" w:hAnsi="宋体"/>
                <w:sz w:val="21"/>
                <w:szCs w:val="21"/>
              </w:rPr>
            </w:pPr>
          </w:p>
        </w:tc>
        <w:tc>
          <w:tcPr>
            <w:tcW w:w="4466" w:type="dxa"/>
            <w:vAlign w:val="center"/>
          </w:tcPr>
          <w:p>
            <w:pPr>
              <w:jc w:val="center"/>
              <w:rPr>
                <w:rFonts w:ascii="宋体" w:hAnsi="宋体"/>
                <w:sz w:val="21"/>
                <w:szCs w:val="21"/>
              </w:rPr>
            </w:pPr>
          </w:p>
        </w:tc>
      </w:tr>
    </w:tbl>
    <w:p>
      <w:pPr>
        <w:tabs>
          <w:tab w:val="left" w:pos="1322"/>
        </w:tabs>
        <w:spacing w:line="360" w:lineRule="auto"/>
        <w:rPr>
          <w:rFonts w:ascii="宋体" w:hAnsi="宋体"/>
          <w:sz w:val="21"/>
          <w:szCs w:val="21"/>
        </w:rPr>
      </w:pPr>
      <w:r>
        <w:rPr>
          <w:rFonts w:ascii="宋体" w:hAnsi="宋体"/>
          <w:sz w:val="21"/>
          <w:szCs w:val="21"/>
        </w:rPr>
        <w:t>注：投标人自行编制</w:t>
      </w:r>
    </w:p>
    <w:p>
      <w:pPr>
        <w:spacing w:line="360" w:lineRule="auto"/>
        <w:ind w:left="2"/>
        <w:rPr>
          <w:rFonts w:ascii="宋体" w:hAnsi="宋体"/>
          <w:sz w:val="21"/>
          <w:szCs w:val="21"/>
        </w:rPr>
      </w:pPr>
    </w:p>
    <w:p>
      <w:pPr>
        <w:spacing w:line="360" w:lineRule="auto"/>
        <w:ind w:left="2"/>
        <w:rPr>
          <w:rFonts w:ascii="宋体" w:hAnsi="宋体"/>
          <w:b/>
          <w:bCs/>
          <w:sz w:val="21"/>
          <w:szCs w:val="21"/>
        </w:rPr>
      </w:pPr>
      <w:r>
        <w:rPr>
          <w:rFonts w:ascii="宋体" w:hAnsi="宋体"/>
          <w:b/>
          <w:bCs/>
          <w:sz w:val="21"/>
          <w:szCs w:val="21"/>
        </w:rPr>
        <w:t>5.2项目人员安排</w:t>
      </w:r>
    </w:p>
    <w:tbl>
      <w:tblPr>
        <w:tblStyle w:val="2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1231"/>
        <w:gridCol w:w="823"/>
        <w:gridCol w:w="2565"/>
        <w:gridCol w:w="660"/>
        <w:gridCol w:w="660"/>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100" w:type="dxa"/>
            <w:vAlign w:val="center"/>
          </w:tcPr>
          <w:p>
            <w:pPr>
              <w:spacing w:line="240" w:lineRule="auto"/>
              <w:jc w:val="center"/>
              <w:rPr>
                <w:rFonts w:ascii="宋体" w:hAnsi="宋体"/>
                <w:b/>
                <w:bCs/>
                <w:sz w:val="21"/>
                <w:szCs w:val="21"/>
              </w:rPr>
            </w:pPr>
            <w:r>
              <w:rPr>
                <w:rFonts w:ascii="宋体" w:hAnsi="宋体"/>
                <w:b/>
                <w:bCs/>
                <w:sz w:val="21"/>
                <w:szCs w:val="21"/>
              </w:rPr>
              <w:t>职责分工</w:t>
            </w:r>
          </w:p>
        </w:tc>
        <w:tc>
          <w:tcPr>
            <w:tcW w:w="1231" w:type="dxa"/>
            <w:vAlign w:val="center"/>
          </w:tcPr>
          <w:p>
            <w:pPr>
              <w:spacing w:line="240" w:lineRule="auto"/>
              <w:jc w:val="center"/>
              <w:rPr>
                <w:rFonts w:ascii="宋体" w:hAnsi="宋体"/>
                <w:b/>
                <w:bCs/>
                <w:sz w:val="21"/>
                <w:szCs w:val="21"/>
              </w:rPr>
            </w:pPr>
            <w:r>
              <w:rPr>
                <w:rFonts w:ascii="宋体" w:hAnsi="宋体"/>
                <w:b/>
                <w:bCs/>
                <w:sz w:val="21"/>
                <w:szCs w:val="21"/>
              </w:rPr>
              <w:t>姓名</w:t>
            </w:r>
          </w:p>
        </w:tc>
        <w:tc>
          <w:tcPr>
            <w:tcW w:w="823" w:type="dxa"/>
            <w:vAlign w:val="center"/>
          </w:tcPr>
          <w:p>
            <w:pPr>
              <w:spacing w:line="240" w:lineRule="auto"/>
              <w:jc w:val="center"/>
              <w:rPr>
                <w:rFonts w:ascii="宋体" w:hAnsi="宋体"/>
                <w:b/>
                <w:bCs/>
                <w:sz w:val="21"/>
                <w:szCs w:val="21"/>
              </w:rPr>
            </w:pPr>
            <w:r>
              <w:rPr>
                <w:rFonts w:ascii="宋体" w:hAnsi="宋体"/>
                <w:b/>
                <w:bCs/>
                <w:sz w:val="21"/>
                <w:szCs w:val="21"/>
              </w:rPr>
              <w:t>现职务</w:t>
            </w:r>
          </w:p>
        </w:tc>
        <w:tc>
          <w:tcPr>
            <w:tcW w:w="2565" w:type="dxa"/>
            <w:vAlign w:val="center"/>
          </w:tcPr>
          <w:p>
            <w:pPr>
              <w:spacing w:line="240" w:lineRule="auto"/>
              <w:jc w:val="center"/>
              <w:rPr>
                <w:rFonts w:ascii="宋体" w:hAnsi="宋体"/>
                <w:b/>
                <w:bCs/>
                <w:sz w:val="21"/>
                <w:szCs w:val="21"/>
              </w:rPr>
            </w:pPr>
            <w:r>
              <w:rPr>
                <w:rFonts w:ascii="宋体" w:hAnsi="宋体"/>
                <w:b/>
                <w:bCs/>
                <w:sz w:val="21"/>
                <w:szCs w:val="21"/>
              </w:rPr>
              <w:t>曾主持/参与的</w:t>
            </w:r>
          </w:p>
          <w:p>
            <w:pPr>
              <w:spacing w:line="240" w:lineRule="auto"/>
              <w:jc w:val="center"/>
              <w:rPr>
                <w:rFonts w:ascii="宋体" w:hAnsi="宋体"/>
                <w:b/>
                <w:bCs/>
                <w:sz w:val="21"/>
                <w:szCs w:val="21"/>
              </w:rPr>
            </w:pPr>
            <w:r>
              <w:rPr>
                <w:rFonts w:ascii="宋体" w:hAnsi="宋体"/>
                <w:b/>
                <w:bCs/>
                <w:sz w:val="21"/>
                <w:szCs w:val="21"/>
              </w:rPr>
              <w:t>同类项目经历</w:t>
            </w:r>
          </w:p>
        </w:tc>
        <w:tc>
          <w:tcPr>
            <w:tcW w:w="660" w:type="dxa"/>
            <w:vAlign w:val="center"/>
          </w:tcPr>
          <w:p>
            <w:pPr>
              <w:spacing w:line="240" w:lineRule="auto"/>
              <w:jc w:val="center"/>
              <w:rPr>
                <w:rFonts w:ascii="宋体" w:hAnsi="宋体"/>
                <w:b/>
                <w:bCs/>
                <w:sz w:val="21"/>
                <w:szCs w:val="21"/>
              </w:rPr>
            </w:pPr>
            <w:r>
              <w:rPr>
                <w:rFonts w:ascii="宋体" w:hAnsi="宋体"/>
                <w:b/>
                <w:bCs/>
                <w:sz w:val="21"/>
                <w:szCs w:val="21"/>
              </w:rPr>
              <w:t>职称</w:t>
            </w:r>
          </w:p>
        </w:tc>
        <w:tc>
          <w:tcPr>
            <w:tcW w:w="660" w:type="dxa"/>
            <w:vAlign w:val="center"/>
          </w:tcPr>
          <w:p>
            <w:pPr>
              <w:spacing w:line="240" w:lineRule="auto"/>
              <w:ind w:firstLine="12"/>
              <w:jc w:val="center"/>
              <w:rPr>
                <w:rFonts w:ascii="宋体" w:hAnsi="宋体"/>
                <w:b/>
                <w:bCs/>
                <w:sz w:val="21"/>
                <w:szCs w:val="21"/>
              </w:rPr>
            </w:pPr>
            <w:r>
              <w:rPr>
                <w:rFonts w:ascii="宋体" w:hAnsi="宋体"/>
                <w:b/>
                <w:bCs/>
                <w:sz w:val="21"/>
                <w:szCs w:val="21"/>
              </w:rPr>
              <w:t>专业工龄</w:t>
            </w:r>
          </w:p>
        </w:tc>
        <w:tc>
          <w:tcPr>
            <w:tcW w:w="1483" w:type="dxa"/>
            <w:vAlign w:val="center"/>
          </w:tcPr>
          <w:p>
            <w:pPr>
              <w:spacing w:line="240" w:lineRule="auto"/>
              <w:ind w:firstLine="12"/>
              <w:jc w:val="center"/>
              <w:rPr>
                <w:rFonts w:ascii="宋体" w:hAnsi="宋体"/>
                <w:b/>
                <w:bCs/>
                <w:sz w:val="21"/>
                <w:szCs w:val="21"/>
              </w:rPr>
            </w:pPr>
            <w:r>
              <w:rPr>
                <w:rFonts w:ascii="宋体" w:hAnsi="宋体"/>
                <w:b/>
                <w:bCs/>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100" w:type="dxa"/>
            <w:tcBorders>
              <w:bottom w:val="nil"/>
            </w:tcBorders>
            <w:vAlign w:val="center"/>
          </w:tcPr>
          <w:p>
            <w:pPr>
              <w:rPr>
                <w:rFonts w:ascii="宋体" w:hAnsi="宋体"/>
                <w:sz w:val="21"/>
                <w:szCs w:val="21"/>
              </w:rPr>
            </w:pPr>
            <w:r>
              <w:rPr>
                <w:rFonts w:ascii="宋体" w:hAnsi="宋体"/>
                <w:sz w:val="21"/>
                <w:szCs w:val="21"/>
              </w:rPr>
              <w:t>总负责人</w:t>
            </w:r>
          </w:p>
        </w:tc>
        <w:tc>
          <w:tcPr>
            <w:tcW w:w="1231" w:type="dxa"/>
            <w:tcBorders>
              <w:bottom w:val="nil"/>
            </w:tcBorders>
            <w:vAlign w:val="center"/>
          </w:tcPr>
          <w:p>
            <w:pPr>
              <w:jc w:val="center"/>
              <w:rPr>
                <w:rFonts w:ascii="宋体" w:hAnsi="宋体"/>
                <w:sz w:val="21"/>
                <w:szCs w:val="21"/>
              </w:rPr>
            </w:pPr>
          </w:p>
        </w:tc>
        <w:tc>
          <w:tcPr>
            <w:tcW w:w="823" w:type="dxa"/>
            <w:tcBorders>
              <w:bottom w:val="nil"/>
            </w:tcBorders>
            <w:vAlign w:val="center"/>
          </w:tcPr>
          <w:p>
            <w:pPr>
              <w:jc w:val="center"/>
              <w:rPr>
                <w:rFonts w:ascii="宋体" w:hAnsi="宋体"/>
                <w:sz w:val="21"/>
                <w:szCs w:val="21"/>
              </w:rPr>
            </w:pPr>
          </w:p>
        </w:tc>
        <w:tc>
          <w:tcPr>
            <w:tcW w:w="2565" w:type="dxa"/>
            <w:tcBorders>
              <w:bottom w:val="nil"/>
            </w:tcBorders>
            <w:vAlign w:val="center"/>
          </w:tcPr>
          <w:p>
            <w:pPr>
              <w:pStyle w:val="49"/>
              <w:keepNext w:val="0"/>
              <w:adjustRightInd/>
              <w:spacing w:before="0" w:after="0" w:line="240" w:lineRule="auto"/>
              <w:rPr>
                <w:rFonts w:ascii="宋体" w:hAnsi="宋体"/>
                <w:spacing w:val="0"/>
                <w:kern w:val="2"/>
                <w:sz w:val="21"/>
                <w:szCs w:val="21"/>
              </w:rPr>
            </w:pPr>
          </w:p>
        </w:tc>
        <w:tc>
          <w:tcPr>
            <w:tcW w:w="660" w:type="dxa"/>
            <w:tcBorders>
              <w:bottom w:val="nil"/>
            </w:tcBorders>
            <w:vAlign w:val="center"/>
          </w:tcPr>
          <w:p>
            <w:pPr>
              <w:jc w:val="center"/>
              <w:rPr>
                <w:rFonts w:ascii="宋体" w:hAnsi="宋体"/>
                <w:sz w:val="21"/>
                <w:szCs w:val="21"/>
              </w:rPr>
            </w:pPr>
          </w:p>
        </w:tc>
        <w:tc>
          <w:tcPr>
            <w:tcW w:w="660" w:type="dxa"/>
            <w:tcBorders>
              <w:bottom w:val="nil"/>
            </w:tcBorders>
            <w:vAlign w:val="center"/>
          </w:tcPr>
          <w:p>
            <w:pPr>
              <w:ind w:firstLine="12"/>
              <w:jc w:val="center"/>
              <w:rPr>
                <w:rFonts w:ascii="宋体" w:hAnsi="宋体"/>
                <w:sz w:val="21"/>
                <w:szCs w:val="21"/>
              </w:rPr>
            </w:pPr>
          </w:p>
        </w:tc>
        <w:tc>
          <w:tcPr>
            <w:tcW w:w="1483" w:type="dxa"/>
            <w:tcBorders>
              <w:bottom w:val="nil"/>
            </w:tcBorders>
            <w:vAlign w:val="center"/>
          </w:tcPr>
          <w:p>
            <w:pPr>
              <w:ind w:firstLine="12"/>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100" w:type="dxa"/>
            <w:vMerge w:val="restart"/>
            <w:vAlign w:val="center"/>
          </w:tcPr>
          <w:p>
            <w:pPr>
              <w:rPr>
                <w:rFonts w:ascii="宋体" w:hAnsi="宋体"/>
                <w:sz w:val="21"/>
                <w:szCs w:val="21"/>
              </w:rPr>
            </w:pPr>
            <w:r>
              <w:rPr>
                <w:rFonts w:ascii="宋体" w:hAnsi="宋体"/>
                <w:sz w:val="21"/>
                <w:szCs w:val="21"/>
              </w:rPr>
              <w:t>其他主要技术人员</w:t>
            </w:r>
          </w:p>
        </w:tc>
        <w:tc>
          <w:tcPr>
            <w:tcW w:w="1231" w:type="dxa"/>
            <w:vAlign w:val="center"/>
          </w:tcPr>
          <w:p>
            <w:pPr>
              <w:jc w:val="center"/>
              <w:rPr>
                <w:rFonts w:ascii="宋体" w:hAnsi="宋体"/>
                <w:sz w:val="21"/>
                <w:szCs w:val="21"/>
              </w:rPr>
            </w:pPr>
          </w:p>
        </w:tc>
        <w:tc>
          <w:tcPr>
            <w:tcW w:w="823" w:type="dxa"/>
            <w:vAlign w:val="center"/>
          </w:tcPr>
          <w:p>
            <w:pPr>
              <w:jc w:val="center"/>
              <w:rPr>
                <w:rFonts w:ascii="宋体" w:hAnsi="宋体"/>
                <w:sz w:val="21"/>
                <w:szCs w:val="21"/>
              </w:rPr>
            </w:pPr>
          </w:p>
        </w:tc>
        <w:tc>
          <w:tcPr>
            <w:tcW w:w="2565" w:type="dxa"/>
            <w:vAlign w:val="center"/>
          </w:tcPr>
          <w:p>
            <w:pPr>
              <w:jc w:val="center"/>
              <w:rPr>
                <w:rFonts w:ascii="宋体" w:hAnsi="宋体"/>
                <w:sz w:val="21"/>
                <w:szCs w:val="21"/>
              </w:rPr>
            </w:pPr>
          </w:p>
        </w:tc>
        <w:tc>
          <w:tcPr>
            <w:tcW w:w="660" w:type="dxa"/>
            <w:vAlign w:val="center"/>
          </w:tcPr>
          <w:p>
            <w:pPr>
              <w:jc w:val="center"/>
              <w:rPr>
                <w:rFonts w:ascii="宋体" w:hAnsi="宋体"/>
                <w:sz w:val="21"/>
                <w:szCs w:val="21"/>
              </w:rPr>
            </w:pPr>
          </w:p>
        </w:tc>
        <w:tc>
          <w:tcPr>
            <w:tcW w:w="660" w:type="dxa"/>
            <w:vAlign w:val="center"/>
          </w:tcPr>
          <w:p>
            <w:pPr>
              <w:jc w:val="center"/>
              <w:rPr>
                <w:rFonts w:ascii="宋体" w:hAnsi="宋体"/>
                <w:sz w:val="21"/>
                <w:szCs w:val="21"/>
              </w:rPr>
            </w:pPr>
          </w:p>
        </w:tc>
        <w:tc>
          <w:tcPr>
            <w:tcW w:w="1483"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100" w:type="dxa"/>
            <w:vMerge w:val="continue"/>
            <w:vAlign w:val="center"/>
          </w:tcPr>
          <w:p>
            <w:pPr>
              <w:rPr>
                <w:rFonts w:ascii="宋体" w:hAnsi="宋体"/>
                <w:sz w:val="21"/>
                <w:szCs w:val="21"/>
              </w:rPr>
            </w:pPr>
          </w:p>
        </w:tc>
        <w:tc>
          <w:tcPr>
            <w:tcW w:w="1231" w:type="dxa"/>
            <w:vAlign w:val="center"/>
          </w:tcPr>
          <w:p>
            <w:pPr>
              <w:jc w:val="center"/>
              <w:rPr>
                <w:rFonts w:ascii="宋体" w:hAnsi="宋体"/>
                <w:sz w:val="21"/>
                <w:szCs w:val="21"/>
              </w:rPr>
            </w:pPr>
          </w:p>
        </w:tc>
        <w:tc>
          <w:tcPr>
            <w:tcW w:w="823" w:type="dxa"/>
            <w:vAlign w:val="center"/>
          </w:tcPr>
          <w:p>
            <w:pPr>
              <w:jc w:val="center"/>
              <w:rPr>
                <w:rFonts w:ascii="宋体" w:hAnsi="宋体"/>
                <w:sz w:val="21"/>
                <w:szCs w:val="21"/>
              </w:rPr>
            </w:pPr>
          </w:p>
        </w:tc>
        <w:tc>
          <w:tcPr>
            <w:tcW w:w="2565" w:type="dxa"/>
            <w:vAlign w:val="center"/>
          </w:tcPr>
          <w:p>
            <w:pPr>
              <w:jc w:val="center"/>
              <w:rPr>
                <w:rFonts w:ascii="宋体" w:hAnsi="宋体"/>
                <w:sz w:val="21"/>
                <w:szCs w:val="21"/>
              </w:rPr>
            </w:pPr>
          </w:p>
        </w:tc>
        <w:tc>
          <w:tcPr>
            <w:tcW w:w="660" w:type="dxa"/>
            <w:vAlign w:val="center"/>
          </w:tcPr>
          <w:p>
            <w:pPr>
              <w:jc w:val="center"/>
              <w:rPr>
                <w:rFonts w:ascii="宋体" w:hAnsi="宋体"/>
                <w:sz w:val="21"/>
                <w:szCs w:val="21"/>
              </w:rPr>
            </w:pPr>
          </w:p>
        </w:tc>
        <w:tc>
          <w:tcPr>
            <w:tcW w:w="660" w:type="dxa"/>
            <w:vAlign w:val="center"/>
          </w:tcPr>
          <w:p>
            <w:pPr>
              <w:jc w:val="center"/>
              <w:rPr>
                <w:rFonts w:ascii="宋体" w:hAnsi="宋体"/>
                <w:sz w:val="21"/>
                <w:szCs w:val="21"/>
              </w:rPr>
            </w:pPr>
          </w:p>
        </w:tc>
        <w:tc>
          <w:tcPr>
            <w:tcW w:w="1483"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100" w:type="dxa"/>
            <w:vMerge w:val="continue"/>
            <w:vAlign w:val="center"/>
          </w:tcPr>
          <w:p>
            <w:pPr>
              <w:rPr>
                <w:rFonts w:ascii="宋体" w:hAnsi="宋体"/>
                <w:sz w:val="21"/>
                <w:szCs w:val="21"/>
              </w:rPr>
            </w:pPr>
          </w:p>
        </w:tc>
        <w:tc>
          <w:tcPr>
            <w:tcW w:w="1231" w:type="dxa"/>
            <w:vAlign w:val="center"/>
          </w:tcPr>
          <w:p>
            <w:pPr>
              <w:jc w:val="center"/>
              <w:rPr>
                <w:rFonts w:ascii="宋体" w:hAnsi="宋体"/>
                <w:sz w:val="21"/>
                <w:szCs w:val="21"/>
              </w:rPr>
            </w:pPr>
          </w:p>
        </w:tc>
        <w:tc>
          <w:tcPr>
            <w:tcW w:w="823" w:type="dxa"/>
            <w:vAlign w:val="center"/>
          </w:tcPr>
          <w:p>
            <w:pPr>
              <w:jc w:val="center"/>
              <w:rPr>
                <w:rFonts w:ascii="宋体" w:hAnsi="宋体"/>
                <w:sz w:val="21"/>
                <w:szCs w:val="21"/>
              </w:rPr>
            </w:pPr>
          </w:p>
        </w:tc>
        <w:tc>
          <w:tcPr>
            <w:tcW w:w="2565" w:type="dxa"/>
            <w:vAlign w:val="center"/>
          </w:tcPr>
          <w:p>
            <w:pPr>
              <w:jc w:val="center"/>
              <w:rPr>
                <w:rFonts w:ascii="宋体" w:hAnsi="宋体"/>
                <w:sz w:val="21"/>
                <w:szCs w:val="21"/>
              </w:rPr>
            </w:pPr>
          </w:p>
        </w:tc>
        <w:tc>
          <w:tcPr>
            <w:tcW w:w="660" w:type="dxa"/>
            <w:vAlign w:val="center"/>
          </w:tcPr>
          <w:p>
            <w:pPr>
              <w:jc w:val="center"/>
              <w:rPr>
                <w:rFonts w:ascii="宋体" w:hAnsi="宋体"/>
                <w:sz w:val="21"/>
                <w:szCs w:val="21"/>
              </w:rPr>
            </w:pPr>
          </w:p>
        </w:tc>
        <w:tc>
          <w:tcPr>
            <w:tcW w:w="660" w:type="dxa"/>
            <w:vAlign w:val="center"/>
          </w:tcPr>
          <w:p>
            <w:pPr>
              <w:jc w:val="center"/>
              <w:rPr>
                <w:rFonts w:ascii="宋体" w:hAnsi="宋体"/>
                <w:sz w:val="21"/>
                <w:szCs w:val="21"/>
              </w:rPr>
            </w:pPr>
          </w:p>
        </w:tc>
        <w:tc>
          <w:tcPr>
            <w:tcW w:w="1483"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100" w:type="dxa"/>
            <w:vMerge w:val="continue"/>
            <w:vAlign w:val="center"/>
          </w:tcPr>
          <w:p>
            <w:pPr>
              <w:rPr>
                <w:rFonts w:ascii="宋体" w:hAnsi="宋体"/>
                <w:sz w:val="21"/>
                <w:szCs w:val="21"/>
              </w:rPr>
            </w:pPr>
          </w:p>
        </w:tc>
        <w:tc>
          <w:tcPr>
            <w:tcW w:w="1231" w:type="dxa"/>
            <w:vAlign w:val="center"/>
          </w:tcPr>
          <w:p>
            <w:pPr>
              <w:jc w:val="center"/>
              <w:rPr>
                <w:rFonts w:ascii="宋体" w:hAnsi="宋体"/>
                <w:sz w:val="21"/>
                <w:szCs w:val="21"/>
              </w:rPr>
            </w:pPr>
          </w:p>
        </w:tc>
        <w:tc>
          <w:tcPr>
            <w:tcW w:w="823" w:type="dxa"/>
            <w:vAlign w:val="center"/>
          </w:tcPr>
          <w:p>
            <w:pPr>
              <w:jc w:val="center"/>
              <w:rPr>
                <w:rFonts w:ascii="宋体" w:hAnsi="宋体"/>
                <w:sz w:val="21"/>
                <w:szCs w:val="21"/>
              </w:rPr>
            </w:pPr>
          </w:p>
        </w:tc>
        <w:tc>
          <w:tcPr>
            <w:tcW w:w="2565" w:type="dxa"/>
            <w:vAlign w:val="center"/>
          </w:tcPr>
          <w:p>
            <w:pPr>
              <w:jc w:val="center"/>
              <w:rPr>
                <w:rFonts w:ascii="宋体" w:hAnsi="宋体"/>
                <w:sz w:val="21"/>
                <w:szCs w:val="21"/>
              </w:rPr>
            </w:pPr>
          </w:p>
        </w:tc>
        <w:tc>
          <w:tcPr>
            <w:tcW w:w="660" w:type="dxa"/>
            <w:vAlign w:val="center"/>
          </w:tcPr>
          <w:p>
            <w:pPr>
              <w:jc w:val="center"/>
              <w:rPr>
                <w:rFonts w:ascii="宋体" w:hAnsi="宋体"/>
                <w:sz w:val="21"/>
                <w:szCs w:val="21"/>
              </w:rPr>
            </w:pPr>
          </w:p>
        </w:tc>
        <w:tc>
          <w:tcPr>
            <w:tcW w:w="660" w:type="dxa"/>
            <w:vAlign w:val="center"/>
          </w:tcPr>
          <w:p>
            <w:pPr>
              <w:jc w:val="center"/>
              <w:rPr>
                <w:rFonts w:ascii="宋体" w:hAnsi="宋体"/>
                <w:sz w:val="21"/>
                <w:szCs w:val="21"/>
              </w:rPr>
            </w:pPr>
          </w:p>
        </w:tc>
        <w:tc>
          <w:tcPr>
            <w:tcW w:w="1483"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100" w:type="dxa"/>
            <w:vMerge w:val="continue"/>
            <w:vAlign w:val="center"/>
          </w:tcPr>
          <w:p>
            <w:pPr>
              <w:rPr>
                <w:rFonts w:ascii="宋体" w:hAnsi="宋体"/>
                <w:sz w:val="21"/>
                <w:szCs w:val="21"/>
              </w:rPr>
            </w:pPr>
          </w:p>
        </w:tc>
        <w:tc>
          <w:tcPr>
            <w:tcW w:w="1231" w:type="dxa"/>
            <w:vAlign w:val="center"/>
          </w:tcPr>
          <w:p>
            <w:pPr>
              <w:jc w:val="center"/>
              <w:rPr>
                <w:rFonts w:ascii="宋体" w:hAnsi="宋体"/>
                <w:sz w:val="21"/>
                <w:szCs w:val="21"/>
              </w:rPr>
            </w:pPr>
            <w:r>
              <w:rPr>
                <w:rFonts w:ascii="宋体" w:hAnsi="宋体"/>
                <w:sz w:val="21"/>
                <w:szCs w:val="21"/>
              </w:rPr>
              <w:t>…</w:t>
            </w:r>
          </w:p>
        </w:tc>
        <w:tc>
          <w:tcPr>
            <w:tcW w:w="823" w:type="dxa"/>
            <w:vAlign w:val="center"/>
          </w:tcPr>
          <w:p>
            <w:pPr>
              <w:jc w:val="center"/>
              <w:rPr>
                <w:rFonts w:ascii="宋体" w:hAnsi="宋体"/>
                <w:sz w:val="21"/>
                <w:szCs w:val="21"/>
              </w:rPr>
            </w:pPr>
          </w:p>
        </w:tc>
        <w:tc>
          <w:tcPr>
            <w:tcW w:w="2565" w:type="dxa"/>
            <w:vAlign w:val="center"/>
          </w:tcPr>
          <w:p>
            <w:pPr>
              <w:jc w:val="center"/>
              <w:rPr>
                <w:rFonts w:ascii="宋体" w:hAnsi="宋体"/>
                <w:sz w:val="21"/>
                <w:szCs w:val="21"/>
              </w:rPr>
            </w:pPr>
          </w:p>
        </w:tc>
        <w:tc>
          <w:tcPr>
            <w:tcW w:w="660" w:type="dxa"/>
            <w:vAlign w:val="center"/>
          </w:tcPr>
          <w:p>
            <w:pPr>
              <w:jc w:val="center"/>
              <w:rPr>
                <w:rFonts w:ascii="宋体" w:hAnsi="宋体"/>
                <w:sz w:val="21"/>
                <w:szCs w:val="21"/>
              </w:rPr>
            </w:pPr>
          </w:p>
        </w:tc>
        <w:tc>
          <w:tcPr>
            <w:tcW w:w="660" w:type="dxa"/>
            <w:vAlign w:val="center"/>
          </w:tcPr>
          <w:p>
            <w:pPr>
              <w:jc w:val="center"/>
              <w:rPr>
                <w:rFonts w:ascii="宋体" w:hAnsi="宋体"/>
                <w:sz w:val="21"/>
                <w:szCs w:val="21"/>
              </w:rPr>
            </w:pPr>
          </w:p>
        </w:tc>
        <w:tc>
          <w:tcPr>
            <w:tcW w:w="1483" w:type="dxa"/>
            <w:vAlign w:val="center"/>
          </w:tcPr>
          <w:p>
            <w:pPr>
              <w:jc w:val="center"/>
              <w:rPr>
                <w:rFonts w:ascii="宋体" w:hAnsi="宋体"/>
                <w:sz w:val="21"/>
                <w:szCs w:val="21"/>
              </w:rPr>
            </w:pPr>
          </w:p>
        </w:tc>
      </w:tr>
    </w:tbl>
    <w:p>
      <w:pPr>
        <w:spacing w:line="360" w:lineRule="auto"/>
        <w:rPr>
          <w:rFonts w:ascii="宋体" w:hAnsi="宋体"/>
          <w:sz w:val="21"/>
          <w:szCs w:val="21"/>
          <w:lang w:val="en-GB"/>
        </w:rPr>
      </w:pPr>
      <w:r>
        <w:rPr>
          <w:rFonts w:ascii="宋体" w:hAnsi="宋体"/>
          <w:sz w:val="21"/>
          <w:szCs w:val="21"/>
          <w:lang w:val="en-GB"/>
        </w:rPr>
        <w:t>注：根据评审表的要求提交相应资料。</w:t>
      </w:r>
    </w:p>
    <w:p>
      <w:pPr>
        <w:snapToGrid w:val="0"/>
        <w:spacing w:line="360" w:lineRule="auto"/>
        <w:rPr>
          <w:rFonts w:ascii="宋体" w:hAnsi="宋体"/>
          <w:sz w:val="21"/>
          <w:szCs w:val="21"/>
          <w:lang w:val="en-GB"/>
        </w:rPr>
      </w:pPr>
    </w:p>
    <w:p>
      <w:pPr>
        <w:spacing w:line="360" w:lineRule="auto"/>
        <w:ind w:left="2"/>
        <w:rPr>
          <w:rFonts w:ascii="宋体" w:hAnsi="宋体"/>
          <w:b/>
          <w:bCs/>
          <w:sz w:val="21"/>
          <w:szCs w:val="21"/>
        </w:rPr>
      </w:pPr>
      <w:r>
        <w:rPr>
          <w:rFonts w:ascii="宋体" w:hAnsi="宋体"/>
          <w:b/>
          <w:bCs/>
          <w:sz w:val="21"/>
          <w:szCs w:val="21"/>
        </w:rPr>
        <w:t>5.3 履约进度计划表</w:t>
      </w:r>
    </w:p>
    <w:tbl>
      <w:tblPr>
        <w:tblStyle w:val="2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2478"/>
        <w:gridCol w:w="2952"/>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6" w:type="dxa"/>
            <w:vAlign w:val="center"/>
          </w:tcPr>
          <w:p>
            <w:pPr>
              <w:tabs>
                <w:tab w:val="left" w:pos="540"/>
              </w:tabs>
              <w:rPr>
                <w:rFonts w:ascii="宋体" w:hAnsi="宋体"/>
                <w:b/>
                <w:bCs/>
                <w:sz w:val="21"/>
                <w:szCs w:val="21"/>
              </w:rPr>
            </w:pPr>
            <w:r>
              <w:rPr>
                <w:rFonts w:ascii="宋体" w:hAnsi="宋体"/>
                <w:b/>
                <w:bCs/>
                <w:sz w:val="21"/>
                <w:szCs w:val="21"/>
              </w:rPr>
              <w:t>序号</w:t>
            </w:r>
          </w:p>
        </w:tc>
        <w:tc>
          <w:tcPr>
            <w:tcW w:w="2478" w:type="dxa"/>
            <w:vAlign w:val="center"/>
          </w:tcPr>
          <w:p>
            <w:pPr>
              <w:tabs>
                <w:tab w:val="left" w:pos="540"/>
              </w:tabs>
              <w:jc w:val="center"/>
              <w:rPr>
                <w:rFonts w:ascii="宋体" w:hAnsi="宋体"/>
                <w:b/>
                <w:bCs/>
                <w:sz w:val="21"/>
                <w:szCs w:val="21"/>
              </w:rPr>
            </w:pPr>
            <w:r>
              <w:rPr>
                <w:rFonts w:ascii="宋体" w:hAnsi="宋体"/>
                <w:b/>
                <w:bCs/>
                <w:sz w:val="21"/>
                <w:szCs w:val="21"/>
              </w:rPr>
              <w:t>拟定时间安排</w:t>
            </w:r>
          </w:p>
        </w:tc>
        <w:tc>
          <w:tcPr>
            <w:tcW w:w="2952" w:type="dxa"/>
            <w:vAlign w:val="center"/>
          </w:tcPr>
          <w:p>
            <w:pPr>
              <w:tabs>
                <w:tab w:val="left" w:pos="540"/>
              </w:tabs>
              <w:jc w:val="center"/>
              <w:rPr>
                <w:rFonts w:ascii="宋体" w:hAnsi="宋体"/>
                <w:b/>
                <w:bCs/>
                <w:sz w:val="21"/>
                <w:szCs w:val="21"/>
              </w:rPr>
            </w:pPr>
            <w:r>
              <w:rPr>
                <w:rFonts w:ascii="宋体" w:hAnsi="宋体"/>
                <w:b/>
                <w:bCs/>
                <w:sz w:val="21"/>
                <w:szCs w:val="21"/>
              </w:rPr>
              <w:t>计划完成的工作内容</w:t>
            </w:r>
          </w:p>
        </w:tc>
        <w:tc>
          <w:tcPr>
            <w:tcW w:w="2376" w:type="dxa"/>
            <w:vAlign w:val="center"/>
          </w:tcPr>
          <w:p>
            <w:pPr>
              <w:tabs>
                <w:tab w:val="left" w:pos="540"/>
              </w:tabs>
              <w:jc w:val="center"/>
              <w:rPr>
                <w:rFonts w:ascii="宋体" w:hAnsi="宋体"/>
                <w:b/>
                <w:bCs/>
                <w:sz w:val="21"/>
                <w:szCs w:val="21"/>
              </w:rPr>
            </w:pPr>
            <w:r>
              <w:rPr>
                <w:rFonts w:ascii="宋体" w:hAnsi="宋体"/>
                <w:b/>
                <w:bCs/>
                <w:sz w:val="21"/>
                <w:szCs w:val="21"/>
              </w:rPr>
              <w:t>实施方建议或要求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6" w:type="dxa"/>
            <w:vAlign w:val="center"/>
          </w:tcPr>
          <w:p>
            <w:pPr>
              <w:numPr>
                <w:ilvl w:val="0"/>
                <w:numId w:val="23"/>
              </w:numPr>
              <w:adjustRightInd/>
              <w:spacing w:line="240" w:lineRule="auto"/>
              <w:jc w:val="center"/>
              <w:textAlignment w:val="auto"/>
              <w:rPr>
                <w:rFonts w:ascii="宋体" w:hAnsi="宋体"/>
                <w:sz w:val="21"/>
                <w:szCs w:val="21"/>
              </w:rPr>
            </w:pPr>
          </w:p>
        </w:tc>
        <w:tc>
          <w:tcPr>
            <w:tcW w:w="2478" w:type="dxa"/>
            <w:vAlign w:val="center"/>
          </w:tcPr>
          <w:p>
            <w:pPr>
              <w:tabs>
                <w:tab w:val="left" w:pos="540"/>
              </w:tabs>
              <w:jc w:val="center"/>
              <w:rPr>
                <w:rFonts w:ascii="宋体" w:hAnsi="宋体"/>
                <w:sz w:val="21"/>
                <w:szCs w:val="21"/>
              </w:rPr>
            </w:pPr>
            <w:r>
              <w:rPr>
                <w:rFonts w:ascii="宋体" w:hAnsi="宋体"/>
                <w:sz w:val="21"/>
                <w:szCs w:val="21"/>
              </w:rPr>
              <w:t>拟定年月日</w:t>
            </w:r>
          </w:p>
        </w:tc>
        <w:tc>
          <w:tcPr>
            <w:tcW w:w="2952" w:type="dxa"/>
            <w:vAlign w:val="center"/>
          </w:tcPr>
          <w:p>
            <w:pPr>
              <w:tabs>
                <w:tab w:val="left" w:pos="540"/>
              </w:tabs>
              <w:jc w:val="center"/>
              <w:rPr>
                <w:rFonts w:ascii="宋体" w:hAnsi="宋体"/>
                <w:sz w:val="21"/>
                <w:szCs w:val="21"/>
              </w:rPr>
            </w:pPr>
            <w:r>
              <w:rPr>
                <w:rFonts w:ascii="宋体" w:hAnsi="宋体"/>
                <w:sz w:val="21"/>
                <w:szCs w:val="21"/>
              </w:rPr>
              <w:t>签定合同并生效</w:t>
            </w:r>
          </w:p>
        </w:tc>
        <w:tc>
          <w:tcPr>
            <w:tcW w:w="2376" w:type="dxa"/>
            <w:vAlign w:val="center"/>
          </w:tcPr>
          <w:p>
            <w:pPr>
              <w:tabs>
                <w:tab w:val="left" w:pos="540"/>
              </w:tabs>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6" w:type="dxa"/>
            <w:vAlign w:val="center"/>
          </w:tcPr>
          <w:p>
            <w:pPr>
              <w:numPr>
                <w:ilvl w:val="0"/>
                <w:numId w:val="23"/>
              </w:numPr>
              <w:adjustRightInd/>
              <w:spacing w:line="240" w:lineRule="auto"/>
              <w:jc w:val="center"/>
              <w:textAlignment w:val="auto"/>
              <w:rPr>
                <w:rFonts w:ascii="宋体" w:hAnsi="宋体"/>
                <w:sz w:val="21"/>
                <w:szCs w:val="21"/>
              </w:rPr>
            </w:pPr>
          </w:p>
        </w:tc>
        <w:tc>
          <w:tcPr>
            <w:tcW w:w="2478" w:type="dxa"/>
            <w:vAlign w:val="center"/>
          </w:tcPr>
          <w:p>
            <w:pPr>
              <w:tabs>
                <w:tab w:val="left" w:pos="540"/>
              </w:tabs>
              <w:jc w:val="center"/>
              <w:rPr>
                <w:rFonts w:ascii="宋体" w:hAnsi="宋体"/>
                <w:sz w:val="21"/>
                <w:szCs w:val="21"/>
              </w:rPr>
            </w:pPr>
            <w:r>
              <w:rPr>
                <w:rFonts w:ascii="宋体" w:hAnsi="宋体"/>
                <w:sz w:val="21"/>
                <w:szCs w:val="21"/>
              </w:rPr>
              <w:t>月日—   月日</w:t>
            </w:r>
          </w:p>
        </w:tc>
        <w:tc>
          <w:tcPr>
            <w:tcW w:w="2952" w:type="dxa"/>
            <w:vAlign w:val="center"/>
          </w:tcPr>
          <w:p>
            <w:pPr>
              <w:tabs>
                <w:tab w:val="left" w:pos="540"/>
              </w:tabs>
              <w:jc w:val="center"/>
              <w:rPr>
                <w:rFonts w:ascii="宋体" w:hAnsi="宋体"/>
                <w:sz w:val="21"/>
                <w:szCs w:val="21"/>
              </w:rPr>
            </w:pPr>
          </w:p>
        </w:tc>
        <w:tc>
          <w:tcPr>
            <w:tcW w:w="2376" w:type="dxa"/>
            <w:vAlign w:val="center"/>
          </w:tcPr>
          <w:p>
            <w:pPr>
              <w:tabs>
                <w:tab w:val="left" w:pos="540"/>
              </w:tabs>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6" w:type="dxa"/>
            <w:vAlign w:val="center"/>
          </w:tcPr>
          <w:p>
            <w:pPr>
              <w:numPr>
                <w:ilvl w:val="0"/>
                <w:numId w:val="23"/>
              </w:numPr>
              <w:adjustRightInd/>
              <w:spacing w:line="240" w:lineRule="auto"/>
              <w:jc w:val="center"/>
              <w:textAlignment w:val="auto"/>
              <w:rPr>
                <w:rFonts w:ascii="宋体" w:hAnsi="宋体"/>
                <w:sz w:val="21"/>
                <w:szCs w:val="21"/>
              </w:rPr>
            </w:pPr>
          </w:p>
        </w:tc>
        <w:tc>
          <w:tcPr>
            <w:tcW w:w="2478" w:type="dxa"/>
            <w:vAlign w:val="center"/>
          </w:tcPr>
          <w:p>
            <w:pPr>
              <w:tabs>
                <w:tab w:val="left" w:pos="540"/>
              </w:tabs>
              <w:jc w:val="center"/>
              <w:rPr>
                <w:rFonts w:ascii="宋体" w:hAnsi="宋体"/>
                <w:sz w:val="21"/>
                <w:szCs w:val="21"/>
              </w:rPr>
            </w:pPr>
            <w:r>
              <w:rPr>
                <w:rFonts w:ascii="宋体" w:hAnsi="宋体"/>
                <w:sz w:val="21"/>
                <w:szCs w:val="21"/>
              </w:rPr>
              <w:t>月日—   月日</w:t>
            </w:r>
          </w:p>
        </w:tc>
        <w:tc>
          <w:tcPr>
            <w:tcW w:w="2952" w:type="dxa"/>
            <w:vAlign w:val="center"/>
          </w:tcPr>
          <w:p>
            <w:pPr>
              <w:tabs>
                <w:tab w:val="left" w:pos="540"/>
              </w:tabs>
              <w:jc w:val="center"/>
              <w:rPr>
                <w:rFonts w:ascii="宋体" w:hAnsi="宋体"/>
                <w:sz w:val="21"/>
                <w:szCs w:val="21"/>
              </w:rPr>
            </w:pPr>
          </w:p>
        </w:tc>
        <w:tc>
          <w:tcPr>
            <w:tcW w:w="2376" w:type="dxa"/>
            <w:vAlign w:val="center"/>
          </w:tcPr>
          <w:p>
            <w:pPr>
              <w:tabs>
                <w:tab w:val="left" w:pos="540"/>
              </w:tabs>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6" w:type="dxa"/>
            <w:vAlign w:val="center"/>
          </w:tcPr>
          <w:p>
            <w:pPr>
              <w:numPr>
                <w:ilvl w:val="0"/>
                <w:numId w:val="23"/>
              </w:numPr>
              <w:adjustRightInd/>
              <w:spacing w:line="240" w:lineRule="auto"/>
              <w:jc w:val="center"/>
              <w:textAlignment w:val="auto"/>
              <w:rPr>
                <w:rFonts w:ascii="宋体" w:hAnsi="宋体"/>
                <w:sz w:val="21"/>
                <w:szCs w:val="21"/>
              </w:rPr>
            </w:pPr>
          </w:p>
        </w:tc>
        <w:tc>
          <w:tcPr>
            <w:tcW w:w="2478" w:type="dxa"/>
            <w:vAlign w:val="center"/>
          </w:tcPr>
          <w:p>
            <w:pPr>
              <w:tabs>
                <w:tab w:val="left" w:pos="540"/>
              </w:tabs>
              <w:jc w:val="center"/>
              <w:rPr>
                <w:rFonts w:ascii="宋体" w:hAnsi="宋体"/>
                <w:sz w:val="21"/>
                <w:szCs w:val="21"/>
              </w:rPr>
            </w:pPr>
            <w:r>
              <w:rPr>
                <w:rFonts w:ascii="宋体" w:hAnsi="宋体"/>
                <w:sz w:val="21"/>
                <w:szCs w:val="21"/>
              </w:rPr>
              <w:t>月日—   月日</w:t>
            </w:r>
          </w:p>
        </w:tc>
        <w:tc>
          <w:tcPr>
            <w:tcW w:w="2952" w:type="dxa"/>
            <w:vAlign w:val="center"/>
          </w:tcPr>
          <w:p>
            <w:pPr>
              <w:tabs>
                <w:tab w:val="left" w:pos="540"/>
              </w:tabs>
              <w:jc w:val="center"/>
              <w:rPr>
                <w:rFonts w:ascii="宋体" w:hAnsi="宋体"/>
                <w:sz w:val="21"/>
                <w:szCs w:val="21"/>
              </w:rPr>
            </w:pPr>
          </w:p>
        </w:tc>
        <w:tc>
          <w:tcPr>
            <w:tcW w:w="2376" w:type="dxa"/>
            <w:vAlign w:val="center"/>
          </w:tcPr>
          <w:p>
            <w:pPr>
              <w:tabs>
                <w:tab w:val="left" w:pos="540"/>
              </w:tabs>
              <w:jc w:val="center"/>
              <w:rPr>
                <w:rFonts w:ascii="宋体" w:hAnsi="宋体"/>
                <w:sz w:val="21"/>
                <w:szCs w:val="21"/>
              </w:rPr>
            </w:pPr>
          </w:p>
        </w:tc>
      </w:tr>
    </w:tbl>
    <w:p>
      <w:pPr>
        <w:rPr>
          <w:rFonts w:ascii="宋体" w:hAnsi="宋体"/>
          <w:sz w:val="21"/>
          <w:szCs w:val="21"/>
        </w:rPr>
      </w:pPr>
    </w:p>
    <w:p>
      <w:pPr>
        <w:spacing w:line="360" w:lineRule="auto"/>
        <w:ind w:left="2"/>
        <w:rPr>
          <w:rFonts w:ascii="宋体" w:hAnsi="宋体"/>
          <w:b/>
          <w:bCs/>
          <w:sz w:val="21"/>
          <w:szCs w:val="21"/>
        </w:rPr>
      </w:pPr>
      <w:r>
        <w:rPr>
          <w:rFonts w:ascii="宋体" w:hAnsi="宋体"/>
          <w:b/>
          <w:bCs/>
          <w:sz w:val="21"/>
          <w:szCs w:val="21"/>
        </w:rPr>
        <w:t>5.4 售后服务方案</w:t>
      </w:r>
    </w:p>
    <w:p>
      <w:pPr>
        <w:spacing w:line="360" w:lineRule="auto"/>
        <w:ind w:firstLine="420" w:firstLineChars="200"/>
        <w:rPr>
          <w:rFonts w:ascii="宋体" w:hAnsi="宋体"/>
          <w:sz w:val="21"/>
          <w:szCs w:val="21"/>
          <w:lang w:val="en-GB"/>
        </w:rPr>
      </w:pPr>
      <w:r>
        <w:rPr>
          <w:rFonts w:ascii="宋体" w:hAnsi="宋体"/>
          <w:sz w:val="21"/>
          <w:szCs w:val="21"/>
          <w:lang w:val="en-GB"/>
        </w:rPr>
        <w:t>售后服务须包括但不限于以下内容，主要根据《用户需求书》的要求（格式自定）</w:t>
      </w:r>
    </w:p>
    <w:p>
      <w:pPr>
        <w:spacing w:line="360" w:lineRule="auto"/>
        <w:ind w:firstLine="420" w:firstLineChars="200"/>
        <w:rPr>
          <w:rFonts w:ascii="宋体" w:hAnsi="宋体"/>
          <w:sz w:val="21"/>
          <w:szCs w:val="21"/>
          <w:lang w:val="en-GB"/>
        </w:rPr>
      </w:pPr>
      <w:r>
        <w:rPr>
          <w:rFonts w:ascii="宋体" w:hAnsi="宋体"/>
          <w:sz w:val="21"/>
          <w:szCs w:val="21"/>
          <w:lang w:val="en-GB"/>
        </w:rPr>
        <w:t>1.免费保修期；</w:t>
      </w:r>
    </w:p>
    <w:p>
      <w:pPr>
        <w:spacing w:line="360" w:lineRule="auto"/>
        <w:ind w:firstLine="420" w:firstLineChars="200"/>
        <w:rPr>
          <w:rFonts w:ascii="宋体" w:hAnsi="宋体"/>
          <w:sz w:val="21"/>
          <w:szCs w:val="21"/>
          <w:lang w:val="en-GB"/>
        </w:rPr>
      </w:pPr>
      <w:r>
        <w:rPr>
          <w:rFonts w:ascii="宋体" w:hAnsi="宋体"/>
          <w:sz w:val="21"/>
          <w:szCs w:val="21"/>
          <w:lang w:val="en-GB"/>
        </w:rPr>
        <w:t>2.应急维修时间安排；</w:t>
      </w:r>
    </w:p>
    <w:p>
      <w:pPr>
        <w:spacing w:line="360" w:lineRule="auto"/>
        <w:ind w:firstLine="420" w:firstLineChars="200"/>
        <w:rPr>
          <w:rFonts w:ascii="宋体" w:hAnsi="宋体"/>
          <w:sz w:val="21"/>
          <w:szCs w:val="21"/>
          <w:lang w:val="en-GB"/>
        </w:rPr>
      </w:pPr>
      <w:r>
        <w:rPr>
          <w:rFonts w:ascii="宋体" w:hAnsi="宋体"/>
          <w:sz w:val="21"/>
          <w:szCs w:val="21"/>
          <w:lang w:val="en-GB"/>
        </w:rPr>
        <w:t>3.维修地点、地址、联系电话及技术服务人员（包括厂商认证工程师等人员）；</w:t>
      </w:r>
    </w:p>
    <w:p>
      <w:pPr>
        <w:spacing w:line="360" w:lineRule="auto"/>
        <w:ind w:firstLine="420" w:firstLineChars="200"/>
        <w:rPr>
          <w:rFonts w:ascii="宋体" w:hAnsi="宋体"/>
          <w:sz w:val="21"/>
          <w:szCs w:val="21"/>
          <w:lang w:val="en-GB"/>
        </w:rPr>
      </w:pPr>
      <w:r>
        <w:rPr>
          <w:rFonts w:ascii="宋体" w:hAnsi="宋体"/>
          <w:sz w:val="21"/>
          <w:szCs w:val="21"/>
          <w:lang w:val="en-GB"/>
        </w:rPr>
        <w:t>4.维修服务收费标准；</w:t>
      </w:r>
    </w:p>
    <w:p>
      <w:pPr>
        <w:spacing w:line="360" w:lineRule="auto"/>
        <w:ind w:firstLine="420" w:firstLineChars="200"/>
        <w:rPr>
          <w:rFonts w:ascii="宋体" w:hAnsi="宋体"/>
          <w:sz w:val="21"/>
          <w:szCs w:val="21"/>
          <w:lang w:val="en-GB"/>
        </w:rPr>
      </w:pPr>
      <w:r>
        <w:rPr>
          <w:rFonts w:ascii="宋体" w:hAnsi="宋体"/>
          <w:sz w:val="21"/>
          <w:szCs w:val="21"/>
          <w:lang w:val="en-GB"/>
        </w:rPr>
        <w:t>5.制造商的技术支持；</w:t>
      </w:r>
    </w:p>
    <w:p>
      <w:pPr>
        <w:spacing w:line="360" w:lineRule="auto"/>
        <w:ind w:firstLine="420" w:firstLineChars="200"/>
        <w:rPr>
          <w:rFonts w:ascii="宋体" w:hAnsi="宋体"/>
          <w:sz w:val="21"/>
          <w:szCs w:val="21"/>
          <w:lang w:val="en-GB"/>
        </w:rPr>
      </w:pPr>
      <w:r>
        <w:rPr>
          <w:rFonts w:ascii="宋体" w:hAnsi="宋体"/>
          <w:sz w:val="21"/>
          <w:szCs w:val="21"/>
          <w:lang w:val="en-GB"/>
        </w:rPr>
        <w:t>6.其它服务承诺；</w:t>
      </w:r>
    </w:p>
    <w:p>
      <w:pPr>
        <w:spacing w:line="360" w:lineRule="auto"/>
        <w:ind w:firstLine="420" w:firstLineChars="200"/>
        <w:rPr>
          <w:rFonts w:ascii="宋体" w:hAnsi="宋体"/>
          <w:sz w:val="21"/>
          <w:szCs w:val="21"/>
          <w:lang w:val="en-GB"/>
        </w:rPr>
      </w:pPr>
      <w:r>
        <w:rPr>
          <w:rFonts w:ascii="宋体" w:hAnsi="宋体"/>
          <w:sz w:val="21"/>
          <w:szCs w:val="21"/>
          <w:lang w:val="en-GB"/>
        </w:rPr>
        <w:t>7.培训计划。</w:t>
      </w:r>
    </w:p>
    <w:p>
      <w:pPr>
        <w:jc w:val="both"/>
        <w:rPr>
          <w:rFonts w:ascii="宋体" w:hAnsi="宋体"/>
          <w:b/>
          <w:bCs/>
          <w:sz w:val="21"/>
          <w:szCs w:val="21"/>
        </w:rPr>
      </w:pPr>
      <w:r>
        <w:rPr>
          <w:rFonts w:ascii="宋体" w:hAnsi="宋体"/>
          <w:b/>
          <w:bCs/>
          <w:sz w:val="21"/>
          <w:szCs w:val="21"/>
        </w:rPr>
        <w:br w:type="page"/>
      </w:r>
      <w:r>
        <w:rPr>
          <w:rFonts w:ascii="宋体" w:hAnsi="宋体"/>
          <w:b/>
          <w:bCs/>
          <w:sz w:val="21"/>
          <w:szCs w:val="21"/>
        </w:rPr>
        <w:t>附件6</w:t>
      </w:r>
    </w:p>
    <w:p>
      <w:pPr>
        <w:snapToGrid w:val="0"/>
        <w:spacing w:line="400" w:lineRule="atLeast"/>
        <w:jc w:val="center"/>
        <w:rPr>
          <w:rFonts w:ascii="宋体" w:hAnsi="宋体"/>
          <w:b/>
          <w:bCs/>
          <w:sz w:val="21"/>
          <w:szCs w:val="21"/>
        </w:rPr>
      </w:pPr>
      <w:r>
        <w:rPr>
          <w:rFonts w:ascii="宋体" w:hAnsi="宋体"/>
          <w:b/>
          <w:bCs/>
          <w:spacing w:val="14"/>
          <w:sz w:val="21"/>
          <w:szCs w:val="21"/>
        </w:rPr>
        <w:t>中标服务费</w:t>
      </w:r>
    </w:p>
    <w:p>
      <w:pPr>
        <w:rPr>
          <w:rFonts w:ascii="宋体" w:hAnsi="宋体"/>
          <w:sz w:val="21"/>
          <w:szCs w:val="21"/>
        </w:rPr>
      </w:pPr>
    </w:p>
    <w:p>
      <w:pPr>
        <w:rPr>
          <w:rFonts w:ascii="宋体" w:hAnsi="宋体"/>
          <w:sz w:val="21"/>
          <w:szCs w:val="21"/>
        </w:rPr>
      </w:pPr>
    </w:p>
    <w:p>
      <w:pPr>
        <w:spacing w:line="360" w:lineRule="auto"/>
        <w:ind w:left="720" w:hanging="720"/>
        <w:rPr>
          <w:rFonts w:ascii="宋体" w:hAnsi="宋体"/>
          <w:sz w:val="21"/>
          <w:szCs w:val="21"/>
        </w:rPr>
      </w:pPr>
      <w:r>
        <w:rPr>
          <w:rFonts w:ascii="宋体" w:hAnsi="宋体"/>
          <w:sz w:val="21"/>
          <w:szCs w:val="21"/>
        </w:rPr>
        <w:t>中标方按如下标准和规定交纳中标服务费。</w:t>
      </w:r>
    </w:p>
    <w:p>
      <w:pPr>
        <w:spacing w:line="360" w:lineRule="auto"/>
        <w:ind w:firstLine="420" w:firstLineChars="200"/>
        <w:rPr>
          <w:rFonts w:ascii="宋体" w:hAnsi="宋体"/>
          <w:sz w:val="21"/>
          <w:szCs w:val="21"/>
        </w:rPr>
      </w:pPr>
      <w:r>
        <w:rPr>
          <w:rFonts w:ascii="宋体" w:hAnsi="宋体"/>
          <w:sz w:val="21"/>
          <w:szCs w:val="21"/>
        </w:rPr>
        <w:t>（1）中标服务费以人民币支付（按开标当日中国银行总行首次发布的现汇卖出价折算）</w:t>
      </w:r>
    </w:p>
    <w:p>
      <w:pPr>
        <w:spacing w:line="360" w:lineRule="auto"/>
        <w:ind w:firstLine="420" w:firstLineChars="200"/>
        <w:rPr>
          <w:rFonts w:ascii="宋体" w:hAnsi="宋体"/>
          <w:sz w:val="21"/>
          <w:szCs w:val="21"/>
        </w:rPr>
      </w:pPr>
      <w:r>
        <w:rPr>
          <w:rFonts w:ascii="宋体" w:hAnsi="宋体"/>
          <w:sz w:val="21"/>
          <w:szCs w:val="21"/>
        </w:rPr>
        <w:t>（2）中标服务费不列在投标报价中。</w:t>
      </w:r>
    </w:p>
    <w:p>
      <w:pPr>
        <w:spacing w:line="360" w:lineRule="auto"/>
        <w:ind w:firstLine="420" w:firstLineChars="200"/>
        <w:rPr>
          <w:rFonts w:ascii="宋体" w:hAnsi="宋体"/>
          <w:sz w:val="21"/>
          <w:szCs w:val="21"/>
        </w:rPr>
      </w:pPr>
      <w:r>
        <w:rPr>
          <w:rFonts w:ascii="宋体" w:hAnsi="宋体"/>
          <w:sz w:val="21"/>
          <w:szCs w:val="21"/>
        </w:rPr>
        <w:t>（3）中标人在收到中标通知书当天向招标代理机构交纳中标费，交费账户为：</w:t>
      </w:r>
    </w:p>
    <w:p>
      <w:pPr>
        <w:spacing w:line="360" w:lineRule="auto"/>
        <w:ind w:left="720" w:hanging="720"/>
        <w:rPr>
          <w:rFonts w:ascii="宋体" w:hAnsi="宋体"/>
          <w:sz w:val="21"/>
          <w:szCs w:val="21"/>
        </w:rPr>
      </w:pPr>
      <w:r>
        <w:rPr>
          <w:rFonts w:ascii="宋体" w:hAnsi="宋体"/>
          <w:sz w:val="21"/>
          <w:szCs w:val="21"/>
        </w:rPr>
        <w:t>收款人：</w:t>
      </w:r>
      <w:r>
        <w:rPr>
          <w:rFonts w:hint="eastAsia" w:ascii="宋体" w:hAnsi="宋体"/>
          <w:sz w:val="21"/>
          <w:szCs w:val="21"/>
        </w:rPr>
        <w:t>广东华伦招标有限公司</w:t>
      </w:r>
    </w:p>
    <w:p>
      <w:pPr>
        <w:spacing w:line="360" w:lineRule="auto"/>
        <w:ind w:left="720" w:hanging="720"/>
        <w:rPr>
          <w:rFonts w:ascii="宋体" w:hAnsi="宋体"/>
          <w:sz w:val="21"/>
          <w:szCs w:val="21"/>
        </w:rPr>
      </w:pPr>
      <w:r>
        <w:rPr>
          <w:rFonts w:ascii="宋体" w:hAnsi="宋体"/>
          <w:sz w:val="21"/>
          <w:szCs w:val="21"/>
        </w:rPr>
        <w:t>开户银行：中国工商银行股份有限公司广州第一支行</w:t>
      </w:r>
    </w:p>
    <w:p>
      <w:pPr>
        <w:spacing w:line="360" w:lineRule="auto"/>
        <w:ind w:left="720" w:hanging="720"/>
        <w:rPr>
          <w:rFonts w:ascii="宋体" w:hAnsi="宋体"/>
          <w:sz w:val="21"/>
          <w:szCs w:val="21"/>
        </w:rPr>
      </w:pPr>
      <w:r>
        <w:rPr>
          <w:rFonts w:ascii="宋体" w:hAnsi="宋体"/>
          <w:sz w:val="21"/>
          <w:szCs w:val="21"/>
        </w:rPr>
        <w:t>帐号：3602000109000326441</w:t>
      </w:r>
    </w:p>
    <w:p>
      <w:pPr>
        <w:spacing w:line="360" w:lineRule="auto"/>
        <w:ind w:firstLine="420" w:firstLineChars="200"/>
        <w:rPr>
          <w:rFonts w:ascii="宋体" w:hAnsi="宋体"/>
          <w:sz w:val="21"/>
          <w:szCs w:val="21"/>
        </w:rPr>
      </w:pPr>
      <w:r>
        <w:rPr>
          <w:rFonts w:ascii="宋体" w:hAnsi="宋体"/>
          <w:sz w:val="21"/>
          <w:szCs w:val="21"/>
        </w:rPr>
        <w:t>（4）按国家颁布的《招标代理服务收费管理暂行办法》（国家发展计划委员会计价格[2002]1980号）和《关于招标代理服务收费有关问题的通知》（发改办价格［2003］857号）的规定和标准交纳中标服务费，具体如下：</w:t>
      </w:r>
    </w:p>
    <w:p>
      <w:pPr>
        <w:spacing w:line="360" w:lineRule="auto"/>
        <w:ind w:left="720"/>
        <w:rPr>
          <w:rFonts w:ascii="宋体" w:hAnsi="宋体"/>
          <w:sz w:val="21"/>
          <w:szCs w:val="21"/>
        </w:rPr>
      </w:pPr>
      <w:r>
        <w:rPr>
          <w:rFonts w:ascii="宋体" w:hAnsi="宋体"/>
          <w:sz w:val="21"/>
          <w:szCs w:val="21"/>
        </w:rPr>
        <w:t>招标代理服务收费按差额定率累进法计算，以中标通知书中确定的中标金额作为收费的计算依据。本项目为货物类，中标金额的各部分费率如下表：</w:t>
      </w:r>
    </w:p>
    <w:tbl>
      <w:tblPr>
        <w:tblStyle w:val="23"/>
        <w:tblW w:w="7151"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1"/>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3911" w:type="dxa"/>
            <w:tcBorders>
              <w:tl2br w:val="single" w:color="auto" w:sz="2" w:space="0"/>
            </w:tcBorders>
            <w:vAlign w:val="center"/>
          </w:tcPr>
          <w:p>
            <w:pPr>
              <w:rPr>
                <w:rFonts w:ascii="宋体" w:hAnsi="宋体"/>
                <w:sz w:val="21"/>
                <w:szCs w:val="21"/>
              </w:rPr>
            </w:pPr>
          </w:p>
          <w:p>
            <w:pPr>
              <w:ind w:firstLine="2205" w:firstLineChars="1050"/>
              <w:rPr>
                <w:rFonts w:ascii="宋体" w:hAnsi="宋体"/>
                <w:sz w:val="21"/>
                <w:szCs w:val="21"/>
              </w:rPr>
            </w:pPr>
            <w:r>
              <w:rPr>
                <w:rFonts w:ascii="宋体" w:hAnsi="宋体"/>
                <w:sz w:val="21"/>
                <w:szCs w:val="21"/>
              </w:rPr>
              <w:t>费率类别</w:t>
            </w:r>
          </w:p>
          <w:p>
            <w:pPr>
              <w:rPr>
                <w:rFonts w:ascii="宋体" w:hAnsi="宋体"/>
                <w:sz w:val="21"/>
                <w:szCs w:val="21"/>
              </w:rPr>
            </w:pPr>
          </w:p>
          <w:p>
            <w:pPr>
              <w:rPr>
                <w:rFonts w:ascii="宋体" w:hAnsi="宋体"/>
                <w:sz w:val="21"/>
                <w:szCs w:val="21"/>
              </w:rPr>
            </w:pPr>
            <w:r>
              <w:rPr>
                <w:rFonts w:ascii="宋体" w:hAnsi="宋体"/>
                <w:sz w:val="21"/>
                <w:szCs w:val="21"/>
              </w:rPr>
              <w:t>中标金额（万元人民币）</w:t>
            </w:r>
          </w:p>
        </w:tc>
        <w:tc>
          <w:tcPr>
            <w:tcW w:w="3240" w:type="dxa"/>
            <w:vAlign w:val="center"/>
          </w:tcPr>
          <w:p>
            <w:pPr>
              <w:spacing w:line="408" w:lineRule="auto"/>
              <w:jc w:val="center"/>
              <w:rPr>
                <w:rFonts w:ascii="宋体" w:hAnsi="宋体"/>
                <w:sz w:val="21"/>
                <w:szCs w:val="21"/>
              </w:rPr>
            </w:pPr>
            <w:r>
              <w:rPr>
                <w:rFonts w:ascii="宋体" w:hAnsi="宋体"/>
                <w:sz w:val="21"/>
                <w:szCs w:val="21"/>
              </w:rPr>
              <w:t>货物招标费率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1" w:type="dxa"/>
            <w:vAlign w:val="center"/>
          </w:tcPr>
          <w:p>
            <w:pPr>
              <w:jc w:val="center"/>
              <w:rPr>
                <w:rFonts w:ascii="宋体" w:hAnsi="宋体"/>
                <w:sz w:val="21"/>
                <w:szCs w:val="21"/>
              </w:rPr>
            </w:pPr>
            <w:r>
              <w:rPr>
                <w:rFonts w:ascii="宋体" w:hAnsi="宋体"/>
                <w:sz w:val="21"/>
                <w:szCs w:val="21"/>
              </w:rPr>
              <w:t>100以下部分</w:t>
            </w:r>
          </w:p>
        </w:tc>
        <w:tc>
          <w:tcPr>
            <w:tcW w:w="3240" w:type="dxa"/>
            <w:vAlign w:val="center"/>
          </w:tcPr>
          <w:p>
            <w:pPr>
              <w:jc w:val="center"/>
              <w:rPr>
                <w:rFonts w:ascii="宋体" w:hAnsi="宋体"/>
                <w:sz w:val="21"/>
                <w:szCs w:val="21"/>
              </w:rPr>
            </w:pPr>
            <w:r>
              <w:rPr>
                <w:rFonts w:ascii="宋体" w:hAnsi="宋体"/>
                <w:sz w:val="21"/>
                <w:szCs w:val="21"/>
              </w:rPr>
              <w:t>1.5%×80%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1" w:type="dxa"/>
            <w:vAlign w:val="center"/>
          </w:tcPr>
          <w:p>
            <w:pPr>
              <w:jc w:val="center"/>
              <w:rPr>
                <w:rFonts w:ascii="宋体" w:hAnsi="宋体"/>
                <w:sz w:val="21"/>
                <w:szCs w:val="21"/>
              </w:rPr>
            </w:pPr>
            <w:r>
              <w:rPr>
                <w:rFonts w:ascii="宋体" w:hAnsi="宋体"/>
                <w:sz w:val="21"/>
                <w:szCs w:val="21"/>
              </w:rPr>
              <w:t>100-500部分</w:t>
            </w:r>
          </w:p>
        </w:tc>
        <w:tc>
          <w:tcPr>
            <w:tcW w:w="3240" w:type="dxa"/>
            <w:vAlign w:val="center"/>
          </w:tcPr>
          <w:p>
            <w:pPr>
              <w:jc w:val="center"/>
              <w:rPr>
                <w:rFonts w:ascii="宋体" w:hAnsi="宋体"/>
                <w:sz w:val="21"/>
                <w:szCs w:val="21"/>
              </w:rPr>
            </w:pPr>
            <w:r>
              <w:rPr>
                <w:rFonts w:ascii="宋体" w:hAnsi="宋体"/>
                <w:sz w:val="21"/>
                <w:szCs w:val="21"/>
              </w:rPr>
              <w:t>1.1%×80%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1" w:type="dxa"/>
            <w:vAlign w:val="center"/>
          </w:tcPr>
          <w:p>
            <w:pPr>
              <w:jc w:val="center"/>
              <w:rPr>
                <w:rFonts w:ascii="宋体" w:hAnsi="宋体"/>
                <w:sz w:val="21"/>
                <w:szCs w:val="21"/>
              </w:rPr>
            </w:pPr>
            <w:r>
              <w:rPr>
                <w:rFonts w:ascii="宋体" w:hAnsi="宋体"/>
                <w:sz w:val="21"/>
                <w:szCs w:val="21"/>
              </w:rPr>
              <w:t>500-1000部分</w:t>
            </w:r>
          </w:p>
        </w:tc>
        <w:tc>
          <w:tcPr>
            <w:tcW w:w="3240" w:type="dxa"/>
            <w:vAlign w:val="center"/>
          </w:tcPr>
          <w:p>
            <w:pPr>
              <w:jc w:val="center"/>
              <w:rPr>
                <w:rFonts w:ascii="宋体" w:hAnsi="宋体"/>
                <w:sz w:val="21"/>
                <w:szCs w:val="21"/>
              </w:rPr>
            </w:pPr>
            <w:r>
              <w:rPr>
                <w:rFonts w:ascii="宋体" w:hAnsi="宋体"/>
                <w:sz w:val="21"/>
                <w:szCs w:val="21"/>
              </w:rPr>
              <w:t>0.8%×80%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1" w:type="dxa"/>
            <w:vAlign w:val="center"/>
          </w:tcPr>
          <w:p>
            <w:pPr>
              <w:jc w:val="center"/>
              <w:rPr>
                <w:rFonts w:ascii="宋体" w:hAnsi="宋体"/>
                <w:sz w:val="21"/>
                <w:szCs w:val="21"/>
              </w:rPr>
            </w:pPr>
            <w:r>
              <w:rPr>
                <w:rFonts w:ascii="宋体" w:hAnsi="宋体"/>
                <w:sz w:val="21"/>
                <w:szCs w:val="21"/>
              </w:rPr>
              <w:t>1000-5000部分</w:t>
            </w:r>
          </w:p>
        </w:tc>
        <w:tc>
          <w:tcPr>
            <w:tcW w:w="3240" w:type="dxa"/>
            <w:vAlign w:val="center"/>
          </w:tcPr>
          <w:p>
            <w:pPr>
              <w:jc w:val="center"/>
              <w:rPr>
                <w:rFonts w:ascii="宋体" w:hAnsi="宋体"/>
                <w:sz w:val="21"/>
                <w:szCs w:val="21"/>
              </w:rPr>
            </w:pPr>
            <w:r>
              <w:rPr>
                <w:rFonts w:ascii="宋体" w:hAnsi="宋体"/>
                <w:sz w:val="21"/>
                <w:szCs w:val="21"/>
              </w:rPr>
              <w:t>0.5%×80%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1" w:type="dxa"/>
            <w:vAlign w:val="center"/>
          </w:tcPr>
          <w:p>
            <w:pPr>
              <w:jc w:val="center"/>
              <w:rPr>
                <w:rFonts w:ascii="宋体" w:hAnsi="宋体"/>
                <w:sz w:val="21"/>
                <w:szCs w:val="21"/>
              </w:rPr>
            </w:pPr>
            <w:r>
              <w:rPr>
                <w:rFonts w:ascii="宋体" w:hAnsi="宋体"/>
                <w:sz w:val="21"/>
                <w:szCs w:val="21"/>
              </w:rPr>
              <w:t>5000-10000部分</w:t>
            </w:r>
          </w:p>
        </w:tc>
        <w:tc>
          <w:tcPr>
            <w:tcW w:w="3240" w:type="dxa"/>
            <w:vAlign w:val="center"/>
          </w:tcPr>
          <w:p>
            <w:pPr>
              <w:jc w:val="center"/>
              <w:rPr>
                <w:rFonts w:ascii="宋体" w:hAnsi="宋体"/>
                <w:sz w:val="21"/>
                <w:szCs w:val="21"/>
              </w:rPr>
            </w:pPr>
            <w:r>
              <w:rPr>
                <w:rFonts w:ascii="宋体" w:hAnsi="宋体"/>
                <w:sz w:val="21"/>
                <w:szCs w:val="21"/>
              </w:rPr>
              <w:t>0.25%×80%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1" w:type="dxa"/>
            <w:vAlign w:val="center"/>
          </w:tcPr>
          <w:p>
            <w:pPr>
              <w:jc w:val="center"/>
              <w:rPr>
                <w:rFonts w:ascii="宋体" w:hAnsi="宋体"/>
                <w:sz w:val="21"/>
                <w:szCs w:val="21"/>
              </w:rPr>
            </w:pPr>
            <w:r>
              <w:rPr>
                <w:rFonts w:ascii="宋体" w:hAnsi="宋体"/>
                <w:sz w:val="21"/>
                <w:szCs w:val="21"/>
              </w:rPr>
              <w:t>10000-100000部分</w:t>
            </w:r>
          </w:p>
        </w:tc>
        <w:tc>
          <w:tcPr>
            <w:tcW w:w="3240" w:type="dxa"/>
            <w:vAlign w:val="center"/>
          </w:tcPr>
          <w:p>
            <w:pPr>
              <w:jc w:val="center"/>
              <w:rPr>
                <w:rFonts w:ascii="宋体" w:hAnsi="宋体"/>
                <w:sz w:val="21"/>
                <w:szCs w:val="21"/>
              </w:rPr>
            </w:pPr>
            <w:r>
              <w:rPr>
                <w:rFonts w:ascii="宋体" w:hAnsi="宋体"/>
                <w:sz w:val="21"/>
                <w:szCs w:val="21"/>
              </w:rPr>
              <w:t>0.05%×80%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1" w:type="dxa"/>
            <w:vAlign w:val="center"/>
          </w:tcPr>
          <w:p>
            <w:pPr>
              <w:jc w:val="center"/>
              <w:rPr>
                <w:rFonts w:ascii="宋体" w:hAnsi="宋体"/>
                <w:sz w:val="21"/>
                <w:szCs w:val="21"/>
              </w:rPr>
            </w:pPr>
            <w:r>
              <w:rPr>
                <w:rFonts w:ascii="宋体" w:hAnsi="宋体"/>
                <w:sz w:val="21"/>
                <w:szCs w:val="21"/>
              </w:rPr>
              <w:t>1000000以上部分</w:t>
            </w:r>
          </w:p>
        </w:tc>
        <w:tc>
          <w:tcPr>
            <w:tcW w:w="3240" w:type="dxa"/>
            <w:vAlign w:val="center"/>
          </w:tcPr>
          <w:p>
            <w:pPr>
              <w:jc w:val="center"/>
              <w:rPr>
                <w:rFonts w:ascii="宋体" w:hAnsi="宋体"/>
                <w:sz w:val="21"/>
                <w:szCs w:val="21"/>
              </w:rPr>
            </w:pPr>
            <w:r>
              <w:rPr>
                <w:rFonts w:ascii="宋体" w:hAnsi="宋体"/>
                <w:sz w:val="21"/>
                <w:szCs w:val="21"/>
              </w:rPr>
              <w:t>0.01%×80%</w:t>
            </w:r>
          </w:p>
        </w:tc>
      </w:tr>
    </w:tbl>
    <w:p>
      <w:pPr>
        <w:spacing w:line="300" w:lineRule="auto"/>
        <w:rPr>
          <w:rFonts w:ascii="宋体" w:hAnsi="宋体"/>
          <w:sz w:val="21"/>
          <w:szCs w:val="21"/>
        </w:rPr>
      </w:pPr>
    </w:p>
    <w:p>
      <w:pPr>
        <w:spacing w:line="360" w:lineRule="auto"/>
        <w:rPr>
          <w:rFonts w:ascii="宋体" w:hAnsi="宋体"/>
          <w:sz w:val="21"/>
          <w:szCs w:val="21"/>
        </w:rPr>
      </w:pPr>
    </w:p>
    <w:p>
      <w:pPr>
        <w:spacing w:line="300" w:lineRule="auto"/>
        <w:rPr>
          <w:rFonts w:ascii="宋体" w:hAnsi="宋体"/>
          <w:sz w:val="21"/>
          <w:szCs w:val="21"/>
        </w:rPr>
      </w:pPr>
      <w:r>
        <w:rPr>
          <w:rFonts w:ascii="宋体" w:hAnsi="宋体"/>
          <w:sz w:val="21"/>
          <w:szCs w:val="21"/>
        </w:rPr>
        <w:br w:type="page"/>
      </w:r>
      <w:r>
        <w:rPr>
          <w:rFonts w:ascii="宋体" w:hAnsi="宋体"/>
          <w:b/>
          <w:bCs/>
          <w:sz w:val="21"/>
          <w:szCs w:val="21"/>
        </w:rPr>
        <w:t>附件7</w:t>
      </w:r>
    </w:p>
    <w:p>
      <w:pPr>
        <w:jc w:val="center"/>
        <w:rPr>
          <w:rFonts w:ascii="宋体" w:hAnsi="宋体"/>
          <w:b/>
          <w:bCs/>
          <w:sz w:val="21"/>
          <w:szCs w:val="21"/>
        </w:rPr>
      </w:pPr>
    </w:p>
    <w:p>
      <w:pPr>
        <w:spacing w:line="360" w:lineRule="auto"/>
        <w:jc w:val="center"/>
        <w:rPr>
          <w:rFonts w:ascii="宋体" w:hAnsi="宋体"/>
          <w:b/>
          <w:sz w:val="21"/>
          <w:szCs w:val="21"/>
        </w:rPr>
      </w:pPr>
      <w:r>
        <w:rPr>
          <w:rFonts w:hint="eastAsia" w:ascii="宋体" w:hAnsi="宋体"/>
          <w:b/>
          <w:sz w:val="21"/>
          <w:szCs w:val="21"/>
        </w:rPr>
        <w:t>中标服务费支付承诺书</w:t>
      </w:r>
    </w:p>
    <w:p>
      <w:pPr>
        <w:spacing w:line="360" w:lineRule="auto"/>
        <w:rPr>
          <w:rFonts w:ascii="宋体" w:hAnsi="宋体"/>
          <w:sz w:val="21"/>
          <w:szCs w:val="21"/>
        </w:rPr>
      </w:pPr>
    </w:p>
    <w:p>
      <w:pPr>
        <w:spacing w:line="360" w:lineRule="auto"/>
        <w:rPr>
          <w:rFonts w:ascii="宋体" w:hAnsi="宋体"/>
          <w:b/>
          <w:sz w:val="21"/>
          <w:szCs w:val="21"/>
        </w:rPr>
      </w:pPr>
      <w:r>
        <w:rPr>
          <w:rFonts w:hint="eastAsia" w:ascii="宋体" w:hAnsi="宋体"/>
          <w:sz w:val="21"/>
          <w:szCs w:val="21"/>
        </w:rPr>
        <w:t>致：</w:t>
      </w:r>
      <w:r>
        <w:rPr>
          <w:rFonts w:hint="eastAsia" w:ascii="宋体" w:hAnsi="宋体"/>
          <w:b/>
          <w:sz w:val="21"/>
          <w:szCs w:val="21"/>
        </w:rPr>
        <w:t>广东华伦招标有限公司</w:t>
      </w:r>
    </w:p>
    <w:p>
      <w:pPr>
        <w:spacing w:line="360" w:lineRule="auto"/>
        <w:rPr>
          <w:rFonts w:ascii="宋体" w:hAnsi="宋体"/>
          <w:sz w:val="21"/>
          <w:szCs w:val="21"/>
        </w:rPr>
      </w:pPr>
    </w:p>
    <w:p>
      <w:pPr>
        <w:spacing w:line="360" w:lineRule="auto"/>
        <w:ind w:firstLine="420"/>
        <w:rPr>
          <w:rFonts w:ascii="宋体" w:hAnsi="宋体"/>
          <w:sz w:val="21"/>
          <w:szCs w:val="21"/>
        </w:rPr>
      </w:pPr>
      <w:r>
        <w:rPr>
          <w:rFonts w:hint="eastAsia" w:ascii="宋体" w:hAnsi="宋体"/>
          <w:sz w:val="21"/>
          <w:szCs w:val="21"/>
        </w:rPr>
        <w:t>如果我方在贵公司组织的暨南大学珠江人才计划本土创新创业团队及粤港澳大湾区中医药现代化与创新药物联合实验室设备采购项目招标中获中标（采购项目编号：0809-1941GDI13801），我方保证在收取《中标通知书》前，按招标文件规定向贵公司交纳中标服务费。</w:t>
      </w:r>
    </w:p>
    <w:p>
      <w:pPr>
        <w:spacing w:line="360" w:lineRule="auto"/>
        <w:ind w:firstLine="420"/>
        <w:rPr>
          <w:rFonts w:ascii="宋体" w:hAnsi="宋体"/>
          <w:sz w:val="21"/>
          <w:szCs w:val="21"/>
        </w:rPr>
      </w:pPr>
      <w:r>
        <w:rPr>
          <w:rFonts w:hint="eastAsia" w:ascii="宋体" w:hAnsi="宋体"/>
          <w:sz w:val="21"/>
          <w:szCs w:val="21"/>
        </w:rPr>
        <w:t>我方如违约，愿凭贵公司开出的违约通知，从我方提交的投标保证金中支付，不足部分由采购人在支付我方的中标合同款中代为扣付；以银行保函（或《政府采购投标担保函》）方式提交投标保证金时，同意和要求投标保函开立银行（或开立《政府采购投标担保函》的担保机构）应</w:t>
      </w:r>
      <w:r>
        <w:rPr>
          <w:rFonts w:hint="eastAsia" w:ascii="宋体" w:hAnsi="宋体"/>
          <w:b/>
          <w:sz w:val="21"/>
          <w:szCs w:val="21"/>
        </w:rPr>
        <w:t>广东华伦招标有限公司</w:t>
      </w:r>
      <w:r>
        <w:rPr>
          <w:rFonts w:hint="eastAsia" w:ascii="宋体" w:hAnsi="宋体"/>
          <w:sz w:val="21"/>
          <w:szCs w:val="21"/>
        </w:rPr>
        <w:t>的要求办理支付手续。</w:t>
      </w:r>
    </w:p>
    <w:p>
      <w:pPr>
        <w:spacing w:line="360" w:lineRule="auto"/>
        <w:rPr>
          <w:rFonts w:ascii="宋体" w:hAnsi="宋体"/>
          <w:sz w:val="21"/>
          <w:szCs w:val="21"/>
        </w:rPr>
      </w:pPr>
    </w:p>
    <w:p>
      <w:pPr>
        <w:spacing w:line="360" w:lineRule="auto"/>
        <w:ind w:firstLine="405"/>
        <w:rPr>
          <w:rFonts w:ascii="宋体" w:hAnsi="宋体"/>
          <w:sz w:val="21"/>
          <w:szCs w:val="21"/>
        </w:rPr>
      </w:pPr>
      <w:r>
        <w:rPr>
          <w:rFonts w:hint="eastAsia" w:ascii="宋体" w:hAnsi="宋体"/>
          <w:sz w:val="21"/>
          <w:szCs w:val="21"/>
        </w:rPr>
        <w:t>特此承诺！</w:t>
      </w:r>
    </w:p>
    <w:p>
      <w:pPr>
        <w:spacing w:line="360" w:lineRule="auto"/>
        <w:rPr>
          <w:rFonts w:ascii="宋体" w:hAnsi="宋体"/>
          <w:sz w:val="21"/>
          <w:szCs w:val="21"/>
        </w:rPr>
      </w:pPr>
    </w:p>
    <w:p>
      <w:pPr>
        <w:spacing w:line="360" w:lineRule="auto"/>
        <w:rPr>
          <w:rFonts w:ascii="宋体" w:hAnsi="宋体"/>
          <w:sz w:val="21"/>
          <w:szCs w:val="21"/>
        </w:rPr>
      </w:pPr>
    </w:p>
    <w:p>
      <w:pPr>
        <w:spacing w:line="360" w:lineRule="auto"/>
        <w:ind w:left="5371" w:leftChars="2238"/>
        <w:rPr>
          <w:rFonts w:ascii="宋体" w:hAnsi="宋体"/>
          <w:sz w:val="21"/>
          <w:szCs w:val="21"/>
        </w:rPr>
      </w:pPr>
      <w:r>
        <w:rPr>
          <w:rFonts w:hint="eastAsia" w:ascii="宋体" w:hAnsi="宋体"/>
          <w:sz w:val="21"/>
          <w:szCs w:val="21"/>
        </w:rPr>
        <w:t>投标供应商法定名称（公章）；</w:t>
      </w:r>
    </w:p>
    <w:p>
      <w:pPr>
        <w:spacing w:line="360" w:lineRule="auto"/>
        <w:ind w:left="5371" w:leftChars="2238"/>
        <w:rPr>
          <w:rFonts w:ascii="宋体" w:hAnsi="宋体"/>
          <w:sz w:val="21"/>
          <w:szCs w:val="21"/>
        </w:rPr>
      </w:pPr>
      <w:r>
        <w:rPr>
          <w:rFonts w:hint="eastAsia" w:ascii="宋体" w:hAnsi="宋体"/>
          <w:sz w:val="21"/>
          <w:szCs w:val="21"/>
        </w:rPr>
        <w:t>投标供应商法定地址：</w:t>
      </w:r>
    </w:p>
    <w:p>
      <w:pPr>
        <w:spacing w:line="360" w:lineRule="auto"/>
        <w:ind w:left="5371" w:leftChars="2238"/>
        <w:rPr>
          <w:rFonts w:ascii="宋体" w:hAnsi="宋体"/>
          <w:sz w:val="21"/>
          <w:szCs w:val="21"/>
        </w:rPr>
      </w:pPr>
      <w:r>
        <w:rPr>
          <w:rFonts w:hint="eastAsia" w:ascii="宋体" w:hAnsi="宋体"/>
          <w:sz w:val="21"/>
          <w:szCs w:val="21"/>
        </w:rPr>
        <w:t>投标供应商授权代表（签字或盖章）：</w:t>
      </w:r>
    </w:p>
    <w:p>
      <w:pPr>
        <w:spacing w:line="360" w:lineRule="auto"/>
        <w:ind w:left="5371" w:leftChars="2238"/>
        <w:rPr>
          <w:rFonts w:ascii="宋体" w:hAnsi="宋体"/>
          <w:sz w:val="21"/>
          <w:szCs w:val="21"/>
        </w:rPr>
      </w:pPr>
      <w:r>
        <w:rPr>
          <w:rFonts w:hint="eastAsia" w:ascii="宋体" w:hAnsi="宋体"/>
          <w:sz w:val="21"/>
          <w:szCs w:val="21"/>
        </w:rPr>
        <w:t>电    话：</w:t>
      </w:r>
    </w:p>
    <w:p>
      <w:pPr>
        <w:spacing w:line="360" w:lineRule="auto"/>
        <w:ind w:left="5371" w:leftChars="2238"/>
        <w:rPr>
          <w:rFonts w:ascii="宋体" w:hAnsi="宋体"/>
          <w:sz w:val="21"/>
          <w:szCs w:val="21"/>
        </w:rPr>
      </w:pPr>
      <w:r>
        <w:rPr>
          <w:rFonts w:hint="eastAsia" w:ascii="宋体" w:hAnsi="宋体"/>
          <w:sz w:val="21"/>
          <w:szCs w:val="21"/>
        </w:rPr>
        <w:t>传    真：</w:t>
      </w:r>
    </w:p>
    <w:p>
      <w:pPr>
        <w:spacing w:line="360" w:lineRule="auto"/>
        <w:ind w:left="5371" w:leftChars="2238"/>
        <w:rPr>
          <w:rFonts w:ascii="宋体" w:hAnsi="宋体"/>
          <w:sz w:val="21"/>
          <w:szCs w:val="21"/>
        </w:rPr>
      </w:pPr>
      <w:r>
        <w:rPr>
          <w:rFonts w:hint="eastAsia" w:ascii="宋体" w:hAnsi="宋体"/>
          <w:sz w:val="21"/>
          <w:szCs w:val="21"/>
        </w:rPr>
        <w:t>承诺日期：</w:t>
      </w:r>
    </w:p>
    <w:p>
      <w:pPr>
        <w:spacing w:line="360" w:lineRule="auto"/>
        <w:rPr>
          <w:rFonts w:ascii="宋体" w:hAnsi="宋体"/>
          <w:sz w:val="21"/>
          <w:szCs w:val="21"/>
        </w:rPr>
      </w:pPr>
    </w:p>
    <w:p>
      <w:pPr>
        <w:spacing w:line="360" w:lineRule="auto"/>
        <w:rPr>
          <w:rFonts w:ascii="宋体" w:hAnsi="宋体"/>
          <w:sz w:val="21"/>
          <w:szCs w:val="21"/>
        </w:rPr>
      </w:pPr>
    </w:p>
    <w:p>
      <w:pPr>
        <w:spacing w:line="360" w:lineRule="auto"/>
        <w:rPr>
          <w:rFonts w:ascii="宋体" w:hAnsi="宋体"/>
          <w:sz w:val="21"/>
          <w:szCs w:val="21"/>
        </w:rPr>
      </w:pPr>
    </w:p>
    <w:p>
      <w:pPr>
        <w:spacing w:line="360" w:lineRule="auto"/>
        <w:rPr>
          <w:rFonts w:ascii="宋体" w:hAnsi="宋体"/>
          <w:sz w:val="21"/>
          <w:szCs w:val="21"/>
        </w:rPr>
      </w:pPr>
    </w:p>
    <w:p>
      <w:pPr>
        <w:spacing w:line="360" w:lineRule="auto"/>
        <w:rPr>
          <w:rFonts w:ascii="宋体" w:hAnsi="宋体"/>
          <w:sz w:val="21"/>
          <w:szCs w:val="21"/>
        </w:rPr>
      </w:pPr>
    </w:p>
    <w:p>
      <w:pPr>
        <w:spacing w:line="360" w:lineRule="auto"/>
        <w:ind w:left="424" w:hanging="424" w:hangingChars="202"/>
        <w:rPr>
          <w:rFonts w:ascii="宋体" w:hAnsi="宋体"/>
          <w:b/>
          <w:sz w:val="21"/>
          <w:szCs w:val="21"/>
          <w:lang w:val="en-GB"/>
        </w:rPr>
      </w:pPr>
      <w:r>
        <w:rPr>
          <w:rFonts w:hint="eastAsia" w:ascii="宋体" w:hAnsi="宋体"/>
          <w:sz w:val="21"/>
          <w:szCs w:val="21"/>
        </w:rPr>
        <w:t>注：投标供应商请注意区分投标保证金及中标服务费收款帐号的区别，务必将保证金按招标文件的要求存入指定的保证金专用账户，中标服务费存入中标通知书中指定的服务费账户。切勿将款项转错账户，以免影响保证金退还的速度。</w:t>
      </w:r>
    </w:p>
    <w:p>
      <w:pPr>
        <w:ind w:left="140" w:hanging="420"/>
        <w:rPr>
          <w:rFonts w:ascii="宋体" w:hAnsi="宋体"/>
          <w:sz w:val="21"/>
          <w:szCs w:val="21"/>
        </w:rPr>
      </w:pPr>
    </w:p>
    <w:p>
      <w:pPr>
        <w:rPr>
          <w:rFonts w:ascii="宋体" w:hAnsi="宋体"/>
          <w:sz w:val="21"/>
          <w:szCs w:val="21"/>
          <w:u w:val="single"/>
        </w:rPr>
      </w:pPr>
    </w:p>
    <w:p>
      <w:pPr>
        <w:pStyle w:val="4"/>
        <w:spacing w:line="360" w:lineRule="auto"/>
        <w:ind w:firstLine="0"/>
        <w:jc w:val="both"/>
        <w:rPr>
          <w:rFonts w:ascii="宋体" w:hAnsi="宋体"/>
          <w:b/>
          <w:bCs/>
          <w:sz w:val="21"/>
          <w:szCs w:val="21"/>
        </w:rPr>
      </w:pPr>
      <w:r>
        <w:rPr>
          <w:rFonts w:ascii="宋体" w:hAnsi="宋体"/>
          <w:sz w:val="21"/>
          <w:szCs w:val="21"/>
          <w:u w:val="single"/>
        </w:rPr>
        <w:br w:type="page"/>
      </w:r>
      <w:r>
        <w:rPr>
          <w:rFonts w:ascii="宋体" w:hAnsi="宋体"/>
          <w:b/>
          <w:bCs/>
          <w:sz w:val="21"/>
          <w:szCs w:val="21"/>
        </w:rPr>
        <w:t>附件8</w:t>
      </w:r>
    </w:p>
    <w:p>
      <w:pPr>
        <w:pStyle w:val="4"/>
        <w:spacing w:line="360" w:lineRule="auto"/>
        <w:ind w:firstLine="0"/>
        <w:jc w:val="both"/>
        <w:rPr>
          <w:rFonts w:ascii="宋体" w:hAnsi="宋体"/>
          <w:b/>
          <w:bCs/>
          <w:sz w:val="21"/>
          <w:szCs w:val="21"/>
        </w:rPr>
      </w:pPr>
      <w:r>
        <w:rPr>
          <w:rFonts w:ascii="宋体" w:hAnsi="宋体"/>
          <w:b/>
          <w:bCs/>
          <w:sz w:val="21"/>
          <w:szCs w:val="21"/>
        </w:rPr>
        <w:t>8.1 唱标信封（独立封装）</w:t>
      </w:r>
    </w:p>
    <w:p>
      <w:pPr>
        <w:spacing w:line="360" w:lineRule="auto"/>
        <w:ind w:firstLine="424" w:firstLineChars="202"/>
        <w:rPr>
          <w:rFonts w:ascii="宋体" w:hAnsi="宋体"/>
          <w:sz w:val="21"/>
          <w:szCs w:val="21"/>
        </w:rPr>
      </w:pPr>
      <w:r>
        <w:rPr>
          <w:rFonts w:ascii="宋体" w:hAnsi="宋体"/>
          <w:sz w:val="21"/>
          <w:szCs w:val="21"/>
        </w:rPr>
        <w:t>将下列内容单独密封装入“唱标信封”。</w:t>
      </w:r>
    </w:p>
    <w:p>
      <w:pPr>
        <w:spacing w:line="360" w:lineRule="auto"/>
        <w:ind w:firstLine="424" w:firstLineChars="202"/>
        <w:rPr>
          <w:rFonts w:ascii="宋体" w:hAnsi="宋体"/>
          <w:sz w:val="21"/>
          <w:szCs w:val="21"/>
        </w:rPr>
      </w:pPr>
      <w:r>
        <w:rPr>
          <w:rFonts w:ascii="宋体" w:hAnsi="宋体"/>
          <w:sz w:val="21"/>
          <w:szCs w:val="21"/>
        </w:rPr>
        <w:t>（1）《开标一览表》(从投标文件正本中复印并加盖投标人公章)</w:t>
      </w:r>
    </w:p>
    <w:p>
      <w:pPr>
        <w:spacing w:line="360" w:lineRule="auto"/>
        <w:ind w:firstLine="424" w:firstLineChars="202"/>
        <w:rPr>
          <w:rFonts w:ascii="宋体" w:hAnsi="宋体"/>
          <w:sz w:val="21"/>
          <w:szCs w:val="21"/>
        </w:rPr>
      </w:pPr>
      <w:r>
        <w:rPr>
          <w:rFonts w:ascii="宋体" w:hAnsi="宋体"/>
          <w:sz w:val="21"/>
          <w:szCs w:val="21"/>
        </w:rPr>
        <w:t>（2）退投标保证金说明（原件）</w:t>
      </w:r>
    </w:p>
    <w:p>
      <w:pPr>
        <w:spacing w:line="360" w:lineRule="auto"/>
        <w:ind w:firstLine="424" w:firstLineChars="202"/>
        <w:rPr>
          <w:rFonts w:ascii="宋体" w:hAnsi="宋体"/>
          <w:sz w:val="21"/>
          <w:szCs w:val="21"/>
        </w:rPr>
      </w:pPr>
      <w:r>
        <w:rPr>
          <w:rFonts w:ascii="宋体" w:hAnsi="宋体"/>
          <w:sz w:val="21"/>
          <w:szCs w:val="21"/>
        </w:rPr>
        <w:t>（3）交付投标保证金的银行回单复印件</w:t>
      </w:r>
      <w:bookmarkStart w:id="0" w:name="_Toc475578778"/>
      <w:bookmarkStart w:id="1" w:name="_Toc475463147"/>
      <w:bookmarkStart w:id="2" w:name="_Toc459708506"/>
      <w:bookmarkStart w:id="3" w:name="_Toc461608943"/>
      <w:bookmarkStart w:id="4" w:name="_Toc475522393"/>
      <w:r>
        <w:rPr>
          <w:rFonts w:ascii="宋体" w:hAnsi="宋体"/>
          <w:sz w:val="21"/>
          <w:szCs w:val="21"/>
        </w:rPr>
        <w:t>（加盖投标人公章）</w:t>
      </w:r>
    </w:p>
    <w:p>
      <w:pPr>
        <w:spacing w:line="360" w:lineRule="auto"/>
        <w:rPr>
          <w:rFonts w:ascii="宋体" w:hAnsi="宋体"/>
          <w:sz w:val="21"/>
          <w:szCs w:val="21"/>
        </w:rPr>
      </w:pPr>
    </w:p>
    <w:p>
      <w:pPr>
        <w:spacing w:line="360" w:lineRule="auto"/>
        <w:rPr>
          <w:rFonts w:ascii="宋体" w:hAnsi="宋体"/>
          <w:sz w:val="21"/>
          <w:szCs w:val="21"/>
        </w:rPr>
      </w:pPr>
      <w:r>
        <w:rPr>
          <w:rFonts w:ascii="宋体" w:hAnsi="宋体"/>
          <w:b/>
          <w:bCs/>
          <w:sz w:val="21"/>
          <w:szCs w:val="21"/>
          <w:lang w:val="en-GB"/>
        </w:rPr>
        <w:t>8.2 退投标保</w:t>
      </w:r>
      <w:r>
        <w:rPr>
          <w:rFonts w:ascii="宋体" w:hAnsi="宋体"/>
          <w:b/>
          <w:bCs/>
          <w:sz w:val="21"/>
          <w:szCs w:val="21"/>
        </w:rPr>
        <w:t>证金说明</w:t>
      </w:r>
      <w:bookmarkEnd w:id="0"/>
      <w:bookmarkEnd w:id="1"/>
      <w:bookmarkEnd w:id="2"/>
      <w:bookmarkEnd w:id="3"/>
      <w:bookmarkEnd w:id="4"/>
    </w:p>
    <w:p>
      <w:pPr>
        <w:spacing w:line="360" w:lineRule="auto"/>
        <w:ind w:firstLine="420" w:firstLineChars="200"/>
        <w:rPr>
          <w:rFonts w:ascii="宋体" w:hAnsi="宋体"/>
          <w:sz w:val="21"/>
          <w:szCs w:val="21"/>
        </w:rPr>
      </w:pPr>
      <w:r>
        <w:rPr>
          <w:rFonts w:ascii="宋体" w:hAnsi="宋体"/>
          <w:sz w:val="21"/>
          <w:szCs w:val="21"/>
        </w:rPr>
        <w:t>（以电汇、银行汇票的方式交保证金的，为使投标保证金得以顺利退还，请投标人仔细阅读以下表中说明并执行）</w:t>
      </w:r>
    </w:p>
    <w:p>
      <w:pPr>
        <w:spacing w:line="360" w:lineRule="auto"/>
        <w:ind w:firstLine="422" w:firstLineChars="200"/>
        <w:rPr>
          <w:rFonts w:ascii="宋体" w:hAnsi="宋体"/>
          <w:sz w:val="21"/>
          <w:szCs w:val="21"/>
        </w:rPr>
      </w:pPr>
      <w:r>
        <w:rPr>
          <w:rFonts w:hint="eastAsia" w:ascii="宋体" w:hAnsi="宋体" w:cs="宋体"/>
          <w:b/>
          <w:bCs/>
          <w:sz w:val="21"/>
          <w:szCs w:val="21"/>
        </w:rPr>
        <w:t>◆</w:t>
      </w:r>
      <w:r>
        <w:rPr>
          <w:rFonts w:ascii="宋体" w:hAnsi="宋体"/>
          <w:b/>
          <w:bCs/>
          <w:sz w:val="21"/>
          <w:szCs w:val="21"/>
        </w:rPr>
        <w:t>按照要求填写及签章，提交原件一式两份（一份放入唱标信封，一份装订在投标文件正本中）。</w:t>
      </w:r>
    </w:p>
    <w:p>
      <w:pPr>
        <w:snapToGrid w:val="0"/>
        <w:spacing w:line="360" w:lineRule="auto"/>
        <w:rPr>
          <w:rFonts w:ascii="宋体" w:hAnsi="宋体"/>
          <w:sz w:val="21"/>
          <w:szCs w:val="21"/>
        </w:rPr>
      </w:pPr>
    </w:p>
    <w:p>
      <w:pPr>
        <w:snapToGrid w:val="0"/>
        <w:spacing w:line="360" w:lineRule="auto"/>
        <w:rPr>
          <w:rFonts w:ascii="宋体" w:hAnsi="宋体"/>
          <w:sz w:val="21"/>
          <w:szCs w:val="21"/>
        </w:rPr>
      </w:pPr>
      <w:r>
        <w:rPr>
          <w:rFonts w:ascii="宋体" w:hAnsi="宋体"/>
          <w:sz w:val="21"/>
          <w:szCs w:val="21"/>
        </w:rPr>
        <w:t>致：</w:t>
      </w:r>
      <w:r>
        <w:rPr>
          <w:rFonts w:hint="eastAsia" w:ascii="宋体" w:hAnsi="宋体"/>
          <w:sz w:val="21"/>
          <w:szCs w:val="21"/>
        </w:rPr>
        <w:t>广东华伦招标有限公司</w:t>
      </w:r>
    </w:p>
    <w:p>
      <w:pPr>
        <w:autoSpaceDE w:val="0"/>
        <w:autoSpaceDN w:val="0"/>
        <w:spacing w:line="360" w:lineRule="auto"/>
        <w:ind w:firstLine="420" w:firstLineChars="200"/>
        <w:rPr>
          <w:rFonts w:ascii="宋体" w:hAnsi="宋体"/>
          <w:sz w:val="21"/>
          <w:szCs w:val="21"/>
        </w:rPr>
      </w:pPr>
      <w:r>
        <w:rPr>
          <w:rFonts w:hint="eastAsia" w:ascii="宋体" w:hAnsi="宋体"/>
          <w:sz w:val="21"/>
          <w:szCs w:val="21"/>
        </w:rPr>
        <w:t>我方为“</w:t>
      </w:r>
      <w:r>
        <w:rPr>
          <w:rFonts w:hint="eastAsia" w:ascii="宋体" w:hAnsi="宋体"/>
          <w:sz w:val="21"/>
          <w:szCs w:val="21"/>
          <w:u w:val="single"/>
        </w:rPr>
        <w:t xml:space="preserve">             </w:t>
      </w:r>
      <w:r>
        <w:rPr>
          <w:rFonts w:hint="eastAsia" w:ascii="宋体" w:hAnsi="宋体"/>
          <w:sz w:val="21"/>
          <w:szCs w:val="21"/>
        </w:rPr>
        <w:t>”（采购编号：</w:t>
      </w:r>
      <w:r>
        <w:rPr>
          <w:rFonts w:hint="eastAsia" w:ascii="宋体" w:hAnsi="宋体"/>
          <w:sz w:val="21"/>
          <w:szCs w:val="21"/>
          <w:u w:val="single"/>
        </w:rPr>
        <w:t xml:space="preserve">              </w:t>
      </w:r>
      <w:r>
        <w:rPr>
          <w:rFonts w:hint="eastAsia" w:ascii="宋体" w:hAnsi="宋体"/>
          <w:sz w:val="21"/>
          <w:szCs w:val="21"/>
        </w:rPr>
        <w:t>）提交的投标保证金，在符合退还条件时请代划入下列账户：</w:t>
      </w:r>
    </w:p>
    <w:p>
      <w:pPr>
        <w:autoSpaceDE w:val="0"/>
        <w:autoSpaceDN w:val="0"/>
        <w:spacing w:line="360" w:lineRule="auto"/>
        <w:rPr>
          <w:rFonts w:ascii="宋体" w:hAnsi="宋体"/>
          <w:sz w:val="21"/>
          <w:szCs w:val="21"/>
        </w:rPr>
      </w:pPr>
    </w:p>
    <w:tbl>
      <w:tblPr>
        <w:tblStyle w:val="23"/>
        <w:tblW w:w="920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2008"/>
        <w:gridCol w:w="72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Layout w:type="fixed"/>
          <w:tblCellMar>
            <w:top w:w="0" w:type="dxa"/>
            <w:left w:w="108" w:type="dxa"/>
            <w:bottom w:w="0" w:type="dxa"/>
            <w:right w:w="108" w:type="dxa"/>
          </w:tblCellMar>
        </w:tblPrEx>
        <w:trPr>
          <w:trHeight w:val="302" w:hRule="atLeast"/>
          <w:jc w:val="center"/>
        </w:trPr>
        <w:tc>
          <w:tcPr>
            <w:tcW w:w="20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both"/>
              <w:rPr>
                <w:rFonts w:ascii="宋体" w:hAnsi="宋体"/>
                <w:sz w:val="21"/>
                <w:szCs w:val="21"/>
              </w:rPr>
            </w:pPr>
            <w:r>
              <w:rPr>
                <w:rFonts w:hint="eastAsia" w:ascii="宋体" w:hAnsi="宋体"/>
                <w:sz w:val="21"/>
                <w:szCs w:val="21"/>
              </w:rPr>
              <w:t>保证金提交方式</w:t>
            </w:r>
          </w:p>
        </w:tc>
        <w:tc>
          <w:tcPr>
            <w:tcW w:w="720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both"/>
              <w:rPr>
                <w:rFonts w:ascii="宋体" w:hAnsi="宋体"/>
                <w:sz w:val="21"/>
                <w:szCs w:val="21"/>
              </w:rPr>
            </w:pPr>
            <w:r>
              <w:rPr>
                <w:rFonts w:hint="eastAsia" w:ascii="宋体" w:hAnsi="宋体"/>
                <w:sz w:val="21"/>
                <w:szCs w:val="21"/>
              </w:rPr>
              <w:t>□银行转账      □银行汇票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7" w:hRule="atLeast"/>
          <w:jc w:val="center"/>
        </w:trPr>
        <w:tc>
          <w:tcPr>
            <w:tcW w:w="20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both"/>
              <w:rPr>
                <w:rFonts w:ascii="宋体" w:hAnsi="宋体"/>
                <w:sz w:val="21"/>
                <w:szCs w:val="21"/>
              </w:rPr>
            </w:pPr>
            <w:r>
              <w:rPr>
                <w:rFonts w:hint="eastAsia" w:ascii="宋体" w:hAnsi="宋体"/>
                <w:sz w:val="21"/>
                <w:szCs w:val="21"/>
              </w:rPr>
              <w:t>开 户 人 名 称</w:t>
            </w:r>
          </w:p>
        </w:tc>
        <w:tc>
          <w:tcPr>
            <w:tcW w:w="720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both"/>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7" w:hRule="atLeast"/>
          <w:jc w:val="center"/>
        </w:trPr>
        <w:tc>
          <w:tcPr>
            <w:tcW w:w="20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both"/>
              <w:rPr>
                <w:rFonts w:ascii="宋体" w:hAnsi="宋体"/>
                <w:sz w:val="21"/>
                <w:szCs w:val="21"/>
              </w:rPr>
            </w:pPr>
            <w:r>
              <w:rPr>
                <w:rFonts w:hint="eastAsia" w:ascii="宋体" w:hAnsi="宋体"/>
                <w:sz w:val="21"/>
                <w:szCs w:val="21"/>
              </w:rPr>
              <w:t>开  户  银  行</w:t>
            </w:r>
          </w:p>
        </w:tc>
        <w:tc>
          <w:tcPr>
            <w:tcW w:w="720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both"/>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jc w:val="center"/>
        </w:trPr>
        <w:tc>
          <w:tcPr>
            <w:tcW w:w="20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both"/>
              <w:rPr>
                <w:rFonts w:ascii="宋体" w:hAnsi="宋体"/>
                <w:sz w:val="21"/>
                <w:szCs w:val="21"/>
              </w:rPr>
            </w:pPr>
            <w:r>
              <w:rPr>
                <w:rFonts w:hint="eastAsia" w:ascii="宋体" w:hAnsi="宋体"/>
                <w:sz w:val="21"/>
                <w:szCs w:val="21"/>
              </w:rPr>
              <w:t>银  行  账  号</w:t>
            </w:r>
          </w:p>
        </w:tc>
        <w:tc>
          <w:tcPr>
            <w:tcW w:w="720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both"/>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jc w:val="center"/>
        </w:trPr>
        <w:tc>
          <w:tcPr>
            <w:tcW w:w="20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both"/>
              <w:rPr>
                <w:rFonts w:ascii="宋体" w:hAnsi="宋体"/>
                <w:sz w:val="21"/>
                <w:szCs w:val="21"/>
              </w:rPr>
            </w:pPr>
            <w:r>
              <w:rPr>
                <w:rFonts w:hint="eastAsia" w:ascii="宋体" w:hAnsi="宋体"/>
                <w:sz w:val="21"/>
                <w:szCs w:val="21"/>
              </w:rPr>
              <w:t>总    金    额</w:t>
            </w:r>
          </w:p>
        </w:tc>
        <w:tc>
          <w:tcPr>
            <w:tcW w:w="720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both"/>
              <w:rPr>
                <w:rFonts w:ascii="宋体" w:hAnsi="宋体"/>
                <w:sz w:val="21"/>
                <w:szCs w:val="21"/>
              </w:rPr>
            </w:pPr>
          </w:p>
        </w:tc>
      </w:tr>
    </w:tbl>
    <w:p>
      <w:pPr>
        <w:spacing w:line="360" w:lineRule="auto"/>
        <w:rPr>
          <w:rFonts w:ascii="宋体" w:hAnsi="宋体"/>
          <w:sz w:val="21"/>
          <w:szCs w:val="21"/>
          <w:lang w:val="en-GB"/>
        </w:rPr>
      </w:pPr>
    </w:p>
    <w:p>
      <w:pPr>
        <w:autoSpaceDE w:val="0"/>
        <w:autoSpaceDN w:val="0"/>
        <w:spacing w:line="360" w:lineRule="auto"/>
        <w:rPr>
          <w:rFonts w:ascii="宋体" w:hAnsi="宋体"/>
          <w:sz w:val="21"/>
          <w:szCs w:val="21"/>
        </w:rPr>
      </w:pPr>
      <w:r>
        <w:rPr>
          <w:rFonts w:hint="eastAsia" w:ascii="宋体" w:hAnsi="宋体"/>
          <w:sz w:val="21"/>
          <w:szCs w:val="21"/>
        </w:rPr>
        <w:t>投标人法定代表人（或法定代表人授权代表）亲笔签字：</w:t>
      </w:r>
      <w:r>
        <w:rPr>
          <w:rFonts w:hint="eastAsia" w:ascii="宋体" w:hAnsi="宋体"/>
          <w:sz w:val="21"/>
          <w:szCs w:val="21"/>
          <w:u w:val="single"/>
        </w:rPr>
        <w:t xml:space="preserve">                   </w:t>
      </w:r>
    </w:p>
    <w:p>
      <w:pPr>
        <w:autoSpaceDE w:val="0"/>
        <w:autoSpaceDN w:val="0"/>
        <w:spacing w:line="360" w:lineRule="auto"/>
        <w:rPr>
          <w:rFonts w:ascii="宋体" w:hAnsi="宋体"/>
          <w:sz w:val="21"/>
          <w:szCs w:val="21"/>
        </w:rPr>
      </w:pPr>
      <w:r>
        <w:rPr>
          <w:rFonts w:hint="eastAsia" w:ascii="宋体" w:hAnsi="宋体"/>
          <w:sz w:val="21"/>
          <w:szCs w:val="21"/>
        </w:rPr>
        <w:t>投标人名称（加盖法人公章）：</w:t>
      </w:r>
      <w:r>
        <w:rPr>
          <w:rFonts w:hint="eastAsia" w:ascii="宋体" w:hAnsi="宋体"/>
          <w:sz w:val="21"/>
          <w:szCs w:val="21"/>
          <w:u w:val="single"/>
        </w:rPr>
        <w:t xml:space="preserve">                        </w:t>
      </w:r>
    </w:p>
    <w:p>
      <w:pPr>
        <w:autoSpaceDE w:val="0"/>
        <w:autoSpaceDN w:val="0"/>
        <w:spacing w:line="360" w:lineRule="auto"/>
        <w:rPr>
          <w:rFonts w:ascii="宋体" w:hAnsi="宋体"/>
          <w:sz w:val="21"/>
          <w:szCs w:val="21"/>
        </w:rPr>
      </w:pPr>
      <w:r>
        <w:rPr>
          <w:rFonts w:hint="eastAsia" w:ascii="宋体" w:hAnsi="宋体"/>
          <w:sz w:val="21"/>
          <w:szCs w:val="21"/>
        </w:rPr>
        <w:t>日期：          年      月     日</w:t>
      </w:r>
    </w:p>
    <w:p>
      <w:pPr>
        <w:autoSpaceDE w:val="0"/>
        <w:autoSpaceDN w:val="0"/>
        <w:spacing w:line="360" w:lineRule="auto"/>
        <w:rPr>
          <w:rFonts w:ascii="宋体" w:hAnsi="宋体"/>
          <w:sz w:val="21"/>
          <w:szCs w:val="21"/>
        </w:rPr>
      </w:pPr>
    </w:p>
    <w:p>
      <w:pPr>
        <w:adjustRightInd/>
        <w:spacing w:line="360" w:lineRule="auto"/>
        <w:jc w:val="both"/>
        <w:textAlignment w:val="auto"/>
        <w:rPr>
          <w:rFonts w:ascii="宋体" w:hAnsi="宋体"/>
          <w:b/>
          <w:bCs/>
          <w:sz w:val="21"/>
          <w:szCs w:val="21"/>
        </w:rPr>
      </w:pPr>
      <w:r>
        <w:rPr>
          <w:rFonts w:hint="eastAsia"/>
          <w:sz w:val="21"/>
          <w:szCs w:val="21"/>
        </w:rPr>
        <w:t>注：银行汇款底单复印件（加盖投标人法人公章）或由采购代理机构出具的投标保证金收据复印件及退还保证金声明应装在唱标信封内，封口盖公章并在投标截止时间前提交。</w:t>
      </w:r>
      <w:r>
        <w:rPr>
          <w:rFonts w:ascii="宋体" w:hAnsi="宋体"/>
          <w:b/>
          <w:bCs/>
          <w:kern w:val="10"/>
          <w:sz w:val="21"/>
          <w:szCs w:val="21"/>
        </w:rPr>
        <w:br w:type="page"/>
      </w:r>
      <w:r>
        <w:rPr>
          <w:rFonts w:ascii="宋体" w:hAnsi="宋体"/>
          <w:b/>
          <w:bCs/>
          <w:sz w:val="21"/>
          <w:szCs w:val="21"/>
        </w:rPr>
        <w:t>附件9</w:t>
      </w:r>
    </w:p>
    <w:p>
      <w:pPr>
        <w:jc w:val="both"/>
        <w:rPr>
          <w:rFonts w:ascii="宋体" w:hAnsi="宋体"/>
          <w:b/>
          <w:bCs/>
          <w:sz w:val="21"/>
          <w:szCs w:val="21"/>
        </w:rPr>
      </w:pPr>
    </w:p>
    <w:p>
      <w:pPr>
        <w:spacing w:line="360" w:lineRule="auto"/>
        <w:jc w:val="center"/>
        <w:rPr>
          <w:rFonts w:ascii="宋体" w:hAnsi="宋体"/>
          <w:b/>
          <w:bCs/>
          <w:sz w:val="21"/>
          <w:szCs w:val="21"/>
        </w:rPr>
      </w:pPr>
      <w:r>
        <w:rPr>
          <w:rFonts w:ascii="宋体" w:hAnsi="宋体"/>
          <w:b/>
          <w:bCs/>
          <w:sz w:val="21"/>
          <w:szCs w:val="21"/>
        </w:rPr>
        <w:t>设备资料表</w:t>
      </w:r>
    </w:p>
    <w:p>
      <w:pPr>
        <w:jc w:val="center"/>
        <w:rPr>
          <w:rFonts w:ascii="宋体" w:hAnsi="宋体"/>
          <w:b/>
          <w:bCs/>
          <w:sz w:val="21"/>
          <w:szCs w:val="21"/>
        </w:rPr>
      </w:pPr>
    </w:p>
    <w:p>
      <w:pPr>
        <w:rPr>
          <w:rFonts w:ascii="宋体" w:hAnsi="宋体"/>
          <w:b/>
          <w:bCs/>
          <w:sz w:val="21"/>
          <w:szCs w:val="21"/>
        </w:rPr>
      </w:pPr>
      <w:r>
        <w:rPr>
          <w:rFonts w:ascii="宋体" w:hAnsi="宋体"/>
          <w:sz w:val="21"/>
          <w:szCs w:val="21"/>
        </w:rPr>
        <w:t>项目编号/包号：</w:t>
      </w:r>
    </w:p>
    <w:tbl>
      <w:tblPr>
        <w:tblStyle w:val="23"/>
        <w:tblW w:w="962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199"/>
        <w:gridCol w:w="1276"/>
        <w:gridCol w:w="1134"/>
        <w:gridCol w:w="840"/>
        <w:gridCol w:w="1432"/>
        <w:gridCol w:w="1552"/>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vAlign w:val="center"/>
          </w:tcPr>
          <w:p>
            <w:pPr>
              <w:snapToGrid w:val="0"/>
              <w:spacing w:line="240" w:lineRule="auto"/>
              <w:jc w:val="center"/>
              <w:rPr>
                <w:rFonts w:ascii="宋体" w:hAnsi="宋体"/>
                <w:b/>
                <w:bCs/>
                <w:sz w:val="21"/>
                <w:szCs w:val="21"/>
              </w:rPr>
            </w:pPr>
            <w:r>
              <w:rPr>
                <w:rFonts w:ascii="宋体" w:hAnsi="宋体"/>
                <w:b/>
                <w:bCs/>
                <w:sz w:val="21"/>
                <w:szCs w:val="21"/>
              </w:rPr>
              <w:t>序号</w:t>
            </w:r>
          </w:p>
        </w:tc>
        <w:tc>
          <w:tcPr>
            <w:tcW w:w="1199" w:type="dxa"/>
            <w:vAlign w:val="center"/>
          </w:tcPr>
          <w:p>
            <w:pPr>
              <w:snapToGrid w:val="0"/>
              <w:spacing w:line="240" w:lineRule="auto"/>
              <w:jc w:val="center"/>
              <w:rPr>
                <w:rFonts w:ascii="宋体" w:hAnsi="宋体"/>
                <w:b/>
                <w:bCs/>
                <w:sz w:val="21"/>
                <w:szCs w:val="21"/>
              </w:rPr>
            </w:pPr>
            <w:r>
              <w:rPr>
                <w:rFonts w:ascii="宋体" w:hAnsi="宋体"/>
                <w:b/>
                <w:bCs/>
                <w:sz w:val="21"/>
                <w:szCs w:val="21"/>
              </w:rPr>
              <w:t>海关编码</w:t>
            </w:r>
          </w:p>
        </w:tc>
        <w:tc>
          <w:tcPr>
            <w:tcW w:w="1276" w:type="dxa"/>
            <w:vAlign w:val="center"/>
          </w:tcPr>
          <w:p>
            <w:pPr>
              <w:snapToGrid w:val="0"/>
              <w:spacing w:line="240" w:lineRule="auto"/>
              <w:jc w:val="center"/>
              <w:rPr>
                <w:rFonts w:ascii="宋体" w:hAnsi="宋体"/>
                <w:b/>
                <w:bCs/>
                <w:sz w:val="21"/>
                <w:szCs w:val="21"/>
              </w:rPr>
            </w:pPr>
            <w:r>
              <w:rPr>
                <w:rFonts w:ascii="宋体" w:hAnsi="宋体"/>
                <w:b/>
                <w:bCs/>
                <w:sz w:val="21"/>
                <w:szCs w:val="21"/>
              </w:rPr>
              <w:t>设备名称</w:t>
            </w:r>
          </w:p>
        </w:tc>
        <w:tc>
          <w:tcPr>
            <w:tcW w:w="1134" w:type="dxa"/>
            <w:vAlign w:val="center"/>
          </w:tcPr>
          <w:p>
            <w:pPr>
              <w:snapToGrid w:val="0"/>
              <w:spacing w:line="240" w:lineRule="auto"/>
              <w:jc w:val="center"/>
              <w:rPr>
                <w:rFonts w:ascii="宋体" w:hAnsi="宋体"/>
                <w:b/>
                <w:bCs/>
                <w:sz w:val="21"/>
                <w:szCs w:val="21"/>
              </w:rPr>
            </w:pPr>
            <w:r>
              <w:rPr>
                <w:rFonts w:ascii="宋体" w:hAnsi="宋体"/>
                <w:b/>
                <w:bCs/>
                <w:sz w:val="21"/>
                <w:szCs w:val="21"/>
              </w:rPr>
              <w:t>品牌、设备型号</w:t>
            </w:r>
          </w:p>
        </w:tc>
        <w:tc>
          <w:tcPr>
            <w:tcW w:w="840" w:type="dxa"/>
            <w:vAlign w:val="center"/>
          </w:tcPr>
          <w:p>
            <w:pPr>
              <w:snapToGrid w:val="0"/>
              <w:spacing w:line="240" w:lineRule="auto"/>
              <w:jc w:val="center"/>
              <w:rPr>
                <w:rFonts w:ascii="宋体" w:hAnsi="宋体"/>
                <w:b/>
                <w:bCs/>
                <w:sz w:val="21"/>
                <w:szCs w:val="21"/>
              </w:rPr>
            </w:pPr>
            <w:r>
              <w:rPr>
                <w:rFonts w:ascii="宋体" w:hAnsi="宋体"/>
                <w:b/>
                <w:bCs/>
                <w:sz w:val="21"/>
                <w:szCs w:val="21"/>
              </w:rPr>
              <w:t>数量/单位</w:t>
            </w:r>
          </w:p>
        </w:tc>
        <w:tc>
          <w:tcPr>
            <w:tcW w:w="1432" w:type="dxa"/>
            <w:vAlign w:val="center"/>
          </w:tcPr>
          <w:p>
            <w:pPr>
              <w:snapToGrid w:val="0"/>
              <w:spacing w:line="240" w:lineRule="auto"/>
              <w:jc w:val="center"/>
              <w:rPr>
                <w:rFonts w:ascii="宋体" w:hAnsi="宋体"/>
                <w:b/>
                <w:bCs/>
                <w:sz w:val="21"/>
                <w:szCs w:val="21"/>
              </w:rPr>
            </w:pPr>
            <w:r>
              <w:rPr>
                <w:rFonts w:ascii="宋体" w:hAnsi="宋体"/>
                <w:b/>
                <w:bCs/>
                <w:sz w:val="21"/>
                <w:szCs w:val="21"/>
              </w:rPr>
              <w:t>制造商全称</w:t>
            </w:r>
          </w:p>
        </w:tc>
        <w:tc>
          <w:tcPr>
            <w:tcW w:w="1552" w:type="dxa"/>
            <w:vAlign w:val="center"/>
          </w:tcPr>
          <w:p>
            <w:pPr>
              <w:snapToGrid w:val="0"/>
              <w:spacing w:line="240" w:lineRule="auto"/>
              <w:jc w:val="center"/>
              <w:rPr>
                <w:rFonts w:ascii="宋体" w:hAnsi="宋体"/>
                <w:b/>
                <w:bCs/>
                <w:sz w:val="21"/>
                <w:szCs w:val="21"/>
              </w:rPr>
            </w:pPr>
            <w:r>
              <w:rPr>
                <w:rFonts w:ascii="宋体" w:hAnsi="宋体"/>
                <w:b/>
                <w:bCs/>
                <w:sz w:val="21"/>
                <w:szCs w:val="21"/>
              </w:rPr>
              <w:t>制造商</w:t>
            </w:r>
          </w:p>
          <w:p>
            <w:pPr>
              <w:snapToGrid w:val="0"/>
              <w:spacing w:line="240" w:lineRule="auto"/>
              <w:jc w:val="center"/>
              <w:rPr>
                <w:rFonts w:ascii="宋体" w:hAnsi="宋体"/>
                <w:b/>
                <w:bCs/>
                <w:sz w:val="21"/>
                <w:szCs w:val="21"/>
              </w:rPr>
            </w:pPr>
            <w:r>
              <w:rPr>
                <w:rFonts w:ascii="宋体" w:hAnsi="宋体"/>
                <w:b/>
                <w:bCs/>
                <w:sz w:val="21"/>
                <w:szCs w:val="21"/>
              </w:rPr>
              <w:t>详细地址</w:t>
            </w:r>
          </w:p>
        </w:tc>
        <w:tc>
          <w:tcPr>
            <w:tcW w:w="1552" w:type="dxa"/>
            <w:vAlign w:val="center"/>
          </w:tcPr>
          <w:p>
            <w:pPr>
              <w:snapToGrid w:val="0"/>
              <w:spacing w:line="240" w:lineRule="auto"/>
              <w:jc w:val="center"/>
              <w:rPr>
                <w:rFonts w:ascii="宋体" w:hAnsi="宋体"/>
                <w:b/>
                <w:bCs/>
                <w:sz w:val="21"/>
                <w:szCs w:val="21"/>
              </w:rPr>
            </w:pPr>
            <w:r>
              <w:rPr>
                <w:rFonts w:ascii="宋体" w:hAnsi="宋体"/>
                <w:b/>
                <w:bCs/>
                <w:sz w:val="21"/>
                <w:szCs w:val="21"/>
              </w:rPr>
              <w:t>生产地</w:t>
            </w:r>
          </w:p>
          <w:p>
            <w:pPr>
              <w:snapToGrid w:val="0"/>
              <w:spacing w:line="240" w:lineRule="auto"/>
              <w:jc w:val="center"/>
              <w:rPr>
                <w:rFonts w:ascii="宋体" w:hAnsi="宋体"/>
                <w:b/>
                <w:bCs/>
                <w:sz w:val="21"/>
                <w:szCs w:val="21"/>
              </w:rPr>
            </w:pPr>
            <w:r>
              <w:rPr>
                <w:rFonts w:ascii="宋体" w:hAnsi="宋体"/>
                <w:b/>
                <w:bCs/>
                <w:sz w:val="21"/>
                <w:szCs w:val="21"/>
              </w:rPr>
              <w:t>所在国家地址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vAlign w:val="center"/>
          </w:tcPr>
          <w:p>
            <w:pPr>
              <w:snapToGrid w:val="0"/>
              <w:spacing w:before="120" w:after="240" w:line="240" w:lineRule="auto"/>
              <w:jc w:val="center"/>
              <w:rPr>
                <w:rFonts w:ascii="宋体" w:hAnsi="宋体"/>
                <w:b/>
                <w:bCs/>
                <w:sz w:val="21"/>
                <w:szCs w:val="21"/>
              </w:rPr>
            </w:pPr>
          </w:p>
        </w:tc>
        <w:tc>
          <w:tcPr>
            <w:tcW w:w="1199" w:type="dxa"/>
          </w:tcPr>
          <w:p>
            <w:pPr>
              <w:snapToGrid w:val="0"/>
              <w:spacing w:before="120" w:after="240" w:line="240" w:lineRule="auto"/>
              <w:jc w:val="center"/>
              <w:rPr>
                <w:rFonts w:ascii="宋体" w:hAnsi="宋体"/>
                <w:b/>
                <w:bCs/>
                <w:sz w:val="21"/>
                <w:szCs w:val="21"/>
              </w:rPr>
            </w:pPr>
          </w:p>
        </w:tc>
        <w:tc>
          <w:tcPr>
            <w:tcW w:w="1276" w:type="dxa"/>
            <w:vAlign w:val="center"/>
          </w:tcPr>
          <w:p>
            <w:pPr>
              <w:snapToGrid w:val="0"/>
              <w:spacing w:before="120" w:after="240" w:line="240" w:lineRule="auto"/>
              <w:jc w:val="center"/>
              <w:rPr>
                <w:rFonts w:ascii="宋体" w:hAnsi="宋体"/>
                <w:b/>
                <w:bCs/>
                <w:sz w:val="21"/>
                <w:szCs w:val="21"/>
              </w:rPr>
            </w:pPr>
          </w:p>
        </w:tc>
        <w:tc>
          <w:tcPr>
            <w:tcW w:w="1134" w:type="dxa"/>
            <w:vAlign w:val="center"/>
          </w:tcPr>
          <w:p>
            <w:pPr>
              <w:snapToGrid w:val="0"/>
              <w:spacing w:before="120" w:after="240" w:line="240" w:lineRule="auto"/>
              <w:jc w:val="center"/>
              <w:rPr>
                <w:rFonts w:ascii="宋体" w:hAnsi="宋体"/>
                <w:b/>
                <w:bCs/>
                <w:sz w:val="21"/>
                <w:szCs w:val="21"/>
              </w:rPr>
            </w:pPr>
          </w:p>
        </w:tc>
        <w:tc>
          <w:tcPr>
            <w:tcW w:w="840" w:type="dxa"/>
            <w:vAlign w:val="center"/>
          </w:tcPr>
          <w:p>
            <w:pPr>
              <w:snapToGrid w:val="0"/>
              <w:spacing w:before="120" w:after="240" w:line="240" w:lineRule="auto"/>
              <w:jc w:val="center"/>
              <w:rPr>
                <w:rFonts w:ascii="宋体" w:hAnsi="宋体"/>
                <w:b/>
                <w:bCs/>
                <w:sz w:val="21"/>
                <w:szCs w:val="21"/>
              </w:rPr>
            </w:pPr>
          </w:p>
        </w:tc>
        <w:tc>
          <w:tcPr>
            <w:tcW w:w="1432" w:type="dxa"/>
            <w:vAlign w:val="center"/>
          </w:tcPr>
          <w:p>
            <w:pPr>
              <w:snapToGrid w:val="0"/>
              <w:spacing w:before="120" w:after="240" w:line="240" w:lineRule="auto"/>
              <w:jc w:val="center"/>
              <w:rPr>
                <w:rFonts w:ascii="宋体" w:hAnsi="宋体"/>
                <w:b/>
                <w:bCs/>
                <w:sz w:val="21"/>
                <w:szCs w:val="21"/>
              </w:rPr>
            </w:pPr>
          </w:p>
        </w:tc>
        <w:tc>
          <w:tcPr>
            <w:tcW w:w="1552" w:type="dxa"/>
            <w:vAlign w:val="center"/>
          </w:tcPr>
          <w:p>
            <w:pPr>
              <w:snapToGrid w:val="0"/>
              <w:spacing w:before="120" w:after="240" w:line="240" w:lineRule="auto"/>
              <w:jc w:val="center"/>
              <w:rPr>
                <w:rFonts w:ascii="宋体" w:hAnsi="宋体"/>
                <w:b/>
                <w:bCs/>
                <w:sz w:val="21"/>
                <w:szCs w:val="21"/>
              </w:rPr>
            </w:pPr>
          </w:p>
        </w:tc>
        <w:tc>
          <w:tcPr>
            <w:tcW w:w="1552" w:type="dxa"/>
          </w:tcPr>
          <w:p>
            <w:pPr>
              <w:spacing w:line="300" w:lineRule="exact"/>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vAlign w:val="center"/>
          </w:tcPr>
          <w:p>
            <w:pPr>
              <w:snapToGrid w:val="0"/>
              <w:spacing w:before="120" w:after="240" w:line="240" w:lineRule="auto"/>
              <w:jc w:val="center"/>
              <w:rPr>
                <w:rFonts w:ascii="宋体" w:hAnsi="宋体"/>
                <w:b/>
                <w:bCs/>
                <w:sz w:val="21"/>
                <w:szCs w:val="21"/>
              </w:rPr>
            </w:pPr>
          </w:p>
        </w:tc>
        <w:tc>
          <w:tcPr>
            <w:tcW w:w="1199" w:type="dxa"/>
          </w:tcPr>
          <w:p>
            <w:pPr>
              <w:snapToGrid w:val="0"/>
              <w:spacing w:before="120" w:after="240" w:line="240" w:lineRule="auto"/>
              <w:jc w:val="center"/>
              <w:rPr>
                <w:rFonts w:ascii="宋体" w:hAnsi="宋体"/>
                <w:b/>
                <w:bCs/>
                <w:sz w:val="21"/>
                <w:szCs w:val="21"/>
              </w:rPr>
            </w:pPr>
          </w:p>
        </w:tc>
        <w:tc>
          <w:tcPr>
            <w:tcW w:w="1276" w:type="dxa"/>
            <w:vAlign w:val="center"/>
          </w:tcPr>
          <w:p>
            <w:pPr>
              <w:snapToGrid w:val="0"/>
              <w:spacing w:before="120" w:after="240" w:line="240" w:lineRule="auto"/>
              <w:jc w:val="center"/>
              <w:rPr>
                <w:rFonts w:ascii="宋体" w:hAnsi="宋体"/>
                <w:b/>
                <w:bCs/>
                <w:sz w:val="21"/>
                <w:szCs w:val="21"/>
              </w:rPr>
            </w:pPr>
          </w:p>
        </w:tc>
        <w:tc>
          <w:tcPr>
            <w:tcW w:w="1134" w:type="dxa"/>
            <w:vAlign w:val="center"/>
          </w:tcPr>
          <w:p>
            <w:pPr>
              <w:snapToGrid w:val="0"/>
              <w:spacing w:before="120" w:after="240" w:line="240" w:lineRule="auto"/>
              <w:jc w:val="center"/>
              <w:rPr>
                <w:rFonts w:ascii="宋体" w:hAnsi="宋体"/>
                <w:b/>
                <w:bCs/>
                <w:sz w:val="21"/>
                <w:szCs w:val="21"/>
              </w:rPr>
            </w:pPr>
          </w:p>
        </w:tc>
        <w:tc>
          <w:tcPr>
            <w:tcW w:w="840" w:type="dxa"/>
            <w:vAlign w:val="center"/>
          </w:tcPr>
          <w:p>
            <w:pPr>
              <w:snapToGrid w:val="0"/>
              <w:spacing w:before="120" w:after="240" w:line="240" w:lineRule="auto"/>
              <w:jc w:val="center"/>
              <w:rPr>
                <w:rFonts w:ascii="宋体" w:hAnsi="宋体"/>
                <w:b/>
                <w:bCs/>
                <w:sz w:val="21"/>
                <w:szCs w:val="21"/>
              </w:rPr>
            </w:pPr>
          </w:p>
        </w:tc>
        <w:tc>
          <w:tcPr>
            <w:tcW w:w="1432" w:type="dxa"/>
            <w:vAlign w:val="center"/>
          </w:tcPr>
          <w:p>
            <w:pPr>
              <w:snapToGrid w:val="0"/>
              <w:spacing w:before="120" w:after="240" w:line="240" w:lineRule="auto"/>
              <w:jc w:val="center"/>
              <w:rPr>
                <w:rFonts w:ascii="宋体" w:hAnsi="宋体"/>
                <w:b/>
                <w:bCs/>
                <w:sz w:val="21"/>
                <w:szCs w:val="21"/>
              </w:rPr>
            </w:pPr>
          </w:p>
        </w:tc>
        <w:tc>
          <w:tcPr>
            <w:tcW w:w="1552" w:type="dxa"/>
            <w:vAlign w:val="center"/>
          </w:tcPr>
          <w:p>
            <w:pPr>
              <w:snapToGrid w:val="0"/>
              <w:spacing w:before="120" w:after="240" w:line="240" w:lineRule="auto"/>
              <w:jc w:val="center"/>
              <w:rPr>
                <w:rFonts w:ascii="宋体" w:hAnsi="宋体"/>
                <w:b/>
                <w:bCs/>
                <w:sz w:val="21"/>
                <w:szCs w:val="21"/>
              </w:rPr>
            </w:pPr>
          </w:p>
        </w:tc>
        <w:tc>
          <w:tcPr>
            <w:tcW w:w="1552" w:type="dxa"/>
          </w:tcPr>
          <w:p>
            <w:pPr>
              <w:spacing w:line="300" w:lineRule="exact"/>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vAlign w:val="center"/>
          </w:tcPr>
          <w:p>
            <w:pPr>
              <w:snapToGrid w:val="0"/>
              <w:spacing w:before="120" w:after="240" w:line="240" w:lineRule="auto"/>
              <w:jc w:val="center"/>
              <w:rPr>
                <w:rFonts w:ascii="宋体" w:hAnsi="宋体"/>
                <w:b/>
                <w:bCs/>
                <w:sz w:val="21"/>
                <w:szCs w:val="21"/>
              </w:rPr>
            </w:pPr>
          </w:p>
        </w:tc>
        <w:tc>
          <w:tcPr>
            <w:tcW w:w="1199" w:type="dxa"/>
          </w:tcPr>
          <w:p>
            <w:pPr>
              <w:snapToGrid w:val="0"/>
              <w:spacing w:before="120" w:after="240" w:line="240" w:lineRule="auto"/>
              <w:jc w:val="center"/>
              <w:rPr>
                <w:rFonts w:ascii="宋体" w:hAnsi="宋体"/>
                <w:b/>
                <w:bCs/>
                <w:sz w:val="21"/>
                <w:szCs w:val="21"/>
              </w:rPr>
            </w:pPr>
          </w:p>
        </w:tc>
        <w:tc>
          <w:tcPr>
            <w:tcW w:w="1276" w:type="dxa"/>
            <w:vAlign w:val="center"/>
          </w:tcPr>
          <w:p>
            <w:pPr>
              <w:snapToGrid w:val="0"/>
              <w:spacing w:before="120" w:after="240" w:line="240" w:lineRule="auto"/>
              <w:jc w:val="center"/>
              <w:rPr>
                <w:rFonts w:ascii="宋体" w:hAnsi="宋体"/>
                <w:b/>
                <w:bCs/>
                <w:sz w:val="21"/>
                <w:szCs w:val="21"/>
              </w:rPr>
            </w:pPr>
          </w:p>
        </w:tc>
        <w:tc>
          <w:tcPr>
            <w:tcW w:w="1134" w:type="dxa"/>
            <w:vAlign w:val="center"/>
          </w:tcPr>
          <w:p>
            <w:pPr>
              <w:snapToGrid w:val="0"/>
              <w:spacing w:before="120" w:after="240" w:line="240" w:lineRule="auto"/>
              <w:jc w:val="center"/>
              <w:rPr>
                <w:rFonts w:ascii="宋体" w:hAnsi="宋体"/>
                <w:b/>
                <w:bCs/>
                <w:sz w:val="21"/>
                <w:szCs w:val="21"/>
              </w:rPr>
            </w:pPr>
          </w:p>
        </w:tc>
        <w:tc>
          <w:tcPr>
            <w:tcW w:w="840" w:type="dxa"/>
            <w:vAlign w:val="center"/>
          </w:tcPr>
          <w:p>
            <w:pPr>
              <w:snapToGrid w:val="0"/>
              <w:spacing w:before="120" w:after="240" w:line="240" w:lineRule="auto"/>
              <w:jc w:val="center"/>
              <w:rPr>
                <w:rFonts w:ascii="宋体" w:hAnsi="宋体"/>
                <w:b/>
                <w:bCs/>
                <w:sz w:val="21"/>
                <w:szCs w:val="21"/>
              </w:rPr>
            </w:pPr>
          </w:p>
        </w:tc>
        <w:tc>
          <w:tcPr>
            <w:tcW w:w="1432" w:type="dxa"/>
            <w:vAlign w:val="center"/>
          </w:tcPr>
          <w:p>
            <w:pPr>
              <w:snapToGrid w:val="0"/>
              <w:spacing w:before="120" w:after="240" w:line="240" w:lineRule="auto"/>
              <w:jc w:val="center"/>
              <w:rPr>
                <w:rFonts w:ascii="宋体" w:hAnsi="宋体"/>
                <w:b/>
                <w:bCs/>
                <w:sz w:val="21"/>
                <w:szCs w:val="21"/>
              </w:rPr>
            </w:pPr>
          </w:p>
        </w:tc>
        <w:tc>
          <w:tcPr>
            <w:tcW w:w="1552" w:type="dxa"/>
            <w:vAlign w:val="center"/>
          </w:tcPr>
          <w:p>
            <w:pPr>
              <w:snapToGrid w:val="0"/>
              <w:spacing w:before="120" w:after="240" w:line="240" w:lineRule="auto"/>
              <w:jc w:val="center"/>
              <w:rPr>
                <w:rFonts w:ascii="宋体" w:hAnsi="宋体"/>
                <w:b/>
                <w:bCs/>
                <w:sz w:val="21"/>
                <w:szCs w:val="21"/>
              </w:rPr>
            </w:pPr>
          </w:p>
        </w:tc>
        <w:tc>
          <w:tcPr>
            <w:tcW w:w="1552" w:type="dxa"/>
          </w:tcPr>
          <w:p>
            <w:pPr>
              <w:spacing w:line="300" w:lineRule="exact"/>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vAlign w:val="center"/>
          </w:tcPr>
          <w:p>
            <w:pPr>
              <w:snapToGrid w:val="0"/>
              <w:spacing w:before="120" w:after="240" w:line="240" w:lineRule="auto"/>
              <w:jc w:val="center"/>
              <w:rPr>
                <w:rFonts w:ascii="宋体" w:hAnsi="宋体"/>
                <w:b/>
                <w:bCs/>
                <w:sz w:val="21"/>
                <w:szCs w:val="21"/>
              </w:rPr>
            </w:pPr>
          </w:p>
        </w:tc>
        <w:tc>
          <w:tcPr>
            <w:tcW w:w="1199" w:type="dxa"/>
          </w:tcPr>
          <w:p>
            <w:pPr>
              <w:snapToGrid w:val="0"/>
              <w:spacing w:before="120" w:after="240" w:line="240" w:lineRule="auto"/>
              <w:jc w:val="center"/>
              <w:rPr>
                <w:rFonts w:ascii="宋体" w:hAnsi="宋体"/>
                <w:b/>
                <w:bCs/>
                <w:sz w:val="21"/>
                <w:szCs w:val="21"/>
              </w:rPr>
            </w:pPr>
          </w:p>
        </w:tc>
        <w:tc>
          <w:tcPr>
            <w:tcW w:w="1276" w:type="dxa"/>
            <w:vAlign w:val="center"/>
          </w:tcPr>
          <w:p>
            <w:pPr>
              <w:snapToGrid w:val="0"/>
              <w:spacing w:before="120" w:after="240" w:line="240" w:lineRule="auto"/>
              <w:jc w:val="center"/>
              <w:rPr>
                <w:rFonts w:ascii="宋体" w:hAnsi="宋体"/>
                <w:b/>
                <w:bCs/>
                <w:sz w:val="21"/>
                <w:szCs w:val="21"/>
              </w:rPr>
            </w:pPr>
          </w:p>
        </w:tc>
        <w:tc>
          <w:tcPr>
            <w:tcW w:w="1134" w:type="dxa"/>
            <w:vAlign w:val="center"/>
          </w:tcPr>
          <w:p>
            <w:pPr>
              <w:snapToGrid w:val="0"/>
              <w:spacing w:before="120" w:after="240" w:line="240" w:lineRule="auto"/>
              <w:jc w:val="center"/>
              <w:rPr>
                <w:rFonts w:ascii="宋体" w:hAnsi="宋体"/>
                <w:b/>
                <w:bCs/>
                <w:sz w:val="21"/>
                <w:szCs w:val="21"/>
              </w:rPr>
            </w:pPr>
          </w:p>
        </w:tc>
        <w:tc>
          <w:tcPr>
            <w:tcW w:w="840" w:type="dxa"/>
            <w:vAlign w:val="center"/>
          </w:tcPr>
          <w:p>
            <w:pPr>
              <w:snapToGrid w:val="0"/>
              <w:spacing w:before="120" w:after="240" w:line="240" w:lineRule="auto"/>
              <w:jc w:val="center"/>
              <w:rPr>
                <w:rFonts w:ascii="宋体" w:hAnsi="宋体"/>
                <w:b/>
                <w:bCs/>
                <w:sz w:val="21"/>
                <w:szCs w:val="21"/>
              </w:rPr>
            </w:pPr>
          </w:p>
        </w:tc>
        <w:tc>
          <w:tcPr>
            <w:tcW w:w="1432" w:type="dxa"/>
            <w:vAlign w:val="center"/>
          </w:tcPr>
          <w:p>
            <w:pPr>
              <w:snapToGrid w:val="0"/>
              <w:spacing w:before="120" w:after="240" w:line="240" w:lineRule="auto"/>
              <w:jc w:val="center"/>
              <w:rPr>
                <w:rFonts w:ascii="宋体" w:hAnsi="宋体"/>
                <w:b/>
                <w:bCs/>
                <w:sz w:val="21"/>
                <w:szCs w:val="21"/>
              </w:rPr>
            </w:pPr>
          </w:p>
        </w:tc>
        <w:tc>
          <w:tcPr>
            <w:tcW w:w="1552" w:type="dxa"/>
            <w:vAlign w:val="center"/>
          </w:tcPr>
          <w:p>
            <w:pPr>
              <w:snapToGrid w:val="0"/>
              <w:spacing w:before="120" w:after="240" w:line="240" w:lineRule="auto"/>
              <w:jc w:val="center"/>
              <w:rPr>
                <w:rFonts w:ascii="宋体" w:hAnsi="宋体"/>
                <w:b/>
                <w:bCs/>
                <w:sz w:val="21"/>
                <w:szCs w:val="21"/>
              </w:rPr>
            </w:pPr>
          </w:p>
        </w:tc>
        <w:tc>
          <w:tcPr>
            <w:tcW w:w="1552" w:type="dxa"/>
          </w:tcPr>
          <w:p>
            <w:pPr>
              <w:spacing w:line="300" w:lineRule="exact"/>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vAlign w:val="center"/>
          </w:tcPr>
          <w:p>
            <w:pPr>
              <w:snapToGrid w:val="0"/>
              <w:spacing w:before="120" w:after="240" w:line="240" w:lineRule="auto"/>
              <w:jc w:val="center"/>
              <w:rPr>
                <w:rFonts w:ascii="宋体" w:hAnsi="宋体"/>
                <w:b/>
                <w:bCs/>
                <w:sz w:val="21"/>
                <w:szCs w:val="21"/>
              </w:rPr>
            </w:pPr>
          </w:p>
        </w:tc>
        <w:tc>
          <w:tcPr>
            <w:tcW w:w="1199" w:type="dxa"/>
          </w:tcPr>
          <w:p>
            <w:pPr>
              <w:snapToGrid w:val="0"/>
              <w:spacing w:before="120" w:after="240" w:line="240" w:lineRule="auto"/>
              <w:jc w:val="center"/>
              <w:rPr>
                <w:rFonts w:ascii="宋体" w:hAnsi="宋体"/>
                <w:b/>
                <w:bCs/>
                <w:sz w:val="21"/>
                <w:szCs w:val="21"/>
              </w:rPr>
            </w:pPr>
          </w:p>
        </w:tc>
        <w:tc>
          <w:tcPr>
            <w:tcW w:w="1276" w:type="dxa"/>
            <w:vAlign w:val="center"/>
          </w:tcPr>
          <w:p>
            <w:pPr>
              <w:snapToGrid w:val="0"/>
              <w:spacing w:before="120" w:after="240" w:line="240" w:lineRule="auto"/>
              <w:jc w:val="center"/>
              <w:rPr>
                <w:rFonts w:ascii="宋体" w:hAnsi="宋体"/>
                <w:b/>
                <w:bCs/>
                <w:sz w:val="21"/>
                <w:szCs w:val="21"/>
              </w:rPr>
            </w:pPr>
          </w:p>
        </w:tc>
        <w:tc>
          <w:tcPr>
            <w:tcW w:w="1134" w:type="dxa"/>
            <w:vAlign w:val="center"/>
          </w:tcPr>
          <w:p>
            <w:pPr>
              <w:snapToGrid w:val="0"/>
              <w:spacing w:before="120" w:after="240" w:line="240" w:lineRule="auto"/>
              <w:jc w:val="center"/>
              <w:rPr>
                <w:rFonts w:ascii="宋体" w:hAnsi="宋体"/>
                <w:b/>
                <w:bCs/>
                <w:sz w:val="21"/>
                <w:szCs w:val="21"/>
              </w:rPr>
            </w:pPr>
          </w:p>
        </w:tc>
        <w:tc>
          <w:tcPr>
            <w:tcW w:w="840" w:type="dxa"/>
            <w:vAlign w:val="center"/>
          </w:tcPr>
          <w:p>
            <w:pPr>
              <w:snapToGrid w:val="0"/>
              <w:spacing w:before="120" w:after="240" w:line="240" w:lineRule="auto"/>
              <w:jc w:val="center"/>
              <w:rPr>
                <w:rFonts w:ascii="宋体" w:hAnsi="宋体"/>
                <w:b/>
                <w:bCs/>
                <w:sz w:val="21"/>
                <w:szCs w:val="21"/>
              </w:rPr>
            </w:pPr>
          </w:p>
        </w:tc>
        <w:tc>
          <w:tcPr>
            <w:tcW w:w="1432" w:type="dxa"/>
            <w:vAlign w:val="center"/>
          </w:tcPr>
          <w:p>
            <w:pPr>
              <w:snapToGrid w:val="0"/>
              <w:spacing w:before="120" w:after="240" w:line="240" w:lineRule="auto"/>
              <w:jc w:val="center"/>
              <w:rPr>
                <w:rFonts w:ascii="宋体" w:hAnsi="宋体"/>
                <w:b/>
                <w:bCs/>
                <w:sz w:val="21"/>
                <w:szCs w:val="21"/>
              </w:rPr>
            </w:pPr>
          </w:p>
        </w:tc>
        <w:tc>
          <w:tcPr>
            <w:tcW w:w="1552" w:type="dxa"/>
            <w:vAlign w:val="center"/>
          </w:tcPr>
          <w:p>
            <w:pPr>
              <w:snapToGrid w:val="0"/>
              <w:spacing w:before="120" w:after="240" w:line="240" w:lineRule="auto"/>
              <w:jc w:val="center"/>
              <w:rPr>
                <w:rFonts w:ascii="宋体" w:hAnsi="宋体"/>
                <w:b/>
                <w:bCs/>
                <w:sz w:val="21"/>
                <w:szCs w:val="21"/>
              </w:rPr>
            </w:pPr>
          </w:p>
        </w:tc>
        <w:tc>
          <w:tcPr>
            <w:tcW w:w="1552" w:type="dxa"/>
          </w:tcPr>
          <w:p>
            <w:pPr>
              <w:spacing w:line="300" w:lineRule="exact"/>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vAlign w:val="center"/>
          </w:tcPr>
          <w:p>
            <w:pPr>
              <w:snapToGrid w:val="0"/>
              <w:spacing w:before="120" w:after="240" w:line="240" w:lineRule="auto"/>
              <w:jc w:val="center"/>
              <w:rPr>
                <w:rFonts w:ascii="宋体" w:hAnsi="宋体"/>
                <w:b/>
                <w:bCs/>
                <w:sz w:val="21"/>
                <w:szCs w:val="21"/>
              </w:rPr>
            </w:pPr>
          </w:p>
        </w:tc>
        <w:tc>
          <w:tcPr>
            <w:tcW w:w="1199" w:type="dxa"/>
          </w:tcPr>
          <w:p>
            <w:pPr>
              <w:snapToGrid w:val="0"/>
              <w:spacing w:before="120" w:after="240" w:line="240" w:lineRule="auto"/>
              <w:jc w:val="center"/>
              <w:rPr>
                <w:rFonts w:ascii="宋体" w:hAnsi="宋体"/>
                <w:b/>
                <w:bCs/>
                <w:sz w:val="21"/>
                <w:szCs w:val="21"/>
              </w:rPr>
            </w:pPr>
          </w:p>
        </w:tc>
        <w:tc>
          <w:tcPr>
            <w:tcW w:w="1276" w:type="dxa"/>
            <w:vAlign w:val="center"/>
          </w:tcPr>
          <w:p>
            <w:pPr>
              <w:snapToGrid w:val="0"/>
              <w:spacing w:before="120" w:after="240" w:line="240" w:lineRule="auto"/>
              <w:jc w:val="center"/>
              <w:rPr>
                <w:rFonts w:ascii="宋体" w:hAnsi="宋体"/>
                <w:b/>
                <w:bCs/>
                <w:sz w:val="21"/>
                <w:szCs w:val="21"/>
              </w:rPr>
            </w:pPr>
          </w:p>
        </w:tc>
        <w:tc>
          <w:tcPr>
            <w:tcW w:w="1134" w:type="dxa"/>
            <w:vAlign w:val="center"/>
          </w:tcPr>
          <w:p>
            <w:pPr>
              <w:snapToGrid w:val="0"/>
              <w:spacing w:before="120" w:after="240" w:line="240" w:lineRule="auto"/>
              <w:jc w:val="center"/>
              <w:rPr>
                <w:rFonts w:ascii="宋体" w:hAnsi="宋体"/>
                <w:b/>
                <w:bCs/>
                <w:sz w:val="21"/>
                <w:szCs w:val="21"/>
              </w:rPr>
            </w:pPr>
          </w:p>
        </w:tc>
        <w:tc>
          <w:tcPr>
            <w:tcW w:w="840" w:type="dxa"/>
            <w:vAlign w:val="center"/>
          </w:tcPr>
          <w:p>
            <w:pPr>
              <w:snapToGrid w:val="0"/>
              <w:spacing w:before="120" w:after="240" w:line="240" w:lineRule="auto"/>
              <w:jc w:val="center"/>
              <w:rPr>
                <w:rFonts w:ascii="宋体" w:hAnsi="宋体"/>
                <w:b/>
                <w:bCs/>
                <w:sz w:val="21"/>
                <w:szCs w:val="21"/>
              </w:rPr>
            </w:pPr>
          </w:p>
        </w:tc>
        <w:tc>
          <w:tcPr>
            <w:tcW w:w="1432" w:type="dxa"/>
            <w:vAlign w:val="center"/>
          </w:tcPr>
          <w:p>
            <w:pPr>
              <w:snapToGrid w:val="0"/>
              <w:spacing w:before="120" w:after="240" w:line="240" w:lineRule="auto"/>
              <w:jc w:val="center"/>
              <w:rPr>
                <w:rFonts w:ascii="宋体" w:hAnsi="宋体"/>
                <w:b/>
                <w:bCs/>
                <w:sz w:val="21"/>
                <w:szCs w:val="21"/>
              </w:rPr>
            </w:pPr>
          </w:p>
        </w:tc>
        <w:tc>
          <w:tcPr>
            <w:tcW w:w="1552" w:type="dxa"/>
            <w:vAlign w:val="center"/>
          </w:tcPr>
          <w:p>
            <w:pPr>
              <w:snapToGrid w:val="0"/>
              <w:spacing w:before="120" w:after="240" w:line="240" w:lineRule="auto"/>
              <w:jc w:val="center"/>
              <w:rPr>
                <w:rFonts w:ascii="宋体" w:hAnsi="宋体"/>
                <w:b/>
                <w:bCs/>
                <w:sz w:val="21"/>
                <w:szCs w:val="21"/>
              </w:rPr>
            </w:pPr>
          </w:p>
        </w:tc>
        <w:tc>
          <w:tcPr>
            <w:tcW w:w="1552" w:type="dxa"/>
          </w:tcPr>
          <w:p>
            <w:pPr>
              <w:spacing w:line="300" w:lineRule="exact"/>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vAlign w:val="center"/>
          </w:tcPr>
          <w:p>
            <w:pPr>
              <w:snapToGrid w:val="0"/>
              <w:spacing w:before="120" w:after="240" w:line="240" w:lineRule="auto"/>
              <w:jc w:val="center"/>
              <w:rPr>
                <w:rFonts w:ascii="宋体" w:hAnsi="宋体"/>
                <w:b/>
                <w:bCs/>
                <w:sz w:val="21"/>
                <w:szCs w:val="21"/>
              </w:rPr>
            </w:pPr>
          </w:p>
        </w:tc>
        <w:tc>
          <w:tcPr>
            <w:tcW w:w="1199" w:type="dxa"/>
          </w:tcPr>
          <w:p>
            <w:pPr>
              <w:snapToGrid w:val="0"/>
              <w:spacing w:before="120" w:after="240" w:line="240" w:lineRule="auto"/>
              <w:jc w:val="center"/>
              <w:rPr>
                <w:rFonts w:ascii="宋体" w:hAnsi="宋体"/>
                <w:b/>
                <w:bCs/>
                <w:sz w:val="21"/>
                <w:szCs w:val="21"/>
              </w:rPr>
            </w:pPr>
          </w:p>
        </w:tc>
        <w:tc>
          <w:tcPr>
            <w:tcW w:w="1276" w:type="dxa"/>
            <w:vAlign w:val="center"/>
          </w:tcPr>
          <w:p>
            <w:pPr>
              <w:snapToGrid w:val="0"/>
              <w:spacing w:before="120" w:after="240" w:line="240" w:lineRule="auto"/>
              <w:jc w:val="center"/>
              <w:rPr>
                <w:rFonts w:ascii="宋体" w:hAnsi="宋体"/>
                <w:b/>
                <w:bCs/>
                <w:sz w:val="21"/>
                <w:szCs w:val="21"/>
              </w:rPr>
            </w:pPr>
          </w:p>
        </w:tc>
        <w:tc>
          <w:tcPr>
            <w:tcW w:w="1134" w:type="dxa"/>
            <w:vAlign w:val="center"/>
          </w:tcPr>
          <w:p>
            <w:pPr>
              <w:snapToGrid w:val="0"/>
              <w:spacing w:before="120" w:after="240" w:line="240" w:lineRule="auto"/>
              <w:jc w:val="center"/>
              <w:rPr>
                <w:rFonts w:ascii="宋体" w:hAnsi="宋体"/>
                <w:b/>
                <w:bCs/>
                <w:sz w:val="21"/>
                <w:szCs w:val="21"/>
              </w:rPr>
            </w:pPr>
          </w:p>
        </w:tc>
        <w:tc>
          <w:tcPr>
            <w:tcW w:w="840" w:type="dxa"/>
            <w:vAlign w:val="center"/>
          </w:tcPr>
          <w:p>
            <w:pPr>
              <w:snapToGrid w:val="0"/>
              <w:spacing w:before="120" w:after="240" w:line="240" w:lineRule="auto"/>
              <w:jc w:val="center"/>
              <w:rPr>
                <w:rFonts w:ascii="宋体" w:hAnsi="宋体"/>
                <w:b/>
                <w:bCs/>
                <w:sz w:val="21"/>
                <w:szCs w:val="21"/>
              </w:rPr>
            </w:pPr>
          </w:p>
        </w:tc>
        <w:tc>
          <w:tcPr>
            <w:tcW w:w="1432" w:type="dxa"/>
            <w:vAlign w:val="center"/>
          </w:tcPr>
          <w:p>
            <w:pPr>
              <w:snapToGrid w:val="0"/>
              <w:spacing w:before="120" w:after="240" w:line="240" w:lineRule="auto"/>
              <w:jc w:val="center"/>
              <w:rPr>
                <w:rFonts w:ascii="宋体" w:hAnsi="宋体"/>
                <w:b/>
                <w:bCs/>
                <w:sz w:val="21"/>
                <w:szCs w:val="21"/>
              </w:rPr>
            </w:pPr>
          </w:p>
        </w:tc>
        <w:tc>
          <w:tcPr>
            <w:tcW w:w="1552" w:type="dxa"/>
            <w:vAlign w:val="center"/>
          </w:tcPr>
          <w:p>
            <w:pPr>
              <w:snapToGrid w:val="0"/>
              <w:spacing w:before="120" w:after="240" w:line="240" w:lineRule="auto"/>
              <w:jc w:val="center"/>
              <w:rPr>
                <w:rFonts w:ascii="宋体" w:hAnsi="宋体"/>
                <w:b/>
                <w:bCs/>
                <w:sz w:val="21"/>
                <w:szCs w:val="21"/>
              </w:rPr>
            </w:pPr>
          </w:p>
        </w:tc>
        <w:tc>
          <w:tcPr>
            <w:tcW w:w="1552" w:type="dxa"/>
          </w:tcPr>
          <w:p>
            <w:pPr>
              <w:spacing w:line="300" w:lineRule="exact"/>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vAlign w:val="center"/>
          </w:tcPr>
          <w:p>
            <w:pPr>
              <w:snapToGrid w:val="0"/>
              <w:spacing w:before="120" w:after="240" w:line="240" w:lineRule="auto"/>
              <w:jc w:val="center"/>
              <w:rPr>
                <w:rFonts w:ascii="宋体" w:hAnsi="宋体"/>
                <w:b/>
                <w:bCs/>
                <w:sz w:val="21"/>
                <w:szCs w:val="21"/>
              </w:rPr>
            </w:pPr>
          </w:p>
        </w:tc>
        <w:tc>
          <w:tcPr>
            <w:tcW w:w="1199" w:type="dxa"/>
          </w:tcPr>
          <w:p>
            <w:pPr>
              <w:snapToGrid w:val="0"/>
              <w:spacing w:before="120" w:after="240" w:line="240" w:lineRule="auto"/>
              <w:jc w:val="center"/>
              <w:rPr>
                <w:rFonts w:ascii="宋体" w:hAnsi="宋体"/>
                <w:b/>
                <w:bCs/>
                <w:sz w:val="21"/>
                <w:szCs w:val="21"/>
              </w:rPr>
            </w:pPr>
          </w:p>
        </w:tc>
        <w:tc>
          <w:tcPr>
            <w:tcW w:w="1276" w:type="dxa"/>
            <w:vAlign w:val="center"/>
          </w:tcPr>
          <w:p>
            <w:pPr>
              <w:snapToGrid w:val="0"/>
              <w:spacing w:before="120" w:after="240" w:line="240" w:lineRule="auto"/>
              <w:jc w:val="center"/>
              <w:rPr>
                <w:rFonts w:ascii="宋体" w:hAnsi="宋体"/>
                <w:b/>
                <w:bCs/>
                <w:sz w:val="21"/>
                <w:szCs w:val="21"/>
              </w:rPr>
            </w:pPr>
          </w:p>
        </w:tc>
        <w:tc>
          <w:tcPr>
            <w:tcW w:w="1134" w:type="dxa"/>
            <w:vAlign w:val="center"/>
          </w:tcPr>
          <w:p>
            <w:pPr>
              <w:snapToGrid w:val="0"/>
              <w:spacing w:before="120" w:after="240" w:line="240" w:lineRule="auto"/>
              <w:jc w:val="center"/>
              <w:rPr>
                <w:rFonts w:ascii="宋体" w:hAnsi="宋体"/>
                <w:b/>
                <w:bCs/>
                <w:sz w:val="21"/>
                <w:szCs w:val="21"/>
              </w:rPr>
            </w:pPr>
          </w:p>
        </w:tc>
        <w:tc>
          <w:tcPr>
            <w:tcW w:w="840" w:type="dxa"/>
            <w:vAlign w:val="center"/>
          </w:tcPr>
          <w:p>
            <w:pPr>
              <w:snapToGrid w:val="0"/>
              <w:spacing w:before="120" w:after="240" w:line="240" w:lineRule="auto"/>
              <w:jc w:val="center"/>
              <w:rPr>
                <w:rFonts w:ascii="宋体" w:hAnsi="宋体"/>
                <w:b/>
                <w:bCs/>
                <w:sz w:val="21"/>
                <w:szCs w:val="21"/>
              </w:rPr>
            </w:pPr>
          </w:p>
        </w:tc>
        <w:tc>
          <w:tcPr>
            <w:tcW w:w="1432" w:type="dxa"/>
            <w:vAlign w:val="center"/>
          </w:tcPr>
          <w:p>
            <w:pPr>
              <w:snapToGrid w:val="0"/>
              <w:spacing w:before="120" w:after="240" w:line="240" w:lineRule="auto"/>
              <w:jc w:val="center"/>
              <w:rPr>
                <w:rFonts w:ascii="宋体" w:hAnsi="宋体"/>
                <w:b/>
                <w:bCs/>
                <w:sz w:val="21"/>
                <w:szCs w:val="21"/>
              </w:rPr>
            </w:pPr>
          </w:p>
        </w:tc>
        <w:tc>
          <w:tcPr>
            <w:tcW w:w="1552" w:type="dxa"/>
            <w:vAlign w:val="center"/>
          </w:tcPr>
          <w:p>
            <w:pPr>
              <w:snapToGrid w:val="0"/>
              <w:spacing w:before="120" w:after="240" w:line="240" w:lineRule="auto"/>
              <w:jc w:val="center"/>
              <w:rPr>
                <w:rFonts w:ascii="宋体" w:hAnsi="宋体"/>
                <w:b/>
                <w:bCs/>
                <w:sz w:val="21"/>
                <w:szCs w:val="21"/>
              </w:rPr>
            </w:pPr>
          </w:p>
        </w:tc>
        <w:tc>
          <w:tcPr>
            <w:tcW w:w="1552" w:type="dxa"/>
          </w:tcPr>
          <w:p>
            <w:pPr>
              <w:spacing w:line="300" w:lineRule="exact"/>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vAlign w:val="center"/>
          </w:tcPr>
          <w:p>
            <w:pPr>
              <w:snapToGrid w:val="0"/>
              <w:spacing w:before="120" w:after="240" w:line="240" w:lineRule="auto"/>
              <w:jc w:val="center"/>
              <w:rPr>
                <w:rFonts w:ascii="宋体" w:hAnsi="宋体"/>
                <w:b/>
                <w:bCs/>
                <w:sz w:val="21"/>
                <w:szCs w:val="21"/>
              </w:rPr>
            </w:pPr>
          </w:p>
        </w:tc>
        <w:tc>
          <w:tcPr>
            <w:tcW w:w="1199" w:type="dxa"/>
          </w:tcPr>
          <w:p>
            <w:pPr>
              <w:snapToGrid w:val="0"/>
              <w:spacing w:before="120" w:after="240" w:line="240" w:lineRule="auto"/>
              <w:jc w:val="center"/>
              <w:rPr>
                <w:rFonts w:ascii="宋体" w:hAnsi="宋体"/>
                <w:b/>
                <w:bCs/>
                <w:sz w:val="21"/>
                <w:szCs w:val="21"/>
              </w:rPr>
            </w:pPr>
          </w:p>
        </w:tc>
        <w:tc>
          <w:tcPr>
            <w:tcW w:w="1276" w:type="dxa"/>
            <w:vAlign w:val="center"/>
          </w:tcPr>
          <w:p>
            <w:pPr>
              <w:snapToGrid w:val="0"/>
              <w:spacing w:before="120" w:after="240" w:line="240" w:lineRule="auto"/>
              <w:jc w:val="center"/>
              <w:rPr>
                <w:rFonts w:ascii="宋体" w:hAnsi="宋体"/>
                <w:b/>
                <w:bCs/>
                <w:sz w:val="21"/>
                <w:szCs w:val="21"/>
              </w:rPr>
            </w:pPr>
          </w:p>
        </w:tc>
        <w:tc>
          <w:tcPr>
            <w:tcW w:w="1134" w:type="dxa"/>
            <w:vAlign w:val="center"/>
          </w:tcPr>
          <w:p>
            <w:pPr>
              <w:snapToGrid w:val="0"/>
              <w:spacing w:before="120" w:after="240" w:line="240" w:lineRule="auto"/>
              <w:jc w:val="center"/>
              <w:rPr>
                <w:rFonts w:ascii="宋体" w:hAnsi="宋体"/>
                <w:b/>
                <w:bCs/>
                <w:sz w:val="21"/>
                <w:szCs w:val="21"/>
              </w:rPr>
            </w:pPr>
          </w:p>
        </w:tc>
        <w:tc>
          <w:tcPr>
            <w:tcW w:w="840" w:type="dxa"/>
            <w:vAlign w:val="center"/>
          </w:tcPr>
          <w:p>
            <w:pPr>
              <w:snapToGrid w:val="0"/>
              <w:spacing w:before="120" w:after="240" w:line="240" w:lineRule="auto"/>
              <w:jc w:val="center"/>
              <w:rPr>
                <w:rFonts w:ascii="宋体" w:hAnsi="宋体"/>
                <w:b/>
                <w:bCs/>
                <w:sz w:val="21"/>
                <w:szCs w:val="21"/>
              </w:rPr>
            </w:pPr>
          </w:p>
        </w:tc>
        <w:tc>
          <w:tcPr>
            <w:tcW w:w="1432" w:type="dxa"/>
            <w:vAlign w:val="center"/>
          </w:tcPr>
          <w:p>
            <w:pPr>
              <w:snapToGrid w:val="0"/>
              <w:spacing w:before="120" w:after="240" w:line="240" w:lineRule="auto"/>
              <w:jc w:val="center"/>
              <w:rPr>
                <w:rFonts w:ascii="宋体" w:hAnsi="宋体"/>
                <w:b/>
                <w:bCs/>
                <w:sz w:val="21"/>
                <w:szCs w:val="21"/>
              </w:rPr>
            </w:pPr>
          </w:p>
        </w:tc>
        <w:tc>
          <w:tcPr>
            <w:tcW w:w="1552" w:type="dxa"/>
            <w:vAlign w:val="center"/>
          </w:tcPr>
          <w:p>
            <w:pPr>
              <w:snapToGrid w:val="0"/>
              <w:spacing w:before="120" w:after="240" w:line="240" w:lineRule="auto"/>
              <w:jc w:val="center"/>
              <w:rPr>
                <w:rFonts w:ascii="宋体" w:hAnsi="宋体"/>
                <w:b/>
                <w:bCs/>
                <w:sz w:val="21"/>
                <w:szCs w:val="21"/>
              </w:rPr>
            </w:pPr>
          </w:p>
        </w:tc>
        <w:tc>
          <w:tcPr>
            <w:tcW w:w="1552" w:type="dxa"/>
          </w:tcPr>
          <w:p>
            <w:pPr>
              <w:spacing w:line="300" w:lineRule="exact"/>
              <w:jc w:val="center"/>
              <w:rPr>
                <w:rFonts w:ascii="宋体" w:hAnsi="宋体"/>
                <w:sz w:val="21"/>
                <w:szCs w:val="21"/>
              </w:rPr>
            </w:pPr>
          </w:p>
        </w:tc>
      </w:tr>
    </w:tbl>
    <w:p>
      <w:pPr>
        <w:ind w:left="525" w:hanging="525" w:hangingChars="250"/>
        <w:rPr>
          <w:rFonts w:ascii="宋体" w:hAnsi="宋体"/>
          <w:sz w:val="21"/>
          <w:szCs w:val="21"/>
        </w:rPr>
      </w:pPr>
      <w:r>
        <w:rPr>
          <w:rFonts w:ascii="宋体" w:hAnsi="宋体"/>
          <w:sz w:val="21"/>
          <w:szCs w:val="21"/>
        </w:rPr>
        <w:t>▲注：投标人必须对每一项投标设备如实、完整地填写</w:t>
      </w:r>
      <w:r>
        <w:rPr>
          <w:rFonts w:ascii="宋体" w:hAnsi="宋体"/>
          <w:b/>
          <w:bCs/>
          <w:sz w:val="21"/>
          <w:szCs w:val="21"/>
          <w:u w:val="single"/>
        </w:rPr>
        <w:t>设备的品牌型号、制造商的全称和地址、设备生产国地址</w:t>
      </w:r>
      <w:r>
        <w:rPr>
          <w:rFonts w:ascii="宋体" w:hAnsi="宋体"/>
          <w:sz w:val="21"/>
          <w:szCs w:val="21"/>
        </w:rPr>
        <w:t>，不得遗漏。所有信息将输入中国国际招标网。</w:t>
      </w:r>
      <w:r>
        <w:rPr>
          <w:rFonts w:ascii="宋体" w:hAnsi="宋体"/>
          <w:b/>
          <w:bCs/>
          <w:sz w:val="21"/>
          <w:szCs w:val="21"/>
          <w:u w:val="single"/>
        </w:rPr>
        <w:t>如果是在中国境外生产的货物（需要进关的），必须填写境外的生产制造地址；而不能填写该国外制造商在国内或香港的代表处、分支机构。</w:t>
      </w:r>
      <w:r>
        <w:rPr>
          <w:rFonts w:ascii="宋体" w:hAnsi="宋体"/>
          <w:sz w:val="21"/>
          <w:szCs w:val="21"/>
        </w:rPr>
        <w:t>如有错漏，将导致货物无法进关或无法申报免税手续，一切后果由投标人自行负责。</w:t>
      </w:r>
    </w:p>
    <w:p>
      <w:pPr>
        <w:tabs>
          <w:tab w:val="left" w:pos="676"/>
          <w:tab w:val="left" w:pos="2330"/>
          <w:tab w:val="left" w:pos="9230"/>
        </w:tabs>
        <w:autoSpaceDE w:val="0"/>
        <w:autoSpaceDN w:val="0"/>
        <w:spacing w:line="360" w:lineRule="auto"/>
        <w:rPr>
          <w:rFonts w:ascii="宋体" w:hAnsi="宋体"/>
          <w:sz w:val="21"/>
          <w:szCs w:val="21"/>
        </w:rPr>
      </w:pPr>
    </w:p>
    <w:p>
      <w:pPr>
        <w:tabs>
          <w:tab w:val="left" w:pos="676"/>
          <w:tab w:val="left" w:pos="2330"/>
          <w:tab w:val="left" w:pos="9230"/>
        </w:tabs>
        <w:autoSpaceDE w:val="0"/>
        <w:autoSpaceDN w:val="0"/>
        <w:spacing w:line="360" w:lineRule="auto"/>
        <w:rPr>
          <w:rFonts w:ascii="宋体" w:hAnsi="宋体"/>
          <w:sz w:val="21"/>
          <w:szCs w:val="21"/>
        </w:rPr>
      </w:pPr>
    </w:p>
    <w:p>
      <w:pPr>
        <w:tabs>
          <w:tab w:val="left" w:pos="676"/>
          <w:tab w:val="left" w:pos="2330"/>
          <w:tab w:val="left" w:pos="9230"/>
        </w:tabs>
        <w:autoSpaceDE w:val="0"/>
        <w:autoSpaceDN w:val="0"/>
        <w:spacing w:line="360" w:lineRule="auto"/>
        <w:rPr>
          <w:rFonts w:ascii="宋体" w:hAnsi="宋体"/>
          <w:sz w:val="21"/>
          <w:szCs w:val="21"/>
        </w:rPr>
      </w:pPr>
      <w:r>
        <w:rPr>
          <w:rFonts w:ascii="宋体" w:hAnsi="宋体"/>
          <w:sz w:val="21"/>
          <w:szCs w:val="21"/>
        </w:rPr>
        <w:t>投标人（公章）：</w:t>
      </w:r>
    </w:p>
    <w:p>
      <w:pPr>
        <w:tabs>
          <w:tab w:val="left" w:pos="676"/>
          <w:tab w:val="left" w:pos="2330"/>
          <w:tab w:val="left" w:pos="9230"/>
        </w:tabs>
        <w:autoSpaceDE w:val="0"/>
        <w:autoSpaceDN w:val="0"/>
        <w:spacing w:line="360" w:lineRule="auto"/>
        <w:rPr>
          <w:rFonts w:ascii="宋体" w:hAnsi="宋体"/>
          <w:sz w:val="21"/>
          <w:szCs w:val="21"/>
        </w:rPr>
      </w:pPr>
    </w:p>
    <w:p>
      <w:pPr>
        <w:jc w:val="both"/>
        <w:rPr>
          <w:rFonts w:ascii="宋体" w:hAnsi="宋体"/>
          <w:sz w:val="21"/>
          <w:szCs w:val="21"/>
        </w:rPr>
      </w:pPr>
      <w:r>
        <w:rPr>
          <w:rFonts w:ascii="宋体" w:hAnsi="宋体"/>
          <w:sz w:val="21"/>
          <w:szCs w:val="21"/>
        </w:rPr>
        <w:t>投标人授权代表（签字）：</w:t>
      </w:r>
    </w:p>
    <w:p>
      <w:pPr>
        <w:jc w:val="both"/>
        <w:rPr>
          <w:rFonts w:ascii="宋体" w:hAnsi="宋体"/>
          <w:b/>
          <w:bCs/>
          <w:sz w:val="21"/>
          <w:szCs w:val="21"/>
        </w:rPr>
      </w:pPr>
      <w:r>
        <w:rPr>
          <w:rFonts w:ascii="宋体" w:hAnsi="宋体"/>
          <w:sz w:val="21"/>
          <w:szCs w:val="21"/>
        </w:rPr>
        <w:br w:type="page"/>
      </w:r>
      <w:r>
        <w:rPr>
          <w:rFonts w:ascii="宋体" w:hAnsi="宋体"/>
          <w:b/>
          <w:bCs/>
          <w:sz w:val="21"/>
          <w:szCs w:val="21"/>
        </w:rPr>
        <w:t>附件10</w:t>
      </w:r>
    </w:p>
    <w:p>
      <w:pPr>
        <w:jc w:val="both"/>
        <w:rPr>
          <w:rFonts w:ascii="宋体" w:hAnsi="宋体"/>
          <w:sz w:val="21"/>
          <w:szCs w:val="21"/>
        </w:rPr>
      </w:pPr>
    </w:p>
    <w:p>
      <w:pPr>
        <w:jc w:val="center"/>
        <w:rPr>
          <w:rFonts w:ascii="宋体" w:hAnsi="宋体"/>
          <w:b/>
          <w:bCs/>
        </w:rPr>
      </w:pPr>
      <w:r>
        <w:rPr>
          <w:rFonts w:ascii="宋体" w:hAnsi="宋体"/>
          <w:b/>
          <w:bCs/>
        </w:rPr>
        <w:t>承诺函</w:t>
      </w:r>
    </w:p>
    <w:p>
      <w:pPr>
        <w:jc w:val="both"/>
        <w:rPr>
          <w:rFonts w:ascii="宋体" w:hAnsi="宋体"/>
          <w:sz w:val="21"/>
          <w:szCs w:val="21"/>
        </w:rPr>
      </w:pPr>
    </w:p>
    <w:p>
      <w:pPr>
        <w:jc w:val="both"/>
        <w:rPr>
          <w:rFonts w:ascii="宋体" w:hAnsi="宋体"/>
          <w:sz w:val="21"/>
          <w:szCs w:val="21"/>
        </w:rPr>
      </w:pPr>
    </w:p>
    <w:p>
      <w:pPr>
        <w:jc w:val="both"/>
        <w:rPr>
          <w:rFonts w:ascii="宋体" w:hAnsi="宋体"/>
          <w:b/>
          <w:bCs/>
          <w:sz w:val="21"/>
          <w:szCs w:val="21"/>
        </w:rPr>
      </w:pPr>
      <w:r>
        <w:rPr>
          <w:rFonts w:hint="eastAsia" w:ascii="宋体" w:hAnsi="宋体"/>
          <w:b/>
          <w:bCs/>
          <w:sz w:val="21"/>
          <w:szCs w:val="21"/>
        </w:rPr>
        <w:t>广东华伦招标有限公司</w:t>
      </w:r>
      <w:r>
        <w:rPr>
          <w:rFonts w:ascii="宋体" w:hAnsi="宋体"/>
          <w:b/>
          <w:bCs/>
          <w:sz w:val="21"/>
          <w:szCs w:val="21"/>
        </w:rPr>
        <w:t>：</w:t>
      </w:r>
    </w:p>
    <w:p>
      <w:pPr>
        <w:jc w:val="both"/>
        <w:rPr>
          <w:rFonts w:ascii="宋体" w:hAnsi="宋体"/>
          <w:sz w:val="21"/>
          <w:szCs w:val="21"/>
        </w:rPr>
      </w:pPr>
    </w:p>
    <w:p>
      <w:pPr>
        <w:jc w:val="both"/>
        <w:rPr>
          <w:rFonts w:ascii="宋体" w:hAnsi="宋体"/>
          <w:sz w:val="21"/>
          <w:szCs w:val="21"/>
        </w:rPr>
      </w:pPr>
    </w:p>
    <w:p>
      <w:pPr>
        <w:spacing w:line="600" w:lineRule="auto"/>
        <w:ind w:firstLine="420" w:firstLineChars="200"/>
        <w:jc w:val="both"/>
        <w:rPr>
          <w:rFonts w:ascii="宋体" w:hAnsi="宋体"/>
          <w:sz w:val="21"/>
          <w:szCs w:val="21"/>
        </w:rPr>
      </w:pPr>
      <w:r>
        <w:rPr>
          <w:rFonts w:ascii="宋体" w:hAnsi="宋体"/>
          <w:sz w:val="21"/>
          <w:szCs w:val="21"/>
        </w:rPr>
        <w:t>关于贵公司</w:t>
      </w:r>
      <w:r>
        <w:rPr>
          <w:rFonts w:ascii="宋体" w:hAnsi="宋体"/>
          <w:sz w:val="21"/>
          <w:szCs w:val="21"/>
          <w:u w:val="single"/>
        </w:rPr>
        <w:t xml:space="preserve">    </w:t>
      </w:r>
      <w:r>
        <w:rPr>
          <w:rFonts w:ascii="宋体" w:hAnsi="宋体"/>
          <w:sz w:val="21"/>
          <w:szCs w:val="21"/>
        </w:rPr>
        <w:t>年</w:t>
      </w:r>
      <w:r>
        <w:rPr>
          <w:rFonts w:ascii="宋体" w:hAnsi="宋体"/>
          <w:sz w:val="21"/>
          <w:szCs w:val="21"/>
          <w:u w:val="single"/>
        </w:rPr>
        <w:t xml:space="preserve">   </w:t>
      </w:r>
      <w:r>
        <w:rPr>
          <w:rFonts w:ascii="宋体" w:hAnsi="宋体"/>
          <w:sz w:val="21"/>
          <w:szCs w:val="21"/>
        </w:rPr>
        <w:t>月</w:t>
      </w:r>
      <w:r>
        <w:rPr>
          <w:rFonts w:ascii="宋体" w:hAnsi="宋体"/>
          <w:sz w:val="21"/>
          <w:szCs w:val="21"/>
          <w:u w:val="single"/>
        </w:rPr>
        <w:t xml:space="preserve">   </w:t>
      </w:r>
      <w:r>
        <w:rPr>
          <w:rFonts w:ascii="宋体" w:hAnsi="宋体"/>
          <w:sz w:val="21"/>
          <w:szCs w:val="21"/>
        </w:rPr>
        <w:t>日发布的</w:t>
      </w:r>
      <w:r>
        <w:rPr>
          <w:rFonts w:ascii="宋体" w:hAnsi="宋体"/>
          <w:sz w:val="21"/>
          <w:szCs w:val="21"/>
          <w:u w:val="single"/>
        </w:rPr>
        <w:t xml:space="preserve">                 </w:t>
      </w:r>
      <w:r>
        <w:rPr>
          <w:rFonts w:ascii="宋体" w:hAnsi="宋体"/>
          <w:sz w:val="21"/>
          <w:szCs w:val="21"/>
        </w:rPr>
        <w:t>项目（项目编号/包号：</w:t>
      </w:r>
      <w:r>
        <w:rPr>
          <w:rFonts w:ascii="宋体" w:hAnsi="宋体"/>
          <w:sz w:val="21"/>
          <w:szCs w:val="21"/>
          <w:u w:val="single"/>
        </w:rPr>
        <w:t xml:space="preserve">              </w:t>
      </w:r>
      <w:r>
        <w:rPr>
          <w:rFonts w:ascii="宋体" w:hAnsi="宋体"/>
          <w:sz w:val="21"/>
          <w:szCs w:val="21"/>
        </w:rPr>
        <w:t>）的采购公告，本公司（企业）愿意参加投标，并承诺：</w:t>
      </w:r>
    </w:p>
    <w:p>
      <w:pPr>
        <w:spacing w:line="600" w:lineRule="auto"/>
        <w:ind w:firstLine="420" w:firstLineChars="200"/>
        <w:jc w:val="both"/>
        <w:rPr>
          <w:rFonts w:ascii="宋体" w:hAnsi="宋体"/>
          <w:sz w:val="21"/>
          <w:szCs w:val="21"/>
        </w:rPr>
      </w:pPr>
      <w:r>
        <w:rPr>
          <w:rFonts w:ascii="宋体" w:hAnsi="宋体"/>
          <w:sz w:val="21"/>
          <w:szCs w:val="21"/>
        </w:rPr>
        <w:t>本公司（企业）保证货物供应商完全履行我司与招标人签署的协议应履行的权利、义务和责任，否则承担货物供应商给招标人所产生的一切责任和经济损失。</w:t>
      </w:r>
    </w:p>
    <w:p>
      <w:pPr>
        <w:spacing w:line="600" w:lineRule="auto"/>
        <w:ind w:firstLine="420" w:firstLineChars="200"/>
        <w:jc w:val="both"/>
        <w:rPr>
          <w:rFonts w:ascii="宋体" w:hAnsi="宋体"/>
          <w:sz w:val="21"/>
          <w:szCs w:val="21"/>
        </w:rPr>
      </w:pPr>
      <w:r>
        <w:rPr>
          <w:rFonts w:ascii="宋体" w:hAnsi="宋体"/>
          <w:sz w:val="21"/>
          <w:szCs w:val="21"/>
        </w:rPr>
        <w:t>特此承诺！</w:t>
      </w:r>
    </w:p>
    <w:p>
      <w:pPr>
        <w:jc w:val="both"/>
        <w:rPr>
          <w:rFonts w:ascii="宋体" w:hAnsi="宋体"/>
          <w:sz w:val="21"/>
          <w:szCs w:val="21"/>
        </w:rPr>
      </w:pPr>
    </w:p>
    <w:p>
      <w:pPr>
        <w:jc w:val="both"/>
        <w:rPr>
          <w:rFonts w:ascii="宋体" w:hAnsi="宋体"/>
          <w:sz w:val="21"/>
          <w:szCs w:val="21"/>
        </w:rPr>
      </w:pPr>
    </w:p>
    <w:p>
      <w:pPr>
        <w:ind w:left="4250" w:firstLine="425"/>
        <w:jc w:val="both"/>
        <w:rPr>
          <w:rFonts w:ascii="宋体" w:hAnsi="宋体"/>
          <w:sz w:val="21"/>
          <w:szCs w:val="21"/>
        </w:rPr>
      </w:pPr>
      <w:r>
        <w:rPr>
          <w:rFonts w:ascii="宋体" w:hAnsi="宋体"/>
          <w:sz w:val="21"/>
          <w:szCs w:val="21"/>
        </w:rPr>
        <w:t>企业名称（单位盖章）：</w:t>
      </w:r>
    </w:p>
    <w:p>
      <w:pPr>
        <w:jc w:val="both"/>
        <w:rPr>
          <w:rFonts w:ascii="宋体" w:hAnsi="宋体"/>
          <w:sz w:val="21"/>
          <w:szCs w:val="21"/>
        </w:rPr>
      </w:pPr>
    </w:p>
    <w:p>
      <w:pPr>
        <w:ind w:left="4250" w:firstLine="425"/>
        <w:jc w:val="both"/>
        <w:rPr>
          <w:rFonts w:ascii="宋体" w:hAnsi="宋体"/>
          <w:sz w:val="21"/>
          <w:szCs w:val="21"/>
        </w:rPr>
      </w:pPr>
      <w:r>
        <w:rPr>
          <w:rFonts w:ascii="宋体" w:hAnsi="宋体"/>
          <w:sz w:val="21"/>
          <w:szCs w:val="21"/>
        </w:rPr>
        <w:t>日期：</w:t>
      </w:r>
    </w:p>
    <w:p>
      <w:pPr>
        <w:jc w:val="both"/>
        <w:rPr>
          <w:rFonts w:ascii="宋体" w:hAnsi="宋体"/>
          <w:b/>
          <w:sz w:val="21"/>
          <w:szCs w:val="21"/>
        </w:rPr>
      </w:pPr>
      <w:r>
        <w:rPr>
          <w:rFonts w:ascii="宋体" w:hAnsi="宋体"/>
        </w:rPr>
        <w:br w:type="page"/>
      </w:r>
      <w:r>
        <w:rPr>
          <w:rFonts w:hint="eastAsia" w:ascii="宋体" w:hAnsi="宋体"/>
          <w:b/>
          <w:sz w:val="21"/>
          <w:szCs w:val="21"/>
        </w:rPr>
        <w:t>附件11</w:t>
      </w:r>
    </w:p>
    <w:p>
      <w:pPr>
        <w:jc w:val="center"/>
        <w:rPr>
          <w:rFonts w:ascii="宋体" w:hAnsi="宋体" w:cs="宋体"/>
          <w:b/>
          <w:bCs/>
          <w:sz w:val="21"/>
          <w:szCs w:val="21"/>
        </w:rPr>
      </w:pPr>
      <w:r>
        <w:rPr>
          <w:rFonts w:hint="eastAsia" w:ascii="宋体" w:hAnsi="宋体" w:cs="宋体"/>
          <w:b/>
          <w:bCs/>
          <w:sz w:val="21"/>
          <w:szCs w:val="21"/>
        </w:rPr>
        <w:t>设备配置清单</w:t>
      </w:r>
    </w:p>
    <w:p>
      <w:pPr>
        <w:rPr>
          <w:rFonts w:ascii="宋体" w:hAnsi="宋体" w:cs="宋体"/>
          <w:b/>
          <w:bCs/>
          <w:sz w:val="21"/>
          <w:szCs w:val="21"/>
        </w:rPr>
      </w:pPr>
    </w:p>
    <w:p>
      <w:pPr>
        <w:rPr>
          <w:rFonts w:ascii="宋体"/>
          <w:sz w:val="21"/>
          <w:szCs w:val="21"/>
        </w:rPr>
      </w:pPr>
      <w:r>
        <w:rPr>
          <w:rFonts w:hint="eastAsia"/>
          <w:sz w:val="21"/>
          <w:szCs w:val="21"/>
        </w:rPr>
        <w:t xml:space="preserve">投标人名称：                招标编号：            </w:t>
      </w:r>
      <w:r>
        <w:rPr>
          <w:rFonts w:hint="eastAsia" w:ascii="宋体" w:hAnsi="宋体" w:cs="宋体"/>
          <w:sz w:val="21"/>
          <w:szCs w:val="21"/>
        </w:rPr>
        <w:t xml:space="preserve">   子包号：   </w:t>
      </w:r>
    </w:p>
    <w:tbl>
      <w:tblPr>
        <w:tblStyle w:val="23"/>
        <w:tblW w:w="900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425"/>
        <w:gridCol w:w="1185"/>
        <w:gridCol w:w="1218"/>
        <w:gridCol w:w="1076"/>
        <w:gridCol w:w="1193"/>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207" w:type="dxa"/>
            <w:vAlign w:val="center"/>
          </w:tcPr>
          <w:p>
            <w:pPr>
              <w:jc w:val="center"/>
              <w:rPr>
                <w:rFonts w:ascii="宋体"/>
                <w:b/>
                <w:sz w:val="21"/>
                <w:szCs w:val="21"/>
              </w:rPr>
            </w:pPr>
            <w:r>
              <w:rPr>
                <w:rFonts w:hint="eastAsia" w:ascii="宋体"/>
                <w:b/>
                <w:sz w:val="21"/>
                <w:szCs w:val="21"/>
              </w:rPr>
              <w:t>设备名称</w:t>
            </w:r>
          </w:p>
        </w:tc>
        <w:tc>
          <w:tcPr>
            <w:tcW w:w="1425" w:type="dxa"/>
            <w:vAlign w:val="center"/>
          </w:tcPr>
          <w:p>
            <w:pPr>
              <w:jc w:val="center"/>
              <w:rPr>
                <w:rFonts w:ascii="宋体"/>
                <w:b/>
                <w:sz w:val="21"/>
                <w:szCs w:val="21"/>
              </w:rPr>
            </w:pPr>
            <w:r>
              <w:rPr>
                <w:rFonts w:hint="eastAsia" w:ascii="宋体"/>
                <w:b/>
                <w:sz w:val="21"/>
                <w:szCs w:val="21"/>
              </w:rPr>
              <w:t>数量/单位</w:t>
            </w:r>
          </w:p>
        </w:tc>
        <w:tc>
          <w:tcPr>
            <w:tcW w:w="1185" w:type="dxa"/>
            <w:vAlign w:val="center"/>
          </w:tcPr>
          <w:p>
            <w:pPr>
              <w:jc w:val="center"/>
              <w:rPr>
                <w:rFonts w:ascii="宋体"/>
                <w:b/>
                <w:sz w:val="21"/>
                <w:szCs w:val="21"/>
              </w:rPr>
            </w:pPr>
            <w:r>
              <w:rPr>
                <w:rFonts w:hint="eastAsia" w:ascii="宋体"/>
                <w:b/>
                <w:sz w:val="21"/>
                <w:szCs w:val="21"/>
              </w:rPr>
              <w:t>配置名称</w:t>
            </w:r>
          </w:p>
        </w:tc>
        <w:tc>
          <w:tcPr>
            <w:tcW w:w="1218" w:type="dxa"/>
            <w:vAlign w:val="center"/>
          </w:tcPr>
          <w:p>
            <w:pPr>
              <w:jc w:val="center"/>
              <w:rPr>
                <w:rFonts w:ascii="宋体"/>
                <w:b/>
                <w:sz w:val="21"/>
                <w:szCs w:val="21"/>
              </w:rPr>
            </w:pPr>
            <w:r>
              <w:rPr>
                <w:rFonts w:hint="eastAsia" w:ascii="宋体"/>
                <w:b/>
                <w:sz w:val="21"/>
                <w:szCs w:val="21"/>
              </w:rPr>
              <w:t>配置描述</w:t>
            </w:r>
          </w:p>
        </w:tc>
        <w:tc>
          <w:tcPr>
            <w:tcW w:w="1076" w:type="dxa"/>
            <w:vAlign w:val="center"/>
          </w:tcPr>
          <w:p>
            <w:pPr>
              <w:jc w:val="center"/>
              <w:rPr>
                <w:rFonts w:ascii="宋体"/>
                <w:b/>
                <w:sz w:val="21"/>
                <w:szCs w:val="21"/>
              </w:rPr>
            </w:pPr>
            <w:r>
              <w:rPr>
                <w:rFonts w:hint="eastAsia" w:ascii="宋体"/>
                <w:b/>
                <w:sz w:val="21"/>
                <w:szCs w:val="21"/>
              </w:rPr>
              <w:t>制造商</w:t>
            </w:r>
          </w:p>
        </w:tc>
        <w:tc>
          <w:tcPr>
            <w:tcW w:w="1193" w:type="dxa"/>
            <w:vAlign w:val="center"/>
          </w:tcPr>
          <w:p>
            <w:pPr>
              <w:jc w:val="center"/>
              <w:rPr>
                <w:rFonts w:ascii="宋体"/>
                <w:b/>
                <w:sz w:val="21"/>
                <w:szCs w:val="21"/>
              </w:rPr>
            </w:pPr>
            <w:r>
              <w:rPr>
                <w:rFonts w:hint="eastAsia" w:ascii="宋体"/>
                <w:b/>
                <w:sz w:val="21"/>
                <w:szCs w:val="21"/>
              </w:rPr>
              <w:t>型号规格</w:t>
            </w:r>
          </w:p>
        </w:tc>
        <w:tc>
          <w:tcPr>
            <w:tcW w:w="851" w:type="dxa"/>
            <w:vAlign w:val="center"/>
          </w:tcPr>
          <w:p>
            <w:pPr>
              <w:jc w:val="center"/>
              <w:rPr>
                <w:rFonts w:ascii="宋体"/>
                <w:b/>
                <w:sz w:val="21"/>
                <w:szCs w:val="21"/>
              </w:rPr>
            </w:pPr>
            <w:r>
              <w:rPr>
                <w:rFonts w:hint="eastAsia" w:ascii="宋体"/>
                <w:b/>
                <w:sz w:val="21"/>
                <w:szCs w:val="21"/>
              </w:rPr>
              <w:t>数量</w:t>
            </w:r>
          </w:p>
        </w:tc>
        <w:tc>
          <w:tcPr>
            <w:tcW w:w="850" w:type="dxa"/>
            <w:vAlign w:val="center"/>
          </w:tcPr>
          <w:p>
            <w:pPr>
              <w:jc w:val="center"/>
              <w:rPr>
                <w:rFonts w:ascii="宋体"/>
                <w:b/>
                <w:sz w:val="21"/>
                <w:szCs w:val="21"/>
              </w:rPr>
            </w:pPr>
            <w:r>
              <w:rPr>
                <w:rFonts w:hint="eastAsia" w:ascii="宋体"/>
                <w:b/>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207" w:type="dxa"/>
            <w:vMerge w:val="restart"/>
          </w:tcPr>
          <w:p>
            <w:pPr>
              <w:rPr>
                <w:rFonts w:ascii="宋体"/>
                <w:sz w:val="21"/>
                <w:szCs w:val="21"/>
              </w:rPr>
            </w:pPr>
          </w:p>
        </w:tc>
        <w:tc>
          <w:tcPr>
            <w:tcW w:w="1425" w:type="dxa"/>
            <w:vMerge w:val="restart"/>
          </w:tcPr>
          <w:p>
            <w:pPr>
              <w:rPr>
                <w:rFonts w:ascii="宋体"/>
                <w:sz w:val="21"/>
                <w:szCs w:val="21"/>
              </w:rPr>
            </w:pPr>
          </w:p>
        </w:tc>
        <w:tc>
          <w:tcPr>
            <w:tcW w:w="1185" w:type="dxa"/>
          </w:tcPr>
          <w:p>
            <w:pPr>
              <w:rPr>
                <w:rFonts w:ascii="宋体"/>
                <w:sz w:val="21"/>
                <w:szCs w:val="21"/>
              </w:rPr>
            </w:pPr>
          </w:p>
        </w:tc>
        <w:tc>
          <w:tcPr>
            <w:tcW w:w="1218" w:type="dxa"/>
          </w:tcPr>
          <w:p>
            <w:pPr>
              <w:rPr>
                <w:rFonts w:ascii="宋体"/>
                <w:sz w:val="21"/>
                <w:szCs w:val="21"/>
              </w:rPr>
            </w:pPr>
          </w:p>
        </w:tc>
        <w:tc>
          <w:tcPr>
            <w:tcW w:w="1076" w:type="dxa"/>
          </w:tcPr>
          <w:p>
            <w:pPr>
              <w:rPr>
                <w:rFonts w:ascii="宋体"/>
                <w:sz w:val="21"/>
                <w:szCs w:val="21"/>
              </w:rPr>
            </w:pPr>
          </w:p>
        </w:tc>
        <w:tc>
          <w:tcPr>
            <w:tcW w:w="1193" w:type="dxa"/>
          </w:tcPr>
          <w:p>
            <w:pPr>
              <w:rPr>
                <w:rFonts w:ascii="宋体"/>
                <w:sz w:val="21"/>
                <w:szCs w:val="21"/>
              </w:rPr>
            </w:pPr>
          </w:p>
        </w:tc>
        <w:tc>
          <w:tcPr>
            <w:tcW w:w="851" w:type="dxa"/>
          </w:tcPr>
          <w:p>
            <w:pPr>
              <w:rPr>
                <w:rFonts w:ascii="宋体"/>
                <w:sz w:val="21"/>
                <w:szCs w:val="21"/>
              </w:rPr>
            </w:pPr>
          </w:p>
        </w:tc>
        <w:tc>
          <w:tcPr>
            <w:tcW w:w="850" w:type="dxa"/>
          </w:tcPr>
          <w:p>
            <w:pP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1207" w:type="dxa"/>
            <w:vMerge w:val="continue"/>
          </w:tcPr>
          <w:p>
            <w:pPr>
              <w:rPr>
                <w:rFonts w:ascii="宋体"/>
                <w:sz w:val="21"/>
                <w:szCs w:val="21"/>
              </w:rPr>
            </w:pPr>
          </w:p>
        </w:tc>
        <w:tc>
          <w:tcPr>
            <w:tcW w:w="1425" w:type="dxa"/>
            <w:vMerge w:val="continue"/>
          </w:tcPr>
          <w:p>
            <w:pPr>
              <w:rPr>
                <w:rFonts w:ascii="宋体"/>
                <w:sz w:val="21"/>
                <w:szCs w:val="21"/>
              </w:rPr>
            </w:pPr>
          </w:p>
        </w:tc>
        <w:tc>
          <w:tcPr>
            <w:tcW w:w="1185" w:type="dxa"/>
          </w:tcPr>
          <w:p>
            <w:pPr>
              <w:rPr>
                <w:rFonts w:ascii="宋体"/>
                <w:sz w:val="21"/>
                <w:szCs w:val="21"/>
              </w:rPr>
            </w:pPr>
          </w:p>
        </w:tc>
        <w:tc>
          <w:tcPr>
            <w:tcW w:w="1218" w:type="dxa"/>
          </w:tcPr>
          <w:p>
            <w:pPr>
              <w:rPr>
                <w:rFonts w:ascii="宋体"/>
                <w:sz w:val="21"/>
                <w:szCs w:val="21"/>
              </w:rPr>
            </w:pPr>
          </w:p>
        </w:tc>
        <w:tc>
          <w:tcPr>
            <w:tcW w:w="1076" w:type="dxa"/>
          </w:tcPr>
          <w:p>
            <w:pPr>
              <w:rPr>
                <w:rFonts w:ascii="宋体"/>
                <w:sz w:val="21"/>
                <w:szCs w:val="21"/>
              </w:rPr>
            </w:pPr>
          </w:p>
        </w:tc>
        <w:tc>
          <w:tcPr>
            <w:tcW w:w="1193" w:type="dxa"/>
          </w:tcPr>
          <w:p>
            <w:pPr>
              <w:rPr>
                <w:rFonts w:ascii="宋体"/>
                <w:sz w:val="21"/>
                <w:szCs w:val="21"/>
              </w:rPr>
            </w:pPr>
          </w:p>
        </w:tc>
        <w:tc>
          <w:tcPr>
            <w:tcW w:w="851" w:type="dxa"/>
          </w:tcPr>
          <w:p>
            <w:pPr>
              <w:rPr>
                <w:rFonts w:ascii="宋体"/>
                <w:sz w:val="21"/>
                <w:szCs w:val="21"/>
              </w:rPr>
            </w:pPr>
          </w:p>
        </w:tc>
        <w:tc>
          <w:tcPr>
            <w:tcW w:w="850" w:type="dxa"/>
          </w:tcPr>
          <w:p>
            <w:pP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207" w:type="dxa"/>
            <w:vMerge w:val="continue"/>
          </w:tcPr>
          <w:p>
            <w:pPr>
              <w:rPr>
                <w:rFonts w:ascii="宋体"/>
                <w:sz w:val="21"/>
                <w:szCs w:val="21"/>
              </w:rPr>
            </w:pPr>
          </w:p>
        </w:tc>
        <w:tc>
          <w:tcPr>
            <w:tcW w:w="1425" w:type="dxa"/>
            <w:vMerge w:val="continue"/>
          </w:tcPr>
          <w:p>
            <w:pPr>
              <w:rPr>
                <w:rFonts w:ascii="宋体"/>
                <w:sz w:val="21"/>
                <w:szCs w:val="21"/>
              </w:rPr>
            </w:pPr>
          </w:p>
        </w:tc>
        <w:tc>
          <w:tcPr>
            <w:tcW w:w="1185" w:type="dxa"/>
          </w:tcPr>
          <w:p>
            <w:pPr>
              <w:rPr>
                <w:rFonts w:ascii="宋体"/>
                <w:sz w:val="21"/>
                <w:szCs w:val="21"/>
              </w:rPr>
            </w:pPr>
          </w:p>
        </w:tc>
        <w:tc>
          <w:tcPr>
            <w:tcW w:w="1218" w:type="dxa"/>
          </w:tcPr>
          <w:p>
            <w:pPr>
              <w:rPr>
                <w:rFonts w:ascii="宋体"/>
                <w:sz w:val="21"/>
                <w:szCs w:val="21"/>
              </w:rPr>
            </w:pPr>
          </w:p>
        </w:tc>
        <w:tc>
          <w:tcPr>
            <w:tcW w:w="1076" w:type="dxa"/>
          </w:tcPr>
          <w:p>
            <w:pPr>
              <w:rPr>
                <w:rFonts w:ascii="宋体"/>
                <w:sz w:val="21"/>
                <w:szCs w:val="21"/>
              </w:rPr>
            </w:pPr>
          </w:p>
        </w:tc>
        <w:tc>
          <w:tcPr>
            <w:tcW w:w="1193" w:type="dxa"/>
          </w:tcPr>
          <w:p>
            <w:pPr>
              <w:rPr>
                <w:rFonts w:ascii="宋体"/>
                <w:sz w:val="21"/>
                <w:szCs w:val="21"/>
              </w:rPr>
            </w:pPr>
          </w:p>
        </w:tc>
        <w:tc>
          <w:tcPr>
            <w:tcW w:w="851" w:type="dxa"/>
          </w:tcPr>
          <w:p>
            <w:pPr>
              <w:rPr>
                <w:rFonts w:ascii="宋体"/>
                <w:sz w:val="21"/>
                <w:szCs w:val="21"/>
              </w:rPr>
            </w:pPr>
          </w:p>
        </w:tc>
        <w:tc>
          <w:tcPr>
            <w:tcW w:w="850" w:type="dxa"/>
          </w:tcPr>
          <w:p>
            <w:pP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207" w:type="dxa"/>
            <w:vMerge w:val="continue"/>
          </w:tcPr>
          <w:p>
            <w:pPr>
              <w:rPr>
                <w:rFonts w:ascii="宋体"/>
                <w:sz w:val="21"/>
                <w:szCs w:val="21"/>
              </w:rPr>
            </w:pPr>
          </w:p>
        </w:tc>
        <w:tc>
          <w:tcPr>
            <w:tcW w:w="1425" w:type="dxa"/>
            <w:vMerge w:val="continue"/>
          </w:tcPr>
          <w:p>
            <w:pPr>
              <w:rPr>
                <w:rFonts w:ascii="宋体"/>
                <w:sz w:val="21"/>
                <w:szCs w:val="21"/>
              </w:rPr>
            </w:pPr>
          </w:p>
        </w:tc>
        <w:tc>
          <w:tcPr>
            <w:tcW w:w="1185" w:type="dxa"/>
          </w:tcPr>
          <w:p>
            <w:pPr>
              <w:rPr>
                <w:rFonts w:ascii="宋体"/>
                <w:sz w:val="21"/>
                <w:szCs w:val="21"/>
              </w:rPr>
            </w:pPr>
          </w:p>
        </w:tc>
        <w:tc>
          <w:tcPr>
            <w:tcW w:w="1218" w:type="dxa"/>
          </w:tcPr>
          <w:p>
            <w:pPr>
              <w:rPr>
                <w:rFonts w:ascii="宋体"/>
                <w:sz w:val="21"/>
                <w:szCs w:val="21"/>
              </w:rPr>
            </w:pPr>
          </w:p>
        </w:tc>
        <w:tc>
          <w:tcPr>
            <w:tcW w:w="1076" w:type="dxa"/>
          </w:tcPr>
          <w:p>
            <w:pPr>
              <w:rPr>
                <w:rFonts w:ascii="宋体"/>
                <w:sz w:val="21"/>
                <w:szCs w:val="21"/>
              </w:rPr>
            </w:pPr>
          </w:p>
        </w:tc>
        <w:tc>
          <w:tcPr>
            <w:tcW w:w="1193" w:type="dxa"/>
          </w:tcPr>
          <w:p>
            <w:pPr>
              <w:rPr>
                <w:rFonts w:ascii="宋体"/>
                <w:sz w:val="21"/>
                <w:szCs w:val="21"/>
              </w:rPr>
            </w:pPr>
          </w:p>
        </w:tc>
        <w:tc>
          <w:tcPr>
            <w:tcW w:w="851" w:type="dxa"/>
          </w:tcPr>
          <w:p>
            <w:pPr>
              <w:rPr>
                <w:rFonts w:ascii="宋体"/>
                <w:sz w:val="21"/>
                <w:szCs w:val="21"/>
              </w:rPr>
            </w:pPr>
          </w:p>
        </w:tc>
        <w:tc>
          <w:tcPr>
            <w:tcW w:w="850" w:type="dxa"/>
          </w:tcPr>
          <w:p>
            <w:pP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207" w:type="dxa"/>
            <w:vMerge w:val="continue"/>
          </w:tcPr>
          <w:p>
            <w:pPr>
              <w:rPr>
                <w:rFonts w:ascii="宋体"/>
                <w:sz w:val="21"/>
                <w:szCs w:val="21"/>
              </w:rPr>
            </w:pPr>
          </w:p>
        </w:tc>
        <w:tc>
          <w:tcPr>
            <w:tcW w:w="1425" w:type="dxa"/>
            <w:vMerge w:val="continue"/>
          </w:tcPr>
          <w:p>
            <w:pPr>
              <w:rPr>
                <w:rFonts w:ascii="宋体"/>
                <w:sz w:val="21"/>
                <w:szCs w:val="21"/>
              </w:rPr>
            </w:pPr>
          </w:p>
        </w:tc>
        <w:tc>
          <w:tcPr>
            <w:tcW w:w="1185" w:type="dxa"/>
          </w:tcPr>
          <w:p>
            <w:pPr>
              <w:rPr>
                <w:rFonts w:ascii="宋体"/>
                <w:sz w:val="21"/>
                <w:szCs w:val="21"/>
              </w:rPr>
            </w:pPr>
          </w:p>
        </w:tc>
        <w:tc>
          <w:tcPr>
            <w:tcW w:w="1218" w:type="dxa"/>
          </w:tcPr>
          <w:p>
            <w:pPr>
              <w:rPr>
                <w:rFonts w:ascii="宋体"/>
                <w:sz w:val="21"/>
                <w:szCs w:val="21"/>
              </w:rPr>
            </w:pPr>
          </w:p>
        </w:tc>
        <w:tc>
          <w:tcPr>
            <w:tcW w:w="1076" w:type="dxa"/>
          </w:tcPr>
          <w:p>
            <w:pPr>
              <w:rPr>
                <w:rFonts w:ascii="宋体"/>
                <w:sz w:val="21"/>
                <w:szCs w:val="21"/>
              </w:rPr>
            </w:pPr>
          </w:p>
        </w:tc>
        <w:tc>
          <w:tcPr>
            <w:tcW w:w="1193" w:type="dxa"/>
          </w:tcPr>
          <w:p>
            <w:pPr>
              <w:rPr>
                <w:rFonts w:ascii="宋体"/>
                <w:sz w:val="21"/>
                <w:szCs w:val="21"/>
              </w:rPr>
            </w:pPr>
          </w:p>
        </w:tc>
        <w:tc>
          <w:tcPr>
            <w:tcW w:w="851" w:type="dxa"/>
          </w:tcPr>
          <w:p>
            <w:pPr>
              <w:rPr>
                <w:rFonts w:ascii="宋体"/>
                <w:sz w:val="21"/>
                <w:szCs w:val="21"/>
              </w:rPr>
            </w:pPr>
          </w:p>
        </w:tc>
        <w:tc>
          <w:tcPr>
            <w:tcW w:w="850" w:type="dxa"/>
          </w:tcPr>
          <w:p>
            <w:pP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207" w:type="dxa"/>
            <w:vMerge w:val="continue"/>
          </w:tcPr>
          <w:p>
            <w:pPr>
              <w:rPr>
                <w:rFonts w:ascii="宋体"/>
                <w:sz w:val="21"/>
                <w:szCs w:val="21"/>
              </w:rPr>
            </w:pPr>
          </w:p>
        </w:tc>
        <w:tc>
          <w:tcPr>
            <w:tcW w:w="1425" w:type="dxa"/>
            <w:vMerge w:val="continue"/>
          </w:tcPr>
          <w:p>
            <w:pPr>
              <w:rPr>
                <w:rFonts w:ascii="宋体"/>
                <w:sz w:val="21"/>
                <w:szCs w:val="21"/>
              </w:rPr>
            </w:pPr>
          </w:p>
        </w:tc>
        <w:tc>
          <w:tcPr>
            <w:tcW w:w="1185" w:type="dxa"/>
          </w:tcPr>
          <w:p>
            <w:pPr>
              <w:rPr>
                <w:rFonts w:ascii="宋体"/>
                <w:sz w:val="21"/>
                <w:szCs w:val="21"/>
              </w:rPr>
            </w:pPr>
          </w:p>
        </w:tc>
        <w:tc>
          <w:tcPr>
            <w:tcW w:w="1218" w:type="dxa"/>
          </w:tcPr>
          <w:p>
            <w:pPr>
              <w:rPr>
                <w:rFonts w:ascii="宋体"/>
                <w:sz w:val="21"/>
                <w:szCs w:val="21"/>
              </w:rPr>
            </w:pPr>
          </w:p>
        </w:tc>
        <w:tc>
          <w:tcPr>
            <w:tcW w:w="1076" w:type="dxa"/>
          </w:tcPr>
          <w:p>
            <w:pPr>
              <w:rPr>
                <w:rFonts w:ascii="宋体"/>
                <w:sz w:val="21"/>
                <w:szCs w:val="21"/>
              </w:rPr>
            </w:pPr>
          </w:p>
        </w:tc>
        <w:tc>
          <w:tcPr>
            <w:tcW w:w="1193" w:type="dxa"/>
          </w:tcPr>
          <w:p>
            <w:pPr>
              <w:rPr>
                <w:rFonts w:ascii="宋体"/>
                <w:sz w:val="21"/>
                <w:szCs w:val="21"/>
              </w:rPr>
            </w:pPr>
          </w:p>
        </w:tc>
        <w:tc>
          <w:tcPr>
            <w:tcW w:w="851" w:type="dxa"/>
          </w:tcPr>
          <w:p>
            <w:pPr>
              <w:rPr>
                <w:rFonts w:ascii="宋体"/>
                <w:sz w:val="21"/>
                <w:szCs w:val="21"/>
              </w:rPr>
            </w:pPr>
          </w:p>
        </w:tc>
        <w:tc>
          <w:tcPr>
            <w:tcW w:w="850" w:type="dxa"/>
          </w:tcPr>
          <w:p>
            <w:pP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207" w:type="dxa"/>
            <w:vMerge w:val="continue"/>
          </w:tcPr>
          <w:p>
            <w:pPr>
              <w:rPr>
                <w:rFonts w:ascii="宋体"/>
                <w:sz w:val="21"/>
                <w:szCs w:val="21"/>
              </w:rPr>
            </w:pPr>
          </w:p>
        </w:tc>
        <w:tc>
          <w:tcPr>
            <w:tcW w:w="1425" w:type="dxa"/>
            <w:vMerge w:val="continue"/>
          </w:tcPr>
          <w:p>
            <w:pPr>
              <w:rPr>
                <w:rFonts w:ascii="宋体"/>
                <w:sz w:val="21"/>
                <w:szCs w:val="21"/>
              </w:rPr>
            </w:pPr>
          </w:p>
        </w:tc>
        <w:tc>
          <w:tcPr>
            <w:tcW w:w="1185" w:type="dxa"/>
          </w:tcPr>
          <w:p>
            <w:pPr>
              <w:rPr>
                <w:rFonts w:ascii="宋体"/>
                <w:sz w:val="21"/>
                <w:szCs w:val="21"/>
              </w:rPr>
            </w:pPr>
          </w:p>
        </w:tc>
        <w:tc>
          <w:tcPr>
            <w:tcW w:w="1218" w:type="dxa"/>
          </w:tcPr>
          <w:p>
            <w:pPr>
              <w:rPr>
                <w:rFonts w:ascii="宋体"/>
                <w:sz w:val="21"/>
                <w:szCs w:val="21"/>
              </w:rPr>
            </w:pPr>
          </w:p>
        </w:tc>
        <w:tc>
          <w:tcPr>
            <w:tcW w:w="1076" w:type="dxa"/>
          </w:tcPr>
          <w:p>
            <w:pPr>
              <w:rPr>
                <w:rFonts w:ascii="宋体"/>
                <w:sz w:val="21"/>
                <w:szCs w:val="21"/>
              </w:rPr>
            </w:pPr>
          </w:p>
        </w:tc>
        <w:tc>
          <w:tcPr>
            <w:tcW w:w="1193" w:type="dxa"/>
          </w:tcPr>
          <w:p>
            <w:pPr>
              <w:rPr>
                <w:rFonts w:ascii="宋体"/>
                <w:sz w:val="21"/>
                <w:szCs w:val="21"/>
              </w:rPr>
            </w:pPr>
          </w:p>
        </w:tc>
        <w:tc>
          <w:tcPr>
            <w:tcW w:w="851" w:type="dxa"/>
          </w:tcPr>
          <w:p>
            <w:pPr>
              <w:rPr>
                <w:rFonts w:ascii="宋体"/>
                <w:sz w:val="21"/>
                <w:szCs w:val="21"/>
              </w:rPr>
            </w:pPr>
          </w:p>
        </w:tc>
        <w:tc>
          <w:tcPr>
            <w:tcW w:w="850" w:type="dxa"/>
          </w:tcPr>
          <w:p>
            <w:pPr>
              <w:rPr>
                <w:rFonts w:ascii="宋体"/>
                <w:sz w:val="21"/>
                <w:szCs w:val="21"/>
              </w:rPr>
            </w:pPr>
          </w:p>
        </w:tc>
      </w:tr>
    </w:tbl>
    <w:p>
      <w:pPr>
        <w:snapToGrid w:val="0"/>
        <w:spacing w:line="360" w:lineRule="auto"/>
        <w:ind w:firstLine="422" w:firstLineChars="200"/>
        <w:rPr>
          <w:rFonts w:ascii="宋体"/>
          <w:sz w:val="21"/>
          <w:szCs w:val="21"/>
        </w:rPr>
      </w:pPr>
      <w:r>
        <w:rPr>
          <w:rFonts w:hint="eastAsia" w:ascii="宋体"/>
          <w:b/>
          <w:sz w:val="21"/>
          <w:szCs w:val="21"/>
        </w:rPr>
        <w:t>备注：本表所述的配置是指包含设备的主机在内的所有部件、配件、备品、耗材等，所述的制造商、型号规格、数量均是指该设备各项配置所对应的制造商、型号规格、数量。</w:t>
      </w:r>
      <w:r>
        <w:rPr>
          <w:rFonts w:hint="eastAsia" w:ascii="宋体" w:hAnsi="宋体" w:cs="宋体"/>
          <w:b/>
          <w:bCs/>
          <w:sz w:val="21"/>
          <w:szCs w:val="21"/>
          <w:u w:val="single"/>
          <w:lang w:val="zh-CN"/>
        </w:rPr>
        <w:t>（须与实际到货保持严格一致）</w:t>
      </w:r>
    </w:p>
    <w:p>
      <w:pPr>
        <w:rPr>
          <w:sz w:val="21"/>
          <w:szCs w:val="21"/>
        </w:rPr>
      </w:pPr>
    </w:p>
    <w:p>
      <w:pPr>
        <w:rPr>
          <w:sz w:val="21"/>
          <w:szCs w:val="21"/>
        </w:rPr>
      </w:pPr>
    </w:p>
    <w:p>
      <w:pPr>
        <w:rPr>
          <w:sz w:val="21"/>
          <w:szCs w:val="21"/>
        </w:rPr>
      </w:pPr>
    </w:p>
    <w:p>
      <w:pPr>
        <w:rPr>
          <w:sz w:val="21"/>
          <w:szCs w:val="21"/>
        </w:rPr>
      </w:pPr>
      <w:r>
        <w:rPr>
          <w:sz w:val="21"/>
          <w:szCs w:val="21"/>
        </w:rPr>
        <w:t>投标人名称（公章）：</w:t>
      </w:r>
    </w:p>
    <w:p>
      <w:pPr>
        <w:rPr>
          <w:sz w:val="21"/>
          <w:szCs w:val="21"/>
        </w:rPr>
      </w:pPr>
    </w:p>
    <w:p>
      <w:pPr>
        <w:rPr>
          <w:sz w:val="21"/>
          <w:szCs w:val="21"/>
        </w:rPr>
      </w:pPr>
    </w:p>
    <w:p>
      <w:pPr>
        <w:rPr>
          <w:sz w:val="21"/>
          <w:szCs w:val="21"/>
        </w:rPr>
      </w:pPr>
    </w:p>
    <w:p>
      <w:pPr>
        <w:jc w:val="both"/>
        <w:rPr>
          <w:sz w:val="21"/>
          <w:szCs w:val="21"/>
        </w:rPr>
      </w:pPr>
      <w:r>
        <w:rPr>
          <w:rFonts w:hint="eastAsia"/>
          <w:sz w:val="21"/>
          <w:szCs w:val="21"/>
        </w:rPr>
        <w:t>投标人代表（签字）：</w:t>
      </w:r>
    </w:p>
    <w:p>
      <w:pPr>
        <w:widowControl/>
        <w:adjustRightInd/>
        <w:spacing w:line="240" w:lineRule="auto"/>
        <w:textAlignment w:val="auto"/>
        <w:rPr>
          <w:sz w:val="21"/>
          <w:szCs w:val="21"/>
        </w:rPr>
      </w:pPr>
      <w:r>
        <w:rPr>
          <w:sz w:val="21"/>
          <w:szCs w:val="21"/>
        </w:rPr>
        <w:br w:type="page"/>
      </w:r>
    </w:p>
    <w:p>
      <w:pPr>
        <w:jc w:val="both"/>
        <w:rPr>
          <w:rFonts w:ascii="宋体" w:hAnsi="宋体"/>
          <w:b/>
          <w:bCs/>
          <w:sz w:val="21"/>
          <w:szCs w:val="21"/>
        </w:rPr>
      </w:pPr>
      <w:r>
        <w:rPr>
          <w:rFonts w:ascii="宋体" w:hAnsi="宋体"/>
          <w:b/>
          <w:bCs/>
          <w:sz w:val="21"/>
          <w:szCs w:val="21"/>
        </w:rPr>
        <w:t>附件12</w:t>
      </w:r>
    </w:p>
    <w:p>
      <w:pPr>
        <w:jc w:val="both"/>
        <w:rPr>
          <w:rFonts w:ascii="宋体" w:hAnsi="宋体"/>
          <w:sz w:val="21"/>
          <w:szCs w:val="21"/>
        </w:rPr>
      </w:pPr>
    </w:p>
    <w:p>
      <w:pPr>
        <w:jc w:val="center"/>
        <w:rPr>
          <w:rFonts w:ascii="宋体" w:hAnsi="宋体"/>
          <w:b/>
          <w:bCs/>
        </w:rPr>
      </w:pPr>
      <w:r>
        <w:rPr>
          <w:rFonts w:hint="eastAsia" w:ascii="宋体" w:hAnsi="宋体"/>
          <w:b/>
          <w:bCs/>
        </w:rPr>
        <w:t>关于投标产品信息准确无误的</w:t>
      </w:r>
      <w:r>
        <w:rPr>
          <w:rFonts w:ascii="宋体" w:hAnsi="宋体"/>
          <w:b/>
          <w:bCs/>
        </w:rPr>
        <w:t>承诺</w:t>
      </w:r>
      <w:r>
        <w:rPr>
          <w:rFonts w:hint="eastAsia" w:ascii="宋体" w:hAnsi="宋体"/>
          <w:b/>
          <w:bCs/>
        </w:rPr>
        <w:t>书</w:t>
      </w:r>
    </w:p>
    <w:p>
      <w:pPr>
        <w:jc w:val="both"/>
        <w:rPr>
          <w:rFonts w:ascii="宋体" w:hAnsi="宋体"/>
          <w:sz w:val="21"/>
          <w:szCs w:val="21"/>
        </w:rPr>
      </w:pPr>
    </w:p>
    <w:p>
      <w:pPr>
        <w:jc w:val="both"/>
        <w:rPr>
          <w:rFonts w:ascii="宋体" w:hAnsi="宋体"/>
          <w:sz w:val="21"/>
          <w:szCs w:val="21"/>
        </w:rPr>
      </w:pPr>
    </w:p>
    <w:p>
      <w:pPr>
        <w:jc w:val="both"/>
        <w:rPr>
          <w:rFonts w:ascii="宋体" w:hAnsi="宋体"/>
          <w:b/>
          <w:bCs/>
          <w:sz w:val="21"/>
          <w:szCs w:val="21"/>
        </w:rPr>
      </w:pPr>
      <w:r>
        <w:rPr>
          <w:rFonts w:hint="eastAsia" w:ascii="宋体" w:hAnsi="宋体"/>
          <w:b/>
          <w:bCs/>
          <w:sz w:val="21"/>
          <w:szCs w:val="21"/>
        </w:rPr>
        <w:t>广东华伦招标有限公司</w:t>
      </w:r>
      <w:r>
        <w:rPr>
          <w:rFonts w:ascii="宋体" w:hAnsi="宋体"/>
          <w:b/>
          <w:bCs/>
          <w:sz w:val="21"/>
          <w:szCs w:val="21"/>
        </w:rPr>
        <w:t>：</w:t>
      </w:r>
    </w:p>
    <w:p>
      <w:pPr>
        <w:jc w:val="both"/>
        <w:rPr>
          <w:rFonts w:ascii="宋体" w:hAnsi="宋体"/>
          <w:sz w:val="21"/>
          <w:szCs w:val="21"/>
        </w:rPr>
      </w:pPr>
    </w:p>
    <w:p>
      <w:pPr>
        <w:jc w:val="both"/>
        <w:rPr>
          <w:rFonts w:ascii="宋体" w:hAnsi="宋体"/>
          <w:sz w:val="21"/>
          <w:szCs w:val="21"/>
        </w:rPr>
      </w:pPr>
    </w:p>
    <w:p>
      <w:pPr>
        <w:spacing w:line="600" w:lineRule="auto"/>
        <w:ind w:firstLine="420" w:firstLineChars="200"/>
        <w:jc w:val="both"/>
        <w:rPr>
          <w:rFonts w:ascii="宋体" w:hAnsi="宋体"/>
          <w:sz w:val="21"/>
          <w:szCs w:val="21"/>
        </w:rPr>
      </w:pPr>
      <w:r>
        <w:rPr>
          <w:rFonts w:ascii="宋体" w:hAnsi="宋体"/>
          <w:sz w:val="21"/>
          <w:szCs w:val="21"/>
        </w:rPr>
        <w:t>关于贵公司</w:t>
      </w:r>
      <w:r>
        <w:rPr>
          <w:rFonts w:ascii="宋体" w:hAnsi="宋体"/>
          <w:sz w:val="21"/>
          <w:szCs w:val="21"/>
          <w:u w:val="single"/>
        </w:rPr>
        <w:t xml:space="preserve">    </w:t>
      </w:r>
      <w:r>
        <w:rPr>
          <w:rFonts w:ascii="宋体" w:hAnsi="宋体"/>
          <w:sz w:val="21"/>
          <w:szCs w:val="21"/>
        </w:rPr>
        <w:t>年</w:t>
      </w:r>
      <w:r>
        <w:rPr>
          <w:rFonts w:ascii="宋体" w:hAnsi="宋体"/>
          <w:sz w:val="21"/>
          <w:szCs w:val="21"/>
          <w:u w:val="single"/>
        </w:rPr>
        <w:t xml:space="preserve">   </w:t>
      </w:r>
      <w:r>
        <w:rPr>
          <w:rFonts w:ascii="宋体" w:hAnsi="宋体"/>
          <w:sz w:val="21"/>
          <w:szCs w:val="21"/>
        </w:rPr>
        <w:t>月</w:t>
      </w:r>
      <w:r>
        <w:rPr>
          <w:rFonts w:ascii="宋体" w:hAnsi="宋体"/>
          <w:sz w:val="21"/>
          <w:szCs w:val="21"/>
          <w:u w:val="single"/>
        </w:rPr>
        <w:t xml:space="preserve">   </w:t>
      </w:r>
      <w:r>
        <w:rPr>
          <w:rFonts w:ascii="宋体" w:hAnsi="宋体"/>
          <w:sz w:val="21"/>
          <w:szCs w:val="21"/>
        </w:rPr>
        <w:t>日发布的</w:t>
      </w:r>
      <w:r>
        <w:rPr>
          <w:rFonts w:ascii="宋体" w:hAnsi="宋体"/>
          <w:sz w:val="21"/>
          <w:szCs w:val="21"/>
          <w:u w:val="single"/>
        </w:rPr>
        <w:t xml:space="preserve">                 </w:t>
      </w:r>
      <w:r>
        <w:rPr>
          <w:rFonts w:ascii="宋体" w:hAnsi="宋体"/>
          <w:sz w:val="21"/>
          <w:szCs w:val="21"/>
        </w:rPr>
        <w:t>项目（项目编号/包号：</w:t>
      </w:r>
      <w:r>
        <w:rPr>
          <w:rFonts w:ascii="宋体" w:hAnsi="宋体"/>
          <w:sz w:val="21"/>
          <w:szCs w:val="21"/>
          <w:u w:val="single"/>
        </w:rPr>
        <w:t xml:space="preserve">              </w:t>
      </w:r>
      <w:r>
        <w:rPr>
          <w:rFonts w:ascii="宋体" w:hAnsi="宋体"/>
          <w:sz w:val="21"/>
          <w:szCs w:val="21"/>
        </w:rPr>
        <w:t>）的采购公告，本公司（企业）愿意参加投标，并承诺：</w:t>
      </w:r>
    </w:p>
    <w:p>
      <w:pPr>
        <w:spacing w:line="600" w:lineRule="auto"/>
        <w:ind w:firstLine="422" w:firstLineChars="200"/>
        <w:jc w:val="both"/>
        <w:rPr>
          <w:rFonts w:ascii="宋体" w:hAnsi="宋体"/>
          <w:b/>
          <w:sz w:val="21"/>
          <w:szCs w:val="21"/>
        </w:rPr>
      </w:pPr>
      <w:r>
        <w:rPr>
          <w:rFonts w:ascii="宋体" w:hAnsi="宋体"/>
          <w:b/>
          <w:sz w:val="21"/>
          <w:szCs w:val="21"/>
        </w:rPr>
        <w:t>本公司（企业）</w:t>
      </w:r>
      <w:r>
        <w:rPr>
          <w:rFonts w:hint="eastAsia" w:ascii="宋体" w:hAnsi="宋体"/>
          <w:b/>
          <w:sz w:val="21"/>
          <w:szCs w:val="21"/>
        </w:rPr>
        <w:t>所投货物的名称、品牌/制造商名称、型号、规格、配置（包括备品备件）、产地、数量等信息均准确无误，且中标后在签署合同（含外贸合同）和供货等后续环节不再作任何修改。</w:t>
      </w:r>
    </w:p>
    <w:p>
      <w:pPr>
        <w:spacing w:line="600" w:lineRule="auto"/>
        <w:ind w:firstLine="420" w:firstLineChars="200"/>
        <w:jc w:val="both"/>
        <w:rPr>
          <w:rFonts w:ascii="宋体" w:hAnsi="宋体"/>
          <w:sz w:val="21"/>
          <w:szCs w:val="21"/>
        </w:rPr>
      </w:pPr>
      <w:r>
        <w:rPr>
          <w:rFonts w:ascii="宋体" w:hAnsi="宋体"/>
          <w:sz w:val="21"/>
          <w:szCs w:val="21"/>
        </w:rPr>
        <w:t>特此承诺！</w:t>
      </w:r>
    </w:p>
    <w:p>
      <w:pPr>
        <w:jc w:val="both"/>
        <w:rPr>
          <w:rFonts w:ascii="宋体" w:hAnsi="宋体"/>
          <w:sz w:val="21"/>
          <w:szCs w:val="21"/>
        </w:rPr>
      </w:pPr>
    </w:p>
    <w:p>
      <w:pPr>
        <w:jc w:val="both"/>
        <w:rPr>
          <w:rFonts w:ascii="宋体" w:hAnsi="宋体"/>
          <w:sz w:val="21"/>
          <w:szCs w:val="21"/>
        </w:rPr>
      </w:pPr>
    </w:p>
    <w:p>
      <w:pPr>
        <w:ind w:left="4250" w:firstLine="425"/>
        <w:jc w:val="both"/>
        <w:rPr>
          <w:rFonts w:ascii="宋体" w:hAnsi="宋体"/>
          <w:sz w:val="21"/>
          <w:szCs w:val="21"/>
        </w:rPr>
      </w:pPr>
      <w:r>
        <w:rPr>
          <w:rFonts w:ascii="宋体" w:hAnsi="宋体"/>
          <w:sz w:val="21"/>
          <w:szCs w:val="21"/>
        </w:rPr>
        <w:t>企业名称（单位盖章）：</w:t>
      </w:r>
    </w:p>
    <w:p>
      <w:pPr>
        <w:jc w:val="both"/>
        <w:rPr>
          <w:rFonts w:ascii="宋体" w:hAnsi="宋体"/>
          <w:sz w:val="21"/>
          <w:szCs w:val="21"/>
        </w:rPr>
      </w:pPr>
    </w:p>
    <w:p>
      <w:pPr>
        <w:ind w:left="4250" w:firstLine="425"/>
        <w:jc w:val="both"/>
        <w:rPr>
          <w:rFonts w:ascii="宋体" w:hAnsi="宋体"/>
          <w:sz w:val="21"/>
          <w:szCs w:val="21"/>
        </w:rPr>
      </w:pPr>
      <w:r>
        <w:rPr>
          <w:rFonts w:ascii="宋体" w:hAnsi="宋体"/>
          <w:sz w:val="21"/>
          <w:szCs w:val="21"/>
        </w:rPr>
        <w:t>日期：</w:t>
      </w:r>
    </w:p>
    <w:p>
      <w:pPr>
        <w:jc w:val="both"/>
        <w:rPr>
          <w:rFonts w:ascii="宋体" w:hAnsi="宋体"/>
          <w:sz w:val="21"/>
          <w:szCs w:val="21"/>
        </w:rPr>
      </w:pPr>
    </w:p>
    <w:sectPr>
      <w:footerReference r:id="rId10" w:type="first"/>
      <w:footerReference r:id="rId9" w:type="default"/>
      <w:pgSz w:w="11906" w:h="16838"/>
      <w:pgMar w:top="1440" w:right="1469" w:bottom="1247" w:left="1797" w:header="1134" w:footer="907"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AdobeSongStd-Light">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icrosoft Sans Serif">
    <w:panose1 w:val="020B0604020202020204"/>
    <w:charset w:val="00"/>
    <w:family w:val="swiss"/>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auto" w:sz="4" w:space="1"/>
      </w:pBdr>
      <w:adjustRightInd w:val="0"/>
    </w:pPr>
    <w:r>
      <w:rPr>
        <w:rFonts w:ascii="Arial" w:cs="Arial"/>
      </w:rPr>
      <w:drawing>
        <wp:inline distT="0" distB="0" distL="114300" distR="114300">
          <wp:extent cx="170815" cy="167640"/>
          <wp:effectExtent l="0" t="0" r="635" b="3810"/>
          <wp:docPr id="5"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1"/>
                  <pic:cNvPicPr>
                    <a:picLocks noChangeAspect="1"/>
                  </pic:cNvPicPr>
                </pic:nvPicPr>
                <pic:blipFill>
                  <a:blip r:embed="rId1"/>
                  <a:stretch>
                    <a:fillRect/>
                  </a:stretch>
                </pic:blipFill>
                <pic:spPr>
                  <a:xfrm>
                    <a:off x="0" y="0"/>
                    <a:ext cx="170815" cy="167640"/>
                  </a:xfrm>
                  <a:prstGeom prst="rect">
                    <a:avLst/>
                  </a:prstGeom>
                  <a:noFill/>
                  <a:ln w="9525">
                    <a:noFill/>
                  </a:ln>
                </pic:spPr>
              </pic:pic>
            </a:graphicData>
          </a:graphic>
        </wp:inline>
      </w:drawing>
    </w:r>
    <w:r>
      <w:rPr>
        <w:rFonts w:ascii="Arial" w:cs="Arial"/>
      </w:rPr>
      <w:t>广东</w:t>
    </w:r>
    <w:r>
      <w:rPr>
        <w:rFonts w:hint="eastAsia" w:ascii="Arial" w:cs="Arial"/>
      </w:rPr>
      <w:t xml:space="preserve">华伦招标有限公司                                           </w:t>
    </w:r>
    <w:r>
      <w:rPr>
        <w:rFonts w:ascii="Arial" w:cs="Arial"/>
      </w:rPr>
      <w:t xml:space="preserve">    </w:t>
    </w:r>
    <w:r>
      <w:rPr>
        <w:rFonts w:hint="eastAsia" w:ascii="Arial" w:cs="Arial"/>
      </w:rPr>
      <w:t xml:space="preserve"> </w:t>
    </w:r>
    <w:r>
      <w:fldChar w:fldCharType="begin"/>
    </w:r>
    <w:r>
      <w:instrText xml:space="preserve"> HYPERLINK </w:instrText>
    </w:r>
    <w:r>
      <w:fldChar w:fldCharType="separate"/>
    </w:r>
    <w:r>
      <w:rPr>
        <w:rStyle w:val="29"/>
        <w:rFonts w:hint="eastAsia"/>
      </w:rPr>
      <w:t>http://</w:t>
    </w:r>
    <w:r>
      <w:rPr>
        <w:rStyle w:val="29"/>
      </w:rPr>
      <w:t xml:space="preserve">www.gdhualun.com.cn </w:t>
    </w:r>
    <w:r>
      <w:rPr>
        <w:rStyle w:val="29"/>
      </w:rPr>
      <w:fldChar w:fldCharType="end"/>
    </w:r>
  </w:p>
  <w:p>
    <w:pPr>
      <w:pStyle w:val="16"/>
      <w:pBdr>
        <w:top w:val="single" w:color="auto" w:sz="4" w:space="1"/>
      </w:pBdr>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auto" w:sz="4" w:space="1"/>
      </w:pBdr>
      <w:adjustRightInd w:val="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86385" cy="2076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286385" cy="207645"/>
                      </a:xfrm>
                      <a:prstGeom prst="rect">
                        <a:avLst/>
                      </a:prstGeom>
                      <a:noFill/>
                      <a:ln w="9525">
                        <a:noFill/>
                      </a:ln>
                      <a:effectLst/>
                    </wps:spPr>
                    <wps:txbx>
                      <w:txbxContent>
                        <w:p>
                          <w:pPr>
                            <w:pStyle w:val="16"/>
                          </w:pPr>
                          <w:r>
                            <w:fldChar w:fldCharType="begin"/>
                          </w:r>
                          <w:r>
                            <w:instrText xml:space="preserve"> PAGE  \* MERGEFORMAT </w:instrText>
                          </w:r>
                          <w:r>
                            <w:fldChar w:fldCharType="separate"/>
                          </w:r>
                          <w:r>
                            <w:t>55</w:t>
                          </w:r>
                          <w:r>
                            <w:fldChar w:fldCharType="end"/>
                          </w:r>
                        </w:p>
                      </w:txbxContent>
                    </wps:txbx>
                    <wps:bodyPr wrap="square" lIns="0" tIns="0" rIns="0" bIns="0"/>
                  </wps:wsp>
                </a:graphicData>
              </a:graphic>
            </wp:anchor>
          </w:drawing>
        </mc:Choice>
        <mc:Fallback>
          <w:pict>
            <v:shape id="_x0000_s1026" o:spid="_x0000_s1026" o:spt="202" type="#_x0000_t202" style="position:absolute;left:0pt;margin-top:0pt;height:16.35pt;width:22.55pt;mso-position-horizontal:center;mso-position-horizontal-relative:margin;z-index:251658240;mso-width-relative:page;mso-height-relative:page;" filled="f" stroked="f" coordsize="21600,21600" o:gfxdata="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8gfPPUAAAA&#10;AwEAAA8AAAAAAAAAAQAgAAAAIgAAAGRycy9kb3ducmV2LnhtbFBLAQIUABQAAAAIAIdO4kAd4MOJ&#10;rwEAADwDAAAOAAAAAAAAAAEAIAAAACMBAABkcnMvZTJvRG9jLnhtbFBLBQYAAAAABgAGAFkBAABE&#10;BQAAAAA=&#10;">
              <v:fill on="f" focussize="0,0"/>
              <v:stroke on="f"/>
              <v:imagedata o:title=""/>
              <o:lock v:ext="edit" aspectratio="f"/>
              <v:textbox inset="0mm,0mm,0mm,0mm">
                <w:txbxContent>
                  <w:p>
                    <w:pPr>
                      <w:pStyle w:val="16"/>
                    </w:pPr>
                    <w:r>
                      <w:fldChar w:fldCharType="begin"/>
                    </w:r>
                    <w:r>
                      <w:instrText xml:space="preserve"> PAGE  \* MERGEFORMAT </w:instrText>
                    </w:r>
                    <w:r>
                      <w:fldChar w:fldCharType="separate"/>
                    </w:r>
                    <w:r>
                      <w:t>55</w:t>
                    </w:r>
                    <w:r>
                      <w:fldChar w:fldCharType="end"/>
                    </w:r>
                  </w:p>
                </w:txbxContent>
              </v:textbox>
            </v:shape>
          </w:pict>
        </mc:Fallback>
      </mc:AlternateContent>
    </w:r>
    <w:r>
      <w:rPr>
        <w:rFonts w:ascii="Arial" w:cs="Arial"/>
      </w:rPr>
      <w:drawing>
        <wp:inline distT="0" distB="0" distL="114300" distR="114300">
          <wp:extent cx="170815" cy="167640"/>
          <wp:effectExtent l="0" t="0" r="635" b="3810"/>
          <wp:docPr id="6"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1"/>
                  <pic:cNvPicPr>
                    <a:picLocks noChangeAspect="1"/>
                  </pic:cNvPicPr>
                </pic:nvPicPr>
                <pic:blipFill>
                  <a:blip r:embed="rId1"/>
                  <a:stretch>
                    <a:fillRect/>
                  </a:stretch>
                </pic:blipFill>
                <pic:spPr>
                  <a:xfrm>
                    <a:off x="0" y="0"/>
                    <a:ext cx="170815" cy="167640"/>
                  </a:xfrm>
                  <a:prstGeom prst="rect">
                    <a:avLst/>
                  </a:prstGeom>
                  <a:noFill/>
                  <a:ln w="9525">
                    <a:noFill/>
                  </a:ln>
                </pic:spPr>
              </pic:pic>
            </a:graphicData>
          </a:graphic>
        </wp:inline>
      </w:drawing>
    </w:r>
    <w:r>
      <w:rPr>
        <w:rFonts w:ascii="Arial" w:cs="Arial"/>
      </w:rPr>
      <w:t>广东</w:t>
    </w:r>
    <w:r>
      <w:rPr>
        <w:rFonts w:hint="eastAsia" w:ascii="Arial" w:cs="Arial"/>
      </w:rPr>
      <w:t xml:space="preserve">华伦招标有限公司                                           </w:t>
    </w:r>
    <w:r>
      <w:rPr>
        <w:rFonts w:ascii="Arial" w:cs="Arial"/>
      </w:rPr>
      <w:t xml:space="preserve">    </w:t>
    </w:r>
    <w:r>
      <w:rPr>
        <w:rFonts w:hint="eastAsia" w:ascii="Arial" w:cs="Arial"/>
      </w:rPr>
      <w:t xml:space="preserve"> </w:t>
    </w:r>
    <w:r>
      <w:fldChar w:fldCharType="begin"/>
    </w:r>
    <w:r>
      <w:instrText xml:space="preserve"> HYPERLINK </w:instrText>
    </w:r>
    <w:r>
      <w:fldChar w:fldCharType="separate"/>
    </w:r>
    <w:r>
      <w:rPr>
        <w:rStyle w:val="29"/>
        <w:rFonts w:hint="eastAsia"/>
      </w:rPr>
      <w:t>http://</w:t>
    </w:r>
    <w:r>
      <w:rPr>
        <w:rStyle w:val="29"/>
      </w:rPr>
      <w:t xml:space="preserve">www.gdhualun.com.cn </w:t>
    </w:r>
    <w:r>
      <w:rPr>
        <w:rStyle w:val="29"/>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auto" w:sz="4" w:space="1"/>
      </w:pBdr>
      <w:adjustRightInd w:val="0"/>
    </w:pPr>
    <w:r>
      <w:rPr>
        <w:rFonts w:ascii="Arial" w:cs="Arial"/>
      </w:rPr>
      <w:drawing>
        <wp:inline distT="0" distB="0" distL="114300" distR="114300">
          <wp:extent cx="170815" cy="167640"/>
          <wp:effectExtent l="0" t="0" r="635" b="3810"/>
          <wp:docPr id="7"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1"/>
                  <pic:cNvPicPr>
                    <a:picLocks noChangeAspect="1"/>
                  </pic:cNvPicPr>
                </pic:nvPicPr>
                <pic:blipFill>
                  <a:blip r:embed="rId1"/>
                  <a:stretch>
                    <a:fillRect/>
                  </a:stretch>
                </pic:blipFill>
                <pic:spPr>
                  <a:xfrm>
                    <a:off x="0" y="0"/>
                    <a:ext cx="170815" cy="167640"/>
                  </a:xfrm>
                  <a:prstGeom prst="rect">
                    <a:avLst/>
                  </a:prstGeom>
                  <a:noFill/>
                  <a:ln w="9525">
                    <a:noFill/>
                  </a:ln>
                </pic:spPr>
              </pic:pic>
            </a:graphicData>
          </a:graphic>
        </wp:inline>
      </w:drawing>
    </w:r>
    <w:r>
      <w:rPr>
        <w:rFonts w:ascii="Arial" w:cs="Arial"/>
      </w:rPr>
      <w:t>广东</w:t>
    </w:r>
    <w:r>
      <w:rPr>
        <w:rFonts w:hint="eastAsia" w:ascii="Arial" w:cs="Arial"/>
      </w:rPr>
      <w:t xml:space="preserve">华伦招标有限公司                                           </w:t>
    </w:r>
    <w:r>
      <w:rPr>
        <w:rFonts w:ascii="Arial" w:cs="Arial"/>
      </w:rPr>
      <w:t xml:space="preserve">    </w:t>
    </w:r>
    <w:r>
      <w:rPr>
        <w:rFonts w:hint="eastAsia" w:ascii="Arial" w:cs="Arial"/>
      </w:rPr>
      <w:t xml:space="preserve"> </w:t>
    </w:r>
    <w:r>
      <w:fldChar w:fldCharType="begin"/>
    </w:r>
    <w:r>
      <w:instrText xml:space="preserve"> HYPERLINK </w:instrText>
    </w:r>
    <w:r>
      <w:fldChar w:fldCharType="separate"/>
    </w:r>
    <w:r>
      <w:rPr>
        <w:rStyle w:val="29"/>
        <w:rFonts w:hint="eastAsia"/>
      </w:rPr>
      <w:t>http://</w:t>
    </w:r>
    <w:r>
      <w:rPr>
        <w:rStyle w:val="29"/>
      </w:rPr>
      <w:t xml:space="preserve">www.gdhualun.com.cn </w:t>
    </w:r>
    <w:r>
      <w:rPr>
        <w:rStyle w:val="29"/>
      </w:rPr>
      <w:fldChar w:fldCharType="end"/>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9525">
                        <a:noFill/>
                      </a:ln>
                      <a:effectLst/>
                    </wps:spPr>
                    <wps:txbx>
                      <w:txbxContent>
                        <w:p>
                          <w:pPr>
                            <w:pStyle w:val="16"/>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P&#10;i91E0AAAAAIBAAAPAAAAAAAAAAEAIAAAACIAAABkcnMvZG93bnJldi54bWxQSwECFAAUAAAACACH&#10;TuJAmcK2D7oBAABTAwAADgAAAAAAAAABACAAAAAfAQAAZHJzL2Uyb0RvYy54bWxQSwUGAAAAAAYA&#10;BgBZAQAASw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tabs>
          <w:tab w:val="left" w:pos="726"/>
        </w:tabs>
        <w:ind w:left="726" w:hanging="360"/>
      </w:pPr>
    </w:lvl>
    <w:lvl w:ilvl="1" w:tentative="0">
      <w:start w:val="1"/>
      <w:numFmt w:val="decimal"/>
      <w:lvlText w:val="%2."/>
      <w:lvlJc w:val="left"/>
      <w:pPr>
        <w:tabs>
          <w:tab w:val="left" w:pos="1446"/>
        </w:tabs>
        <w:ind w:left="1446" w:hanging="360"/>
      </w:pPr>
    </w:lvl>
    <w:lvl w:ilvl="2" w:tentative="0">
      <w:start w:val="1"/>
      <w:numFmt w:val="decimal"/>
      <w:lvlText w:val="%3."/>
      <w:lvlJc w:val="left"/>
      <w:pPr>
        <w:tabs>
          <w:tab w:val="left" w:pos="2166"/>
        </w:tabs>
        <w:ind w:left="2166" w:hanging="360"/>
      </w:pPr>
    </w:lvl>
    <w:lvl w:ilvl="3" w:tentative="0">
      <w:start w:val="1"/>
      <w:numFmt w:val="decimal"/>
      <w:lvlText w:val="%4."/>
      <w:lvlJc w:val="left"/>
      <w:pPr>
        <w:tabs>
          <w:tab w:val="left" w:pos="2886"/>
        </w:tabs>
        <w:ind w:left="2886" w:hanging="360"/>
      </w:pPr>
    </w:lvl>
    <w:lvl w:ilvl="4" w:tentative="0">
      <w:start w:val="1"/>
      <w:numFmt w:val="decimal"/>
      <w:lvlText w:val="%5."/>
      <w:lvlJc w:val="left"/>
      <w:pPr>
        <w:tabs>
          <w:tab w:val="left" w:pos="3606"/>
        </w:tabs>
        <w:ind w:left="3606" w:hanging="360"/>
      </w:pPr>
    </w:lvl>
    <w:lvl w:ilvl="5" w:tentative="0">
      <w:start w:val="1"/>
      <w:numFmt w:val="decimal"/>
      <w:lvlText w:val="%6."/>
      <w:lvlJc w:val="left"/>
      <w:pPr>
        <w:tabs>
          <w:tab w:val="left" w:pos="4326"/>
        </w:tabs>
        <w:ind w:left="4326" w:hanging="360"/>
      </w:pPr>
    </w:lvl>
    <w:lvl w:ilvl="6" w:tentative="0">
      <w:start w:val="1"/>
      <w:numFmt w:val="decimal"/>
      <w:lvlText w:val="%7."/>
      <w:lvlJc w:val="left"/>
      <w:pPr>
        <w:tabs>
          <w:tab w:val="left" w:pos="5046"/>
        </w:tabs>
        <w:ind w:left="5046" w:hanging="360"/>
      </w:pPr>
    </w:lvl>
    <w:lvl w:ilvl="7" w:tentative="0">
      <w:start w:val="1"/>
      <w:numFmt w:val="decimal"/>
      <w:lvlText w:val="%8."/>
      <w:lvlJc w:val="left"/>
      <w:pPr>
        <w:tabs>
          <w:tab w:val="left" w:pos="5766"/>
        </w:tabs>
        <w:ind w:left="5766" w:hanging="360"/>
      </w:pPr>
    </w:lvl>
    <w:lvl w:ilvl="8" w:tentative="0">
      <w:start w:val="1"/>
      <w:numFmt w:val="decimal"/>
      <w:lvlText w:val="%9."/>
      <w:lvlJc w:val="left"/>
      <w:pPr>
        <w:tabs>
          <w:tab w:val="left" w:pos="6486"/>
        </w:tabs>
        <w:ind w:left="6486" w:hanging="360"/>
      </w:pPr>
    </w:lvl>
  </w:abstractNum>
  <w:abstractNum w:abstractNumId="1">
    <w:nsid w:val="00000002"/>
    <w:multiLevelType w:val="multilevel"/>
    <w:tmpl w:val="00000002"/>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0000003"/>
    <w:multiLevelType w:val="multilevel"/>
    <w:tmpl w:val="00000003"/>
    <w:lvl w:ilvl="0" w:tentative="0">
      <w:start w:val="1"/>
      <w:numFmt w:val="decimal"/>
      <w:lvlText w:val="%1."/>
      <w:lvlJc w:val="left"/>
      <w:pPr>
        <w:tabs>
          <w:tab w:val="left" w:pos="720"/>
        </w:tabs>
        <w:ind w:left="720" w:hanging="360"/>
      </w:pPr>
      <w:rPr>
        <w:rFonts w:hint="eastAsia" w:ascii="宋体" w:eastAsia="宋体"/>
      </w:rPr>
    </w:lvl>
    <w:lvl w:ilvl="1" w:tentative="0">
      <w:start w:val="1"/>
      <w:numFmt w:val="decimal"/>
      <w:lvlText w:val="%2."/>
      <w:lvlJc w:val="left"/>
      <w:pPr>
        <w:tabs>
          <w:tab w:val="left" w:pos="1440"/>
        </w:tabs>
        <w:ind w:left="1440" w:hanging="360"/>
      </w:pPr>
      <w:rPr>
        <w:rFonts w:hint="eastAsia"/>
      </w:rPr>
    </w:lvl>
    <w:lvl w:ilvl="2" w:tentative="0">
      <w:start w:val="1"/>
      <w:numFmt w:val="decimal"/>
      <w:lvlText w:val="%3."/>
      <w:lvlJc w:val="left"/>
      <w:pPr>
        <w:tabs>
          <w:tab w:val="left" w:pos="2160"/>
        </w:tabs>
        <w:ind w:left="2160" w:hanging="360"/>
      </w:pPr>
      <w:rPr>
        <w:rFonts w:hint="eastAsia"/>
      </w:rPr>
    </w:lvl>
    <w:lvl w:ilvl="3" w:tentative="0">
      <w:start w:val="1"/>
      <w:numFmt w:val="decimal"/>
      <w:lvlText w:val="%4."/>
      <w:lvlJc w:val="left"/>
      <w:pPr>
        <w:tabs>
          <w:tab w:val="left" w:pos="2880"/>
        </w:tabs>
        <w:ind w:left="2880" w:hanging="360"/>
      </w:pPr>
      <w:rPr>
        <w:rFonts w:hint="eastAsia"/>
      </w:rPr>
    </w:lvl>
    <w:lvl w:ilvl="4" w:tentative="0">
      <w:start w:val="1"/>
      <w:numFmt w:val="decimal"/>
      <w:lvlText w:val="%5."/>
      <w:lvlJc w:val="left"/>
      <w:pPr>
        <w:tabs>
          <w:tab w:val="left" w:pos="3600"/>
        </w:tabs>
        <w:ind w:left="3600" w:hanging="360"/>
      </w:pPr>
      <w:rPr>
        <w:rFonts w:hint="eastAsia"/>
      </w:rPr>
    </w:lvl>
    <w:lvl w:ilvl="5" w:tentative="0">
      <w:start w:val="1"/>
      <w:numFmt w:val="decimal"/>
      <w:lvlText w:val="%6."/>
      <w:lvlJc w:val="left"/>
      <w:pPr>
        <w:tabs>
          <w:tab w:val="left" w:pos="4320"/>
        </w:tabs>
        <w:ind w:left="4320" w:hanging="360"/>
      </w:pPr>
      <w:rPr>
        <w:rFonts w:hint="eastAsia"/>
      </w:rPr>
    </w:lvl>
    <w:lvl w:ilvl="6" w:tentative="0">
      <w:start w:val="1"/>
      <w:numFmt w:val="decimal"/>
      <w:lvlText w:val="%7."/>
      <w:lvlJc w:val="left"/>
      <w:pPr>
        <w:tabs>
          <w:tab w:val="left" w:pos="5040"/>
        </w:tabs>
        <w:ind w:left="5040" w:hanging="360"/>
      </w:pPr>
      <w:rPr>
        <w:rFonts w:hint="eastAsia"/>
      </w:rPr>
    </w:lvl>
    <w:lvl w:ilvl="7" w:tentative="0">
      <w:start w:val="1"/>
      <w:numFmt w:val="decimal"/>
      <w:lvlText w:val="%8."/>
      <w:lvlJc w:val="left"/>
      <w:pPr>
        <w:tabs>
          <w:tab w:val="left" w:pos="5760"/>
        </w:tabs>
        <w:ind w:left="5760" w:hanging="360"/>
      </w:pPr>
      <w:rPr>
        <w:rFonts w:hint="eastAsia"/>
      </w:rPr>
    </w:lvl>
    <w:lvl w:ilvl="8" w:tentative="0">
      <w:start w:val="1"/>
      <w:numFmt w:val="decimal"/>
      <w:lvlText w:val="%9."/>
      <w:lvlJc w:val="left"/>
      <w:pPr>
        <w:tabs>
          <w:tab w:val="left" w:pos="6480"/>
        </w:tabs>
        <w:ind w:left="6480" w:hanging="360"/>
      </w:pPr>
      <w:rPr>
        <w:rFonts w:hint="eastAsia"/>
      </w:rPr>
    </w:lvl>
  </w:abstractNum>
  <w:abstractNum w:abstractNumId="3">
    <w:nsid w:val="00000005"/>
    <w:multiLevelType w:val="multilevel"/>
    <w:tmpl w:val="00000005"/>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0000006"/>
    <w:multiLevelType w:val="multilevel"/>
    <w:tmpl w:val="00000006"/>
    <w:lvl w:ilvl="0" w:tentative="0">
      <w:start w:val="1"/>
      <w:numFmt w:val="decimal"/>
      <w:lvlText w:val="%1."/>
      <w:lvlJc w:val="left"/>
      <w:pPr>
        <w:tabs>
          <w:tab w:val="left" w:pos="720"/>
        </w:tabs>
        <w:ind w:left="720" w:hanging="360"/>
      </w:pPr>
      <w:rPr>
        <w:rFonts w:hint="eastAsia"/>
      </w:rPr>
    </w:lvl>
    <w:lvl w:ilvl="1" w:tentative="0">
      <w:start w:val="1"/>
      <w:numFmt w:val="decimal"/>
      <w:lvlText w:val="%2."/>
      <w:lvlJc w:val="left"/>
      <w:pPr>
        <w:tabs>
          <w:tab w:val="left" w:pos="1440"/>
        </w:tabs>
        <w:ind w:left="1440" w:hanging="360"/>
      </w:pPr>
      <w:rPr>
        <w:rFonts w:hint="eastAsia"/>
      </w:rPr>
    </w:lvl>
    <w:lvl w:ilvl="2" w:tentative="0">
      <w:start w:val="1"/>
      <w:numFmt w:val="decimal"/>
      <w:lvlText w:val="%3."/>
      <w:lvlJc w:val="left"/>
      <w:pPr>
        <w:tabs>
          <w:tab w:val="left" w:pos="2160"/>
        </w:tabs>
        <w:ind w:left="2160" w:hanging="360"/>
      </w:pPr>
      <w:rPr>
        <w:rFonts w:hint="eastAsia"/>
      </w:rPr>
    </w:lvl>
    <w:lvl w:ilvl="3" w:tentative="0">
      <w:start w:val="1"/>
      <w:numFmt w:val="decimal"/>
      <w:lvlText w:val="%4."/>
      <w:lvlJc w:val="left"/>
      <w:pPr>
        <w:tabs>
          <w:tab w:val="left" w:pos="2880"/>
        </w:tabs>
        <w:ind w:left="2880" w:hanging="360"/>
      </w:pPr>
      <w:rPr>
        <w:rFonts w:hint="eastAsia"/>
      </w:rPr>
    </w:lvl>
    <w:lvl w:ilvl="4" w:tentative="0">
      <w:start w:val="1"/>
      <w:numFmt w:val="decimal"/>
      <w:lvlText w:val="%5."/>
      <w:lvlJc w:val="left"/>
      <w:pPr>
        <w:tabs>
          <w:tab w:val="left" w:pos="3600"/>
        </w:tabs>
        <w:ind w:left="3600" w:hanging="360"/>
      </w:pPr>
      <w:rPr>
        <w:rFonts w:hint="eastAsia"/>
      </w:rPr>
    </w:lvl>
    <w:lvl w:ilvl="5" w:tentative="0">
      <w:start w:val="1"/>
      <w:numFmt w:val="decimal"/>
      <w:lvlText w:val="%6."/>
      <w:lvlJc w:val="left"/>
      <w:pPr>
        <w:tabs>
          <w:tab w:val="left" w:pos="4320"/>
        </w:tabs>
        <w:ind w:left="4320" w:hanging="360"/>
      </w:pPr>
      <w:rPr>
        <w:rFonts w:hint="eastAsia"/>
      </w:rPr>
    </w:lvl>
    <w:lvl w:ilvl="6" w:tentative="0">
      <w:start w:val="1"/>
      <w:numFmt w:val="decimal"/>
      <w:lvlText w:val="%7."/>
      <w:lvlJc w:val="left"/>
      <w:pPr>
        <w:tabs>
          <w:tab w:val="left" w:pos="5040"/>
        </w:tabs>
        <w:ind w:left="5040" w:hanging="360"/>
      </w:pPr>
      <w:rPr>
        <w:rFonts w:hint="eastAsia"/>
      </w:rPr>
    </w:lvl>
    <w:lvl w:ilvl="7" w:tentative="0">
      <w:start w:val="1"/>
      <w:numFmt w:val="decimal"/>
      <w:lvlText w:val="%8."/>
      <w:lvlJc w:val="left"/>
      <w:pPr>
        <w:tabs>
          <w:tab w:val="left" w:pos="5760"/>
        </w:tabs>
        <w:ind w:left="5760" w:hanging="360"/>
      </w:pPr>
      <w:rPr>
        <w:rFonts w:hint="eastAsia"/>
      </w:rPr>
    </w:lvl>
    <w:lvl w:ilvl="8" w:tentative="0">
      <w:start w:val="1"/>
      <w:numFmt w:val="decimal"/>
      <w:lvlText w:val="%9."/>
      <w:lvlJc w:val="left"/>
      <w:pPr>
        <w:tabs>
          <w:tab w:val="left" w:pos="6480"/>
        </w:tabs>
        <w:ind w:left="6480" w:hanging="360"/>
      </w:pPr>
      <w:rPr>
        <w:rFonts w:hint="eastAsia"/>
      </w:rPr>
    </w:lvl>
  </w:abstractNum>
  <w:abstractNum w:abstractNumId="5">
    <w:nsid w:val="00000007"/>
    <w:multiLevelType w:val="multilevel"/>
    <w:tmpl w:val="00000007"/>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00000008"/>
    <w:multiLevelType w:val="multilevel"/>
    <w:tmpl w:val="0000000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00000009"/>
    <w:multiLevelType w:val="multilevel"/>
    <w:tmpl w:val="00000009"/>
    <w:lvl w:ilvl="0" w:tentative="0">
      <w:start w:val="1"/>
      <w:numFmt w:val="decimal"/>
      <w:lvlText w:val="%1."/>
      <w:lvlJc w:val="left"/>
      <w:pPr>
        <w:tabs>
          <w:tab w:val="left" w:pos="720"/>
        </w:tabs>
        <w:ind w:left="720" w:hanging="360"/>
      </w:pPr>
      <w:rPr>
        <w:rFonts w:hint="eastAsia"/>
      </w:rPr>
    </w:lvl>
    <w:lvl w:ilvl="1" w:tentative="0">
      <w:start w:val="1"/>
      <w:numFmt w:val="decimal"/>
      <w:lvlText w:val="%2."/>
      <w:lvlJc w:val="left"/>
      <w:pPr>
        <w:tabs>
          <w:tab w:val="left" w:pos="1440"/>
        </w:tabs>
        <w:ind w:left="1440" w:hanging="360"/>
      </w:pPr>
      <w:rPr>
        <w:rFonts w:hint="eastAsia"/>
      </w:rPr>
    </w:lvl>
    <w:lvl w:ilvl="2" w:tentative="0">
      <w:start w:val="1"/>
      <w:numFmt w:val="decimal"/>
      <w:lvlText w:val="%3."/>
      <w:lvlJc w:val="left"/>
      <w:pPr>
        <w:tabs>
          <w:tab w:val="left" w:pos="2160"/>
        </w:tabs>
        <w:ind w:left="2160" w:hanging="360"/>
      </w:pPr>
      <w:rPr>
        <w:rFonts w:hint="eastAsia"/>
      </w:rPr>
    </w:lvl>
    <w:lvl w:ilvl="3" w:tentative="0">
      <w:start w:val="1"/>
      <w:numFmt w:val="decimal"/>
      <w:lvlText w:val="%4."/>
      <w:lvlJc w:val="left"/>
      <w:pPr>
        <w:tabs>
          <w:tab w:val="left" w:pos="2880"/>
        </w:tabs>
        <w:ind w:left="2880" w:hanging="360"/>
      </w:pPr>
      <w:rPr>
        <w:rFonts w:hint="eastAsia"/>
      </w:rPr>
    </w:lvl>
    <w:lvl w:ilvl="4" w:tentative="0">
      <w:start w:val="1"/>
      <w:numFmt w:val="decimal"/>
      <w:lvlText w:val="%5."/>
      <w:lvlJc w:val="left"/>
      <w:pPr>
        <w:tabs>
          <w:tab w:val="left" w:pos="3600"/>
        </w:tabs>
        <w:ind w:left="3600" w:hanging="360"/>
      </w:pPr>
      <w:rPr>
        <w:rFonts w:hint="eastAsia"/>
      </w:rPr>
    </w:lvl>
    <w:lvl w:ilvl="5" w:tentative="0">
      <w:start w:val="1"/>
      <w:numFmt w:val="decimal"/>
      <w:lvlText w:val="%6."/>
      <w:lvlJc w:val="left"/>
      <w:pPr>
        <w:tabs>
          <w:tab w:val="left" w:pos="4320"/>
        </w:tabs>
        <w:ind w:left="4320" w:hanging="360"/>
      </w:pPr>
      <w:rPr>
        <w:rFonts w:hint="eastAsia"/>
      </w:rPr>
    </w:lvl>
    <w:lvl w:ilvl="6" w:tentative="0">
      <w:start w:val="1"/>
      <w:numFmt w:val="decimal"/>
      <w:lvlText w:val="%7."/>
      <w:lvlJc w:val="left"/>
      <w:pPr>
        <w:tabs>
          <w:tab w:val="left" w:pos="5040"/>
        </w:tabs>
        <w:ind w:left="5040" w:hanging="360"/>
      </w:pPr>
      <w:rPr>
        <w:rFonts w:hint="eastAsia"/>
      </w:rPr>
    </w:lvl>
    <w:lvl w:ilvl="7" w:tentative="0">
      <w:start w:val="1"/>
      <w:numFmt w:val="decimal"/>
      <w:lvlText w:val="%8."/>
      <w:lvlJc w:val="left"/>
      <w:pPr>
        <w:tabs>
          <w:tab w:val="left" w:pos="5760"/>
        </w:tabs>
        <w:ind w:left="5760" w:hanging="360"/>
      </w:pPr>
      <w:rPr>
        <w:rFonts w:hint="eastAsia"/>
      </w:rPr>
    </w:lvl>
    <w:lvl w:ilvl="8" w:tentative="0">
      <w:start w:val="1"/>
      <w:numFmt w:val="decimal"/>
      <w:lvlText w:val="%9."/>
      <w:lvlJc w:val="left"/>
      <w:pPr>
        <w:tabs>
          <w:tab w:val="left" w:pos="6480"/>
        </w:tabs>
        <w:ind w:left="6480" w:hanging="360"/>
      </w:pPr>
      <w:rPr>
        <w:rFonts w:hint="eastAsia"/>
      </w:rPr>
    </w:lvl>
  </w:abstractNum>
  <w:abstractNum w:abstractNumId="8">
    <w:nsid w:val="0000000B"/>
    <w:multiLevelType w:val="multilevel"/>
    <w:tmpl w:val="0000000B"/>
    <w:lvl w:ilvl="0" w:tentative="0">
      <w:start w:val="1"/>
      <w:numFmt w:val="decimal"/>
      <w:lvlText w:val="%1."/>
      <w:lvlJc w:val="left"/>
      <w:pPr>
        <w:tabs>
          <w:tab w:val="left" w:pos="720"/>
        </w:tabs>
        <w:ind w:left="720" w:hanging="360"/>
      </w:pPr>
      <w:rPr>
        <w:rFonts w:hint="eastAsia" w:ascii="宋体" w:hAnsi="宋体" w:eastAsia="宋体"/>
      </w:rPr>
    </w:lvl>
    <w:lvl w:ilvl="1" w:tentative="0">
      <w:start w:val="1"/>
      <w:numFmt w:val="decimal"/>
      <w:lvlText w:val="%2."/>
      <w:lvlJc w:val="left"/>
      <w:pPr>
        <w:tabs>
          <w:tab w:val="left" w:pos="1440"/>
        </w:tabs>
        <w:ind w:left="1440" w:hanging="360"/>
      </w:pPr>
      <w:rPr>
        <w:rFonts w:hint="eastAsia"/>
      </w:rPr>
    </w:lvl>
    <w:lvl w:ilvl="2" w:tentative="0">
      <w:start w:val="1"/>
      <w:numFmt w:val="decimal"/>
      <w:lvlText w:val="%3."/>
      <w:lvlJc w:val="left"/>
      <w:pPr>
        <w:tabs>
          <w:tab w:val="left" w:pos="2160"/>
        </w:tabs>
        <w:ind w:left="2160" w:hanging="360"/>
      </w:pPr>
      <w:rPr>
        <w:rFonts w:hint="eastAsia"/>
      </w:rPr>
    </w:lvl>
    <w:lvl w:ilvl="3" w:tentative="0">
      <w:start w:val="1"/>
      <w:numFmt w:val="decimal"/>
      <w:lvlText w:val="%4."/>
      <w:lvlJc w:val="left"/>
      <w:pPr>
        <w:tabs>
          <w:tab w:val="left" w:pos="2880"/>
        </w:tabs>
        <w:ind w:left="2880" w:hanging="360"/>
      </w:pPr>
      <w:rPr>
        <w:rFonts w:hint="eastAsia"/>
      </w:rPr>
    </w:lvl>
    <w:lvl w:ilvl="4" w:tentative="0">
      <w:start w:val="1"/>
      <w:numFmt w:val="decimal"/>
      <w:lvlText w:val="%5."/>
      <w:lvlJc w:val="left"/>
      <w:pPr>
        <w:tabs>
          <w:tab w:val="left" w:pos="3600"/>
        </w:tabs>
        <w:ind w:left="3600" w:hanging="360"/>
      </w:pPr>
      <w:rPr>
        <w:rFonts w:hint="eastAsia"/>
      </w:rPr>
    </w:lvl>
    <w:lvl w:ilvl="5" w:tentative="0">
      <w:start w:val="1"/>
      <w:numFmt w:val="decimal"/>
      <w:lvlText w:val="%6."/>
      <w:lvlJc w:val="left"/>
      <w:pPr>
        <w:tabs>
          <w:tab w:val="left" w:pos="4320"/>
        </w:tabs>
        <w:ind w:left="4320" w:hanging="360"/>
      </w:pPr>
      <w:rPr>
        <w:rFonts w:hint="eastAsia"/>
      </w:rPr>
    </w:lvl>
    <w:lvl w:ilvl="6" w:tentative="0">
      <w:start w:val="1"/>
      <w:numFmt w:val="decimal"/>
      <w:lvlText w:val="%7."/>
      <w:lvlJc w:val="left"/>
      <w:pPr>
        <w:tabs>
          <w:tab w:val="left" w:pos="5040"/>
        </w:tabs>
        <w:ind w:left="5040" w:hanging="360"/>
      </w:pPr>
      <w:rPr>
        <w:rFonts w:hint="eastAsia"/>
      </w:rPr>
    </w:lvl>
    <w:lvl w:ilvl="7" w:tentative="0">
      <w:start w:val="1"/>
      <w:numFmt w:val="decimal"/>
      <w:lvlText w:val="%8."/>
      <w:lvlJc w:val="left"/>
      <w:pPr>
        <w:tabs>
          <w:tab w:val="left" w:pos="5760"/>
        </w:tabs>
        <w:ind w:left="5760" w:hanging="360"/>
      </w:pPr>
      <w:rPr>
        <w:rFonts w:hint="eastAsia"/>
      </w:rPr>
    </w:lvl>
    <w:lvl w:ilvl="8" w:tentative="0">
      <w:start w:val="1"/>
      <w:numFmt w:val="decimal"/>
      <w:lvlText w:val="%9."/>
      <w:lvlJc w:val="left"/>
      <w:pPr>
        <w:tabs>
          <w:tab w:val="left" w:pos="6480"/>
        </w:tabs>
        <w:ind w:left="6480" w:hanging="360"/>
      </w:pPr>
      <w:rPr>
        <w:rFonts w:hint="eastAsia"/>
      </w:rPr>
    </w:lvl>
  </w:abstractNum>
  <w:abstractNum w:abstractNumId="9">
    <w:nsid w:val="0000000C"/>
    <w:multiLevelType w:val="multilevel"/>
    <w:tmpl w:val="0000000C"/>
    <w:lvl w:ilvl="0" w:tentative="0">
      <w:start w:val="1"/>
      <w:numFmt w:val="decimal"/>
      <w:lvlText w:val="%1."/>
      <w:lvlJc w:val="left"/>
      <w:pPr>
        <w:tabs>
          <w:tab w:val="left" w:pos="720"/>
        </w:tabs>
        <w:ind w:left="720" w:hanging="360"/>
      </w:pPr>
      <w:rPr>
        <w:rFonts w:hint="eastAsia" w:ascii="宋体" w:eastAsia="宋体"/>
      </w:rPr>
    </w:lvl>
    <w:lvl w:ilvl="1" w:tentative="0">
      <w:start w:val="1"/>
      <w:numFmt w:val="decimal"/>
      <w:lvlText w:val="%2."/>
      <w:lvlJc w:val="left"/>
      <w:pPr>
        <w:tabs>
          <w:tab w:val="left" w:pos="1440"/>
        </w:tabs>
        <w:ind w:left="1440" w:hanging="360"/>
      </w:pPr>
      <w:rPr>
        <w:rFonts w:hint="eastAsia"/>
      </w:rPr>
    </w:lvl>
    <w:lvl w:ilvl="2" w:tentative="0">
      <w:start w:val="1"/>
      <w:numFmt w:val="decimal"/>
      <w:lvlText w:val="%3."/>
      <w:lvlJc w:val="left"/>
      <w:pPr>
        <w:tabs>
          <w:tab w:val="left" w:pos="2160"/>
        </w:tabs>
        <w:ind w:left="2160" w:hanging="360"/>
      </w:pPr>
      <w:rPr>
        <w:rFonts w:hint="eastAsia"/>
      </w:rPr>
    </w:lvl>
    <w:lvl w:ilvl="3" w:tentative="0">
      <w:start w:val="1"/>
      <w:numFmt w:val="decimal"/>
      <w:lvlText w:val="%4."/>
      <w:lvlJc w:val="left"/>
      <w:pPr>
        <w:tabs>
          <w:tab w:val="left" w:pos="2880"/>
        </w:tabs>
        <w:ind w:left="2880" w:hanging="360"/>
      </w:pPr>
      <w:rPr>
        <w:rFonts w:hint="eastAsia"/>
      </w:rPr>
    </w:lvl>
    <w:lvl w:ilvl="4" w:tentative="0">
      <w:start w:val="1"/>
      <w:numFmt w:val="decimal"/>
      <w:lvlText w:val="%5."/>
      <w:lvlJc w:val="left"/>
      <w:pPr>
        <w:tabs>
          <w:tab w:val="left" w:pos="3600"/>
        </w:tabs>
        <w:ind w:left="3600" w:hanging="360"/>
      </w:pPr>
      <w:rPr>
        <w:rFonts w:hint="eastAsia"/>
      </w:rPr>
    </w:lvl>
    <w:lvl w:ilvl="5" w:tentative="0">
      <w:start w:val="1"/>
      <w:numFmt w:val="decimal"/>
      <w:lvlText w:val="%6."/>
      <w:lvlJc w:val="left"/>
      <w:pPr>
        <w:tabs>
          <w:tab w:val="left" w:pos="4320"/>
        </w:tabs>
        <w:ind w:left="4320" w:hanging="360"/>
      </w:pPr>
      <w:rPr>
        <w:rFonts w:hint="eastAsia"/>
      </w:rPr>
    </w:lvl>
    <w:lvl w:ilvl="6" w:tentative="0">
      <w:start w:val="1"/>
      <w:numFmt w:val="decimal"/>
      <w:lvlText w:val="%7."/>
      <w:lvlJc w:val="left"/>
      <w:pPr>
        <w:tabs>
          <w:tab w:val="left" w:pos="5040"/>
        </w:tabs>
        <w:ind w:left="5040" w:hanging="360"/>
      </w:pPr>
      <w:rPr>
        <w:rFonts w:hint="eastAsia"/>
      </w:rPr>
    </w:lvl>
    <w:lvl w:ilvl="7" w:tentative="0">
      <w:start w:val="1"/>
      <w:numFmt w:val="decimal"/>
      <w:lvlText w:val="%8."/>
      <w:lvlJc w:val="left"/>
      <w:pPr>
        <w:tabs>
          <w:tab w:val="left" w:pos="5760"/>
        </w:tabs>
        <w:ind w:left="5760" w:hanging="360"/>
      </w:pPr>
      <w:rPr>
        <w:rFonts w:hint="eastAsia"/>
      </w:rPr>
    </w:lvl>
    <w:lvl w:ilvl="8" w:tentative="0">
      <w:start w:val="1"/>
      <w:numFmt w:val="decimal"/>
      <w:lvlText w:val="%9."/>
      <w:lvlJc w:val="left"/>
      <w:pPr>
        <w:tabs>
          <w:tab w:val="left" w:pos="6480"/>
        </w:tabs>
        <w:ind w:left="6480" w:hanging="360"/>
      </w:pPr>
      <w:rPr>
        <w:rFonts w:hint="eastAsia"/>
      </w:rPr>
    </w:lvl>
  </w:abstractNum>
  <w:abstractNum w:abstractNumId="10">
    <w:nsid w:val="0000000D"/>
    <w:multiLevelType w:val="multilevel"/>
    <w:tmpl w:val="0000000D"/>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0000000E"/>
    <w:multiLevelType w:val="multilevel"/>
    <w:tmpl w:val="0000000E"/>
    <w:lvl w:ilvl="0" w:tentative="0">
      <w:start w:val="1"/>
      <w:numFmt w:val="decimal"/>
      <w:lvlText w:val="%1."/>
      <w:lvlJc w:val="left"/>
      <w:pPr>
        <w:tabs>
          <w:tab w:val="left" w:pos="720"/>
        </w:tabs>
        <w:ind w:left="720" w:hanging="360"/>
      </w:pPr>
      <w:rPr>
        <w:rFonts w:hint="eastAsia"/>
      </w:rPr>
    </w:lvl>
    <w:lvl w:ilvl="1" w:tentative="0">
      <w:start w:val="1"/>
      <w:numFmt w:val="decimal"/>
      <w:lvlText w:val="%2."/>
      <w:lvlJc w:val="left"/>
      <w:pPr>
        <w:tabs>
          <w:tab w:val="left" w:pos="1440"/>
        </w:tabs>
        <w:ind w:left="1440" w:hanging="360"/>
      </w:pPr>
      <w:rPr>
        <w:rFonts w:hint="eastAsia"/>
      </w:rPr>
    </w:lvl>
    <w:lvl w:ilvl="2" w:tentative="0">
      <w:start w:val="1"/>
      <w:numFmt w:val="decimal"/>
      <w:lvlText w:val="%3."/>
      <w:lvlJc w:val="left"/>
      <w:pPr>
        <w:tabs>
          <w:tab w:val="left" w:pos="2160"/>
        </w:tabs>
        <w:ind w:left="2160" w:hanging="360"/>
      </w:pPr>
      <w:rPr>
        <w:rFonts w:hint="eastAsia"/>
      </w:rPr>
    </w:lvl>
    <w:lvl w:ilvl="3" w:tentative="0">
      <w:start w:val="1"/>
      <w:numFmt w:val="decimal"/>
      <w:lvlText w:val="%4."/>
      <w:lvlJc w:val="left"/>
      <w:pPr>
        <w:tabs>
          <w:tab w:val="left" w:pos="2880"/>
        </w:tabs>
        <w:ind w:left="2880" w:hanging="360"/>
      </w:pPr>
      <w:rPr>
        <w:rFonts w:hint="eastAsia"/>
      </w:rPr>
    </w:lvl>
    <w:lvl w:ilvl="4" w:tentative="0">
      <w:start w:val="1"/>
      <w:numFmt w:val="decimal"/>
      <w:lvlText w:val="%5."/>
      <w:lvlJc w:val="left"/>
      <w:pPr>
        <w:tabs>
          <w:tab w:val="left" w:pos="3600"/>
        </w:tabs>
        <w:ind w:left="3600" w:hanging="360"/>
      </w:pPr>
      <w:rPr>
        <w:rFonts w:hint="eastAsia"/>
      </w:rPr>
    </w:lvl>
    <w:lvl w:ilvl="5" w:tentative="0">
      <w:start w:val="1"/>
      <w:numFmt w:val="decimal"/>
      <w:lvlText w:val="%6."/>
      <w:lvlJc w:val="left"/>
      <w:pPr>
        <w:tabs>
          <w:tab w:val="left" w:pos="4320"/>
        </w:tabs>
        <w:ind w:left="4320" w:hanging="360"/>
      </w:pPr>
      <w:rPr>
        <w:rFonts w:hint="eastAsia"/>
      </w:rPr>
    </w:lvl>
    <w:lvl w:ilvl="6" w:tentative="0">
      <w:start w:val="1"/>
      <w:numFmt w:val="decimal"/>
      <w:lvlText w:val="%7."/>
      <w:lvlJc w:val="left"/>
      <w:pPr>
        <w:tabs>
          <w:tab w:val="left" w:pos="5040"/>
        </w:tabs>
        <w:ind w:left="5040" w:hanging="360"/>
      </w:pPr>
      <w:rPr>
        <w:rFonts w:hint="eastAsia"/>
      </w:rPr>
    </w:lvl>
    <w:lvl w:ilvl="7" w:tentative="0">
      <w:start w:val="1"/>
      <w:numFmt w:val="decimal"/>
      <w:lvlText w:val="%8."/>
      <w:lvlJc w:val="left"/>
      <w:pPr>
        <w:tabs>
          <w:tab w:val="left" w:pos="5760"/>
        </w:tabs>
        <w:ind w:left="5760" w:hanging="360"/>
      </w:pPr>
      <w:rPr>
        <w:rFonts w:hint="eastAsia"/>
      </w:rPr>
    </w:lvl>
    <w:lvl w:ilvl="8" w:tentative="0">
      <w:start w:val="1"/>
      <w:numFmt w:val="decimal"/>
      <w:lvlText w:val="%9."/>
      <w:lvlJc w:val="left"/>
      <w:pPr>
        <w:tabs>
          <w:tab w:val="left" w:pos="6480"/>
        </w:tabs>
        <w:ind w:left="6480" w:hanging="360"/>
      </w:pPr>
      <w:rPr>
        <w:rFonts w:hint="eastAsia"/>
      </w:rPr>
    </w:lvl>
  </w:abstractNum>
  <w:abstractNum w:abstractNumId="12">
    <w:nsid w:val="06552063"/>
    <w:multiLevelType w:val="multilevel"/>
    <w:tmpl w:val="06552063"/>
    <w:lvl w:ilvl="0" w:tentative="0">
      <w:start w:val="1"/>
      <w:numFmt w:val="decimal"/>
      <w:lvlText w:val="%1."/>
      <w:lvlJc w:val="left"/>
      <w:pPr>
        <w:tabs>
          <w:tab w:val="left" w:pos="720"/>
        </w:tabs>
        <w:ind w:left="720" w:hanging="360"/>
      </w:pPr>
      <w:rPr>
        <w:rFonts w:hint="eastAsia"/>
      </w:rPr>
    </w:lvl>
    <w:lvl w:ilvl="1" w:tentative="0">
      <w:start w:val="1"/>
      <w:numFmt w:val="decimal"/>
      <w:lvlText w:val="%2."/>
      <w:lvlJc w:val="left"/>
      <w:pPr>
        <w:tabs>
          <w:tab w:val="left" w:pos="1440"/>
        </w:tabs>
        <w:ind w:left="1440" w:hanging="360"/>
      </w:pPr>
      <w:rPr>
        <w:rFonts w:hint="eastAsia"/>
      </w:rPr>
    </w:lvl>
    <w:lvl w:ilvl="2" w:tentative="0">
      <w:start w:val="1"/>
      <w:numFmt w:val="decimal"/>
      <w:lvlText w:val="%3."/>
      <w:lvlJc w:val="left"/>
      <w:pPr>
        <w:tabs>
          <w:tab w:val="left" w:pos="2160"/>
        </w:tabs>
        <w:ind w:left="2160" w:hanging="360"/>
      </w:pPr>
      <w:rPr>
        <w:rFonts w:hint="eastAsia"/>
      </w:rPr>
    </w:lvl>
    <w:lvl w:ilvl="3" w:tentative="0">
      <w:start w:val="1"/>
      <w:numFmt w:val="decimal"/>
      <w:lvlText w:val="%4."/>
      <w:lvlJc w:val="left"/>
      <w:pPr>
        <w:tabs>
          <w:tab w:val="left" w:pos="2880"/>
        </w:tabs>
        <w:ind w:left="2880" w:hanging="360"/>
      </w:pPr>
      <w:rPr>
        <w:rFonts w:hint="eastAsia"/>
      </w:rPr>
    </w:lvl>
    <w:lvl w:ilvl="4" w:tentative="0">
      <w:start w:val="1"/>
      <w:numFmt w:val="decimal"/>
      <w:lvlText w:val="%5."/>
      <w:lvlJc w:val="left"/>
      <w:pPr>
        <w:tabs>
          <w:tab w:val="left" w:pos="3600"/>
        </w:tabs>
        <w:ind w:left="3600" w:hanging="360"/>
      </w:pPr>
      <w:rPr>
        <w:rFonts w:hint="eastAsia"/>
      </w:rPr>
    </w:lvl>
    <w:lvl w:ilvl="5" w:tentative="0">
      <w:start w:val="1"/>
      <w:numFmt w:val="decimal"/>
      <w:lvlText w:val="%6."/>
      <w:lvlJc w:val="left"/>
      <w:pPr>
        <w:tabs>
          <w:tab w:val="left" w:pos="4320"/>
        </w:tabs>
        <w:ind w:left="4320" w:hanging="360"/>
      </w:pPr>
      <w:rPr>
        <w:rFonts w:hint="eastAsia"/>
      </w:rPr>
    </w:lvl>
    <w:lvl w:ilvl="6" w:tentative="0">
      <w:start w:val="1"/>
      <w:numFmt w:val="decimal"/>
      <w:lvlText w:val="%7."/>
      <w:lvlJc w:val="left"/>
      <w:pPr>
        <w:tabs>
          <w:tab w:val="left" w:pos="5040"/>
        </w:tabs>
        <w:ind w:left="5040" w:hanging="360"/>
      </w:pPr>
      <w:rPr>
        <w:rFonts w:hint="eastAsia"/>
      </w:rPr>
    </w:lvl>
    <w:lvl w:ilvl="7" w:tentative="0">
      <w:start w:val="1"/>
      <w:numFmt w:val="decimal"/>
      <w:lvlText w:val="%8."/>
      <w:lvlJc w:val="left"/>
      <w:pPr>
        <w:tabs>
          <w:tab w:val="left" w:pos="5760"/>
        </w:tabs>
        <w:ind w:left="5760" w:hanging="360"/>
      </w:pPr>
      <w:rPr>
        <w:rFonts w:hint="eastAsia"/>
      </w:rPr>
    </w:lvl>
    <w:lvl w:ilvl="8" w:tentative="0">
      <w:start w:val="1"/>
      <w:numFmt w:val="decimal"/>
      <w:lvlText w:val="%9."/>
      <w:lvlJc w:val="left"/>
      <w:pPr>
        <w:tabs>
          <w:tab w:val="left" w:pos="6480"/>
        </w:tabs>
        <w:ind w:left="6480" w:hanging="360"/>
      </w:pPr>
      <w:rPr>
        <w:rFonts w:hint="eastAsia"/>
      </w:rPr>
    </w:lvl>
  </w:abstractNum>
  <w:abstractNum w:abstractNumId="13">
    <w:nsid w:val="093C7F4B"/>
    <w:multiLevelType w:val="multilevel"/>
    <w:tmpl w:val="093C7F4B"/>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1AFE3BDE"/>
    <w:multiLevelType w:val="multilevel"/>
    <w:tmpl w:val="1AFE3BDE"/>
    <w:lvl w:ilvl="0" w:tentative="0">
      <w:start w:val="1"/>
      <w:numFmt w:val="decimal"/>
      <w:lvlText w:val="%1."/>
      <w:lvlJc w:val="left"/>
      <w:pPr>
        <w:tabs>
          <w:tab w:val="left" w:pos="720"/>
        </w:tabs>
        <w:ind w:left="720" w:hanging="360"/>
      </w:pPr>
      <w:rPr>
        <w:rFonts w:hint="eastAsia"/>
      </w:rPr>
    </w:lvl>
    <w:lvl w:ilvl="1" w:tentative="0">
      <w:start w:val="1"/>
      <w:numFmt w:val="decimal"/>
      <w:lvlText w:val="%2."/>
      <w:lvlJc w:val="left"/>
      <w:pPr>
        <w:tabs>
          <w:tab w:val="left" w:pos="1440"/>
        </w:tabs>
        <w:ind w:left="1440" w:hanging="360"/>
      </w:pPr>
      <w:rPr>
        <w:rFonts w:hint="eastAsia"/>
      </w:rPr>
    </w:lvl>
    <w:lvl w:ilvl="2" w:tentative="0">
      <w:start w:val="1"/>
      <w:numFmt w:val="decimal"/>
      <w:lvlText w:val="%3."/>
      <w:lvlJc w:val="left"/>
      <w:pPr>
        <w:tabs>
          <w:tab w:val="left" w:pos="2160"/>
        </w:tabs>
        <w:ind w:left="2160" w:hanging="360"/>
      </w:pPr>
      <w:rPr>
        <w:rFonts w:hint="eastAsia"/>
      </w:rPr>
    </w:lvl>
    <w:lvl w:ilvl="3" w:tentative="0">
      <w:start w:val="1"/>
      <w:numFmt w:val="decimal"/>
      <w:lvlText w:val="%4."/>
      <w:lvlJc w:val="left"/>
      <w:pPr>
        <w:tabs>
          <w:tab w:val="left" w:pos="2880"/>
        </w:tabs>
        <w:ind w:left="2880" w:hanging="360"/>
      </w:pPr>
      <w:rPr>
        <w:rFonts w:hint="eastAsia"/>
      </w:rPr>
    </w:lvl>
    <w:lvl w:ilvl="4" w:tentative="0">
      <w:start w:val="1"/>
      <w:numFmt w:val="decimal"/>
      <w:lvlText w:val="%5."/>
      <w:lvlJc w:val="left"/>
      <w:pPr>
        <w:tabs>
          <w:tab w:val="left" w:pos="3600"/>
        </w:tabs>
        <w:ind w:left="3600" w:hanging="360"/>
      </w:pPr>
      <w:rPr>
        <w:rFonts w:hint="eastAsia"/>
      </w:rPr>
    </w:lvl>
    <w:lvl w:ilvl="5" w:tentative="0">
      <w:start w:val="1"/>
      <w:numFmt w:val="decimal"/>
      <w:lvlText w:val="%6."/>
      <w:lvlJc w:val="left"/>
      <w:pPr>
        <w:tabs>
          <w:tab w:val="left" w:pos="4320"/>
        </w:tabs>
        <w:ind w:left="4320" w:hanging="360"/>
      </w:pPr>
      <w:rPr>
        <w:rFonts w:hint="eastAsia"/>
      </w:rPr>
    </w:lvl>
    <w:lvl w:ilvl="6" w:tentative="0">
      <w:start w:val="1"/>
      <w:numFmt w:val="decimal"/>
      <w:lvlText w:val="%7."/>
      <w:lvlJc w:val="left"/>
      <w:pPr>
        <w:tabs>
          <w:tab w:val="left" w:pos="5040"/>
        </w:tabs>
        <w:ind w:left="5040" w:hanging="360"/>
      </w:pPr>
      <w:rPr>
        <w:rFonts w:hint="eastAsia"/>
      </w:rPr>
    </w:lvl>
    <w:lvl w:ilvl="7" w:tentative="0">
      <w:start w:val="1"/>
      <w:numFmt w:val="decimal"/>
      <w:lvlText w:val="%8."/>
      <w:lvlJc w:val="left"/>
      <w:pPr>
        <w:tabs>
          <w:tab w:val="left" w:pos="5760"/>
        </w:tabs>
        <w:ind w:left="5760" w:hanging="360"/>
      </w:pPr>
      <w:rPr>
        <w:rFonts w:hint="eastAsia"/>
      </w:rPr>
    </w:lvl>
    <w:lvl w:ilvl="8" w:tentative="0">
      <w:start w:val="1"/>
      <w:numFmt w:val="decimal"/>
      <w:lvlText w:val="%9."/>
      <w:lvlJc w:val="left"/>
      <w:pPr>
        <w:tabs>
          <w:tab w:val="left" w:pos="6480"/>
        </w:tabs>
        <w:ind w:left="6480" w:hanging="360"/>
      </w:pPr>
      <w:rPr>
        <w:rFonts w:hint="eastAsia"/>
      </w:rPr>
    </w:lvl>
  </w:abstractNum>
  <w:abstractNum w:abstractNumId="15">
    <w:nsid w:val="220432C9"/>
    <w:multiLevelType w:val="multilevel"/>
    <w:tmpl w:val="220432C9"/>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2F24343C"/>
    <w:multiLevelType w:val="multilevel"/>
    <w:tmpl w:val="2F24343C"/>
    <w:lvl w:ilvl="0" w:tentative="0">
      <w:start w:val="1"/>
      <w:numFmt w:val="decimal"/>
      <w:lvlText w:val="%1."/>
      <w:lvlJc w:val="left"/>
      <w:pPr>
        <w:tabs>
          <w:tab w:val="left" w:pos="720"/>
        </w:tabs>
        <w:ind w:left="720" w:hanging="360"/>
      </w:pPr>
      <w:rPr>
        <w:rFonts w:hint="eastAsia" w:ascii="宋体" w:hAnsi="宋体" w:eastAsia="宋体"/>
      </w:rPr>
    </w:lvl>
    <w:lvl w:ilvl="1" w:tentative="0">
      <w:start w:val="1"/>
      <w:numFmt w:val="decimal"/>
      <w:lvlText w:val="%2."/>
      <w:lvlJc w:val="left"/>
      <w:pPr>
        <w:tabs>
          <w:tab w:val="left" w:pos="1440"/>
        </w:tabs>
        <w:ind w:left="1440" w:hanging="360"/>
      </w:pPr>
      <w:rPr>
        <w:rFonts w:hint="eastAsia"/>
      </w:rPr>
    </w:lvl>
    <w:lvl w:ilvl="2" w:tentative="0">
      <w:start w:val="1"/>
      <w:numFmt w:val="decimal"/>
      <w:lvlText w:val="%3."/>
      <w:lvlJc w:val="left"/>
      <w:pPr>
        <w:tabs>
          <w:tab w:val="left" w:pos="2160"/>
        </w:tabs>
        <w:ind w:left="2160" w:hanging="360"/>
      </w:pPr>
      <w:rPr>
        <w:rFonts w:hint="eastAsia"/>
      </w:rPr>
    </w:lvl>
    <w:lvl w:ilvl="3" w:tentative="0">
      <w:start w:val="1"/>
      <w:numFmt w:val="decimal"/>
      <w:lvlText w:val="%4."/>
      <w:lvlJc w:val="left"/>
      <w:pPr>
        <w:tabs>
          <w:tab w:val="left" w:pos="2880"/>
        </w:tabs>
        <w:ind w:left="2880" w:hanging="360"/>
      </w:pPr>
      <w:rPr>
        <w:rFonts w:hint="eastAsia"/>
      </w:rPr>
    </w:lvl>
    <w:lvl w:ilvl="4" w:tentative="0">
      <w:start w:val="1"/>
      <w:numFmt w:val="decimal"/>
      <w:lvlText w:val="%5."/>
      <w:lvlJc w:val="left"/>
      <w:pPr>
        <w:tabs>
          <w:tab w:val="left" w:pos="3600"/>
        </w:tabs>
        <w:ind w:left="3600" w:hanging="360"/>
      </w:pPr>
      <w:rPr>
        <w:rFonts w:hint="eastAsia"/>
      </w:rPr>
    </w:lvl>
    <w:lvl w:ilvl="5" w:tentative="0">
      <w:start w:val="1"/>
      <w:numFmt w:val="decimal"/>
      <w:lvlText w:val="%6."/>
      <w:lvlJc w:val="left"/>
      <w:pPr>
        <w:tabs>
          <w:tab w:val="left" w:pos="4320"/>
        </w:tabs>
        <w:ind w:left="4320" w:hanging="360"/>
      </w:pPr>
      <w:rPr>
        <w:rFonts w:hint="eastAsia"/>
      </w:rPr>
    </w:lvl>
    <w:lvl w:ilvl="6" w:tentative="0">
      <w:start w:val="1"/>
      <w:numFmt w:val="decimal"/>
      <w:lvlText w:val="%7."/>
      <w:lvlJc w:val="left"/>
      <w:pPr>
        <w:tabs>
          <w:tab w:val="left" w:pos="5040"/>
        </w:tabs>
        <w:ind w:left="5040" w:hanging="360"/>
      </w:pPr>
      <w:rPr>
        <w:rFonts w:hint="eastAsia"/>
      </w:rPr>
    </w:lvl>
    <w:lvl w:ilvl="7" w:tentative="0">
      <w:start w:val="1"/>
      <w:numFmt w:val="decimal"/>
      <w:lvlText w:val="%8."/>
      <w:lvlJc w:val="left"/>
      <w:pPr>
        <w:tabs>
          <w:tab w:val="left" w:pos="5760"/>
        </w:tabs>
        <w:ind w:left="5760" w:hanging="360"/>
      </w:pPr>
      <w:rPr>
        <w:rFonts w:hint="eastAsia"/>
      </w:rPr>
    </w:lvl>
    <w:lvl w:ilvl="8" w:tentative="0">
      <w:start w:val="1"/>
      <w:numFmt w:val="decimal"/>
      <w:lvlText w:val="%9."/>
      <w:lvlJc w:val="left"/>
      <w:pPr>
        <w:tabs>
          <w:tab w:val="left" w:pos="6480"/>
        </w:tabs>
        <w:ind w:left="6480" w:hanging="360"/>
      </w:pPr>
      <w:rPr>
        <w:rFonts w:hint="eastAsia"/>
      </w:rPr>
    </w:lvl>
  </w:abstractNum>
  <w:abstractNum w:abstractNumId="17">
    <w:nsid w:val="48EA0EAE"/>
    <w:multiLevelType w:val="multilevel"/>
    <w:tmpl w:val="48EA0EA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4B245ADE"/>
    <w:multiLevelType w:val="multilevel"/>
    <w:tmpl w:val="4B245AD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
    <w:nsid w:val="4C535A75"/>
    <w:multiLevelType w:val="multilevel"/>
    <w:tmpl w:val="4C535A75"/>
    <w:lvl w:ilvl="0" w:tentative="0">
      <w:start w:val="1"/>
      <w:numFmt w:val="japaneseCounting"/>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0200460"/>
    <w:multiLevelType w:val="multilevel"/>
    <w:tmpl w:val="60200460"/>
    <w:lvl w:ilvl="0" w:tentative="0">
      <w:start w:val="1"/>
      <w:numFmt w:val="decimal"/>
      <w:lvlText w:val="%1"/>
      <w:lvlJc w:val="left"/>
      <w:pPr>
        <w:tabs>
          <w:tab w:val="left" w:pos="360"/>
        </w:tabs>
      </w:pPr>
      <w:rPr>
        <w:rFonts w:hint="default" w:ascii="宋体" w:hAnsi="宋体" w:eastAsia="宋体"/>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3BA1AE7"/>
    <w:multiLevelType w:val="multilevel"/>
    <w:tmpl w:val="63BA1AE7"/>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6A1B4C06"/>
    <w:multiLevelType w:val="multilevel"/>
    <w:tmpl w:val="6A1B4C06"/>
    <w:lvl w:ilvl="0" w:tentative="0">
      <w:start w:val="1"/>
      <w:numFmt w:val="japaneseCounting"/>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5"/>
  </w:num>
  <w:num w:numId="2">
    <w:abstractNumId w:val="10"/>
  </w:num>
  <w:num w:numId="3">
    <w:abstractNumId w:val="0"/>
  </w:num>
  <w:num w:numId="4">
    <w:abstractNumId w:val="6"/>
  </w:num>
  <w:num w:numId="5">
    <w:abstractNumId w:val="21"/>
  </w:num>
  <w:num w:numId="6">
    <w:abstractNumId w:val="7"/>
  </w:num>
  <w:num w:numId="7">
    <w:abstractNumId w:val="5"/>
  </w:num>
  <w:num w:numId="8">
    <w:abstractNumId w:val="18"/>
  </w:num>
  <w:num w:numId="9">
    <w:abstractNumId w:val="11"/>
  </w:num>
  <w:num w:numId="10">
    <w:abstractNumId w:val="12"/>
  </w:num>
  <w:num w:numId="11">
    <w:abstractNumId w:val="14"/>
  </w:num>
  <w:num w:numId="12">
    <w:abstractNumId w:val="8"/>
  </w:num>
  <w:num w:numId="13">
    <w:abstractNumId w:val="3"/>
  </w:num>
  <w:num w:numId="14">
    <w:abstractNumId w:val="16"/>
  </w:num>
  <w:num w:numId="15">
    <w:abstractNumId w:val="4"/>
  </w:num>
  <w:num w:numId="16">
    <w:abstractNumId w:val="1"/>
  </w:num>
  <w:num w:numId="17">
    <w:abstractNumId w:val="13"/>
  </w:num>
  <w:num w:numId="18">
    <w:abstractNumId w:val="9"/>
  </w:num>
  <w:num w:numId="19">
    <w:abstractNumId w:val="2"/>
  </w:num>
  <w:num w:numId="20">
    <w:abstractNumId w:val="17"/>
  </w:num>
  <w:num w:numId="21">
    <w:abstractNumId w:val="22"/>
  </w:num>
  <w:num w:numId="22">
    <w:abstractNumId w:val="19"/>
  </w:num>
  <w:num w:numId="23">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dit="trackedChanges" w:enforcement="0"/>
  <w:defaultTabStop w:val="425"/>
  <w:doNotHyphenateCaps/>
  <w:drawingGridHorizontalSpacing w:val="120"/>
  <w:drawingGridVerticalSpacing w:val="104"/>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562"/>
    <w:rsid w:val="000021F6"/>
    <w:rsid w:val="000022F1"/>
    <w:rsid w:val="00002304"/>
    <w:rsid w:val="000026A3"/>
    <w:rsid w:val="00002B77"/>
    <w:rsid w:val="00002F53"/>
    <w:rsid w:val="00003FB8"/>
    <w:rsid w:val="00004799"/>
    <w:rsid w:val="00005B44"/>
    <w:rsid w:val="00005E99"/>
    <w:rsid w:val="00006007"/>
    <w:rsid w:val="000066D1"/>
    <w:rsid w:val="00007962"/>
    <w:rsid w:val="00010159"/>
    <w:rsid w:val="000103B8"/>
    <w:rsid w:val="000113DA"/>
    <w:rsid w:val="000115C6"/>
    <w:rsid w:val="00013465"/>
    <w:rsid w:val="000138D3"/>
    <w:rsid w:val="00015394"/>
    <w:rsid w:val="00016A0F"/>
    <w:rsid w:val="00017684"/>
    <w:rsid w:val="00020E55"/>
    <w:rsid w:val="00021A7D"/>
    <w:rsid w:val="00022D69"/>
    <w:rsid w:val="00025587"/>
    <w:rsid w:val="00025903"/>
    <w:rsid w:val="00026B31"/>
    <w:rsid w:val="00026BD6"/>
    <w:rsid w:val="000316E4"/>
    <w:rsid w:val="00034388"/>
    <w:rsid w:val="00036B07"/>
    <w:rsid w:val="00037212"/>
    <w:rsid w:val="00040560"/>
    <w:rsid w:val="00040B35"/>
    <w:rsid w:val="00041B58"/>
    <w:rsid w:val="00041FD1"/>
    <w:rsid w:val="0004432D"/>
    <w:rsid w:val="00044A91"/>
    <w:rsid w:val="00044B3F"/>
    <w:rsid w:val="00047D8E"/>
    <w:rsid w:val="00052326"/>
    <w:rsid w:val="000537BC"/>
    <w:rsid w:val="00054087"/>
    <w:rsid w:val="00055782"/>
    <w:rsid w:val="00055F9D"/>
    <w:rsid w:val="000560EA"/>
    <w:rsid w:val="0005620C"/>
    <w:rsid w:val="0005711B"/>
    <w:rsid w:val="00057380"/>
    <w:rsid w:val="00057428"/>
    <w:rsid w:val="00057B3B"/>
    <w:rsid w:val="000611BA"/>
    <w:rsid w:val="00062BAF"/>
    <w:rsid w:val="00062BEF"/>
    <w:rsid w:val="00062ED1"/>
    <w:rsid w:val="00063747"/>
    <w:rsid w:val="00063C6B"/>
    <w:rsid w:val="0006406A"/>
    <w:rsid w:val="0006434A"/>
    <w:rsid w:val="0006479D"/>
    <w:rsid w:val="00065586"/>
    <w:rsid w:val="00066529"/>
    <w:rsid w:val="00067CE6"/>
    <w:rsid w:val="00070F60"/>
    <w:rsid w:val="00073D11"/>
    <w:rsid w:val="00074627"/>
    <w:rsid w:val="00074A6A"/>
    <w:rsid w:val="0007571D"/>
    <w:rsid w:val="000827C6"/>
    <w:rsid w:val="00082BF0"/>
    <w:rsid w:val="000834A9"/>
    <w:rsid w:val="00083C76"/>
    <w:rsid w:val="00084049"/>
    <w:rsid w:val="000840AF"/>
    <w:rsid w:val="0008452E"/>
    <w:rsid w:val="00085847"/>
    <w:rsid w:val="000878D5"/>
    <w:rsid w:val="0009046D"/>
    <w:rsid w:val="00090D36"/>
    <w:rsid w:val="00094AAA"/>
    <w:rsid w:val="00094CB4"/>
    <w:rsid w:val="00095837"/>
    <w:rsid w:val="0009762E"/>
    <w:rsid w:val="000A1446"/>
    <w:rsid w:val="000A1D60"/>
    <w:rsid w:val="000A2106"/>
    <w:rsid w:val="000A2A59"/>
    <w:rsid w:val="000A33AD"/>
    <w:rsid w:val="000A4549"/>
    <w:rsid w:val="000A4A6C"/>
    <w:rsid w:val="000A6E91"/>
    <w:rsid w:val="000A72A1"/>
    <w:rsid w:val="000B116F"/>
    <w:rsid w:val="000B15BA"/>
    <w:rsid w:val="000B21D2"/>
    <w:rsid w:val="000B2346"/>
    <w:rsid w:val="000B2887"/>
    <w:rsid w:val="000B2ED4"/>
    <w:rsid w:val="000B34AD"/>
    <w:rsid w:val="000B384C"/>
    <w:rsid w:val="000B413A"/>
    <w:rsid w:val="000B42D0"/>
    <w:rsid w:val="000B4637"/>
    <w:rsid w:val="000B4F23"/>
    <w:rsid w:val="000B611B"/>
    <w:rsid w:val="000B6EA8"/>
    <w:rsid w:val="000B7713"/>
    <w:rsid w:val="000B786A"/>
    <w:rsid w:val="000B798F"/>
    <w:rsid w:val="000B7DD1"/>
    <w:rsid w:val="000C3C71"/>
    <w:rsid w:val="000C5721"/>
    <w:rsid w:val="000C5D19"/>
    <w:rsid w:val="000C706C"/>
    <w:rsid w:val="000C74ED"/>
    <w:rsid w:val="000D1859"/>
    <w:rsid w:val="000D21C1"/>
    <w:rsid w:val="000D3143"/>
    <w:rsid w:val="000D3CAA"/>
    <w:rsid w:val="000D3E50"/>
    <w:rsid w:val="000D4782"/>
    <w:rsid w:val="000D57EA"/>
    <w:rsid w:val="000D6960"/>
    <w:rsid w:val="000D696A"/>
    <w:rsid w:val="000D7AB8"/>
    <w:rsid w:val="000E0AD3"/>
    <w:rsid w:val="000E0E2B"/>
    <w:rsid w:val="000E0EC9"/>
    <w:rsid w:val="000E21E5"/>
    <w:rsid w:val="000E229A"/>
    <w:rsid w:val="000E243E"/>
    <w:rsid w:val="000E2702"/>
    <w:rsid w:val="000E37A7"/>
    <w:rsid w:val="000E38EC"/>
    <w:rsid w:val="000E3C5A"/>
    <w:rsid w:val="000E4C75"/>
    <w:rsid w:val="000E7CC6"/>
    <w:rsid w:val="000E7F60"/>
    <w:rsid w:val="000F061E"/>
    <w:rsid w:val="000F0827"/>
    <w:rsid w:val="000F3953"/>
    <w:rsid w:val="000F4179"/>
    <w:rsid w:val="000F5AB1"/>
    <w:rsid w:val="000F6EF7"/>
    <w:rsid w:val="000F75B5"/>
    <w:rsid w:val="00100203"/>
    <w:rsid w:val="00100250"/>
    <w:rsid w:val="00101893"/>
    <w:rsid w:val="00101F6F"/>
    <w:rsid w:val="00103771"/>
    <w:rsid w:val="00105DD0"/>
    <w:rsid w:val="00111EC5"/>
    <w:rsid w:val="001122BE"/>
    <w:rsid w:val="001124D6"/>
    <w:rsid w:val="001127D0"/>
    <w:rsid w:val="00112A53"/>
    <w:rsid w:val="00115637"/>
    <w:rsid w:val="001178D9"/>
    <w:rsid w:val="00120314"/>
    <w:rsid w:val="001212D7"/>
    <w:rsid w:val="001220CF"/>
    <w:rsid w:val="001221F0"/>
    <w:rsid w:val="001223A5"/>
    <w:rsid w:val="001223EE"/>
    <w:rsid w:val="001227D4"/>
    <w:rsid w:val="00123C18"/>
    <w:rsid w:val="00124AEF"/>
    <w:rsid w:val="001252A4"/>
    <w:rsid w:val="00125D39"/>
    <w:rsid w:val="001261F4"/>
    <w:rsid w:val="0012644A"/>
    <w:rsid w:val="00126554"/>
    <w:rsid w:val="0012737E"/>
    <w:rsid w:val="001306C2"/>
    <w:rsid w:val="00130714"/>
    <w:rsid w:val="0013085B"/>
    <w:rsid w:val="001329A6"/>
    <w:rsid w:val="00132B8E"/>
    <w:rsid w:val="00132F9B"/>
    <w:rsid w:val="0013319F"/>
    <w:rsid w:val="00134868"/>
    <w:rsid w:val="00135822"/>
    <w:rsid w:val="00135BB4"/>
    <w:rsid w:val="00135CC7"/>
    <w:rsid w:val="00136DDE"/>
    <w:rsid w:val="001374DC"/>
    <w:rsid w:val="00137E4D"/>
    <w:rsid w:val="00140127"/>
    <w:rsid w:val="00141117"/>
    <w:rsid w:val="00141172"/>
    <w:rsid w:val="00141B3A"/>
    <w:rsid w:val="001435EE"/>
    <w:rsid w:val="00144630"/>
    <w:rsid w:val="001446E7"/>
    <w:rsid w:val="00147B90"/>
    <w:rsid w:val="001500C6"/>
    <w:rsid w:val="0015015E"/>
    <w:rsid w:val="00151149"/>
    <w:rsid w:val="00151355"/>
    <w:rsid w:val="001514BB"/>
    <w:rsid w:val="00151770"/>
    <w:rsid w:val="00151D54"/>
    <w:rsid w:val="001520A0"/>
    <w:rsid w:val="00152B25"/>
    <w:rsid w:val="00153374"/>
    <w:rsid w:val="00153707"/>
    <w:rsid w:val="00155A1C"/>
    <w:rsid w:val="00157DA9"/>
    <w:rsid w:val="00160774"/>
    <w:rsid w:val="00160888"/>
    <w:rsid w:val="0016176C"/>
    <w:rsid w:val="00162B3C"/>
    <w:rsid w:val="00163671"/>
    <w:rsid w:val="00164574"/>
    <w:rsid w:val="00166330"/>
    <w:rsid w:val="00166BB2"/>
    <w:rsid w:val="00166BFB"/>
    <w:rsid w:val="00172A27"/>
    <w:rsid w:val="00172B7E"/>
    <w:rsid w:val="00173CD4"/>
    <w:rsid w:val="001745FA"/>
    <w:rsid w:val="00174CF0"/>
    <w:rsid w:val="00175920"/>
    <w:rsid w:val="001760CC"/>
    <w:rsid w:val="001769EB"/>
    <w:rsid w:val="00176AB1"/>
    <w:rsid w:val="00177E8A"/>
    <w:rsid w:val="00180CF7"/>
    <w:rsid w:val="00181416"/>
    <w:rsid w:val="00184BF6"/>
    <w:rsid w:val="00184D68"/>
    <w:rsid w:val="001853D9"/>
    <w:rsid w:val="00185DD9"/>
    <w:rsid w:val="00185E79"/>
    <w:rsid w:val="0018667E"/>
    <w:rsid w:val="00187109"/>
    <w:rsid w:val="00191D2D"/>
    <w:rsid w:val="0019336F"/>
    <w:rsid w:val="0019415C"/>
    <w:rsid w:val="00195418"/>
    <w:rsid w:val="00195C19"/>
    <w:rsid w:val="00195FCB"/>
    <w:rsid w:val="00196554"/>
    <w:rsid w:val="00196D54"/>
    <w:rsid w:val="001A0127"/>
    <w:rsid w:val="001A08AD"/>
    <w:rsid w:val="001A19E2"/>
    <w:rsid w:val="001A2B67"/>
    <w:rsid w:val="001A3303"/>
    <w:rsid w:val="001A35A2"/>
    <w:rsid w:val="001A3703"/>
    <w:rsid w:val="001A3979"/>
    <w:rsid w:val="001A47A5"/>
    <w:rsid w:val="001A4F78"/>
    <w:rsid w:val="001A782F"/>
    <w:rsid w:val="001B053D"/>
    <w:rsid w:val="001B1688"/>
    <w:rsid w:val="001B1D2B"/>
    <w:rsid w:val="001B249A"/>
    <w:rsid w:val="001B2E49"/>
    <w:rsid w:val="001B3226"/>
    <w:rsid w:val="001B3417"/>
    <w:rsid w:val="001B413B"/>
    <w:rsid w:val="001B4B4F"/>
    <w:rsid w:val="001B51F4"/>
    <w:rsid w:val="001B57AD"/>
    <w:rsid w:val="001B584C"/>
    <w:rsid w:val="001B7A3E"/>
    <w:rsid w:val="001C038A"/>
    <w:rsid w:val="001C044C"/>
    <w:rsid w:val="001C2276"/>
    <w:rsid w:val="001C2E2A"/>
    <w:rsid w:val="001C3451"/>
    <w:rsid w:val="001C3B10"/>
    <w:rsid w:val="001C3F8D"/>
    <w:rsid w:val="001C4610"/>
    <w:rsid w:val="001C4A4A"/>
    <w:rsid w:val="001C4DF5"/>
    <w:rsid w:val="001C5FE5"/>
    <w:rsid w:val="001D2787"/>
    <w:rsid w:val="001D58AF"/>
    <w:rsid w:val="001D6CE6"/>
    <w:rsid w:val="001D6E5B"/>
    <w:rsid w:val="001D7AAD"/>
    <w:rsid w:val="001D7E6B"/>
    <w:rsid w:val="001E147B"/>
    <w:rsid w:val="001E1D26"/>
    <w:rsid w:val="001E2C4A"/>
    <w:rsid w:val="001E32B5"/>
    <w:rsid w:val="001E3868"/>
    <w:rsid w:val="001E40CF"/>
    <w:rsid w:val="001E4881"/>
    <w:rsid w:val="001E4E3D"/>
    <w:rsid w:val="001F00AE"/>
    <w:rsid w:val="001F1F7F"/>
    <w:rsid w:val="001F2485"/>
    <w:rsid w:val="001F3846"/>
    <w:rsid w:val="001F399E"/>
    <w:rsid w:val="001F3A3F"/>
    <w:rsid w:val="001F49B9"/>
    <w:rsid w:val="001F4B2A"/>
    <w:rsid w:val="001F5976"/>
    <w:rsid w:val="001F5F5E"/>
    <w:rsid w:val="001F6D61"/>
    <w:rsid w:val="001F7752"/>
    <w:rsid w:val="00200A1C"/>
    <w:rsid w:val="00200B5D"/>
    <w:rsid w:val="00200B94"/>
    <w:rsid w:val="002011BD"/>
    <w:rsid w:val="002013A1"/>
    <w:rsid w:val="002017C5"/>
    <w:rsid w:val="00201835"/>
    <w:rsid w:val="002018B1"/>
    <w:rsid w:val="00202D10"/>
    <w:rsid w:val="00203F8F"/>
    <w:rsid w:val="0020512E"/>
    <w:rsid w:val="00205204"/>
    <w:rsid w:val="00205F49"/>
    <w:rsid w:val="0020653E"/>
    <w:rsid w:val="00206B43"/>
    <w:rsid w:val="00207179"/>
    <w:rsid w:val="002075A9"/>
    <w:rsid w:val="0020798A"/>
    <w:rsid w:val="00211C9D"/>
    <w:rsid w:val="00212416"/>
    <w:rsid w:val="002124F2"/>
    <w:rsid w:val="00213456"/>
    <w:rsid w:val="002137BB"/>
    <w:rsid w:val="002145AE"/>
    <w:rsid w:val="002150AE"/>
    <w:rsid w:val="002151EB"/>
    <w:rsid w:val="0021579E"/>
    <w:rsid w:val="00215F77"/>
    <w:rsid w:val="00216680"/>
    <w:rsid w:val="00216748"/>
    <w:rsid w:val="002200AA"/>
    <w:rsid w:val="00221EC2"/>
    <w:rsid w:val="00222450"/>
    <w:rsid w:val="00223063"/>
    <w:rsid w:val="00224236"/>
    <w:rsid w:val="0022440F"/>
    <w:rsid w:val="00225102"/>
    <w:rsid w:val="002258DE"/>
    <w:rsid w:val="0022593B"/>
    <w:rsid w:val="00227226"/>
    <w:rsid w:val="00227526"/>
    <w:rsid w:val="00227644"/>
    <w:rsid w:val="00227DAA"/>
    <w:rsid w:val="002306A5"/>
    <w:rsid w:val="00230AC1"/>
    <w:rsid w:val="00230F45"/>
    <w:rsid w:val="0023213B"/>
    <w:rsid w:val="0023260E"/>
    <w:rsid w:val="00233406"/>
    <w:rsid w:val="00234038"/>
    <w:rsid w:val="002347EE"/>
    <w:rsid w:val="00236623"/>
    <w:rsid w:val="002377F9"/>
    <w:rsid w:val="002407F9"/>
    <w:rsid w:val="0024250B"/>
    <w:rsid w:val="00242A9C"/>
    <w:rsid w:val="0024322C"/>
    <w:rsid w:val="00244B80"/>
    <w:rsid w:val="002457F4"/>
    <w:rsid w:val="002462BD"/>
    <w:rsid w:val="00246491"/>
    <w:rsid w:val="00246CC0"/>
    <w:rsid w:val="00246D16"/>
    <w:rsid w:val="00246FC8"/>
    <w:rsid w:val="002470E0"/>
    <w:rsid w:val="00247A90"/>
    <w:rsid w:val="00247C14"/>
    <w:rsid w:val="00250524"/>
    <w:rsid w:val="00250776"/>
    <w:rsid w:val="00251555"/>
    <w:rsid w:val="0025289F"/>
    <w:rsid w:val="0025311A"/>
    <w:rsid w:val="00254A1A"/>
    <w:rsid w:val="00254A6C"/>
    <w:rsid w:val="0025580E"/>
    <w:rsid w:val="0025749D"/>
    <w:rsid w:val="00260423"/>
    <w:rsid w:val="002614F6"/>
    <w:rsid w:val="00261D77"/>
    <w:rsid w:val="00262CC7"/>
    <w:rsid w:val="00262CFB"/>
    <w:rsid w:val="00264063"/>
    <w:rsid w:val="002643A9"/>
    <w:rsid w:val="00264FBE"/>
    <w:rsid w:val="00266F27"/>
    <w:rsid w:val="00267AA8"/>
    <w:rsid w:val="00267FBA"/>
    <w:rsid w:val="00272801"/>
    <w:rsid w:val="002743E7"/>
    <w:rsid w:val="00274DA9"/>
    <w:rsid w:val="002753B3"/>
    <w:rsid w:val="0027604F"/>
    <w:rsid w:val="002815CF"/>
    <w:rsid w:val="00282019"/>
    <w:rsid w:val="00282BEA"/>
    <w:rsid w:val="00283A12"/>
    <w:rsid w:val="0028455F"/>
    <w:rsid w:val="002848E6"/>
    <w:rsid w:val="00284C01"/>
    <w:rsid w:val="00285016"/>
    <w:rsid w:val="00286147"/>
    <w:rsid w:val="002862E6"/>
    <w:rsid w:val="00286CF1"/>
    <w:rsid w:val="002872F9"/>
    <w:rsid w:val="00290275"/>
    <w:rsid w:val="0029039F"/>
    <w:rsid w:val="002903BC"/>
    <w:rsid w:val="00290665"/>
    <w:rsid w:val="00290B9B"/>
    <w:rsid w:val="002924BC"/>
    <w:rsid w:val="0029258D"/>
    <w:rsid w:val="0029297E"/>
    <w:rsid w:val="00292A46"/>
    <w:rsid w:val="002939E9"/>
    <w:rsid w:val="0029575B"/>
    <w:rsid w:val="0029751C"/>
    <w:rsid w:val="00297849"/>
    <w:rsid w:val="002A045A"/>
    <w:rsid w:val="002A0B3C"/>
    <w:rsid w:val="002A0E74"/>
    <w:rsid w:val="002A0EC8"/>
    <w:rsid w:val="002A1050"/>
    <w:rsid w:val="002A1626"/>
    <w:rsid w:val="002A16DC"/>
    <w:rsid w:val="002A1AE1"/>
    <w:rsid w:val="002A2680"/>
    <w:rsid w:val="002A35B9"/>
    <w:rsid w:val="002A35EA"/>
    <w:rsid w:val="002A3D84"/>
    <w:rsid w:val="002A5290"/>
    <w:rsid w:val="002A5598"/>
    <w:rsid w:val="002A6131"/>
    <w:rsid w:val="002A78A0"/>
    <w:rsid w:val="002B09D9"/>
    <w:rsid w:val="002B2855"/>
    <w:rsid w:val="002B2CBB"/>
    <w:rsid w:val="002B30D1"/>
    <w:rsid w:val="002B3799"/>
    <w:rsid w:val="002B39E4"/>
    <w:rsid w:val="002B42FE"/>
    <w:rsid w:val="002B45A7"/>
    <w:rsid w:val="002B5025"/>
    <w:rsid w:val="002B635E"/>
    <w:rsid w:val="002B6474"/>
    <w:rsid w:val="002C0712"/>
    <w:rsid w:val="002C0B8F"/>
    <w:rsid w:val="002C1DA7"/>
    <w:rsid w:val="002C50E0"/>
    <w:rsid w:val="002C52DE"/>
    <w:rsid w:val="002C599C"/>
    <w:rsid w:val="002C5AAB"/>
    <w:rsid w:val="002C6449"/>
    <w:rsid w:val="002C7027"/>
    <w:rsid w:val="002D05F4"/>
    <w:rsid w:val="002D065C"/>
    <w:rsid w:val="002D0AFC"/>
    <w:rsid w:val="002D15D3"/>
    <w:rsid w:val="002D190F"/>
    <w:rsid w:val="002D1A79"/>
    <w:rsid w:val="002D2951"/>
    <w:rsid w:val="002D602C"/>
    <w:rsid w:val="002D6591"/>
    <w:rsid w:val="002D73C1"/>
    <w:rsid w:val="002E0625"/>
    <w:rsid w:val="002E0811"/>
    <w:rsid w:val="002E0856"/>
    <w:rsid w:val="002E2CFB"/>
    <w:rsid w:val="002E3FE2"/>
    <w:rsid w:val="002E4160"/>
    <w:rsid w:val="002E4E26"/>
    <w:rsid w:val="002E4EED"/>
    <w:rsid w:val="002E551A"/>
    <w:rsid w:val="002E558C"/>
    <w:rsid w:val="002E562B"/>
    <w:rsid w:val="002E5D42"/>
    <w:rsid w:val="002E6FC1"/>
    <w:rsid w:val="002F0219"/>
    <w:rsid w:val="002F182D"/>
    <w:rsid w:val="002F39B0"/>
    <w:rsid w:val="002F3AC4"/>
    <w:rsid w:val="002F3DB1"/>
    <w:rsid w:val="002F46E6"/>
    <w:rsid w:val="002F5997"/>
    <w:rsid w:val="002F64D1"/>
    <w:rsid w:val="002F70E6"/>
    <w:rsid w:val="002F7A73"/>
    <w:rsid w:val="003002B1"/>
    <w:rsid w:val="003019F5"/>
    <w:rsid w:val="003020C9"/>
    <w:rsid w:val="00302625"/>
    <w:rsid w:val="00303792"/>
    <w:rsid w:val="00303878"/>
    <w:rsid w:val="00303BAD"/>
    <w:rsid w:val="00303CC6"/>
    <w:rsid w:val="00303F87"/>
    <w:rsid w:val="003050B5"/>
    <w:rsid w:val="00305671"/>
    <w:rsid w:val="0030581D"/>
    <w:rsid w:val="00305FDB"/>
    <w:rsid w:val="00307119"/>
    <w:rsid w:val="003073AA"/>
    <w:rsid w:val="00307A5B"/>
    <w:rsid w:val="00307F0C"/>
    <w:rsid w:val="00310EDD"/>
    <w:rsid w:val="003117B1"/>
    <w:rsid w:val="00312438"/>
    <w:rsid w:val="00312D84"/>
    <w:rsid w:val="00315771"/>
    <w:rsid w:val="0031637A"/>
    <w:rsid w:val="0031710D"/>
    <w:rsid w:val="00317B02"/>
    <w:rsid w:val="00317F2C"/>
    <w:rsid w:val="00320011"/>
    <w:rsid w:val="003201C2"/>
    <w:rsid w:val="00320985"/>
    <w:rsid w:val="003210D4"/>
    <w:rsid w:val="003212D0"/>
    <w:rsid w:val="0032193D"/>
    <w:rsid w:val="00321FD6"/>
    <w:rsid w:val="00322B5E"/>
    <w:rsid w:val="00323C0A"/>
    <w:rsid w:val="00325564"/>
    <w:rsid w:val="00326A85"/>
    <w:rsid w:val="003276FA"/>
    <w:rsid w:val="00327CE9"/>
    <w:rsid w:val="003315C3"/>
    <w:rsid w:val="00331CDB"/>
    <w:rsid w:val="003322F6"/>
    <w:rsid w:val="0033351A"/>
    <w:rsid w:val="00334278"/>
    <w:rsid w:val="003345C7"/>
    <w:rsid w:val="00334EE0"/>
    <w:rsid w:val="00335499"/>
    <w:rsid w:val="00335E09"/>
    <w:rsid w:val="00336F09"/>
    <w:rsid w:val="00336FED"/>
    <w:rsid w:val="00341D3F"/>
    <w:rsid w:val="0034291B"/>
    <w:rsid w:val="00342BE6"/>
    <w:rsid w:val="003439AB"/>
    <w:rsid w:val="00343ED7"/>
    <w:rsid w:val="0034468E"/>
    <w:rsid w:val="0034476C"/>
    <w:rsid w:val="00345209"/>
    <w:rsid w:val="00345A09"/>
    <w:rsid w:val="003470D7"/>
    <w:rsid w:val="003470E5"/>
    <w:rsid w:val="003475AB"/>
    <w:rsid w:val="00347EA2"/>
    <w:rsid w:val="00350E00"/>
    <w:rsid w:val="003525B9"/>
    <w:rsid w:val="00353E9B"/>
    <w:rsid w:val="0035428F"/>
    <w:rsid w:val="003557E8"/>
    <w:rsid w:val="00356D2D"/>
    <w:rsid w:val="00357485"/>
    <w:rsid w:val="00357B21"/>
    <w:rsid w:val="00360C39"/>
    <w:rsid w:val="00360D1A"/>
    <w:rsid w:val="003623A2"/>
    <w:rsid w:val="003624F1"/>
    <w:rsid w:val="00363A82"/>
    <w:rsid w:val="00363F26"/>
    <w:rsid w:val="00365124"/>
    <w:rsid w:val="00366893"/>
    <w:rsid w:val="00366950"/>
    <w:rsid w:val="003675AD"/>
    <w:rsid w:val="0037094A"/>
    <w:rsid w:val="003722D8"/>
    <w:rsid w:val="00374C95"/>
    <w:rsid w:val="003752E3"/>
    <w:rsid w:val="003757A6"/>
    <w:rsid w:val="0037597A"/>
    <w:rsid w:val="00376002"/>
    <w:rsid w:val="00376413"/>
    <w:rsid w:val="003769DE"/>
    <w:rsid w:val="003777D9"/>
    <w:rsid w:val="00377EC3"/>
    <w:rsid w:val="00381AEE"/>
    <w:rsid w:val="00382097"/>
    <w:rsid w:val="0038334A"/>
    <w:rsid w:val="003835F2"/>
    <w:rsid w:val="0038485C"/>
    <w:rsid w:val="00385E02"/>
    <w:rsid w:val="00390CDB"/>
    <w:rsid w:val="003927A3"/>
    <w:rsid w:val="003927CC"/>
    <w:rsid w:val="003934CE"/>
    <w:rsid w:val="003934E0"/>
    <w:rsid w:val="00393667"/>
    <w:rsid w:val="00393E8C"/>
    <w:rsid w:val="003942DB"/>
    <w:rsid w:val="00394750"/>
    <w:rsid w:val="003947A1"/>
    <w:rsid w:val="00394C3D"/>
    <w:rsid w:val="00394FCB"/>
    <w:rsid w:val="003959B4"/>
    <w:rsid w:val="00395CD7"/>
    <w:rsid w:val="0039693E"/>
    <w:rsid w:val="003A1263"/>
    <w:rsid w:val="003A146C"/>
    <w:rsid w:val="003A1EDE"/>
    <w:rsid w:val="003A2C26"/>
    <w:rsid w:val="003A2F2C"/>
    <w:rsid w:val="003A325D"/>
    <w:rsid w:val="003A3418"/>
    <w:rsid w:val="003A3CDB"/>
    <w:rsid w:val="003A52C9"/>
    <w:rsid w:val="003A5396"/>
    <w:rsid w:val="003A5CAC"/>
    <w:rsid w:val="003A5CFB"/>
    <w:rsid w:val="003A710C"/>
    <w:rsid w:val="003B004C"/>
    <w:rsid w:val="003B20E4"/>
    <w:rsid w:val="003B2C3D"/>
    <w:rsid w:val="003B402D"/>
    <w:rsid w:val="003B45C6"/>
    <w:rsid w:val="003B482C"/>
    <w:rsid w:val="003B516B"/>
    <w:rsid w:val="003B59FB"/>
    <w:rsid w:val="003B64C0"/>
    <w:rsid w:val="003B6925"/>
    <w:rsid w:val="003B78F9"/>
    <w:rsid w:val="003C1EE5"/>
    <w:rsid w:val="003C3E78"/>
    <w:rsid w:val="003C654F"/>
    <w:rsid w:val="003C721A"/>
    <w:rsid w:val="003D09C9"/>
    <w:rsid w:val="003D2FA6"/>
    <w:rsid w:val="003D32B8"/>
    <w:rsid w:val="003D380B"/>
    <w:rsid w:val="003D38B0"/>
    <w:rsid w:val="003D4A08"/>
    <w:rsid w:val="003D6193"/>
    <w:rsid w:val="003D6C1B"/>
    <w:rsid w:val="003E14F3"/>
    <w:rsid w:val="003E255B"/>
    <w:rsid w:val="003E308D"/>
    <w:rsid w:val="003E36D3"/>
    <w:rsid w:val="003E46E3"/>
    <w:rsid w:val="003E4EF5"/>
    <w:rsid w:val="003E5216"/>
    <w:rsid w:val="003E5260"/>
    <w:rsid w:val="003E55D4"/>
    <w:rsid w:val="003E5991"/>
    <w:rsid w:val="003E5E6B"/>
    <w:rsid w:val="003E6687"/>
    <w:rsid w:val="003E6C54"/>
    <w:rsid w:val="003E7730"/>
    <w:rsid w:val="003F262C"/>
    <w:rsid w:val="003F5064"/>
    <w:rsid w:val="003F6789"/>
    <w:rsid w:val="003F6B39"/>
    <w:rsid w:val="003F7DBB"/>
    <w:rsid w:val="00400C9F"/>
    <w:rsid w:val="00400FF1"/>
    <w:rsid w:val="00401705"/>
    <w:rsid w:val="00401B77"/>
    <w:rsid w:val="004028D8"/>
    <w:rsid w:val="004030B1"/>
    <w:rsid w:val="00403847"/>
    <w:rsid w:val="00403B6B"/>
    <w:rsid w:val="00404E86"/>
    <w:rsid w:val="00404F56"/>
    <w:rsid w:val="00407ED8"/>
    <w:rsid w:val="00410009"/>
    <w:rsid w:val="00410BE8"/>
    <w:rsid w:val="00410E1E"/>
    <w:rsid w:val="00411F02"/>
    <w:rsid w:val="0041251C"/>
    <w:rsid w:val="00412CFE"/>
    <w:rsid w:val="00412F48"/>
    <w:rsid w:val="00413135"/>
    <w:rsid w:val="004133E8"/>
    <w:rsid w:val="00413825"/>
    <w:rsid w:val="00413B76"/>
    <w:rsid w:val="00413BFE"/>
    <w:rsid w:val="00414143"/>
    <w:rsid w:val="004150E5"/>
    <w:rsid w:val="0041524C"/>
    <w:rsid w:val="004161BB"/>
    <w:rsid w:val="00416515"/>
    <w:rsid w:val="004166AE"/>
    <w:rsid w:val="00420C82"/>
    <w:rsid w:val="00421084"/>
    <w:rsid w:val="004222DC"/>
    <w:rsid w:val="00422F77"/>
    <w:rsid w:val="0042409A"/>
    <w:rsid w:val="0042425D"/>
    <w:rsid w:val="004246A7"/>
    <w:rsid w:val="004253B9"/>
    <w:rsid w:val="00426A4C"/>
    <w:rsid w:val="00431443"/>
    <w:rsid w:val="00431630"/>
    <w:rsid w:val="0043189C"/>
    <w:rsid w:val="00431945"/>
    <w:rsid w:val="0043299E"/>
    <w:rsid w:val="00432EC4"/>
    <w:rsid w:val="00433A73"/>
    <w:rsid w:val="00433DEB"/>
    <w:rsid w:val="00433F9B"/>
    <w:rsid w:val="00434CDC"/>
    <w:rsid w:val="0043546C"/>
    <w:rsid w:val="004355D3"/>
    <w:rsid w:val="00436331"/>
    <w:rsid w:val="004365A4"/>
    <w:rsid w:val="00436D99"/>
    <w:rsid w:val="00437129"/>
    <w:rsid w:val="004372F0"/>
    <w:rsid w:val="0043783F"/>
    <w:rsid w:val="00441B57"/>
    <w:rsid w:val="004426AD"/>
    <w:rsid w:val="0044282F"/>
    <w:rsid w:val="004435E3"/>
    <w:rsid w:val="0044451E"/>
    <w:rsid w:val="004452D3"/>
    <w:rsid w:val="00445E4B"/>
    <w:rsid w:val="00446441"/>
    <w:rsid w:val="004464A6"/>
    <w:rsid w:val="00446B65"/>
    <w:rsid w:val="00447319"/>
    <w:rsid w:val="0044740C"/>
    <w:rsid w:val="00450064"/>
    <w:rsid w:val="004509E5"/>
    <w:rsid w:val="00450D70"/>
    <w:rsid w:val="00451233"/>
    <w:rsid w:val="00451405"/>
    <w:rsid w:val="00453ECC"/>
    <w:rsid w:val="00454005"/>
    <w:rsid w:val="004541F2"/>
    <w:rsid w:val="00455645"/>
    <w:rsid w:val="00455A4E"/>
    <w:rsid w:val="00457BCB"/>
    <w:rsid w:val="004601EF"/>
    <w:rsid w:val="00462854"/>
    <w:rsid w:val="00463F34"/>
    <w:rsid w:val="0046402A"/>
    <w:rsid w:val="00464275"/>
    <w:rsid w:val="00465C02"/>
    <w:rsid w:val="004668C7"/>
    <w:rsid w:val="00467BCE"/>
    <w:rsid w:val="004701AA"/>
    <w:rsid w:val="0047227D"/>
    <w:rsid w:val="00472BBD"/>
    <w:rsid w:val="00473059"/>
    <w:rsid w:val="00474BDD"/>
    <w:rsid w:val="0047522E"/>
    <w:rsid w:val="00476FFC"/>
    <w:rsid w:val="004803C8"/>
    <w:rsid w:val="004807D5"/>
    <w:rsid w:val="0048271A"/>
    <w:rsid w:val="004828AE"/>
    <w:rsid w:val="00483C6A"/>
    <w:rsid w:val="00484719"/>
    <w:rsid w:val="004847DF"/>
    <w:rsid w:val="00485BA3"/>
    <w:rsid w:val="0048615E"/>
    <w:rsid w:val="004863B2"/>
    <w:rsid w:val="004869DF"/>
    <w:rsid w:val="004877A6"/>
    <w:rsid w:val="00487814"/>
    <w:rsid w:val="00491CD9"/>
    <w:rsid w:val="00491EFB"/>
    <w:rsid w:val="00492536"/>
    <w:rsid w:val="00492CF1"/>
    <w:rsid w:val="004939FE"/>
    <w:rsid w:val="00493BE3"/>
    <w:rsid w:val="00494C52"/>
    <w:rsid w:val="0049608F"/>
    <w:rsid w:val="00496BFB"/>
    <w:rsid w:val="0049743A"/>
    <w:rsid w:val="004974CE"/>
    <w:rsid w:val="00497711"/>
    <w:rsid w:val="00497E65"/>
    <w:rsid w:val="004A0938"/>
    <w:rsid w:val="004A13A7"/>
    <w:rsid w:val="004A1FF2"/>
    <w:rsid w:val="004A24A6"/>
    <w:rsid w:val="004A2908"/>
    <w:rsid w:val="004A3216"/>
    <w:rsid w:val="004A417B"/>
    <w:rsid w:val="004A48E1"/>
    <w:rsid w:val="004A4BB0"/>
    <w:rsid w:val="004A4BD7"/>
    <w:rsid w:val="004A6A31"/>
    <w:rsid w:val="004A75EB"/>
    <w:rsid w:val="004A7B37"/>
    <w:rsid w:val="004B08BC"/>
    <w:rsid w:val="004B0D31"/>
    <w:rsid w:val="004B1BB7"/>
    <w:rsid w:val="004B292A"/>
    <w:rsid w:val="004B32D5"/>
    <w:rsid w:val="004B3337"/>
    <w:rsid w:val="004B4FB9"/>
    <w:rsid w:val="004B5AB1"/>
    <w:rsid w:val="004B62FC"/>
    <w:rsid w:val="004B6B01"/>
    <w:rsid w:val="004B6E73"/>
    <w:rsid w:val="004C043A"/>
    <w:rsid w:val="004C0935"/>
    <w:rsid w:val="004C128D"/>
    <w:rsid w:val="004C1DCC"/>
    <w:rsid w:val="004C253C"/>
    <w:rsid w:val="004C4064"/>
    <w:rsid w:val="004C58D0"/>
    <w:rsid w:val="004C6D2D"/>
    <w:rsid w:val="004D0758"/>
    <w:rsid w:val="004D1578"/>
    <w:rsid w:val="004D3497"/>
    <w:rsid w:val="004D382C"/>
    <w:rsid w:val="004D4265"/>
    <w:rsid w:val="004D5BE2"/>
    <w:rsid w:val="004D7576"/>
    <w:rsid w:val="004D7AB0"/>
    <w:rsid w:val="004D7FB9"/>
    <w:rsid w:val="004E01D1"/>
    <w:rsid w:val="004E095A"/>
    <w:rsid w:val="004E0B12"/>
    <w:rsid w:val="004E18EF"/>
    <w:rsid w:val="004E1B81"/>
    <w:rsid w:val="004E32D0"/>
    <w:rsid w:val="004E3A0F"/>
    <w:rsid w:val="004E3E72"/>
    <w:rsid w:val="004E618E"/>
    <w:rsid w:val="004E7FCC"/>
    <w:rsid w:val="004F04A4"/>
    <w:rsid w:val="004F096F"/>
    <w:rsid w:val="004F2649"/>
    <w:rsid w:val="004F48D0"/>
    <w:rsid w:val="004F5DF0"/>
    <w:rsid w:val="005005E8"/>
    <w:rsid w:val="0050185A"/>
    <w:rsid w:val="0050389B"/>
    <w:rsid w:val="00503996"/>
    <w:rsid w:val="00503EBF"/>
    <w:rsid w:val="00506D43"/>
    <w:rsid w:val="00510685"/>
    <w:rsid w:val="005123CA"/>
    <w:rsid w:val="00512734"/>
    <w:rsid w:val="00512851"/>
    <w:rsid w:val="005138EB"/>
    <w:rsid w:val="00515F34"/>
    <w:rsid w:val="00516645"/>
    <w:rsid w:val="00517213"/>
    <w:rsid w:val="00517D1F"/>
    <w:rsid w:val="00520706"/>
    <w:rsid w:val="00520B9B"/>
    <w:rsid w:val="00520C50"/>
    <w:rsid w:val="00521009"/>
    <w:rsid w:val="005220E6"/>
    <w:rsid w:val="00522669"/>
    <w:rsid w:val="00524766"/>
    <w:rsid w:val="00525AFE"/>
    <w:rsid w:val="00527BFE"/>
    <w:rsid w:val="005306E9"/>
    <w:rsid w:val="005309E9"/>
    <w:rsid w:val="00531FED"/>
    <w:rsid w:val="00533023"/>
    <w:rsid w:val="0053326D"/>
    <w:rsid w:val="00534740"/>
    <w:rsid w:val="00534CA1"/>
    <w:rsid w:val="00534E1B"/>
    <w:rsid w:val="00535BBA"/>
    <w:rsid w:val="005409BC"/>
    <w:rsid w:val="00540BB4"/>
    <w:rsid w:val="00540DED"/>
    <w:rsid w:val="0054239F"/>
    <w:rsid w:val="0054273E"/>
    <w:rsid w:val="00542E31"/>
    <w:rsid w:val="00543888"/>
    <w:rsid w:val="00544C06"/>
    <w:rsid w:val="00544E01"/>
    <w:rsid w:val="00547B80"/>
    <w:rsid w:val="0055086F"/>
    <w:rsid w:val="005511C2"/>
    <w:rsid w:val="005517D8"/>
    <w:rsid w:val="005519CE"/>
    <w:rsid w:val="00552D2D"/>
    <w:rsid w:val="005532DD"/>
    <w:rsid w:val="00553573"/>
    <w:rsid w:val="00553636"/>
    <w:rsid w:val="00553B41"/>
    <w:rsid w:val="00554C33"/>
    <w:rsid w:val="00554F14"/>
    <w:rsid w:val="0055524D"/>
    <w:rsid w:val="005554F4"/>
    <w:rsid w:val="00555F30"/>
    <w:rsid w:val="00556219"/>
    <w:rsid w:val="005562EC"/>
    <w:rsid w:val="005575FD"/>
    <w:rsid w:val="0056098C"/>
    <w:rsid w:val="005618B3"/>
    <w:rsid w:val="00561CBB"/>
    <w:rsid w:val="005621B3"/>
    <w:rsid w:val="00563787"/>
    <w:rsid w:val="0056476C"/>
    <w:rsid w:val="00565CB0"/>
    <w:rsid w:val="00565CFD"/>
    <w:rsid w:val="00566E6E"/>
    <w:rsid w:val="00567B83"/>
    <w:rsid w:val="00570400"/>
    <w:rsid w:val="005731B1"/>
    <w:rsid w:val="005739EA"/>
    <w:rsid w:val="00573D7F"/>
    <w:rsid w:val="00574BAA"/>
    <w:rsid w:val="005760AA"/>
    <w:rsid w:val="00576B61"/>
    <w:rsid w:val="00577358"/>
    <w:rsid w:val="0057789C"/>
    <w:rsid w:val="005816BD"/>
    <w:rsid w:val="005825F4"/>
    <w:rsid w:val="00583770"/>
    <w:rsid w:val="00583CB1"/>
    <w:rsid w:val="00584262"/>
    <w:rsid w:val="005842CB"/>
    <w:rsid w:val="00584690"/>
    <w:rsid w:val="00584F9B"/>
    <w:rsid w:val="00586BEE"/>
    <w:rsid w:val="00587C04"/>
    <w:rsid w:val="00590310"/>
    <w:rsid w:val="005912CD"/>
    <w:rsid w:val="00592C03"/>
    <w:rsid w:val="005930E7"/>
    <w:rsid w:val="005946B3"/>
    <w:rsid w:val="00594750"/>
    <w:rsid w:val="00594A92"/>
    <w:rsid w:val="00594C64"/>
    <w:rsid w:val="00595470"/>
    <w:rsid w:val="005956C9"/>
    <w:rsid w:val="0059764E"/>
    <w:rsid w:val="00597801"/>
    <w:rsid w:val="00597CE2"/>
    <w:rsid w:val="005A07F5"/>
    <w:rsid w:val="005A1401"/>
    <w:rsid w:val="005A32D9"/>
    <w:rsid w:val="005A332D"/>
    <w:rsid w:val="005A4071"/>
    <w:rsid w:val="005A4147"/>
    <w:rsid w:val="005A4A47"/>
    <w:rsid w:val="005A4C21"/>
    <w:rsid w:val="005A516D"/>
    <w:rsid w:val="005A525E"/>
    <w:rsid w:val="005A5E2D"/>
    <w:rsid w:val="005A69F1"/>
    <w:rsid w:val="005B0152"/>
    <w:rsid w:val="005B03C4"/>
    <w:rsid w:val="005B09C4"/>
    <w:rsid w:val="005B0A03"/>
    <w:rsid w:val="005B2B8B"/>
    <w:rsid w:val="005B2D58"/>
    <w:rsid w:val="005B2EFA"/>
    <w:rsid w:val="005B343C"/>
    <w:rsid w:val="005B3EFD"/>
    <w:rsid w:val="005B4154"/>
    <w:rsid w:val="005B4F3D"/>
    <w:rsid w:val="005B5414"/>
    <w:rsid w:val="005B57FD"/>
    <w:rsid w:val="005B5994"/>
    <w:rsid w:val="005B5B16"/>
    <w:rsid w:val="005B63EA"/>
    <w:rsid w:val="005B669F"/>
    <w:rsid w:val="005B7395"/>
    <w:rsid w:val="005C0302"/>
    <w:rsid w:val="005C1B43"/>
    <w:rsid w:val="005C58C0"/>
    <w:rsid w:val="005C6080"/>
    <w:rsid w:val="005C6827"/>
    <w:rsid w:val="005C745E"/>
    <w:rsid w:val="005C79DA"/>
    <w:rsid w:val="005D033F"/>
    <w:rsid w:val="005D0C52"/>
    <w:rsid w:val="005D12FA"/>
    <w:rsid w:val="005D188C"/>
    <w:rsid w:val="005D33F4"/>
    <w:rsid w:val="005D62D5"/>
    <w:rsid w:val="005D656D"/>
    <w:rsid w:val="005D7E0C"/>
    <w:rsid w:val="005D7F73"/>
    <w:rsid w:val="005E07C4"/>
    <w:rsid w:val="005E0ED3"/>
    <w:rsid w:val="005E1C90"/>
    <w:rsid w:val="005E3684"/>
    <w:rsid w:val="005E40D4"/>
    <w:rsid w:val="005E4972"/>
    <w:rsid w:val="005E4D71"/>
    <w:rsid w:val="005E5CF4"/>
    <w:rsid w:val="005F041A"/>
    <w:rsid w:val="005F2473"/>
    <w:rsid w:val="005F2DE8"/>
    <w:rsid w:val="005F6269"/>
    <w:rsid w:val="005F6DEE"/>
    <w:rsid w:val="005F70BD"/>
    <w:rsid w:val="0060120E"/>
    <w:rsid w:val="006019E3"/>
    <w:rsid w:val="00601D22"/>
    <w:rsid w:val="00602281"/>
    <w:rsid w:val="00603A9B"/>
    <w:rsid w:val="00605185"/>
    <w:rsid w:val="00605CDC"/>
    <w:rsid w:val="00605F2E"/>
    <w:rsid w:val="00607C8E"/>
    <w:rsid w:val="006100A3"/>
    <w:rsid w:val="006100D3"/>
    <w:rsid w:val="006103CC"/>
    <w:rsid w:val="00610AB9"/>
    <w:rsid w:val="006118CA"/>
    <w:rsid w:val="0061341B"/>
    <w:rsid w:val="00613B56"/>
    <w:rsid w:val="006147E6"/>
    <w:rsid w:val="006155AD"/>
    <w:rsid w:val="00615616"/>
    <w:rsid w:val="00615C11"/>
    <w:rsid w:val="00617A6E"/>
    <w:rsid w:val="00620E1D"/>
    <w:rsid w:val="0062108C"/>
    <w:rsid w:val="00621101"/>
    <w:rsid w:val="00621606"/>
    <w:rsid w:val="0062167A"/>
    <w:rsid w:val="00621EF3"/>
    <w:rsid w:val="00622A2F"/>
    <w:rsid w:val="00623557"/>
    <w:rsid w:val="0062356A"/>
    <w:rsid w:val="0062442D"/>
    <w:rsid w:val="00624A82"/>
    <w:rsid w:val="00624A93"/>
    <w:rsid w:val="00625BF1"/>
    <w:rsid w:val="00627843"/>
    <w:rsid w:val="006301B7"/>
    <w:rsid w:val="00630459"/>
    <w:rsid w:val="006304EC"/>
    <w:rsid w:val="006309D6"/>
    <w:rsid w:val="00630FB9"/>
    <w:rsid w:val="00633BC7"/>
    <w:rsid w:val="00637944"/>
    <w:rsid w:val="00640328"/>
    <w:rsid w:val="006404A9"/>
    <w:rsid w:val="006414CF"/>
    <w:rsid w:val="00643B65"/>
    <w:rsid w:val="006448B8"/>
    <w:rsid w:val="00644C13"/>
    <w:rsid w:val="00644C8C"/>
    <w:rsid w:val="006458D9"/>
    <w:rsid w:val="00645E9A"/>
    <w:rsid w:val="00646614"/>
    <w:rsid w:val="0064769A"/>
    <w:rsid w:val="00647DF5"/>
    <w:rsid w:val="0065008A"/>
    <w:rsid w:val="00650CC3"/>
    <w:rsid w:val="0065160F"/>
    <w:rsid w:val="00652767"/>
    <w:rsid w:val="00652780"/>
    <w:rsid w:val="00652D6C"/>
    <w:rsid w:val="00652FD6"/>
    <w:rsid w:val="00653684"/>
    <w:rsid w:val="00653C58"/>
    <w:rsid w:val="00654CFF"/>
    <w:rsid w:val="0065501F"/>
    <w:rsid w:val="0065591F"/>
    <w:rsid w:val="00657513"/>
    <w:rsid w:val="00657D46"/>
    <w:rsid w:val="00660E7D"/>
    <w:rsid w:val="006623E6"/>
    <w:rsid w:val="0066288F"/>
    <w:rsid w:val="00662C19"/>
    <w:rsid w:val="00663A6D"/>
    <w:rsid w:val="006646A3"/>
    <w:rsid w:val="00665A6B"/>
    <w:rsid w:val="006663EE"/>
    <w:rsid w:val="00667A7B"/>
    <w:rsid w:val="0067029B"/>
    <w:rsid w:val="00670467"/>
    <w:rsid w:val="0067101E"/>
    <w:rsid w:val="006723BE"/>
    <w:rsid w:val="00672751"/>
    <w:rsid w:val="00672A35"/>
    <w:rsid w:val="00672D75"/>
    <w:rsid w:val="00673CF7"/>
    <w:rsid w:val="00675978"/>
    <w:rsid w:val="0067681A"/>
    <w:rsid w:val="0067682B"/>
    <w:rsid w:val="006771B5"/>
    <w:rsid w:val="00677E52"/>
    <w:rsid w:val="00680071"/>
    <w:rsid w:val="0068141E"/>
    <w:rsid w:val="0068181C"/>
    <w:rsid w:val="0068206B"/>
    <w:rsid w:val="006827B4"/>
    <w:rsid w:val="00683261"/>
    <w:rsid w:val="006836CE"/>
    <w:rsid w:val="006844D2"/>
    <w:rsid w:val="0068543C"/>
    <w:rsid w:val="00685F1C"/>
    <w:rsid w:val="00687ED4"/>
    <w:rsid w:val="0069113E"/>
    <w:rsid w:val="00692356"/>
    <w:rsid w:val="0069367D"/>
    <w:rsid w:val="00693A7E"/>
    <w:rsid w:val="00694AB9"/>
    <w:rsid w:val="006951DB"/>
    <w:rsid w:val="00695A35"/>
    <w:rsid w:val="00696AA1"/>
    <w:rsid w:val="00697367"/>
    <w:rsid w:val="0069756A"/>
    <w:rsid w:val="0069771D"/>
    <w:rsid w:val="00697B85"/>
    <w:rsid w:val="006A0D70"/>
    <w:rsid w:val="006A0DCF"/>
    <w:rsid w:val="006A1305"/>
    <w:rsid w:val="006A15C0"/>
    <w:rsid w:val="006A1636"/>
    <w:rsid w:val="006A1A5F"/>
    <w:rsid w:val="006A278F"/>
    <w:rsid w:val="006A28E7"/>
    <w:rsid w:val="006A29D9"/>
    <w:rsid w:val="006A36D7"/>
    <w:rsid w:val="006A4527"/>
    <w:rsid w:val="006A45CE"/>
    <w:rsid w:val="006A5276"/>
    <w:rsid w:val="006A5538"/>
    <w:rsid w:val="006A6A03"/>
    <w:rsid w:val="006A6B8B"/>
    <w:rsid w:val="006A6BF5"/>
    <w:rsid w:val="006B103F"/>
    <w:rsid w:val="006B216F"/>
    <w:rsid w:val="006B2625"/>
    <w:rsid w:val="006B40E1"/>
    <w:rsid w:val="006B44F3"/>
    <w:rsid w:val="006B5A17"/>
    <w:rsid w:val="006B5F00"/>
    <w:rsid w:val="006B5F89"/>
    <w:rsid w:val="006B6064"/>
    <w:rsid w:val="006B67D4"/>
    <w:rsid w:val="006C09CD"/>
    <w:rsid w:val="006C1912"/>
    <w:rsid w:val="006C1F49"/>
    <w:rsid w:val="006C2491"/>
    <w:rsid w:val="006C4150"/>
    <w:rsid w:val="006D06CA"/>
    <w:rsid w:val="006D13DF"/>
    <w:rsid w:val="006D178F"/>
    <w:rsid w:val="006D1BD7"/>
    <w:rsid w:val="006D2378"/>
    <w:rsid w:val="006D2C8F"/>
    <w:rsid w:val="006D65EB"/>
    <w:rsid w:val="006D6816"/>
    <w:rsid w:val="006D6B7F"/>
    <w:rsid w:val="006D6ECD"/>
    <w:rsid w:val="006D7798"/>
    <w:rsid w:val="006D78CE"/>
    <w:rsid w:val="006D7F2C"/>
    <w:rsid w:val="006E0B64"/>
    <w:rsid w:val="006E0EE7"/>
    <w:rsid w:val="006E2095"/>
    <w:rsid w:val="006E2A32"/>
    <w:rsid w:val="006E2A80"/>
    <w:rsid w:val="006E4159"/>
    <w:rsid w:val="006E5200"/>
    <w:rsid w:val="006E56A0"/>
    <w:rsid w:val="006E57B8"/>
    <w:rsid w:val="006E5B7F"/>
    <w:rsid w:val="006E5C51"/>
    <w:rsid w:val="006E6EAC"/>
    <w:rsid w:val="006E7167"/>
    <w:rsid w:val="006E76F3"/>
    <w:rsid w:val="006E794E"/>
    <w:rsid w:val="006F12F8"/>
    <w:rsid w:val="006F3A51"/>
    <w:rsid w:val="006F3F32"/>
    <w:rsid w:val="006F45EB"/>
    <w:rsid w:val="006F549F"/>
    <w:rsid w:val="006F5B14"/>
    <w:rsid w:val="006F6458"/>
    <w:rsid w:val="006F64D1"/>
    <w:rsid w:val="006F7085"/>
    <w:rsid w:val="006F71E1"/>
    <w:rsid w:val="0070065B"/>
    <w:rsid w:val="00701D7C"/>
    <w:rsid w:val="007037B1"/>
    <w:rsid w:val="00704682"/>
    <w:rsid w:val="00704D63"/>
    <w:rsid w:val="00704FCD"/>
    <w:rsid w:val="0070605D"/>
    <w:rsid w:val="00711E81"/>
    <w:rsid w:val="00712C66"/>
    <w:rsid w:val="00712DAB"/>
    <w:rsid w:val="00713A80"/>
    <w:rsid w:val="007151E3"/>
    <w:rsid w:val="007154BE"/>
    <w:rsid w:val="00715522"/>
    <w:rsid w:val="0071715B"/>
    <w:rsid w:val="007172EE"/>
    <w:rsid w:val="00717457"/>
    <w:rsid w:val="00717948"/>
    <w:rsid w:val="00717D9B"/>
    <w:rsid w:val="007203BC"/>
    <w:rsid w:val="00721411"/>
    <w:rsid w:val="00722078"/>
    <w:rsid w:val="00722B38"/>
    <w:rsid w:val="00722D94"/>
    <w:rsid w:val="00726A74"/>
    <w:rsid w:val="007271DE"/>
    <w:rsid w:val="0072744F"/>
    <w:rsid w:val="007277FF"/>
    <w:rsid w:val="0073000E"/>
    <w:rsid w:val="00730F8E"/>
    <w:rsid w:val="00732EB6"/>
    <w:rsid w:val="00733742"/>
    <w:rsid w:val="00733F52"/>
    <w:rsid w:val="0073428B"/>
    <w:rsid w:val="00734860"/>
    <w:rsid w:val="00734FAE"/>
    <w:rsid w:val="007353ED"/>
    <w:rsid w:val="007359B9"/>
    <w:rsid w:val="00737DEF"/>
    <w:rsid w:val="00741B7C"/>
    <w:rsid w:val="00743DEA"/>
    <w:rsid w:val="00744708"/>
    <w:rsid w:val="007456AA"/>
    <w:rsid w:val="00746748"/>
    <w:rsid w:val="00747521"/>
    <w:rsid w:val="00750D2F"/>
    <w:rsid w:val="0075159B"/>
    <w:rsid w:val="00751969"/>
    <w:rsid w:val="00752C9C"/>
    <w:rsid w:val="007531C0"/>
    <w:rsid w:val="0075448F"/>
    <w:rsid w:val="0075487C"/>
    <w:rsid w:val="0075507F"/>
    <w:rsid w:val="00761DDB"/>
    <w:rsid w:val="00762B4A"/>
    <w:rsid w:val="007635F0"/>
    <w:rsid w:val="00763A87"/>
    <w:rsid w:val="007643F1"/>
    <w:rsid w:val="007647D5"/>
    <w:rsid w:val="00765011"/>
    <w:rsid w:val="007653A4"/>
    <w:rsid w:val="00766DA8"/>
    <w:rsid w:val="007671E3"/>
    <w:rsid w:val="00767ABD"/>
    <w:rsid w:val="00767B4F"/>
    <w:rsid w:val="007717C9"/>
    <w:rsid w:val="00771B88"/>
    <w:rsid w:val="0077213C"/>
    <w:rsid w:val="00772785"/>
    <w:rsid w:val="00772850"/>
    <w:rsid w:val="0077433F"/>
    <w:rsid w:val="00775E61"/>
    <w:rsid w:val="0077608E"/>
    <w:rsid w:val="00776291"/>
    <w:rsid w:val="007763F0"/>
    <w:rsid w:val="00776F00"/>
    <w:rsid w:val="00777DCA"/>
    <w:rsid w:val="00777F9D"/>
    <w:rsid w:val="007810C8"/>
    <w:rsid w:val="00781422"/>
    <w:rsid w:val="00781AB8"/>
    <w:rsid w:val="0078238F"/>
    <w:rsid w:val="00782586"/>
    <w:rsid w:val="0078284C"/>
    <w:rsid w:val="0078419C"/>
    <w:rsid w:val="00784C3A"/>
    <w:rsid w:val="007855F1"/>
    <w:rsid w:val="00786659"/>
    <w:rsid w:val="007870F6"/>
    <w:rsid w:val="00790521"/>
    <w:rsid w:val="0079091E"/>
    <w:rsid w:val="00790D9C"/>
    <w:rsid w:val="007913E9"/>
    <w:rsid w:val="00792123"/>
    <w:rsid w:val="007924C7"/>
    <w:rsid w:val="00793D74"/>
    <w:rsid w:val="00794269"/>
    <w:rsid w:val="00795EBC"/>
    <w:rsid w:val="00796043"/>
    <w:rsid w:val="007973D7"/>
    <w:rsid w:val="007A249D"/>
    <w:rsid w:val="007A2742"/>
    <w:rsid w:val="007A3955"/>
    <w:rsid w:val="007A4558"/>
    <w:rsid w:val="007A473D"/>
    <w:rsid w:val="007A478E"/>
    <w:rsid w:val="007A4ED2"/>
    <w:rsid w:val="007A6680"/>
    <w:rsid w:val="007A69D5"/>
    <w:rsid w:val="007A6AF0"/>
    <w:rsid w:val="007B13B9"/>
    <w:rsid w:val="007B2338"/>
    <w:rsid w:val="007B237C"/>
    <w:rsid w:val="007B2CAE"/>
    <w:rsid w:val="007B2FF8"/>
    <w:rsid w:val="007B3D84"/>
    <w:rsid w:val="007B49B0"/>
    <w:rsid w:val="007B61AD"/>
    <w:rsid w:val="007C0559"/>
    <w:rsid w:val="007C0706"/>
    <w:rsid w:val="007C1006"/>
    <w:rsid w:val="007C268A"/>
    <w:rsid w:val="007C31E9"/>
    <w:rsid w:val="007C5068"/>
    <w:rsid w:val="007C6370"/>
    <w:rsid w:val="007C659C"/>
    <w:rsid w:val="007C6FC3"/>
    <w:rsid w:val="007C77F9"/>
    <w:rsid w:val="007D0C90"/>
    <w:rsid w:val="007D25B8"/>
    <w:rsid w:val="007D4A7A"/>
    <w:rsid w:val="007D5D6E"/>
    <w:rsid w:val="007D6542"/>
    <w:rsid w:val="007E09B3"/>
    <w:rsid w:val="007E0A52"/>
    <w:rsid w:val="007E1263"/>
    <w:rsid w:val="007E12C8"/>
    <w:rsid w:val="007E1635"/>
    <w:rsid w:val="007E1684"/>
    <w:rsid w:val="007E214A"/>
    <w:rsid w:val="007E302F"/>
    <w:rsid w:val="007E41FA"/>
    <w:rsid w:val="007E5452"/>
    <w:rsid w:val="007E56CF"/>
    <w:rsid w:val="007E579D"/>
    <w:rsid w:val="007E57E3"/>
    <w:rsid w:val="007E5EE0"/>
    <w:rsid w:val="007E6B75"/>
    <w:rsid w:val="007E6F52"/>
    <w:rsid w:val="007F06A5"/>
    <w:rsid w:val="007F0979"/>
    <w:rsid w:val="007F0D40"/>
    <w:rsid w:val="007F1047"/>
    <w:rsid w:val="007F1F7E"/>
    <w:rsid w:val="007F25BE"/>
    <w:rsid w:val="007F308A"/>
    <w:rsid w:val="007F3277"/>
    <w:rsid w:val="007F4313"/>
    <w:rsid w:val="007F4D9D"/>
    <w:rsid w:val="007F510E"/>
    <w:rsid w:val="007F6949"/>
    <w:rsid w:val="007F6D38"/>
    <w:rsid w:val="007F73ED"/>
    <w:rsid w:val="007F75A2"/>
    <w:rsid w:val="00801A66"/>
    <w:rsid w:val="008027B5"/>
    <w:rsid w:val="00802C9A"/>
    <w:rsid w:val="00802E46"/>
    <w:rsid w:val="00803084"/>
    <w:rsid w:val="008034D5"/>
    <w:rsid w:val="008052EE"/>
    <w:rsid w:val="00805983"/>
    <w:rsid w:val="00805A1B"/>
    <w:rsid w:val="008068E3"/>
    <w:rsid w:val="00811276"/>
    <w:rsid w:val="00812371"/>
    <w:rsid w:val="0081257A"/>
    <w:rsid w:val="0081388C"/>
    <w:rsid w:val="00815D1E"/>
    <w:rsid w:val="00816279"/>
    <w:rsid w:val="0081729A"/>
    <w:rsid w:val="00820143"/>
    <w:rsid w:val="00820178"/>
    <w:rsid w:val="00820E3B"/>
    <w:rsid w:val="008226A6"/>
    <w:rsid w:val="00822C75"/>
    <w:rsid w:val="00822E50"/>
    <w:rsid w:val="00823A86"/>
    <w:rsid w:val="00823FCA"/>
    <w:rsid w:val="00824A4B"/>
    <w:rsid w:val="008278E7"/>
    <w:rsid w:val="0083017F"/>
    <w:rsid w:val="00832E01"/>
    <w:rsid w:val="00835140"/>
    <w:rsid w:val="008375CB"/>
    <w:rsid w:val="00842570"/>
    <w:rsid w:val="0084260F"/>
    <w:rsid w:val="00844FF8"/>
    <w:rsid w:val="0084553B"/>
    <w:rsid w:val="0084570E"/>
    <w:rsid w:val="00845E22"/>
    <w:rsid w:val="008461D6"/>
    <w:rsid w:val="008467FB"/>
    <w:rsid w:val="00847767"/>
    <w:rsid w:val="00850249"/>
    <w:rsid w:val="00850A47"/>
    <w:rsid w:val="00850DE2"/>
    <w:rsid w:val="00851185"/>
    <w:rsid w:val="008536D8"/>
    <w:rsid w:val="00854E5E"/>
    <w:rsid w:val="008569D7"/>
    <w:rsid w:val="00857A88"/>
    <w:rsid w:val="00857AB8"/>
    <w:rsid w:val="00860990"/>
    <w:rsid w:val="008625C4"/>
    <w:rsid w:val="00862777"/>
    <w:rsid w:val="0086507B"/>
    <w:rsid w:val="00866728"/>
    <w:rsid w:val="00870417"/>
    <w:rsid w:val="00870B1C"/>
    <w:rsid w:val="00870BB0"/>
    <w:rsid w:val="00871825"/>
    <w:rsid w:val="00871EEF"/>
    <w:rsid w:val="008753D2"/>
    <w:rsid w:val="0087541F"/>
    <w:rsid w:val="00875D67"/>
    <w:rsid w:val="00876305"/>
    <w:rsid w:val="00877553"/>
    <w:rsid w:val="0088045F"/>
    <w:rsid w:val="008814A4"/>
    <w:rsid w:val="008818D4"/>
    <w:rsid w:val="00882578"/>
    <w:rsid w:val="00882996"/>
    <w:rsid w:val="00883189"/>
    <w:rsid w:val="00883386"/>
    <w:rsid w:val="00883695"/>
    <w:rsid w:val="00883C1B"/>
    <w:rsid w:val="008840A9"/>
    <w:rsid w:val="00885E2F"/>
    <w:rsid w:val="0088660F"/>
    <w:rsid w:val="008867AF"/>
    <w:rsid w:val="00886F22"/>
    <w:rsid w:val="00887501"/>
    <w:rsid w:val="00887F30"/>
    <w:rsid w:val="00890062"/>
    <w:rsid w:val="00893CA6"/>
    <w:rsid w:val="0089514B"/>
    <w:rsid w:val="00895E00"/>
    <w:rsid w:val="008965DD"/>
    <w:rsid w:val="0089753B"/>
    <w:rsid w:val="0089764F"/>
    <w:rsid w:val="008A1018"/>
    <w:rsid w:val="008A1A8B"/>
    <w:rsid w:val="008A2379"/>
    <w:rsid w:val="008A2DFD"/>
    <w:rsid w:val="008A3FA5"/>
    <w:rsid w:val="008A6E53"/>
    <w:rsid w:val="008A6FDB"/>
    <w:rsid w:val="008A714B"/>
    <w:rsid w:val="008B2263"/>
    <w:rsid w:val="008B2960"/>
    <w:rsid w:val="008B2C10"/>
    <w:rsid w:val="008B472E"/>
    <w:rsid w:val="008B6CDA"/>
    <w:rsid w:val="008B6E91"/>
    <w:rsid w:val="008B7502"/>
    <w:rsid w:val="008B7E53"/>
    <w:rsid w:val="008C10EC"/>
    <w:rsid w:val="008C1CEC"/>
    <w:rsid w:val="008C260E"/>
    <w:rsid w:val="008C32E0"/>
    <w:rsid w:val="008C3C4B"/>
    <w:rsid w:val="008C4D0C"/>
    <w:rsid w:val="008C6EE1"/>
    <w:rsid w:val="008D1EF8"/>
    <w:rsid w:val="008D291D"/>
    <w:rsid w:val="008D3178"/>
    <w:rsid w:val="008D388F"/>
    <w:rsid w:val="008D482C"/>
    <w:rsid w:val="008D4FED"/>
    <w:rsid w:val="008D523E"/>
    <w:rsid w:val="008D5CDD"/>
    <w:rsid w:val="008D6F63"/>
    <w:rsid w:val="008D7E98"/>
    <w:rsid w:val="008E0DBB"/>
    <w:rsid w:val="008E198E"/>
    <w:rsid w:val="008E20F4"/>
    <w:rsid w:val="008E2D58"/>
    <w:rsid w:val="008E32A9"/>
    <w:rsid w:val="008E3616"/>
    <w:rsid w:val="008E3988"/>
    <w:rsid w:val="008E4F6A"/>
    <w:rsid w:val="008E53E2"/>
    <w:rsid w:val="008E56DF"/>
    <w:rsid w:val="008E5C20"/>
    <w:rsid w:val="008E6AD1"/>
    <w:rsid w:val="008E6B5E"/>
    <w:rsid w:val="008E7E47"/>
    <w:rsid w:val="008F06D4"/>
    <w:rsid w:val="008F0E84"/>
    <w:rsid w:val="008F1090"/>
    <w:rsid w:val="008F1406"/>
    <w:rsid w:val="008F1A5C"/>
    <w:rsid w:val="008F3F93"/>
    <w:rsid w:val="008F4E98"/>
    <w:rsid w:val="008F78BB"/>
    <w:rsid w:val="00900757"/>
    <w:rsid w:val="00900794"/>
    <w:rsid w:val="00900E94"/>
    <w:rsid w:val="00902E97"/>
    <w:rsid w:val="00903B95"/>
    <w:rsid w:val="00903DEE"/>
    <w:rsid w:val="009045C1"/>
    <w:rsid w:val="009052AB"/>
    <w:rsid w:val="00906377"/>
    <w:rsid w:val="00906CE9"/>
    <w:rsid w:val="00907020"/>
    <w:rsid w:val="009076D4"/>
    <w:rsid w:val="00910599"/>
    <w:rsid w:val="0091247D"/>
    <w:rsid w:val="009130A5"/>
    <w:rsid w:val="0091390B"/>
    <w:rsid w:val="009139B5"/>
    <w:rsid w:val="00915340"/>
    <w:rsid w:val="0092067D"/>
    <w:rsid w:val="009218EA"/>
    <w:rsid w:val="00921FAE"/>
    <w:rsid w:val="009237DD"/>
    <w:rsid w:val="0092597E"/>
    <w:rsid w:val="00925AAD"/>
    <w:rsid w:val="009261FF"/>
    <w:rsid w:val="009267FC"/>
    <w:rsid w:val="00927B47"/>
    <w:rsid w:val="009304B5"/>
    <w:rsid w:val="009312D7"/>
    <w:rsid w:val="00931589"/>
    <w:rsid w:val="009325DD"/>
    <w:rsid w:val="00933529"/>
    <w:rsid w:val="0093390A"/>
    <w:rsid w:val="00934B83"/>
    <w:rsid w:val="00934D1B"/>
    <w:rsid w:val="00935261"/>
    <w:rsid w:val="009354B6"/>
    <w:rsid w:val="00935BCB"/>
    <w:rsid w:val="009367E3"/>
    <w:rsid w:val="009370EE"/>
    <w:rsid w:val="00937990"/>
    <w:rsid w:val="00940217"/>
    <w:rsid w:val="00940D78"/>
    <w:rsid w:val="00940ECB"/>
    <w:rsid w:val="009427FE"/>
    <w:rsid w:val="00942D7F"/>
    <w:rsid w:val="00942F99"/>
    <w:rsid w:val="00943899"/>
    <w:rsid w:val="0094414F"/>
    <w:rsid w:val="00944501"/>
    <w:rsid w:val="0094486E"/>
    <w:rsid w:val="009458D3"/>
    <w:rsid w:val="00945E2E"/>
    <w:rsid w:val="009500C3"/>
    <w:rsid w:val="0095230D"/>
    <w:rsid w:val="009534F1"/>
    <w:rsid w:val="00953837"/>
    <w:rsid w:val="00953F06"/>
    <w:rsid w:val="009553FE"/>
    <w:rsid w:val="0095749D"/>
    <w:rsid w:val="009609E9"/>
    <w:rsid w:val="00960E5B"/>
    <w:rsid w:val="00961237"/>
    <w:rsid w:val="00962030"/>
    <w:rsid w:val="0096295E"/>
    <w:rsid w:val="0096333E"/>
    <w:rsid w:val="009637FC"/>
    <w:rsid w:val="00963921"/>
    <w:rsid w:val="0096437F"/>
    <w:rsid w:val="00964DE9"/>
    <w:rsid w:val="00965239"/>
    <w:rsid w:val="0096586B"/>
    <w:rsid w:val="00965FE5"/>
    <w:rsid w:val="00966BA3"/>
    <w:rsid w:val="009677CB"/>
    <w:rsid w:val="00970534"/>
    <w:rsid w:val="00970545"/>
    <w:rsid w:val="00970E7C"/>
    <w:rsid w:val="00970EA0"/>
    <w:rsid w:val="00971011"/>
    <w:rsid w:val="00971602"/>
    <w:rsid w:val="00972895"/>
    <w:rsid w:val="00972DAE"/>
    <w:rsid w:val="00973161"/>
    <w:rsid w:val="00973F29"/>
    <w:rsid w:val="009761F7"/>
    <w:rsid w:val="00977554"/>
    <w:rsid w:val="00977C66"/>
    <w:rsid w:val="009801EA"/>
    <w:rsid w:val="00980984"/>
    <w:rsid w:val="00982F95"/>
    <w:rsid w:val="00983960"/>
    <w:rsid w:val="009850F0"/>
    <w:rsid w:val="009910FC"/>
    <w:rsid w:val="0099124A"/>
    <w:rsid w:val="009921B5"/>
    <w:rsid w:val="009927C9"/>
    <w:rsid w:val="00992A98"/>
    <w:rsid w:val="0099399B"/>
    <w:rsid w:val="00993F9E"/>
    <w:rsid w:val="00994019"/>
    <w:rsid w:val="00995F12"/>
    <w:rsid w:val="00996DDC"/>
    <w:rsid w:val="00997948"/>
    <w:rsid w:val="009A083E"/>
    <w:rsid w:val="009A0C0B"/>
    <w:rsid w:val="009A1314"/>
    <w:rsid w:val="009A2903"/>
    <w:rsid w:val="009A2CC3"/>
    <w:rsid w:val="009A304A"/>
    <w:rsid w:val="009A3784"/>
    <w:rsid w:val="009A4EFC"/>
    <w:rsid w:val="009A66D6"/>
    <w:rsid w:val="009A7030"/>
    <w:rsid w:val="009A72AE"/>
    <w:rsid w:val="009A72AF"/>
    <w:rsid w:val="009B4224"/>
    <w:rsid w:val="009B452D"/>
    <w:rsid w:val="009B4C42"/>
    <w:rsid w:val="009B5D52"/>
    <w:rsid w:val="009B62F8"/>
    <w:rsid w:val="009C043D"/>
    <w:rsid w:val="009C1627"/>
    <w:rsid w:val="009C1B34"/>
    <w:rsid w:val="009C1D6E"/>
    <w:rsid w:val="009C1E86"/>
    <w:rsid w:val="009C218D"/>
    <w:rsid w:val="009C3378"/>
    <w:rsid w:val="009C40CD"/>
    <w:rsid w:val="009C5295"/>
    <w:rsid w:val="009C5362"/>
    <w:rsid w:val="009C5644"/>
    <w:rsid w:val="009C5853"/>
    <w:rsid w:val="009C5CCB"/>
    <w:rsid w:val="009C5D94"/>
    <w:rsid w:val="009C7980"/>
    <w:rsid w:val="009C7A41"/>
    <w:rsid w:val="009C7D6B"/>
    <w:rsid w:val="009C7DAE"/>
    <w:rsid w:val="009C7FC5"/>
    <w:rsid w:val="009D14FA"/>
    <w:rsid w:val="009D18F7"/>
    <w:rsid w:val="009D1A15"/>
    <w:rsid w:val="009D20BC"/>
    <w:rsid w:val="009D235D"/>
    <w:rsid w:val="009D2412"/>
    <w:rsid w:val="009D41D2"/>
    <w:rsid w:val="009D52A6"/>
    <w:rsid w:val="009D63FC"/>
    <w:rsid w:val="009D755B"/>
    <w:rsid w:val="009D76D9"/>
    <w:rsid w:val="009E1074"/>
    <w:rsid w:val="009E1379"/>
    <w:rsid w:val="009E1AC7"/>
    <w:rsid w:val="009E6CE8"/>
    <w:rsid w:val="009E6D0D"/>
    <w:rsid w:val="009E6E04"/>
    <w:rsid w:val="009F0DD0"/>
    <w:rsid w:val="009F110A"/>
    <w:rsid w:val="009F169B"/>
    <w:rsid w:val="009F1BBE"/>
    <w:rsid w:val="009F2344"/>
    <w:rsid w:val="009F23A4"/>
    <w:rsid w:val="009F2E37"/>
    <w:rsid w:val="009F3ADA"/>
    <w:rsid w:val="009F47AE"/>
    <w:rsid w:val="009F59F1"/>
    <w:rsid w:val="009F6121"/>
    <w:rsid w:val="009F74FA"/>
    <w:rsid w:val="009F752E"/>
    <w:rsid w:val="00A00958"/>
    <w:rsid w:val="00A01017"/>
    <w:rsid w:val="00A03876"/>
    <w:rsid w:val="00A04E52"/>
    <w:rsid w:val="00A04E85"/>
    <w:rsid w:val="00A0545B"/>
    <w:rsid w:val="00A06032"/>
    <w:rsid w:val="00A0646E"/>
    <w:rsid w:val="00A113CD"/>
    <w:rsid w:val="00A128E8"/>
    <w:rsid w:val="00A1310E"/>
    <w:rsid w:val="00A13987"/>
    <w:rsid w:val="00A143C9"/>
    <w:rsid w:val="00A155C7"/>
    <w:rsid w:val="00A16ECF"/>
    <w:rsid w:val="00A2071D"/>
    <w:rsid w:val="00A2129C"/>
    <w:rsid w:val="00A218E9"/>
    <w:rsid w:val="00A22C82"/>
    <w:rsid w:val="00A22E0A"/>
    <w:rsid w:val="00A24194"/>
    <w:rsid w:val="00A247E4"/>
    <w:rsid w:val="00A2591E"/>
    <w:rsid w:val="00A25E60"/>
    <w:rsid w:val="00A25EB1"/>
    <w:rsid w:val="00A26C9D"/>
    <w:rsid w:val="00A2729F"/>
    <w:rsid w:val="00A27A00"/>
    <w:rsid w:val="00A27B62"/>
    <w:rsid w:val="00A302D3"/>
    <w:rsid w:val="00A307C2"/>
    <w:rsid w:val="00A316D4"/>
    <w:rsid w:val="00A32407"/>
    <w:rsid w:val="00A33DFB"/>
    <w:rsid w:val="00A33E98"/>
    <w:rsid w:val="00A3412C"/>
    <w:rsid w:val="00A354B3"/>
    <w:rsid w:val="00A35CB7"/>
    <w:rsid w:val="00A35E4C"/>
    <w:rsid w:val="00A365D4"/>
    <w:rsid w:val="00A367C2"/>
    <w:rsid w:val="00A36A66"/>
    <w:rsid w:val="00A37E73"/>
    <w:rsid w:val="00A40B6F"/>
    <w:rsid w:val="00A41644"/>
    <w:rsid w:val="00A416B3"/>
    <w:rsid w:val="00A421E7"/>
    <w:rsid w:val="00A44A4C"/>
    <w:rsid w:val="00A45D0B"/>
    <w:rsid w:val="00A46954"/>
    <w:rsid w:val="00A47412"/>
    <w:rsid w:val="00A5032F"/>
    <w:rsid w:val="00A505E7"/>
    <w:rsid w:val="00A50742"/>
    <w:rsid w:val="00A50E88"/>
    <w:rsid w:val="00A50EFE"/>
    <w:rsid w:val="00A517BB"/>
    <w:rsid w:val="00A51837"/>
    <w:rsid w:val="00A5195E"/>
    <w:rsid w:val="00A53F9F"/>
    <w:rsid w:val="00A54E01"/>
    <w:rsid w:val="00A57D6A"/>
    <w:rsid w:val="00A608D8"/>
    <w:rsid w:val="00A60950"/>
    <w:rsid w:val="00A61591"/>
    <w:rsid w:val="00A62D71"/>
    <w:rsid w:val="00A63CC0"/>
    <w:rsid w:val="00A642CB"/>
    <w:rsid w:val="00A646FD"/>
    <w:rsid w:val="00A64DE8"/>
    <w:rsid w:val="00A64E18"/>
    <w:rsid w:val="00A65BB2"/>
    <w:rsid w:val="00A70200"/>
    <w:rsid w:val="00A70312"/>
    <w:rsid w:val="00A70BA9"/>
    <w:rsid w:val="00A71A37"/>
    <w:rsid w:val="00A72DC2"/>
    <w:rsid w:val="00A73938"/>
    <w:rsid w:val="00A756DE"/>
    <w:rsid w:val="00A758FE"/>
    <w:rsid w:val="00A75FF3"/>
    <w:rsid w:val="00A774A6"/>
    <w:rsid w:val="00A80D54"/>
    <w:rsid w:val="00A81BC4"/>
    <w:rsid w:val="00A822EF"/>
    <w:rsid w:val="00A829AC"/>
    <w:rsid w:val="00A82EA1"/>
    <w:rsid w:val="00A832FE"/>
    <w:rsid w:val="00A8489E"/>
    <w:rsid w:val="00A84B7D"/>
    <w:rsid w:val="00A84E02"/>
    <w:rsid w:val="00A90769"/>
    <w:rsid w:val="00A90B2B"/>
    <w:rsid w:val="00A90BE8"/>
    <w:rsid w:val="00A91E18"/>
    <w:rsid w:val="00A96C99"/>
    <w:rsid w:val="00A975BE"/>
    <w:rsid w:val="00AA109C"/>
    <w:rsid w:val="00AA3816"/>
    <w:rsid w:val="00AA3CBF"/>
    <w:rsid w:val="00AA5128"/>
    <w:rsid w:val="00AA627D"/>
    <w:rsid w:val="00AA6430"/>
    <w:rsid w:val="00AA6D62"/>
    <w:rsid w:val="00AA6F0E"/>
    <w:rsid w:val="00AA70C9"/>
    <w:rsid w:val="00AA7EA5"/>
    <w:rsid w:val="00AB105B"/>
    <w:rsid w:val="00AB140B"/>
    <w:rsid w:val="00AB1CE4"/>
    <w:rsid w:val="00AB2427"/>
    <w:rsid w:val="00AB277F"/>
    <w:rsid w:val="00AB29D5"/>
    <w:rsid w:val="00AB2DB6"/>
    <w:rsid w:val="00AB34B5"/>
    <w:rsid w:val="00AB34D5"/>
    <w:rsid w:val="00AB4EBC"/>
    <w:rsid w:val="00AB5528"/>
    <w:rsid w:val="00AB5A3C"/>
    <w:rsid w:val="00AB5EAC"/>
    <w:rsid w:val="00AB644E"/>
    <w:rsid w:val="00AB6932"/>
    <w:rsid w:val="00AB719D"/>
    <w:rsid w:val="00AB7B86"/>
    <w:rsid w:val="00AC00CA"/>
    <w:rsid w:val="00AC1199"/>
    <w:rsid w:val="00AC1204"/>
    <w:rsid w:val="00AC1586"/>
    <w:rsid w:val="00AC1C0F"/>
    <w:rsid w:val="00AC217B"/>
    <w:rsid w:val="00AC3C32"/>
    <w:rsid w:val="00AC3ED0"/>
    <w:rsid w:val="00AC4D82"/>
    <w:rsid w:val="00AC5227"/>
    <w:rsid w:val="00AC52AE"/>
    <w:rsid w:val="00AC5B73"/>
    <w:rsid w:val="00AC7910"/>
    <w:rsid w:val="00AD04F0"/>
    <w:rsid w:val="00AD08A6"/>
    <w:rsid w:val="00AD0EEA"/>
    <w:rsid w:val="00AD267F"/>
    <w:rsid w:val="00AD3677"/>
    <w:rsid w:val="00AD4C99"/>
    <w:rsid w:val="00AD4CAC"/>
    <w:rsid w:val="00AD4FE4"/>
    <w:rsid w:val="00AE0051"/>
    <w:rsid w:val="00AE05BF"/>
    <w:rsid w:val="00AE0854"/>
    <w:rsid w:val="00AE0FBF"/>
    <w:rsid w:val="00AE2FFA"/>
    <w:rsid w:val="00AE30B7"/>
    <w:rsid w:val="00AE3593"/>
    <w:rsid w:val="00AE45BC"/>
    <w:rsid w:val="00AE4792"/>
    <w:rsid w:val="00AE4D2E"/>
    <w:rsid w:val="00AE5DB5"/>
    <w:rsid w:val="00AE6369"/>
    <w:rsid w:val="00AE65F2"/>
    <w:rsid w:val="00AE6B98"/>
    <w:rsid w:val="00AE7E3F"/>
    <w:rsid w:val="00AF11CD"/>
    <w:rsid w:val="00AF19AF"/>
    <w:rsid w:val="00AF1A96"/>
    <w:rsid w:val="00AF29CB"/>
    <w:rsid w:val="00AF3C70"/>
    <w:rsid w:val="00AF46DE"/>
    <w:rsid w:val="00AF524E"/>
    <w:rsid w:val="00B020C0"/>
    <w:rsid w:val="00B028CA"/>
    <w:rsid w:val="00B02F22"/>
    <w:rsid w:val="00B03373"/>
    <w:rsid w:val="00B033DC"/>
    <w:rsid w:val="00B04584"/>
    <w:rsid w:val="00B04ACF"/>
    <w:rsid w:val="00B05B1C"/>
    <w:rsid w:val="00B06673"/>
    <w:rsid w:val="00B06D47"/>
    <w:rsid w:val="00B07BCE"/>
    <w:rsid w:val="00B108D0"/>
    <w:rsid w:val="00B1149E"/>
    <w:rsid w:val="00B11898"/>
    <w:rsid w:val="00B13E79"/>
    <w:rsid w:val="00B13EF3"/>
    <w:rsid w:val="00B14A03"/>
    <w:rsid w:val="00B14DC8"/>
    <w:rsid w:val="00B173AA"/>
    <w:rsid w:val="00B17B72"/>
    <w:rsid w:val="00B21417"/>
    <w:rsid w:val="00B223A2"/>
    <w:rsid w:val="00B2241A"/>
    <w:rsid w:val="00B24679"/>
    <w:rsid w:val="00B24A04"/>
    <w:rsid w:val="00B25283"/>
    <w:rsid w:val="00B269B4"/>
    <w:rsid w:val="00B26C03"/>
    <w:rsid w:val="00B2790E"/>
    <w:rsid w:val="00B3039C"/>
    <w:rsid w:val="00B31637"/>
    <w:rsid w:val="00B331F0"/>
    <w:rsid w:val="00B33E70"/>
    <w:rsid w:val="00B351F5"/>
    <w:rsid w:val="00B3572B"/>
    <w:rsid w:val="00B35D24"/>
    <w:rsid w:val="00B35E4C"/>
    <w:rsid w:val="00B40220"/>
    <w:rsid w:val="00B413A4"/>
    <w:rsid w:val="00B4376D"/>
    <w:rsid w:val="00B44296"/>
    <w:rsid w:val="00B44834"/>
    <w:rsid w:val="00B44A55"/>
    <w:rsid w:val="00B4513E"/>
    <w:rsid w:val="00B456DA"/>
    <w:rsid w:val="00B52308"/>
    <w:rsid w:val="00B5255D"/>
    <w:rsid w:val="00B52FA2"/>
    <w:rsid w:val="00B54EC7"/>
    <w:rsid w:val="00B56E41"/>
    <w:rsid w:val="00B574B7"/>
    <w:rsid w:val="00B57739"/>
    <w:rsid w:val="00B62148"/>
    <w:rsid w:val="00B63F5B"/>
    <w:rsid w:val="00B668F0"/>
    <w:rsid w:val="00B7001C"/>
    <w:rsid w:val="00B70C1F"/>
    <w:rsid w:val="00B70CD4"/>
    <w:rsid w:val="00B70E52"/>
    <w:rsid w:val="00B71951"/>
    <w:rsid w:val="00B725C9"/>
    <w:rsid w:val="00B74FD4"/>
    <w:rsid w:val="00B770AF"/>
    <w:rsid w:val="00B800E2"/>
    <w:rsid w:val="00B807AD"/>
    <w:rsid w:val="00B813E0"/>
    <w:rsid w:val="00B82ED3"/>
    <w:rsid w:val="00B83854"/>
    <w:rsid w:val="00B8423A"/>
    <w:rsid w:val="00B84700"/>
    <w:rsid w:val="00B849BB"/>
    <w:rsid w:val="00B85690"/>
    <w:rsid w:val="00B857BD"/>
    <w:rsid w:val="00B90538"/>
    <w:rsid w:val="00B9075D"/>
    <w:rsid w:val="00B90E75"/>
    <w:rsid w:val="00B91984"/>
    <w:rsid w:val="00B91B4C"/>
    <w:rsid w:val="00B91D82"/>
    <w:rsid w:val="00B924E9"/>
    <w:rsid w:val="00B92588"/>
    <w:rsid w:val="00B93044"/>
    <w:rsid w:val="00B931EE"/>
    <w:rsid w:val="00B93A4D"/>
    <w:rsid w:val="00B93CF0"/>
    <w:rsid w:val="00B93D19"/>
    <w:rsid w:val="00B94247"/>
    <w:rsid w:val="00B9430C"/>
    <w:rsid w:val="00B94453"/>
    <w:rsid w:val="00B9496D"/>
    <w:rsid w:val="00B9776F"/>
    <w:rsid w:val="00B977D2"/>
    <w:rsid w:val="00B978DE"/>
    <w:rsid w:val="00B97961"/>
    <w:rsid w:val="00B97DDC"/>
    <w:rsid w:val="00BA066E"/>
    <w:rsid w:val="00BA0DDB"/>
    <w:rsid w:val="00BA11D4"/>
    <w:rsid w:val="00BA1E2A"/>
    <w:rsid w:val="00BA2896"/>
    <w:rsid w:val="00BA2D5C"/>
    <w:rsid w:val="00BA390E"/>
    <w:rsid w:val="00BA3D89"/>
    <w:rsid w:val="00BA4ACA"/>
    <w:rsid w:val="00BA50AB"/>
    <w:rsid w:val="00BA5B35"/>
    <w:rsid w:val="00BA5B9E"/>
    <w:rsid w:val="00BA5D28"/>
    <w:rsid w:val="00BA69CA"/>
    <w:rsid w:val="00BA6DB3"/>
    <w:rsid w:val="00BB01D7"/>
    <w:rsid w:val="00BB0710"/>
    <w:rsid w:val="00BB1290"/>
    <w:rsid w:val="00BB25F2"/>
    <w:rsid w:val="00BB2AB7"/>
    <w:rsid w:val="00BB2F5D"/>
    <w:rsid w:val="00BB3717"/>
    <w:rsid w:val="00BB3FA9"/>
    <w:rsid w:val="00BB4E8E"/>
    <w:rsid w:val="00BB6F42"/>
    <w:rsid w:val="00BB79C3"/>
    <w:rsid w:val="00BB7D0D"/>
    <w:rsid w:val="00BC0578"/>
    <w:rsid w:val="00BC180A"/>
    <w:rsid w:val="00BC2292"/>
    <w:rsid w:val="00BC23E7"/>
    <w:rsid w:val="00BC4049"/>
    <w:rsid w:val="00BC4424"/>
    <w:rsid w:val="00BC5132"/>
    <w:rsid w:val="00BC57D0"/>
    <w:rsid w:val="00BC582E"/>
    <w:rsid w:val="00BC7FCC"/>
    <w:rsid w:val="00BD00BD"/>
    <w:rsid w:val="00BD10F7"/>
    <w:rsid w:val="00BD1441"/>
    <w:rsid w:val="00BD17D0"/>
    <w:rsid w:val="00BD2C3C"/>
    <w:rsid w:val="00BD446B"/>
    <w:rsid w:val="00BD44A0"/>
    <w:rsid w:val="00BD4D00"/>
    <w:rsid w:val="00BD6DCD"/>
    <w:rsid w:val="00BD71E4"/>
    <w:rsid w:val="00BE06D1"/>
    <w:rsid w:val="00BE0D4F"/>
    <w:rsid w:val="00BE1530"/>
    <w:rsid w:val="00BE15BD"/>
    <w:rsid w:val="00BE1E68"/>
    <w:rsid w:val="00BE2F56"/>
    <w:rsid w:val="00BE34B2"/>
    <w:rsid w:val="00BE3FC7"/>
    <w:rsid w:val="00BE61BA"/>
    <w:rsid w:val="00BE695A"/>
    <w:rsid w:val="00BE6E43"/>
    <w:rsid w:val="00BE6EA9"/>
    <w:rsid w:val="00BE7E59"/>
    <w:rsid w:val="00BF01F5"/>
    <w:rsid w:val="00BF0269"/>
    <w:rsid w:val="00BF0E59"/>
    <w:rsid w:val="00BF178B"/>
    <w:rsid w:val="00BF1EE2"/>
    <w:rsid w:val="00BF2A01"/>
    <w:rsid w:val="00BF3631"/>
    <w:rsid w:val="00BF4083"/>
    <w:rsid w:val="00BF40BF"/>
    <w:rsid w:val="00BF57FD"/>
    <w:rsid w:val="00BF765F"/>
    <w:rsid w:val="00C00500"/>
    <w:rsid w:val="00C00FE8"/>
    <w:rsid w:val="00C02917"/>
    <w:rsid w:val="00C0502E"/>
    <w:rsid w:val="00C05180"/>
    <w:rsid w:val="00C05CC6"/>
    <w:rsid w:val="00C10993"/>
    <w:rsid w:val="00C116AB"/>
    <w:rsid w:val="00C116DB"/>
    <w:rsid w:val="00C13F68"/>
    <w:rsid w:val="00C14BB4"/>
    <w:rsid w:val="00C1504D"/>
    <w:rsid w:val="00C1617A"/>
    <w:rsid w:val="00C17AA7"/>
    <w:rsid w:val="00C17C08"/>
    <w:rsid w:val="00C17EAF"/>
    <w:rsid w:val="00C201BE"/>
    <w:rsid w:val="00C2023B"/>
    <w:rsid w:val="00C22BEB"/>
    <w:rsid w:val="00C23BB2"/>
    <w:rsid w:val="00C24E90"/>
    <w:rsid w:val="00C254CD"/>
    <w:rsid w:val="00C25AE0"/>
    <w:rsid w:val="00C26985"/>
    <w:rsid w:val="00C27230"/>
    <w:rsid w:val="00C272BB"/>
    <w:rsid w:val="00C27728"/>
    <w:rsid w:val="00C323B7"/>
    <w:rsid w:val="00C327E5"/>
    <w:rsid w:val="00C32978"/>
    <w:rsid w:val="00C338D0"/>
    <w:rsid w:val="00C33EA3"/>
    <w:rsid w:val="00C3495E"/>
    <w:rsid w:val="00C350A7"/>
    <w:rsid w:val="00C3568F"/>
    <w:rsid w:val="00C35C81"/>
    <w:rsid w:val="00C366C9"/>
    <w:rsid w:val="00C36EAE"/>
    <w:rsid w:val="00C379F1"/>
    <w:rsid w:val="00C4065B"/>
    <w:rsid w:val="00C41BA8"/>
    <w:rsid w:val="00C436F9"/>
    <w:rsid w:val="00C43928"/>
    <w:rsid w:val="00C43C9D"/>
    <w:rsid w:val="00C43EEF"/>
    <w:rsid w:val="00C440F0"/>
    <w:rsid w:val="00C44F50"/>
    <w:rsid w:val="00C45BEC"/>
    <w:rsid w:val="00C471CC"/>
    <w:rsid w:val="00C47D94"/>
    <w:rsid w:val="00C47DAC"/>
    <w:rsid w:val="00C50ABE"/>
    <w:rsid w:val="00C50C14"/>
    <w:rsid w:val="00C50D7A"/>
    <w:rsid w:val="00C517A6"/>
    <w:rsid w:val="00C53404"/>
    <w:rsid w:val="00C53548"/>
    <w:rsid w:val="00C576ED"/>
    <w:rsid w:val="00C578A4"/>
    <w:rsid w:val="00C62532"/>
    <w:rsid w:val="00C6372B"/>
    <w:rsid w:val="00C6463C"/>
    <w:rsid w:val="00C65B45"/>
    <w:rsid w:val="00C67434"/>
    <w:rsid w:val="00C70434"/>
    <w:rsid w:val="00C70A3A"/>
    <w:rsid w:val="00C72865"/>
    <w:rsid w:val="00C72F35"/>
    <w:rsid w:val="00C735F6"/>
    <w:rsid w:val="00C73F54"/>
    <w:rsid w:val="00C74162"/>
    <w:rsid w:val="00C769C8"/>
    <w:rsid w:val="00C77C39"/>
    <w:rsid w:val="00C810D6"/>
    <w:rsid w:val="00C81790"/>
    <w:rsid w:val="00C819C3"/>
    <w:rsid w:val="00C8353D"/>
    <w:rsid w:val="00C8391C"/>
    <w:rsid w:val="00C84882"/>
    <w:rsid w:val="00C84E6C"/>
    <w:rsid w:val="00C852AF"/>
    <w:rsid w:val="00C86D43"/>
    <w:rsid w:val="00C86E50"/>
    <w:rsid w:val="00C8700F"/>
    <w:rsid w:val="00C87CF4"/>
    <w:rsid w:val="00C91B96"/>
    <w:rsid w:val="00C923B3"/>
    <w:rsid w:val="00C92692"/>
    <w:rsid w:val="00C92E97"/>
    <w:rsid w:val="00C93BFC"/>
    <w:rsid w:val="00C944CF"/>
    <w:rsid w:val="00C94EA2"/>
    <w:rsid w:val="00C956A1"/>
    <w:rsid w:val="00C957B6"/>
    <w:rsid w:val="00C95D5C"/>
    <w:rsid w:val="00C95DDF"/>
    <w:rsid w:val="00C9692A"/>
    <w:rsid w:val="00C975E4"/>
    <w:rsid w:val="00CA0A31"/>
    <w:rsid w:val="00CA10E7"/>
    <w:rsid w:val="00CA1CDB"/>
    <w:rsid w:val="00CA367E"/>
    <w:rsid w:val="00CA3A8B"/>
    <w:rsid w:val="00CA4222"/>
    <w:rsid w:val="00CA4DCD"/>
    <w:rsid w:val="00CA6030"/>
    <w:rsid w:val="00CA6498"/>
    <w:rsid w:val="00CA6698"/>
    <w:rsid w:val="00CA774E"/>
    <w:rsid w:val="00CA7A3A"/>
    <w:rsid w:val="00CB051F"/>
    <w:rsid w:val="00CB0880"/>
    <w:rsid w:val="00CB08F2"/>
    <w:rsid w:val="00CB1CFA"/>
    <w:rsid w:val="00CB4651"/>
    <w:rsid w:val="00CB50A5"/>
    <w:rsid w:val="00CB61B0"/>
    <w:rsid w:val="00CB6751"/>
    <w:rsid w:val="00CB7E58"/>
    <w:rsid w:val="00CC0140"/>
    <w:rsid w:val="00CC048D"/>
    <w:rsid w:val="00CC0D34"/>
    <w:rsid w:val="00CC1F76"/>
    <w:rsid w:val="00CC2540"/>
    <w:rsid w:val="00CC25A9"/>
    <w:rsid w:val="00CC2E6A"/>
    <w:rsid w:val="00CC4AAB"/>
    <w:rsid w:val="00CC4F1D"/>
    <w:rsid w:val="00CC5122"/>
    <w:rsid w:val="00CC5385"/>
    <w:rsid w:val="00CC640F"/>
    <w:rsid w:val="00CC7AD8"/>
    <w:rsid w:val="00CD0227"/>
    <w:rsid w:val="00CD13F0"/>
    <w:rsid w:val="00CD1516"/>
    <w:rsid w:val="00CD1683"/>
    <w:rsid w:val="00CD26F7"/>
    <w:rsid w:val="00CD29EA"/>
    <w:rsid w:val="00CD2E57"/>
    <w:rsid w:val="00CD469B"/>
    <w:rsid w:val="00CD6BB9"/>
    <w:rsid w:val="00CD6C8F"/>
    <w:rsid w:val="00CD792F"/>
    <w:rsid w:val="00CE0211"/>
    <w:rsid w:val="00CE0659"/>
    <w:rsid w:val="00CE33E8"/>
    <w:rsid w:val="00CE3814"/>
    <w:rsid w:val="00CE4465"/>
    <w:rsid w:val="00CE583B"/>
    <w:rsid w:val="00CE7393"/>
    <w:rsid w:val="00CE7A4B"/>
    <w:rsid w:val="00CF0E07"/>
    <w:rsid w:val="00CF0E71"/>
    <w:rsid w:val="00CF26AD"/>
    <w:rsid w:val="00CF28FA"/>
    <w:rsid w:val="00CF3968"/>
    <w:rsid w:val="00CF3DF5"/>
    <w:rsid w:val="00CF7729"/>
    <w:rsid w:val="00D00151"/>
    <w:rsid w:val="00D01C9C"/>
    <w:rsid w:val="00D01F4D"/>
    <w:rsid w:val="00D02F8F"/>
    <w:rsid w:val="00D03AB6"/>
    <w:rsid w:val="00D04D36"/>
    <w:rsid w:val="00D060AF"/>
    <w:rsid w:val="00D06BDD"/>
    <w:rsid w:val="00D06E8D"/>
    <w:rsid w:val="00D070DB"/>
    <w:rsid w:val="00D104EF"/>
    <w:rsid w:val="00D134EA"/>
    <w:rsid w:val="00D136A5"/>
    <w:rsid w:val="00D13BE2"/>
    <w:rsid w:val="00D13ED1"/>
    <w:rsid w:val="00D1508D"/>
    <w:rsid w:val="00D16F4C"/>
    <w:rsid w:val="00D17381"/>
    <w:rsid w:val="00D177D5"/>
    <w:rsid w:val="00D21DC4"/>
    <w:rsid w:val="00D21FF5"/>
    <w:rsid w:val="00D22EBE"/>
    <w:rsid w:val="00D2313C"/>
    <w:rsid w:val="00D231D9"/>
    <w:rsid w:val="00D23239"/>
    <w:rsid w:val="00D23638"/>
    <w:rsid w:val="00D24497"/>
    <w:rsid w:val="00D247E8"/>
    <w:rsid w:val="00D252EB"/>
    <w:rsid w:val="00D262D8"/>
    <w:rsid w:val="00D27A8E"/>
    <w:rsid w:val="00D27EF3"/>
    <w:rsid w:val="00D3057F"/>
    <w:rsid w:val="00D31DF7"/>
    <w:rsid w:val="00D3208F"/>
    <w:rsid w:val="00D3377A"/>
    <w:rsid w:val="00D345BE"/>
    <w:rsid w:val="00D3465D"/>
    <w:rsid w:val="00D34A32"/>
    <w:rsid w:val="00D36BC7"/>
    <w:rsid w:val="00D36F79"/>
    <w:rsid w:val="00D37A8C"/>
    <w:rsid w:val="00D40246"/>
    <w:rsid w:val="00D40794"/>
    <w:rsid w:val="00D41BE6"/>
    <w:rsid w:val="00D42395"/>
    <w:rsid w:val="00D42494"/>
    <w:rsid w:val="00D433F4"/>
    <w:rsid w:val="00D44410"/>
    <w:rsid w:val="00D455BC"/>
    <w:rsid w:val="00D45C4F"/>
    <w:rsid w:val="00D465E0"/>
    <w:rsid w:val="00D46BCF"/>
    <w:rsid w:val="00D5021B"/>
    <w:rsid w:val="00D51819"/>
    <w:rsid w:val="00D532B7"/>
    <w:rsid w:val="00D5350B"/>
    <w:rsid w:val="00D53731"/>
    <w:rsid w:val="00D5441A"/>
    <w:rsid w:val="00D54423"/>
    <w:rsid w:val="00D5447E"/>
    <w:rsid w:val="00D55CE0"/>
    <w:rsid w:val="00D55E8C"/>
    <w:rsid w:val="00D5668B"/>
    <w:rsid w:val="00D56F81"/>
    <w:rsid w:val="00D57320"/>
    <w:rsid w:val="00D61FD2"/>
    <w:rsid w:val="00D6253C"/>
    <w:rsid w:val="00D62F3A"/>
    <w:rsid w:val="00D64C27"/>
    <w:rsid w:val="00D66FCB"/>
    <w:rsid w:val="00D6722A"/>
    <w:rsid w:val="00D70B0D"/>
    <w:rsid w:val="00D71E33"/>
    <w:rsid w:val="00D72862"/>
    <w:rsid w:val="00D72912"/>
    <w:rsid w:val="00D73188"/>
    <w:rsid w:val="00D734E1"/>
    <w:rsid w:val="00D73FBC"/>
    <w:rsid w:val="00D74BEC"/>
    <w:rsid w:val="00D75522"/>
    <w:rsid w:val="00D771DD"/>
    <w:rsid w:val="00D8032F"/>
    <w:rsid w:val="00D80D98"/>
    <w:rsid w:val="00D818ED"/>
    <w:rsid w:val="00D824B4"/>
    <w:rsid w:val="00D84C20"/>
    <w:rsid w:val="00D86CD2"/>
    <w:rsid w:val="00D876AD"/>
    <w:rsid w:val="00D87B0C"/>
    <w:rsid w:val="00D9361A"/>
    <w:rsid w:val="00D94287"/>
    <w:rsid w:val="00D9558D"/>
    <w:rsid w:val="00D9561E"/>
    <w:rsid w:val="00D96480"/>
    <w:rsid w:val="00D968EC"/>
    <w:rsid w:val="00D96D19"/>
    <w:rsid w:val="00D97B16"/>
    <w:rsid w:val="00D97C26"/>
    <w:rsid w:val="00DA0104"/>
    <w:rsid w:val="00DA01FC"/>
    <w:rsid w:val="00DA0CA2"/>
    <w:rsid w:val="00DA245D"/>
    <w:rsid w:val="00DA297C"/>
    <w:rsid w:val="00DA7490"/>
    <w:rsid w:val="00DB099A"/>
    <w:rsid w:val="00DB2F2C"/>
    <w:rsid w:val="00DB3244"/>
    <w:rsid w:val="00DB3863"/>
    <w:rsid w:val="00DB43DF"/>
    <w:rsid w:val="00DB4E48"/>
    <w:rsid w:val="00DB5DCB"/>
    <w:rsid w:val="00DB6B2E"/>
    <w:rsid w:val="00DB7326"/>
    <w:rsid w:val="00DB7723"/>
    <w:rsid w:val="00DC09E0"/>
    <w:rsid w:val="00DC1653"/>
    <w:rsid w:val="00DC23B9"/>
    <w:rsid w:val="00DC4D0D"/>
    <w:rsid w:val="00DC72CB"/>
    <w:rsid w:val="00DD0EBD"/>
    <w:rsid w:val="00DD1923"/>
    <w:rsid w:val="00DD20AA"/>
    <w:rsid w:val="00DD2908"/>
    <w:rsid w:val="00DD367D"/>
    <w:rsid w:val="00DD37DA"/>
    <w:rsid w:val="00DD5E6C"/>
    <w:rsid w:val="00DD70BA"/>
    <w:rsid w:val="00DD70CF"/>
    <w:rsid w:val="00DD713E"/>
    <w:rsid w:val="00DE010E"/>
    <w:rsid w:val="00DE03E2"/>
    <w:rsid w:val="00DE063B"/>
    <w:rsid w:val="00DE246F"/>
    <w:rsid w:val="00DE2A02"/>
    <w:rsid w:val="00DE2C71"/>
    <w:rsid w:val="00DE5634"/>
    <w:rsid w:val="00DE59B4"/>
    <w:rsid w:val="00DE5C0D"/>
    <w:rsid w:val="00DE6AE3"/>
    <w:rsid w:val="00DE793E"/>
    <w:rsid w:val="00DF1893"/>
    <w:rsid w:val="00DF2109"/>
    <w:rsid w:val="00DF415C"/>
    <w:rsid w:val="00DF441A"/>
    <w:rsid w:val="00DF5A21"/>
    <w:rsid w:val="00DF6F3A"/>
    <w:rsid w:val="00DF70DE"/>
    <w:rsid w:val="00DF7ACB"/>
    <w:rsid w:val="00E023B1"/>
    <w:rsid w:val="00E0260B"/>
    <w:rsid w:val="00E02630"/>
    <w:rsid w:val="00E02B7E"/>
    <w:rsid w:val="00E02E32"/>
    <w:rsid w:val="00E03D16"/>
    <w:rsid w:val="00E042FE"/>
    <w:rsid w:val="00E05B0A"/>
    <w:rsid w:val="00E06A4B"/>
    <w:rsid w:val="00E10BE5"/>
    <w:rsid w:val="00E1106E"/>
    <w:rsid w:val="00E1131D"/>
    <w:rsid w:val="00E116AF"/>
    <w:rsid w:val="00E12A06"/>
    <w:rsid w:val="00E12C35"/>
    <w:rsid w:val="00E12D95"/>
    <w:rsid w:val="00E13861"/>
    <w:rsid w:val="00E13928"/>
    <w:rsid w:val="00E13E16"/>
    <w:rsid w:val="00E14470"/>
    <w:rsid w:val="00E14A72"/>
    <w:rsid w:val="00E16656"/>
    <w:rsid w:val="00E17059"/>
    <w:rsid w:val="00E170B1"/>
    <w:rsid w:val="00E17981"/>
    <w:rsid w:val="00E208C0"/>
    <w:rsid w:val="00E20F58"/>
    <w:rsid w:val="00E21F97"/>
    <w:rsid w:val="00E22024"/>
    <w:rsid w:val="00E23312"/>
    <w:rsid w:val="00E243E2"/>
    <w:rsid w:val="00E2522F"/>
    <w:rsid w:val="00E265F0"/>
    <w:rsid w:val="00E2685A"/>
    <w:rsid w:val="00E30AB4"/>
    <w:rsid w:val="00E32613"/>
    <w:rsid w:val="00E32C34"/>
    <w:rsid w:val="00E334FB"/>
    <w:rsid w:val="00E33A01"/>
    <w:rsid w:val="00E3403D"/>
    <w:rsid w:val="00E36FD4"/>
    <w:rsid w:val="00E375CD"/>
    <w:rsid w:val="00E404D3"/>
    <w:rsid w:val="00E411FD"/>
    <w:rsid w:val="00E42CD8"/>
    <w:rsid w:val="00E42F02"/>
    <w:rsid w:val="00E44B6C"/>
    <w:rsid w:val="00E44F5B"/>
    <w:rsid w:val="00E45557"/>
    <w:rsid w:val="00E45A6E"/>
    <w:rsid w:val="00E45B17"/>
    <w:rsid w:val="00E4703A"/>
    <w:rsid w:val="00E47211"/>
    <w:rsid w:val="00E47E5D"/>
    <w:rsid w:val="00E501A6"/>
    <w:rsid w:val="00E51A55"/>
    <w:rsid w:val="00E52F5C"/>
    <w:rsid w:val="00E53EFB"/>
    <w:rsid w:val="00E5457F"/>
    <w:rsid w:val="00E54D42"/>
    <w:rsid w:val="00E5609E"/>
    <w:rsid w:val="00E56C85"/>
    <w:rsid w:val="00E570A9"/>
    <w:rsid w:val="00E57930"/>
    <w:rsid w:val="00E57A46"/>
    <w:rsid w:val="00E57BDD"/>
    <w:rsid w:val="00E604A5"/>
    <w:rsid w:val="00E60AAE"/>
    <w:rsid w:val="00E62AB7"/>
    <w:rsid w:val="00E635E0"/>
    <w:rsid w:val="00E6376C"/>
    <w:rsid w:val="00E63835"/>
    <w:rsid w:val="00E64335"/>
    <w:rsid w:val="00E662CD"/>
    <w:rsid w:val="00E67D50"/>
    <w:rsid w:val="00E72695"/>
    <w:rsid w:val="00E7273A"/>
    <w:rsid w:val="00E7277E"/>
    <w:rsid w:val="00E727A0"/>
    <w:rsid w:val="00E72C86"/>
    <w:rsid w:val="00E7342C"/>
    <w:rsid w:val="00E75727"/>
    <w:rsid w:val="00E7797F"/>
    <w:rsid w:val="00E77E16"/>
    <w:rsid w:val="00E8023E"/>
    <w:rsid w:val="00E81B21"/>
    <w:rsid w:val="00E81FE9"/>
    <w:rsid w:val="00E829B5"/>
    <w:rsid w:val="00E835E4"/>
    <w:rsid w:val="00E83971"/>
    <w:rsid w:val="00E83F36"/>
    <w:rsid w:val="00E847E0"/>
    <w:rsid w:val="00E856E2"/>
    <w:rsid w:val="00E8634C"/>
    <w:rsid w:val="00E86F8C"/>
    <w:rsid w:val="00E87233"/>
    <w:rsid w:val="00E91714"/>
    <w:rsid w:val="00E9374C"/>
    <w:rsid w:val="00E93892"/>
    <w:rsid w:val="00E942B3"/>
    <w:rsid w:val="00E962C6"/>
    <w:rsid w:val="00E969DE"/>
    <w:rsid w:val="00E975D3"/>
    <w:rsid w:val="00E97C97"/>
    <w:rsid w:val="00EA018F"/>
    <w:rsid w:val="00EA0DBA"/>
    <w:rsid w:val="00EA0FE3"/>
    <w:rsid w:val="00EA1FB1"/>
    <w:rsid w:val="00EA35ED"/>
    <w:rsid w:val="00EA3AC8"/>
    <w:rsid w:val="00EA4930"/>
    <w:rsid w:val="00EA7672"/>
    <w:rsid w:val="00EB0864"/>
    <w:rsid w:val="00EB123A"/>
    <w:rsid w:val="00EB19D6"/>
    <w:rsid w:val="00EB1A3A"/>
    <w:rsid w:val="00EB202E"/>
    <w:rsid w:val="00EB343B"/>
    <w:rsid w:val="00EB38BC"/>
    <w:rsid w:val="00EB3FF3"/>
    <w:rsid w:val="00EB4AE1"/>
    <w:rsid w:val="00EB4CFB"/>
    <w:rsid w:val="00EB5A1E"/>
    <w:rsid w:val="00EB6075"/>
    <w:rsid w:val="00EB660B"/>
    <w:rsid w:val="00EB6B44"/>
    <w:rsid w:val="00EB6DE4"/>
    <w:rsid w:val="00EB7512"/>
    <w:rsid w:val="00EC0125"/>
    <w:rsid w:val="00EC0506"/>
    <w:rsid w:val="00EC0869"/>
    <w:rsid w:val="00EC2561"/>
    <w:rsid w:val="00EC3633"/>
    <w:rsid w:val="00EC539B"/>
    <w:rsid w:val="00EC56C3"/>
    <w:rsid w:val="00EC6FFA"/>
    <w:rsid w:val="00EC7824"/>
    <w:rsid w:val="00EC7B8E"/>
    <w:rsid w:val="00ED121A"/>
    <w:rsid w:val="00ED218D"/>
    <w:rsid w:val="00ED282E"/>
    <w:rsid w:val="00ED2CA3"/>
    <w:rsid w:val="00ED43E9"/>
    <w:rsid w:val="00ED4D57"/>
    <w:rsid w:val="00ED7236"/>
    <w:rsid w:val="00ED79C3"/>
    <w:rsid w:val="00EE03CE"/>
    <w:rsid w:val="00EE0CA3"/>
    <w:rsid w:val="00EE29AD"/>
    <w:rsid w:val="00EE3251"/>
    <w:rsid w:val="00EE3555"/>
    <w:rsid w:val="00EE359E"/>
    <w:rsid w:val="00EE3A26"/>
    <w:rsid w:val="00EE537D"/>
    <w:rsid w:val="00EE6226"/>
    <w:rsid w:val="00EE7BF1"/>
    <w:rsid w:val="00EF09AC"/>
    <w:rsid w:val="00EF0D08"/>
    <w:rsid w:val="00EF1550"/>
    <w:rsid w:val="00EF15C7"/>
    <w:rsid w:val="00EF2393"/>
    <w:rsid w:val="00EF27ED"/>
    <w:rsid w:val="00EF3018"/>
    <w:rsid w:val="00EF364A"/>
    <w:rsid w:val="00EF4106"/>
    <w:rsid w:val="00EF510E"/>
    <w:rsid w:val="00EF53D6"/>
    <w:rsid w:val="00EF5FDD"/>
    <w:rsid w:val="00EF6069"/>
    <w:rsid w:val="00EF65FF"/>
    <w:rsid w:val="00EF73C0"/>
    <w:rsid w:val="00EF7FEC"/>
    <w:rsid w:val="00F002D4"/>
    <w:rsid w:val="00F01542"/>
    <w:rsid w:val="00F0196F"/>
    <w:rsid w:val="00F02474"/>
    <w:rsid w:val="00F03057"/>
    <w:rsid w:val="00F031C2"/>
    <w:rsid w:val="00F03564"/>
    <w:rsid w:val="00F04F18"/>
    <w:rsid w:val="00F05BC9"/>
    <w:rsid w:val="00F06007"/>
    <w:rsid w:val="00F0688E"/>
    <w:rsid w:val="00F10801"/>
    <w:rsid w:val="00F1116F"/>
    <w:rsid w:val="00F124EE"/>
    <w:rsid w:val="00F1372F"/>
    <w:rsid w:val="00F13AB2"/>
    <w:rsid w:val="00F13AEE"/>
    <w:rsid w:val="00F1437E"/>
    <w:rsid w:val="00F16C50"/>
    <w:rsid w:val="00F1790D"/>
    <w:rsid w:val="00F20F39"/>
    <w:rsid w:val="00F21A07"/>
    <w:rsid w:val="00F22F9A"/>
    <w:rsid w:val="00F23EB3"/>
    <w:rsid w:val="00F240F8"/>
    <w:rsid w:val="00F245A9"/>
    <w:rsid w:val="00F24FAD"/>
    <w:rsid w:val="00F25543"/>
    <w:rsid w:val="00F25D80"/>
    <w:rsid w:val="00F27848"/>
    <w:rsid w:val="00F30131"/>
    <w:rsid w:val="00F32779"/>
    <w:rsid w:val="00F33105"/>
    <w:rsid w:val="00F33E9A"/>
    <w:rsid w:val="00F33EFA"/>
    <w:rsid w:val="00F346DA"/>
    <w:rsid w:val="00F37398"/>
    <w:rsid w:val="00F4004D"/>
    <w:rsid w:val="00F40096"/>
    <w:rsid w:val="00F41CCA"/>
    <w:rsid w:val="00F42F35"/>
    <w:rsid w:val="00F42FD9"/>
    <w:rsid w:val="00F435A0"/>
    <w:rsid w:val="00F43E23"/>
    <w:rsid w:val="00F43FF3"/>
    <w:rsid w:val="00F444BB"/>
    <w:rsid w:val="00F44C7A"/>
    <w:rsid w:val="00F44F14"/>
    <w:rsid w:val="00F464E8"/>
    <w:rsid w:val="00F469A7"/>
    <w:rsid w:val="00F4704A"/>
    <w:rsid w:val="00F501CA"/>
    <w:rsid w:val="00F50C67"/>
    <w:rsid w:val="00F51D6C"/>
    <w:rsid w:val="00F5420E"/>
    <w:rsid w:val="00F546EE"/>
    <w:rsid w:val="00F55347"/>
    <w:rsid w:val="00F553BC"/>
    <w:rsid w:val="00F561BA"/>
    <w:rsid w:val="00F56895"/>
    <w:rsid w:val="00F61634"/>
    <w:rsid w:val="00F617A9"/>
    <w:rsid w:val="00F62208"/>
    <w:rsid w:val="00F62B37"/>
    <w:rsid w:val="00F62C83"/>
    <w:rsid w:val="00F636B0"/>
    <w:rsid w:val="00F636FD"/>
    <w:rsid w:val="00F63AFE"/>
    <w:rsid w:val="00F67BCA"/>
    <w:rsid w:val="00F70733"/>
    <w:rsid w:val="00F71487"/>
    <w:rsid w:val="00F736A2"/>
    <w:rsid w:val="00F7403B"/>
    <w:rsid w:val="00F75461"/>
    <w:rsid w:val="00F7574F"/>
    <w:rsid w:val="00F77ED6"/>
    <w:rsid w:val="00F80701"/>
    <w:rsid w:val="00F807AE"/>
    <w:rsid w:val="00F80E6A"/>
    <w:rsid w:val="00F82229"/>
    <w:rsid w:val="00F830B4"/>
    <w:rsid w:val="00F83321"/>
    <w:rsid w:val="00F84B5F"/>
    <w:rsid w:val="00F8563D"/>
    <w:rsid w:val="00F856A2"/>
    <w:rsid w:val="00F859E8"/>
    <w:rsid w:val="00F865E7"/>
    <w:rsid w:val="00F86D40"/>
    <w:rsid w:val="00F90746"/>
    <w:rsid w:val="00F91310"/>
    <w:rsid w:val="00F92128"/>
    <w:rsid w:val="00F9481D"/>
    <w:rsid w:val="00F95E42"/>
    <w:rsid w:val="00F96A6A"/>
    <w:rsid w:val="00F97D30"/>
    <w:rsid w:val="00F97DA6"/>
    <w:rsid w:val="00F97F91"/>
    <w:rsid w:val="00FA03F7"/>
    <w:rsid w:val="00FA21EC"/>
    <w:rsid w:val="00FA3876"/>
    <w:rsid w:val="00FA4839"/>
    <w:rsid w:val="00FA6585"/>
    <w:rsid w:val="00FA6845"/>
    <w:rsid w:val="00FA7263"/>
    <w:rsid w:val="00FA7A5A"/>
    <w:rsid w:val="00FB08E4"/>
    <w:rsid w:val="00FB0E14"/>
    <w:rsid w:val="00FB0FB3"/>
    <w:rsid w:val="00FB21EE"/>
    <w:rsid w:val="00FB3459"/>
    <w:rsid w:val="00FB36FA"/>
    <w:rsid w:val="00FB41C4"/>
    <w:rsid w:val="00FB467D"/>
    <w:rsid w:val="00FB4D0E"/>
    <w:rsid w:val="00FB5D80"/>
    <w:rsid w:val="00FB64A4"/>
    <w:rsid w:val="00FB6B67"/>
    <w:rsid w:val="00FB78C2"/>
    <w:rsid w:val="00FC081D"/>
    <w:rsid w:val="00FC0B38"/>
    <w:rsid w:val="00FC0D3E"/>
    <w:rsid w:val="00FC1DB0"/>
    <w:rsid w:val="00FC1EA1"/>
    <w:rsid w:val="00FC4301"/>
    <w:rsid w:val="00FC7453"/>
    <w:rsid w:val="00FD0793"/>
    <w:rsid w:val="00FD11F6"/>
    <w:rsid w:val="00FD17FD"/>
    <w:rsid w:val="00FD1BF0"/>
    <w:rsid w:val="00FD1FCE"/>
    <w:rsid w:val="00FD2300"/>
    <w:rsid w:val="00FD23EE"/>
    <w:rsid w:val="00FD3E8C"/>
    <w:rsid w:val="00FD40B7"/>
    <w:rsid w:val="00FD40D2"/>
    <w:rsid w:val="00FD5919"/>
    <w:rsid w:val="00FD7326"/>
    <w:rsid w:val="00FD7486"/>
    <w:rsid w:val="00FE0DB3"/>
    <w:rsid w:val="00FE19F9"/>
    <w:rsid w:val="00FE23A9"/>
    <w:rsid w:val="00FE26DA"/>
    <w:rsid w:val="00FE346F"/>
    <w:rsid w:val="00FE3B51"/>
    <w:rsid w:val="00FE597E"/>
    <w:rsid w:val="00FE68F2"/>
    <w:rsid w:val="00FE7148"/>
    <w:rsid w:val="00FE71AD"/>
    <w:rsid w:val="00FE7AD7"/>
    <w:rsid w:val="00FE7E75"/>
    <w:rsid w:val="00FF193C"/>
    <w:rsid w:val="00FF277E"/>
    <w:rsid w:val="00FF39E4"/>
    <w:rsid w:val="00FF64DA"/>
    <w:rsid w:val="00FF67C9"/>
    <w:rsid w:val="01065410"/>
    <w:rsid w:val="01885CE9"/>
    <w:rsid w:val="01E0762A"/>
    <w:rsid w:val="031548ED"/>
    <w:rsid w:val="03676589"/>
    <w:rsid w:val="03B46082"/>
    <w:rsid w:val="03F52234"/>
    <w:rsid w:val="04300D3B"/>
    <w:rsid w:val="04647844"/>
    <w:rsid w:val="046D36A3"/>
    <w:rsid w:val="055B7BE1"/>
    <w:rsid w:val="06677B90"/>
    <w:rsid w:val="092F40F3"/>
    <w:rsid w:val="097851EB"/>
    <w:rsid w:val="097F34B1"/>
    <w:rsid w:val="099A197D"/>
    <w:rsid w:val="0BDD1311"/>
    <w:rsid w:val="0C31183D"/>
    <w:rsid w:val="0C7872B1"/>
    <w:rsid w:val="0D466655"/>
    <w:rsid w:val="0D7B05B1"/>
    <w:rsid w:val="0DD1167C"/>
    <w:rsid w:val="0E09101F"/>
    <w:rsid w:val="0E300232"/>
    <w:rsid w:val="0E872C1A"/>
    <w:rsid w:val="0F122756"/>
    <w:rsid w:val="0F950A12"/>
    <w:rsid w:val="0F9757FB"/>
    <w:rsid w:val="10433F9C"/>
    <w:rsid w:val="113B0E9E"/>
    <w:rsid w:val="11496745"/>
    <w:rsid w:val="11983806"/>
    <w:rsid w:val="11DB382A"/>
    <w:rsid w:val="12877F63"/>
    <w:rsid w:val="12EC617D"/>
    <w:rsid w:val="14626B13"/>
    <w:rsid w:val="14AD5838"/>
    <w:rsid w:val="165E3C5C"/>
    <w:rsid w:val="16930CC7"/>
    <w:rsid w:val="16D60D6A"/>
    <w:rsid w:val="178A3441"/>
    <w:rsid w:val="17950A1D"/>
    <w:rsid w:val="19594F89"/>
    <w:rsid w:val="19911C24"/>
    <w:rsid w:val="1A5B36B4"/>
    <w:rsid w:val="1AF226BD"/>
    <w:rsid w:val="1AFD2860"/>
    <w:rsid w:val="1B83082F"/>
    <w:rsid w:val="1B99550E"/>
    <w:rsid w:val="1D2B43DD"/>
    <w:rsid w:val="1D4A59BE"/>
    <w:rsid w:val="1DBA4FC2"/>
    <w:rsid w:val="1DF844AD"/>
    <w:rsid w:val="1E51458A"/>
    <w:rsid w:val="1E77688F"/>
    <w:rsid w:val="1F411056"/>
    <w:rsid w:val="20786A8D"/>
    <w:rsid w:val="20F50DF3"/>
    <w:rsid w:val="210C093C"/>
    <w:rsid w:val="215820D1"/>
    <w:rsid w:val="21DE5CBE"/>
    <w:rsid w:val="21F4334A"/>
    <w:rsid w:val="22503A58"/>
    <w:rsid w:val="22E37209"/>
    <w:rsid w:val="231672D9"/>
    <w:rsid w:val="23533552"/>
    <w:rsid w:val="23C46D4D"/>
    <w:rsid w:val="2448619A"/>
    <w:rsid w:val="24805303"/>
    <w:rsid w:val="24D80BD9"/>
    <w:rsid w:val="24DC45AF"/>
    <w:rsid w:val="251B1EB5"/>
    <w:rsid w:val="255B24CC"/>
    <w:rsid w:val="255E4B34"/>
    <w:rsid w:val="267A6BDA"/>
    <w:rsid w:val="26DB7949"/>
    <w:rsid w:val="26F276C5"/>
    <w:rsid w:val="273B0DED"/>
    <w:rsid w:val="27604AFB"/>
    <w:rsid w:val="27734D48"/>
    <w:rsid w:val="284E1AFF"/>
    <w:rsid w:val="288F4338"/>
    <w:rsid w:val="28CA28F0"/>
    <w:rsid w:val="29381D4D"/>
    <w:rsid w:val="29B952F7"/>
    <w:rsid w:val="2B563729"/>
    <w:rsid w:val="2BA35DA7"/>
    <w:rsid w:val="2BBF4D1F"/>
    <w:rsid w:val="2C510706"/>
    <w:rsid w:val="2C5B6FDF"/>
    <w:rsid w:val="2CCD75F3"/>
    <w:rsid w:val="2D1256BB"/>
    <w:rsid w:val="2D3910C4"/>
    <w:rsid w:val="2E041162"/>
    <w:rsid w:val="2E490BD4"/>
    <w:rsid w:val="2FF64D02"/>
    <w:rsid w:val="3053237A"/>
    <w:rsid w:val="30DE050C"/>
    <w:rsid w:val="30F94A1A"/>
    <w:rsid w:val="319B6536"/>
    <w:rsid w:val="325A0424"/>
    <w:rsid w:val="32A54325"/>
    <w:rsid w:val="355F4FB0"/>
    <w:rsid w:val="358035AE"/>
    <w:rsid w:val="36DC6995"/>
    <w:rsid w:val="36F411A5"/>
    <w:rsid w:val="388108C3"/>
    <w:rsid w:val="389D0101"/>
    <w:rsid w:val="39BD4340"/>
    <w:rsid w:val="3AC65104"/>
    <w:rsid w:val="3C906E38"/>
    <w:rsid w:val="3E820905"/>
    <w:rsid w:val="3F6C3E7E"/>
    <w:rsid w:val="3F8F3DF3"/>
    <w:rsid w:val="4007319A"/>
    <w:rsid w:val="40F56031"/>
    <w:rsid w:val="418D43D5"/>
    <w:rsid w:val="41BC4EE9"/>
    <w:rsid w:val="425764F9"/>
    <w:rsid w:val="42E11396"/>
    <w:rsid w:val="43224321"/>
    <w:rsid w:val="436149F6"/>
    <w:rsid w:val="43915F03"/>
    <w:rsid w:val="43B03699"/>
    <w:rsid w:val="44975388"/>
    <w:rsid w:val="45135369"/>
    <w:rsid w:val="47825B85"/>
    <w:rsid w:val="481355A2"/>
    <w:rsid w:val="484C4B03"/>
    <w:rsid w:val="48EA44EB"/>
    <w:rsid w:val="49773D32"/>
    <w:rsid w:val="4A7C581A"/>
    <w:rsid w:val="4AB13106"/>
    <w:rsid w:val="4C3E2370"/>
    <w:rsid w:val="4CA258D0"/>
    <w:rsid w:val="4CE501E0"/>
    <w:rsid w:val="4D1D4EF6"/>
    <w:rsid w:val="4D2529E3"/>
    <w:rsid w:val="4E84376F"/>
    <w:rsid w:val="4E957C7D"/>
    <w:rsid w:val="4FA76850"/>
    <w:rsid w:val="503E78DA"/>
    <w:rsid w:val="50E475C5"/>
    <w:rsid w:val="51832615"/>
    <w:rsid w:val="525045AF"/>
    <w:rsid w:val="52BE5EB1"/>
    <w:rsid w:val="533C50B3"/>
    <w:rsid w:val="53542B4C"/>
    <w:rsid w:val="537C769D"/>
    <w:rsid w:val="545D2E4B"/>
    <w:rsid w:val="54FF5836"/>
    <w:rsid w:val="557D61C5"/>
    <w:rsid w:val="55916F36"/>
    <w:rsid w:val="56354996"/>
    <w:rsid w:val="57253ED8"/>
    <w:rsid w:val="58607A07"/>
    <w:rsid w:val="586E23B2"/>
    <w:rsid w:val="591E723C"/>
    <w:rsid w:val="594F59BC"/>
    <w:rsid w:val="59916906"/>
    <w:rsid w:val="59F62D13"/>
    <w:rsid w:val="5A521AB5"/>
    <w:rsid w:val="5AFD7314"/>
    <w:rsid w:val="5B584D05"/>
    <w:rsid w:val="5B995476"/>
    <w:rsid w:val="5CC967EB"/>
    <w:rsid w:val="5E3C172A"/>
    <w:rsid w:val="5EE93B2D"/>
    <w:rsid w:val="5F9F6B4D"/>
    <w:rsid w:val="61350ED2"/>
    <w:rsid w:val="6136097B"/>
    <w:rsid w:val="614911AD"/>
    <w:rsid w:val="61F735DE"/>
    <w:rsid w:val="6233627A"/>
    <w:rsid w:val="628D3CE4"/>
    <w:rsid w:val="62BE1769"/>
    <w:rsid w:val="62E3110B"/>
    <w:rsid w:val="64180EA2"/>
    <w:rsid w:val="64932468"/>
    <w:rsid w:val="64BA1880"/>
    <w:rsid w:val="653B4A50"/>
    <w:rsid w:val="65A3644B"/>
    <w:rsid w:val="65AB590B"/>
    <w:rsid w:val="667D5AC6"/>
    <w:rsid w:val="682D70B7"/>
    <w:rsid w:val="684E0B6F"/>
    <w:rsid w:val="688C499C"/>
    <w:rsid w:val="68F5642F"/>
    <w:rsid w:val="6A297F18"/>
    <w:rsid w:val="6A2F116A"/>
    <w:rsid w:val="6B4B3ECF"/>
    <w:rsid w:val="6B75552F"/>
    <w:rsid w:val="6D235AA5"/>
    <w:rsid w:val="6D344E6B"/>
    <w:rsid w:val="6D3964AA"/>
    <w:rsid w:val="6D562EBF"/>
    <w:rsid w:val="6D84713A"/>
    <w:rsid w:val="6D9A09E4"/>
    <w:rsid w:val="6E9D6CDF"/>
    <w:rsid w:val="6EAF72F2"/>
    <w:rsid w:val="6EDD48F2"/>
    <w:rsid w:val="6EDF7DF5"/>
    <w:rsid w:val="6FE22A91"/>
    <w:rsid w:val="701160C8"/>
    <w:rsid w:val="70577F54"/>
    <w:rsid w:val="706349CB"/>
    <w:rsid w:val="70D450E6"/>
    <w:rsid w:val="71303E27"/>
    <w:rsid w:val="714F167D"/>
    <w:rsid w:val="724E29DD"/>
    <w:rsid w:val="73210D6E"/>
    <w:rsid w:val="73F33C13"/>
    <w:rsid w:val="74086B1B"/>
    <w:rsid w:val="74D152F3"/>
    <w:rsid w:val="75563842"/>
    <w:rsid w:val="760B4FB9"/>
    <w:rsid w:val="768E2346"/>
    <w:rsid w:val="778577EC"/>
    <w:rsid w:val="77B95AC4"/>
    <w:rsid w:val="77CE13B3"/>
    <w:rsid w:val="78B82786"/>
    <w:rsid w:val="78DE2E94"/>
    <w:rsid w:val="78E30113"/>
    <w:rsid w:val="79224700"/>
    <w:rsid w:val="79DF1DC5"/>
    <w:rsid w:val="7A487E51"/>
    <w:rsid w:val="7A7C65F8"/>
    <w:rsid w:val="7A8C633D"/>
    <w:rsid w:val="7B27259B"/>
    <w:rsid w:val="7BD97949"/>
    <w:rsid w:val="7C5F5830"/>
    <w:rsid w:val="7D2E325D"/>
    <w:rsid w:val="7D733AF3"/>
    <w:rsid w:val="7DAC169B"/>
    <w:rsid w:val="7DE87A8E"/>
    <w:rsid w:val="7E360E43"/>
    <w:rsid w:val="7F3B7C87"/>
    <w:rsid w:val="7F5840EE"/>
    <w:rsid w:val="7F5F4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qFormat="1" w:unhideWhenUsed="0" w:uiPriority="99" w:semiHidden="0" w:name="Salutation"/>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cs="Times New Roman" w:eastAsiaTheme="minorEastAsia"/>
      <w:sz w:val="24"/>
      <w:szCs w:val="24"/>
      <w:lang w:val="en-US" w:eastAsia="zh-CN" w:bidi="ar-SA"/>
    </w:rPr>
  </w:style>
  <w:style w:type="paragraph" w:styleId="2">
    <w:name w:val="heading 1"/>
    <w:basedOn w:val="1"/>
    <w:next w:val="1"/>
    <w:link w:val="60"/>
    <w:qFormat/>
    <w:uiPriority w:val="99"/>
    <w:pPr>
      <w:keepNext/>
      <w:keepLines/>
      <w:spacing w:before="340" w:after="330" w:line="578" w:lineRule="atLeast"/>
      <w:outlineLvl w:val="0"/>
    </w:pPr>
    <w:rPr>
      <w:b/>
      <w:bCs/>
      <w:kern w:val="44"/>
      <w:sz w:val="44"/>
      <w:szCs w:val="44"/>
    </w:rPr>
  </w:style>
  <w:style w:type="paragraph" w:styleId="3">
    <w:name w:val="heading 2"/>
    <w:basedOn w:val="1"/>
    <w:next w:val="4"/>
    <w:link w:val="64"/>
    <w:qFormat/>
    <w:uiPriority w:val="99"/>
    <w:pPr>
      <w:keepNext/>
      <w:widowControl/>
      <w:overflowPunct w:val="0"/>
      <w:autoSpaceDE w:val="0"/>
      <w:autoSpaceDN w:val="0"/>
      <w:spacing w:line="240" w:lineRule="auto"/>
      <w:outlineLvl w:val="1"/>
    </w:pPr>
    <w:rPr>
      <w:rFonts w:ascii="Cambria" w:hAnsi="Cambria"/>
      <w:b/>
      <w:bCs/>
      <w:sz w:val="32"/>
      <w:szCs w:val="32"/>
    </w:rPr>
  </w:style>
  <w:style w:type="paragraph" w:styleId="5">
    <w:name w:val="heading 3"/>
    <w:basedOn w:val="1"/>
    <w:next w:val="1"/>
    <w:link w:val="71"/>
    <w:qFormat/>
    <w:uiPriority w:val="99"/>
    <w:pPr>
      <w:keepNext/>
      <w:keepLines/>
      <w:spacing w:before="260" w:after="260" w:line="416" w:lineRule="atLeast"/>
      <w:outlineLvl w:val="2"/>
    </w:pPr>
    <w:rPr>
      <w:b/>
      <w:bCs/>
      <w:sz w:val="32"/>
      <w:szCs w:val="32"/>
    </w:rPr>
  </w:style>
  <w:style w:type="paragraph" w:styleId="6">
    <w:name w:val="heading 4"/>
    <w:basedOn w:val="1"/>
    <w:next w:val="1"/>
    <w:link w:val="57"/>
    <w:qFormat/>
    <w:uiPriority w:val="99"/>
    <w:pPr>
      <w:keepNext/>
      <w:jc w:val="center"/>
      <w:outlineLvl w:val="3"/>
    </w:pPr>
    <w:rPr>
      <w:rFonts w:ascii="Cambria" w:hAnsi="Cambria"/>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link w:val="58"/>
    <w:qFormat/>
    <w:uiPriority w:val="99"/>
    <w:pPr>
      <w:widowControl/>
      <w:overflowPunct w:val="0"/>
      <w:autoSpaceDE w:val="0"/>
      <w:autoSpaceDN w:val="0"/>
      <w:spacing w:line="240" w:lineRule="auto"/>
      <w:ind w:firstLine="420"/>
    </w:pPr>
    <w:rPr>
      <w:sz w:val="20"/>
      <w:szCs w:val="20"/>
      <w:lang w:val="en-GB"/>
    </w:rPr>
  </w:style>
  <w:style w:type="paragraph" w:styleId="7">
    <w:name w:val="annotation text"/>
    <w:basedOn w:val="1"/>
    <w:link w:val="75"/>
    <w:semiHidden/>
    <w:qFormat/>
    <w:uiPriority w:val="0"/>
    <w:pPr>
      <w:adjustRightInd/>
      <w:spacing w:line="240" w:lineRule="auto"/>
      <w:textAlignment w:val="auto"/>
    </w:pPr>
    <w:rPr>
      <w:kern w:val="2"/>
    </w:rPr>
  </w:style>
  <w:style w:type="paragraph" w:styleId="8">
    <w:name w:val="Salutation"/>
    <w:basedOn w:val="1"/>
    <w:next w:val="1"/>
    <w:link w:val="77"/>
    <w:qFormat/>
    <w:uiPriority w:val="99"/>
    <w:pPr>
      <w:adjustRightInd/>
      <w:spacing w:line="240" w:lineRule="auto"/>
      <w:jc w:val="both"/>
      <w:textAlignment w:val="auto"/>
    </w:pPr>
  </w:style>
  <w:style w:type="paragraph" w:styleId="9">
    <w:name w:val="Body Text 3"/>
    <w:basedOn w:val="1"/>
    <w:link w:val="89"/>
    <w:qFormat/>
    <w:uiPriority w:val="99"/>
    <w:rPr>
      <w:sz w:val="16"/>
      <w:szCs w:val="16"/>
    </w:rPr>
  </w:style>
  <w:style w:type="paragraph" w:styleId="10">
    <w:name w:val="Body Text"/>
    <w:basedOn w:val="1"/>
    <w:link w:val="73"/>
    <w:qFormat/>
    <w:uiPriority w:val="99"/>
    <w:pPr>
      <w:spacing w:line="360" w:lineRule="auto"/>
    </w:pPr>
  </w:style>
  <w:style w:type="paragraph" w:styleId="11">
    <w:name w:val="Body Text Indent"/>
    <w:basedOn w:val="1"/>
    <w:link w:val="88"/>
    <w:qFormat/>
    <w:uiPriority w:val="99"/>
    <w:pPr>
      <w:adjustRightInd/>
      <w:spacing w:line="312" w:lineRule="auto"/>
      <w:ind w:left="1440" w:hanging="720"/>
      <w:jc w:val="both"/>
      <w:textAlignment w:val="auto"/>
    </w:pPr>
  </w:style>
  <w:style w:type="paragraph" w:styleId="12">
    <w:name w:val="Plain Text"/>
    <w:basedOn w:val="1"/>
    <w:link w:val="72"/>
    <w:qFormat/>
    <w:uiPriority w:val="99"/>
    <w:pPr>
      <w:adjustRightInd/>
      <w:spacing w:line="240" w:lineRule="auto"/>
      <w:jc w:val="both"/>
      <w:textAlignment w:val="auto"/>
    </w:pPr>
    <w:rPr>
      <w:rFonts w:ascii="宋体" w:hAnsi="Courier New"/>
      <w:kern w:val="2"/>
      <w:sz w:val="21"/>
      <w:szCs w:val="21"/>
    </w:rPr>
  </w:style>
  <w:style w:type="paragraph" w:styleId="13">
    <w:name w:val="Date"/>
    <w:basedOn w:val="1"/>
    <w:next w:val="1"/>
    <w:link w:val="70"/>
    <w:qFormat/>
    <w:uiPriority w:val="99"/>
    <w:pPr>
      <w:ind w:left="100" w:leftChars="2500"/>
    </w:pPr>
  </w:style>
  <w:style w:type="paragraph" w:styleId="14">
    <w:name w:val="Body Text Indent 2"/>
    <w:basedOn w:val="1"/>
    <w:link w:val="80"/>
    <w:qFormat/>
    <w:uiPriority w:val="99"/>
    <w:pPr>
      <w:adjustRightInd/>
      <w:spacing w:line="312" w:lineRule="auto"/>
      <w:ind w:left="1440"/>
      <w:jc w:val="both"/>
      <w:textAlignment w:val="auto"/>
    </w:pPr>
  </w:style>
  <w:style w:type="paragraph" w:styleId="15">
    <w:name w:val="Balloon Text"/>
    <w:basedOn w:val="1"/>
    <w:link w:val="55"/>
    <w:semiHidden/>
    <w:qFormat/>
    <w:uiPriority w:val="99"/>
    <w:pPr>
      <w:spacing w:line="240" w:lineRule="auto"/>
    </w:pPr>
    <w:rPr>
      <w:sz w:val="18"/>
      <w:szCs w:val="18"/>
    </w:rPr>
  </w:style>
  <w:style w:type="paragraph" w:styleId="16">
    <w:name w:val="footer"/>
    <w:basedOn w:val="1"/>
    <w:link w:val="86"/>
    <w:qFormat/>
    <w:uiPriority w:val="99"/>
    <w:pPr>
      <w:tabs>
        <w:tab w:val="center" w:pos="4153"/>
        <w:tab w:val="right" w:pos="8306"/>
      </w:tabs>
      <w:adjustRightInd/>
      <w:snapToGrid w:val="0"/>
      <w:spacing w:line="240" w:lineRule="auto"/>
      <w:textAlignment w:val="auto"/>
    </w:pPr>
    <w:rPr>
      <w:kern w:val="2"/>
      <w:sz w:val="18"/>
      <w:szCs w:val="18"/>
    </w:rPr>
  </w:style>
  <w:style w:type="paragraph" w:styleId="17">
    <w:name w:val="header"/>
    <w:basedOn w:val="1"/>
    <w:link w:val="79"/>
    <w:qFormat/>
    <w:uiPriority w:val="99"/>
    <w:pPr>
      <w:adjustRightInd/>
      <w:spacing w:line="320" w:lineRule="exact"/>
      <w:jc w:val="both"/>
      <w:textAlignment w:val="auto"/>
    </w:pPr>
    <w:rPr>
      <w:rFonts w:eastAsia="黑体"/>
      <w:b/>
      <w:bCs/>
      <w:kern w:val="2"/>
    </w:rPr>
  </w:style>
  <w:style w:type="paragraph" w:styleId="18">
    <w:name w:val="Body Text Indent 3"/>
    <w:basedOn w:val="1"/>
    <w:link w:val="84"/>
    <w:qFormat/>
    <w:uiPriority w:val="99"/>
    <w:pPr>
      <w:ind w:firstLine="360" w:firstLineChars="150"/>
    </w:pPr>
    <w:rPr>
      <w:sz w:val="16"/>
      <w:szCs w:val="16"/>
    </w:rPr>
  </w:style>
  <w:style w:type="paragraph" w:styleId="19">
    <w:name w:val="Body Text 2"/>
    <w:basedOn w:val="1"/>
    <w:link w:val="76"/>
    <w:qFormat/>
    <w:uiPriority w:val="99"/>
    <w:pPr>
      <w:adjustRightInd/>
      <w:spacing w:line="240" w:lineRule="auto"/>
      <w:jc w:val="both"/>
      <w:textAlignment w:val="auto"/>
    </w:pPr>
  </w:style>
  <w:style w:type="paragraph" w:styleId="20">
    <w:name w:val="HTML Preformatted"/>
    <w:basedOn w:val="1"/>
    <w:link w:val="68"/>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21">
    <w:name w:val="Normal (Web)"/>
    <w:basedOn w:val="1"/>
    <w:qFormat/>
    <w:uiPriority w:val="99"/>
    <w:pPr>
      <w:widowControl/>
      <w:adjustRightInd/>
      <w:spacing w:before="100" w:beforeAutospacing="1" w:after="100" w:afterAutospacing="1" w:line="240" w:lineRule="auto"/>
      <w:textAlignment w:val="auto"/>
    </w:pPr>
    <w:rPr>
      <w:rFonts w:ascii="宋体" w:hAnsi="宋体" w:cs="宋体"/>
      <w:color w:val="000000"/>
    </w:rPr>
  </w:style>
  <w:style w:type="paragraph" w:styleId="22">
    <w:name w:val="annotation subject"/>
    <w:basedOn w:val="7"/>
    <w:next w:val="7"/>
    <w:link w:val="83"/>
    <w:semiHidden/>
    <w:qFormat/>
    <w:uiPriority w:val="99"/>
    <w:pPr>
      <w:adjustRightInd w:val="0"/>
      <w:spacing w:line="360" w:lineRule="atLeast"/>
      <w:textAlignment w:val="baseline"/>
    </w:pPr>
    <w:rPr>
      <w:b/>
      <w:bCs/>
      <w:kern w:val="0"/>
    </w:rPr>
  </w:style>
  <w:style w:type="table" w:styleId="24">
    <w:name w:val="Table Grid"/>
    <w:basedOn w:val="23"/>
    <w:qFormat/>
    <w:uiPriority w:val="99"/>
    <w:rPr>
      <w:rFonts w:ascii="Arial" w:hAnsi="Arial" w:eastAsia="Arial Unicode MS" w:cs="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6">
    <w:name w:val="Strong"/>
    <w:qFormat/>
    <w:uiPriority w:val="99"/>
    <w:rPr>
      <w:b/>
      <w:bCs/>
    </w:rPr>
  </w:style>
  <w:style w:type="character" w:styleId="27">
    <w:name w:val="page number"/>
    <w:basedOn w:val="25"/>
    <w:qFormat/>
    <w:uiPriority w:val="99"/>
  </w:style>
  <w:style w:type="character" w:styleId="28">
    <w:name w:val="Emphasis"/>
    <w:qFormat/>
    <w:uiPriority w:val="99"/>
    <w:rPr>
      <w:i/>
      <w:iCs/>
    </w:rPr>
  </w:style>
  <w:style w:type="character" w:styleId="29">
    <w:name w:val="Hyperlink"/>
    <w:qFormat/>
    <w:uiPriority w:val="99"/>
    <w:rPr>
      <w:color w:val="0000FF"/>
      <w:u w:val="single"/>
    </w:rPr>
  </w:style>
  <w:style w:type="character" w:styleId="30">
    <w:name w:val="annotation reference"/>
    <w:semiHidden/>
    <w:qFormat/>
    <w:uiPriority w:val="0"/>
    <w:rPr>
      <w:sz w:val="21"/>
      <w:szCs w:val="21"/>
    </w:rPr>
  </w:style>
  <w:style w:type="paragraph" w:customStyle="1" w:styleId="31">
    <w:name w:val="Char Char1 Char Char Char Char Char Char Char Char Char Char"/>
    <w:basedOn w:val="1"/>
    <w:qFormat/>
    <w:uiPriority w:val="99"/>
    <w:pPr>
      <w:adjustRightInd/>
      <w:spacing w:line="240" w:lineRule="auto"/>
      <w:jc w:val="both"/>
      <w:textAlignment w:val="auto"/>
    </w:pPr>
    <w:rPr>
      <w:rFonts w:ascii="Tahoma" w:hAnsi="Tahoma" w:cs="Tahoma"/>
      <w:kern w:val="2"/>
    </w:rPr>
  </w:style>
  <w:style w:type="paragraph" w:customStyle="1" w:styleId="32">
    <w:name w:val="列出段落11"/>
    <w:basedOn w:val="1"/>
    <w:qFormat/>
    <w:uiPriority w:val="99"/>
    <w:pPr>
      <w:widowControl/>
      <w:adjustRightInd/>
      <w:spacing w:after="200" w:line="276" w:lineRule="auto"/>
      <w:ind w:left="720"/>
      <w:textAlignment w:val="auto"/>
    </w:pPr>
    <w:rPr>
      <w:rFonts w:ascii="Calibri" w:hAnsi="Calibri" w:cs="Calibri"/>
      <w:sz w:val="22"/>
      <w:szCs w:val="22"/>
    </w:rPr>
  </w:style>
  <w:style w:type="paragraph" w:customStyle="1" w:styleId="33">
    <w:name w:val="中等深浅列表 2 - 着色 21"/>
    <w:unhideWhenUsed/>
    <w:qFormat/>
    <w:uiPriority w:val="99"/>
    <w:rPr>
      <w:rFonts w:ascii="Times New Roman" w:hAnsi="Times New Roman" w:cs="Times New Roman" w:eastAsiaTheme="minorEastAsia"/>
      <w:sz w:val="24"/>
      <w:szCs w:val="24"/>
      <w:lang w:val="en-US" w:eastAsia="zh-CN" w:bidi="ar-SA"/>
    </w:rPr>
  </w:style>
  <w:style w:type="paragraph" w:customStyle="1" w:styleId="34">
    <w:name w:val="p18"/>
    <w:basedOn w:val="1"/>
    <w:qFormat/>
    <w:uiPriority w:val="99"/>
    <w:pPr>
      <w:widowControl/>
      <w:adjustRightInd/>
      <w:spacing w:line="240" w:lineRule="auto"/>
      <w:ind w:firstLine="420"/>
      <w:jc w:val="both"/>
      <w:textAlignment w:val="auto"/>
    </w:pPr>
    <w:rPr>
      <w:rFonts w:ascii="Calibri" w:hAnsi="Calibri" w:cs="Calibri"/>
      <w:sz w:val="21"/>
      <w:szCs w:val="21"/>
    </w:rPr>
  </w:style>
  <w:style w:type="paragraph" w:customStyle="1" w:styleId="35">
    <w:name w:val="table_lines"/>
    <w:basedOn w:val="1"/>
    <w:qFormat/>
    <w:uiPriority w:val="99"/>
    <w:pPr>
      <w:widowControl/>
      <w:adjustRightInd/>
      <w:spacing w:line="240" w:lineRule="auto"/>
      <w:textAlignment w:val="auto"/>
    </w:pPr>
    <w:rPr>
      <w:sz w:val="20"/>
      <w:szCs w:val="20"/>
      <w:lang w:val="de-DE" w:eastAsia="de-DE"/>
    </w:rPr>
  </w:style>
  <w:style w:type="paragraph" w:customStyle="1" w:styleId="36">
    <w:name w:val="msolistparagraph"/>
    <w:basedOn w:val="1"/>
    <w:qFormat/>
    <w:uiPriority w:val="99"/>
    <w:pPr>
      <w:widowControl/>
      <w:adjustRightInd/>
      <w:spacing w:line="240" w:lineRule="auto"/>
      <w:ind w:firstLine="420"/>
      <w:textAlignment w:val="auto"/>
    </w:pPr>
    <w:rPr>
      <w:rFonts w:ascii="宋体" w:hAnsi="宋体" w:cs="宋体"/>
    </w:rPr>
  </w:style>
  <w:style w:type="paragraph" w:customStyle="1" w:styleId="37">
    <w:name w:val="table_1stline"/>
    <w:basedOn w:val="1"/>
    <w:qFormat/>
    <w:uiPriority w:val="99"/>
    <w:pPr>
      <w:widowControl/>
      <w:adjustRightInd/>
      <w:spacing w:before="120" w:line="240" w:lineRule="auto"/>
      <w:textAlignment w:val="auto"/>
    </w:pPr>
    <w:rPr>
      <w:sz w:val="20"/>
      <w:szCs w:val="20"/>
      <w:lang w:val="de-DE" w:eastAsia="de-DE"/>
    </w:rPr>
  </w:style>
  <w:style w:type="paragraph" w:customStyle="1" w:styleId="38">
    <w:name w:val="Char Char Char Char"/>
    <w:basedOn w:val="1"/>
    <w:qFormat/>
    <w:uiPriority w:val="99"/>
    <w:pPr>
      <w:widowControl/>
      <w:adjustRightInd/>
      <w:spacing w:after="160" w:line="240" w:lineRule="exact"/>
      <w:textAlignment w:val="auto"/>
    </w:pPr>
    <w:rPr>
      <w:rFonts w:ascii="Verdana" w:hAnsi="Verdana" w:eastAsia="仿宋_GB2312" w:cs="Verdana"/>
      <w:lang w:eastAsia="en-US"/>
    </w:rPr>
  </w:style>
  <w:style w:type="paragraph" w:customStyle="1" w:styleId="39">
    <w:name w:val="List Paragraph1"/>
    <w:basedOn w:val="1"/>
    <w:qFormat/>
    <w:uiPriority w:val="34"/>
    <w:pPr>
      <w:ind w:firstLine="420" w:firstLineChars="200"/>
    </w:pPr>
  </w:style>
  <w:style w:type="paragraph" w:customStyle="1" w:styleId="40">
    <w:name w:val="_Style 1"/>
    <w:next w:val="1"/>
    <w:qFormat/>
    <w:uiPriority w:val="0"/>
    <w:pPr>
      <w:wordWrap w:val="0"/>
      <w:ind w:left="850"/>
      <w:jc w:val="both"/>
    </w:pPr>
    <w:rPr>
      <w:rFonts w:ascii="Times New Roman" w:hAnsi="Times New Roman" w:cs="Times New Roman" w:eastAsiaTheme="minorEastAsia"/>
      <w:sz w:val="21"/>
      <w:szCs w:val="22"/>
      <w:lang w:val="en-US" w:eastAsia="zh-CN" w:bidi="ar-SA"/>
    </w:rPr>
  </w:style>
  <w:style w:type="paragraph" w:customStyle="1" w:styleId="41">
    <w:name w:val="列出段落1"/>
    <w:basedOn w:val="1"/>
    <w:qFormat/>
    <w:uiPriority w:val="34"/>
    <w:pPr>
      <w:adjustRightInd/>
      <w:spacing w:line="240" w:lineRule="auto"/>
      <w:ind w:firstLine="420" w:firstLineChars="200"/>
      <w:jc w:val="both"/>
      <w:textAlignment w:val="auto"/>
    </w:pPr>
    <w:rPr>
      <w:kern w:val="2"/>
      <w:sz w:val="21"/>
      <w:szCs w:val="21"/>
    </w:rPr>
  </w:style>
  <w:style w:type="paragraph" w:customStyle="1" w:styleId="42">
    <w:name w:val="_Style 2"/>
    <w:next w:val="1"/>
    <w:qFormat/>
    <w:uiPriority w:val="0"/>
    <w:pPr>
      <w:wordWrap w:val="0"/>
      <w:ind w:left="850"/>
      <w:jc w:val="both"/>
    </w:pPr>
    <w:rPr>
      <w:rFonts w:ascii="Times New Roman" w:hAnsi="Times New Roman" w:cs="Times New Roman" w:eastAsiaTheme="minorEastAsia"/>
      <w:sz w:val="21"/>
      <w:szCs w:val="22"/>
      <w:lang w:val="en-US" w:eastAsia="zh-CN" w:bidi="ar-SA"/>
    </w:rPr>
  </w:style>
  <w:style w:type="paragraph" w:customStyle="1" w:styleId="43">
    <w:name w:val="Char"/>
    <w:basedOn w:val="1"/>
    <w:qFormat/>
    <w:uiPriority w:val="99"/>
    <w:pPr>
      <w:widowControl/>
      <w:adjustRightInd/>
      <w:spacing w:line="400" w:lineRule="exact"/>
      <w:jc w:val="center"/>
      <w:textAlignment w:val="auto"/>
    </w:pPr>
    <w:rPr>
      <w:rFonts w:ascii="Verdana" w:hAnsi="Verdana" w:cs="Verdana"/>
      <w:sz w:val="21"/>
      <w:szCs w:val="21"/>
      <w:lang w:eastAsia="en-US"/>
    </w:rPr>
  </w:style>
  <w:style w:type="paragraph" w:customStyle="1" w:styleId="44">
    <w:name w:val="列表段落1"/>
    <w:basedOn w:val="1"/>
    <w:qFormat/>
    <w:uiPriority w:val="99"/>
    <w:pPr>
      <w:ind w:firstLine="420" w:firstLineChars="200"/>
    </w:pPr>
  </w:style>
  <w:style w:type="paragraph" w:styleId="45">
    <w:name w:val="List Paragraph"/>
    <w:basedOn w:val="1"/>
    <w:qFormat/>
    <w:uiPriority w:val="34"/>
    <w:pPr>
      <w:adjustRightInd/>
      <w:spacing w:line="240" w:lineRule="auto"/>
      <w:ind w:firstLine="420" w:firstLineChars="200"/>
      <w:jc w:val="both"/>
      <w:textAlignment w:val="auto"/>
    </w:pPr>
    <w:rPr>
      <w:kern w:val="2"/>
      <w:sz w:val="21"/>
    </w:rPr>
  </w:style>
  <w:style w:type="paragraph" w:customStyle="1" w:styleId="46">
    <w:name w:val="Body of Article"/>
    <w:basedOn w:val="1"/>
    <w:next w:val="1"/>
    <w:qFormat/>
    <w:uiPriority w:val="99"/>
    <w:pPr>
      <w:widowControl/>
      <w:adjustRightInd/>
      <w:spacing w:after="240" w:line="240" w:lineRule="auto"/>
      <w:textAlignment w:val="auto"/>
    </w:pPr>
    <w:rPr>
      <w:rFonts w:ascii="Arial" w:hAnsi="Arial" w:cs="Arial"/>
      <w:sz w:val="22"/>
      <w:szCs w:val="22"/>
      <w:lang w:val="de-DE" w:eastAsia="en-US"/>
    </w:rPr>
  </w:style>
  <w:style w:type="paragraph" w:customStyle="1" w:styleId="47">
    <w:name w:val="p0"/>
    <w:basedOn w:val="1"/>
    <w:qFormat/>
    <w:uiPriority w:val="99"/>
    <w:pPr>
      <w:widowControl/>
      <w:adjustRightInd/>
      <w:spacing w:line="240" w:lineRule="auto"/>
      <w:jc w:val="both"/>
      <w:textAlignment w:val="auto"/>
    </w:pPr>
    <w:rPr>
      <w:sz w:val="21"/>
      <w:szCs w:val="21"/>
    </w:rPr>
  </w:style>
  <w:style w:type="paragraph" w:customStyle="1" w:styleId="48">
    <w:name w:val="font6"/>
    <w:basedOn w:val="1"/>
    <w:qFormat/>
    <w:uiPriority w:val="99"/>
    <w:pPr>
      <w:widowControl/>
      <w:adjustRightInd/>
      <w:spacing w:before="100" w:beforeAutospacing="1" w:after="100" w:afterAutospacing="1" w:line="240" w:lineRule="auto"/>
      <w:textAlignment w:val="auto"/>
    </w:pPr>
  </w:style>
  <w:style w:type="paragraph" w:customStyle="1" w:styleId="49">
    <w:name w:val="图"/>
    <w:basedOn w:val="1"/>
    <w:qFormat/>
    <w:uiPriority w:val="99"/>
    <w:pPr>
      <w:keepNext/>
      <w:spacing w:before="60" w:after="60" w:line="300" w:lineRule="auto"/>
      <w:jc w:val="center"/>
      <w:textAlignment w:val="center"/>
    </w:pPr>
    <w:rPr>
      <w:spacing w:val="20"/>
    </w:rPr>
  </w:style>
  <w:style w:type="paragraph" w:customStyle="1" w:styleId="50">
    <w:name w:val="无间隔1"/>
    <w:basedOn w:val="1"/>
    <w:qFormat/>
    <w:uiPriority w:val="99"/>
    <w:pPr>
      <w:adjustRightInd/>
      <w:spacing w:before="100" w:beforeAutospacing="1" w:line="240" w:lineRule="auto"/>
      <w:jc w:val="both"/>
      <w:textAlignment w:val="auto"/>
    </w:pPr>
    <w:rPr>
      <w:kern w:val="2"/>
      <w:sz w:val="21"/>
      <w:szCs w:val="21"/>
    </w:rPr>
  </w:style>
  <w:style w:type="paragraph" w:customStyle="1" w:styleId="51">
    <w:name w:val="正文1"/>
    <w:qFormat/>
    <w:uiPriority w:val="0"/>
    <w:pPr>
      <w:widowControl w:val="0"/>
      <w:jc w:val="both"/>
    </w:pPr>
    <w:rPr>
      <w:rFonts w:ascii="Calibri" w:hAnsi="Calibri" w:cs="Times New Roman" w:eastAsiaTheme="minorEastAsia"/>
      <w:kern w:val="2"/>
      <w:sz w:val="21"/>
      <w:szCs w:val="21"/>
      <w:lang w:val="en-US" w:eastAsia="zh-CN" w:bidi="ar-SA"/>
    </w:rPr>
  </w:style>
  <w:style w:type="paragraph" w:customStyle="1" w:styleId="52">
    <w:name w:val="Char Char1 Char Char Char Char Char Char Char Char Char Char Char Char Char Char1"/>
    <w:basedOn w:val="1"/>
    <w:qFormat/>
    <w:uiPriority w:val="99"/>
    <w:pPr>
      <w:widowControl/>
      <w:adjustRightInd/>
      <w:spacing w:after="160" w:line="240" w:lineRule="exact"/>
      <w:textAlignment w:val="auto"/>
    </w:pPr>
    <w:rPr>
      <w:sz w:val="20"/>
      <w:szCs w:val="20"/>
    </w:rPr>
  </w:style>
  <w:style w:type="paragraph" w:customStyle="1" w:styleId="53">
    <w:name w:val="Default"/>
    <w:qFormat/>
    <w:uiPriority w:val="99"/>
    <w:pPr>
      <w:widowControl w:val="0"/>
      <w:autoSpaceDE w:val="0"/>
      <w:autoSpaceDN w:val="0"/>
      <w:adjustRightInd w:val="0"/>
    </w:pPr>
    <w:rPr>
      <w:rFonts w:ascii="Times New Roman" w:hAnsi="Times New Roman" w:cs="Times New Roman" w:eastAsiaTheme="minorEastAsia"/>
      <w:color w:val="000000"/>
      <w:sz w:val="24"/>
      <w:szCs w:val="24"/>
      <w:lang w:val="en-US" w:eastAsia="en-US" w:bidi="ar-SA"/>
    </w:rPr>
  </w:style>
  <w:style w:type="character" w:customStyle="1" w:styleId="54">
    <w:name w:val="Char Char"/>
    <w:qFormat/>
    <w:uiPriority w:val="99"/>
    <w:rPr>
      <w:rFonts w:eastAsia="宋体"/>
      <w:sz w:val="24"/>
      <w:szCs w:val="24"/>
      <w:u w:val="single"/>
      <w:lang w:val="en-US" w:eastAsia="zh-CN"/>
    </w:rPr>
  </w:style>
  <w:style w:type="character" w:customStyle="1" w:styleId="55">
    <w:name w:val="批注框文本 字符"/>
    <w:link w:val="15"/>
    <w:semiHidden/>
    <w:qFormat/>
    <w:uiPriority w:val="99"/>
    <w:rPr>
      <w:sz w:val="18"/>
      <w:szCs w:val="18"/>
    </w:rPr>
  </w:style>
  <w:style w:type="character" w:customStyle="1" w:styleId="56">
    <w:name w:val="Header Char1"/>
    <w:semiHidden/>
    <w:qFormat/>
    <w:locked/>
    <w:uiPriority w:val="99"/>
    <w:rPr>
      <w:kern w:val="0"/>
      <w:sz w:val="18"/>
      <w:szCs w:val="18"/>
    </w:rPr>
  </w:style>
  <w:style w:type="character" w:customStyle="1" w:styleId="57">
    <w:name w:val="标题 4 字符"/>
    <w:link w:val="6"/>
    <w:semiHidden/>
    <w:qFormat/>
    <w:locked/>
    <w:uiPriority w:val="99"/>
    <w:rPr>
      <w:rFonts w:ascii="Cambria" w:hAnsi="Cambria" w:eastAsia="宋体" w:cs="Cambria"/>
      <w:b/>
      <w:bCs/>
      <w:kern w:val="0"/>
      <w:sz w:val="28"/>
      <w:szCs w:val="28"/>
    </w:rPr>
  </w:style>
  <w:style w:type="character" w:customStyle="1" w:styleId="58">
    <w:name w:val="正文缩进 字符"/>
    <w:link w:val="4"/>
    <w:qFormat/>
    <w:locked/>
    <w:uiPriority w:val="99"/>
    <w:rPr>
      <w:lang w:val="en-GB"/>
    </w:rPr>
  </w:style>
  <w:style w:type="character" w:customStyle="1" w:styleId="59">
    <w:name w:val="A8"/>
    <w:qFormat/>
    <w:uiPriority w:val="99"/>
    <w:rPr>
      <w:color w:val="000000"/>
    </w:rPr>
  </w:style>
  <w:style w:type="character" w:customStyle="1" w:styleId="60">
    <w:name w:val="标题 1 字符"/>
    <w:link w:val="2"/>
    <w:qFormat/>
    <w:locked/>
    <w:uiPriority w:val="99"/>
    <w:rPr>
      <w:b/>
      <w:bCs/>
      <w:kern w:val="44"/>
      <w:sz w:val="44"/>
      <w:szCs w:val="44"/>
    </w:rPr>
  </w:style>
  <w:style w:type="character" w:customStyle="1" w:styleId="61">
    <w:name w:val="style118"/>
    <w:basedOn w:val="25"/>
    <w:qFormat/>
    <w:uiPriority w:val="99"/>
  </w:style>
  <w:style w:type="character" w:customStyle="1" w:styleId="62">
    <w:name w:val="b"/>
    <w:basedOn w:val="25"/>
    <w:qFormat/>
    <w:uiPriority w:val="99"/>
  </w:style>
  <w:style w:type="character" w:customStyle="1" w:styleId="63">
    <w:name w:val="Plain Text Char1"/>
    <w:semiHidden/>
    <w:qFormat/>
    <w:locked/>
    <w:uiPriority w:val="99"/>
    <w:rPr>
      <w:rFonts w:ascii="宋体" w:hAnsi="Courier New" w:cs="宋体"/>
      <w:kern w:val="0"/>
      <w:sz w:val="21"/>
      <w:szCs w:val="21"/>
    </w:rPr>
  </w:style>
  <w:style w:type="character" w:customStyle="1" w:styleId="64">
    <w:name w:val="标题 2 字符"/>
    <w:link w:val="3"/>
    <w:semiHidden/>
    <w:qFormat/>
    <w:locked/>
    <w:uiPriority w:val="99"/>
    <w:rPr>
      <w:rFonts w:ascii="Cambria" w:hAnsi="Cambria" w:eastAsia="宋体" w:cs="Cambria"/>
      <w:b/>
      <w:bCs/>
      <w:kern w:val="0"/>
      <w:sz w:val="32"/>
      <w:szCs w:val="32"/>
    </w:rPr>
  </w:style>
  <w:style w:type="character" w:customStyle="1" w:styleId="65">
    <w:name w:val="apple-converted-space"/>
    <w:basedOn w:val="25"/>
    <w:qFormat/>
    <w:uiPriority w:val="99"/>
  </w:style>
  <w:style w:type="character" w:customStyle="1" w:styleId="66">
    <w:name w:val="访问过的超链接1"/>
    <w:qFormat/>
    <w:uiPriority w:val="99"/>
    <w:rPr>
      <w:color w:val="800080"/>
      <w:u w:val="single"/>
    </w:rPr>
  </w:style>
  <w:style w:type="character" w:customStyle="1" w:styleId="67">
    <w:name w:val="Footer Char1"/>
    <w:semiHidden/>
    <w:qFormat/>
    <w:locked/>
    <w:uiPriority w:val="99"/>
    <w:rPr>
      <w:kern w:val="0"/>
      <w:sz w:val="18"/>
      <w:szCs w:val="18"/>
    </w:rPr>
  </w:style>
  <w:style w:type="character" w:customStyle="1" w:styleId="68">
    <w:name w:val="HTML 预设格式 字符"/>
    <w:link w:val="20"/>
    <w:semiHidden/>
    <w:qFormat/>
    <w:locked/>
    <w:uiPriority w:val="99"/>
    <w:rPr>
      <w:rFonts w:ascii="Courier New" w:hAnsi="Courier New" w:cs="Courier New"/>
      <w:kern w:val="0"/>
      <w:sz w:val="20"/>
      <w:szCs w:val="20"/>
    </w:rPr>
  </w:style>
  <w:style w:type="character" w:customStyle="1" w:styleId="69">
    <w:name w:val="breakword"/>
    <w:qFormat/>
    <w:uiPriority w:val="99"/>
  </w:style>
  <w:style w:type="character" w:customStyle="1" w:styleId="70">
    <w:name w:val="日期 字符"/>
    <w:link w:val="13"/>
    <w:semiHidden/>
    <w:qFormat/>
    <w:locked/>
    <w:uiPriority w:val="99"/>
    <w:rPr>
      <w:kern w:val="0"/>
      <w:sz w:val="24"/>
      <w:szCs w:val="24"/>
    </w:rPr>
  </w:style>
  <w:style w:type="character" w:customStyle="1" w:styleId="71">
    <w:name w:val="标题 3 字符"/>
    <w:link w:val="5"/>
    <w:qFormat/>
    <w:locked/>
    <w:uiPriority w:val="99"/>
    <w:rPr>
      <w:rFonts w:eastAsia="宋体"/>
      <w:b/>
      <w:bCs/>
      <w:sz w:val="32"/>
      <w:szCs w:val="32"/>
      <w:lang w:val="en-US" w:eastAsia="zh-CN"/>
    </w:rPr>
  </w:style>
  <w:style w:type="character" w:customStyle="1" w:styleId="72">
    <w:name w:val="纯文本 字符"/>
    <w:link w:val="12"/>
    <w:qFormat/>
    <w:locked/>
    <w:uiPriority w:val="99"/>
    <w:rPr>
      <w:rFonts w:ascii="宋体" w:hAnsi="Courier New" w:eastAsia="宋体" w:cs="宋体"/>
      <w:kern w:val="2"/>
      <w:sz w:val="21"/>
      <w:szCs w:val="21"/>
      <w:lang w:val="en-US" w:eastAsia="zh-CN"/>
    </w:rPr>
  </w:style>
  <w:style w:type="character" w:customStyle="1" w:styleId="73">
    <w:name w:val="正文文本 字符"/>
    <w:link w:val="10"/>
    <w:semiHidden/>
    <w:qFormat/>
    <w:locked/>
    <w:uiPriority w:val="99"/>
    <w:rPr>
      <w:kern w:val="0"/>
      <w:sz w:val="24"/>
      <w:szCs w:val="24"/>
    </w:rPr>
  </w:style>
  <w:style w:type="character" w:customStyle="1" w:styleId="74">
    <w:name w:val="apple-style-span"/>
    <w:basedOn w:val="25"/>
    <w:qFormat/>
    <w:uiPriority w:val="99"/>
  </w:style>
  <w:style w:type="character" w:customStyle="1" w:styleId="75">
    <w:name w:val="批注文字 字符"/>
    <w:link w:val="7"/>
    <w:semiHidden/>
    <w:qFormat/>
    <w:locked/>
    <w:uiPriority w:val="0"/>
    <w:rPr>
      <w:kern w:val="2"/>
      <w:sz w:val="24"/>
      <w:szCs w:val="24"/>
    </w:rPr>
  </w:style>
  <w:style w:type="character" w:customStyle="1" w:styleId="76">
    <w:name w:val="正文文本 2 字符"/>
    <w:link w:val="19"/>
    <w:semiHidden/>
    <w:qFormat/>
    <w:locked/>
    <w:uiPriority w:val="99"/>
    <w:rPr>
      <w:kern w:val="0"/>
      <w:sz w:val="24"/>
      <w:szCs w:val="24"/>
    </w:rPr>
  </w:style>
  <w:style w:type="character" w:customStyle="1" w:styleId="77">
    <w:name w:val="称呼 字符"/>
    <w:link w:val="8"/>
    <w:semiHidden/>
    <w:qFormat/>
    <w:locked/>
    <w:uiPriority w:val="99"/>
    <w:rPr>
      <w:kern w:val="0"/>
      <w:sz w:val="24"/>
      <w:szCs w:val="24"/>
    </w:rPr>
  </w:style>
  <w:style w:type="character" w:customStyle="1" w:styleId="78">
    <w:name w:val="msoins"/>
    <w:basedOn w:val="25"/>
    <w:qFormat/>
    <w:uiPriority w:val="99"/>
  </w:style>
  <w:style w:type="character" w:customStyle="1" w:styleId="79">
    <w:name w:val="页眉 字符"/>
    <w:link w:val="17"/>
    <w:qFormat/>
    <w:locked/>
    <w:uiPriority w:val="99"/>
    <w:rPr>
      <w:rFonts w:eastAsia="黑体"/>
      <w:b/>
      <w:bCs/>
      <w:kern w:val="2"/>
      <w:sz w:val="24"/>
      <w:szCs w:val="24"/>
    </w:rPr>
  </w:style>
  <w:style w:type="character" w:customStyle="1" w:styleId="80">
    <w:name w:val="正文文本缩进 2 字符"/>
    <w:link w:val="14"/>
    <w:semiHidden/>
    <w:qFormat/>
    <w:locked/>
    <w:uiPriority w:val="99"/>
    <w:rPr>
      <w:kern w:val="0"/>
      <w:sz w:val="24"/>
      <w:szCs w:val="24"/>
    </w:rPr>
  </w:style>
  <w:style w:type="character" w:customStyle="1" w:styleId="81">
    <w:name w:val="Char Char1"/>
    <w:qFormat/>
    <w:uiPriority w:val="99"/>
    <w:rPr>
      <w:rFonts w:eastAsia="宋体"/>
      <w:b/>
      <w:bCs/>
      <w:sz w:val="32"/>
      <w:szCs w:val="32"/>
      <w:lang w:val="en-US" w:eastAsia="zh-CN"/>
    </w:rPr>
  </w:style>
  <w:style w:type="character" w:customStyle="1" w:styleId="82">
    <w:name w:val="bigtd1"/>
    <w:qFormat/>
    <w:uiPriority w:val="99"/>
    <w:rPr>
      <w:rFonts w:ascii="??" w:hAnsi="??" w:cs="??"/>
      <w:b/>
      <w:bCs/>
      <w:sz w:val="17"/>
      <w:szCs w:val="17"/>
    </w:rPr>
  </w:style>
  <w:style w:type="character" w:customStyle="1" w:styleId="83">
    <w:name w:val="批注主题 字符"/>
    <w:link w:val="22"/>
    <w:semiHidden/>
    <w:qFormat/>
    <w:locked/>
    <w:uiPriority w:val="99"/>
    <w:rPr>
      <w:b/>
      <w:bCs/>
      <w:kern w:val="0"/>
      <w:sz w:val="24"/>
      <w:szCs w:val="24"/>
    </w:rPr>
  </w:style>
  <w:style w:type="character" w:customStyle="1" w:styleId="84">
    <w:name w:val="正文文本缩进 3 字符"/>
    <w:link w:val="18"/>
    <w:semiHidden/>
    <w:qFormat/>
    <w:locked/>
    <w:uiPriority w:val="99"/>
    <w:rPr>
      <w:kern w:val="0"/>
      <w:sz w:val="16"/>
      <w:szCs w:val="16"/>
    </w:rPr>
  </w:style>
  <w:style w:type="character" w:customStyle="1" w:styleId="85">
    <w:name w:val="Comment Text Char1"/>
    <w:semiHidden/>
    <w:qFormat/>
    <w:locked/>
    <w:uiPriority w:val="99"/>
    <w:rPr>
      <w:kern w:val="0"/>
      <w:sz w:val="24"/>
      <w:szCs w:val="24"/>
    </w:rPr>
  </w:style>
  <w:style w:type="character" w:customStyle="1" w:styleId="86">
    <w:name w:val="页脚 字符"/>
    <w:link w:val="16"/>
    <w:qFormat/>
    <w:locked/>
    <w:uiPriority w:val="99"/>
    <w:rPr>
      <w:kern w:val="2"/>
      <w:sz w:val="18"/>
      <w:szCs w:val="18"/>
    </w:rPr>
  </w:style>
  <w:style w:type="character" w:customStyle="1" w:styleId="87">
    <w:name w:val="A9"/>
    <w:qFormat/>
    <w:uiPriority w:val="99"/>
    <w:rPr>
      <w:rFonts w:ascii="Calibri" w:hAnsi="Calibri" w:cs="Calibri"/>
      <w:color w:val="auto"/>
      <w:sz w:val="7"/>
      <w:szCs w:val="7"/>
    </w:rPr>
  </w:style>
  <w:style w:type="character" w:customStyle="1" w:styleId="88">
    <w:name w:val="正文文本缩进 字符"/>
    <w:link w:val="11"/>
    <w:semiHidden/>
    <w:qFormat/>
    <w:locked/>
    <w:uiPriority w:val="99"/>
    <w:rPr>
      <w:kern w:val="0"/>
      <w:sz w:val="24"/>
      <w:szCs w:val="24"/>
    </w:rPr>
  </w:style>
  <w:style w:type="character" w:customStyle="1" w:styleId="89">
    <w:name w:val="正文文本 3 字符"/>
    <w:link w:val="9"/>
    <w:semiHidden/>
    <w:qFormat/>
    <w:locked/>
    <w:uiPriority w:val="99"/>
    <w:rPr>
      <w:kern w:val="0"/>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CCF693-8DEF-40D0-905F-C4247FDB568B}">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56</Pages>
  <Words>4274</Words>
  <Characters>24364</Characters>
  <Lines>203</Lines>
  <Paragraphs>57</Paragraphs>
  <TotalTime>0</TotalTime>
  <ScaleCrop>false</ScaleCrop>
  <LinksUpToDate>false</LinksUpToDate>
  <CharactersWithSpaces>28581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2009-03-09T00:21:00Z</dcterms:created>
  <dc:creator>LSK</dc:creator>
  <dc:description>Shankar's Birthday falls on 25th July.  Don't Forget to wish him</dc:description>
  <cp:keywords>Birthday</cp:keywords>
  <cp:lastModifiedBy>淡定，微笑</cp:lastModifiedBy>
  <cp:lastPrinted>2018-06-27T11:34:00Z</cp:lastPrinted>
  <dcterms:modified xsi:type="dcterms:W3CDTF">2019-08-29T12:15:22Z</dcterms:modified>
  <dc:subject>Birthday</dc:subject>
  <dc:title>Are You suprised ?</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