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rPr>
      </w:pPr>
      <w:r>
        <w:rPr>
          <w:rFonts w:hint="eastAsia" w:ascii="宋体" w:hAnsi="宋体" w:cs="宋体"/>
          <w:b/>
          <w:sz w:val="36"/>
          <w:szCs w:val="36"/>
        </w:rPr>
        <w:t>招 标 公 告</w:t>
      </w:r>
    </w:p>
    <w:p>
      <w:pPr>
        <w:widowControl/>
        <w:snapToGrid w:val="0"/>
        <w:spacing w:line="360" w:lineRule="auto"/>
        <w:jc w:val="left"/>
      </w:pPr>
      <w:r>
        <w:rPr>
          <w:rFonts w:hint="eastAsia" w:ascii="宋体" w:hAnsi="宋体" w:eastAsia="宋体" w:cs="宋体"/>
          <w:sz w:val="24"/>
        </w:rPr>
        <w:t>中泰百聪工程管理有限公司按照采购人提出的采购需求，依据《政府采购法》及相关法规，对</w:t>
      </w:r>
      <w:r>
        <w:rPr>
          <w:rFonts w:hint="eastAsia" w:ascii="宋体" w:hAnsi="宋体" w:eastAsia="宋体" w:cs="宋体"/>
          <w:sz w:val="24"/>
          <w:lang w:val="en-US" w:eastAsia="zh-CN"/>
        </w:rPr>
        <w:t>虎林市疾病预防控制中心</w:t>
      </w:r>
      <w:r>
        <w:rPr>
          <w:rFonts w:hint="eastAsia" w:ascii="宋体" w:hAnsi="宋体" w:eastAsia="宋体" w:cs="宋体"/>
          <w:sz w:val="24"/>
        </w:rPr>
        <w:t>进行国内公开招标，现欢迎国内合格的供应商参与本项目。</w:t>
      </w:r>
      <w:r>
        <w:rPr>
          <w:rFonts w:hint="eastAsia" w:ascii="宋体" w:hAnsi="宋体" w:eastAsia="宋体" w:cs="宋体"/>
          <w:sz w:val="24"/>
          <w:lang w:val="en-US" w:eastAsia="zh-CN"/>
        </w:rPr>
        <w:t>本项目的潜在供应商远程（电子邮件形式）获取招标文件，并于2020年7月</w:t>
      </w:r>
      <w:r>
        <w:rPr>
          <w:rFonts w:hint="eastAsia" w:ascii="宋体" w:hAnsi="宋体" w:cs="宋体"/>
          <w:sz w:val="24"/>
          <w:lang w:val="en-US" w:eastAsia="zh-CN"/>
        </w:rPr>
        <w:t>28</w:t>
      </w:r>
      <w:r>
        <w:rPr>
          <w:rFonts w:hint="eastAsia" w:ascii="宋体" w:hAnsi="宋体" w:eastAsia="宋体" w:cs="宋体"/>
          <w:sz w:val="24"/>
          <w:lang w:val="en-US" w:eastAsia="zh-CN"/>
        </w:rPr>
        <w:t>日9点00分前提交响应文件。</w:t>
      </w:r>
    </w:p>
    <w:p>
      <w:pPr>
        <w:spacing w:line="360" w:lineRule="auto"/>
        <w:rPr>
          <w:b/>
          <w:bCs/>
          <w:sz w:val="24"/>
        </w:rPr>
      </w:pPr>
      <w:r>
        <w:rPr>
          <w:rFonts w:hint="eastAsia"/>
          <w:b/>
          <w:bCs/>
          <w:sz w:val="24"/>
        </w:rPr>
        <w:t>一、项目基本情况</w:t>
      </w:r>
    </w:p>
    <w:p>
      <w:pPr>
        <w:widowControl/>
        <w:snapToGrid w:val="0"/>
        <w:spacing w:line="360" w:lineRule="auto"/>
        <w:ind w:firstLine="480" w:firstLineChars="200"/>
        <w:jc w:val="left"/>
        <w:rPr>
          <w:rFonts w:hint="eastAsia" w:eastAsia="宋体"/>
          <w:lang w:val="en-US" w:eastAsia="zh-CN"/>
        </w:rPr>
      </w:pPr>
      <w:bookmarkStart w:id="0" w:name="_Toc14952"/>
      <w:r>
        <w:rPr>
          <w:rFonts w:hint="eastAsia"/>
          <w:sz w:val="24"/>
        </w:rPr>
        <w:t>1、项目编号</w:t>
      </w:r>
      <w:bookmarkEnd w:id="0"/>
      <w:r>
        <w:rPr>
          <w:rFonts w:hint="eastAsia"/>
          <w:sz w:val="24"/>
        </w:rPr>
        <w:t>：</w:t>
      </w:r>
      <w:bookmarkStart w:id="1" w:name="_Toc10451"/>
      <w:r>
        <w:rPr>
          <w:rFonts w:hint="eastAsia"/>
          <w:sz w:val="24"/>
        </w:rPr>
        <w:t>ZTBC-H202002</w:t>
      </w:r>
      <w:r>
        <w:rPr>
          <w:rFonts w:hint="eastAsia"/>
          <w:sz w:val="24"/>
          <w:lang w:val="en-US" w:eastAsia="zh-CN"/>
        </w:rPr>
        <w:t>8</w:t>
      </w:r>
    </w:p>
    <w:p>
      <w:pPr>
        <w:snapToGrid w:val="0"/>
        <w:spacing w:line="360" w:lineRule="auto"/>
        <w:ind w:right="840" w:firstLine="480" w:firstLineChars="200"/>
        <w:rPr>
          <w:rFonts w:hint="eastAsia"/>
          <w:sz w:val="24"/>
          <w:lang w:val="en-US" w:eastAsia="zh-CN"/>
        </w:rPr>
      </w:pPr>
      <w:r>
        <w:rPr>
          <w:rFonts w:hint="eastAsia"/>
          <w:sz w:val="24"/>
        </w:rPr>
        <w:t>2、项目名称</w:t>
      </w:r>
      <w:bookmarkEnd w:id="1"/>
      <w:r>
        <w:rPr>
          <w:rFonts w:hint="eastAsia"/>
          <w:sz w:val="24"/>
        </w:rPr>
        <w:t>：</w:t>
      </w:r>
      <w:bookmarkStart w:id="2" w:name="_Toc22823"/>
      <w:bookmarkStart w:id="9" w:name="_GoBack"/>
      <w:r>
        <w:rPr>
          <w:rFonts w:hint="eastAsia"/>
          <w:sz w:val="24"/>
          <w:lang w:val="en-US" w:eastAsia="zh-CN"/>
        </w:rPr>
        <w:t>虎林市疾控中心提升服务能力建设购置检测设备</w:t>
      </w:r>
      <w:bookmarkEnd w:id="9"/>
    </w:p>
    <w:p>
      <w:pPr>
        <w:snapToGrid w:val="0"/>
        <w:spacing w:line="360" w:lineRule="auto"/>
        <w:ind w:right="840" w:firstLine="480" w:firstLineChars="200"/>
        <w:rPr>
          <w:rFonts w:ascii="宋体" w:hAnsi="宋体" w:cs="宋体"/>
          <w:sz w:val="24"/>
        </w:rPr>
      </w:pPr>
      <w:r>
        <w:rPr>
          <w:rFonts w:hint="eastAsia" w:ascii="宋体" w:hAnsi="宋体" w:cs="宋体"/>
          <w:sz w:val="24"/>
        </w:rPr>
        <w:t>3、资金来源</w:t>
      </w:r>
      <w:bookmarkEnd w:id="2"/>
      <w:r>
        <w:rPr>
          <w:rFonts w:hint="eastAsia" w:ascii="宋体" w:hAnsi="宋体" w:cs="宋体"/>
          <w:sz w:val="24"/>
        </w:rPr>
        <w:t>：</w:t>
      </w:r>
      <w:r>
        <w:rPr>
          <w:rFonts w:hint="eastAsia" w:ascii="宋体" w:hAnsi="宋体" w:cs="宋体"/>
          <w:color w:val="auto"/>
          <w:sz w:val="24"/>
        </w:rPr>
        <w:t>财政资金；预算</w:t>
      </w:r>
      <w:r>
        <w:rPr>
          <w:rFonts w:hint="eastAsia" w:ascii="宋体" w:hAnsi="宋体" w:cs="宋体"/>
          <w:sz w:val="24"/>
        </w:rPr>
        <w:t>资金</w:t>
      </w:r>
      <w:r>
        <w:rPr>
          <w:rFonts w:hint="eastAsia" w:ascii="宋体" w:hAnsi="宋体" w:cs="宋体"/>
          <w:sz w:val="24"/>
          <w:lang w:val="en-US" w:eastAsia="zh-CN"/>
        </w:rPr>
        <w:t>174.5</w:t>
      </w:r>
      <w:r>
        <w:rPr>
          <w:rFonts w:hint="eastAsia" w:ascii="宋体" w:hAnsi="宋体" w:cs="宋体"/>
          <w:sz w:val="24"/>
        </w:rPr>
        <w:t>万元</w:t>
      </w:r>
    </w:p>
    <w:p>
      <w:pPr>
        <w:snapToGrid w:val="0"/>
        <w:spacing w:line="360" w:lineRule="auto"/>
        <w:ind w:right="840" w:firstLine="480" w:firstLineChars="200"/>
        <w:rPr>
          <w:rFonts w:ascii="宋体" w:hAnsi="宋体" w:cs="宋体"/>
          <w:sz w:val="24"/>
        </w:rPr>
      </w:pPr>
      <w:r>
        <w:rPr>
          <w:rFonts w:hint="eastAsia" w:ascii="宋体" w:hAnsi="宋体" w:cs="宋体"/>
          <w:sz w:val="24"/>
        </w:rPr>
        <w:t>4、采购方式：公开招标</w:t>
      </w:r>
    </w:p>
    <w:p>
      <w:pPr>
        <w:snapToGrid w:val="0"/>
        <w:spacing w:line="360" w:lineRule="auto"/>
        <w:ind w:firstLine="480" w:firstLineChars="200"/>
        <w:rPr>
          <w:rFonts w:hint="eastAsia" w:eastAsia="宋体"/>
          <w:color w:val="auto"/>
          <w:sz w:val="24"/>
          <w:lang w:val="en-US" w:eastAsia="zh-CN"/>
        </w:rPr>
      </w:pPr>
      <w:r>
        <w:rPr>
          <w:rFonts w:hint="eastAsia"/>
          <w:color w:val="auto"/>
          <w:sz w:val="24"/>
        </w:rPr>
        <w:t>5、交货期：</w:t>
      </w:r>
      <w:r>
        <w:rPr>
          <w:rFonts w:hint="eastAsia"/>
          <w:color w:val="auto"/>
          <w:sz w:val="24"/>
          <w:lang w:eastAsia="zh-CN"/>
        </w:rPr>
        <w:t>签订合同后</w:t>
      </w:r>
      <w:r>
        <w:rPr>
          <w:rFonts w:hint="eastAsia"/>
          <w:color w:val="auto"/>
          <w:sz w:val="24"/>
          <w:lang w:val="en-US" w:eastAsia="zh-CN"/>
        </w:rPr>
        <w:t>15天交货</w:t>
      </w:r>
    </w:p>
    <w:p>
      <w:pPr>
        <w:snapToGrid w:val="0"/>
        <w:spacing w:line="360" w:lineRule="auto"/>
        <w:ind w:firstLine="480" w:firstLineChars="200"/>
        <w:rPr>
          <w:color w:val="auto"/>
          <w:sz w:val="24"/>
        </w:rPr>
      </w:pPr>
      <w:r>
        <w:rPr>
          <w:rFonts w:hint="eastAsia"/>
          <w:color w:val="auto"/>
          <w:sz w:val="24"/>
        </w:rPr>
        <w:t>6、供货地点：</w:t>
      </w:r>
      <w:r>
        <w:rPr>
          <w:rFonts w:hint="eastAsia"/>
          <w:color w:val="auto"/>
          <w:sz w:val="24"/>
          <w:lang w:val="en-US" w:eastAsia="zh-CN"/>
        </w:rPr>
        <w:t>虎林市疾控中心检验科</w:t>
      </w:r>
    </w:p>
    <w:p>
      <w:pPr>
        <w:snapToGrid w:val="0"/>
        <w:spacing w:line="360" w:lineRule="auto"/>
        <w:ind w:right="840" w:firstLine="480" w:firstLineChars="200"/>
        <w:rPr>
          <w:rFonts w:ascii="宋体" w:hAnsi="宋体" w:cs="宋体"/>
          <w:color w:val="auto"/>
          <w:sz w:val="24"/>
        </w:rPr>
      </w:pPr>
      <w:r>
        <w:rPr>
          <w:rFonts w:hint="eastAsia" w:ascii="宋体" w:hAnsi="宋体" w:cs="宋体"/>
          <w:color w:val="auto"/>
          <w:sz w:val="24"/>
        </w:rPr>
        <w:t>7、质量标准：</w:t>
      </w:r>
      <w:bookmarkStart w:id="3" w:name="_Toc12483"/>
      <w:r>
        <w:rPr>
          <w:rFonts w:hint="eastAsia" w:ascii="宋体" w:hAnsi="宋体" w:cs="宋体"/>
          <w:color w:val="auto"/>
          <w:sz w:val="24"/>
        </w:rPr>
        <w:t>合格标准</w:t>
      </w:r>
    </w:p>
    <w:p>
      <w:pPr>
        <w:snapToGrid w:val="0"/>
        <w:spacing w:line="360" w:lineRule="auto"/>
        <w:ind w:right="840" w:firstLine="480" w:firstLineChars="200"/>
        <w:rPr>
          <w:rFonts w:ascii="宋体" w:hAnsi="宋体" w:cs="宋体"/>
          <w:color w:val="auto"/>
          <w:sz w:val="24"/>
        </w:rPr>
      </w:pPr>
      <w:r>
        <w:rPr>
          <w:rFonts w:hint="eastAsia" w:ascii="宋体" w:hAnsi="宋体" w:cs="宋体"/>
          <w:color w:val="auto"/>
          <w:sz w:val="24"/>
        </w:rPr>
        <w:t>8、采购内容：</w:t>
      </w:r>
    </w:p>
    <w:tbl>
      <w:tblPr>
        <w:tblStyle w:val="11"/>
        <w:tblW w:w="7120" w:type="dxa"/>
        <w:jc w:val="center"/>
        <w:tblInd w:w="0" w:type="dxa"/>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Layout w:type="fixed"/>
        <w:tblCellMar>
          <w:top w:w="28" w:type="dxa"/>
          <w:left w:w="0" w:type="dxa"/>
          <w:bottom w:w="28" w:type="dxa"/>
          <w:right w:w="0" w:type="dxa"/>
        </w:tblCellMar>
      </w:tblPr>
      <w:tblGrid>
        <w:gridCol w:w="694"/>
        <w:gridCol w:w="3257"/>
        <w:gridCol w:w="1489"/>
        <w:gridCol w:w="1680"/>
      </w:tblGrid>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Layout w:type="fixed"/>
          <w:tblCellMar>
            <w:top w:w="28" w:type="dxa"/>
            <w:left w:w="0" w:type="dxa"/>
            <w:bottom w:w="28" w:type="dxa"/>
            <w:right w:w="0" w:type="dxa"/>
          </w:tblCellMar>
        </w:tblPrEx>
        <w:trPr>
          <w:cantSplit/>
          <w:trHeight w:val="527" w:hRule="atLeast"/>
          <w:tblHeader/>
          <w:jc w:val="center"/>
        </w:trPr>
        <w:tc>
          <w:tcPr>
            <w:tcW w:w="694" w:type="dxa"/>
            <w:tcMar>
              <w:left w:w="28" w:type="dxa"/>
              <w:right w:w="28" w:type="dxa"/>
            </w:tcMar>
            <w:vAlign w:val="center"/>
          </w:tcPr>
          <w:p>
            <w:pPr>
              <w:spacing w:line="276" w:lineRule="auto"/>
              <w:jc w:val="center"/>
              <w:rPr>
                <w:rFonts w:ascii="宋体" w:hAnsi="宋体"/>
                <w:color w:val="auto"/>
                <w:kern w:val="0"/>
                <w:sz w:val="21"/>
                <w:szCs w:val="21"/>
              </w:rPr>
            </w:pPr>
            <w:r>
              <w:rPr>
                <w:rFonts w:ascii="宋体" w:hAnsi="宋体"/>
                <w:color w:val="auto"/>
                <w:kern w:val="0"/>
                <w:sz w:val="21"/>
                <w:szCs w:val="21"/>
              </w:rPr>
              <w:t>序号</w:t>
            </w:r>
          </w:p>
        </w:tc>
        <w:tc>
          <w:tcPr>
            <w:tcW w:w="3257" w:type="dxa"/>
            <w:tcMar>
              <w:left w:w="28" w:type="dxa"/>
              <w:right w:w="28" w:type="dxa"/>
            </w:tcMar>
            <w:vAlign w:val="center"/>
          </w:tcPr>
          <w:p>
            <w:pPr>
              <w:spacing w:line="276" w:lineRule="auto"/>
              <w:jc w:val="center"/>
              <w:rPr>
                <w:rFonts w:ascii="宋体" w:hAnsi="宋体"/>
                <w:color w:val="auto"/>
                <w:kern w:val="0"/>
                <w:sz w:val="21"/>
                <w:szCs w:val="21"/>
              </w:rPr>
            </w:pPr>
            <w:r>
              <w:rPr>
                <w:rFonts w:ascii="宋体" w:hAnsi="宋体"/>
                <w:color w:val="auto"/>
                <w:kern w:val="0"/>
                <w:sz w:val="21"/>
                <w:szCs w:val="21"/>
              </w:rPr>
              <w:t>名  称</w:t>
            </w:r>
          </w:p>
        </w:tc>
        <w:tc>
          <w:tcPr>
            <w:tcW w:w="1489" w:type="dxa"/>
            <w:tcMar>
              <w:left w:w="28" w:type="dxa"/>
              <w:right w:w="28" w:type="dxa"/>
            </w:tcMar>
            <w:vAlign w:val="center"/>
          </w:tcPr>
          <w:p>
            <w:pPr>
              <w:spacing w:line="276" w:lineRule="auto"/>
              <w:jc w:val="center"/>
              <w:rPr>
                <w:rFonts w:hint="eastAsia" w:ascii="宋体" w:hAnsi="宋体" w:eastAsia="宋体"/>
                <w:color w:val="auto"/>
                <w:kern w:val="0"/>
                <w:sz w:val="21"/>
                <w:szCs w:val="21"/>
                <w:lang w:eastAsia="zh-CN"/>
              </w:rPr>
            </w:pPr>
            <w:r>
              <w:rPr>
                <w:rFonts w:hint="eastAsia" w:ascii="宋体" w:hAnsi="宋体"/>
                <w:color w:val="auto"/>
                <w:kern w:val="0"/>
                <w:sz w:val="21"/>
                <w:szCs w:val="21"/>
                <w:lang w:eastAsia="zh-CN"/>
              </w:rPr>
              <w:t>数量</w:t>
            </w:r>
          </w:p>
        </w:tc>
        <w:tc>
          <w:tcPr>
            <w:tcW w:w="1680" w:type="dxa"/>
            <w:tcMar>
              <w:left w:w="28" w:type="dxa"/>
              <w:right w:w="28" w:type="dxa"/>
            </w:tcMar>
            <w:vAlign w:val="center"/>
          </w:tcPr>
          <w:p>
            <w:pPr>
              <w:spacing w:line="276" w:lineRule="auto"/>
              <w:jc w:val="center"/>
              <w:rPr>
                <w:rFonts w:hint="eastAsia" w:ascii="宋体" w:hAnsi="宋体" w:eastAsia="宋体"/>
                <w:color w:val="auto"/>
                <w:kern w:val="0"/>
                <w:sz w:val="21"/>
                <w:szCs w:val="21"/>
                <w:lang w:eastAsia="zh-CN"/>
              </w:rPr>
            </w:pPr>
            <w:r>
              <w:rPr>
                <w:rFonts w:hint="eastAsia" w:ascii="宋体" w:hAnsi="宋体"/>
                <w:color w:val="auto"/>
                <w:kern w:val="0"/>
                <w:sz w:val="21"/>
                <w:szCs w:val="21"/>
                <w:lang w:eastAsia="zh-CN"/>
              </w:rPr>
              <w:t>单位</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513" w:hRule="atLeast"/>
          <w:jc w:val="center"/>
        </w:trPr>
        <w:tc>
          <w:tcPr>
            <w:tcW w:w="694" w:type="dxa"/>
            <w:tcMar>
              <w:left w:w="28" w:type="dxa"/>
              <w:right w:w="28" w:type="dxa"/>
            </w:tcMar>
            <w:vAlign w:val="center"/>
          </w:tcPr>
          <w:p>
            <w:pPr>
              <w:spacing w:line="276" w:lineRule="auto"/>
              <w:jc w:val="center"/>
              <w:rPr>
                <w:rFonts w:ascii="宋体" w:hAnsi="宋体"/>
                <w:color w:val="auto"/>
                <w:kern w:val="0"/>
                <w:sz w:val="21"/>
                <w:szCs w:val="21"/>
              </w:rPr>
            </w:pPr>
            <w:r>
              <w:rPr>
                <w:rFonts w:ascii="宋体" w:hAnsi="宋体"/>
                <w:color w:val="auto"/>
                <w:kern w:val="0"/>
                <w:sz w:val="21"/>
                <w:szCs w:val="21"/>
              </w:rPr>
              <w:t>1</w:t>
            </w:r>
          </w:p>
        </w:tc>
        <w:tc>
          <w:tcPr>
            <w:tcW w:w="3257" w:type="dxa"/>
            <w:tcMar>
              <w:left w:w="28" w:type="dxa"/>
              <w:right w:w="28" w:type="dxa"/>
            </w:tcMar>
            <w:vAlign w:val="center"/>
          </w:tcPr>
          <w:p>
            <w:pPr>
              <w:spacing w:line="276" w:lineRule="auto"/>
              <w:jc w:val="center"/>
              <w:rPr>
                <w:rFonts w:ascii="宋体" w:hAnsi="宋体"/>
                <w:color w:val="auto"/>
                <w:kern w:val="0"/>
                <w:sz w:val="21"/>
                <w:szCs w:val="21"/>
              </w:rPr>
            </w:pPr>
            <w:r>
              <w:rPr>
                <w:rFonts w:hint="eastAsia" w:ascii="宋体" w:hAnsi="宋体"/>
                <w:color w:val="auto"/>
                <w:kern w:val="0"/>
                <w:sz w:val="21"/>
                <w:szCs w:val="21"/>
              </w:rPr>
              <w:t>电感耦合等离子体发射光谱仪</w:t>
            </w:r>
          </w:p>
        </w:tc>
        <w:tc>
          <w:tcPr>
            <w:tcW w:w="1489" w:type="dxa"/>
            <w:tcMar>
              <w:left w:w="28" w:type="dxa"/>
              <w:right w:w="28" w:type="dxa"/>
            </w:tcMar>
            <w:vAlign w:val="center"/>
          </w:tcPr>
          <w:p>
            <w:pPr>
              <w:spacing w:line="276" w:lineRule="auto"/>
              <w:jc w:val="center"/>
              <w:rPr>
                <w:rFonts w:ascii="宋体" w:hAnsi="宋体"/>
                <w:color w:val="auto"/>
                <w:kern w:val="0"/>
                <w:sz w:val="21"/>
                <w:szCs w:val="21"/>
              </w:rPr>
            </w:pPr>
            <w:r>
              <w:rPr>
                <w:rFonts w:hint="eastAsia" w:ascii="宋体" w:hAnsi="宋体"/>
                <w:color w:val="auto"/>
                <w:kern w:val="0"/>
                <w:sz w:val="21"/>
                <w:szCs w:val="21"/>
              </w:rPr>
              <w:t>1</w:t>
            </w:r>
          </w:p>
        </w:tc>
        <w:tc>
          <w:tcPr>
            <w:tcW w:w="1680" w:type="dxa"/>
            <w:tcMar>
              <w:left w:w="28" w:type="dxa"/>
              <w:right w:w="28" w:type="dxa"/>
            </w:tcMar>
            <w:vAlign w:val="center"/>
          </w:tcPr>
          <w:p>
            <w:pPr>
              <w:spacing w:line="276" w:lineRule="auto"/>
              <w:jc w:val="center"/>
              <w:rPr>
                <w:rFonts w:ascii="宋体" w:hAnsi="宋体"/>
                <w:color w:val="auto"/>
                <w:kern w:val="0"/>
                <w:sz w:val="21"/>
                <w:szCs w:val="21"/>
              </w:rPr>
            </w:pPr>
            <w:r>
              <w:rPr>
                <w:rFonts w:ascii="宋体" w:hAnsi="宋体"/>
                <w:color w:val="auto"/>
                <w:kern w:val="0"/>
                <w:sz w:val="21"/>
                <w:szCs w:val="21"/>
              </w:rPr>
              <w:t>台</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411" w:hRule="atLeast"/>
          <w:jc w:val="center"/>
        </w:trPr>
        <w:tc>
          <w:tcPr>
            <w:tcW w:w="694" w:type="dxa"/>
            <w:tcMar>
              <w:left w:w="28" w:type="dxa"/>
              <w:right w:w="28" w:type="dxa"/>
            </w:tcMar>
            <w:vAlign w:val="center"/>
          </w:tcPr>
          <w:p>
            <w:pPr>
              <w:spacing w:line="276" w:lineRule="auto"/>
              <w:jc w:val="center"/>
              <w:rPr>
                <w:rFonts w:ascii="宋体" w:hAnsi="宋体"/>
                <w:color w:val="auto"/>
                <w:kern w:val="0"/>
                <w:sz w:val="21"/>
                <w:szCs w:val="21"/>
              </w:rPr>
            </w:pPr>
            <w:r>
              <w:rPr>
                <w:rFonts w:hint="eastAsia" w:ascii="宋体" w:hAnsi="宋体"/>
                <w:color w:val="auto"/>
                <w:kern w:val="0"/>
                <w:sz w:val="21"/>
                <w:szCs w:val="21"/>
              </w:rPr>
              <w:t>2</w:t>
            </w:r>
          </w:p>
        </w:tc>
        <w:tc>
          <w:tcPr>
            <w:tcW w:w="3257" w:type="dxa"/>
            <w:tcMar>
              <w:left w:w="28" w:type="dxa"/>
              <w:right w:w="28" w:type="dxa"/>
            </w:tcMar>
            <w:vAlign w:val="center"/>
          </w:tcPr>
          <w:p>
            <w:pPr>
              <w:spacing w:line="276" w:lineRule="auto"/>
              <w:jc w:val="center"/>
              <w:rPr>
                <w:rFonts w:ascii="宋体" w:hAnsi="宋体"/>
                <w:color w:val="auto"/>
                <w:kern w:val="0"/>
                <w:sz w:val="21"/>
                <w:szCs w:val="21"/>
              </w:rPr>
            </w:pPr>
            <w:r>
              <w:rPr>
                <w:rFonts w:hint="eastAsia" w:ascii="宋体" w:hAnsi="宋体"/>
                <w:color w:val="auto"/>
                <w:kern w:val="0"/>
                <w:sz w:val="21"/>
                <w:szCs w:val="21"/>
                <w:lang w:val="en-US" w:eastAsia="zh-CN"/>
              </w:rPr>
              <w:t>全自动流动注射分析仪</w:t>
            </w:r>
          </w:p>
        </w:tc>
        <w:tc>
          <w:tcPr>
            <w:tcW w:w="1489" w:type="dxa"/>
            <w:tcMar>
              <w:left w:w="28" w:type="dxa"/>
              <w:right w:w="28" w:type="dxa"/>
            </w:tcMar>
            <w:vAlign w:val="center"/>
          </w:tcPr>
          <w:p>
            <w:pPr>
              <w:spacing w:line="276" w:lineRule="auto"/>
              <w:jc w:val="center"/>
              <w:rPr>
                <w:rFonts w:ascii="宋体" w:hAnsi="宋体"/>
                <w:color w:val="auto"/>
                <w:kern w:val="0"/>
                <w:sz w:val="21"/>
                <w:szCs w:val="21"/>
              </w:rPr>
            </w:pPr>
            <w:r>
              <w:rPr>
                <w:rFonts w:hint="eastAsia" w:ascii="宋体" w:hAnsi="宋体"/>
                <w:color w:val="auto"/>
                <w:kern w:val="0"/>
                <w:sz w:val="21"/>
                <w:szCs w:val="21"/>
              </w:rPr>
              <w:t>1</w:t>
            </w:r>
          </w:p>
        </w:tc>
        <w:tc>
          <w:tcPr>
            <w:tcW w:w="1680" w:type="dxa"/>
            <w:tcMar>
              <w:left w:w="28" w:type="dxa"/>
              <w:right w:w="28" w:type="dxa"/>
            </w:tcMar>
            <w:vAlign w:val="center"/>
          </w:tcPr>
          <w:p>
            <w:pPr>
              <w:spacing w:line="276" w:lineRule="auto"/>
              <w:jc w:val="center"/>
              <w:rPr>
                <w:rFonts w:ascii="宋体" w:hAnsi="宋体"/>
                <w:color w:val="auto"/>
                <w:kern w:val="0"/>
                <w:sz w:val="21"/>
                <w:szCs w:val="21"/>
              </w:rPr>
            </w:pPr>
            <w:r>
              <w:rPr>
                <w:rFonts w:ascii="宋体" w:hAnsi="宋体"/>
                <w:color w:val="auto"/>
                <w:kern w:val="0"/>
                <w:sz w:val="21"/>
                <w:szCs w:val="21"/>
              </w:rPr>
              <w:t>台</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445" w:hRule="atLeast"/>
          <w:jc w:val="center"/>
        </w:trPr>
        <w:tc>
          <w:tcPr>
            <w:tcW w:w="694" w:type="dxa"/>
            <w:tcMar>
              <w:left w:w="28" w:type="dxa"/>
              <w:right w:w="28" w:type="dxa"/>
            </w:tcMar>
            <w:vAlign w:val="center"/>
          </w:tcPr>
          <w:p>
            <w:pPr>
              <w:spacing w:line="276" w:lineRule="auto"/>
              <w:jc w:val="center"/>
              <w:rPr>
                <w:rFonts w:ascii="宋体" w:hAnsi="宋体"/>
                <w:color w:val="auto"/>
                <w:kern w:val="0"/>
                <w:sz w:val="21"/>
                <w:szCs w:val="21"/>
              </w:rPr>
            </w:pPr>
            <w:r>
              <w:rPr>
                <w:rFonts w:hint="eastAsia" w:ascii="宋体" w:hAnsi="宋体"/>
                <w:color w:val="auto"/>
                <w:kern w:val="0"/>
                <w:sz w:val="21"/>
                <w:szCs w:val="21"/>
              </w:rPr>
              <w:t>3</w:t>
            </w:r>
          </w:p>
        </w:tc>
        <w:tc>
          <w:tcPr>
            <w:tcW w:w="3257" w:type="dxa"/>
            <w:tcMar>
              <w:left w:w="28" w:type="dxa"/>
              <w:right w:w="28" w:type="dxa"/>
            </w:tcMar>
            <w:vAlign w:val="center"/>
          </w:tcPr>
          <w:p>
            <w:pPr>
              <w:spacing w:line="276" w:lineRule="auto"/>
              <w:jc w:val="center"/>
              <w:rPr>
                <w:rFonts w:ascii="宋体" w:hAnsi="宋体"/>
                <w:color w:val="auto"/>
                <w:kern w:val="0"/>
                <w:sz w:val="21"/>
                <w:szCs w:val="21"/>
              </w:rPr>
            </w:pPr>
            <w:r>
              <w:rPr>
                <w:rFonts w:hint="eastAsia" w:ascii="宋体" w:hAnsi="宋体"/>
                <w:color w:val="auto"/>
                <w:kern w:val="0"/>
                <w:sz w:val="21"/>
                <w:szCs w:val="21"/>
                <w:lang w:val="en-US" w:eastAsia="zh-CN"/>
              </w:rPr>
              <w:t>稀释配标仪</w:t>
            </w:r>
          </w:p>
        </w:tc>
        <w:tc>
          <w:tcPr>
            <w:tcW w:w="1489" w:type="dxa"/>
            <w:tcMar>
              <w:left w:w="28" w:type="dxa"/>
              <w:right w:w="28" w:type="dxa"/>
            </w:tcMar>
            <w:vAlign w:val="center"/>
          </w:tcPr>
          <w:p>
            <w:pPr>
              <w:spacing w:line="276" w:lineRule="auto"/>
              <w:jc w:val="center"/>
              <w:rPr>
                <w:rFonts w:hint="eastAsia" w:ascii="宋体" w:hAnsi="宋体" w:eastAsia="宋体"/>
                <w:color w:val="auto"/>
                <w:kern w:val="0"/>
                <w:sz w:val="21"/>
                <w:szCs w:val="21"/>
                <w:lang w:eastAsia="zh-CN"/>
              </w:rPr>
            </w:pPr>
            <w:r>
              <w:rPr>
                <w:rFonts w:hint="eastAsia" w:ascii="宋体" w:hAnsi="宋体"/>
                <w:color w:val="auto"/>
                <w:kern w:val="0"/>
                <w:sz w:val="21"/>
                <w:szCs w:val="21"/>
                <w:lang w:val="en-US" w:eastAsia="zh-CN"/>
              </w:rPr>
              <w:t>1</w:t>
            </w:r>
          </w:p>
        </w:tc>
        <w:tc>
          <w:tcPr>
            <w:tcW w:w="1680" w:type="dxa"/>
            <w:tcMar>
              <w:left w:w="28" w:type="dxa"/>
              <w:right w:w="28" w:type="dxa"/>
            </w:tcMar>
            <w:vAlign w:val="center"/>
          </w:tcPr>
          <w:p>
            <w:pPr>
              <w:spacing w:line="276" w:lineRule="auto"/>
              <w:jc w:val="center"/>
              <w:rPr>
                <w:rFonts w:ascii="宋体" w:hAnsi="宋体"/>
                <w:color w:val="auto"/>
                <w:kern w:val="0"/>
                <w:sz w:val="21"/>
                <w:szCs w:val="21"/>
              </w:rPr>
            </w:pPr>
            <w:r>
              <w:rPr>
                <w:rFonts w:hint="eastAsia" w:ascii="宋体" w:hAnsi="宋体"/>
                <w:color w:val="auto"/>
                <w:kern w:val="0"/>
                <w:sz w:val="21"/>
                <w:szCs w:val="21"/>
              </w:rPr>
              <w:t>台</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411" w:hRule="atLeast"/>
          <w:jc w:val="center"/>
        </w:trPr>
        <w:tc>
          <w:tcPr>
            <w:tcW w:w="694" w:type="dxa"/>
            <w:tcMar>
              <w:left w:w="28" w:type="dxa"/>
              <w:right w:w="28" w:type="dxa"/>
            </w:tcMar>
            <w:vAlign w:val="center"/>
          </w:tcPr>
          <w:p>
            <w:pPr>
              <w:spacing w:line="276" w:lineRule="auto"/>
              <w:jc w:val="center"/>
              <w:rPr>
                <w:rFonts w:ascii="宋体" w:hAnsi="宋体"/>
                <w:color w:val="auto"/>
                <w:kern w:val="0"/>
                <w:sz w:val="21"/>
                <w:szCs w:val="21"/>
              </w:rPr>
            </w:pPr>
            <w:r>
              <w:rPr>
                <w:rFonts w:hint="eastAsia" w:ascii="宋体" w:hAnsi="宋体"/>
                <w:color w:val="auto"/>
                <w:kern w:val="0"/>
                <w:sz w:val="21"/>
                <w:szCs w:val="21"/>
              </w:rPr>
              <w:t>4</w:t>
            </w:r>
          </w:p>
        </w:tc>
        <w:tc>
          <w:tcPr>
            <w:tcW w:w="3257" w:type="dxa"/>
            <w:tcMar>
              <w:left w:w="28" w:type="dxa"/>
              <w:right w:w="28" w:type="dxa"/>
            </w:tcMar>
            <w:vAlign w:val="center"/>
          </w:tcPr>
          <w:p>
            <w:pPr>
              <w:spacing w:line="276" w:lineRule="auto"/>
              <w:jc w:val="center"/>
              <w:rPr>
                <w:rFonts w:ascii="宋体" w:hAnsi="宋体"/>
                <w:color w:val="auto"/>
                <w:kern w:val="0"/>
                <w:sz w:val="21"/>
                <w:szCs w:val="21"/>
              </w:rPr>
            </w:pPr>
            <w:r>
              <w:rPr>
                <w:rFonts w:hint="eastAsia" w:ascii="宋体" w:hAnsi="宋体"/>
                <w:color w:val="auto"/>
                <w:kern w:val="0"/>
                <w:sz w:val="21"/>
                <w:szCs w:val="21"/>
                <w:lang w:val="en-US" w:eastAsia="zh-CN"/>
              </w:rPr>
              <w:t>可见分光光度计</w:t>
            </w:r>
          </w:p>
        </w:tc>
        <w:tc>
          <w:tcPr>
            <w:tcW w:w="1489" w:type="dxa"/>
            <w:tcMar>
              <w:left w:w="28" w:type="dxa"/>
              <w:right w:w="28" w:type="dxa"/>
            </w:tcMar>
            <w:vAlign w:val="center"/>
          </w:tcPr>
          <w:p>
            <w:pPr>
              <w:spacing w:line="276" w:lineRule="auto"/>
              <w:jc w:val="center"/>
              <w:rPr>
                <w:rFonts w:ascii="宋体" w:hAnsi="宋体"/>
                <w:color w:val="auto"/>
                <w:kern w:val="0"/>
                <w:sz w:val="21"/>
                <w:szCs w:val="21"/>
              </w:rPr>
            </w:pPr>
            <w:r>
              <w:rPr>
                <w:rFonts w:hint="eastAsia" w:ascii="宋体" w:hAnsi="宋体"/>
                <w:color w:val="auto"/>
                <w:kern w:val="0"/>
                <w:sz w:val="21"/>
                <w:szCs w:val="21"/>
              </w:rPr>
              <w:t>1</w:t>
            </w:r>
          </w:p>
        </w:tc>
        <w:tc>
          <w:tcPr>
            <w:tcW w:w="1680" w:type="dxa"/>
            <w:tcMar>
              <w:left w:w="28" w:type="dxa"/>
              <w:right w:w="28" w:type="dxa"/>
            </w:tcMar>
            <w:vAlign w:val="center"/>
          </w:tcPr>
          <w:p>
            <w:pPr>
              <w:spacing w:line="276" w:lineRule="auto"/>
              <w:jc w:val="center"/>
              <w:rPr>
                <w:rFonts w:ascii="宋体" w:hAnsi="宋体"/>
                <w:color w:val="auto"/>
                <w:kern w:val="0"/>
                <w:sz w:val="21"/>
                <w:szCs w:val="21"/>
              </w:rPr>
            </w:pPr>
            <w:r>
              <w:rPr>
                <w:rFonts w:hint="eastAsia" w:ascii="宋体" w:hAnsi="宋体"/>
                <w:color w:val="auto"/>
                <w:kern w:val="0"/>
                <w:sz w:val="21"/>
                <w:szCs w:val="21"/>
              </w:rPr>
              <w:t>台</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444" w:hRule="atLeast"/>
          <w:jc w:val="center"/>
        </w:trPr>
        <w:tc>
          <w:tcPr>
            <w:tcW w:w="694" w:type="dxa"/>
            <w:tcMar>
              <w:left w:w="28" w:type="dxa"/>
              <w:right w:w="28" w:type="dxa"/>
            </w:tcMar>
            <w:vAlign w:val="center"/>
          </w:tcPr>
          <w:p>
            <w:pPr>
              <w:spacing w:line="276" w:lineRule="auto"/>
              <w:jc w:val="center"/>
              <w:rPr>
                <w:rFonts w:ascii="宋体" w:hAnsi="宋体"/>
                <w:color w:val="auto"/>
                <w:kern w:val="0"/>
                <w:sz w:val="21"/>
                <w:szCs w:val="21"/>
              </w:rPr>
            </w:pPr>
            <w:r>
              <w:rPr>
                <w:rFonts w:hint="eastAsia" w:ascii="宋体" w:hAnsi="宋体"/>
                <w:color w:val="auto"/>
                <w:kern w:val="0"/>
                <w:sz w:val="21"/>
                <w:szCs w:val="21"/>
              </w:rPr>
              <w:t>5</w:t>
            </w:r>
          </w:p>
        </w:tc>
        <w:tc>
          <w:tcPr>
            <w:tcW w:w="3257" w:type="dxa"/>
            <w:tcMar>
              <w:left w:w="28" w:type="dxa"/>
              <w:right w:w="28" w:type="dxa"/>
            </w:tcMar>
            <w:vAlign w:val="center"/>
          </w:tcPr>
          <w:p>
            <w:pPr>
              <w:spacing w:line="276" w:lineRule="auto"/>
              <w:jc w:val="center"/>
              <w:rPr>
                <w:rFonts w:ascii="宋体" w:hAnsi="宋体"/>
                <w:color w:val="auto"/>
                <w:kern w:val="0"/>
                <w:sz w:val="21"/>
                <w:szCs w:val="21"/>
              </w:rPr>
            </w:pPr>
            <w:r>
              <w:rPr>
                <w:rFonts w:hint="eastAsia" w:ascii="宋体" w:hAnsi="宋体"/>
                <w:color w:val="auto"/>
                <w:kern w:val="0"/>
                <w:sz w:val="21"/>
                <w:szCs w:val="21"/>
                <w:lang w:val="en-US" w:eastAsia="zh-CN"/>
              </w:rPr>
              <w:t>实验室用电热板</w:t>
            </w:r>
          </w:p>
        </w:tc>
        <w:tc>
          <w:tcPr>
            <w:tcW w:w="1489" w:type="dxa"/>
            <w:tcMar>
              <w:left w:w="28" w:type="dxa"/>
              <w:right w:w="28" w:type="dxa"/>
            </w:tcMar>
            <w:vAlign w:val="center"/>
          </w:tcPr>
          <w:p>
            <w:pPr>
              <w:spacing w:line="276" w:lineRule="auto"/>
              <w:jc w:val="center"/>
              <w:rPr>
                <w:rFonts w:hint="eastAsia" w:ascii="宋体" w:hAnsi="宋体" w:eastAsia="宋体"/>
                <w:color w:val="auto"/>
                <w:kern w:val="0"/>
                <w:sz w:val="21"/>
                <w:szCs w:val="21"/>
                <w:lang w:eastAsia="zh-CN"/>
              </w:rPr>
            </w:pPr>
            <w:r>
              <w:rPr>
                <w:rFonts w:hint="eastAsia" w:ascii="宋体" w:hAnsi="宋体"/>
                <w:color w:val="auto"/>
                <w:kern w:val="0"/>
                <w:sz w:val="21"/>
                <w:szCs w:val="21"/>
                <w:lang w:val="en-US" w:eastAsia="zh-CN"/>
              </w:rPr>
              <w:t>2</w:t>
            </w:r>
          </w:p>
        </w:tc>
        <w:tc>
          <w:tcPr>
            <w:tcW w:w="1680" w:type="dxa"/>
            <w:tcMar>
              <w:left w:w="28" w:type="dxa"/>
              <w:right w:w="28" w:type="dxa"/>
            </w:tcMar>
            <w:vAlign w:val="center"/>
          </w:tcPr>
          <w:p>
            <w:pPr>
              <w:spacing w:line="276" w:lineRule="auto"/>
              <w:jc w:val="center"/>
              <w:rPr>
                <w:rFonts w:ascii="宋体" w:hAnsi="宋体"/>
                <w:color w:val="auto"/>
                <w:kern w:val="0"/>
                <w:sz w:val="21"/>
                <w:szCs w:val="21"/>
              </w:rPr>
            </w:pPr>
            <w:r>
              <w:rPr>
                <w:rFonts w:hint="eastAsia" w:ascii="宋体" w:hAnsi="宋体"/>
                <w:color w:val="auto"/>
                <w:kern w:val="0"/>
                <w:sz w:val="21"/>
                <w:szCs w:val="21"/>
              </w:rPr>
              <w:t>台</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411" w:hRule="atLeast"/>
          <w:jc w:val="center"/>
        </w:trPr>
        <w:tc>
          <w:tcPr>
            <w:tcW w:w="694" w:type="dxa"/>
            <w:tcMar>
              <w:left w:w="28" w:type="dxa"/>
              <w:right w:w="28" w:type="dxa"/>
            </w:tcMar>
            <w:vAlign w:val="center"/>
          </w:tcPr>
          <w:p>
            <w:pPr>
              <w:spacing w:line="276" w:lineRule="auto"/>
              <w:jc w:val="center"/>
              <w:rPr>
                <w:rFonts w:ascii="宋体" w:hAnsi="宋体"/>
                <w:color w:val="auto"/>
                <w:kern w:val="0"/>
                <w:sz w:val="21"/>
                <w:szCs w:val="21"/>
              </w:rPr>
            </w:pPr>
            <w:r>
              <w:rPr>
                <w:rFonts w:hint="eastAsia" w:ascii="宋体" w:hAnsi="宋体"/>
                <w:color w:val="auto"/>
                <w:kern w:val="0"/>
                <w:sz w:val="21"/>
                <w:szCs w:val="21"/>
              </w:rPr>
              <w:t>6</w:t>
            </w:r>
          </w:p>
        </w:tc>
        <w:tc>
          <w:tcPr>
            <w:tcW w:w="3257" w:type="dxa"/>
            <w:tcMar>
              <w:left w:w="28" w:type="dxa"/>
              <w:right w:w="28" w:type="dxa"/>
            </w:tcMar>
            <w:vAlign w:val="center"/>
          </w:tcPr>
          <w:p>
            <w:pPr>
              <w:spacing w:line="276" w:lineRule="auto"/>
              <w:jc w:val="center"/>
              <w:rPr>
                <w:rFonts w:ascii="宋体" w:hAnsi="宋体"/>
                <w:color w:val="auto"/>
                <w:kern w:val="0"/>
                <w:sz w:val="21"/>
                <w:szCs w:val="21"/>
              </w:rPr>
            </w:pPr>
            <w:r>
              <w:rPr>
                <w:rFonts w:hint="default" w:ascii="宋体" w:hAnsi="宋体"/>
                <w:color w:val="auto"/>
                <w:kern w:val="0"/>
                <w:sz w:val="21"/>
                <w:szCs w:val="21"/>
                <w:lang w:val="en-US" w:eastAsia="zh-CN"/>
              </w:rPr>
              <w:t>粉尘采样器</w:t>
            </w:r>
          </w:p>
        </w:tc>
        <w:tc>
          <w:tcPr>
            <w:tcW w:w="1489" w:type="dxa"/>
            <w:tcMar>
              <w:left w:w="28" w:type="dxa"/>
              <w:right w:w="28" w:type="dxa"/>
            </w:tcMar>
            <w:vAlign w:val="center"/>
          </w:tcPr>
          <w:p>
            <w:pPr>
              <w:spacing w:line="276" w:lineRule="auto"/>
              <w:jc w:val="center"/>
              <w:rPr>
                <w:rFonts w:hint="eastAsia" w:ascii="宋体" w:hAnsi="宋体" w:eastAsia="宋体"/>
                <w:color w:val="auto"/>
                <w:kern w:val="0"/>
                <w:sz w:val="21"/>
                <w:szCs w:val="21"/>
                <w:lang w:eastAsia="zh-CN"/>
              </w:rPr>
            </w:pPr>
            <w:r>
              <w:rPr>
                <w:rFonts w:hint="eastAsia" w:ascii="宋体" w:hAnsi="宋体"/>
                <w:color w:val="auto"/>
                <w:kern w:val="0"/>
                <w:sz w:val="21"/>
                <w:szCs w:val="21"/>
                <w:lang w:val="en-US" w:eastAsia="zh-CN"/>
              </w:rPr>
              <w:t>3</w:t>
            </w:r>
          </w:p>
        </w:tc>
        <w:tc>
          <w:tcPr>
            <w:tcW w:w="1680" w:type="dxa"/>
            <w:tcMar>
              <w:left w:w="28" w:type="dxa"/>
              <w:right w:w="28" w:type="dxa"/>
            </w:tcMar>
            <w:vAlign w:val="center"/>
          </w:tcPr>
          <w:p>
            <w:pPr>
              <w:spacing w:line="276" w:lineRule="auto"/>
              <w:jc w:val="center"/>
              <w:rPr>
                <w:rFonts w:ascii="宋体" w:hAnsi="宋体"/>
                <w:color w:val="auto"/>
                <w:kern w:val="0"/>
                <w:sz w:val="21"/>
                <w:szCs w:val="21"/>
              </w:rPr>
            </w:pPr>
            <w:r>
              <w:rPr>
                <w:rFonts w:hint="eastAsia" w:ascii="宋体" w:hAnsi="宋体"/>
                <w:color w:val="auto"/>
                <w:kern w:val="0"/>
                <w:sz w:val="21"/>
                <w:szCs w:val="21"/>
              </w:rPr>
              <w:t>台</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411" w:hRule="atLeast"/>
          <w:jc w:val="center"/>
        </w:trPr>
        <w:tc>
          <w:tcPr>
            <w:tcW w:w="694" w:type="dxa"/>
            <w:tcMar>
              <w:left w:w="28" w:type="dxa"/>
              <w:right w:w="28" w:type="dxa"/>
            </w:tcMar>
            <w:vAlign w:val="center"/>
          </w:tcPr>
          <w:p>
            <w:pPr>
              <w:spacing w:line="276" w:lineRule="auto"/>
              <w:jc w:val="center"/>
              <w:rPr>
                <w:rFonts w:ascii="宋体" w:hAnsi="宋体"/>
                <w:color w:val="auto"/>
                <w:kern w:val="0"/>
                <w:sz w:val="21"/>
                <w:szCs w:val="21"/>
              </w:rPr>
            </w:pPr>
            <w:r>
              <w:rPr>
                <w:rFonts w:hint="eastAsia" w:ascii="宋体" w:hAnsi="宋体"/>
                <w:color w:val="auto"/>
                <w:kern w:val="0"/>
                <w:sz w:val="21"/>
                <w:szCs w:val="21"/>
              </w:rPr>
              <w:t>7</w:t>
            </w:r>
          </w:p>
        </w:tc>
        <w:tc>
          <w:tcPr>
            <w:tcW w:w="3257" w:type="dxa"/>
            <w:tcMar>
              <w:left w:w="28" w:type="dxa"/>
              <w:right w:w="28" w:type="dxa"/>
            </w:tcMar>
            <w:vAlign w:val="center"/>
          </w:tcPr>
          <w:p>
            <w:pPr>
              <w:spacing w:line="276" w:lineRule="auto"/>
              <w:jc w:val="center"/>
              <w:rPr>
                <w:rFonts w:ascii="宋体" w:hAnsi="宋体"/>
                <w:color w:val="auto"/>
                <w:kern w:val="0"/>
                <w:sz w:val="21"/>
                <w:szCs w:val="21"/>
              </w:rPr>
            </w:pPr>
            <w:r>
              <w:rPr>
                <w:rFonts w:hint="eastAsia" w:ascii="宋体" w:hAnsi="宋体"/>
                <w:color w:val="auto"/>
                <w:kern w:val="0"/>
                <w:sz w:val="21"/>
                <w:szCs w:val="21"/>
                <w:lang w:val="en-US" w:eastAsia="zh-CN"/>
              </w:rPr>
              <w:t>防爆型双气路大气采样器</w:t>
            </w:r>
          </w:p>
        </w:tc>
        <w:tc>
          <w:tcPr>
            <w:tcW w:w="1489" w:type="dxa"/>
            <w:tcMar>
              <w:left w:w="28" w:type="dxa"/>
              <w:right w:w="28" w:type="dxa"/>
            </w:tcMar>
            <w:vAlign w:val="center"/>
          </w:tcPr>
          <w:p>
            <w:pPr>
              <w:spacing w:line="276" w:lineRule="auto"/>
              <w:jc w:val="center"/>
              <w:rPr>
                <w:rFonts w:hint="eastAsia" w:ascii="宋体" w:hAnsi="宋体" w:eastAsia="宋体"/>
                <w:color w:val="auto"/>
                <w:kern w:val="0"/>
                <w:sz w:val="21"/>
                <w:szCs w:val="21"/>
                <w:lang w:eastAsia="zh-CN"/>
              </w:rPr>
            </w:pPr>
            <w:r>
              <w:rPr>
                <w:rFonts w:hint="eastAsia" w:ascii="宋体" w:hAnsi="宋体"/>
                <w:color w:val="auto"/>
                <w:kern w:val="0"/>
                <w:sz w:val="21"/>
                <w:szCs w:val="21"/>
                <w:lang w:val="en-US" w:eastAsia="zh-CN"/>
              </w:rPr>
              <w:t>1</w:t>
            </w:r>
          </w:p>
        </w:tc>
        <w:tc>
          <w:tcPr>
            <w:tcW w:w="1680" w:type="dxa"/>
            <w:tcMar>
              <w:left w:w="28" w:type="dxa"/>
              <w:right w:w="28" w:type="dxa"/>
            </w:tcMar>
            <w:vAlign w:val="center"/>
          </w:tcPr>
          <w:p>
            <w:pPr>
              <w:spacing w:line="276" w:lineRule="auto"/>
              <w:jc w:val="center"/>
              <w:rPr>
                <w:rFonts w:ascii="宋体" w:hAnsi="宋体"/>
                <w:color w:val="auto"/>
                <w:kern w:val="0"/>
                <w:sz w:val="21"/>
                <w:szCs w:val="21"/>
              </w:rPr>
            </w:pPr>
            <w:r>
              <w:rPr>
                <w:rFonts w:hint="eastAsia" w:ascii="宋体" w:hAnsi="宋体"/>
                <w:color w:val="auto"/>
                <w:kern w:val="0"/>
                <w:sz w:val="21"/>
                <w:szCs w:val="21"/>
              </w:rPr>
              <w:t>台</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cantSplit/>
          <w:trHeight w:val="432" w:hRule="atLeast"/>
          <w:jc w:val="center"/>
        </w:trPr>
        <w:tc>
          <w:tcPr>
            <w:tcW w:w="694" w:type="dxa"/>
            <w:tcMar>
              <w:left w:w="28" w:type="dxa"/>
              <w:right w:w="28" w:type="dxa"/>
            </w:tcMar>
            <w:vAlign w:val="center"/>
          </w:tcPr>
          <w:p>
            <w:pPr>
              <w:spacing w:line="276" w:lineRule="auto"/>
              <w:jc w:val="center"/>
              <w:rPr>
                <w:rFonts w:ascii="宋体" w:hAnsi="宋体"/>
                <w:color w:val="auto"/>
                <w:kern w:val="0"/>
                <w:sz w:val="21"/>
                <w:szCs w:val="21"/>
              </w:rPr>
            </w:pPr>
            <w:r>
              <w:rPr>
                <w:rFonts w:hint="eastAsia" w:ascii="宋体" w:hAnsi="宋体"/>
                <w:color w:val="auto"/>
                <w:kern w:val="0"/>
                <w:sz w:val="21"/>
                <w:szCs w:val="21"/>
              </w:rPr>
              <w:t>8</w:t>
            </w:r>
          </w:p>
        </w:tc>
        <w:tc>
          <w:tcPr>
            <w:tcW w:w="3257" w:type="dxa"/>
            <w:tcMar>
              <w:left w:w="28" w:type="dxa"/>
              <w:right w:w="28" w:type="dxa"/>
            </w:tcMar>
            <w:vAlign w:val="center"/>
          </w:tcPr>
          <w:p>
            <w:pPr>
              <w:spacing w:line="276" w:lineRule="auto"/>
              <w:jc w:val="center"/>
              <w:rPr>
                <w:rFonts w:hint="eastAsia" w:ascii="宋体" w:hAnsi="宋体" w:eastAsia="宋体"/>
                <w:color w:val="auto"/>
                <w:kern w:val="0"/>
                <w:sz w:val="21"/>
                <w:szCs w:val="21"/>
                <w:lang w:eastAsia="zh-CN"/>
              </w:rPr>
            </w:pPr>
            <w:r>
              <w:rPr>
                <w:rFonts w:hint="eastAsia" w:ascii="宋体" w:hAnsi="宋体"/>
                <w:color w:val="auto"/>
                <w:kern w:val="0"/>
                <w:sz w:val="21"/>
                <w:szCs w:val="21"/>
                <w:lang w:eastAsia="zh-CN"/>
              </w:rPr>
              <w:t>台式电脑</w:t>
            </w:r>
          </w:p>
        </w:tc>
        <w:tc>
          <w:tcPr>
            <w:tcW w:w="1489" w:type="dxa"/>
            <w:tcMar>
              <w:left w:w="28" w:type="dxa"/>
              <w:right w:w="28" w:type="dxa"/>
            </w:tcMar>
            <w:vAlign w:val="center"/>
          </w:tcPr>
          <w:p>
            <w:pPr>
              <w:spacing w:line="276" w:lineRule="auto"/>
              <w:jc w:val="center"/>
              <w:rPr>
                <w:rFonts w:hint="eastAsia" w:ascii="宋体" w:hAnsi="宋体" w:eastAsia="宋体"/>
                <w:color w:val="auto"/>
                <w:kern w:val="0"/>
                <w:sz w:val="21"/>
                <w:szCs w:val="21"/>
                <w:lang w:eastAsia="zh-CN"/>
              </w:rPr>
            </w:pPr>
            <w:r>
              <w:rPr>
                <w:rFonts w:hint="eastAsia" w:ascii="宋体" w:hAnsi="宋体"/>
                <w:color w:val="auto"/>
                <w:kern w:val="0"/>
                <w:sz w:val="21"/>
                <w:szCs w:val="21"/>
                <w:lang w:val="en-US" w:eastAsia="zh-CN"/>
              </w:rPr>
              <w:t>3</w:t>
            </w:r>
          </w:p>
        </w:tc>
        <w:tc>
          <w:tcPr>
            <w:tcW w:w="1680" w:type="dxa"/>
            <w:tcMar>
              <w:left w:w="28" w:type="dxa"/>
              <w:right w:w="28" w:type="dxa"/>
            </w:tcMar>
            <w:vAlign w:val="center"/>
          </w:tcPr>
          <w:p>
            <w:pPr>
              <w:spacing w:line="276" w:lineRule="auto"/>
              <w:jc w:val="center"/>
              <w:rPr>
                <w:rFonts w:ascii="宋体" w:hAnsi="宋体"/>
                <w:color w:val="auto"/>
                <w:kern w:val="0"/>
                <w:sz w:val="21"/>
                <w:szCs w:val="21"/>
              </w:rPr>
            </w:pPr>
            <w:r>
              <w:rPr>
                <w:rFonts w:hint="eastAsia" w:ascii="宋体" w:hAnsi="宋体"/>
                <w:color w:val="auto"/>
                <w:kern w:val="0"/>
                <w:sz w:val="21"/>
                <w:szCs w:val="21"/>
              </w:rPr>
              <w:t>台</w:t>
            </w:r>
          </w:p>
        </w:tc>
      </w:tr>
    </w:tbl>
    <w:p>
      <w:pPr>
        <w:pStyle w:val="4"/>
        <w:ind w:firstLine="630" w:firstLineChars="300"/>
        <w:jc w:val="both"/>
        <w:rPr>
          <w:b w:val="0"/>
          <w:bCs w:val="0"/>
          <w:color w:val="auto"/>
        </w:rPr>
      </w:pPr>
      <w:r>
        <w:rPr>
          <w:rFonts w:hint="eastAsia" w:ascii="宋体" w:hAnsi="宋体" w:cs="宋体"/>
          <w:b w:val="0"/>
          <w:bCs w:val="0"/>
          <w:color w:val="auto"/>
          <w:sz w:val="21"/>
          <w:szCs w:val="21"/>
        </w:rPr>
        <w:t>具体技术</w:t>
      </w:r>
      <w:r>
        <w:rPr>
          <w:rFonts w:hint="eastAsia" w:ascii="宋体" w:hAnsi="宋体" w:cs="宋体"/>
          <w:b w:val="0"/>
          <w:bCs w:val="0"/>
          <w:color w:val="auto"/>
          <w:sz w:val="21"/>
          <w:szCs w:val="21"/>
          <w:lang w:eastAsia="zh-CN"/>
        </w:rPr>
        <w:t>指标</w:t>
      </w:r>
      <w:r>
        <w:rPr>
          <w:rFonts w:hint="eastAsia" w:ascii="宋体" w:hAnsi="宋体" w:cs="宋体"/>
          <w:b w:val="0"/>
          <w:bCs w:val="0"/>
          <w:color w:val="auto"/>
          <w:sz w:val="21"/>
          <w:szCs w:val="21"/>
        </w:rPr>
        <w:t>参数及基本功能要求详见招标文件</w:t>
      </w:r>
    </w:p>
    <w:p>
      <w:pPr>
        <w:pStyle w:val="4"/>
        <w:spacing w:line="360" w:lineRule="auto"/>
        <w:jc w:val="both"/>
      </w:pPr>
      <w:r>
        <w:rPr>
          <w:rFonts w:hint="eastAsia" w:ascii="宋体" w:hAnsi="宋体" w:cs="宋体"/>
        </w:rPr>
        <w:t xml:space="preserve">    9、本次招标不接受联合体投标；</w:t>
      </w:r>
    </w:p>
    <w:p>
      <w:pPr>
        <w:pStyle w:val="2"/>
      </w:pPr>
      <w:r>
        <w:rPr>
          <w:rFonts w:hint="eastAsia"/>
          <w:sz w:val="24"/>
        </w:rPr>
        <w:t xml:space="preserve">    10、采购项目需要落实的政府采购政策：按照国家有关政府采购政策的规定执行。</w:t>
      </w:r>
    </w:p>
    <w:p>
      <w:pPr>
        <w:spacing w:line="360" w:lineRule="auto"/>
        <w:rPr>
          <w:b/>
          <w:bCs/>
          <w:sz w:val="24"/>
        </w:rPr>
      </w:pPr>
      <w:r>
        <w:rPr>
          <w:rFonts w:hint="eastAsia"/>
          <w:b/>
          <w:bCs/>
          <w:sz w:val="24"/>
        </w:rPr>
        <w:t>二、</w:t>
      </w:r>
      <w:r>
        <w:rPr>
          <w:rFonts w:hint="eastAsia"/>
          <w:b/>
          <w:bCs/>
          <w:sz w:val="24"/>
          <w:lang w:eastAsia="zh-CN"/>
        </w:rPr>
        <w:t>申请人的</w:t>
      </w:r>
      <w:r>
        <w:rPr>
          <w:rFonts w:hint="eastAsia"/>
          <w:b/>
          <w:bCs/>
          <w:sz w:val="24"/>
        </w:rPr>
        <w:t>资格要求</w:t>
      </w:r>
      <w:bookmarkEnd w:id="3"/>
    </w:p>
    <w:p>
      <w:pPr>
        <w:spacing w:line="360" w:lineRule="auto"/>
        <w:ind w:firstLine="240" w:firstLineChars="100"/>
        <w:rPr>
          <w:sz w:val="24"/>
        </w:rPr>
      </w:pPr>
      <w:r>
        <w:rPr>
          <w:rFonts w:hint="eastAsia"/>
          <w:sz w:val="24"/>
        </w:rPr>
        <w:t>1、拟参加本项目投标的潜在供应商应具备《政府采购法》第二十二条供应商资格条件；</w:t>
      </w:r>
    </w:p>
    <w:p>
      <w:pPr>
        <w:spacing w:line="360" w:lineRule="auto"/>
        <w:ind w:firstLine="240" w:firstLineChars="100"/>
        <w:rPr>
          <w:sz w:val="24"/>
        </w:rPr>
      </w:pPr>
      <w:r>
        <w:rPr>
          <w:rFonts w:hint="eastAsia"/>
          <w:sz w:val="24"/>
        </w:rPr>
        <w:t>2、拟参加本项目投标的潜在供应商，须在黑龙江省政府采购网注册登记并经黑龙江省政府采购管理办公室审核合格</w:t>
      </w:r>
      <w:r>
        <w:rPr>
          <w:sz w:val="24"/>
        </w:rPr>
        <w:t>；</w:t>
      </w:r>
    </w:p>
    <w:p>
      <w:pPr>
        <w:snapToGrid w:val="0"/>
        <w:spacing w:line="360" w:lineRule="auto"/>
        <w:ind w:firstLine="240" w:firstLineChars="100"/>
        <w:rPr>
          <w:color w:val="auto"/>
          <w:kern w:val="0"/>
          <w:sz w:val="24"/>
        </w:rPr>
      </w:pPr>
      <w:r>
        <w:rPr>
          <w:rFonts w:hint="eastAsia"/>
          <w:color w:val="auto"/>
          <w:sz w:val="24"/>
        </w:rPr>
        <w:t>3、拟参加本项目投标的潜在供应商</w:t>
      </w:r>
      <w:r>
        <w:rPr>
          <w:color w:val="auto"/>
          <w:kern w:val="0"/>
          <w:sz w:val="24"/>
        </w:rPr>
        <w:t>须具有有效的营业执照（</w:t>
      </w:r>
      <w:r>
        <w:rPr>
          <w:rFonts w:hint="eastAsia"/>
          <w:color w:val="auto"/>
          <w:kern w:val="0"/>
          <w:sz w:val="24"/>
        </w:rPr>
        <w:t>三证合一</w:t>
      </w:r>
      <w:r>
        <w:rPr>
          <w:color w:val="auto"/>
          <w:kern w:val="0"/>
          <w:sz w:val="24"/>
        </w:rPr>
        <w:t>）</w:t>
      </w:r>
      <w:r>
        <w:rPr>
          <w:rFonts w:hint="eastAsia" w:ascii="宋体" w:hAnsi="宋体" w:cs="宋体"/>
          <w:color w:val="auto"/>
          <w:sz w:val="24"/>
        </w:rPr>
        <w:t>其经营范围符合采购</w:t>
      </w:r>
      <w:r>
        <w:rPr>
          <w:rFonts w:hint="eastAsia" w:ascii="宋体" w:hAnsi="宋体" w:cs="宋体"/>
          <w:color w:val="auto"/>
          <w:sz w:val="24"/>
          <w:lang w:eastAsia="zh-CN"/>
        </w:rPr>
        <w:t>内容</w:t>
      </w:r>
      <w:r>
        <w:rPr>
          <w:rFonts w:hint="eastAsia" w:ascii="宋体" w:hAnsi="宋体" w:cs="宋体"/>
          <w:color w:val="auto"/>
          <w:sz w:val="24"/>
        </w:rPr>
        <w:t>需求</w:t>
      </w:r>
      <w:r>
        <w:rPr>
          <w:rFonts w:hint="eastAsia"/>
          <w:color w:val="auto"/>
          <w:kern w:val="0"/>
          <w:sz w:val="24"/>
        </w:rPr>
        <w:t>，</w:t>
      </w:r>
      <w:r>
        <w:rPr>
          <w:rFonts w:hint="eastAsia"/>
          <w:color w:val="auto"/>
          <w:sz w:val="24"/>
        </w:rPr>
        <w:t>并在人员、设备、资金等方面具有承担本项目的能力；</w:t>
      </w:r>
    </w:p>
    <w:p>
      <w:pPr>
        <w:spacing w:line="360" w:lineRule="auto"/>
        <w:ind w:firstLine="240" w:firstLineChars="100"/>
        <w:rPr>
          <w:rFonts w:ascii="宋体" w:hAnsi="宋体" w:cs="宋体"/>
          <w:sz w:val="24"/>
        </w:rPr>
      </w:pPr>
      <w:r>
        <w:rPr>
          <w:rFonts w:hint="eastAsia" w:ascii="宋体"/>
          <w:color w:val="auto"/>
          <w:sz w:val="24"/>
        </w:rPr>
        <w:t>4、拟参加本项目的潜在供应商参加政府采购活动近三年内没有重大违法记</w:t>
      </w:r>
      <w:r>
        <w:rPr>
          <w:rFonts w:hint="eastAsia" w:ascii="宋体"/>
          <w:sz w:val="24"/>
        </w:rPr>
        <w:t>录，对列入失信被执行人、重大税收违法案件当事人名单、以及政府采购严重违法失信行为记录名单中被禁止参加1至3年政府采购活动的供应商（处罚期限尚未届满的），不得参与政府采购活动。</w:t>
      </w:r>
      <w:r>
        <w:rPr>
          <w:rFonts w:hint="eastAsia" w:ascii="宋体" w:hAnsi="宋体" w:cs="宋体"/>
          <w:sz w:val="24"/>
        </w:rPr>
        <w:t>（查询以公告发布之后日期为准）</w:t>
      </w:r>
    </w:p>
    <w:p>
      <w:pPr>
        <w:pStyle w:val="4"/>
        <w:spacing w:line="360" w:lineRule="auto"/>
        <w:jc w:val="both"/>
        <w:rPr>
          <w:rFonts w:ascii="宋体" w:hAnsi="宋体" w:cs="宋体"/>
          <w:position w:val="20"/>
          <w:szCs w:val="24"/>
        </w:rPr>
      </w:pPr>
      <w:r>
        <w:rPr>
          <w:rFonts w:hint="eastAsia" w:ascii="宋体" w:hAnsi="宋体" w:cs="宋体"/>
          <w:position w:val="20"/>
          <w:szCs w:val="24"/>
        </w:rPr>
        <w:t>供应商信用记录核查路径：</w:t>
      </w:r>
    </w:p>
    <w:p>
      <w:pPr>
        <w:pStyle w:val="4"/>
        <w:spacing w:line="360" w:lineRule="auto"/>
        <w:ind w:firstLine="720" w:firstLineChars="300"/>
        <w:jc w:val="both"/>
        <w:rPr>
          <w:rFonts w:ascii="宋体" w:hAnsi="宋体" w:cs="宋体"/>
          <w:position w:val="20"/>
          <w:szCs w:val="24"/>
        </w:rPr>
      </w:pPr>
      <w:r>
        <w:rPr>
          <w:rFonts w:hint="eastAsia" w:ascii="宋体" w:hAnsi="宋体" w:cs="宋体"/>
          <w:position w:val="20"/>
          <w:szCs w:val="24"/>
        </w:rPr>
        <w:t>1）“信用中国”网站（www.creditchina.gov.cn）；</w:t>
      </w:r>
    </w:p>
    <w:p>
      <w:pPr>
        <w:pStyle w:val="4"/>
        <w:spacing w:line="360" w:lineRule="auto"/>
        <w:ind w:firstLine="720" w:firstLineChars="300"/>
        <w:jc w:val="both"/>
        <w:rPr>
          <w:rFonts w:ascii="宋体" w:hAnsi="宋体" w:cs="宋体"/>
          <w:position w:val="20"/>
          <w:szCs w:val="24"/>
        </w:rPr>
      </w:pPr>
      <w:r>
        <w:rPr>
          <w:rFonts w:hint="eastAsia" w:ascii="宋体" w:hAnsi="宋体" w:cs="宋体"/>
          <w:position w:val="20"/>
          <w:szCs w:val="24"/>
        </w:rPr>
        <w:t xml:space="preserve">2）“中国政府采购网”（www.ccgp.gov.cn/cr/list）； </w:t>
      </w:r>
    </w:p>
    <w:p>
      <w:pPr>
        <w:pStyle w:val="4"/>
        <w:spacing w:line="360" w:lineRule="auto"/>
        <w:jc w:val="both"/>
        <w:rPr>
          <w:b/>
          <w:bCs/>
          <w:szCs w:val="24"/>
        </w:rPr>
      </w:pPr>
      <w:bookmarkStart w:id="4" w:name="_Toc30687"/>
      <w:r>
        <w:rPr>
          <w:rFonts w:hint="eastAsia"/>
          <w:b/>
          <w:bCs/>
          <w:szCs w:val="24"/>
        </w:rPr>
        <w:t>三、</w:t>
      </w:r>
      <w:r>
        <w:rPr>
          <w:rFonts w:hint="eastAsia"/>
          <w:b/>
          <w:bCs/>
          <w:szCs w:val="24"/>
          <w:lang w:eastAsia="zh-CN"/>
        </w:rPr>
        <w:t>获取</w:t>
      </w:r>
      <w:r>
        <w:rPr>
          <w:rFonts w:hint="eastAsia"/>
          <w:b/>
          <w:bCs/>
          <w:szCs w:val="24"/>
        </w:rPr>
        <w:t>招标文件</w:t>
      </w:r>
    </w:p>
    <w:p>
      <w:pPr>
        <w:pStyle w:val="4"/>
        <w:spacing w:line="360" w:lineRule="auto"/>
        <w:ind w:firstLine="480" w:firstLineChars="200"/>
        <w:jc w:val="both"/>
        <w:rPr>
          <w:szCs w:val="24"/>
        </w:rPr>
      </w:pPr>
      <w:r>
        <w:rPr>
          <w:rFonts w:hint="eastAsia"/>
          <w:szCs w:val="24"/>
        </w:rPr>
        <w:t>1、资格审查方式：本项目采用资格后审方式，主要资格审查标准和内容详见招标文件，只有资格审查合格的投标申请人才有可能被授予合同；</w:t>
      </w:r>
    </w:p>
    <w:p>
      <w:pPr>
        <w:spacing w:line="360" w:lineRule="auto"/>
        <w:ind w:firstLine="480" w:firstLineChars="200"/>
        <w:rPr>
          <w:sz w:val="24"/>
        </w:rPr>
      </w:pPr>
      <w:r>
        <w:rPr>
          <w:rFonts w:hint="eastAsia"/>
          <w:sz w:val="24"/>
        </w:rPr>
        <w:t>2、获取文件时间：</w:t>
      </w:r>
      <w:r>
        <w:rPr>
          <w:rFonts w:hint="eastAsia"/>
          <w:color w:val="auto"/>
          <w:sz w:val="24"/>
        </w:rPr>
        <w:t>2020年</w:t>
      </w:r>
      <w:r>
        <w:rPr>
          <w:rFonts w:hint="eastAsia"/>
          <w:color w:val="auto"/>
          <w:sz w:val="24"/>
          <w:lang w:val="en-US" w:eastAsia="zh-CN"/>
        </w:rPr>
        <w:t>7</w:t>
      </w:r>
      <w:r>
        <w:rPr>
          <w:rFonts w:hint="eastAsia"/>
          <w:color w:val="auto"/>
          <w:sz w:val="24"/>
        </w:rPr>
        <w:t>月</w:t>
      </w:r>
      <w:r>
        <w:rPr>
          <w:rFonts w:hint="eastAsia"/>
          <w:color w:val="auto"/>
          <w:sz w:val="24"/>
          <w:lang w:val="en-US" w:eastAsia="zh-CN"/>
        </w:rPr>
        <w:t>7</w:t>
      </w:r>
      <w:r>
        <w:rPr>
          <w:rFonts w:hint="eastAsia"/>
          <w:color w:val="auto"/>
          <w:sz w:val="24"/>
        </w:rPr>
        <w:t>日至2020年</w:t>
      </w:r>
      <w:r>
        <w:rPr>
          <w:rFonts w:hint="eastAsia"/>
          <w:color w:val="auto"/>
          <w:sz w:val="24"/>
          <w:lang w:val="en-US" w:eastAsia="zh-CN"/>
        </w:rPr>
        <w:t>7</w:t>
      </w:r>
      <w:r>
        <w:rPr>
          <w:rFonts w:hint="eastAsia"/>
          <w:color w:val="auto"/>
          <w:sz w:val="24"/>
        </w:rPr>
        <w:t>月</w:t>
      </w:r>
      <w:r>
        <w:rPr>
          <w:rFonts w:hint="eastAsia"/>
          <w:color w:val="auto"/>
          <w:sz w:val="24"/>
          <w:lang w:val="en-US" w:eastAsia="zh-CN"/>
        </w:rPr>
        <w:t>13</w:t>
      </w:r>
      <w:r>
        <w:rPr>
          <w:rFonts w:hint="eastAsia"/>
          <w:color w:val="auto"/>
          <w:sz w:val="24"/>
        </w:rPr>
        <w:t>日（</w:t>
      </w:r>
      <w:r>
        <w:rPr>
          <w:rFonts w:hint="eastAsia"/>
          <w:sz w:val="24"/>
        </w:rPr>
        <w:t>节假日除外），每日上午9：00时至11：30时，下午 13：30时至 16：00时(北京时间，下同)。</w:t>
      </w:r>
    </w:p>
    <w:bookmarkEnd w:id="4"/>
    <w:p>
      <w:pPr>
        <w:snapToGrid w:val="0"/>
        <w:spacing w:line="360" w:lineRule="auto"/>
        <w:ind w:firstLine="480" w:firstLineChars="200"/>
        <w:rPr>
          <w:rFonts w:ascii="宋体" w:hAnsi="宋体" w:cs="宋体"/>
          <w:sz w:val="24"/>
        </w:rPr>
      </w:pPr>
      <w:bookmarkStart w:id="5" w:name="_Toc23867"/>
      <w:r>
        <w:rPr>
          <w:rFonts w:hint="eastAsia" w:ascii="宋体" w:hAnsi="宋体" w:cs="宋体"/>
          <w:sz w:val="24"/>
        </w:rPr>
        <w:t>3、获取招标文件方式：本项目招标文件采用远程方式获取，请拟参加本项目的潜在供应商在规定时间内以企业基本账户汇款至以下账户。招标文件购买时间以招标文件款项到账时间为准，备注供应商名称及项目编号以便代理公司核查，请在文件款项付款后第一时间联系代理机构工作人员，逾期不予受理。</w:t>
      </w:r>
    </w:p>
    <w:p>
      <w:pPr>
        <w:snapToGrid w:val="0"/>
        <w:spacing w:line="360" w:lineRule="auto"/>
        <w:ind w:firstLine="480" w:firstLineChars="200"/>
        <w:rPr>
          <w:rFonts w:ascii="宋体" w:hAnsi="宋体" w:cs="宋体"/>
          <w:sz w:val="24"/>
        </w:rPr>
      </w:pPr>
      <w:r>
        <w:rPr>
          <w:rFonts w:hint="eastAsia" w:ascii="宋体" w:hAnsi="宋体" w:cs="宋体"/>
          <w:sz w:val="24"/>
        </w:rPr>
        <w:t>4、招标文件款项收款账户：</w:t>
      </w:r>
    </w:p>
    <w:p>
      <w:pPr>
        <w:snapToGrid w:val="0"/>
        <w:spacing w:line="360" w:lineRule="auto"/>
        <w:ind w:firstLine="480" w:firstLineChars="200"/>
        <w:rPr>
          <w:rFonts w:ascii="宋体" w:hAnsi="宋体" w:cs="宋体"/>
          <w:sz w:val="24"/>
        </w:rPr>
      </w:pPr>
      <w:r>
        <w:rPr>
          <w:rFonts w:hint="eastAsia" w:ascii="宋体" w:hAnsi="宋体" w:cs="宋体"/>
          <w:sz w:val="24"/>
        </w:rPr>
        <w:t>（1）户名：</w:t>
      </w:r>
      <w:r>
        <w:rPr>
          <w:rFonts w:hint="eastAsia" w:ascii="宋体" w:hAnsi="宋体" w:cs="黑体"/>
          <w:sz w:val="24"/>
        </w:rPr>
        <w:t>中泰百聪工程管理有限公司黑龙江分公司</w:t>
      </w:r>
    </w:p>
    <w:p>
      <w:pPr>
        <w:snapToGrid w:val="0"/>
        <w:spacing w:line="360" w:lineRule="auto"/>
        <w:ind w:firstLine="480" w:firstLineChars="200"/>
        <w:rPr>
          <w:rFonts w:ascii="宋体" w:hAnsi="宋体" w:cs="宋体"/>
          <w:sz w:val="24"/>
        </w:rPr>
      </w:pPr>
      <w:r>
        <w:rPr>
          <w:rFonts w:hint="eastAsia" w:ascii="宋体" w:hAnsi="宋体" w:cs="宋体"/>
          <w:sz w:val="24"/>
        </w:rPr>
        <w:t>（2）账号：</w:t>
      </w:r>
      <w:r>
        <w:rPr>
          <w:rFonts w:hint="eastAsia" w:ascii="宋体" w:hAnsi="宋体" w:cs="黑体"/>
          <w:sz w:val="24"/>
        </w:rPr>
        <w:t>1727 4245 5632</w:t>
      </w:r>
    </w:p>
    <w:p>
      <w:pPr>
        <w:snapToGrid w:val="0"/>
        <w:spacing w:line="360" w:lineRule="auto"/>
        <w:ind w:firstLine="480" w:firstLineChars="200"/>
        <w:rPr>
          <w:rFonts w:ascii="宋体" w:hAnsi="宋体" w:cs="宋体"/>
          <w:sz w:val="24"/>
        </w:rPr>
      </w:pPr>
      <w:r>
        <w:rPr>
          <w:rFonts w:hint="eastAsia" w:ascii="宋体" w:hAnsi="宋体" w:cs="宋体"/>
          <w:sz w:val="24"/>
        </w:rPr>
        <w:t>（3）开户银行：</w:t>
      </w:r>
      <w:r>
        <w:rPr>
          <w:rFonts w:hint="eastAsia" w:ascii="宋体" w:hAnsi="宋体" w:cs="黑体"/>
          <w:sz w:val="24"/>
        </w:rPr>
        <w:t>中国银行股份有限公司哈尔滨开发区支行</w:t>
      </w:r>
    </w:p>
    <w:p>
      <w:pPr>
        <w:pStyle w:val="4"/>
        <w:spacing w:line="360" w:lineRule="auto"/>
        <w:jc w:val="both"/>
        <w:rPr>
          <w:rFonts w:ascii="宋体" w:hAnsi="宋体" w:cs="宋体"/>
          <w:position w:val="20"/>
          <w:szCs w:val="24"/>
        </w:rPr>
      </w:pPr>
      <w:r>
        <w:rPr>
          <w:rFonts w:hint="eastAsia" w:ascii="宋体" w:hAnsi="宋体" w:cs="宋体"/>
          <w:position w:val="20"/>
          <w:szCs w:val="24"/>
        </w:rPr>
        <w:t>注：汇款时须备注项目名称或项目编号。</w:t>
      </w:r>
    </w:p>
    <w:p>
      <w:pPr>
        <w:pStyle w:val="4"/>
        <w:spacing w:line="360" w:lineRule="auto"/>
        <w:ind w:firstLine="480"/>
        <w:jc w:val="both"/>
        <w:rPr>
          <w:rFonts w:ascii="宋体" w:hAnsi="宋体" w:cs="宋体"/>
          <w:kern w:val="2"/>
          <w:szCs w:val="24"/>
        </w:rPr>
      </w:pPr>
      <w:r>
        <w:rPr>
          <w:rFonts w:hint="eastAsia"/>
          <w:lang w:val="en-US" w:eastAsia="zh-CN"/>
        </w:rPr>
        <w:t>5、</w:t>
      </w:r>
      <w:r>
        <w:fldChar w:fldCharType="begin"/>
      </w:r>
      <w:r>
        <w:instrText xml:space="preserve"> HYPERLINK "mailto:汇款后请及时将汇款凭证发送至代理公司邮箱（zhongtaibaicong1@163.com）并及时联系代理公司工作人员获取竞争性磋商文件。" </w:instrText>
      </w:r>
      <w:r>
        <w:fldChar w:fldCharType="separate"/>
      </w:r>
      <w:r>
        <w:rPr>
          <w:rFonts w:hint="eastAsia" w:ascii="宋体" w:hAnsi="宋体" w:cs="宋体"/>
          <w:kern w:val="2"/>
          <w:szCs w:val="24"/>
        </w:rPr>
        <w:t>购买招标文件后，请及时将汇款凭证及填写“购买招标文件登记表”（下载的附件）扫描件一起发送至代理公司邮箱（zhongtaibaicong1@163.com）并及时联系代理公司工作人员获取招标文件。</w:t>
      </w:r>
      <w:r>
        <w:rPr>
          <w:rFonts w:hint="eastAsia" w:ascii="宋体" w:hAnsi="宋体" w:cs="宋体"/>
          <w:kern w:val="2"/>
          <w:szCs w:val="24"/>
        </w:rPr>
        <w:fldChar w:fldCharType="end"/>
      </w:r>
    </w:p>
    <w:p>
      <w:pPr>
        <w:pStyle w:val="4"/>
        <w:spacing w:line="360" w:lineRule="auto"/>
        <w:ind w:firstLine="480"/>
        <w:jc w:val="both"/>
        <w:rPr>
          <w:rFonts w:ascii="宋体" w:hAnsi="宋体" w:cs="宋体"/>
          <w:kern w:val="2"/>
          <w:szCs w:val="24"/>
        </w:rPr>
      </w:pPr>
      <w:r>
        <w:rPr>
          <w:rFonts w:hint="eastAsia" w:ascii="宋体" w:hAnsi="宋体" w:cs="宋体"/>
          <w:kern w:val="2"/>
          <w:szCs w:val="24"/>
        </w:rPr>
        <w:t>采购代理公司只接受通过以上方式获取招标文件的供应商投标，未在规定时间内获取招标文件的供应商不得参与本项目投标，由此产生的一切费用及后果，供应商自行承担。</w:t>
      </w:r>
    </w:p>
    <w:p>
      <w:pPr>
        <w:snapToGrid w:val="0"/>
        <w:spacing w:line="360" w:lineRule="auto"/>
        <w:ind w:firstLine="480" w:firstLineChars="200"/>
        <w:rPr>
          <w:rFonts w:ascii="宋体" w:hAnsi="宋体" w:cs="宋体"/>
          <w:sz w:val="24"/>
        </w:rPr>
      </w:pPr>
      <w:r>
        <w:rPr>
          <w:rFonts w:hint="eastAsia" w:ascii="宋体" w:hAnsi="宋体" w:cs="宋体"/>
          <w:sz w:val="24"/>
        </w:rPr>
        <w:t>6、招标文件售价 500 元/供应商，售后不退。</w:t>
      </w:r>
    </w:p>
    <w:p>
      <w:pPr>
        <w:pStyle w:val="8"/>
        <w:autoSpaceDE w:val="0"/>
        <w:spacing w:before="0" w:beforeAutospacing="0" w:after="0" w:afterAutospacing="0" w:line="360" w:lineRule="auto"/>
        <w:rPr>
          <w:rStyle w:val="16"/>
          <w:rFonts w:cs="黑体"/>
          <w:bCs w:val="0"/>
          <w:kern w:val="2"/>
          <w:sz w:val="24"/>
          <w:szCs w:val="24"/>
        </w:rPr>
      </w:pPr>
      <w:r>
        <w:rPr>
          <w:rStyle w:val="16"/>
          <w:rFonts w:hint="eastAsia" w:cs="黑体"/>
          <w:bCs w:val="0"/>
          <w:kern w:val="2"/>
          <w:sz w:val="24"/>
          <w:szCs w:val="24"/>
        </w:rPr>
        <w:t>四</w:t>
      </w:r>
      <w:r>
        <w:rPr>
          <w:rStyle w:val="16"/>
          <w:rFonts w:cs="黑体"/>
          <w:bCs w:val="0"/>
          <w:kern w:val="2"/>
          <w:sz w:val="24"/>
          <w:szCs w:val="24"/>
        </w:rPr>
        <w:t>、</w:t>
      </w:r>
      <w:bookmarkEnd w:id="5"/>
      <w:r>
        <w:rPr>
          <w:rStyle w:val="16"/>
          <w:rFonts w:hint="eastAsia" w:cs="黑体"/>
          <w:bCs w:val="0"/>
          <w:kern w:val="2"/>
          <w:sz w:val="24"/>
          <w:szCs w:val="24"/>
        </w:rPr>
        <w:t>提交投标</w:t>
      </w:r>
      <w:r>
        <w:rPr>
          <w:rStyle w:val="16"/>
          <w:rFonts w:cs="黑体"/>
          <w:bCs w:val="0"/>
          <w:kern w:val="2"/>
          <w:sz w:val="24"/>
          <w:szCs w:val="24"/>
        </w:rPr>
        <w:t>文件</w:t>
      </w:r>
      <w:r>
        <w:rPr>
          <w:rStyle w:val="16"/>
          <w:rFonts w:hint="eastAsia" w:cs="黑体"/>
          <w:bCs w:val="0"/>
          <w:kern w:val="2"/>
          <w:sz w:val="24"/>
          <w:szCs w:val="24"/>
        </w:rPr>
        <w:t>截止时间、开标时间</w:t>
      </w:r>
      <w:r>
        <w:rPr>
          <w:rStyle w:val="16"/>
          <w:rFonts w:hint="eastAsia" w:cs="黑体" w:eastAsiaTheme="majorEastAsia"/>
          <w:bCs w:val="0"/>
          <w:kern w:val="2"/>
          <w:sz w:val="24"/>
          <w:szCs w:val="24"/>
          <w:lang w:eastAsia="zh-CN"/>
        </w:rPr>
        <w:t>和</w:t>
      </w:r>
      <w:r>
        <w:rPr>
          <w:rStyle w:val="16"/>
          <w:rFonts w:hint="eastAsia" w:cs="黑体"/>
          <w:bCs w:val="0"/>
          <w:kern w:val="2"/>
          <w:sz w:val="24"/>
          <w:szCs w:val="24"/>
        </w:rPr>
        <w:t>地点</w:t>
      </w:r>
    </w:p>
    <w:p>
      <w:pPr>
        <w:pStyle w:val="8"/>
        <w:autoSpaceDE w:val="0"/>
        <w:spacing w:before="0" w:beforeAutospacing="0" w:after="0" w:afterAutospacing="0" w:line="360" w:lineRule="auto"/>
        <w:rPr>
          <w:color w:val="auto"/>
        </w:rPr>
      </w:pPr>
      <w:r>
        <w:t xml:space="preserve">  </w:t>
      </w:r>
      <w:r>
        <w:rPr>
          <w:rFonts w:hint="eastAsia"/>
        </w:rPr>
        <w:t xml:space="preserve"> </w:t>
      </w:r>
      <w:r>
        <w:t xml:space="preserve"> </w:t>
      </w:r>
      <w:bookmarkStart w:id="6" w:name="_Toc27109"/>
      <w:r>
        <w:rPr>
          <w:rFonts w:hint="eastAsia"/>
        </w:rPr>
        <w:t>1、响应文件递交的截止时间</w:t>
      </w:r>
      <w:r>
        <w:rPr>
          <w:rFonts w:hint="eastAsia"/>
          <w:color w:val="auto"/>
        </w:rPr>
        <w:t>:2020年7月</w:t>
      </w:r>
      <w:r>
        <w:rPr>
          <w:rFonts w:hint="eastAsia"/>
          <w:color w:val="auto"/>
          <w:lang w:val="en-US" w:eastAsia="zh-CN"/>
        </w:rPr>
        <w:t>28</w:t>
      </w:r>
      <w:r>
        <w:rPr>
          <w:rFonts w:hint="eastAsia"/>
          <w:color w:val="auto"/>
        </w:rPr>
        <w:t>日9点00分</w:t>
      </w:r>
    </w:p>
    <w:p>
      <w:pPr>
        <w:pStyle w:val="8"/>
        <w:autoSpaceDE w:val="0"/>
        <w:spacing w:before="0" w:beforeAutospacing="0" w:after="0" w:afterAutospacing="0" w:line="360" w:lineRule="auto"/>
        <w:ind w:firstLine="480" w:firstLineChars="200"/>
      </w:pPr>
      <w:r>
        <w:rPr>
          <w:rFonts w:hint="eastAsia"/>
          <w:color w:val="auto"/>
        </w:rPr>
        <w:t>2、响应文件递交地点：中泰百聪工程管理有限公司（哈尔滨市南岗</w:t>
      </w:r>
      <w:r>
        <w:rPr>
          <w:rFonts w:hint="eastAsia"/>
        </w:rPr>
        <w:t xml:space="preserve">区闽江路248号金地大厦写字楼1201室）会议室。    </w:t>
      </w:r>
    </w:p>
    <w:p>
      <w:pPr>
        <w:pStyle w:val="8"/>
        <w:autoSpaceDE w:val="0"/>
        <w:spacing w:before="0" w:beforeAutospacing="0" w:after="0" w:afterAutospacing="0" w:line="360" w:lineRule="auto"/>
        <w:ind w:firstLine="480" w:firstLineChars="200"/>
      </w:pPr>
      <w:r>
        <w:rPr>
          <w:rFonts w:hint="eastAsia"/>
        </w:rPr>
        <w:t>3、逾期送达的或者未送达指定地点的响应文件，采购人不予受理。</w:t>
      </w:r>
    </w:p>
    <w:p>
      <w:pPr>
        <w:pStyle w:val="8"/>
        <w:autoSpaceDE w:val="0"/>
        <w:spacing w:before="0" w:beforeAutospacing="0" w:after="0" w:afterAutospacing="0" w:line="360" w:lineRule="auto"/>
        <w:rPr>
          <w:rStyle w:val="16"/>
          <w:rFonts w:cs="黑体"/>
          <w:bCs w:val="0"/>
          <w:kern w:val="2"/>
          <w:sz w:val="24"/>
          <w:szCs w:val="24"/>
        </w:rPr>
      </w:pPr>
      <w:r>
        <w:rPr>
          <w:rStyle w:val="16"/>
          <w:rFonts w:hint="eastAsia" w:cs="黑体"/>
          <w:bCs w:val="0"/>
          <w:kern w:val="2"/>
          <w:sz w:val="24"/>
          <w:szCs w:val="24"/>
        </w:rPr>
        <w:t>五、公告期限</w:t>
      </w:r>
    </w:p>
    <w:p>
      <w:pPr>
        <w:pStyle w:val="8"/>
        <w:autoSpaceDE w:val="0"/>
        <w:spacing w:before="0" w:beforeAutospacing="0" w:after="0" w:afterAutospacing="0" w:line="360" w:lineRule="auto"/>
        <w:rPr>
          <w:rStyle w:val="16"/>
          <w:rFonts w:cs="黑体"/>
          <w:b w:val="0"/>
          <w:bCs w:val="0"/>
          <w:kern w:val="2"/>
          <w:sz w:val="24"/>
          <w:szCs w:val="24"/>
        </w:rPr>
      </w:pPr>
      <w:r>
        <w:rPr>
          <w:rStyle w:val="16"/>
          <w:rFonts w:hint="eastAsia" w:cs="黑体"/>
          <w:kern w:val="2"/>
          <w:sz w:val="24"/>
          <w:szCs w:val="24"/>
        </w:rPr>
        <w:t xml:space="preserve">   </w:t>
      </w:r>
      <w:r>
        <w:rPr>
          <w:rStyle w:val="16"/>
          <w:rFonts w:hint="eastAsia" w:cs="黑体" w:eastAsiaTheme="majorEastAsia"/>
          <w:kern w:val="2"/>
          <w:sz w:val="24"/>
          <w:szCs w:val="24"/>
          <w:lang w:val="en-US" w:eastAsia="zh-CN"/>
        </w:rPr>
        <w:t xml:space="preserve"> </w:t>
      </w:r>
      <w:r>
        <w:rPr>
          <w:rStyle w:val="16"/>
          <w:rFonts w:hint="eastAsia" w:cs="黑体"/>
          <w:b w:val="0"/>
          <w:bCs w:val="0"/>
          <w:kern w:val="2"/>
          <w:sz w:val="24"/>
          <w:szCs w:val="24"/>
        </w:rPr>
        <w:t>自本公告发布之日起5个工作日</w:t>
      </w:r>
    </w:p>
    <w:p>
      <w:pPr>
        <w:pStyle w:val="8"/>
        <w:autoSpaceDE w:val="0"/>
        <w:spacing w:before="0" w:beforeAutospacing="0" w:after="0" w:afterAutospacing="0" w:line="360" w:lineRule="auto"/>
        <w:rPr>
          <w:rStyle w:val="16"/>
          <w:rFonts w:ascii="宋体" w:hAnsi="宋体" w:eastAsia="宋体" w:cs="宋体"/>
          <w:color w:val="auto"/>
          <w:kern w:val="2"/>
          <w:sz w:val="24"/>
          <w:szCs w:val="24"/>
        </w:rPr>
      </w:pPr>
      <w:bookmarkStart w:id="7" w:name="_Toc35393635"/>
      <w:bookmarkStart w:id="8" w:name="_Toc35393804"/>
      <w:r>
        <w:rPr>
          <w:rStyle w:val="16"/>
          <w:rFonts w:hint="eastAsia" w:ascii="宋体" w:hAnsi="宋体" w:eastAsia="宋体" w:cs="宋体"/>
          <w:color w:val="auto"/>
          <w:kern w:val="2"/>
          <w:sz w:val="24"/>
          <w:szCs w:val="24"/>
        </w:rPr>
        <w:t>六、其他补充事宜</w:t>
      </w:r>
      <w:bookmarkEnd w:id="7"/>
      <w:bookmarkEnd w:id="8"/>
    </w:p>
    <w:p>
      <w:pPr>
        <w:pStyle w:val="4"/>
        <w:spacing w:line="360" w:lineRule="auto"/>
        <w:jc w:val="left"/>
        <w:rPr>
          <w:rStyle w:val="16"/>
          <w:rFonts w:cs="黑体"/>
          <w:b w:val="0"/>
          <w:bCs w:val="0"/>
          <w:kern w:val="2"/>
          <w:sz w:val="24"/>
          <w:szCs w:val="24"/>
        </w:rPr>
      </w:pPr>
      <w:r>
        <w:rPr>
          <w:rFonts w:hint="eastAsia"/>
        </w:rPr>
        <w:t xml:space="preserve"> </w:t>
      </w:r>
      <w:r>
        <w:rPr>
          <w:rFonts w:hint="eastAsia"/>
          <w:szCs w:val="24"/>
        </w:rPr>
        <w:t xml:space="preserve">  </w:t>
      </w:r>
      <w:r>
        <w:rPr>
          <w:rFonts w:hint="eastAsia" w:ascii="宋体" w:hAnsi="宋体" w:cs="宋体"/>
          <w:szCs w:val="24"/>
        </w:rPr>
        <w:t xml:space="preserve"> 无</w:t>
      </w:r>
    </w:p>
    <w:p>
      <w:pPr>
        <w:pStyle w:val="8"/>
        <w:autoSpaceDE w:val="0"/>
        <w:spacing w:before="0" w:beforeAutospacing="0" w:after="0" w:afterAutospacing="0" w:line="360" w:lineRule="auto"/>
        <w:rPr>
          <w:rStyle w:val="16"/>
          <w:rFonts w:cs="黑体"/>
          <w:bCs w:val="0"/>
          <w:kern w:val="2"/>
          <w:sz w:val="24"/>
          <w:szCs w:val="24"/>
        </w:rPr>
      </w:pPr>
      <w:r>
        <w:rPr>
          <w:rStyle w:val="16"/>
          <w:rFonts w:hint="eastAsia" w:cs="黑体"/>
          <w:bCs w:val="0"/>
          <w:kern w:val="2"/>
          <w:sz w:val="24"/>
          <w:szCs w:val="24"/>
        </w:rPr>
        <w:t>七</w:t>
      </w:r>
      <w:r>
        <w:rPr>
          <w:rStyle w:val="16"/>
          <w:rFonts w:cs="黑体"/>
          <w:bCs w:val="0"/>
          <w:kern w:val="2"/>
          <w:sz w:val="24"/>
          <w:szCs w:val="24"/>
        </w:rPr>
        <w:t>、</w:t>
      </w:r>
      <w:bookmarkEnd w:id="6"/>
      <w:r>
        <w:rPr>
          <w:rStyle w:val="16"/>
          <w:rFonts w:cs="黑体"/>
          <w:bCs w:val="0"/>
          <w:kern w:val="2"/>
          <w:sz w:val="24"/>
          <w:szCs w:val="24"/>
        </w:rPr>
        <w:t>发布公告的媒介</w:t>
      </w:r>
    </w:p>
    <w:p>
      <w:pPr>
        <w:pStyle w:val="8"/>
        <w:autoSpaceDE w:val="0"/>
        <w:spacing w:before="0" w:beforeAutospacing="0" w:after="0" w:afterAutospacing="0" w:line="360" w:lineRule="auto"/>
      </w:pPr>
      <w:r>
        <w:t xml:space="preserve">    </w:t>
      </w:r>
      <w:r>
        <w:rPr>
          <w:rFonts w:hint="eastAsia"/>
        </w:rPr>
        <w:t>1、</w:t>
      </w:r>
      <w:r>
        <w:t>本项目的招标公告同时在中国政府采购网、黑龙江省政府采购网上发布。</w:t>
      </w:r>
    </w:p>
    <w:p>
      <w:pPr>
        <w:pStyle w:val="8"/>
        <w:autoSpaceDE w:val="0"/>
        <w:spacing w:before="0" w:beforeAutospacing="0" w:after="0" w:afterAutospacing="0" w:line="360" w:lineRule="auto"/>
        <w:ind w:firstLine="480" w:firstLineChars="200"/>
      </w:pPr>
      <w:r>
        <w:rPr>
          <w:rFonts w:hint="eastAsia"/>
        </w:rPr>
        <w:t>2、</w:t>
      </w:r>
      <w:r>
        <w:t>有意向供应商请关注中国政府采购网、黑龙江省政府采购网有关该项目的招标信息，因信息不畅造成影响自行负责。</w:t>
      </w:r>
    </w:p>
    <w:p>
      <w:pPr>
        <w:pStyle w:val="8"/>
        <w:autoSpaceDE w:val="0"/>
        <w:spacing w:before="0" w:beforeAutospacing="0" w:after="0" w:afterAutospacing="0" w:line="360" w:lineRule="auto"/>
        <w:jc w:val="both"/>
        <w:rPr>
          <w:rStyle w:val="16"/>
          <w:rFonts w:eastAsia="宋体" w:cs="黑体"/>
          <w:bCs w:val="0"/>
          <w:kern w:val="2"/>
          <w:sz w:val="24"/>
          <w:szCs w:val="24"/>
        </w:rPr>
      </w:pPr>
      <w:r>
        <w:rPr>
          <w:rStyle w:val="16"/>
          <w:rFonts w:hint="eastAsia" w:cs="黑体"/>
          <w:bCs w:val="0"/>
          <w:kern w:val="2"/>
          <w:sz w:val="24"/>
          <w:szCs w:val="24"/>
        </w:rPr>
        <w:t>八</w:t>
      </w:r>
      <w:r>
        <w:rPr>
          <w:rStyle w:val="16"/>
          <w:rFonts w:cs="黑体"/>
          <w:bCs w:val="0"/>
          <w:kern w:val="2"/>
          <w:sz w:val="24"/>
          <w:szCs w:val="24"/>
        </w:rPr>
        <w:t>、</w:t>
      </w:r>
      <w:r>
        <w:rPr>
          <w:rStyle w:val="16"/>
          <w:rFonts w:hint="eastAsia" w:cs="黑体"/>
          <w:bCs w:val="0"/>
          <w:kern w:val="2"/>
          <w:sz w:val="24"/>
          <w:szCs w:val="24"/>
        </w:rPr>
        <w:t>对本次招标提出询问</w:t>
      </w:r>
      <w:r>
        <w:rPr>
          <w:rStyle w:val="16"/>
          <w:rFonts w:hint="eastAsia" w:cs="黑体" w:eastAsiaTheme="majorEastAsia"/>
          <w:bCs w:val="0"/>
          <w:kern w:val="2"/>
          <w:sz w:val="24"/>
          <w:szCs w:val="24"/>
          <w:lang w:eastAsia="zh-CN"/>
        </w:rPr>
        <w:t>，请按以下方式</w:t>
      </w:r>
      <w:r>
        <w:rPr>
          <w:rStyle w:val="16"/>
          <w:rFonts w:cs="黑体"/>
          <w:bCs w:val="0"/>
          <w:kern w:val="2"/>
          <w:sz w:val="24"/>
          <w:szCs w:val="24"/>
        </w:rPr>
        <w:t>联系</w:t>
      </w:r>
    </w:p>
    <w:p>
      <w:pPr>
        <w:pStyle w:val="8"/>
        <w:autoSpaceDE w:val="0"/>
        <w:spacing w:before="0" w:beforeAutospacing="0" w:after="0" w:afterAutospacing="0" w:line="360" w:lineRule="auto"/>
        <w:rPr>
          <w:rFonts w:hint="eastAsia"/>
        </w:rPr>
      </w:pPr>
      <w:r>
        <w:rPr>
          <w:rFonts w:hint="eastAsia"/>
        </w:rPr>
        <w:t>采购人：</w:t>
      </w:r>
      <w:r>
        <w:rPr>
          <w:rFonts w:hint="eastAsia"/>
          <w:lang w:val="en-US" w:eastAsia="zh-CN"/>
        </w:rPr>
        <w:t>虎林市疾病预防控制中心</w:t>
      </w:r>
      <w:r>
        <w:rPr>
          <w:rFonts w:hint="eastAsia"/>
        </w:rPr>
        <w:t xml:space="preserve"> </w:t>
      </w:r>
    </w:p>
    <w:p>
      <w:pPr>
        <w:pStyle w:val="8"/>
        <w:autoSpaceDE w:val="0"/>
        <w:spacing w:before="0" w:beforeAutospacing="0" w:after="0" w:afterAutospacing="0" w:line="360" w:lineRule="auto"/>
        <w:rPr>
          <w:rFonts w:hint="eastAsia" w:eastAsia="宋体"/>
          <w:lang w:eastAsia="zh-CN"/>
        </w:rPr>
      </w:pPr>
      <w:r>
        <w:rPr>
          <w:rFonts w:hint="eastAsia"/>
        </w:rPr>
        <w:t>地  址：</w:t>
      </w:r>
      <w:r>
        <w:rPr>
          <w:rFonts w:hint="eastAsia"/>
          <w:lang w:eastAsia="zh-CN"/>
        </w:rPr>
        <w:t>虎林市</w:t>
      </w:r>
    </w:p>
    <w:p>
      <w:pPr>
        <w:pStyle w:val="8"/>
        <w:autoSpaceDE w:val="0"/>
        <w:spacing w:before="0" w:beforeAutospacing="0" w:after="0" w:afterAutospacing="0" w:line="360" w:lineRule="auto"/>
        <w:rPr>
          <w:rFonts w:hint="eastAsia" w:eastAsia="宋体"/>
          <w:color w:val="auto"/>
          <w:lang w:val="en-US" w:eastAsia="zh-CN"/>
        </w:rPr>
      </w:pPr>
      <w:r>
        <w:rPr>
          <w:rFonts w:hint="eastAsia"/>
          <w:color w:val="auto"/>
        </w:rPr>
        <w:t>联系人：</w:t>
      </w:r>
      <w:r>
        <w:rPr>
          <w:rFonts w:hint="eastAsia"/>
          <w:color w:val="auto"/>
          <w:lang w:eastAsia="zh-CN"/>
        </w:rPr>
        <w:t>于先生</w:t>
      </w:r>
    </w:p>
    <w:p>
      <w:pPr>
        <w:pStyle w:val="8"/>
        <w:autoSpaceDE w:val="0"/>
        <w:spacing w:before="0" w:beforeAutospacing="0" w:after="0" w:afterAutospacing="0" w:line="360" w:lineRule="auto"/>
        <w:rPr>
          <w:rFonts w:hint="eastAsia"/>
          <w:color w:val="auto"/>
          <w:lang w:val="en-US" w:eastAsia="zh-CN"/>
        </w:rPr>
      </w:pPr>
      <w:r>
        <w:rPr>
          <w:rFonts w:hint="eastAsia"/>
          <w:color w:val="auto"/>
        </w:rPr>
        <w:t>电  话：</w:t>
      </w:r>
      <w:r>
        <w:rPr>
          <w:rFonts w:hint="eastAsia"/>
          <w:color w:val="auto"/>
          <w:lang w:val="en-US" w:eastAsia="zh-CN"/>
        </w:rPr>
        <w:t>13159959997</w:t>
      </w:r>
    </w:p>
    <w:p>
      <w:pPr>
        <w:pStyle w:val="8"/>
        <w:autoSpaceDE w:val="0"/>
        <w:spacing w:before="0" w:beforeAutospacing="0" w:after="0" w:afterAutospacing="0" w:line="360" w:lineRule="auto"/>
      </w:pPr>
      <w:r>
        <w:rPr>
          <w:rFonts w:hint="eastAsia"/>
          <w:color w:val="auto"/>
        </w:rPr>
        <w:t>采购代理机构：中泰</w:t>
      </w:r>
      <w:r>
        <w:rPr>
          <w:rFonts w:hint="eastAsia"/>
        </w:rPr>
        <w:t>百聪工程管理有限公司</w:t>
      </w:r>
    </w:p>
    <w:p>
      <w:pPr>
        <w:pStyle w:val="8"/>
        <w:autoSpaceDE w:val="0"/>
        <w:spacing w:before="0" w:beforeAutospacing="0" w:after="0" w:afterAutospacing="0" w:line="360" w:lineRule="auto"/>
      </w:pPr>
      <w:r>
        <w:rPr>
          <w:rFonts w:hint="eastAsia"/>
          <w:lang w:eastAsia="zh-CN"/>
        </w:rPr>
        <w:t>项目</w:t>
      </w:r>
      <w:r>
        <w:rPr>
          <w:rFonts w:hint="eastAsia"/>
        </w:rPr>
        <w:t>联系人：朱女士</w:t>
      </w:r>
    </w:p>
    <w:p>
      <w:pPr>
        <w:pStyle w:val="8"/>
        <w:autoSpaceDE w:val="0"/>
        <w:spacing w:before="0" w:beforeAutospacing="0" w:after="0" w:afterAutospacing="0" w:line="360" w:lineRule="auto"/>
      </w:pPr>
      <w:r>
        <w:rPr>
          <w:rFonts w:hint="eastAsia"/>
        </w:rPr>
        <w:t>电  话：0451-82367725</w:t>
      </w:r>
    </w:p>
    <w:p>
      <w:pPr>
        <w:pStyle w:val="8"/>
        <w:autoSpaceDE w:val="0"/>
        <w:spacing w:before="0" w:beforeAutospacing="0" w:after="0" w:afterAutospacing="0" w:line="360" w:lineRule="auto"/>
      </w:pPr>
      <w:r>
        <w:rPr>
          <w:rFonts w:hint="eastAsia"/>
        </w:rPr>
        <w:t>地  址：哈尔滨市南岗区闽江路248号金地大厦写字楼1201室</w:t>
      </w:r>
    </w:p>
    <w:p>
      <w:pPr>
        <w:pStyle w:val="4"/>
        <w:jc w:val="left"/>
        <w:rPr>
          <w:rFonts w:hint="eastAsia" w:eastAsia="宋体"/>
          <w:lang w:val="en-US" w:eastAsia="zh-CN"/>
        </w:rPr>
      </w:pPr>
      <w:r>
        <w:rPr>
          <w:rFonts w:hint="eastAsia"/>
          <w:lang w:val="en-US" w:eastAsia="zh-CN"/>
        </w:rPr>
        <w:t>2020年7月6日</w:t>
      </w:r>
    </w:p>
    <w:sectPr>
      <w:pgSz w:w="11906" w:h="16838"/>
      <w:pgMar w:top="873" w:right="1800" w:bottom="93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F5AC7"/>
    <w:rsid w:val="0003028A"/>
    <w:rsid w:val="000D6159"/>
    <w:rsid w:val="00122496"/>
    <w:rsid w:val="00146A3D"/>
    <w:rsid w:val="00181959"/>
    <w:rsid w:val="001830A4"/>
    <w:rsid w:val="00222CDF"/>
    <w:rsid w:val="0027491C"/>
    <w:rsid w:val="00353373"/>
    <w:rsid w:val="0037645E"/>
    <w:rsid w:val="003B7DD1"/>
    <w:rsid w:val="003E05F0"/>
    <w:rsid w:val="00426A6A"/>
    <w:rsid w:val="004B523C"/>
    <w:rsid w:val="004F5AC7"/>
    <w:rsid w:val="00567423"/>
    <w:rsid w:val="005A0FE8"/>
    <w:rsid w:val="005B2BD7"/>
    <w:rsid w:val="00652530"/>
    <w:rsid w:val="006E32FB"/>
    <w:rsid w:val="00776F2F"/>
    <w:rsid w:val="007C7FDD"/>
    <w:rsid w:val="00931104"/>
    <w:rsid w:val="009B1461"/>
    <w:rsid w:val="009F34D1"/>
    <w:rsid w:val="00A34AB6"/>
    <w:rsid w:val="00AD3D41"/>
    <w:rsid w:val="00AE6608"/>
    <w:rsid w:val="00B13543"/>
    <w:rsid w:val="00B41347"/>
    <w:rsid w:val="00BF69D3"/>
    <w:rsid w:val="00D3021C"/>
    <w:rsid w:val="00E11887"/>
    <w:rsid w:val="00FB4B7F"/>
    <w:rsid w:val="01A517BE"/>
    <w:rsid w:val="04FA651F"/>
    <w:rsid w:val="0653629D"/>
    <w:rsid w:val="079C2808"/>
    <w:rsid w:val="07F30B5A"/>
    <w:rsid w:val="0A4A1D7F"/>
    <w:rsid w:val="0A7E28B2"/>
    <w:rsid w:val="0ADC196B"/>
    <w:rsid w:val="0BAC0236"/>
    <w:rsid w:val="0C1610C9"/>
    <w:rsid w:val="0D4873AC"/>
    <w:rsid w:val="0D821D77"/>
    <w:rsid w:val="0FBF29A9"/>
    <w:rsid w:val="14E86965"/>
    <w:rsid w:val="16546EDC"/>
    <w:rsid w:val="19722A7A"/>
    <w:rsid w:val="19A40FFC"/>
    <w:rsid w:val="1C10682F"/>
    <w:rsid w:val="1D3C6A3A"/>
    <w:rsid w:val="1E3C5BB3"/>
    <w:rsid w:val="1EA64962"/>
    <w:rsid w:val="1ED7776F"/>
    <w:rsid w:val="20E45642"/>
    <w:rsid w:val="218010C5"/>
    <w:rsid w:val="220E1B02"/>
    <w:rsid w:val="23C44A70"/>
    <w:rsid w:val="250F7256"/>
    <w:rsid w:val="27D53F0F"/>
    <w:rsid w:val="2CF62076"/>
    <w:rsid w:val="2DA065F3"/>
    <w:rsid w:val="2F526487"/>
    <w:rsid w:val="306B5C33"/>
    <w:rsid w:val="31AA159B"/>
    <w:rsid w:val="32914367"/>
    <w:rsid w:val="32E87F0D"/>
    <w:rsid w:val="359D7AF0"/>
    <w:rsid w:val="363F6B79"/>
    <w:rsid w:val="379540F0"/>
    <w:rsid w:val="383B45B7"/>
    <w:rsid w:val="3BF4366E"/>
    <w:rsid w:val="3FF14892"/>
    <w:rsid w:val="40646470"/>
    <w:rsid w:val="49F330C7"/>
    <w:rsid w:val="4D66548D"/>
    <w:rsid w:val="4E832493"/>
    <w:rsid w:val="51827CE3"/>
    <w:rsid w:val="51C66241"/>
    <w:rsid w:val="559E653D"/>
    <w:rsid w:val="5D23754F"/>
    <w:rsid w:val="5D7A79AA"/>
    <w:rsid w:val="5FF62325"/>
    <w:rsid w:val="603B3C68"/>
    <w:rsid w:val="606C725A"/>
    <w:rsid w:val="616B0383"/>
    <w:rsid w:val="61D807ED"/>
    <w:rsid w:val="62653154"/>
    <w:rsid w:val="63F6322A"/>
    <w:rsid w:val="648D2A82"/>
    <w:rsid w:val="65995FC0"/>
    <w:rsid w:val="65C15A30"/>
    <w:rsid w:val="66E8570A"/>
    <w:rsid w:val="69B0675B"/>
    <w:rsid w:val="6B38357D"/>
    <w:rsid w:val="6E3704D0"/>
    <w:rsid w:val="72485DD5"/>
    <w:rsid w:val="759B6C67"/>
    <w:rsid w:val="7A7D58EF"/>
    <w:rsid w:val="7A9A788A"/>
    <w:rsid w:val="7AFD1241"/>
    <w:rsid w:val="7C4C0D11"/>
    <w:rsid w:val="7DDA1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Body Text"/>
    <w:basedOn w:val="1"/>
    <w:next w:val="5"/>
    <w:link w:val="15"/>
    <w:qFormat/>
    <w:uiPriority w:val="0"/>
    <w:pPr>
      <w:adjustRightInd w:val="0"/>
      <w:spacing w:line="360" w:lineRule="atLeast"/>
      <w:jc w:val="center"/>
      <w:textAlignment w:val="baseline"/>
    </w:pPr>
    <w:rPr>
      <w:kern w:val="0"/>
      <w:sz w:val="24"/>
      <w:szCs w:val="20"/>
    </w:rPr>
  </w:style>
  <w:style w:type="paragraph" w:customStyle="1" w:styleId="5">
    <w:name w:val="目录 81"/>
    <w:next w:val="1"/>
    <w:qFormat/>
    <w:uiPriority w:val="0"/>
    <w:pPr>
      <w:wordWrap w:val="0"/>
      <w:ind w:left="2975"/>
      <w:jc w:val="both"/>
    </w:pPr>
    <w:rPr>
      <w:rFonts w:ascii="Times New Roman" w:hAnsi="Times New Roman" w:eastAsia="宋体" w:cs="Times New Roman"/>
      <w:sz w:val="21"/>
      <w:lang w:val="en-US" w:eastAsia="zh-CN" w:bidi="ar-SA"/>
    </w:rPr>
  </w:style>
  <w:style w:type="paragraph" w:styleId="6">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color w:val="000000"/>
      <w:kern w:val="0"/>
      <w:sz w:val="24"/>
    </w:rPr>
  </w:style>
  <w:style w:type="paragraph" w:styleId="9">
    <w:name w:val="Title"/>
    <w:basedOn w:val="3"/>
    <w:next w:val="1"/>
    <w:link w:val="14"/>
    <w:qFormat/>
    <w:uiPriority w:val="0"/>
    <w:pPr>
      <w:spacing w:before="360" w:after="120" w:line="415" w:lineRule="auto"/>
      <w:jc w:val="left"/>
      <w:outlineLvl w:val="0"/>
    </w:pPr>
    <w:rPr>
      <w:rFonts w:ascii="Cambria" w:hAnsi="Cambria" w:eastAsia="宋体" w:cs="Times New Roman"/>
      <w:bCs w:val="0"/>
      <w:kern w:val="0"/>
      <w:sz w:val="28"/>
      <w:szCs w:val="28"/>
    </w:rPr>
  </w:style>
  <w:style w:type="character" w:customStyle="1" w:styleId="12">
    <w:name w:val="页眉 Char"/>
    <w:basedOn w:val="10"/>
    <w:link w:val="7"/>
    <w:qFormat/>
    <w:uiPriority w:val="99"/>
    <w:rPr>
      <w:sz w:val="18"/>
      <w:szCs w:val="18"/>
    </w:rPr>
  </w:style>
  <w:style w:type="character" w:customStyle="1" w:styleId="13">
    <w:name w:val="页脚 Char"/>
    <w:basedOn w:val="10"/>
    <w:link w:val="6"/>
    <w:qFormat/>
    <w:uiPriority w:val="99"/>
    <w:rPr>
      <w:sz w:val="18"/>
      <w:szCs w:val="18"/>
    </w:rPr>
  </w:style>
  <w:style w:type="character" w:customStyle="1" w:styleId="14">
    <w:name w:val="标题 Char"/>
    <w:basedOn w:val="10"/>
    <w:link w:val="9"/>
    <w:qFormat/>
    <w:uiPriority w:val="0"/>
    <w:rPr>
      <w:rFonts w:ascii="Cambria" w:hAnsi="Cambria" w:eastAsia="宋体" w:cs="Times New Roman"/>
      <w:b/>
      <w:kern w:val="0"/>
      <w:sz w:val="28"/>
      <w:szCs w:val="28"/>
    </w:rPr>
  </w:style>
  <w:style w:type="character" w:customStyle="1" w:styleId="15">
    <w:name w:val="正文文本 Char"/>
    <w:basedOn w:val="10"/>
    <w:link w:val="4"/>
    <w:qFormat/>
    <w:uiPriority w:val="0"/>
    <w:rPr>
      <w:rFonts w:ascii="Times New Roman" w:hAnsi="Times New Roman" w:eastAsia="宋体" w:cs="Times New Roman"/>
      <w:kern w:val="0"/>
      <w:sz w:val="24"/>
      <w:szCs w:val="20"/>
    </w:rPr>
  </w:style>
  <w:style w:type="character" w:customStyle="1" w:styleId="16">
    <w:name w:val="标题 2 Char"/>
    <w:basedOn w:val="10"/>
    <w:link w:val="3"/>
    <w:semiHidden/>
    <w:qFormat/>
    <w:uiPriority w:val="9"/>
    <w:rPr>
      <w:rFonts w:asciiTheme="majorHAnsi" w:hAnsiTheme="majorHAnsi" w:eastAsiaTheme="majorEastAsia" w:cstheme="majorBidi"/>
      <w:b/>
      <w:bCs/>
      <w:sz w:val="32"/>
      <w:szCs w:val="32"/>
    </w:rPr>
  </w:style>
  <w:style w:type="paragraph" w:customStyle="1" w:styleId="17">
    <w:name w:val="_Style 3"/>
    <w:basedOn w:val="1"/>
    <w:qFormat/>
    <w:uiPriority w:val="0"/>
    <w:pPr>
      <w:adjustRightInd w:val="0"/>
      <w:spacing w:line="360" w:lineRule="auto"/>
    </w:pPr>
    <w:rPr>
      <w:rFonts w:ascii="Calibri" w:hAnsi="Calibri"/>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398</Words>
  <Characters>2270</Characters>
  <Lines>18</Lines>
  <Paragraphs>5</Paragraphs>
  <TotalTime>14</TotalTime>
  <ScaleCrop>false</ScaleCrop>
  <LinksUpToDate>false</LinksUpToDate>
  <CharactersWithSpaces>2663</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2019-07-08T02:55:00Z</dcterms:created>
  <dc:creator>lenovo</dc:creator>
  <cp:lastModifiedBy>中泰百聪工程管理有限公司</cp:lastModifiedBy>
  <dcterms:modified xsi:type="dcterms:W3CDTF">2020-07-06T09:27:57Z</dcterms:modified>
  <dc:title>招 标 公 告</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