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Cs/>
          <w:color w:val="auto"/>
          <w:szCs w:val="32"/>
          <w:highlight w:val="none"/>
        </w:rPr>
      </w:pPr>
      <w:r>
        <w:rPr>
          <w:rFonts w:hint="eastAsia"/>
          <w:b/>
          <w:color w:val="auto"/>
          <w:sz w:val="44"/>
          <w:highlight w:val="none"/>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31115</wp:posOffset>
            </wp:positionV>
            <wp:extent cx="1628775" cy="600075"/>
            <wp:effectExtent l="0" t="0" r="9525" b="9525"/>
            <wp:wrapTight wrapText="bothSides">
              <wp:wrapPolygon>
                <wp:start x="0" y="0"/>
                <wp:lineTo x="0" y="21257"/>
                <wp:lineTo x="21474" y="21257"/>
                <wp:lineTo x="21474" y="0"/>
                <wp:lineTo x="0" y="0"/>
              </wp:wrapPolygon>
            </wp:wrapTight>
            <wp:docPr id="1"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pic:cNvPicPr>
                      <a:picLocks noChangeAspect="1"/>
                    </pic:cNvPicPr>
                  </pic:nvPicPr>
                  <pic:blipFill>
                    <a:blip r:embed="rId7"/>
                    <a:stretch>
                      <a:fillRect/>
                    </a:stretch>
                  </pic:blipFill>
                  <pic:spPr>
                    <a:xfrm>
                      <a:off x="0" y="0"/>
                      <a:ext cx="1628775" cy="600075"/>
                    </a:xfrm>
                    <a:prstGeom prst="rect">
                      <a:avLst/>
                    </a:prstGeom>
                    <a:noFill/>
                    <a:ln>
                      <a:noFill/>
                    </a:ln>
                  </pic:spPr>
                </pic:pic>
              </a:graphicData>
            </a:graphic>
          </wp:anchor>
        </w:drawing>
      </w:r>
      <w:r>
        <w:rPr>
          <w:rFonts w:hint="eastAsia" w:ascii="宋体" w:hAnsi="宋体"/>
          <w:b/>
          <w:color w:val="auto"/>
          <w:sz w:val="32"/>
          <w:szCs w:val="32"/>
          <w:highlight w:val="none"/>
        </w:rPr>
        <w:t xml:space="preserve">                                           </w:t>
      </w:r>
    </w:p>
    <w:p>
      <w:pPr>
        <w:ind w:right="-281"/>
        <w:jc w:val="right"/>
        <w:rPr>
          <w:rFonts w:ascii="Bookman Old Style" w:hAnsi="Bookman Old Style"/>
          <w:b/>
          <w:color w:val="auto"/>
          <w:sz w:val="28"/>
          <w:highlight w:val="none"/>
        </w:rPr>
      </w:pPr>
    </w:p>
    <w:p>
      <w:pPr>
        <w:spacing w:after="312" w:afterLines="100" w:line="500" w:lineRule="exact"/>
        <w:jc w:val="center"/>
        <w:rPr>
          <w:b/>
          <w:color w:val="auto"/>
          <w:sz w:val="44"/>
          <w:szCs w:val="44"/>
          <w:highlight w:val="none"/>
        </w:rPr>
      </w:pPr>
    </w:p>
    <w:p>
      <w:pPr>
        <w:spacing w:after="312" w:afterLines="100" w:line="500" w:lineRule="exact"/>
        <w:jc w:val="center"/>
        <w:rPr>
          <w:b/>
          <w:color w:val="auto"/>
          <w:sz w:val="52"/>
          <w:szCs w:val="52"/>
          <w:highlight w:val="none"/>
        </w:rPr>
      </w:pPr>
    </w:p>
    <w:p>
      <w:pPr>
        <w:spacing w:after="312" w:afterLines="100" w:line="500" w:lineRule="exact"/>
        <w:jc w:val="center"/>
        <w:rPr>
          <w:b/>
          <w:color w:val="auto"/>
          <w:sz w:val="52"/>
          <w:szCs w:val="52"/>
          <w:highlight w:val="none"/>
        </w:rPr>
      </w:pPr>
      <w:r>
        <w:rPr>
          <w:rFonts w:hint="eastAsia"/>
          <w:b/>
          <w:color w:val="auto"/>
          <w:sz w:val="52"/>
          <w:szCs w:val="52"/>
          <w:highlight w:val="none"/>
        </w:rPr>
        <w:t>中国科学院福建物质结构研究所</w:t>
      </w:r>
    </w:p>
    <w:p>
      <w:pPr>
        <w:spacing w:after="312" w:afterLines="100"/>
        <w:jc w:val="center"/>
        <w:rPr>
          <w:b/>
          <w:color w:val="auto"/>
          <w:sz w:val="52"/>
          <w:szCs w:val="52"/>
          <w:highlight w:val="none"/>
        </w:rPr>
      </w:pPr>
      <w:r>
        <w:rPr>
          <w:rFonts w:hint="eastAsia"/>
          <w:b/>
          <w:color w:val="auto"/>
          <w:sz w:val="52"/>
          <w:szCs w:val="52"/>
          <w:highlight w:val="none"/>
          <w:u w:val="single"/>
        </w:rPr>
        <w:t>拉曼光谱仪</w:t>
      </w:r>
      <w:r>
        <w:rPr>
          <w:rFonts w:hint="eastAsia"/>
          <w:b/>
          <w:color w:val="auto"/>
          <w:sz w:val="52"/>
          <w:szCs w:val="52"/>
          <w:highlight w:val="none"/>
        </w:rPr>
        <w:t>采购项目</w:t>
      </w:r>
    </w:p>
    <w:p>
      <w:pPr>
        <w:spacing w:line="360" w:lineRule="auto"/>
        <w:jc w:val="center"/>
        <w:rPr>
          <w:b/>
          <w:color w:val="auto"/>
          <w:sz w:val="44"/>
          <w:highlight w:val="none"/>
        </w:rPr>
      </w:pPr>
    </w:p>
    <w:p>
      <w:pPr>
        <w:spacing w:line="360" w:lineRule="auto"/>
        <w:rPr>
          <w:b/>
          <w:color w:val="auto"/>
          <w:sz w:val="44"/>
          <w:highlight w:val="none"/>
        </w:rPr>
      </w:pPr>
    </w:p>
    <w:p>
      <w:pPr>
        <w:spacing w:line="360" w:lineRule="auto"/>
        <w:jc w:val="center"/>
        <w:rPr>
          <w:rFonts w:ascii="宋体" w:hAnsi="宋体"/>
          <w:b/>
          <w:color w:val="auto"/>
          <w:szCs w:val="21"/>
          <w:highlight w:val="none"/>
        </w:rPr>
      </w:pPr>
      <w:r>
        <w:rPr>
          <w:rFonts w:hint="eastAsia" w:ascii="宋体" w:hAnsi="宋体"/>
          <w:b/>
          <w:color w:val="auto"/>
          <w:sz w:val="72"/>
          <w:szCs w:val="52"/>
          <w:highlight w:val="none"/>
        </w:rPr>
        <w:t>招</w:t>
      </w:r>
      <w:r>
        <w:rPr>
          <w:rFonts w:ascii="宋体" w:hAnsi="宋体"/>
          <w:b/>
          <w:color w:val="auto"/>
          <w:sz w:val="72"/>
          <w:szCs w:val="52"/>
          <w:highlight w:val="none"/>
        </w:rPr>
        <w:t xml:space="preserve">  </w:t>
      </w:r>
      <w:r>
        <w:rPr>
          <w:rFonts w:hint="eastAsia" w:ascii="宋体" w:hAnsi="宋体"/>
          <w:b/>
          <w:color w:val="auto"/>
          <w:sz w:val="72"/>
          <w:szCs w:val="52"/>
          <w:highlight w:val="none"/>
        </w:rPr>
        <w:t>标</w:t>
      </w:r>
      <w:r>
        <w:rPr>
          <w:rFonts w:ascii="宋体" w:hAnsi="宋体"/>
          <w:b/>
          <w:color w:val="auto"/>
          <w:sz w:val="72"/>
          <w:szCs w:val="52"/>
          <w:highlight w:val="none"/>
        </w:rPr>
        <w:t xml:space="preserve">  </w:t>
      </w:r>
      <w:r>
        <w:rPr>
          <w:rFonts w:hint="eastAsia" w:ascii="宋体" w:hAnsi="宋体"/>
          <w:b/>
          <w:color w:val="auto"/>
          <w:sz w:val="72"/>
          <w:szCs w:val="52"/>
          <w:highlight w:val="none"/>
        </w:rPr>
        <w:t>文</w:t>
      </w:r>
      <w:r>
        <w:rPr>
          <w:rFonts w:ascii="宋体" w:hAnsi="宋体"/>
          <w:b/>
          <w:color w:val="auto"/>
          <w:sz w:val="72"/>
          <w:szCs w:val="52"/>
          <w:highlight w:val="none"/>
        </w:rPr>
        <w:t xml:space="preserve">  </w:t>
      </w:r>
      <w:r>
        <w:rPr>
          <w:rFonts w:hint="eastAsia" w:ascii="宋体" w:hAnsi="宋体"/>
          <w:b/>
          <w:color w:val="auto"/>
          <w:sz w:val="72"/>
          <w:szCs w:val="52"/>
          <w:highlight w:val="none"/>
        </w:rPr>
        <w:t>件</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第二册</w:t>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（专用册）</w:t>
      </w:r>
    </w:p>
    <w:p>
      <w:pPr>
        <w:spacing w:line="360" w:lineRule="auto"/>
        <w:jc w:val="center"/>
        <w:rPr>
          <w:rFonts w:ascii="宋体" w:hAnsi="宋体"/>
          <w:b/>
          <w:color w:val="auto"/>
          <w:sz w:val="30"/>
          <w:szCs w:val="30"/>
          <w:highlight w:val="none"/>
        </w:rPr>
      </w:pPr>
    </w:p>
    <w:p>
      <w:pPr>
        <w:spacing w:line="360" w:lineRule="auto"/>
        <w:ind w:firstLine="2168" w:firstLineChars="600"/>
        <w:rPr>
          <w:b/>
          <w:color w:val="auto"/>
          <w:sz w:val="32"/>
          <w:highlight w:val="none"/>
          <w:u w:val="single"/>
        </w:rPr>
      </w:pPr>
      <w:r>
        <w:rPr>
          <w:rFonts w:hint="eastAsia" w:ascii="宋体" w:hAnsi="宋体"/>
          <w:b/>
          <w:color w:val="auto"/>
          <w:sz w:val="36"/>
          <w:szCs w:val="36"/>
          <w:highlight w:val="none"/>
        </w:rPr>
        <w:t>招标编号：</w:t>
      </w:r>
      <w:r>
        <w:rPr>
          <w:rFonts w:hint="eastAsia" w:ascii="宋体" w:hAnsi="宋体"/>
          <w:b/>
          <w:color w:val="auto"/>
          <w:sz w:val="36"/>
          <w:szCs w:val="36"/>
          <w:highlight w:val="none"/>
          <w:u w:val="single"/>
        </w:rPr>
        <w:t>OITC-G210300016</w:t>
      </w:r>
    </w:p>
    <w:p>
      <w:pPr>
        <w:spacing w:line="360" w:lineRule="auto"/>
        <w:jc w:val="center"/>
        <w:rPr>
          <w:b/>
          <w:color w:val="auto"/>
          <w:sz w:val="32"/>
          <w:highlight w:val="none"/>
        </w:rPr>
      </w:pPr>
    </w:p>
    <w:p>
      <w:pPr>
        <w:spacing w:line="360" w:lineRule="auto"/>
        <w:jc w:val="center"/>
        <w:rPr>
          <w:b/>
          <w:color w:val="auto"/>
          <w:sz w:val="32"/>
          <w:highlight w:val="none"/>
        </w:rPr>
      </w:pPr>
    </w:p>
    <w:p>
      <w:pPr>
        <w:adjustRightInd w:val="0"/>
        <w:snapToGrid w:val="0"/>
        <w:spacing w:before="120"/>
        <w:jc w:val="center"/>
        <w:rPr>
          <w:rFonts w:ascii="宋体" w:hAnsi="宋体"/>
          <w:b/>
          <w:bCs/>
          <w:snapToGrid w:val="0"/>
          <w:color w:val="auto"/>
          <w:spacing w:val="20"/>
          <w:sz w:val="36"/>
          <w:szCs w:val="36"/>
          <w:highlight w:val="none"/>
        </w:rPr>
      </w:pPr>
      <w:r>
        <w:rPr>
          <w:rFonts w:hint="eastAsia" w:ascii="宋体" w:hAnsi="宋体"/>
          <w:b/>
          <w:bCs/>
          <w:snapToGrid w:val="0"/>
          <w:color w:val="auto"/>
          <w:spacing w:val="20"/>
          <w:sz w:val="36"/>
          <w:szCs w:val="36"/>
          <w:highlight w:val="none"/>
        </w:rPr>
        <w:t>东方国际招标有限责任公司</w:t>
      </w:r>
    </w:p>
    <w:p>
      <w:pPr>
        <w:adjustRightInd w:val="0"/>
        <w:snapToGrid w:val="0"/>
        <w:jc w:val="center"/>
        <w:rPr>
          <w:rFonts w:ascii="宋体" w:hAnsi="宋体"/>
          <w:b/>
          <w:snapToGrid w:val="0"/>
          <w:color w:val="auto"/>
          <w:sz w:val="36"/>
          <w:szCs w:val="36"/>
          <w:highlight w:val="none"/>
        </w:rPr>
      </w:pPr>
    </w:p>
    <w:p>
      <w:pPr>
        <w:adjustRightInd w:val="0"/>
        <w:snapToGrid w:val="0"/>
        <w:jc w:val="center"/>
        <w:rPr>
          <w:rFonts w:ascii="宋体" w:hAnsi="宋体"/>
          <w:b/>
          <w:snapToGrid w:val="0"/>
          <w:color w:val="auto"/>
          <w:sz w:val="36"/>
          <w:szCs w:val="36"/>
          <w:highlight w:val="none"/>
        </w:rPr>
      </w:pPr>
      <w:r>
        <w:rPr>
          <w:rFonts w:hint="eastAsia" w:ascii="宋体" w:hAnsi="宋体"/>
          <w:b/>
          <w:snapToGrid w:val="0"/>
          <w:color w:val="auto"/>
          <w:sz w:val="36"/>
          <w:szCs w:val="36"/>
          <w:highlight w:val="none"/>
        </w:rPr>
        <w:t>中国 · 北京</w:t>
      </w:r>
    </w:p>
    <w:p>
      <w:pPr>
        <w:adjustRightInd w:val="0"/>
        <w:snapToGrid w:val="0"/>
        <w:jc w:val="center"/>
        <w:rPr>
          <w:rFonts w:ascii="宋体" w:hAnsi="宋体"/>
          <w:b/>
          <w:snapToGrid w:val="0"/>
          <w:color w:val="auto"/>
          <w:sz w:val="36"/>
          <w:szCs w:val="36"/>
          <w:highlight w:val="none"/>
        </w:rPr>
      </w:pPr>
    </w:p>
    <w:p>
      <w:pPr>
        <w:adjustRightInd w:val="0"/>
        <w:snapToGrid w:val="0"/>
        <w:jc w:val="center"/>
        <w:rPr>
          <w:rFonts w:ascii="宋体" w:hAnsi="宋体"/>
          <w:b/>
          <w:color w:val="auto"/>
          <w:sz w:val="32"/>
          <w:szCs w:val="32"/>
          <w:highlight w:val="none"/>
        </w:rPr>
      </w:pPr>
      <w:r>
        <w:rPr>
          <w:rFonts w:hint="eastAsia" w:ascii="宋体" w:hAnsi="宋体"/>
          <w:b/>
          <w:snapToGrid w:val="0"/>
          <w:color w:val="auto"/>
          <w:sz w:val="36"/>
          <w:szCs w:val="36"/>
          <w:highlight w:val="none"/>
        </w:rPr>
        <w:t>2021年</w:t>
      </w:r>
      <w:r>
        <w:rPr>
          <w:rFonts w:hint="eastAsia" w:ascii="宋体" w:hAnsi="宋体"/>
          <w:b/>
          <w:snapToGrid w:val="0"/>
          <w:color w:val="auto"/>
          <w:sz w:val="36"/>
          <w:szCs w:val="36"/>
          <w:highlight w:val="none"/>
          <w:lang w:val="en-US" w:eastAsia="zh-CN"/>
        </w:rPr>
        <w:t>6</w:t>
      </w:r>
      <w:r>
        <w:rPr>
          <w:rFonts w:hint="eastAsia" w:ascii="宋体" w:hAnsi="宋体"/>
          <w:b/>
          <w:snapToGrid w:val="0"/>
          <w:color w:val="auto"/>
          <w:sz w:val="36"/>
          <w:szCs w:val="36"/>
          <w:highlight w:val="none"/>
        </w:rPr>
        <w:t>月</w:t>
      </w:r>
    </w:p>
    <w:p>
      <w:pPr>
        <w:adjustRightInd w:val="0"/>
        <w:snapToGrid w:val="0"/>
        <w:jc w:val="center"/>
        <w:rPr>
          <w:rFonts w:ascii="宋体" w:hAnsi="宋体"/>
          <w:b/>
          <w:color w:val="auto"/>
          <w:sz w:val="24"/>
          <w:highlight w:val="none"/>
        </w:rPr>
      </w:pPr>
      <w:bookmarkStart w:id="2" w:name="_GoBack"/>
      <w:bookmarkEnd w:id="2"/>
      <w:bookmarkStart w:id="0" w:name="_Toc512937852"/>
      <w:r>
        <w:rPr>
          <w:rFonts w:ascii="宋体" w:hAnsi="宋体"/>
          <w:b/>
          <w:color w:val="auto"/>
          <w:sz w:val="24"/>
          <w:highlight w:val="none"/>
        </w:rPr>
        <w:br w:type="page"/>
      </w: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spacing w:before="936" w:beforeLines="300"/>
        <w:jc w:val="center"/>
        <w:rPr>
          <w:rFonts w:ascii="黑体" w:eastAsia="黑体"/>
          <w:b/>
          <w:color w:val="auto"/>
          <w:kern w:val="44"/>
          <w:sz w:val="48"/>
          <w:szCs w:val="20"/>
          <w:highlight w:val="none"/>
        </w:rPr>
      </w:pPr>
      <w:r>
        <w:rPr>
          <w:rFonts w:hint="eastAsia" w:ascii="黑体" w:eastAsia="黑体"/>
          <w:b/>
          <w:color w:val="auto"/>
          <w:kern w:val="44"/>
          <w:sz w:val="48"/>
          <w:szCs w:val="20"/>
          <w:highlight w:val="none"/>
        </w:rPr>
        <w:t>第八部分  技术部分</w:t>
      </w:r>
      <w:r>
        <w:rPr>
          <w:rFonts w:ascii="黑体" w:eastAsia="黑体"/>
          <w:b/>
          <w:color w:val="auto"/>
          <w:kern w:val="44"/>
          <w:sz w:val="48"/>
          <w:szCs w:val="20"/>
          <w:highlight w:val="none"/>
        </w:rPr>
        <w:br w:type="page"/>
      </w:r>
    </w:p>
    <w:bookmarkEnd w:id="0"/>
    <w:p>
      <w:pPr>
        <w:numPr>
          <w:ilvl w:val="2"/>
          <w:numId w:val="1"/>
        </w:numPr>
        <w:adjustRightInd w:val="0"/>
        <w:snapToGrid w:val="0"/>
        <w:jc w:val="center"/>
        <w:rPr>
          <w:rFonts w:ascii="宋体" w:hAnsi="宋体"/>
          <w:b/>
          <w:color w:val="auto"/>
          <w:sz w:val="30"/>
          <w:szCs w:val="30"/>
          <w:highlight w:val="none"/>
        </w:rPr>
      </w:pPr>
      <w:r>
        <w:rPr>
          <w:rFonts w:hint="eastAsia" w:ascii="宋体" w:hAnsi="宋体"/>
          <w:b/>
          <w:color w:val="auto"/>
          <w:sz w:val="30"/>
          <w:szCs w:val="30"/>
          <w:highlight w:val="none"/>
        </w:rPr>
        <w:t>货物需求一览表</w:t>
      </w:r>
    </w:p>
    <w:p>
      <w:pPr>
        <w:adjustRightInd w:val="0"/>
        <w:snapToGrid w:val="0"/>
        <w:jc w:val="center"/>
        <w:rPr>
          <w:rFonts w:ascii="宋体" w:hAnsi="宋体"/>
          <w:b/>
          <w:color w:val="auto"/>
          <w:sz w:val="30"/>
          <w:szCs w:val="30"/>
          <w:highlight w:val="none"/>
        </w:rPr>
      </w:pPr>
    </w:p>
    <w:tbl>
      <w:tblPr>
        <w:tblStyle w:val="7"/>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包号</w:t>
            </w:r>
          </w:p>
        </w:tc>
        <w:tc>
          <w:tcPr>
            <w:tcW w:w="2640"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货物名称</w:t>
            </w:r>
          </w:p>
        </w:tc>
        <w:tc>
          <w:tcPr>
            <w:tcW w:w="63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数量</w:t>
            </w:r>
          </w:p>
        </w:tc>
        <w:tc>
          <w:tcPr>
            <w:tcW w:w="1320"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交货期</w:t>
            </w:r>
          </w:p>
        </w:tc>
        <w:tc>
          <w:tcPr>
            <w:tcW w:w="176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指定到货港</w:t>
            </w:r>
          </w:p>
        </w:tc>
        <w:tc>
          <w:tcPr>
            <w:tcW w:w="2520" w:type="dxa"/>
            <w:vAlign w:val="center"/>
          </w:tcPr>
          <w:p>
            <w:pPr>
              <w:jc w:val="center"/>
              <w:rPr>
                <w:rFonts w:ascii="宋体" w:hAnsi="Bookman Old Style"/>
                <w:color w:val="auto"/>
                <w:sz w:val="24"/>
                <w:highlight w:val="none"/>
                <w:shd w:val="pct10" w:color="auto" w:fill="FFFFFF"/>
              </w:rPr>
            </w:pPr>
            <w:r>
              <w:rPr>
                <w:rFonts w:hint="eastAsia" w:ascii="宋体" w:hAnsi="Bookman Old Style"/>
                <w:color w:val="auto"/>
                <w:sz w:val="24"/>
                <w:highlight w:val="none"/>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vAlign w:val="center"/>
          </w:tcPr>
          <w:p>
            <w:pPr>
              <w:jc w:val="center"/>
              <w:rPr>
                <w:rFonts w:ascii="宋体"/>
                <w:color w:val="auto"/>
                <w:sz w:val="24"/>
                <w:highlight w:val="none"/>
              </w:rPr>
            </w:pPr>
            <w:r>
              <w:rPr>
                <w:rFonts w:hint="eastAsia" w:ascii="宋体"/>
                <w:color w:val="auto"/>
                <w:sz w:val="24"/>
                <w:highlight w:val="none"/>
              </w:rPr>
              <w:t>1</w:t>
            </w:r>
          </w:p>
        </w:tc>
        <w:tc>
          <w:tcPr>
            <w:tcW w:w="2640" w:type="dxa"/>
            <w:vAlign w:val="center"/>
          </w:tcPr>
          <w:p>
            <w:pPr>
              <w:jc w:val="center"/>
              <w:rPr>
                <w:rFonts w:ascii="Bookman Old Style" w:hAnsi="Bookman Old Style"/>
                <w:color w:val="auto"/>
                <w:sz w:val="24"/>
                <w:highlight w:val="none"/>
              </w:rPr>
            </w:pPr>
            <w:r>
              <w:rPr>
                <w:rFonts w:hint="eastAsia" w:ascii="Bookman Old Style" w:hAnsi="Bookman Old Style"/>
                <w:color w:val="auto"/>
                <w:sz w:val="24"/>
                <w:highlight w:val="none"/>
              </w:rPr>
              <w:t>拉曼光谱仪</w:t>
            </w:r>
          </w:p>
        </w:tc>
        <w:tc>
          <w:tcPr>
            <w:tcW w:w="63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w:t>
            </w:r>
          </w:p>
        </w:tc>
        <w:tc>
          <w:tcPr>
            <w:tcW w:w="5605" w:type="dxa"/>
            <w:gridSpan w:val="3"/>
            <w:vAlign w:val="center"/>
          </w:tcPr>
          <w:p>
            <w:pPr>
              <w:jc w:val="center"/>
              <w:rPr>
                <w:rFonts w:ascii="宋体" w:hAnsi="Bookman Old Style"/>
                <w:color w:val="auto"/>
                <w:sz w:val="24"/>
                <w:highlight w:val="none"/>
              </w:rPr>
            </w:pPr>
            <w:r>
              <w:rPr>
                <w:rFonts w:hint="eastAsia" w:ascii="宋体" w:hAnsi="Bookman Old Style"/>
                <w:color w:val="auto"/>
                <w:sz w:val="24"/>
                <w:highlight w:val="none"/>
              </w:rPr>
              <w:t>详见具体技术规格</w:t>
            </w:r>
          </w:p>
        </w:tc>
      </w:tr>
    </w:tbl>
    <w:p>
      <w:pPr>
        <w:adjustRightInd w:val="0"/>
        <w:snapToGrid w:val="0"/>
        <w:jc w:val="center"/>
        <w:rPr>
          <w:rFonts w:ascii="宋体" w:hAnsi="宋体"/>
          <w:b/>
          <w:color w:val="auto"/>
          <w:sz w:val="30"/>
          <w:szCs w:val="30"/>
          <w:highlight w:val="none"/>
        </w:rPr>
      </w:pPr>
    </w:p>
    <w:p>
      <w:pPr>
        <w:adjustRightInd w:val="0"/>
        <w:snapToGrid w:val="0"/>
        <w:jc w:val="center"/>
        <w:rPr>
          <w:rFonts w:ascii="宋体" w:hAnsi="宋体"/>
          <w:b/>
          <w:color w:val="auto"/>
          <w:sz w:val="30"/>
          <w:szCs w:val="30"/>
          <w:highlight w:val="none"/>
        </w:rPr>
      </w:pPr>
    </w:p>
    <w:p>
      <w:pPr>
        <w:adjustRightInd w:val="0"/>
        <w:snapToGrid w:val="0"/>
        <w:jc w:val="center"/>
        <w:rPr>
          <w:rFonts w:ascii="宋体" w:hAnsi="宋体"/>
          <w:b/>
          <w:color w:val="auto"/>
          <w:sz w:val="30"/>
          <w:szCs w:val="30"/>
          <w:highlight w:val="none"/>
        </w:rPr>
      </w:pPr>
    </w:p>
    <w:p>
      <w:pPr>
        <w:rPr>
          <w:rFonts w:ascii="Bookman Old Style" w:hAnsi="Bookman Old Style"/>
          <w:color w:val="auto"/>
          <w:sz w:val="24"/>
          <w:highlight w:val="none"/>
        </w:rPr>
      </w:pPr>
      <w:r>
        <w:rPr>
          <w:rFonts w:hint="eastAsia"/>
          <w:color w:val="auto"/>
          <w:sz w:val="24"/>
          <w:highlight w:val="none"/>
        </w:rPr>
        <w:t>注：投标人须对上述投标内容中完整的一包或几包进行投标，</w:t>
      </w:r>
      <w:r>
        <w:rPr>
          <w:rFonts w:hint="eastAsia" w:ascii="Bookman Old Style" w:hAnsi="Bookman Old Style"/>
          <w:color w:val="auto"/>
          <w:sz w:val="24"/>
          <w:highlight w:val="none"/>
        </w:rPr>
        <w:t>不完整的投标将视为非响应性投标予以拒绝。</w:t>
      </w: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b/>
          <w:color w:val="auto"/>
          <w:sz w:val="30"/>
          <w:szCs w:val="30"/>
          <w:highlight w:val="none"/>
        </w:rPr>
      </w:pPr>
      <w:r>
        <w:rPr>
          <w:rFonts w:ascii="宋体" w:hAnsi="宋体"/>
          <w:b/>
          <w:color w:val="auto"/>
          <w:sz w:val="30"/>
          <w:szCs w:val="30"/>
          <w:highlight w:val="none"/>
        </w:rPr>
        <w:br w:type="page"/>
      </w:r>
    </w:p>
    <w:p>
      <w:pPr>
        <w:numPr>
          <w:ilvl w:val="2"/>
          <w:numId w:val="1"/>
        </w:numPr>
        <w:tabs>
          <w:tab w:val="left" w:pos="720"/>
          <w:tab w:val="clear" w:pos="1560"/>
        </w:tabs>
        <w:adjustRightInd w:val="0"/>
        <w:snapToGrid w:val="0"/>
        <w:ind w:hanging="1560"/>
        <w:jc w:val="center"/>
        <w:rPr>
          <w:rFonts w:ascii="宋体" w:hAnsi="宋体"/>
          <w:b/>
          <w:color w:val="auto"/>
          <w:sz w:val="30"/>
          <w:szCs w:val="30"/>
          <w:highlight w:val="none"/>
        </w:rPr>
      </w:pPr>
      <w:r>
        <w:rPr>
          <w:rFonts w:hint="eastAsia" w:ascii="宋体" w:hAnsi="宋体"/>
          <w:b/>
          <w:color w:val="auto"/>
          <w:sz w:val="30"/>
          <w:szCs w:val="30"/>
          <w:highlight w:val="none"/>
        </w:rPr>
        <w:t>技术规格</w:t>
      </w:r>
    </w:p>
    <w:p>
      <w:pPr>
        <w:spacing w:line="360" w:lineRule="auto"/>
        <w:ind w:left="600" w:hanging="600"/>
        <w:rPr>
          <w:rFonts w:ascii="宋体" w:hAnsi="宋体"/>
          <w:b/>
          <w:color w:val="auto"/>
          <w:sz w:val="30"/>
          <w:szCs w:val="30"/>
          <w:highlight w:val="none"/>
        </w:rPr>
      </w:pPr>
      <w:r>
        <w:rPr>
          <w:rFonts w:hint="eastAsia" w:ascii="宋体" w:hAnsi="宋体"/>
          <w:b/>
          <w:color w:val="auto"/>
          <w:sz w:val="30"/>
          <w:szCs w:val="30"/>
          <w:highlight w:val="none"/>
        </w:rPr>
        <w:t>一、总</w:t>
      </w:r>
      <w:r>
        <w:rPr>
          <w:rFonts w:ascii="宋体" w:hAnsi="宋体"/>
          <w:b/>
          <w:color w:val="auto"/>
          <w:sz w:val="30"/>
          <w:szCs w:val="30"/>
          <w:highlight w:val="none"/>
        </w:rPr>
        <w:t xml:space="preserve">  </w:t>
      </w:r>
      <w:r>
        <w:rPr>
          <w:rFonts w:hint="eastAsia" w:ascii="宋体" w:hAnsi="宋体"/>
          <w:b/>
          <w:color w:val="auto"/>
          <w:sz w:val="30"/>
          <w:szCs w:val="30"/>
          <w:highlight w:val="none"/>
        </w:rPr>
        <w:t>则</w:t>
      </w:r>
    </w:p>
    <w:p>
      <w:pPr>
        <w:spacing w:before="156" w:beforeLines="50" w:after="156" w:afterLines="50" w:line="360" w:lineRule="auto"/>
        <w:ind w:left="601" w:hanging="601"/>
        <w:rPr>
          <w:rFonts w:ascii="宋体" w:hAnsi="宋体"/>
          <w:b/>
          <w:color w:val="auto"/>
          <w:sz w:val="28"/>
          <w:highlight w:val="none"/>
        </w:rPr>
      </w:pPr>
      <w:r>
        <w:rPr>
          <w:rFonts w:ascii="宋体" w:hAnsi="宋体"/>
          <w:b/>
          <w:color w:val="auto"/>
          <w:sz w:val="28"/>
          <w:highlight w:val="none"/>
        </w:rPr>
        <w:t>1</w:t>
      </w:r>
      <w:r>
        <w:rPr>
          <w:rFonts w:hint="eastAsia" w:ascii="宋体" w:hAnsi="宋体"/>
          <w:b/>
          <w:color w:val="auto"/>
          <w:sz w:val="28"/>
          <w:highlight w:val="none"/>
        </w:rPr>
        <w:t>、投标要求</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 xml:space="preserve"> 投标人在准备投标书时，务必在所提供的商品的技术规格文件中，标明型号、商标名称、目录号。</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1.2  </w:t>
      </w:r>
      <w:r>
        <w:rPr>
          <w:rFonts w:hint="eastAsia" w:ascii="宋体" w:hAnsi="宋体"/>
          <w:color w:val="auto"/>
          <w:sz w:val="24"/>
          <w:highlight w:val="none"/>
        </w:rPr>
        <w:t>投标人提供的货物须是成熟的全新的产品</w:t>
      </w:r>
      <w:r>
        <w:rPr>
          <w:rFonts w:hint="eastAsia" w:ascii="宋体" w:hAnsi="宋体"/>
          <w:color w:val="auto"/>
          <w:sz w:val="24"/>
          <w:highlight w:val="none"/>
        </w:rPr>
        <w:t>，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1.3  </w:t>
      </w:r>
      <w:r>
        <w:rPr>
          <w:rFonts w:hint="eastAsia"/>
          <w:color w:val="auto"/>
          <w:sz w:val="24"/>
          <w:highlight w:val="none"/>
        </w:rPr>
        <w:t>投标人提供的</w:t>
      </w:r>
      <w:r>
        <w:rPr>
          <w:rFonts w:hint="eastAsia" w:ascii="宋体"/>
          <w:color w:val="auto"/>
          <w:sz w:val="24"/>
          <w:highlight w:val="none"/>
        </w:rPr>
        <w:t>产品</w:t>
      </w:r>
      <w:r>
        <w:rPr>
          <w:rFonts w:hint="eastAsia"/>
          <w:color w:val="auto"/>
          <w:sz w:val="24"/>
          <w:highlight w:val="none"/>
        </w:rPr>
        <w:t>样本，必须是“原件”而非复印件，</w:t>
      </w:r>
      <w:r>
        <w:rPr>
          <w:rFonts w:hint="eastAsia" w:ascii="宋体"/>
          <w:color w:val="auto"/>
          <w:sz w:val="24"/>
          <w:highlight w:val="none"/>
        </w:rPr>
        <w:t>图表、简图、电路图以及印刷电路板图等都应</w:t>
      </w:r>
      <w:r>
        <w:rPr>
          <w:rFonts w:hint="eastAsia"/>
          <w:color w:val="auto"/>
          <w:sz w:val="24"/>
          <w:highlight w:val="none"/>
        </w:rPr>
        <w:t>清晰易读。买方有权</w:t>
      </w:r>
      <w:r>
        <w:rPr>
          <w:rFonts w:hint="eastAsia" w:ascii="宋体"/>
          <w:color w:val="auto"/>
          <w:sz w:val="24"/>
          <w:highlight w:val="none"/>
        </w:rPr>
        <w:t>不付任何附加费用</w:t>
      </w:r>
      <w:r>
        <w:rPr>
          <w:rFonts w:hint="eastAsia"/>
          <w:color w:val="auto"/>
          <w:sz w:val="24"/>
          <w:highlight w:val="none"/>
        </w:rPr>
        <w:t>复制这些资料</w:t>
      </w:r>
      <w:r>
        <w:rPr>
          <w:rFonts w:hint="eastAsia" w:ascii="宋体"/>
          <w:color w:val="auto"/>
          <w:sz w:val="24"/>
          <w:highlight w:val="none"/>
        </w:rPr>
        <w:t>以供参考。</w:t>
      </w: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2、评标标准</w:t>
      </w:r>
    </w:p>
    <w:p>
      <w:pPr>
        <w:spacing w:line="360" w:lineRule="auto"/>
        <w:ind w:left="554" w:hanging="554" w:hangingChars="231"/>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1  </w:t>
      </w:r>
      <w:r>
        <w:rPr>
          <w:rFonts w:hint="eastAsia"/>
          <w:color w:val="auto"/>
          <w:sz w:val="24"/>
          <w:highlight w:val="none"/>
        </w:rPr>
        <w:t>除招标文件中指定的附件和专用工具外，</w:t>
      </w:r>
      <w:r>
        <w:rPr>
          <w:rFonts w:hint="eastAsia" w:ascii="宋体"/>
          <w:color w:val="auto"/>
          <w:sz w:val="24"/>
          <w:highlight w:val="none"/>
        </w:rPr>
        <w:t>投标人应提供仪器设备的正常运行和常规保养所需的全套标准附件、专用工具</w:t>
      </w:r>
      <w:r>
        <w:rPr>
          <w:rFonts w:hint="eastAsia"/>
          <w:color w:val="auto"/>
          <w:sz w:val="24"/>
          <w:highlight w:val="none"/>
        </w:rPr>
        <w:t>和消耗品</w:t>
      </w:r>
      <w:r>
        <w:rPr>
          <w:rFonts w:hint="eastAsia" w:ascii="宋体"/>
          <w:color w:val="auto"/>
          <w:sz w:val="24"/>
          <w:highlight w:val="none"/>
        </w:rPr>
        <w:t>。投标人在投标书中需列出这些附件和工具的数量和单价的清单，这些附件和工具的报价的总值需计入投标价中。</w:t>
      </w:r>
    </w:p>
    <w:p>
      <w:pPr>
        <w:spacing w:line="360" w:lineRule="auto"/>
        <w:ind w:left="554" w:hanging="554" w:hangingChars="231"/>
        <w:rPr>
          <w:color w:val="auto"/>
          <w:sz w:val="24"/>
          <w:highlight w:val="none"/>
        </w:rPr>
      </w:pPr>
      <w:r>
        <w:rPr>
          <w:rFonts w:hint="eastAsia" w:ascii="宋体" w:hAnsi="宋体"/>
          <w:color w:val="auto"/>
          <w:sz w:val="24"/>
          <w:highlight w:val="none"/>
        </w:rPr>
        <w:t xml:space="preserve">2.2  </w:t>
      </w:r>
      <w:r>
        <w:rPr>
          <w:rFonts w:hint="eastAsia"/>
          <w:color w:val="auto"/>
          <w:sz w:val="24"/>
          <w:highlight w:val="none"/>
        </w:rPr>
        <w:t>对于标书</w:t>
      </w:r>
      <w:r>
        <w:rPr>
          <w:rFonts w:hint="eastAsia" w:ascii="宋体"/>
          <w:color w:val="auto"/>
          <w:sz w:val="24"/>
          <w:highlight w:val="none"/>
        </w:rPr>
        <w:t>技术规范中已列</w:t>
      </w:r>
      <w:r>
        <w:rPr>
          <w:rFonts w:hint="eastAsia"/>
          <w:color w:val="auto"/>
          <w:sz w:val="24"/>
          <w:highlight w:val="none"/>
        </w:rPr>
        <w:t>出的作为查询选件的附件、零配件、专用工具和消耗品，投标书中</w:t>
      </w:r>
      <w:r>
        <w:rPr>
          <w:rFonts w:hint="eastAsia" w:ascii="宋体"/>
          <w:color w:val="auto"/>
          <w:sz w:val="24"/>
          <w:highlight w:val="none"/>
        </w:rPr>
        <w:t>应列明其数量、单价、总价供买方参考。投标人也可推荐买方没有要求的附件或专用工具作为选件，并列明其数量、单价、总价供买方参考。选件价格不计入评标价中。</w:t>
      </w:r>
      <w:r>
        <w:rPr>
          <w:rFonts w:hint="eastAsia"/>
          <w:color w:val="auto"/>
          <w:sz w:val="24"/>
          <w:highlight w:val="none"/>
        </w:rPr>
        <w:t>选件一旦为用户接受，其费用将加入合同价中。</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2.3  为便于用户进行接收仪器的准备工作，卖方应在合同生效后</w:t>
      </w:r>
      <w:r>
        <w:rPr>
          <w:rFonts w:hint="eastAsia" w:ascii="宋体" w:hAnsi="宋体"/>
          <w:b/>
          <w:color w:val="auto"/>
          <w:sz w:val="24"/>
          <w:highlight w:val="none"/>
        </w:rPr>
        <w:t>60</w:t>
      </w:r>
      <w:r>
        <w:rPr>
          <w:rFonts w:hint="eastAsia" w:ascii="宋体" w:hAnsi="宋体"/>
          <w:color w:val="auto"/>
          <w:sz w:val="24"/>
          <w:highlight w:val="none"/>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 xml:space="preserve">6  </w:t>
      </w:r>
      <w:r>
        <w:rPr>
          <w:rFonts w:hint="eastAsia"/>
          <w:color w:val="auto"/>
          <w:sz w:val="24"/>
          <w:highlight w:val="none"/>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3、工作条件</w:t>
      </w:r>
    </w:p>
    <w:p>
      <w:pPr>
        <w:spacing w:after="312" w:afterLines="100" w:line="360" w:lineRule="auto"/>
        <w:rPr>
          <w:rFonts w:ascii="宋体" w:hAnsi="宋体"/>
          <w:color w:val="auto"/>
          <w:sz w:val="24"/>
          <w:highlight w:val="none"/>
        </w:rPr>
      </w:pPr>
      <w:r>
        <w:rPr>
          <w:rFonts w:hint="eastAsia" w:ascii="宋体" w:hAnsi="宋体"/>
          <w:color w:val="auto"/>
          <w:sz w:val="24"/>
          <w:highlight w:val="none"/>
        </w:rPr>
        <w:t>除非在技术规格中另有说明，所有仪器、设备和系统都应符合下列要求：</w:t>
      </w:r>
      <w:r>
        <w:rPr>
          <w:rFonts w:ascii="宋体" w:hAnsi="宋体"/>
          <w:color w:val="auto"/>
          <w:sz w:val="24"/>
          <w:highlight w:val="none"/>
        </w:rPr>
        <w:t xml:space="preserve"> </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3.1  适于在气温为摄氏</w:t>
      </w:r>
      <w:r>
        <w:rPr>
          <w:rFonts w:ascii="宋体" w:hAnsi="宋体"/>
          <w:b/>
          <w:color w:val="auto"/>
          <w:sz w:val="24"/>
          <w:highlight w:val="none"/>
        </w:rPr>
        <w:t>-40</w:t>
      </w:r>
      <w:r>
        <w:rPr>
          <w:rFonts w:hint="eastAsia" w:ascii="宋体" w:hAnsi="宋体"/>
          <w:b/>
          <w:color w:val="auto"/>
          <w:sz w:val="24"/>
          <w:highlight w:val="none"/>
        </w:rPr>
        <w:t>℃～＋</w:t>
      </w:r>
      <w:r>
        <w:rPr>
          <w:rFonts w:ascii="宋体" w:hAnsi="宋体"/>
          <w:b/>
          <w:color w:val="auto"/>
          <w:sz w:val="24"/>
          <w:highlight w:val="none"/>
        </w:rPr>
        <w:t>50</w:t>
      </w:r>
      <w:r>
        <w:rPr>
          <w:rFonts w:hint="eastAsia" w:ascii="宋体" w:hAnsi="宋体"/>
          <w:b/>
          <w:color w:val="auto"/>
          <w:sz w:val="24"/>
          <w:highlight w:val="none"/>
        </w:rPr>
        <w:t>℃</w:t>
      </w:r>
      <w:r>
        <w:rPr>
          <w:rFonts w:hint="eastAsia" w:ascii="宋体" w:hAnsi="宋体"/>
          <w:color w:val="auto"/>
          <w:sz w:val="24"/>
          <w:highlight w:val="none"/>
        </w:rPr>
        <w:t>和相对湿度为</w:t>
      </w:r>
      <w:r>
        <w:rPr>
          <w:rFonts w:ascii="宋体" w:hAnsi="宋体"/>
          <w:b/>
          <w:color w:val="auto"/>
          <w:sz w:val="24"/>
          <w:highlight w:val="none"/>
        </w:rPr>
        <w:t>90</w:t>
      </w:r>
      <w:r>
        <w:rPr>
          <w:rFonts w:hint="eastAsia" w:ascii="宋体" w:hAnsi="宋体"/>
          <w:b/>
          <w:color w:val="auto"/>
          <w:sz w:val="24"/>
          <w:highlight w:val="none"/>
        </w:rPr>
        <w:t>％</w:t>
      </w:r>
      <w:r>
        <w:rPr>
          <w:rFonts w:hint="eastAsia" w:ascii="宋体" w:hAnsi="宋体"/>
          <w:color w:val="auto"/>
          <w:sz w:val="24"/>
          <w:highlight w:val="none"/>
        </w:rPr>
        <w:t>的环境条件下运输和贮存。</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3.2  适于在电源</w:t>
      </w:r>
      <w:r>
        <w:rPr>
          <w:rFonts w:ascii="宋体" w:hAnsi="宋体"/>
          <w:b/>
          <w:color w:val="auto"/>
          <w:sz w:val="24"/>
          <w:highlight w:val="none"/>
        </w:rPr>
        <w:t>220V</w:t>
      </w:r>
      <w:r>
        <w:rPr>
          <w:rFonts w:hint="eastAsia" w:ascii="宋体" w:hAnsi="宋体"/>
          <w:b/>
          <w:color w:val="auto"/>
          <w:sz w:val="24"/>
          <w:highlight w:val="none"/>
        </w:rPr>
        <w:t>（</w:t>
      </w:r>
      <w:r>
        <w:rPr>
          <w:rFonts w:ascii="宋体" w:hAnsi="宋体"/>
          <w:b/>
          <w:color w:val="auto"/>
          <w:sz w:val="24"/>
          <w:highlight w:val="none"/>
        </w:rPr>
        <w:sym w:font="Symbol" w:char="F0B1"/>
      </w:r>
      <w:r>
        <w:rPr>
          <w:rFonts w:ascii="宋体" w:hAnsi="宋体"/>
          <w:b/>
          <w:color w:val="auto"/>
          <w:sz w:val="24"/>
          <w:highlight w:val="none"/>
        </w:rPr>
        <w:t>10</w:t>
      </w:r>
      <w:r>
        <w:rPr>
          <w:rFonts w:hint="eastAsia" w:ascii="宋体" w:hAnsi="宋体"/>
          <w:b/>
          <w:color w:val="auto"/>
          <w:sz w:val="24"/>
          <w:highlight w:val="none"/>
        </w:rPr>
        <w:t>％）</w:t>
      </w:r>
      <w:r>
        <w:rPr>
          <w:rFonts w:ascii="宋体" w:hAnsi="宋体"/>
          <w:b/>
          <w:color w:val="auto"/>
          <w:sz w:val="24"/>
          <w:highlight w:val="none"/>
        </w:rPr>
        <w:t>/50Hz</w:t>
      </w:r>
      <w:r>
        <w:rPr>
          <w:rFonts w:hint="eastAsia" w:ascii="宋体" w:hAnsi="宋体"/>
          <w:color w:val="auto"/>
          <w:sz w:val="24"/>
          <w:highlight w:val="none"/>
        </w:rPr>
        <w:t>、气温摄氏</w:t>
      </w:r>
      <w:r>
        <w:rPr>
          <w:rFonts w:hint="eastAsia" w:ascii="宋体" w:hAnsi="宋体"/>
          <w:b/>
          <w:color w:val="auto"/>
          <w:sz w:val="24"/>
          <w:highlight w:val="none"/>
        </w:rPr>
        <w:t>+1</w:t>
      </w:r>
      <w:r>
        <w:rPr>
          <w:rFonts w:ascii="宋体" w:hAnsi="宋体"/>
          <w:b/>
          <w:color w:val="auto"/>
          <w:sz w:val="24"/>
          <w:highlight w:val="none"/>
        </w:rPr>
        <w:t>5</w:t>
      </w:r>
      <w:r>
        <w:rPr>
          <w:rFonts w:hint="eastAsia" w:ascii="宋体" w:hAnsi="宋体"/>
          <w:b/>
          <w:color w:val="auto"/>
          <w:sz w:val="24"/>
          <w:highlight w:val="none"/>
        </w:rPr>
        <w:t>℃～＋3</w:t>
      </w:r>
      <w:r>
        <w:rPr>
          <w:rFonts w:ascii="宋体" w:hAnsi="宋体"/>
          <w:b/>
          <w:color w:val="auto"/>
          <w:sz w:val="24"/>
          <w:highlight w:val="none"/>
        </w:rPr>
        <w:t>0</w:t>
      </w:r>
      <w:r>
        <w:rPr>
          <w:rFonts w:hint="eastAsia" w:ascii="宋体" w:hAnsi="宋体"/>
          <w:b/>
          <w:color w:val="auto"/>
          <w:sz w:val="24"/>
          <w:highlight w:val="none"/>
        </w:rPr>
        <w:t>℃</w:t>
      </w:r>
      <w:r>
        <w:rPr>
          <w:rFonts w:hint="eastAsia" w:ascii="宋体" w:hAnsi="宋体"/>
          <w:color w:val="auto"/>
          <w:sz w:val="24"/>
          <w:highlight w:val="none"/>
        </w:rPr>
        <w:t>和相对湿度小于</w:t>
      </w:r>
      <w:r>
        <w:rPr>
          <w:rFonts w:ascii="宋体" w:hAnsi="宋体"/>
          <w:b/>
          <w:color w:val="auto"/>
          <w:sz w:val="24"/>
          <w:highlight w:val="none"/>
        </w:rPr>
        <w:t>8</w:t>
      </w:r>
      <w:r>
        <w:rPr>
          <w:rFonts w:hint="eastAsia" w:ascii="宋体" w:hAnsi="宋体"/>
          <w:b/>
          <w:color w:val="auto"/>
          <w:sz w:val="24"/>
          <w:highlight w:val="none"/>
        </w:rPr>
        <w:t>0％</w:t>
      </w:r>
      <w:r>
        <w:rPr>
          <w:rFonts w:hint="eastAsia" w:ascii="宋体" w:hAnsi="宋体"/>
          <w:color w:val="auto"/>
          <w:sz w:val="24"/>
          <w:highlight w:val="none"/>
        </w:rPr>
        <w:t>的环境条件下运行。</w:t>
      </w:r>
      <w:r>
        <w:rPr>
          <w:rFonts w:hint="eastAsia" w:ascii="宋体" w:hAnsi="宋体"/>
          <w:b/>
          <w:color w:val="auto"/>
          <w:sz w:val="24"/>
          <w:highlight w:val="none"/>
        </w:rPr>
        <w:t>能够连续正常工作。</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3.3  配置符合中国有关标准要求的插头，如果没有这样的插头，则需</w:t>
      </w:r>
      <w:r>
        <w:rPr>
          <w:rFonts w:hint="eastAsia" w:ascii="宋体"/>
          <w:color w:val="auto"/>
          <w:sz w:val="24"/>
          <w:highlight w:val="none"/>
        </w:rPr>
        <w:t>提供适当的转</w:t>
      </w:r>
      <w:r>
        <w:rPr>
          <w:rFonts w:hint="eastAsia" w:ascii="宋体" w:hAnsi="宋体"/>
          <w:color w:val="auto"/>
          <w:sz w:val="24"/>
          <w:highlight w:val="none"/>
        </w:rPr>
        <w:t>换插座。</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3.4  如产品达不到上述要求，投标人应注明其偏差。如仪器设备需要特殊工作条件（如水、电源、磁场强度、温度、湿度、动强度等）投标人应在投标书中加以说明。</w:t>
      </w:r>
    </w:p>
    <w:p>
      <w:pPr>
        <w:rPr>
          <w:rFonts w:eastAsia="黑体"/>
          <w:b/>
          <w:bCs/>
          <w:color w:val="auto"/>
          <w:kern w:val="44"/>
          <w:sz w:val="24"/>
          <w:highlight w:val="none"/>
        </w:rPr>
      </w:pP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4、验收标准</w:t>
      </w:r>
    </w:p>
    <w:p>
      <w:pPr>
        <w:spacing w:after="312" w:afterLines="100" w:line="360" w:lineRule="auto"/>
        <w:rPr>
          <w:rFonts w:ascii="宋体" w:hAnsi="宋体"/>
          <w:color w:val="auto"/>
          <w:sz w:val="24"/>
          <w:highlight w:val="none"/>
        </w:rPr>
      </w:pPr>
      <w:r>
        <w:rPr>
          <w:rFonts w:hint="eastAsia" w:ascii="宋体" w:hAnsi="宋体"/>
          <w:color w:val="auto"/>
          <w:sz w:val="24"/>
          <w:highlight w:val="none"/>
        </w:rPr>
        <w:t>除非在技术规格中另有说明，所有仪器、设备和系统按下列要求进行验收：</w:t>
      </w:r>
      <w:r>
        <w:rPr>
          <w:rFonts w:ascii="宋体" w:hAnsi="宋体"/>
          <w:color w:val="auto"/>
          <w:sz w:val="24"/>
          <w:highlight w:val="none"/>
        </w:rPr>
        <w:t xml:space="preserve"> </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4.1  仪器设备运抵安装现场后，买方将与卖方共同开箱验收</w:t>
      </w:r>
      <w:r>
        <w:rPr>
          <w:rFonts w:ascii="宋体" w:hAnsi="宋体"/>
          <w:color w:val="auto"/>
          <w:sz w:val="24"/>
          <w:highlight w:val="none"/>
        </w:rPr>
        <w:t xml:space="preserve">, </w:t>
      </w:r>
      <w:r>
        <w:rPr>
          <w:rFonts w:hint="eastAsia" w:ascii="宋体" w:hAnsi="宋体"/>
          <w:color w:val="auto"/>
          <w:sz w:val="24"/>
          <w:highlight w:val="none"/>
        </w:rPr>
        <w:t>如卖方届时不派人来</w:t>
      </w:r>
      <w:r>
        <w:rPr>
          <w:rFonts w:ascii="宋体" w:hAnsi="宋体"/>
          <w:color w:val="auto"/>
          <w:sz w:val="24"/>
          <w:highlight w:val="none"/>
        </w:rPr>
        <w:t xml:space="preserve">, </w:t>
      </w:r>
      <w:r>
        <w:rPr>
          <w:rFonts w:hint="eastAsia" w:ascii="宋体" w:hAnsi="宋体"/>
          <w:color w:val="auto"/>
          <w:sz w:val="24"/>
          <w:highlight w:val="none"/>
        </w:rPr>
        <w:t>则验收结果应以买方的验收报告为最终验收结果。验收时发现短缺、破损</w:t>
      </w:r>
      <w:r>
        <w:rPr>
          <w:rFonts w:ascii="宋体" w:hAnsi="宋体"/>
          <w:color w:val="auto"/>
          <w:sz w:val="24"/>
          <w:highlight w:val="none"/>
        </w:rPr>
        <w:t xml:space="preserve">, </w:t>
      </w:r>
      <w:r>
        <w:rPr>
          <w:rFonts w:hint="eastAsia" w:ascii="宋体" w:hAnsi="宋体"/>
          <w:color w:val="auto"/>
          <w:sz w:val="24"/>
          <w:highlight w:val="none"/>
        </w:rPr>
        <w:t>买方有权要求卖方负责更换。</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4.2  </w:t>
      </w:r>
      <w:r>
        <w:rPr>
          <w:rFonts w:hint="eastAsia"/>
          <w:color w:val="auto"/>
          <w:sz w:val="24"/>
          <w:highlight w:val="none"/>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4.3  </w:t>
      </w:r>
      <w:r>
        <w:rPr>
          <w:rFonts w:ascii="宋体" w:hAnsi="宋体"/>
          <w:color w:val="auto"/>
          <w:sz w:val="24"/>
          <w:highlight w:val="none"/>
        </w:rPr>
        <w:t>验收由采购人、中标人及相关人员依国家有关标准、合同及有关附件要求进行，验收完毕由采购人及中标人在验收报告上签名。</w:t>
      </w:r>
    </w:p>
    <w:p>
      <w:pPr>
        <w:pStyle w:val="3"/>
        <w:spacing w:line="360" w:lineRule="auto"/>
        <w:ind w:left="410" w:hanging="410" w:hangingChars="170"/>
        <w:rPr>
          <w:rFonts w:hAnsi="宋体"/>
          <w:b/>
          <w:color w:val="auto"/>
          <w:sz w:val="24"/>
          <w:szCs w:val="24"/>
          <w:highlight w:val="none"/>
        </w:rPr>
      </w:pPr>
    </w:p>
    <w:p>
      <w:pPr>
        <w:pStyle w:val="3"/>
        <w:spacing w:line="360" w:lineRule="auto"/>
        <w:ind w:left="410" w:hanging="410" w:hangingChars="170"/>
        <w:rPr>
          <w:rFonts w:hAnsi="宋体"/>
          <w:b/>
          <w:color w:val="auto"/>
          <w:sz w:val="24"/>
          <w:szCs w:val="24"/>
          <w:highlight w:val="none"/>
        </w:rPr>
      </w:pPr>
      <w:r>
        <w:rPr>
          <w:rFonts w:hint="eastAsia" w:hAnsi="宋体"/>
          <w:b/>
          <w:color w:val="auto"/>
          <w:sz w:val="24"/>
          <w:szCs w:val="24"/>
          <w:highlight w:val="none"/>
        </w:rPr>
        <w:t>5、本技术规格书中标注“*”号的为关键技术参数，对这些关键技术参数的任何负偏离将导致废标。</w:t>
      </w:r>
    </w:p>
    <w:p>
      <w:pPr>
        <w:pStyle w:val="3"/>
        <w:spacing w:line="360" w:lineRule="auto"/>
        <w:rPr>
          <w:rFonts w:hAnsi="宋体"/>
          <w:b/>
          <w:color w:val="auto"/>
          <w:sz w:val="24"/>
          <w:szCs w:val="24"/>
          <w:highlight w:val="none"/>
        </w:rPr>
      </w:pPr>
    </w:p>
    <w:p>
      <w:pPr>
        <w:pStyle w:val="3"/>
        <w:spacing w:line="360" w:lineRule="auto"/>
        <w:rPr>
          <w:rFonts w:hAnsi="宋体"/>
          <w:b/>
          <w:color w:val="auto"/>
          <w:sz w:val="24"/>
          <w:szCs w:val="24"/>
          <w:highlight w:val="none"/>
        </w:rPr>
      </w:pPr>
      <w:r>
        <w:rPr>
          <w:rFonts w:hint="eastAsia" w:hAnsi="宋体"/>
          <w:b/>
          <w:color w:val="auto"/>
          <w:sz w:val="24"/>
          <w:szCs w:val="24"/>
          <w:highlight w:val="none"/>
        </w:rPr>
        <w:t>6、如在具体技术规格中有本总则不一致之处，以具体技术规格中的要求为准。</w:t>
      </w:r>
    </w:p>
    <w:p>
      <w:pPr>
        <w:spacing w:after="156" w:afterLines="50"/>
        <w:ind w:left="601" w:hanging="601"/>
        <w:rPr>
          <w:rFonts w:ascii="宋体" w:hAnsi="宋体"/>
          <w:b/>
          <w:color w:val="auto"/>
          <w:sz w:val="28"/>
          <w:highlight w:val="none"/>
        </w:rPr>
      </w:pPr>
      <w:r>
        <w:rPr>
          <w:rFonts w:ascii="宋体" w:hAnsi="宋体"/>
          <w:b/>
          <w:color w:val="auto"/>
          <w:sz w:val="28"/>
          <w:highlight w:val="none"/>
        </w:rPr>
        <w:br w:type="page"/>
      </w:r>
      <w:r>
        <w:rPr>
          <w:rFonts w:hint="eastAsia" w:ascii="宋体" w:hAnsi="宋体"/>
          <w:b/>
          <w:color w:val="auto"/>
          <w:sz w:val="28"/>
          <w:highlight w:val="none"/>
        </w:rPr>
        <w:t>二、具体技术规格</w:t>
      </w:r>
    </w:p>
    <w:p>
      <w:pPr>
        <w:jc w:val="center"/>
        <w:rPr>
          <w:color w:val="auto"/>
          <w:sz w:val="24"/>
          <w:highlight w:val="none"/>
        </w:rPr>
      </w:pPr>
    </w:p>
    <w:p>
      <w:pPr>
        <w:spacing w:after="156" w:afterLines="50"/>
        <w:ind w:left="601" w:hanging="601"/>
        <w:jc w:val="center"/>
        <w:rPr>
          <w:rFonts w:ascii="宋体" w:hAnsi="宋体"/>
          <w:color w:val="auto"/>
          <w:highlight w:val="none"/>
        </w:rPr>
      </w:pPr>
      <w:r>
        <w:rPr>
          <w:rFonts w:hint="eastAsia"/>
          <w:b/>
          <w:color w:val="auto"/>
          <w:sz w:val="24"/>
          <w:highlight w:val="none"/>
        </w:rPr>
        <w:t>拉曼光谱仪</w:t>
      </w:r>
    </w:p>
    <w:p>
      <w:pPr>
        <w:snapToGrid w:val="0"/>
        <w:spacing w:line="440" w:lineRule="atLeast"/>
        <w:rPr>
          <w:rFonts w:ascii="宋体" w:hAnsi="宋体" w:cs="宋体"/>
          <w:b/>
          <w:color w:val="auto"/>
          <w:kern w:val="0"/>
          <w:sz w:val="24"/>
          <w:highlight w:val="none"/>
        </w:rPr>
      </w:pPr>
      <w:r>
        <w:rPr>
          <w:rFonts w:hint="eastAsia" w:ascii="宋体" w:hAnsi="宋体" w:cs="宋体"/>
          <w:b/>
          <w:color w:val="auto"/>
          <w:kern w:val="0"/>
          <w:sz w:val="24"/>
          <w:highlight w:val="none"/>
        </w:rPr>
        <w:t>1.工作条件</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1.1 工作电压：单相AC 220V及三相AC 380V (±10%)，50Hz (±1%)</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1.2 环境温度：15</w:t>
      </w:r>
      <w:r>
        <w:rPr>
          <w:rFonts w:hint="eastAsia" w:ascii="宋体" w:hAnsi="宋体" w:cs="宋体"/>
          <w:color w:val="auto"/>
          <w:kern w:val="0"/>
          <w:sz w:val="24"/>
          <w:highlight w:val="none"/>
        </w:rPr>
        <w:sym w:font="Symbol" w:char="F0B0"/>
      </w:r>
      <w:r>
        <w:rPr>
          <w:rFonts w:hint="eastAsia" w:ascii="宋体" w:hAnsi="宋体" w:cs="宋体"/>
          <w:color w:val="auto"/>
          <w:kern w:val="0"/>
          <w:sz w:val="24"/>
          <w:highlight w:val="none"/>
        </w:rPr>
        <w:t>C ~ 25</w:t>
      </w:r>
      <w:r>
        <w:rPr>
          <w:rFonts w:hint="eastAsia" w:ascii="宋体" w:hAnsi="宋体" w:cs="宋体"/>
          <w:color w:val="auto"/>
          <w:kern w:val="0"/>
          <w:sz w:val="24"/>
          <w:highlight w:val="none"/>
        </w:rPr>
        <w:sym w:font="Symbol" w:char="F0B0"/>
      </w:r>
      <w:r>
        <w:rPr>
          <w:rFonts w:hint="eastAsia" w:ascii="宋体" w:hAnsi="宋体" w:cs="宋体"/>
          <w:color w:val="auto"/>
          <w:kern w:val="0"/>
          <w:sz w:val="24"/>
          <w:highlight w:val="none"/>
        </w:rPr>
        <w:t>C</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1.3 相对湿度：&lt; 70% 无冷凝</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1.4 仪器运行的持久性：仪器可连续使用。</w:t>
      </w:r>
    </w:p>
    <w:p>
      <w:pPr>
        <w:snapToGrid w:val="0"/>
        <w:spacing w:line="440" w:lineRule="atLeast"/>
        <w:rPr>
          <w:rFonts w:ascii="宋体" w:hAnsi="宋体" w:cs="宋体"/>
          <w:b/>
          <w:color w:val="auto"/>
          <w:kern w:val="0"/>
          <w:sz w:val="24"/>
          <w:highlight w:val="none"/>
        </w:rPr>
      </w:pPr>
    </w:p>
    <w:p>
      <w:pPr>
        <w:snapToGrid w:val="0"/>
        <w:spacing w:line="440" w:lineRule="atLeast"/>
        <w:rPr>
          <w:rFonts w:ascii="宋体" w:hAnsi="宋体" w:cs="宋体"/>
          <w:b/>
          <w:color w:val="auto"/>
          <w:kern w:val="0"/>
          <w:sz w:val="24"/>
          <w:highlight w:val="none"/>
        </w:rPr>
      </w:pPr>
      <w:bookmarkStart w:id="1" w:name="_Toc217446095"/>
      <w:r>
        <w:rPr>
          <w:rFonts w:hint="eastAsia" w:ascii="宋体" w:hAnsi="宋体" w:cs="宋体"/>
          <w:b/>
          <w:color w:val="auto"/>
          <w:kern w:val="0"/>
          <w:sz w:val="24"/>
          <w:highlight w:val="none"/>
        </w:rPr>
        <w:t xml:space="preserve">2. 仪器用途  </w:t>
      </w:r>
    </w:p>
    <w:bookmarkEnd w:id="1"/>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测量各种液体、固体、粉末样品的拉曼光谱。</w:t>
      </w:r>
    </w:p>
    <w:p>
      <w:pPr>
        <w:spacing w:line="276" w:lineRule="auto"/>
        <w:ind w:left="675" w:leftChars="150" w:hanging="360" w:hangingChars="150"/>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440" w:lineRule="atLeast"/>
        <w:rPr>
          <w:rFonts w:ascii="宋体" w:hAnsi="宋体" w:cs="宋体"/>
          <w:b/>
          <w:color w:val="auto"/>
          <w:kern w:val="0"/>
          <w:sz w:val="24"/>
          <w:highlight w:val="none"/>
        </w:rPr>
      </w:pPr>
      <w:r>
        <w:rPr>
          <w:rFonts w:hint="eastAsia" w:ascii="宋体" w:hAnsi="宋体" w:cs="宋体"/>
          <w:b/>
          <w:color w:val="auto"/>
          <w:kern w:val="0"/>
          <w:sz w:val="24"/>
          <w:highlight w:val="none"/>
        </w:rPr>
        <w:t>3．技术指标</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3.1、激光器</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3.1.1 532 nm激光器，TEM00模，激光器功率：≥100 mW；</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3.1.2 785 nm激光器，TEM00模，激光器功率：≥100 mW；</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3.1.3 638 nm激光器，TEM00模，激光器功率：≥60 mW，</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3.2、共焦显微镜硬件配置及功能</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3.2.1 硬件配置要求</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3.2.1.1 高稳定性研究级正置显微镜。</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 xml:space="preserve">3.2.1.2 落射式科勒明场LED照明；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 xml:space="preserve">3.2.1.3 配置如下物镜：10X/0.3,WD≥10.9mm;100X/0.9,WD≥1mm，长工作距离物镜; 50X/0.55,WD≥7.9mm；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3.2.1.4 手动XYZ样品台；</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3.2.1.5 配置激光器接口，光谱仪显微接口。</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3.3、光路要求</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3.3.1 光路结构：激光器与拉曼光路一体化设计，非固定于光学平台，非外部空间光或光纤耦合形式引入激光，结构紧凑，高稳定性，可内置3路激光器，内置激光衰减（OD0.04-4.0），适用波段（240-1200nm）</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 xml:space="preserve">3.3.2 四路激光光路，双滤光片位设计，可电动切换；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﹟3.3.3 可通过光纤或者空间光外接其他光源。</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﹟3.3.4 可升级偏振拉曼光谱、暗场散射光谱、显微透反吸、荧光、荧光寿命测试、高光谱测试</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3.4、共焦</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 xml:space="preserve">3.4.1 CCD-狭缝式共焦技术，可采集单颗粒光谱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3.4.2 光纤共焦，两种共焦方式可随意切换</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3.4.3 使用100X物镜时，空间分辨率（532nm）好于横向1 um ，纵向2um。</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3.5、光谱仪</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 xml:space="preserve">3.5.1 拉曼频移范围：532nm激发 90-6000cm-1；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3.5.2 通光效率：≥ 50%</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3.5.3 高灵敏度：硅三阶拉曼峰的信噪比好于20:1，并能观察到四阶峰</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检测条件：532nm激光器，100um狭缝宽度，50um像元尺寸，100x物镜（0.9NA），样品上激光功率10mW，积分时间300s，累积次数1，600刻线光栅</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 xml:space="preserve">3.5.4 光谱仪焦长：≥300mm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3.5.5 光谱仪接口：双入口狭缝，CCD和狭缝出口，电动切换。侧面入口配置电动狭缝，10um-2.5mm软件可调，内部快门。</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3.5.6 光谱分辨率（半高宽）： 可见全谱段 ≤ 2 cm-1, （测量氖 灯线585.25nm半高宽）， 检测条件：在可见波段：采用氖灯测量，10X物镜，1800g/mm光栅，光栅在+1级条件下工作，狭缝宽度为10微米。实验时将氖灯置于显微镜下，测量谱线为 585.25 nm ，全半高宽（FWHM）≤2cm-1。</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3.5.7 光谱重复性：≤ ±0.5 cm-1， 检测条件：使用单晶硅片，使用单块光栅或者切换光栅，20次重复测量硅线。采用100×物镜，扫描范围100－4000 cm-1。</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 xml:space="preserve">3.5.8 光谱色散平场输出，光谱在CCD上的不同位置具有同样的强度和分辨率，没有畸变，使用1英寸优质大尺寸CCD探测器。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3.5.9 配置三块光栅，一块1800g/mm光栅用于可见高分辨，一块600g/mm光栅用于通用测试，一块150g/mm光栅用于可见宽光谱，软件控制自动转换，无需校准。</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3.5.10 无色差设计，在整个光谱范围内，无色差。</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3.5.11 光谱CCD探测器</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 xml:space="preserve">﹟3.5.12 具有高像元分辨率的背照式深耗尽CCD芯片，分辨率≥2000x256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 xml:space="preserve">3.5.13 可见近红外拉曼专用CCD，量子效率在700nm-870nm区间处&gt;90%，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 xml:space="preserve">3.5.14 光谱范围：200 ~ 1100 nm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 xml:space="preserve">3.5.15 最低制冷温度-60℃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3.5.16 读出噪声&lt; 6电子/像元</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3.6 光学平台</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3.6.1 台面大小：1.8m*1m；</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3.6.2 固有频率：＜4~9Hz，同负载和实际使用情况相关</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3.6.3 台面厚度：200mm；</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3.6.4 台面加支架总高度800mm，总高度可调范围：-10~+15mm</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3.6.5 孔距：25mm×25mm</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3.6.6 边缘孔距边：37.5mm</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3.6.7 孔径：M6</w:t>
      </w:r>
    </w:p>
    <w:p>
      <w:pPr>
        <w:spacing w:line="276" w:lineRule="auto"/>
        <w:ind w:left="358" w:leftChars="170" w:hanging="1"/>
        <w:rPr>
          <w:rFonts w:ascii="宋体" w:hAnsi="宋体" w:cs="宋体"/>
          <w:color w:val="auto"/>
          <w:sz w:val="24"/>
          <w:highlight w:val="none"/>
        </w:rPr>
      </w:pPr>
    </w:p>
    <w:p>
      <w:pPr>
        <w:spacing w:before="156" w:beforeLines="50" w:after="156" w:afterLines="50"/>
        <w:rPr>
          <w:rFonts w:ascii="宋体" w:hAnsi="宋体" w:cs="宋体"/>
          <w:b/>
          <w:color w:val="auto"/>
          <w:sz w:val="24"/>
          <w:highlight w:val="none"/>
          <w:lang w:val="en-GB"/>
        </w:rPr>
      </w:pPr>
      <w:r>
        <w:rPr>
          <w:rFonts w:hint="eastAsia" w:ascii="宋体" w:hAnsi="宋体" w:cs="宋体"/>
          <w:b/>
          <w:color w:val="auto"/>
          <w:sz w:val="24"/>
          <w:highlight w:val="none"/>
          <w:lang w:val="en-GB"/>
        </w:rPr>
        <w:t>4. 在硬件配置、指标参数、配件附件等验收的基础上进行以下测试验收</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4.1 灵敏度：硅三阶峰的信噪比好于20:1，并能观察到四阶峰</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针对制造商所提供的硅晶样品，在显微和共焦的前提下，以532nm激发下，所采用的检测参数及所能达到的拉曼检测灵敏度。</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4.2 光谱重复性：全谱段优于±0.5cm-1</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针对制造商所提供的硅晶样品，在显微和共焦的前提下，以532nm激发下，所采用的检测参数及所能达到的拉曼检测光谱重复性。</w:t>
      </w:r>
    </w:p>
    <w:p>
      <w:pPr>
        <w:rPr>
          <w:rFonts w:ascii="宋体" w:hAnsi="宋体" w:cs="宋体"/>
          <w:color w:val="auto"/>
          <w:sz w:val="24"/>
          <w:highlight w:val="none"/>
        </w:rPr>
      </w:pPr>
    </w:p>
    <w:p>
      <w:pPr>
        <w:tabs>
          <w:tab w:val="left" w:pos="540"/>
        </w:tabs>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5. 选购附件、备件及消耗品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5.1 投标人推荐的其它选件。</w:t>
      </w:r>
    </w:p>
    <w:p>
      <w:pPr>
        <w:spacing w:line="360" w:lineRule="auto"/>
        <w:rPr>
          <w:rFonts w:ascii="宋体" w:hAnsi="宋体" w:cs="宋体"/>
          <w:color w:val="auto"/>
          <w:sz w:val="24"/>
          <w:highlight w:val="none"/>
        </w:rPr>
      </w:pPr>
    </w:p>
    <w:p>
      <w:pPr>
        <w:tabs>
          <w:tab w:val="left" w:pos="540"/>
        </w:tabs>
        <w:spacing w:line="360" w:lineRule="auto"/>
        <w:rPr>
          <w:rFonts w:ascii="宋体" w:hAnsi="宋体" w:cs="宋体"/>
          <w:b/>
          <w:color w:val="auto"/>
          <w:sz w:val="24"/>
          <w:highlight w:val="none"/>
        </w:rPr>
      </w:pPr>
      <w:r>
        <w:rPr>
          <w:rFonts w:hint="eastAsia" w:ascii="宋体" w:hAnsi="宋体" w:cs="宋体"/>
          <w:b/>
          <w:color w:val="auto"/>
          <w:sz w:val="24"/>
          <w:highlight w:val="none"/>
        </w:rPr>
        <w:t>6. 技术文件：</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6.1 投标人应提供仪器主体及主要附件的详细的操作，安装，及调整说明书。</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6.2 投标人应提供仪器使用软件的所有说明书。</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6.3 投标人应提供电子版说明书。</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6.4 投标人应提供仪器使用软件的备份。</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6.5 提供维护操作手册和维修所需机械和电气图。</w:t>
      </w:r>
    </w:p>
    <w:p>
      <w:pPr>
        <w:rPr>
          <w:rFonts w:ascii="宋体"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7.技术服务</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 xml:space="preserve">7.1 设备安装、调试和验收 </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7.1.1 卖方应在合同生效后的1个月内到向买方提出详细的安装要求并提供技术咨询。</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7.1.2 仪器到达买方所在地后，在接到买方通知后2周内卖方进行安装调试，直至通过验收。</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7.1.3 仪器到达买方现场后，买方提供常规的三相380V50Hz/单相220V50Hz电源；卖方提供所有仪器的连接件和连接件电缆及各种必需的附件/软件，达到进行安装调试时不需要买方提供任何零配件的情况下完成所有系统技术指标。</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7.2 质量保证：卖方保证所提供产品是全新的、其功能与指标满足制造商的技术标准，并保证无条件满足中华人民共和国国家强制性执行标准，确保人身安全和劳动保护条件。</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7.3 技术培训：卖方设备安装调试完成后，应对用户技术人员进行调试、操作、仪器维护、故障排除等方面的现场培训，时间不少于10个工作日。</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7.4 保修期：卖方提供一年或一年以上的免费保修（验收合格签字次日起不少于12个月）。如因客户原因未能及时安装调试，保修期从到货之日计起不少于18个月。保修期内出现故障导致仪器停用的时间，从保修期中扣除。保修期满前1个月内卖方应负责一次免费全面检查，并写出正式报告，如发现潜在问题，应负责排除。</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7.5 维修响应时间：卖方应在24小时内对用户的服务要求作出响应，维修服务包括电话指导和现场维修；需要现场维修的，卖方工程师应尽快到达仪器现场；当设备故障严重时,须在五个工作日内到现场解决问题。</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7.6 软、硬件升级：仪器在保修期内，或保修期外，卖方应免费向用户提供仪器软件升级服务，与之相关的硬件升级收取成本费。</w:t>
      </w:r>
    </w:p>
    <w:p>
      <w:pPr>
        <w:ind w:left="359" w:leftChars="171"/>
        <w:rPr>
          <w:rFonts w:ascii="宋体" w:hAnsi="宋体" w:cs="宋体"/>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t>8. 目的港：</w:t>
      </w:r>
    </w:p>
    <w:p>
      <w:pPr>
        <w:spacing w:line="360" w:lineRule="auto"/>
        <w:ind w:firstLine="321" w:firstLineChars="134"/>
        <w:rPr>
          <w:rFonts w:ascii="宋体" w:hAnsi="宋体" w:cs="宋体"/>
          <w:color w:val="auto"/>
          <w:kern w:val="0"/>
          <w:sz w:val="24"/>
          <w:highlight w:val="none"/>
        </w:rPr>
      </w:pPr>
      <w:r>
        <w:rPr>
          <w:rFonts w:hint="eastAsia" w:ascii="宋体" w:hAnsi="宋体" w:cs="宋体"/>
          <w:color w:val="auto"/>
          <w:kern w:val="0"/>
          <w:sz w:val="24"/>
          <w:highlight w:val="none"/>
        </w:rPr>
        <w:t>DDP福州用户现场</w:t>
      </w:r>
    </w:p>
    <w:p>
      <w:pPr>
        <w:spacing w:line="360" w:lineRule="auto"/>
        <w:ind w:firstLine="24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color w:val="auto"/>
          <w:sz w:val="24"/>
          <w:highlight w:val="none"/>
        </w:rPr>
        <w:t>9. 交货时间：</w:t>
      </w:r>
      <w:r>
        <w:rPr>
          <w:rFonts w:hint="eastAsia" w:ascii="宋体" w:hAnsi="宋体" w:cs="宋体"/>
          <w:color w:val="auto"/>
          <w:kern w:val="0"/>
          <w:sz w:val="24"/>
          <w:highlight w:val="none"/>
        </w:rPr>
        <w:t>合同生效后4个月内。</w:t>
      </w:r>
    </w:p>
    <w:p>
      <w:pPr>
        <w:spacing w:line="360" w:lineRule="auto"/>
        <w:rPr>
          <w:rFonts w:ascii="宋体" w:hAnsi="宋体" w:cs="宋体"/>
          <w:color w:val="auto"/>
          <w:sz w:val="24"/>
          <w:highlight w:val="none"/>
        </w:rPr>
      </w:pPr>
    </w:p>
    <w:p>
      <w:pPr>
        <w:spacing w:line="360" w:lineRule="auto"/>
        <w:ind w:left="-2" w:leftChars="-1"/>
        <w:rPr>
          <w:rFonts w:ascii="宋体" w:hAnsi="宋体" w:cs="宋体"/>
          <w:color w:val="auto"/>
          <w:kern w:val="0"/>
          <w:sz w:val="24"/>
          <w:highlight w:val="none"/>
        </w:rPr>
      </w:pPr>
      <w:r>
        <w:rPr>
          <w:rFonts w:hint="eastAsia" w:ascii="宋体" w:hAnsi="宋体" w:cs="宋体"/>
          <w:b/>
          <w:color w:val="auto"/>
          <w:sz w:val="24"/>
          <w:highlight w:val="none"/>
        </w:rPr>
        <w:t>10.投标方提供的报价为</w:t>
      </w:r>
      <w:r>
        <w:rPr>
          <w:rFonts w:hint="eastAsia" w:ascii="宋体" w:hAnsi="宋体" w:cs="宋体"/>
          <w:color w:val="auto"/>
          <w:kern w:val="0"/>
          <w:sz w:val="24"/>
          <w:highlight w:val="none"/>
        </w:rPr>
        <w:t>DDP中科院福建物质结构研究所指定地点价(报价中含货物到达用户安装现场的运保费)。</w:t>
      </w:r>
    </w:p>
    <w:p>
      <w:pPr>
        <w:rPr>
          <w:color w:val="auto"/>
          <w:highlight w:val="none"/>
        </w:rPr>
      </w:pPr>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 of new 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EF"/>
    <w:rsid w:val="003B2160"/>
    <w:rsid w:val="00631FEF"/>
    <w:rsid w:val="00C25C97"/>
    <w:rsid w:val="06126D62"/>
    <w:rsid w:val="08520749"/>
    <w:rsid w:val="0BBF73FF"/>
    <w:rsid w:val="0D6A0B98"/>
    <w:rsid w:val="1668561A"/>
    <w:rsid w:val="50223DE6"/>
    <w:rsid w:val="58CA07CC"/>
    <w:rsid w:val="64331B3E"/>
    <w:rsid w:val="66497BB8"/>
    <w:rsid w:val="719E4C0C"/>
    <w:rsid w:val="7709055E"/>
    <w:rsid w:val="7DD3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autoSpaceDE w:val="0"/>
      <w:autoSpaceDN w:val="0"/>
      <w:adjustRightInd w:val="0"/>
      <w:spacing w:before="240" w:after="120" w:line="300" w:lineRule="auto"/>
      <w:jc w:val="center"/>
      <w:outlineLvl w:val="0"/>
    </w:pPr>
    <w:rPr>
      <w:rFonts w:ascii="宋体" w:hAnsi="Times New Roman" w:eastAsia="宋体" w:cs="Times New Roman"/>
      <w:b/>
      <w:kern w:val="44"/>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qFormat/>
    <w:uiPriority w:val="0"/>
    <w:pPr>
      <w:widowControl w:val="0"/>
      <w:jc w:val="both"/>
    </w:pPr>
    <w:rPr>
      <w:rFonts w:ascii="宋体" w:hAnsi="Courier New" w:eastAsia="宋体" w:cs="Times New Roman"/>
      <w:kern w:val="2"/>
      <w:sz w:val="21"/>
      <w:lang w:val="en-US" w:eastAsia="zh-CN" w:bidi="ar-SA"/>
    </w:rPr>
  </w:style>
  <w:style w:type="paragraph" w:styleId="4">
    <w:name w:val="Date"/>
    <w:next w:val="1"/>
    <w:qFormat/>
    <w:uiPriority w:val="0"/>
    <w:pPr>
      <w:widowControl w:val="0"/>
      <w:jc w:val="both"/>
    </w:pPr>
    <w:rPr>
      <w:rFonts w:ascii="Times New Roman" w:hAnsi="Times New Roman" w:eastAsia="宋体" w:cs="Times New Roman"/>
      <w:kern w:val="2"/>
      <w:sz w:val="21"/>
      <w:lang w:val="en-US" w:eastAsia="zh-CN" w:bidi="ar-SA"/>
    </w:rPr>
  </w:style>
  <w:style w:type="paragraph" w:styleId="5">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9">
    <w:name w:val="Strong"/>
    <w:qFormat/>
    <w:uiPriority w:val="22"/>
    <w:rPr>
      <w:b/>
      <w:bCs/>
    </w:rPr>
  </w:style>
  <w:style w:type="paragraph" w:customStyle="1" w:styleId="10">
    <w:name w:val="正文文本 21"/>
    <w:qFormat/>
    <w:uiPriority w:val="0"/>
    <w:pPr>
      <w:widowControl w:val="0"/>
      <w:adjustRightInd w:val="0"/>
      <w:spacing w:before="120" w:line="360" w:lineRule="auto"/>
      <w:ind w:firstLine="480"/>
      <w:jc w:val="both"/>
      <w:textAlignment w:val="baseline"/>
    </w:pPr>
    <w:rPr>
      <w:rFonts w:ascii="Times New Roman" w:hAnsi="Times New Roman" w:eastAsia="宋体" w:cs="Times New Roman"/>
      <w:kern w:val="2"/>
      <w:sz w:val="24"/>
      <w:lang w:val="en-US" w:eastAsia="zh-CN" w:bidi="ar-SA"/>
    </w:rPr>
  </w:style>
  <w:style w:type="paragraph" w:customStyle="1" w:styleId="11">
    <w:name w:val="xl25"/>
    <w:qFormat/>
    <w:uiPriority w:val="0"/>
    <w:pPr>
      <w:pBdr>
        <w:bottom w:val="single" w:color="auto" w:sz="4" w:space="0"/>
        <w:right w:val="single" w:color="auto" w:sz="4" w:space="0"/>
      </w:pBdr>
      <w:spacing w:before="100" w:beforeAutospacing="1" w:after="100" w:afterAutospacing="1"/>
      <w:jc w:val="center"/>
    </w:pPr>
    <w:rPr>
      <w:rFonts w:ascii="宋体" w:hAnsi="宋体" w:eastAsia="宋体" w:cs="Times New Roman"/>
      <w:sz w:val="21"/>
      <w:szCs w:val="21"/>
      <w:lang w:val="en-US" w:eastAsia="zh-CN" w:bidi="ar-SA"/>
    </w:rPr>
  </w:style>
  <w:style w:type="paragraph" w:styleId="12">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2052</Words>
  <Characters>11698</Characters>
  <Lines>97</Lines>
  <Paragraphs>27</Paragraphs>
  <TotalTime>4</TotalTime>
  <ScaleCrop>false</ScaleCrop>
  <LinksUpToDate>false</LinksUpToDate>
  <CharactersWithSpaces>13723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2021-05-13T02:40:00Z</dcterms:created>
  <dc:creator>Lenovo</dc:creator>
  <cp:lastModifiedBy>sw wang</cp:lastModifiedBy>
  <dcterms:modified xsi:type="dcterms:W3CDTF">2021-06-01T07:32:48Z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792B008F0D5842E79CEA649EF49CD30D</vt:lpwstr>
  </property>
</Properties>
</file>