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cs="宋体"/>
          <w:b w:val="0"/>
          <w:sz w:val="30"/>
          <w:szCs w:val="30"/>
        </w:rPr>
      </w:pPr>
      <w:r>
        <w:rPr>
          <w:rFonts w:hint="eastAsia" w:cs="宋体"/>
          <w:szCs w:val="24"/>
        </w:rPr>
        <w:t>一、货物需求一览表</w:t>
      </w:r>
    </w:p>
    <w:p>
      <w:pPr>
        <w:adjustRightInd w:val="0"/>
        <w:snapToGrid w:val="0"/>
        <w:jc w:val="center"/>
        <w:rPr>
          <w:rFonts w:ascii="宋体" w:hAnsi="宋体" w:cs="宋体"/>
          <w:b/>
          <w:sz w:val="30"/>
          <w:szCs w:val="30"/>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3"/>
        <w:gridCol w:w="3196"/>
        <w:gridCol w:w="825"/>
        <w:gridCol w:w="201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53" w:type="dxa"/>
            <w:vAlign w:val="center"/>
          </w:tcPr>
          <w:p>
            <w:pPr>
              <w:jc w:val="center"/>
              <w:rPr>
                <w:rFonts w:ascii="宋体" w:hAnsi="宋体" w:cs="宋体"/>
                <w:sz w:val="24"/>
              </w:rPr>
            </w:pPr>
            <w:r>
              <w:rPr>
                <w:rFonts w:hint="eastAsia" w:ascii="宋体" w:hAnsi="宋体" w:cs="宋体"/>
                <w:sz w:val="24"/>
              </w:rPr>
              <w:t>包号</w:t>
            </w:r>
          </w:p>
        </w:tc>
        <w:tc>
          <w:tcPr>
            <w:tcW w:w="3196" w:type="dxa"/>
            <w:vAlign w:val="center"/>
          </w:tcPr>
          <w:p>
            <w:pPr>
              <w:jc w:val="center"/>
              <w:rPr>
                <w:rFonts w:ascii="宋体" w:hAnsi="宋体" w:cs="宋体"/>
                <w:sz w:val="24"/>
              </w:rPr>
            </w:pPr>
            <w:r>
              <w:rPr>
                <w:rFonts w:hint="eastAsia" w:ascii="宋体" w:hAnsi="宋体" w:cs="宋体"/>
                <w:sz w:val="24"/>
              </w:rPr>
              <w:t>货物名称</w:t>
            </w:r>
          </w:p>
        </w:tc>
        <w:tc>
          <w:tcPr>
            <w:tcW w:w="825" w:type="dxa"/>
            <w:vAlign w:val="center"/>
          </w:tcPr>
          <w:p>
            <w:pPr>
              <w:jc w:val="center"/>
              <w:rPr>
                <w:rFonts w:ascii="宋体" w:hAnsi="宋体" w:cs="宋体"/>
                <w:sz w:val="24"/>
              </w:rPr>
            </w:pPr>
            <w:r>
              <w:rPr>
                <w:rFonts w:hint="eastAsia" w:ascii="宋体" w:hAnsi="宋体" w:cs="宋体"/>
                <w:sz w:val="24"/>
              </w:rPr>
              <w:t>数量</w:t>
            </w:r>
          </w:p>
        </w:tc>
        <w:tc>
          <w:tcPr>
            <w:tcW w:w="2010" w:type="dxa"/>
            <w:vAlign w:val="center"/>
          </w:tcPr>
          <w:p>
            <w:pPr>
              <w:jc w:val="center"/>
              <w:rPr>
                <w:rFonts w:ascii="宋体" w:hAnsi="宋体" w:cs="宋体"/>
                <w:sz w:val="24"/>
              </w:rPr>
            </w:pPr>
            <w:r>
              <w:rPr>
                <w:rFonts w:hint="eastAsia" w:ascii="宋体" w:hAnsi="宋体" w:cs="宋体"/>
                <w:sz w:val="24"/>
              </w:rPr>
              <w:t>交货期</w:t>
            </w:r>
          </w:p>
        </w:tc>
        <w:tc>
          <w:tcPr>
            <w:tcW w:w="1894" w:type="dxa"/>
            <w:vAlign w:val="center"/>
          </w:tcPr>
          <w:p>
            <w:pPr>
              <w:jc w:val="center"/>
              <w:rPr>
                <w:rFonts w:ascii="宋体" w:hAnsi="宋体" w:cs="宋体"/>
                <w:sz w:val="24"/>
                <w:shd w:val="pct10" w:color="auto" w:fill="FFFFFF"/>
              </w:rPr>
            </w:pPr>
            <w:r>
              <w:rPr>
                <w:rFonts w:hint="eastAsia" w:ascii="宋体" w:hAnsi="宋体" w:cs="宋体"/>
                <w:sz w:val="24"/>
              </w:rPr>
              <w:t>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9" w:hRule="atLeast"/>
          <w:jc w:val="center"/>
        </w:trPr>
        <w:tc>
          <w:tcPr>
            <w:tcW w:w="753" w:type="dxa"/>
            <w:vAlign w:val="center"/>
          </w:tcPr>
          <w:p>
            <w:pPr>
              <w:jc w:val="center"/>
              <w:rPr>
                <w:rFonts w:ascii="宋体" w:hAnsi="宋体" w:cs="宋体"/>
                <w:sz w:val="24"/>
                <w:szCs w:val="22"/>
              </w:rPr>
            </w:pPr>
            <w:r>
              <w:rPr>
                <w:rFonts w:hint="eastAsia" w:ascii="宋体" w:hAnsi="宋体" w:cs="宋体"/>
                <w:sz w:val="24"/>
                <w:szCs w:val="24"/>
              </w:rPr>
              <w:t>1</w:t>
            </w:r>
          </w:p>
        </w:tc>
        <w:tc>
          <w:tcPr>
            <w:tcW w:w="3196" w:type="dxa"/>
            <w:vAlign w:val="center"/>
          </w:tcPr>
          <w:p>
            <w:pPr>
              <w:jc w:val="center"/>
              <w:rPr>
                <w:rFonts w:ascii="宋体" w:hAnsi="宋体"/>
                <w:sz w:val="24"/>
                <w:szCs w:val="21"/>
              </w:rPr>
            </w:pPr>
            <w:r>
              <w:rPr>
                <w:rFonts w:hint="eastAsia" w:ascii="宋体" w:hAnsi="宋体"/>
                <w:sz w:val="24"/>
                <w:szCs w:val="21"/>
              </w:rPr>
              <w:t>电感耦合等离子体质谱仪</w:t>
            </w:r>
          </w:p>
        </w:tc>
        <w:tc>
          <w:tcPr>
            <w:tcW w:w="825" w:type="dxa"/>
            <w:vAlign w:val="center"/>
          </w:tcPr>
          <w:p>
            <w:pPr>
              <w:jc w:val="center"/>
              <w:rPr>
                <w:rFonts w:ascii="宋体" w:hAnsi="宋体" w:cs="宋体"/>
                <w:sz w:val="24"/>
              </w:rPr>
            </w:pPr>
            <w:r>
              <w:rPr>
                <w:rFonts w:hint="eastAsia" w:ascii="宋体" w:hAnsi="宋体" w:cs="宋体"/>
                <w:sz w:val="24"/>
              </w:rPr>
              <w:t>1套</w:t>
            </w:r>
          </w:p>
        </w:tc>
        <w:tc>
          <w:tcPr>
            <w:tcW w:w="2010" w:type="dxa"/>
            <w:vAlign w:val="center"/>
          </w:tcPr>
          <w:p>
            <w:pPr>
              <w:jc w:val="center"/>
              <w:rPr>
                <w:rFonts w:ascii="宋体" w:hAnsi="宋体" w:cs="宋体"/>
                <w:sz w:val="24"/>
              </w:rPr>
            </w:pPr>
            <w:r>
              <w:rPr>
                <w:rFonts w:hint="eastAsia" w:ascii="宋体" w:hAnsi="宋体" w:cs="宋体"/>
                <w:sz w:val="24"/>
              </w:rPr>
              <w:t>合同签订后2个月内交货</w:t>
            </w:r>
          </w:p>
        </w:tc>
        <w:tc>
          <w:tcPr>
            <w:tcW w:w="1894" w:type="dxa"/>
            <w:vAlign w:val="center"/>
          </w:tcPr>
          <w:p>
            <w:pPr>
              <w:jc w:val="center"/>
              <w:rPr>
                <w:rFonts w:ascii="宋体" w:hAnsi="宋体" w:cs="宋体"/>
                <w:kern w:val="0"/>
                <w:sz w:val="24"/>
                <w:szCs w:val="24"/>
              </w:rPr>
            </w:pPr>
            <w:r>
              <w:rPr>
                <w:rFonts w:hint="eastAsia" w:ascii="宋体" w:hAnsi="宋体" w:cs="宋体"/>
                <w:kern w:val="0"/>
                <w:sz w:val="24"/>
                <w:szCs w:val="24"/>
              </w:rPr>
              <w:t>用户指定地点</w:t>
            </w:r>
          </w:p>
        </w:tc>
      </w:tr>
    </w:tbl>
    <w:p>
      <w:pPr>
        <w:adjustRightInd w:val="0"/>
        <w:snapToGrid w:val="0"/>
        <w:jc w:val="center"/>
        <w:rPr>
          <w:rFonts w:ascii="宋体" w:hAnsi="宋体" w:cs="宋体"/>
          <w:b/>
          <w:sz w:val="30"/>
          <w:szCs w:val="30"/>
        </w:rPr>
      </w:pP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 w:val="24"/>
          <w:szCs w:val="22"/>
        </w:rPr>
      </w:pPr>
      <w:r>
        <w:rPr>
          <w:rFonts w:hint="eastAsia" w:ascii="宋体" w:hAnsi="宋体" w:cs="宋体"/>
          <w:sz w:val="24"/>
        </w:rPr>
        <w:t>1、投标人须对上述投标内容中完整的一包进行投标，不完整的投标将视为非响应性投标予以拒</w:t>
      </w:r>
      <w:r>
        <w:rPr>
          <w:rFonts w:hint="eastAsia" w:ascii="宋体" w:hAnsi="宋体" w:cs="宋体"/>
          <w:sz w:val="24"/>
          <w:szCs w:val="22"/>
        </w:rPr>
        <w:t>绝。</w:t>
      </w:r>
    </w:p>
    <w:p>
      <w:pPr>
        <w:pStyle w:val="2"/>
        <w:ind w:firstLine="560"/>
      </w:pPr>
    </w:p>
    <w:p>
      <w:pPr>
        <w:spacing w:line="360" w:lineRule="auto"/>
        <w:rPr>
          <w:rFonts w:ascii="宋体" w:hAnsi="宋体" w:cs="宋体"/>
          <w:b/>
          <w:sz w:val="30"/>
          <w:szCs w:val="30"/>
        </w:rPr>
      </w:pPr>
      <w:r>
        <w:rPr>
          <w:rFonts w:hint="eastAsia" w:ascii="宋体" w:hAnsi="宋体" w:cs="宋体"/>
          <w:sz w:val="24"/>
          <w:szCs w:val="22"/>
        </w:rPr>
        <w:br w:type="page"/>
      </w:r>
    </w:p>
    <w:p>
      <w:pPr>
        <w:pStyle w:val="5"/>
        <w:jc w:val="center"/>
        <w:rPr>
          <w:rFonts w:cs="宋体"/>
          <w:szCs w:val="24"/>
        </w:rPr>
      </w:pPr>
      <w:r>
        <w:rPr>
          <w:rFonts w:hint="eastAsia" w:cs="宋体"/>
          <w:szCs w:val="24"/>
        </w:rPr>
        <w:t>二、技术规格</w:t>
      </w:r>
    </w:p>
    <w:p>
      <w:pPr>
        <w:pStyle w:val="7"/>
        <w:spacing w:before="0" w:beforeAutospacing="0" w:after="0" w:afterAutospacing="0" w:line="38" w:lineRule="atLeast"/>
        <w:ind w:left="600" w:hanging="600"/>
        <w:jc w:val="both"/>
        <w:rPr>
          <w:color w:val="030303"/>
        </w:rPr>
      </w:pPr>
      <w:bookmarkStart w:id="0" w:name="_Toc178672500"/>
      <w:bookmarkStart w:id="1" w:name="OLE_LINK1"/>
      <w:r>
        <w:rPr>
          <w:rStyle w:val="10"/>
          <w:rFonts w:hint="eastAsia"/>
          <w:color w:val="030303"/>
          <w:sz w:val="30"/>
          <w:szCs w:val="30"/>
        </w:rPr>
        <w:t>一、总 则</w:t>
      </w:r>
    </w:p>
    <w:p>
      <w:pPr>
        <w:pStyle w:val="7"/>
        <w:spacing w:before="156" w:beforeAutospacing="0" w:after="156" w:afterAutospacing="0" w:line="38" w:lineRule="atLeast"/>
        <w:ind w:left="601" w:hanging="601"/>
        <w:jc w:val="both"/>
      </w:pPr>
      <w:r>
        <w:rPr>
          <w:rStyle w:val="10"/>
          <w:rFonts w:hint="eastAsia"/>
          <w:sz w:val="27"/>
          <w:szCs w:val="27"/>
        </w:rPr>
        <w:t>1、投标要求</w:t>
      </w:r>
    </w:p>
    <w:p>
      <w:pPr>
        <w:pStyle w:val="7"/>
        <w:spacing w:before="0" w:beforeAutospacing="0" w:after="0" w:afterAutospacing="0" w:line="360" w:lineRule="auto"/>
        <w:ind w:left="554" w:hanging="554"/>
        <w:jc w:val="both"/>
      </w:pPr>
      <w:r>
        <w:rPr>
          <w:rFonts w:hint="eastAsia"/>
        </w:rPr>
        <w:t>1.1 投标人在准备投标书时，务必在所提供的商品的技术规格文件中，标明型号、商标名称、目录号。</w:t>
      </w:r>
    </w:p>
    <w:p>
      <w:pPr>
        <w:pStyle w:val="7"/>
        <w:spacing w:before="0" w:beforeAutospacing="0" w:after="0" w:afterAutospacing="0" w:line="360" w:lineRule="auto"/>
        <w:ind w:left="554" w:hanging="554"/>
        <w:jc w:val="both"/>
      </w:pPr>
      <w:r>
        <w:rPr>
          <w:rFonts w:hint="eastAsia"/>
        </w:rPr>
        <w:t xml:space="preserve">1.2 </w:t>
      </w:r>
      <w:r>
        <w:rPr>
          <w:rFonts w:hint="eastAsia"/>
          <w:b/>
          <w:bCs/>
        </w:rPr>
        <w:t>投标人提供的货物须是成熟的全新的产品</w:t>
      </w:r>
      <w:r>
        <w:rPr>
          <w:rFonts w:hint="eastAsia"/>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pStyle w:val="7"/>
        <w:spacing w:before="0" w:beforeAutospacing="0" w:after="0" w:afterAutospacing="0" w:line="360" w:lineRule="auto"/>
        <w:ind w:left="554" w:hanging="554"/>
        <w:jc w:val="both"/>
      </w:pPr>
      <w:r>
        <w:rPr>
          <w:rFonts w:hint="eastAsia"/>
        </w:rPr>
        <w:t>1.3 投标人提供的产品样本，必须是“原件”而非复印件，图表、简图、电路图以及印刷电路板图等都应清晰易读。买方有权不付任何附加费用复制这些资料以供参考。</w:t>
      </w:r>
    </w:p>
    <w:p>
      <w:pPr>
        <w:pStyle w:val="7"/>
        <w:spacing w:before="156" w:beforeAutospacing="0" w:after="156" w:afterAutospacing="0" w:line="360" w:lineRule="auto"/>
        <w:ind w:left="601" w:hanging="601"/>
        <w:jc w:val="both"/>
      </w:pPr>
      <w:r>
        <w:rPr>
          <w:rStyle w:val="10"/>
          <w:rFonts w:hint="eastAsia"/>
          <w:sz w:val="27"/>
          <w:szCs w:val="27"/>
        </w:rPr>
        <w:t>2、评标标准</w:t>
      </w:r>
    </w:p>
    <w:p>
      <w:pPr>
        <w:pStyle w:val="7"/>
        <w:spacing w:before="0" w:beforeAutospacing="0" w:after="0" w:afterAutospacing="0" w:line="360" w:lineRule="auto"/>
        <w:ind w:left="554" w:hanging="554"/>
        <w:jc w:val="both"/>
      </w:pPr>
      <w:r>
        <w:rPr>
          <w:rFonts w:hint="eastAsia"/>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7"/>
        <w:spacing w:before="0" w:beforeAutospacing="0" w:after="0" w:afterAutospacing="0" w:line="360" w:lineRule="auto"/>
        <w:ind w:left="554" w:hanging="554"/>
        <w:jc w:val="both"/>
      </w:pPr>
      <w:r>
        <w:rPr>
          <w:rFonts w:hint="eastAsia"/>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7"/>
        <w:spacing w:before="0" w:beforeAutospacing="0" w:after="0" w:afterAutospacing="0" w:line="360" w:lineRule="auto"/>
        <w:ind w:left="554" w:hanging="554"/>
        <w:jc w:val="both"/>
      </w:pPr>
      <w:r>
        <w:rPr>
          <w:rFonts w:hint="eastAsia"/>
        </w:rPr>
        <w:t>2.3 为便于用户进行接收仪器的准备工作，卖方应在合同生效后</w:t>
      </w:r>
      <w:r>
        <w:rPr>
          <w:rStyle w:val="10"/>
          <w:rFonts w:hint="eastAsia"/>
        </w:rPr>
        <w:t>60</w:t>
      </w:r>
      <w:r>
        <w:rPr>
          <w:rFonts w:hint="eastAsia"/>
        </w:rPr>
        <w:t>天内向用户提供一套完整的使用说明书、操作手册、维修及安装说明等文件。另一套完整上述资料应在交货时随货包装提供给用户，这些费用应计入投标价中。</w:t>
      </w:r>
    </w:p>
    <w:p>
      <w:pPr>
        <w:pStyle w:val="7"/>
        <w:spacing w:before="0" w:beforeAutospacing="0" w:after="0" w:afterAutospacing="0" w:line="360" w:lineRule="auto"/>
        <w:ind w:left="554" w:hanging="554"/>
        <w:jc w:val="both"/>
      </w:pPr>
      <w:r>
        <w:rPr>
          <w:rFonts w:hint="eastAsia"/>
        </w:rPr>
        <w:t>2.4 关于设备的安装调试，如果有必要的安装准备条件，卖方应在合同生效后一个月内向买方提出详细的要求或计划。安装调试的费用应计入投标价中，并应单独列出，供评标使用。</w:t>
      </w:r>
    </w:p>
    <w:p>
      <w:pPr>
        <w:pStyle w:val="7"/>
        <w:spacing w:before="0" w:beforeAutospacing="0" w:after="0" w:afterAutospacing="0" w:line="360" w:lineRule="auto"/>
        <w:ind w:left="554" w:hanging="554"/>
        <w:jc w:val="both"/>
      </w:pPr>
      <w:r>
        <w:rPr>
          <w:rFonts w:hint="eastAsia"/>
        </w:rPr>
        <w:t>2.5 制造厂家提供的培训指的是涉及货物的基本原理、操作使用和保养维修等有关内容的培训。培训教员的培训费、旅费、食宿费等费用和培训场地费及培训资料费均应由卖方支付。</w:t>
      </w:r>
    </w:p>
    <w:p>
      <w:pPr>
        <w:pStyle w:val="7"/>
        <w:spacing w:before="0" w:beforeAutospacing="0" w:after="0" w:afterAutospacing="0" w:line="360" w:lineRule="auto"/>
        <w:ind w:left="554" w:hanging="554"/>
        <w:jc w:val="both"/>
      </w:pPr>
      <w:r>
        <w:rPr>
          <w:rFonts w:hint="eastAsia"/>
        </w:rPr>
        <w:t>2.6 在评标过程中，买方有权向投标人索取任何与评标有关的资料，投标人务必在接到此类要求后，在规定时间内予以答复。对于无答复的投标人，买方有权拒绝其投标。</w:t>
      </w:r>
    </w:p>
    <w:p>
      <w:pPr>
        <w:pStyle w:val="7"/>
        <w:spacing w:before="156" w:beforeAutospacing="0" w:after="156" w:afterAutospacing="0" w:line="360" w:lineRule="auto"/>
        <w:ind w:left="601" w:hanging="601"/>
        <w:jc w:val="both"/>
      </w:pPr>
      <w:r>
        <w:rPr>
          <w:rStyle w:val="10"/>
          <w:rFonts w:hint="eastAsia"/>
          <w:sz w:val="27"/>
          <w:szCs w:val="27"/>
        </w:rPr>
        <w:t>3、工作条件</w:t>
      </w:r>
    </w:p>
    <w:p>
      <w:pPr>
        <w:pStyle w:val="7"/>
        <w:spacing w:before="0" w:beforeAutospacing="0" w:after="312" w:afterAutospacing="0" w:line="360" w:lineRule="auto"/>
        <w:jc w:val="both"/>
      </w:pPr>
      <w:r>
        <w:rPr>
          <w:rFonts w:hint="eastAsia"/>
        </w:rPr>
        <w:t xml:space="preserve">除非在技术规格中另有说明，所有仪器、设备和系统都应符合下列要求： </w:t>
      </w:r>
    </w:p>
    <w:p>
      <w:pPr>
        <w:pStyle w:val="7"/>
        <w:spacing w:before="0" w:beforeAutospacing="0" w:after="0" w:afterAutospacing="0" w:line="360" w:lineRule="auto"/>
        <w:ind w:left="554" w:hanging="554"/>
        <w:jc w:val="both"/>
      </w:pPr>
      <w:r>
        <w:rPr>
          <w:rFonts w:hint="eastAsia"/>
        </w:rPr>
        <w:t>3.1 适于在气温为摄氏</w:t>
      </w:r>
      <w:r>
        <w:rPr>
          <w:rStyle w:val="10"/>
          <w:rFonts w:hint="eastAsia"/>
        </w:rPr>
        <w:t>-40℃～＋50℃</w:t>
      </w:r>
      <w:r>
        <w:rPr>
          <w:rFonts w:hint="eastAsia"/>
        </w:rPr>
        <w:t>和相对湿度为</w:t>
      </w:r>
      <w:r>
        <w:rPr>
          <w:rStyle w:val="10"/>
          <w:rFonts w:hint="eastAsia"/>
        </w:rPr>
        <w:t>90％</w:t>
      </w:r>
      <w:r>
        <w:rPr>
          <w:rFonts w:hint="eastAsia"/>
        </w:rPr>
        <w:t>的环境条件下运输和贮存。</w:t>
      </w:r>
    </w:p>
    <w:p>
      <w:pPr>
        <w:pStyle w:val="7"/>
        <w:spacing w:before="0" w:beforeAutospacing="0" w:after="0" w:afterAutospacing="0" w:line="360" w:lineRule="auto"/>
        <w:ind w:left="554" w:hanging="554"/>
        <w:jc w:val="both"/>
      </w:pPr>
      <w:r>
        <w:rPr>
          <w:rFonts w:hint="eastAsia"/>
        </w:rPr>
        <w:t>3.2 适于在电源</w:t>
      </w:r>
      <w:r>
        <w:rPr>
          <w:rStyle w:val="10"/>
          <w:rFonts w:hint="eastAsia"/>
        </w:rPr>
        <w:t>220V（10％）/50Hz</w:t>
      </w:r>
      <w:r>
        <w:rPr>
          <w:rFonts w:hint="eastAsia"/>
        </w:rPr>
        <w:t>、气温摄氏</w:t>
      </w:r>
      <w:r>
        <w:rPr>
          <w:rStyle w:val="10"/>
          <w:rFonts w:hint="eastAsia"/>
        </w:rPr>
        <w:t>+15℃～＋30℃</w:t>
      </w:r>
      <w:r>
        <w:rPr>
          <w:rFonts w:hint="eastAsia"/>
        </w:rPr>
        <w:t>和相对湿度小于</w:t>
      </w:r>
      <w:r>
        <w:rPr>
          <w:rStyle w:val="10"/>
          <w:rFonts w:hint="eastAsia"/>
        </w:rPr>
        <w:t>80％</w:t>
      </w:r>
      <w:r>
        <w:rPr>
          <w:rFonts w:hint="eastAsia"/>
        </w:rPr>
        <w:t>的环境条件下运行。</w:t>
      </w:r>
      <w:r>
        <w:rPr>
          <w:rStyle w:val="10"/>
          <w:rFonts w:hint="eastAsia"/>
        </w:rPr>
        <w:t>能够连续正常工作。</w:t>
      </w:r>
    </w:p>
    <w:p>
      <w:pPr>
        <w:pStyle w:val="7"/>
        <w:spacing w:before="0" w:beforeAutospacing="0" w:after="0" w:afterAutospacing="0" w:line="360" w:lineRule="auto"/>
        <w:ind w:left="554" w:hanging="554"/>
        <w:jc w:val="both"/>
      </w:pPr>
      <w:r>
        <w:rPr>
          <w:rFonts w:hint="eastAsia"/>
        </w:rPr>
        <w:t>3.3 配置符合中国有关标准要求的插头，如果没有这样的插头，则需提供适当的转换插座。</w:t>
      </w:r>
    </w:p>
    <w:p>
      <w:pPr>
        <w:pStyle w:val="7"/>
        <w:spacing w:before="0" w:beforeAutospacing="0" w:after="0" w:afterAutospacing="0" w:line="360" w:lineRule="auto"/>
        <w:ind w:left="554" w:hanging="554"/>
        <w:jc w:val="both"/>
      </w:pPr>
      <w:r>
        <w:rPr>
          <w:rFonts w:hint="eastAsia"/>
        </w:rPr>
        <w:t>3.4 如产品达不到上述要求，投标人应注明其偏差。如仪器设备需要特殊工作条件（如水、电源、磁场强度、温度、湿度、动强度等）投标人应在投标书中加以说明。</w:t>
      </w:r>
    </w:p>
    <w:p>
      <w:pPr>
        <w:pStyle w:val="7"/>
        <w:spacing w:before="0" w:beforeAutospacing="0" w:after="0" w:afterAutospacing="0" w:line="360" w:lineRule="auto"/>
        <w:jc w:val="both"/>
      </w:pPr>
    </w:p>
    <w:p>
      <w:pPr>
        <w:pStyle w:val="7"/>
        <w:spacing w:before="156" w:beforeAutospacing="0" w:after="156" w:afterAutospacing="0" w:line="360" w:lineRule="auto"/>
        <w:ind w:left="601" w:hanging="601"/>
        <w:jc w:val="both"/>
      </w:pPr>
      <w:r>
        <w:rPr>
          <w:rStyle w:val="10"/>
          <w:rFonts w:hint="eastAsia"/>
          <w:sz w:val="27"/>
          <w:szCs w:val="27"/>
        </w:rPr>
        <w:t>4、验收标准</w:t>
      </w:r>
    </w:p>
    <w:p>
      <w:pPr>
        <w:pStyle w:val="7"/>
        <w:spacing w:before="0" w:beforeAutospacing="0" w:after="312" w:afterAutospacing="0" w:line="360" w:lineRule="auto"/>
        <w:jc w:val="both"/>
      </w:pPr>
      <w:r>
        <w:rPr>
          <w:rFonts w:hint="eastAsia"/>
        </w:rPr>
        <w:t xml:space="preserve">除非在技术规格中另有说明，所有仪器、设备和系统按下列要求进行验收： </w:t>
      </w:r>
    </w:p>
    <w:p>
      <w:pPr>
        <w:pStyle w:val="7"/>
        <w:spacing w:before="0" w:beforeAutospacing="0" w:after="0" w:afterAutospacing="0" w:line="360" w:lineRule="auto"/>
        <w:ind w:left="554" w:hanging="554"/>
        <w:jc w:val="both"/>
      </w:pPr>
      <w:r>
        <w:rPr>
          <w:rFonts w:hint="eastAsia"/>
        </w:rPr>
        <w:t>4.1 仪器设备运抵安装现场后，买方将与卖方共同开箱验收, 如卖方届时不派人来, 则验收结果应以买方的验收报告为最终验收结果。验收时发现短缺、破损, 买方有权要求卖方负责更换。</w:t>
      </w:r>
    </w:p>
    <w:p>
      <w:pPr>
        <w:pStyle w:val="7"/>
        <w:spacing w:before="0" w:beforeAutospacing="0" w:after="0" w:afterAutospacing="0" w:line="360" w:lineRule="auto"/>
        <w:ind w:left="554" w:hanging="554"/>
        <w:jc w:val="both"/>
      </w:pPr>
      <w:r>
        <w:rPr>
          <w:rFonts w:hint="eastAsia"/>
        </w:rPr>
        <w:t>4.2 验收标准以中标人提供的投标文件中所列的指标为准（该指标应不低于招标文件所要求的指标）。任何虚假指标响应一经发现即作废标，卖方必须承担由此给买方带来的一切经济损失和其它相关责任。</w:t>
      </w:r>
    </w:p>
    <w:p>
      <w:pPr>
        <w:pStyle w:val="7"/>
        <w:spacing w:before="0" w:beforeAutospacing="0" w:after="0" w:afterAutospacing="0" w:line="360" w:lineRule="auto"/>
        <w:ind w:left="554" w:hanging="554"/>
        <w:jc w:val="both"/>
      </w:pPr>
      <w:r>
        <w:rPr>
          <w:rFonts w:hint="eastAsia"/>
        </w:rPr>
        <w:t>4.3 验收由采购人、中标人及相关人员依国家有关标准、合同及有关附件要求进行，验收完毕由采购人及中标人在验收报告上签名。</w:t>
      </w:r>
    </w:p>
    <w:p>
      <w:pPr>
        <w:pStyle w:val="7"/>
        <w:spacing w:before="0" w:beforeAutospacing="0" w:after="0" w:afterAutospacing="0" w:line="360" w:lineRule="auto"/>
        <w:ind w:left="410" w:hanging="410"/>
        <w:jc w:val="both"/>
      </w:pPr>
    </w:p>
    <w:p>
      <w:pPr>
        <w:pStyle w:val="7"/>
        <w:spacing w:before="0" w:beforeAutospacing="0" w:after="0" w:afterAutospacing="0" w:line="360" w:lineRule="auto"/>
        <w:ind w:left="410" w:hanging="410"/>
        <w:jc w:val="both"/>
      </w:pPr>
      <w:r>
        <w:rPr>
          <w:rStyle w:val="10"/>
          <w:rFonts w:hint="eastAsia"/>
        </w:rPr>
        <w:t>5、本技术规格书中标注“*”号的为关键技术参数，对这些关键技术参数的任何负偏离将导致废标。</w:t>
      </w:r>
    </w:p>
    <w:p>
      <w:pPr>
        <w:pStyle w:val="7"/>
        <w:spacing w:before="0" w:beforeAutospacing="0" w:after="0" w:afterAutospacing="0" w:line="360" w:lineRule="auto"/>
        <w:jc w:val="both"/>
      </w:pPr>
    </w:p>
    <w:p>
      <w:pPr>
        <w:pStyle w:val="7"/>
        <w:spacing w:before="0" w:beforeAutospacing="0" w:after="0" w:afterAutospacing="0" w:line="360" w:lineRule="auto"/>
        <w:jc w:val="both"/>
      </w:pPr>
      <w:r>
        <w:rPr>
          <w:rStyle w:val="10"/>
          <w:rFonts w:hint="eastAsia"/>
        </w:rPr>
        <w:t>6、如在具体技术规格中有本总则不一致之处，以具体技术规格中的要求为准。</w:t>
      </w:r>
    </w:p>
    <w:p>
      <w:pPr>
        <w:pStyle w:val="7"/>
        <w:spacing w:before="0" w:beforeAutospacing="0" w:after="0" w:afterAutospacing="0"/>
        <w:jc w:val="both"/>
        <w:rPr>
          <w:rFonts w:ascii="&amp;quot" w:hAnsi="&amp;quot" w:eastAsia="&amp;quot" w:cs="&amp;quot"/>
        </w:rPr>
      </w:pPr>
    </w:p>
    <w:p>
      <w:pPr>
        <w:pStyle w:val="7"/>
        <w:spacing w:before="0" w:beforeAutospacing="0" w:after="0" w:afterAutospacing="0" w:line="30" w:lineRule="atLeast"/>
        <w:jc w:val="both"/>
        <w:rPr>
          <w:rFonts w:ascii="&amp;quot" w:hAnsi="&amp;quot" w:eastAsia="&amp;quot" w:cs="&amp;quot"/>
          <w:color w:val="030303"/>
        </w:rPr>
      </w:pPr>
    </w:p>
    <w:p>
      <w:pPr>
        <w:pStyle w:val="7"/>
        <w:spacing w:before="0" w:beforeAutospacing="0" w:after="156" w:afterAutospacing="0" w:line="30" w:lineRule="atLeast"/>
        <w:ind w:left="601" w:hanging="601"/>
        <w:jc w:val="both"/>
        <w:rPr>
          <w:rStyle w:val="10"/>
          <w:rFonts w:ascii="&amp;quot" w:hAnsi="&amp;quot" w:eastAsia="&amp;quot" w:cs="&amp;quot"/>
          <w:color w:val="030303"/>
          <w:sz w:val="27"/>
          <w:szCs w:val="27"/>
        </w:rPr>
      </w:pPr>
    </w:p>
    <w:p>
      <w:pPr>
        <w:pStyle w:val="7"/>
        <w:spacing w:before="0" w:beforeAutospacing="0" w:after="156" w:afterAutospacing="0" w:line="360" w:lineRule="auto"/>
        <w:ind w:left="601" w:hanging="601"/>
        <w:jc w:val="both"/>
        <w:rPr>
          <w:rFonts w:eastAsia="宋体"/>
          <w:color w:val="030303"/>
        </w:rPr>
      </w:pPr>
      <w:r>
        <w:rPr>
          <w:rStyle w:val="10"/>
          <w:rFonts w:ascii="&amp;quot" w:hAnsi="&amp;quot" w:eastAsia="&amp;quot" w:cs="&amp;quot"/>
          <w:color w:val="030303"/>
          <w:sz w:val="27"/>
          <w:szCs w:val="27"/>
        </w:rPr>
        <w:br w:type="page"/>
      </w:r>
      <w:r>
        <w:rPr>
          <w:rStyle w:val="10"/>
          <w:rFonts w:hint="eastAsia" w:eastAsia="宋体"/>
          <w:color w:val="030303"/>
        </w:rPr>
        <w:t>二、具体技术规格</w:t>
      </w:r>
    </w:p>
    <w:bookmarkEnd w:id="0"/>
    <w:bookmarkEnd w:id="1"/>
    <w:p>
      <w:pPr>
        <w:widowControl/>
        <w:snapToGrid w:val="0"/>
        <w:spacing w:line="360" w:lineRule="auto"/>
        <w:outlineLvl w:val="0"/>
        <w:rPr>
          <w:rFonts w:ascii="宋体" w:hAnsi="宋体" w:eastAsia="宋体" w:cs="宋体"/>
          <w:b/>
          <w:sz w:val="24"/>
          <w:szCs w:val="24"/>
        </w:rPr>
      </w:pPr>
      <w:r>
        <w:rPr>
          <w:rFonts w:hint="eastAsia" w:ascii="宋体" w:hAnsi="宋体" w:eastAsia="宋体" w:cs="宋体"/>
          <w:b/>
          <w:sz w:val="24"/>
          <w:szCs w:val="24"/>
        </w:rPr>
        <w:t>1 设备名称：</w:t>
      </w:r>
    </w:p>
    <w:p>
      <w:pPr>
        <w:widowControl/>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电感耦合等离子体质谱仪</w:t>
      </w:r>
    </w:p>
    <w:p>
      <w:pPr>
        <w:widowControl/>
        <w:snapToGrid w:val="0"/>
        <w:spacing w:line="360" w:lineRule="auto"/>
        <w:outlineLvl w:val="0"/>
        <w:rPr>
          <w:rFonts w:ascii="宋体" w:hAnsi="宋体" w:eastAsia="宋体" w:cs="宋体"/>
          <w:b/>
          <w:sz w:val="24"/>
          <w:szCs w:val="24"/>
        </w:rPr>
      </w:pPr>
      <w:r>
        <w:rPr>
          <w:rFonts w:hint="eastAsia" w:ascii="宋体" w:hAnsi="宋体" w:eastAsia="宋体" w:cs="宋体"/>
          <w:b/>
          <w:sz w:val="24"/>
          <w:szCs w:val="24"/>
        </w:rPr>
        <w:t>2 数量：</w:t>
      </w:r>
    </w:p>
    <w:p>
      <w:pPr>
        <w:spacing w:line="360" w:lineRule="auto"/>
        <w:ind w:left="390"/>
        <w:outlineLvl w:val="0"/>
        <w:rPr>
          <w:rFonts w:ascii="宋体" w:hAnsi="宋体" w:eastAsia="宋体" w:cs="宋体"/>
          <w:sz w:val="24"/>
          <w:szCs w:val="24"/>
        </w:rPr>
      </w:pPr>
      <w:r>
        <w:rPr>
          <w:rFonts w:hint="eastAsia" w:ascii="宋体" w:hAnsi="宋体" w:eastAsia="宋体" w:cs="宋体"/>
          <w:sz w:val="24"/>
          <w:szCs w:val="24"/>
        </w:rPr>
        <w:t>1套</w:t>
      </w:r>
    </w:p>
    <w:p>
      <w:pPr>
        <w:widowControl/>
        <w:snapToGrid w:val="0"/>
        <w:spacing w:line="360" w:lineRule="auto"/>
        <w:outlineLvl w:val="0"/>
        <w:rPr>
          <w:rFonts w:ascii="宋体" w:hAnsi="宋体" w:eastAsia="宋体" w:cs="宋体"/>
          <w:b/>
          <w:sz w:val="24"/>
          <w:szCs w:val="24"/>
        </w:rPr>
      </w:pPr>
      <w:r>
        <w:rPr>
          <w:rFonts w:hint="eastAsia" w:ascii="宋体" w:hAnsi="宋体" w:eastAsia="宋体" w:cs="宋体"/>
          <w:b/>
          <w:sz w:val="24"/>
          <w:szCs w:val="24"/>
        </w:rPr>
        <w:t>3 设备用途说明：</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测定珊瑚礁碳酸盐岩样品的痕量元素及其同位素，以及针对珊瑚礁内的非传统元素的测定开发新的方法</w:t>
      </w:r>
    </w:p>
    <w:p>
      <w:pPr>
        <w:widowControl/>
        <w:snapToGrid w:val="0"/>
        <w:spacing w:line="360" w:lineRule="auto"/>
        <w:outlineLvl w:val="0"/>
        <w:rPr>
          <w:rFonts w:ascii="宋体" w:hAnsi="宋体" w:eastAsia="宋体" w:cs="宋体"/>
          <w:sz w:val="24"/>
          <w:szCs w:val="24"/>
        </w:rPr>
      </w:pPr>
      <w:r>
        <w:rPr>
          <w:rFonts w:hint="eastAsia" w:ascii="宋体" w:hAnsi="宋体" w:eastAsia="宋体" w:cs="宋体"/>
          <w:b/>
          <w:sz w:val="24"/>
          <w:szCs w:val="24"/>
        </w:rPr>
        <w:t>4 技术要求及参数</w:t>
      </w:r>
    </w:p>
    <w:p>
      <w:pPr>
        <w:widowControl/>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详见：技术性能指标表</w:t>
      </w:r>
    </w:p>
    <w:p>
      <w:pPr>
        <w:widowControl/>
        <w:snapToGrid w:val="0"/>
        <w:spacing w:before="120" w:beforeLines="50" w:after="120" w:afterLines="50" w:line="360" w:lineRule="auto"/>
        <w:outlineLvl w:val="0"/>
        <w:rPr>
          <w:rFonts w:ascii="宋体" w:hAnsi="宋体" w:eastAsia="宋体" w:cs="宋体"/>
          <w:b/>
          <w:sz w:val="24"/>
          <w:szCs w:val="24"/>
        </w:rPr>
      </w:pPr>
      <w:r>
        <w:rPr>
          <w:rFonts w:hint="eastAsia" w:ascii="宋体" w:hAnsi="宋体" w:eastAsia="宋体" w:cs="宋体"/>
          <w:b/>
          <w:sz w:val="24"/>
          <w:szCs w:val="24"/>
        </w:rPr>
        <w:t>5 配置清单及零配件（包括专用工具）：</w:t>
      </w:r>
    </w:p>
    <w:tbl>
      <w:tblPr>
        <w:tblStyle w:val="8"/>
        <w:tblW w:w="8743" w:type="dxa"/>
        <w:tblInd w:w="108" w:type="dxa"/>
        <w:tblLayout w:type="autofit"/>
        <w:tblCellMar>
          <w:top w:w="0" w:type="dxa"/>
          <w:left w:w="108" w:type="dxa"/>
          <w:bottom w:w="0" w:type="dxa"/>
          <w:right w:w="108" w:type="dxa"/>
        </w:tblCellMar>
      </w:tblPr>
      <w:tblGrid>
        <w:gridCol w:w="1040"/>
        <w:gridCol w:w="5623"/>
        <w:gridCol w:w="1040"/>
        <w:gridCol w:w="1040"/>
      </w:tblGrid>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62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电感耦合等离子体主机系统（包含以下内容）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27MHz固态RF-发生器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镍采样锥</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截取锥</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高基体截取锥嵌片</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采样锥石墨垫圈</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同心雾化器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低脉动12滚轮4通道蠕动泵</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高纯石英中心管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石英炬管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无需维护90°离子偏转透镜</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四极杆碰撞反应池</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四极杆质量分析器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仪器控制软件</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原装电脑（含显示器）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消耗品包（包含以下内容）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镍采样锥</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截取锥</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高基体截取锥嵌片</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采样锥石墨垫圈</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进样泵管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废液泵管             </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特氟隆材质毛细管（排废液用）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特氟隆材质毛细管（引入样品/内标用）</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石英炬管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石英中心管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自动进样器（含样品架及1000个样品管）</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国内采购辅助配件（包含以下内容）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批</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循环冷却水系统</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3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562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UPS稳压电源（10KVA，1小时）</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pPr>
        <w:widowControl/>
        <w:snapToGrid w:val="0"/>
        <w:spacing w:before="120" w:beforeLines="50" w:line="360" w:lineRule="auto"/>
        <w:rPr>
          <w:rFonts w:ascii="宋体" w:hAnsi="宋体" w:eastAsia="宋体" w:cs="宋体"/>
          <w:b/>
          <w:sz w:val="24"/>
          <w:szCs w:val="24"/>
        </w:rPr>
      </w:pPr>
    </w:p>
    <w:p>
      <w:pPr>
        <w:widowControl/>
        <w:snapToGrid w:val="0"/>
        <w:spacing w:before="120" w:beforeLines="50" w:line="360" w:lineRule="auto"/>
        <w:outlineLvl w:val="0"/>
        <w:rPr>
          <w:rFonts w:ascii="宋体" w:hAnsi="宋体" w:eastAsia="宋体" w:cs="宋体"/>
          <w:b/>
          <w:sz w:val="24"/>
          <w:szCs w:val="24"/>
        </w:rPr>
      </w:pPr>
      <w:r>
        <w:rPr>
          <w:rFonts w:hint="eastAsia" w:ascii="宋体" w:hAnsi="宋体" w:eastAsia="宋体" w:cs="宋体"/>
          <w:b/>
          <w:sz w:val="24"/>
          <w:szCs w:val="24"/>
        </w:rPr>
        <w:t>6 技术服务条款：</w:t>
      </w:r>
    </w:p>
    <w:p>
      <w:pPr>
        <w:widowControl/>
        <w:spacing w:before="120" w:beforeLines="50" w:line="360" w:lineRule="auto"/>
        <w:ind w:firstLine="240" w:firstLineChars="100"/>
        <w:rPr>
          <w:rFonts w:ascii="宋体" w:hAnsi="宋体" w:eastAsia="宋体" w:cs="宋体"/>
          <w:sz w:val="24"/>
          <w:szCs w:val="24"/>
        </w:rPr>
      </w:pPr>
      <w:r>
        <w:rPr>
          <w:rFonts w:hint="eastAsia" w:ascii="宋体" w:hAnsi="宋体" w:eastAsia="宋体" w:cs="宋体"/>
          <w:sz w:val="24"/>
          <w:szCs w:val="24"/>
        </w:rPr>
        <w:t>售后服务要求：</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投标方需为本项目配备足够的售后服务力量，具有国内本地化的服务团队。</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投标方售后服务响应时间：电话响应时间要求2小时内，到场响应时间要求2个工作日内（指从接到报障至到达故障现场的时间）。</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投标方免费提供技术支持热线电话。</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投标方免费提供email技术支持，并且在24小时内回复。</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投标方提供仪器设备的免费保修期整机一年（保修期内免费维修并更换除消耗品以外的零部件，维修人员的路费、食宿等自理）。</w:t>
      </w:r>
    </w:p>
    <w:p>
      <w:pPr>
        <w:widowControl/>
        <w:numPr>
          <w:ilvl w:val="0"/>
          <w:numId w:val="1"/>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投标方提供该设备的技术使用说明书及外购配件仪器说明书，并指导在使用该设备时的操作注意事项等。</w:t>
      </w:r>
    </w:p>
    <w:p>
      <w:pPr>
        <w:widowControl/>
        <w:spacing w:before="120" w:beforeLines="50"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培训要求：</w:t>
      </w:r>
    </w:p>
    <w:p>
      <w:pPr>
        <w:widowControl/>
        <w:numPr>
          <w:ilvl w:val="0"/>
          <w:numId w:val="2"/>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为保证投标方所提供的仪器设备安全、可靠运行，便于招标方的运行维护，必须对招标方培训合格的维护和管理人员。</w:t>
      </w:r>
    </w:p>
    <w:p>
      <w:pPr>
        <w:widowControl/>
        <w:numPr>
          <w:ilvl w:val="0"/>
          <w:numId w:val="2"/>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投标方负责对招标方提供至少一次现场技术培训，以便工作人员在培训后能熟练地掌握系统的维护工作，并能及时排除大部分的系统障碍。</w:t>
      </w:r>
    </w:p>
    <w:p>
      <w:pPr>
        <w:widowControl/>
        <w:tabs>
          <w:tab w:val="left" w:pos="1500"/>
        </w:tabs>
        <w:spacing w:before="120" w:beforeLines="50" w:line="360" w:lineRule="auto"/>
        <w:ind w:left="1500"/>
        <w:jc w:val="left"/>
        <w:rPr>
          <w:rFonts w:ascii="宋体" w:hAnsi="宋体" w:eastAsia="宋体" w:cs="宋体"/>
          <w:sz w:val="24"/>
          <w:szCs w:val="24"/>
        </w:rPr>
      </w:pPr>
    </w:p>
    <w:p>
      <w:pPr>
        <w:widowControl/>
        <w:spacing w:before="120" w:beforeLines="50" w:line="360" w:lineRule="auto"/>
        <w:outlineLvl w:val="0"/>
        <w:rPr>
          <w:rFonts w:ascii="宋体" w:hAnsi="宋体" w:eastAsia="宋体" w:cs="宋体"/>
          <w:b/>
          <w:sz w:val="24"/>
          <w:szCs w:val="24"/>
        </w:rPr>
      </w:pPr>
      <w:r>
        <w:rPr>
          <w:rFonts w:hint="eastAsia" w:ascii="宋体" w:hAnsi="宋体" w:eastAsia="宋体" w:cs="宋体"/>
          <w:b/>
          <w:sz w:val="24"/>
          <w:szCs w:val="24"/>
        </w:rPr>
        <w:t>7 包装要求：</w:t>
      </w:r>
    </w:p>
    <w:p>
      <w:pPr>
        <w:widowControl/>
        <w:spacing w:before="120" w:beforeLines="50" w:line="360" w:lineRule="auto"/>
        <w:ind w:left="420" w:leftChars="200"/>
        <w:rPr>
          <w:rFonts w:ascii="宋体" w:hAnsi="宋体" w:eastAsia="宋体" w:cs="宋体"/>
          <w:sz w:val="24"/>
          <w:szCs w:val="24"/>
        </w:rPr>
      </w:pPr>
      <w:r>
        <w:rPr>
          <w:rFonts w:hint="eastAsia" w:ascii="宋体" w:hAnsi="宋体" w:eastAsia="宋体" w:cs="宋体"/>
          <w:sz w:val="24"/>
          <w:szCs w:val="24"/>
        </w:rPr>
        <w:t>应使用崭新坚固的包装（标准包装），适合于空运、或陆运等长途运输方式；适合气候变化；投标商应对任何由于不当包装或防护措施不利而导致的商品损坏、损失、费用增长等后果负责。</w:t>
      </w:r>
    </w:p>
    <w:p>
      <w:pPr>
        <w:widowControl/>
        <w:spacing w:before="120" w:beforeLines="50" w:line="360" w:lineRule="auto"/>
        <w:ind w:left="420" w:leftChars="200"/>
        <w:rPr>
          <w:rFonts w:ascii="宋体" w:hAnsi="宋体" w:eastAsia="宋体" w:cs="宋体"/>
          <w:sz w:val="24"/>
          <w:szCs w:val="24"/>
        </w:rPr>
      </w:pPr>
    </w:p>
    <w:p>
      <w:pPr>
        <w:widowControl/>
        <w:snapToGrid w:val="0"/>
        <w:spacing w:before="120" w:beforeLines="50" w:line="360" w:lineRule="auto"/>
        <w:outlineLvl w:val="0"/>
        <w:rPr>
          <w:rFonts w:ascii="宋体" w:hAnsi="宋体" w:eastAsia="宋体" w:cs="宋体"/>
          <w:b/>
          <w:sz w:val="24"/>
          <w:szCs w:val="24"/>
        </w:rPr>
      </w:pPr>
      <w:r>
        <w:rPr>
          <w:rFonts w:hint="eastAsia" w:ascii="宋体" w:hAnsi="宋体" w:eastAsia="宋体" w:cs="宋体"/>
          <w:b/>
          <w:sz w:val="24"/>
          <w:szCs w:val="24"/>
        </w:rPr>
        <w:t>8 交货日期：</w:t>
      </w:r>
    </w:p>
    <w:p>
      <w:pPr>
        <w:autoSpaceDE w:val="0"/>
        <w:autoSpaceDN w:val="0"/>
        <w:spacing w:before="120" w:beforeLines="50" w:line="360" w:lineRule="auto"/>
        <w:ind w:firstLine="360"/>
        <w:rPr>
          <w:rFonts w:ascii="宋体" w:hAnsi="宋体" w:eastAsia="宋体" w:cs="宋体"/>
          <w:sz w:val="24"/>
          <w:szCs w:val="24"/>
        </w:rPr>
      </w:pPr>
      <w:r>
        <w:rPr>
          <w:rFonts w:hint="eastAsia" w:ascii="宋体" w:hAnsi="宋体" w:eastAsia="宋体" w:cs="宋体"/>
          <w:sz w:val="24"/>
          <w:szCs w:val="24"/>
        </w:rPr>
        <w:t>合同签订后2个月内交货</w:t>
      </w:r>
    </w:p>
    <w:p>
      <w:pPr>
        <w:widowControl/>
        <w:numPr>
          <w:ilvl w:val="0"/>
          <w:numId w:val="3"/>
        </w:numPr>
        <w:snapToGrid w:val="0"/>
        <w:spacing w:before="120" w:beforeLines="50" w:line="360" w:lineRule="auto"/>
        <w:outlineLvl w:val="0"/>
        <w:rPr>
          <w:rFonts w:ascii="宋体" w:hAnsi="宋体" w:eastAsia="宋体" w:cs="宋体"/>
          <w:b/>
          <w:sz w:val="24"/>
          <w:szCs w:val="24"/>
        </w:rPr>
      </w:pPr>
      <w:bookmarkStart w:id="2" w:name="OLE_LINK3"/>
      <w:r>
        <w:rPr>
          <w:rFonts w:hint="eastAsia" w:ascii="宋体" w:hAnsi="宋体" w:eastAsia="宋体" w:cs="宋体"/>
          <w:b/>
          <w:sz w:val="24"/>
          <w:szCs w:val="24"/>
        </w:rPr>
        <w:t>到货口岸及交货地点：</w:t>
      </w:r>
    </w:p>
    <w:p>
      <w:pPr>
        <w:widowControl/>
        <w:snapToGrid w:val="0"/>
        <w:spacing w:before="120" w:beforeLines="50" w:line="360" w:lineRule="auto"/>
        <w:ind w:left="315" w:leftChars="150"/>
        <w:rPr>
          <w:rFonts w:ascii="宋体" w:hAnsi="宋体" w:eastAsia="宋体" w:cs="宋体"/>
          <w:sz w:val="24"/>
          <w:szCs w:val="24"/>
        </w:rPr>
      </w:pPr>
      <w:r>
        <w:rPr>
          <w:rFonts w:hint="eastAsia" w:ascii="宋体" w:hAnsi="宋体" w:eastAsia="宋体" w:cs="宋体"/>
          <w:sz w:val="24"/>
          <w:szCs w:val="24"/>
        </w:rPr>
        <w:t>广州机场/用户指定地点</w:t>
      </w:r>
    </w:p>
    <w:bookmarkEnd w:id="2"/>
    <w:p>
      <w:pPr>
        <w:widowControl/>
        <w:snapToGrid w:val="0"/>
        <w:spacing w:before="120" w:beforeLines="50" w:line="360" w:lineRule="auto"/>
        <w:outlineLvl w:val="0"/>
        <w:rPr>
          <w:rFonts w:ascii="宋体" w:hAnsi="宋体" w:eastAsia="宋体" w:cs="宋体"/>
          <w:b/>
          <w:sz w:val="24"/>
          <w:szCs w:val="24"/>
        </w:rPr>
      </w:pPr>
      <w:r>
        <w:rPr>
          <w:rFonts w:hint="eastAsia" w:ascii="宋体" w:hAnsi="宋体" w:eastAsia="宋体" w:cs="宋体"/>
          <w:b/>
          <w:sz w:val="24"/>
          <w:szCs w:val="24"/>
        </w:rPr>
        <w:t>10 验收标准：</w:t>
      </w:r>
    </w:p>
    <w:p>
      <w:pPr>
        <w:widowControl/>
        <w:numPr>
          <w:ilvl w:val="0"/>
          <w:numId w:val="4"/>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widowControl/>
        <w:numPr>
          <w:ilvl w:val="0"/>
          <w:numId w:val="4"/>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pPr>
        <w:widowControl/>
        <w:numPr>
          <w:ilvl w:val="0"/>
          <w:numId w:val="4"/>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before="120" w:beforeLines="50" w:line="360" w:lineRule="auto"/>
        <w:ind w:left="-867" w:leftChars="-413" w:firstLine="1063" w:firstLineChars="441"/>
        <w:outlineLvl w:val="0"/>
        <w:rPr>
          <w:rFonts w:ascii="宋体" w:hAnsi="宋体" w:eastAsia="宋体" w:cs="宋体"/>
          <w:b/>
          <w:sz w:val="24"/>
          <w:szCs w:val="24"/>
        </w:rPr>
      </w:pPr>
      <w:r>
        <w:rPr>
          <w:rFonts w:hint="eastAsia" w:ascii="宋体" w:hAnsi="宋体" w:eastAsia="宋体" w:cs="宋体"/>
          <w:b/>
          <w:sz w:val="24"/>
          <w:szCs w:val="24"/>
        </w:rPr>
        <w:t>11 其它</w:t>
      </w:r>
    </w:p>
    <w:p>
      <w:pPr>
        <w:widowControl/>
        <w:spacing w:before="120"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对仪器设备生产厂家要求：</w:t>
      </w:r>
    </w:p>
    <w:p>
      <w:pPr>
        <w:widowControl/>
        <w:numPr>
          <w:ilvl w:val="0"/>
          <w:numId w:val="5"/>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厂家应具备一定规模的科研、生产、技术支持及售后服务能力。</w:t>
      </w:r>
    </w:p>
    <w:p>
      <w:pPr>
        <w:widowControl/>
        <w:numPr>
          <w:ilvl w:val="0"/>
          <w:numId w:val="5"/>
        </w:numPr>
        <w:spacing w:before="120" w:beforeLines="50" w:line="360" w:lineRule="auto"/>
        <w:jc w:val="left"/>
        <w:rPr>
          <w:rFonts w:ascii="宋体" w:hAnsi="宋体" w:eastAsia="宋体" w:cs="宋体"/>
          <w:sz w:val="24"/>
          <w:szCs w:val="24"/>
        </w:rPr>
      </w:pPr>
      <w:r>
        <w:rPr>
          <w:rFonts w:hint="eastAsia" w:ascii="宋体" w:hAnsi="宋体" w:eastAsia="宋体" w:cs="宋体"/>
          <w:sz w:val="24"/>
          <w:szCs w:val="24"/>
        </w:rPr>
        <w:t>厂家在国内设有技术支持中心及维修中心 。</w: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附：技术性能指标表</w:t>
      </w:r>
    </w:p>
    <w:tbl>
      <w:tblPr>
        <w:tblStyle w:val="8"/>
        <w:tblW w:w="9033" w:type="dxa"/>
        <w:tblInd w:w="108" w:type="dxa"/>
        <w:tblLayout w:type="autofit"/>
        <w:tblCellMar>
          <w:top w:w="0" w:type="dxa"/>
          <w:left w:w="108" w:type="dxa"/>
          <w:bottom w:w="0" w:type="dxa"/>
          <w:right w:w="108" w:type="dxa"/>
        </w:tblCellMar>
      </w:tblPr>
      <w:tblGrid>
        <w:gridCol w:w="1040"/>
        <w:gridCol w:w="1512"/>
        <w:gridCol w:w="6481"/>
      </w:tblGrid>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编号</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招标技术指标名称</w:t>
            </w:r>
          </w:p>
        </w:tc>
        <w:tc>
          <w:tcPr>
            <w:tcW w:w="648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招标技术指标值</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应用范围和要求</w:t>
            </w: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测定珊瑚礁碳酸盐岩样品的主量和痕量元素</w:t>
            </w:r>
          </w:p>
        </w:tc>
      </w:tr>
      <w:tr>
        <w:tblPrEx>
          <w:tblCellMar>
            <w:top w:w="0" w:type="dxa"/>
            <w:left w:w="108" w:type="dxa"/>
            <w:bottom w:w="0" w:type="dxa"/>
            <w:right w:w="108" w:type="dxa"/>
          </w:tblCellMar>
        </w:tblPrEx>
        <w:trPr>
          <w:trHeight w:val="310" w:hRule="atLeast"/>
        </w:trPr>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性能指标</w:t>
            </w: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一、总体指标要求</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为了能够在碰撞或反应模式中引入质量筛选功能以实现更有效的多原子离子干扰去除效果，实现对复杂基体样品的准确分析，仪器供应商所提供的产品应具有两套可实现质量筛选功能的四极杆，碰撞反应池和质量分离器</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2、雾化器：具备高雾化效率和耐高盐性能的同心雾化器。</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蠕动泵：最高可调转动速度50rpm（每分钟50转）的四通道蠕动泵系统，以加快样品的引入和冲洗速度，使仪器具有更高的分析效率，同时保证更强的进样拓展能力；泵体应采用惰性材质制造，防止酸液滴落对滚轮的腐蚀。</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4、炬管：采用无需手动连接等离子气，辅助气气路的卡式推入炬管设计，以方便日常更换维护且避免多次维护导致的漏气现象；可配置多种口径中心管的分体式石英炬管，用以降低炬管的后期使用成本。</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5、中心管：可拆卸式中心管设计，方便用户针对不同样品类型选择并更换合适尺寸的中心管。</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#6、等离子体可视系统：具有Plasma TV功能，可以实时通过电脑显示器监控等离子体及锥口和中心管的状态，便于及时判断仪器是否需要维护。方便将ICPMS主机与控制电脑分开放置的用户直接通过控制电脑观察仪器运行情况并进行参数优化。</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#7、离子源：为获得更高的等离子体中心通道温度提高样品的离子化效率，仪器应采用27.12MHz工作频率驱动的自激式全固态RF发生器；功率在400-1600W范围内连续可调，调节精度0.5W</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8、具有工作线圈和接口的二次放电消除功能，采用无需屏蔽炬设计的虚拟接地技术，保证仪器最佳性能的同时减少不必要的消耗品——屏蔽炬。（对使用屏蔽炬技术的产品，需配备50套屏蔽炬以备更换。）</w:t>
            </w:r>
          </w:p>
        </w:tc>
      </w:tr>
      <w:tr>
        <w:tblPrEx>
          <w:tblCellMar>
            <w:top w:w="0" w:type="dxa"/>
            <w:left w:w="108" w:type="dxa"/>
            <w:bottom w:w="0" w:type="dxa"/>
            <w:right w:w="108" w:type="dxa"/>
          </w:tblCellMar>
        </w:tblPrEx>
        <w:trPr>
          <w:trHeight w:val="12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9、接口：接口部分的设计应兼顾保护分析腔真空度和耐盐两个方面，避免采用对分析腔真空度有明显影响的大锥孔设计，采样锥口径应控制在0.9-1.2mm，截取锥口径应控制在0.5-0.7mm；同时配有不损失样品灵敏度的接口耐盐设计，可在高灵敏度情况下实现对25%盐度样品的连续稳定分析。</w:t>
            </w:r>
          </w:p>
        </w:tc>
      </w:tr>
      <w:tr>
        <w:tblPrEx>
          <w:tblCellMar>
            <w:top w:w="0" w:type="dxa"/>
            <w:left w:w="108" w:type="dxa"/>
            <w:bottom w:w="0" w:type="dxa"/>
            <w:right w:w="108" w:type="dxa"/>
          </w:tblCellMar>
        </w:tblPrEx>
        <w:trPr>
          <w:trHeight w:val="274"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10、碰撞反应池池体内部或池体的前端应具有一套可实现质量筛选功能的四极杆结构设计，针对不同的被测元素，该四极杆结构可通过控制软件分别自动给出相应元素所需的质量筛选区段，更好的去除二次多原子离子干扰或反应副产物；</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11、碰撞反应池池内可使用标准模式（STD模式）、碰撞模式（KED模式）和反应模式（CCT模式）进行干扰的消除和样品分析，每种模式都可通过平面四极杆设置带宽进行质量数的区段筛选以达到更优异的干扰消除效果；</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12、碰撞反应池碰撞模式可使用He气，H2He混合气， NH3He混合气；反应模式可使用O2气，H2气，NH3气及混合气；</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13、碰撞反应应具备碰撞聚焦功能，保证碰撞模式下的高灵敏度分析，并可获得238U≥1000Mcps/ppm的高灵敏度水平，并提供文献证明。</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14、DA透镜：为了消除因碰撞或反应过程中由于电荷转移而二次产生的中性粒子，保证仪器具有极低的背景噪音，样品离子在通过碰撞反应池后可被DA透镜再次进行离轴偏转，将池内可能产生的二次中性干扰消除。</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15、四极杆质量分辨器：纯Mo材料的长杆结构设计，提供双曲面电势场保证最佳的质量轴分辨率、丰度灵敏度；采用2.0MHz低频驱动四极杆，以获得更宽的质谱分析范围和更优异的质量轴稳定性。</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16、四极杆具有可调分辨率功能，可以在同一方法中针对不同元素进行不同分辨率的设定，要求在一次样品测试中，四极杆在不同分辨率下自动切换，请提供软件演示图片或文献证明。</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*17、质谱范围：2-288amu，且仪器应具备分析286UOOO+离子的能力。</w:t>
            </w:r>
          </w:p>
        </w:tc>
      </w:tr>
      <w:tr>
        <w:tblPrEx>
          <w:tblCellMar>
            <w:top w:w="0" w:type="dxa"/>
            <w:left w:w="108" w:type="dxa"/>
            <w:bottom w:w="0" w:type="dxa"/>
            <w:right w:w="108" w:type="dxa"/>
          </w:tblCellMar>
        </w:tblPrEx>
        <w:trPr>
          <w:trHeight w:val="9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18、脉冲模拟双模式同时型电子倍增器两种模式可以自动切换，必须可以在一次进样过程中同时完成扫描和跳峰分析（定性和定量分析），电子倍增器可对 &lt;0.1cps或 &gt;109cps的信号进行计数且两种模式分析过程中的驻留时间可达0.1ms。</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19、等离子体炬位调整：由计算机控制步进电机进行三维(X,Y, Z方向)位置控制，步长调节精度0.05mm，参数存储于计算机软件中。</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二、操作软件要求</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1、操作系统： 能够在Microsoft ® Windows系统上运行。</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2、全自动分析功能(启动关闭仪器 ,炬位调整, 等离子体参数, 离子透镜, 标准等离子体条件与冷等离子体条件切换,标准技术与碰撞池技术切换等)</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3、包含色谱连用的瞬间信号分析软件以便与色谱或激光进样系统等连用。可以满足色谱连用中的数据采集，色谱积分计算，报告输出等功能。</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4、实时数据显示,和实时报告显示。</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5、拥有智能化软件包括：智能进样时间和智能冲洗时间，QAQC 软件，可以满足EPA方法的QC要求，智能谱图解释软件.</w:t>
            </w:r>
          </w:p>
        </w:tc>
      </w:tr>
      <w:tr>
        <w:tblPrEx>
          <w:tblCellMar>
            <w:top w:w="0" w:type="dxa"/>
            <w:left w:w="108" w:type="dxa"/>
            <w:bottom w:w="0" w:type="dxa"/>
            <w:right w:w="108" w:type="dxa"/>
          </w:tblCellMar>
        </w:tblPrEx>
        <w:trPr>
          <w:trHeight w:val="6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6、ICPMS操作软件可以安装于个人计算机上，样品分析数据可以使用此软件进行离线数据处理并生成报告。</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三、自动进样器要求</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1、样品位数不少于240位</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2、包括14ml样品瓶1000个及4个60位样品托盘架</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四、其他配置要求</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1、UPS稳压电源：15KVA,1小时</w:t>
            </w:r>
          </w:p>
        </w:tc>
      </w:tr>
      <w:tr>
        <w:tblPrEx>
          <w:tblCellMar>
            <w:top w:w="0" w:type="dxa"/>
            <w:left w:w="108" w:type="dxa"/>
            <w:bottom w:w="0" w:type="dxa"/>
            <w:right w:w="108" w:type="dxa"/>
          </w:tblCellMar>
        </w:tblPrEx>
        <w:trPr>
          <w:trHeight w:val="30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2、冷却循环水：ICPMS专用冷却水系统</w:t>
            </w:r>
          </w:p>
        </w:tc>
      </w:tr>
      <w:tr>
        <w:tblPrEx>
          <w:tblCellMar>
            <w:top w:w="0" w:type="dxa"/>
            <w:left w:w="108" w:type="dxa"/>
            <w:bottom w:w="0" w:type="dxa"/>
            <w:right w:w="108" w:type="dxa"/>
          </w:tblCellMar>
        </w:tblPrEx>
        <w:trPr>
          <w:trHeight w:val="320" w:hRule="atLeast"/>
        </w:trPr>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调试培训服务</w:t>
            </w: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1.至少一次现场免费培训</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15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2.满足24小时热线服务</w:t>
            </w:r>
          </w:p>
        </w:tc>
      </w:tr>
      <w:tr>
        <w:tblPrEx>
          <w:tblCellMar>
            <w:top w:w="0" w:type="dxa"/>
            <w:left w:w="108" w:type="dxa"/>
            <w:bottom w:w="0" w:type="dxa"/>
            <w:right w:w="108" w:type="dxa"/>
          </w:tblCellMar>
        </w:tblPrEx>
        <w:trPr>
          <w:trHeight w:val="310" w:hRule="atLeast"/>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6481"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无</w:t>
            </w: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5694"/>
    <w:multiLevelType w:val="multilevel"/>
    <w:tmpl w:val="36175694"/>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1">
    <w:nsid w:val="43A8409B"/>
    <w:multiLevelType w:val="multilevel"/>
    <w:tmpl w:val="43A8409B"/>
    <w:lvl w:ilvl="0" w:tentative="0">
      <w:start w:val="9"/>
      <w:numFmt w:val="decimal"/>
      <w:lvlText w:val="%1"/>
      <w:lvlJc w:val="left"/>
      <w:pPr>
        <w:tabs>
          <w:tab w:val="left" w:pos="360"/>
        </w:tabs>
        <w:ind w:left="360" w:hanging="360"/>
      </w:pPr>
      <w:rPr>
        <w:rFonts w:hint="default"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40A20"/>
    <w:multiLevelType w:val="multilevel"/>
    <w:tmpl w:val="58340A20"/>
    <w:lvl w:ilvl="0" w:tentative="0">
      <w:start w:val="1"/>
      <w:numFmt w:val="decimal"/>
      <w:lvlText w:val="%1)"/>
      <w:lvlJc w:val="left"/>
      <w:pPr>
        <w:tabs>
          <w:tab w:val="left" w:pos="1500"/>
        </w:tabs>
        <w:ind w:left="1500" w:hanging="420"/>
      </w:pPr>
      <w:rPr>
        <w:rFonts w:cs="Times New Roman"/>
      </w:rPr>
    </w:lvl>
    <w:lvl w:ilvl="1" w:tentative="0">
      <w:start w:val="1"/>
      <w:numFmt w:val="decimal"/>
      <w:lvlText w:val="%2."/>
      <w:lvlJc w:val="left"/>
      <w:pPr>
        <w:tabs>
          <w:tab w:val="left" w:pos="561"/>
        </w:tabs>
        <w:ind w:left="561" w:hanging="420"/>
      </w:pPr>
      <w:rPr>
        <w:rFonts w:cs="Times New Roman"/>
      </w:rPr>
    </w:lvl>
    <w:lvl w:ilvl="2" w:tentative="0">
      <w:start w:val="7"/>
      <w:numFmt w:val="decimal"/>
      <w:lvlText w:val="%3、"/>
      <w:lvlJc w:val="left"/>
      <w:pPr>
        <w:tabs>
          <w:tab w:val="left" w:pos="360"/>
        </w:tabs>
        <w:ind w:left="360" w:hanging="360"/>
      </w:pPr>
      <w:rPr>
        <w:rFonts w:hint="default" w:hAnsi="宋体" w:cs="Times New Roman"/>
      </w:rPr>
    </w:lvl>
    <w:lvl w:ilvl="3" w:tentative="0">
      <w:start w:val="1"/>
      <w:numFmt w:val="decimal"/>
      <w:lvlText w:val="%4)"/>
      <w:lvlJc w:val="left"/>
      <w:pPr>
        <w:tabs>
          <w:tab w:val="left" w:pos="2760"/>
        </w:tabs>
        <w:ind w:left="2760" w:hanging="420"/>
      </w:pPr>
      <w:rPr>
        <w:rFonts w:cs="Times New Roman"/>
      </w:rPr>
    </w:lvl>
    <w:lvl w:ilvl="4" w:tentative="0">
      <w:start w:val="8"/>
      <w:numFmt w:val="decimal"/>
      <w:lvlText w:val="%5"/>
      <w:lvlJc w:val="left"/>
      <w:pPr>
        <w:tabs>
          <w:tab w:val="left" w:pos="3120"/>
        </w:tabs>
        <w:ind w:left="3120" w:hanging="360"/>
      </w:pPr>
      <w:rPr>
        <w:rFonts w:hint="default" w:hAnsi="宋体" w:eastAsia="宋体"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3">
    <w:nsid w:val="6E2E2083"/>
    <w:multiLevelType w:val="multilevel"/>
    <w:tmpl w:val="6E2E2083"/>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4">
    <w:nsid w:val="77333ABE"/>
    <w:multiLevelType w:val="multilevel"/>
    <w:tmpl w:val="77333ABE"/>
    <w:lvl w:ilvl="0" w:tentative="0">
      <w:start w:val="1"/>
      <w:numFmt w:val="decimal"/>
      <w:lvlText w:val="%1)"/>
      <w:lvlJc w:val="left"/>
      <w:pPr>
        <w:tabs>
          <w:tab w:val="left" w:pos="1500"/>
        </w:tabs>
        <w:ind w:left="1500" w:hanging="420"/>
      </w:pPr>
      <w:rPr>
        <w:rFonts w:hint="eastAsia" w:cs="Times New Roman"/>
      </w:rPr>
    </w:lvl>
    <w:lvl w:ilvl="1" w:tentative="0">
      <w:start w:val="1"/>
      <w:numFmt w:val="decimal"/>
      <w:lvlText w:val="%2"/>
      <w:lvlJc w:val="left"/>
      <w:pPr>
        <w:tabs>
          <w:tab w:val="left" w:pos="1860"/>
        </w:tabs>
        <w:ind w:left="1860" w:hanging="360"/>
      </w:pPr>
      <w:rPr>
        <w:rFonts w:hint="default" w:cs="Times New Roman"/>
      </w:rPr>
    </w:lvl>
    <w:lvl w:ilvl="2" w:tentative="0">
      <w:start w:val="2"/>
      <w:numFmt w:val="decimal"/>
      <w:lvlText w:val="%3."/>
      <w:lvlJc w:val="left"/>
      <w:pPr>
        <w:tabs>
          <w:tab w:val="left" w:pos="2280"/>
        </w:tabs>
        <w:ind w:left="2280" w:hanging="360"/>
      </w:pPr>
      <w:rPr>
        <w:rFonts w:hint="default" w:hAnsi="宋体" w:cs="Times New Roman"/>
      </w:rPr>
    </w:lvl>
    <w:lvl w:ilvl="3" w:tentative="0">
      <w:start w:val="5"/>
      <w:numFmt w:val="decimal"/>
      <w:lvlText w:val="%4、"/>
      <w:lvlJc w:val="left"/>
      <w:pPr>
        <w:tabs>
          <w:tab w:val="left" w:pos="2700"/>
        </w:tabs>
        <w:ind w:left="2700" w:hanging="360"/>
      </w:pPr>
      <w:rPr>
        <w:rFonts w:hint="default"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108D1"/>
    <w:rsid w:val="66D1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5">
    <w:name w:val="heading 3"/>
    <w:basedOn w:val="1"/>
    <w:next w:val="6"/>
    <w:qFormat/>
    <w:uiPriority w:val="0"/>
    <w:pPr>
      <w:keepNext/>
      <w:keepLines/>
      <w:spacing w:before="260" w:after="260" w:line="400" w:lineRule="exact"/>
      <w:outlineLvl w:val="2"/>
    </w:pPr>
    <w:rPr>
      <w:rFonts w:ascii="宋体" w:hAnsi="宋体"/>
      <w:b/>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ind w:firstLine="700" w:firstLineChars="250"/>
    </w:pPr>
    <w:rPr>
      <w:rFonts w:ascii="楷体_GB2312" w:hAnsi="宋体" w:eastAsia="楷体_GB2312"/>
      <w:sz w:val="28"/>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2021-01-05T01:52:00Z</dcterms:created>
  <dc:creator>招标代理</dc:creator>
  <cp:lastModifiedBy>招标代理</cp:lastModifiedBy>
  <dcterms:modified xsi:type="dcterms:W3CDTF">2021-01-05T01:54:31Z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