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FF" w:rsidRDefault="00C359FF" w:rsidP="00C359FF">
      <w:pPr>
        <w:pStyle w:val="a3"/>
        <w:kinsoku w:val="0"/>
        <w:overflowPunct w:val="0"/>
        <w:spacing w:before="100" w:beforeAutospacing="1"/>
        <w:jc w:val="center"/>
        <w:rPr>
          <w:rFonts w:hint="eastAsia"/>
          <w:b/>
          <w:color w:val="000000"/>
          <w:sz w:val="35"/>
        </w:rPr>
      </w:pPr>
      <w:r w:rsidRPr="00954F60">
        <w:rPr>
          <w:rFonts w:hint="eastAsia"/>
          <w:b/>
          <w:color w:val="000000"/>
          <w:sz w:val="35"/>
        </w:rPr>
        <w:t>中国农业科学院成都农业科技中心高效疫苗和新型诊断技术仪器购置</w:t>
      </w:r>
    </w:p>
    <w:p w:rsidR="00AF4808" w:rsidRPr="00AF4808" w:rsidRDefault="00AF4808" w:rsidP="00C359FF">
      <w:pPr>
        <w:pStyle w:val="a3"/>
        <w:kinsoku w:val="0"/>
        <w:overflowPunct w:val="0"/>
        <w:spacing w:before="100" w:beforeAutospacing="1"/>
        <w:jc w:val="center"/>
        <w:rPr>
          <w:rFonts w:hint="eastAsia"/>
          <w:b/>
          <w:color w:val="000000" w:themeColor="text1"/>
          <w:sz w:val="24"/>
          <w:szCs w:val="30"/>
        </w:rPr>
      </w:pPr>
      <w:bookmarkStart w:id="0" w:name="_Toc76579053"/>
      <w:r w:rsidRPr="00AF4808">
        <w:rPr>
          <w:rFonts w:hint="eastAsia"/>
          <w:b/>
          <w:color w:val="000000"/>
          <w:sz w:val="35"/>
        </w:rPr>
        <w:t>二次公告</w:t>
      </w:r>
      <w:bookmarkEnd w:id="0"/>
    </w:p>
    <w:p w:rsidR="00C359FF" w:rsidRPr="003F0A9F" w:rsidRDefault="00C359FF" w:rsidP="00C359FF">
      <w:pPr>
        <w:pStyle w:val="a3"/>
        <w:kinsoku w:val="0"/>
        <w:overflowPunct w:val="0"/>
        <w:spacing w:before="100" w:beforeAutospacing="1"/>
        <w:jc w:val="center"/>
        <w:rPr>
          <w:color w:val="000000" w:themeColor="text1"/>
          <w:sz w:val="24"/>
          <w:szCs w:val="30"/>
        </w:rPr>
      </w:pPr>
      <w:r w:rsidRPr="003F0A9F">
        <w:rPr>
          <w:rFonts w:hint="eastAsia"/>
          <w:color w:val="000000" w:themeColor="text1"/>
          <w:sz w:val="24"/>
          <w:szCs w:val="30"/>
        </w:rPr>
        <w:t>（招标编号：</w:t>
      </w:r>
      <w:r w:rsidRPr="003F0A9F">
        <w:rPr>
          <w:color w:val="000000" w:themeColor="text1"/>
          <w:sz w:val="24"/>
          <w:szCs w:val="30"/>
        </w:rPr>
        <w:t xml:space="preserve"> GXTC-</w:t>
      </w:r>
      <w:r w:rsidRPr="003F0A9F">
        <w:rPr>
          <w:rFonts w:hint="eastAsia"/>
          <w:color w:val="000000" w:themeColor="text1"/>
          <w:sz w:val="24"/>
          <w:szCs w:val="30"/>
        </w:rPr>
        <w:t xml:space="preserve">C-2111093 </w:t>
      </w:r>
      <w:r w:rsidRPr="003F0A9F">
        <w:rPr>
          <w:rFonts w:hint="eastAsia"/>
          <w:color w:val="000000" w:themeColor="text1"/>
          <w:sz w:val="24"/>
          <w:szCs w:val="30"/>
        </w:rPr>
        <w:t>）</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国信招标集团股份有限公司受中国农业科学院兰州兽医研究所的委托，对中国农业科学院成都农业科技中心高效疫苗和新型诊断技术仪器购置以公开招标形式进行采购，欢迎符合资格条件的供应商前来参加。</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一、招标文件编号：</w:t>
      </w:r>
      <w:r w:rsidRPr="003F0A9F">
        <w:rPr>
          <w:color w:val="000000"/>
        </w:rPr>
        <w:t>GXTC-</w:t>
      </w:r>
      <w:r w:rsidRPr="003F0A9F">
        <w:rPr>
          <w:rFonts w:hint="eastAsia"/>
          <w:color w:val="000000"/>
        </w:rPr>
        <w:t>C-2111093</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二、招标内容：</w:t>
      </w:r>
      <w:r w:rsidRPr="003F0A9F">
        <w:rPr>
          <w:rFonts w:hint="eastAsia"/>
          <w:color w:val="000000"/>
        </w:rPr>
        <w:t xml:space="preserve"> </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中国农业科学院成都农业科技中心高效疫苗和新型诊断技术仪器购置（本项目共分为</w:t>
      </w:r>
      <w:r>
        <w:rPr>
          <w:rFonts w:hint="eastAsia"/>
          <w:color w:val="000000"/>
        </w:rPr>
        <w:t>10</w:t>
      </w:r>
      <w:r w:rsidRPr="003F0A9F">
        <w:rPr>
          <w:rFonts w:hint="eastAsia"/>
          <w:color w:val="000000"/>
        </w:rPr>
        <w:t>个包）</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3132"/>
        <w:gridCol w:w="1282"/>
        <w:gridCol w:w="2451"/>
      </w:tblGrid>
      <w:tr w:rsidR="00C359FF" w:rsidRPr="003F0A9F" w:rsidTr="00DC62DB">
        <w:trPr>
          <w:trHeight w:val="857"/>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widowControl/>
              <w:spacing w:line="460" w:lineRule="exact"/>
              <w:rPr>
                <w:rFonts w:asciiTheme="majorEastAsia" w:eastAsiaTheme="majorEastAsia" w:hAnsiTheme="majorEastAsia" w:cs="宋体"/>
                <w:b/>
                <w:bCs/>
                <w:color w:val="000000" w:themeColor="text1"/>
                <w:kern w:val="0"/>
                <w:szCs w:val="21"/>
              </w:rPr>
            </w:pPr>
            <w:r w:rsidRPr="001C5A0D">
              <w:rPr>
                <w:rFonts w:asciiTheme="majorEastAsia" w:eastAsiaTheme="majorEastAsia" w:hAnsiTheme="majorEastAsia" w:cs="宋体" w:hint="eastAsia"/>
                <w:b/>
                <w:bCs/>
                <w:color w:val="000000" w:themeColor="text1"/>
                <w:kern w:val="0"/>
                <w:szCs w:val="21"/>
              </w:rPr>
              <w:t>包 号</w:t>
            </w: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widowControl/>
              <w:spacing w:line="460" w:lineRule="exact"/>
              <w:jc w:val="center"/>
              <w:rPr>
                <w:rFonts w:asciiTheme="majorEastAsia" w:eastAsiaTheme="majorEastAsia" w:hAnsiTheme="majorEastAsia" w:cs="宋体"/>
                <w:b/>
                <w:bCs/>
                <w:color w:val="000000" w:themeColor="text1"/>
                <w:kern w:val="0"/>
                <w:szCs w:val="21"/>
              </w:rPr>
            </w:pPr>
            <w:r w:rsidRPr="001C5A0D">
              <w:rPr>
                <w:rFonts w:asciiTheme="majorEastAsia" w:eastAsiaTheme="majorEastAsia" w:hAnsiTheme="majorEastAsia" w:cs="宋体" w:hint="eastAsia"/>
                <w:b/>
                <w:bCs/>
                <w:color w:val="000000" w:themeColor="text1"/>
                <w:kern w:val="0"/>
                <w:szCs w:val="21"/>
              </w:rPr>
              <w:t>设备名称</w:t>
            </w:r>
          </w:p>
        </w:tc>
        <w:tc>
          <w:tcPr>
            <w:tcW w:w="1282" w:type="dxa"/>
            <w:tcBorders>
              <w:top w:val="single" w:sz="4" w:space="0" w:color="auto"/>
              <w:left w:val="single" w:sz="4" w:space="0" w:color="auto"/>
              <w:bottom w:val="single" w:sz="4" w:space="0" w:color="auto"/>
              <w:right w:val="single" w:sz="4" w:space="0" w:color="auto"/>
            </w:tcBorders>
            <w:hideMark/>
          </w:tcPr>
          <w:p w:rsidR="00C359FF" w:rsidRPr="001C5A0D" w:rsidRDefault="00C359FF" w:rsidP="00DC62DB">
            <w:pPr>
              <w:spacing w:line="460" w:lineRule="exact"/>
              <w:jc w:val="center"/>
              <w:rPr>
                <w:rFonts w:asciiTheme="majorEastAsia" w:eastAsiaTheme="majorEastAsia" w:hAnsiTheme="majorEastAsia" w:cs="宋体"/>
                <w:b/>
                <w:bCs/>
                <w:color w:val="000000" w:themeColor="text1"/>
                <w:kern w:val="0"/>
                <w:szCs w:val="21"/>
              </w:rPr>
            </w:pPr>
            <w:r w:rsidRPr="001C5A0D">
              <w:rPr>
                <w:rFonts w:asciiTheme="majorEastAsia" w:eastAsiaTheme="majorEastAsia" w:hAnsiTheme="majorEastAsia" w:cs="宋体" w:hint="eastAsia"/>
                <w:b/>
                <w:bCs/>
                <w:color w:val="000000" w:themeColor="text1"/>
                <w:kern w:val="0"/>
                <w:szCs w:val="21"/>
              </w:rPr>
              <w:t>采购数量（台/套）</w:t>
            </w:r>
          </w:p>
        </w:tc>
        <w:tc>
          <w:tcPr>
            <w:tcW w:w="2451" w:type="dxa"/>
            <w:tcBorders>
              <w:top w:val="single" w:sz="4" w:space="0" w:color="auto"/>
              <w:left w:val="single" w:sz="4" w:space="0" w:color="auto"/>
              <w:bottom w:val="single" w:sz="4" w:space="0" w:color="auto"/>
              <w:right w:val="single" w:sz="4" w:space="0" w:color="auto"/>
            </w:tcBorders>
            <w:hideMark/>
          </w:tcPr>
          <w:p w:rsidR="00C359FF" w:rsidRPr="003F0A9F" w:rsidRDefault="00C359FF" w:rsidP="00DC62DB">
            <w:pPr>
              <w:spacing w:line="460" w:lineRule="exact"/>
              <w:jc w:val="center"/>
              <w:rPr>
                <w:rFonts w:asciiTheme="minorEastAsia" w:eastAsiaTheme="minorEastAsia" w:hAnsiTheme="minorEastAsia" w:cs="宋体"/>
                <w:b/>
                <w:bCs/>
                <w:color w:val="000000" w:themeColor="text1"/>
                <w:kern w:val="0"/>
                <w:szCs w:val="21"/>
              </w:rPr>
            </w:pPr>
            <w:r w:rsidRPr="003F0A9F">
              <w:rPr>
                <w:rFonts w:asciiTheme="minorEastAsia" w:eastAsiaTheme="minorEastAsia" w:hAnsiTheme="minorEastAsia" w:cs="宋体" w:hint="eastAsia"/>
                <w:b/>
                <w:bCs/>
                <w:color w:val="000000" w:themeColor="text1"/>
                <w:kern w:val="0"/>
                <w:szCs w:val="21"/>
              </w:rPr>
              <w:t>备注</w:t>
            </w:r>
          </w:p>
        </w:tc>
      </w:tr>
      <w:tr w:rsidR="00C359FF" w:rsidRPr="003F0A9F" w:rsidTr="00DC62DB">
        <w:trPr>
          <w:trHeight w:val="538"/>
          <w:jc w:val="center"/>
        </w:trPr>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spacing w:line="460" w:lineRule="exact"/>
              <w:jc w:val="center"/>
              <w:rPr>
                <w:rFonts w:asciiTheme="majorEastAsia" w:eastAsiaTheme="majorEastAsia" w:hAnsiTheme="majorEastAsia" w:cs="宋体"/>
                <w:color w:val="000000" w:themeColor="text1"/>
                <w:szCs w:val="21"/>
              </w:rPr>
            </w:pPr>
            <w:r w:rsidRPr="001C5A0D">
              <w:rPr>
                <w:rFonts w:asciiTheme="majorEastAsia" w:eastAsiaTheme="majorEastAsia" w:hAnsiTheme="majorEastAsia" w:cs="宋体" w:hint="eastAsia"/>
                <w:color w:val="000000" w:themeColor="text1"/>
                <w:szCs w:val="21"/>
              </w:rPr>
              <w:t>3</w:t>
            </w: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全自动蛋白纯化系统</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val="restart"/>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r w:rsidRPr="00954F60">
              <w:rPr>
                <w:rFonts w:asciiTheme="minorEastAsia" w:eastAsiaTheme="minorEastAsia" w:hAnsiTheme="minorEastAsia" w:cs="宋体" w:hint="eastAsia"/>
                <w:color w:val="000000" w:themeColor="text1"/>
                <w:szCs w:val="21"/>
              </w:rPr>
              <w:t>进口产品，已论证</w:t>
            </w:r>
          </w:p>
        </w:tc>
      </w:tr>
      <w:tr w:rsidR="00C359FF" w:rsidRPr="003F0A9F" w:rsidTr="00DC62DB">
        <w:trPr>
          <w:trHeight w:val="538"/>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50L生物反应器</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液相色谱仪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冷冻干燥机</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蛋白纯化仪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val="restart"/>
            <w:tcBorders>
              <w:top w:val="single" w:sz="4" w:space="0" w:color="auto"/>
              <w:left w:val="single" w:sz="4" w:space="0" w:color="auto"/>
              <w:right w:val="single" w:sz="4" w:space="0" w:color="auto"/>
            </w:tcBorders>
            <w:vAlign w:val="center"/>
            <w:hideMark/>
          </w:tcPr>
          <w:p w:rsidR="00C359FF" w:rsidRPr="001C5A0D" w:rsidRDefault="00C359FF" w:rsidP="00DC62DB">
            <w:pPr>
              <w:spacing w:line="460" w:lineRule="exact"/>
              <w:jc w:val="center"/>
              <w:rPr>
                <w:rFonts w:asciiTheme="majorEastAsia" w:eastAsiaTheme="majorEastAsia" w:hAnsiTheme="majorEastAsia" w:cs="宋体"/>
                <w:color w:val="000000" w:themeColor="text1"/>
                <w:szCs w:val="21"/>
              </w:rPr>
            </w:pPr>
            <w:r w:rsidRPr="001C5A0D">
              <w:rPr>
                <w:rFonts w:asciiTheme="majorEastAsia" w:eastAsiaTheme="majorEastAsia" w:hAnsiTheme="majorEastAsia" w:cs="宋体" w:hint="eastAsia"/>
                <w:color w:val="000000" w:themeColor="text1"/>
                <w:szCs w:val="21"/>
              </w:rPr>
              <w:t>4</w:t>
            </w: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纳米粒</w:t>
            </w:r>
            <w:r w:rsidRPr="001C5A0D">
              <w:rPr>
                <w:rFonts w:asciiTheme="majorEastAsia" w:eastAsiaTheme="majorEastAsia" w:hAnsiTheme="majorEastAsia" w:hint="eastAsia"/>
              </w:rPr>
              <w:t>径</w:t>
            </w:r>
            <w:r w:rsidRPr="001C5A0D">
              <w:rPr>
                <w:rFonts w:asciiTheme="majorEastAsia" w:eastAsiaTheme="majorEastAsia" w:hAnsiTheme="majorEastAsia" w:hint="eastAsia"/>
                <w:color w:val="000000"/>
                <w:sz w:val="22"/>
                <w:szCs w:val="22"/>
              </w:rPr>
              <w:t>检测仪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摇床</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4</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细胞摇床</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3</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全自动细胞计数仪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2</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单孔细胞核转染系统</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恒温均匀器</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5</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电穿孔仪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2</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低温恒温循环系统</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2</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分析天平</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2</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细胞培养摇床</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38"/>
          <w:jc w:val="center"/>
        </w:trPr>
        <w:tc>
          <w:tcPr>
            <w:tcW w:w="830" w:type="dxa"/>
            <w:vMerge/>
            <w:tcBorders>
              <w:left w:val="single" w:sz="4" w:space="0" w:color="auto"/>
              <w:bottom w:val="single" w:sz="4" w:space="0" w:color="auto"/>
              <w:right w:val="single" w:sz="4" w:space="0" w:color="auto"/>
            </w:tcBorders>
            <w:vAlign w:val="center"/>
            <w:hideMark/>
          </w:tcPr>
          <w:p w:rsidR="00C359FF" w:rsidRPr="001C5A0D" w:rsidRDefault="00C359FF" w:rsidP="00DC62DB">
            <w:pPr>
              <w:widowControl/>
              <w:jc w:val="left"/>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细胞计数仪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82"/>
          <w:jc w:val="center"/>
        </w:trPr>
        <w:tc>
          <w:tcPr>
            <w:tcW w:w="830" w:type="dxa"/>
            <w:vMerge w:val="restart"/>
            <w:tcBorders>
              <w:top w:val="single" w:sz="4" w:space="0" w:color="auto"/>
              <w:left w:val="single" w:sz="4" w:space="0" w:color="auto"/>
              <w:right w:val="single" w:sz="4" w:space="0" w:color="auto"/>
            </w:tcBorders>
            <w:vAlign w:val="center"/>
            <w:hideMark/>
          </w:tcPr>
          <w:p w:rsidR="00C359FF" w:rsidRPr="001C5A0D" w:rsidRDefault="00C359FF" w:rsidP="00DC62DB">
            <w:pPr>
              <w:spacing w:line="460" w:lineRule="exact"/>
              <w:jc w:val="center"/>
              <w:rPr>
                <w:rFonts w:asciiTheme="majorEastAsia" w:eastAsiaTheme="majorEastAsia" w:hAnsiTheme="majorEastAsia" w:cs="宋体"/>
                <w:color w:val="000000" w:themeColor="text1"/>
                <w:szCs w:val="21"/>
              </w:rPr>
            </w:pPr>
            <w:r w:rsidRPr="001C5A0D">
              <w:rPr>
                <w:rFonts w:asciiTheme="majorEastAsia" w:eastAsiaTheme="majorEastAsia" w:hAnsiTheme="majorEastAsia" w:cs="宋体" w:hint="eastAsia"/>
                <w:color w:val="000000" w:themeColor="text1"/>
                <w:szCs w:val="21"/>
              </w:rPr>
              <w:t>6</w:t>
            </w: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超声波</w:t>
            </w:r>
            <w:proofErr w:type="gramStart"/>
            <w:r w:rsidRPr="001C5A0D">
              <w:rPr>
                <w:rFonts w:asciiTheme="majorEastAsia" w:eastAsiaTheme="majorEastAsia" w:hAnsiTheme="majorEastAsia" w:hint="eastAsia"/>
                <w:color w:val="000000"/>
                <w:sz w:val="22"/>
                <w:szCs w:val="22"/>
              </w:rPr>
              <w:t>破碎仪</w:t>
            </w:r>
            <w:proofErr w:type="gramEnd"/>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2</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82"/>
          <w:jc w:val="center"/>
        </w:trPr>
        <w:tc>
          <w:tcPr>
            <w:tcW w:w="830" w:type="dxa"/>
            <w:vMerge/>
            <w:tcBorders>
              <w:left w:val="single" w:sz="4" w:space="0" w:color="auto"/>
              <w:right w:val="single" w:sz="4" w:space="0" w:color="auto"/>
            </w:tcBorders>
            <w:vAlign w:val="center"/>
            <w:hideMark/>
          </w:tcPr>
          <w:p w:rsidR="00C359FF" w:rsidRPr="001C5A0D" w:rsidRDefault="00C359FF" w:rsidP="00DC62DB">
            <w:pPr>
              <w:spacing w:line="460" w:lineRule="exact"/>
              <w:jc w:val="center"/>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酶标仪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82"/>
          <w:jc w:val="center"/>
        </w:trPr>
        <w:tc>
          <w:tcPr>
            <w:tcW w:w="830" w:type="dxa"/>
            <w:vMerge/>
            <w:tcBorders>
              <w:left w:val="single" w:sz="4" w:space="0" w:color="auto"/>
              <w:right w:val="single" w:sz="4" w:space="0" w:color="auto"/>
            </w:tcBorders>
            <w:vAlign w:val="center"/>
            <w:hideMark/>
          </w:tcPr>
          <w:p w:rsidR="00C359FF" w:rsidRPr="001C5A0D" w:rsidRDefault="00C359FF" w:rsidP="00DC62DB">
            <w:pPr>
              <w:spacing w:line="460" w:lineRule="exact"/>
              <w:jc w:val="center"/>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实验室自动化工作站</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r w:rsidR="00C359FF" w:rsidRPr="003F0A9F" w:rsidTr="00DC62DB">
        <w:trPr>
          <w:trHeight w:val="582"/>
          <w:jc w:val="center"/>
        </w:trPr>
        <w:tc>
          <w:tcPr>
            <w:tcW w:w="830" w:type="dxa"/>
            <w:vMerge/>
            <w:tcBorders>
              <w:left w:val="single" w:sz="4" w:space="0" w:color="auto"/>
              <w:bottom w:val="single" w:sz="4" w:space="0" w:color="auto"/>
              <w:right w:val="single" w:sz="4" w:space="0" w:color="auto"/>
            </w:tcBorders>
            <w:vAlign w:val="center"/>
            <w:hideMark/>
          </w:tcPr>
          <w:p w:rsidR="00C359FF" w:rsidRPr="001C5A0D" w:rsidRDefault="00C359FF" w:rsidP="00DC62DB">
            <w:pPr>
              <w:spacing w:line="460" w:lineRule="exact"/>
              <w:jc w:val="center"/>
              <w:rPr>
                <w:rFonts w:asciiTheme="majorEastAsia" w:eastAsiaTheme="majorEastAsia" w:hAnsiTheme="majorEastAsia" w:cs="宋体"/>
                <w:color w:val="000000" w:themeColor="text1"/>
                <w:szCs w:val="21"/>
              </w:rPr>
            </w:pPr>
          </w:p>
        </w:tc>
        <w:tc>
          <w:tcPr>
            <w:tcW w:w="313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单克隆筛选仪</w:t>
            </w:r>
          </w:p>
        </w:tc>
        <w:tc>
          <w:tcPr>
            <w:tcW w:w="1282" w:type="dxa"/>
            <w:tcBorders>
              <w:top w:val="single" w:sz="4" w:space="0" w:color="auto"/>
              <w:left w:val="single" w:sz="4" w:space="0" w:color="auto"/>
              <w:bottom w:val="single" w:sz="4" w:space="0" w:color="auto"/>
              <w:right w:val="single" w:sz="4" w:space="0" w:color="auto"/>
            </w:tcBorders>
            <w:vAlign w:val="center"/>
            <w:hideMark/>
          </w:tcPr>
          <w:p w:rsidR="00C359FF" w:rsidRPr="001C5A0D" w:rsidRDefault="00C359FF" w:rsidP="00DC62DB">
            <w:pPr>
              <w:jc w:val="center"/>
              <w:rPr>
                <w:rFonts w:asciiTheme="majorEastAsia" w:eastAsiaTheme="majorEastAsia" w:hAnsiTheme="majorEastAsia" w:cs="宋体"/>
                <w:color w:val="000000"/>
                <w:sz w:val="22"/>
                <w:szCs w:val="22"/>
              </w:rPr>
            </w:pPr>
            <w:r w:rsidRPr="001C5A0D">
              <w:rPr>
                <w:rFonts w:asciiTheme="majorEastAsia" w:eastAsiaTheme="majorEastAsia" w:hAnsiTheme="majorEastAsia" w:hint="eastAsia"/>
                <w:color w:val="000000"/>
                <w:sz w:val="22"/>
                <w:szCs w:val="22"/>
              </w:rPr>
              <w:t>1</w:t>
            </w:r>
          </w:p>
        </w:tc>
        <w:tc>
          <w:tcPr>
            <w:tcW w:w="2451" w:type="dxa"/>
            <w:vMerge/>
            <w:tcBorders>
              <w:left w:val="single" w:sz="4" w:space="0" w:color="auto"/>
              <w:right w:val="single" w:sz="4" w:space="0" w:color="auto"/>
            </w:tcBorders>
            <w:vAlign w:val="center"/>
            <w:hideMark/>
          </w:tcPr>
          <w:p w:rsidR="00C359FF" w:rsidRPr="003F0A9F" w:rsidRDefault="00C359FF" w:rsidP="00DC62DB">
            <w:pPr>
              <w:widowControl/>
              <w:jc w:val="left"/>
              <w:rPr>
                <w:rFonts w:asciiTheme="minorEastAsia" w:eastAsiaTheme="minorEastAsia" w:hAnsiTheme="minorEastAsia" w:cs="宋体"/>
                <w:color w:val="000000" w:themeColor="text1"/>
                <w:szCs w:val="21"/>
              </w:rPr>
            </w:pPr>
          </w:p>
        </w:tc>
      </w:tr>
    </w:tbl>
    <w:p w:rsidR="00C359FF" w:rsidRPr="003F0A9F" w:rsidRDefault="00C359FF" w:rsidP="00C359FF">
      <w:pPr>
        <w:spacing w:line="460" w:lineRule="exact"/>
        <w:rPr>
          <w:rFonts w:asciiTheme="minorEastAsia" w:eastAsiaTheme="minorEastAsia" w:hAnsiTheme="minorEastAsia" w:cs="宋体"/>
          <w:b/>
          <w:color w:val="000000" w:themeColor="text1"/>
          <w:szCs w:val="21"/>
        </w:rPr>
      </w:pPr>
      <w:r w:rsidRPr="003F0A9F">
        <w:rPr>
          <w:rFonts w:asciiTheme="minorEastAsia" w:eastAsiaTheme="minorEastAsia" w:hAnsiTheme="minorEastAsia" w:cs="宋体" w:hint="eastAsia"/>
          <w:b/>
          <w:color w:val="000000" w:themeColor="text1"/>
          <w:szCs w:val="21"/>
        </w:rPr>
        <w:t>（具体参数详见《招标文件》招标内容）</w:t>
      </w:r>
    </w:p>
    <w:p w:rsidR="00C359FF" w:rsidRPr="003F0A9F" w:rsidRDefault="00C359FF" w:rsidP="00C359FF">
      <w:pPr>
        <w:widowControl/>
        <w:spacing w:line="460" w:lineRule="exact"/>
        <w:jc w:val="left"/>
        <w:rPr>
          <w:rFonts w:asciiTheme="minorEastAsia" w:eastAsiaTheme="minorEastAsia" w:hAnsiTheme="minorEastAsia" w:cs="宋体"/>
          <w:bCs/>
          <w:color w:val="000000" w:themeColor="text1"/>
          <w:kern w:val="0"/>
          <w:szCs w:val="21"/>
        </w:rPr>
      </w:pPr>
      <w:r w:rsidRPr="003F0A9F">
        <w:rPr>
          <w:rFonts w:asciiTheme="minorEastAsia" w:eastAsiaTheme="minorEastAsia" w:hAnsiTheme="minorEastAsia" w:cs="宋体" w:hint="eastAsia"/>
          <w:b/>
          <w:color w:val="000000" w:themeColor="text1"/>
          <w:kern w:val="0"/>
          <w:szCs w:val="21"/>
        </w:rPr>
        <w:t xml:space="preserve">    三、采购预算金额：</w:t>
      </w:r>
      <w:r>
        <w:rPr>
          <w:rFonts w:asciiTheme="minorEastAsia" w:eastAsiaTheme="minorEastAsia" w:hAnsiTheme="minorEastAsia" w:cs="宋体" w:hint="eastAsia"/>
          <w:bCs/>
          <w:color w:val="000000" w:themeColor="text1"/>
          <w:kern w:val="0"/>
          <w:szCs w:val="21"/>
        </w:rPr>
        <w:t>1073.13</w:t>
      </w:r>
      <w:r w:rsidRPr="003F0A9F">
        <w:rPr>
          <w:rFonts w:asciiTheme="minorEastAsia" w:eastAsiaTheme="minorEastAsia" w:hAnsiTheme="minorEastAsia" w:cs="宋体" w:hint="eastAsia"/>
          <w:bCs/>
          <w:color w:val="000000" w:themeColor="text1"/>
          <w:kern w:val="0"/>
          <w:szCs w:val="21"/>
        </w:rPr>
        <w:t>万元（第3包：356.9万元，第4包：316万元</w:t>
      </w:r>
      <w:r>
        <w:rPr>
          <w:rFonts w:asciiTheme="minorEastAsia" w:eastAsiaTheme="minorEastAsia" w:hAnsiTheme="minorEastAsia" w:cs="宋体" w:hint="eastAsia"/>
          <w:bCs/>
          <w:color w:val="000000" w:themeColor="text1"/>
          <w:kern w:val="0"/>
          <w:szCs w:val="21"/>
        </w:rPr>
        <w:t>，</w:t>
      </w:r>
      <w:r w:rsidRPr="003F0A9F">
        <w:rPr>
          <w:rFonts w:asciiTheme="minorEastAsia" w:eastAsiaTheme="minorEastAsia" w:hAnsiTheme="minorEastAsia" w:cs="宋体" w:hint="eastAsia"/>
          <w:bCs/>
          <w:color w:val="000000" w:themeColor="text1"/>
          <w:kern w:val="0"/>
          <w:szCs w:val="21"/>
        </w:rPr>
        <w:t>第6包：400.23万元） </w:t>
      </w:r>
    </w:p>
    <w:p w:rsidR="00C359FF" w:rsidRPr="003F0A9F" w:rsidRDefault="00C359FF" w:rsidP="00C359FF">
      <w:pPr>
        <w:pStyle w:val="a3"/>
        <w:kinsoku w:val="0"/>
        <w:overflowPunct w:val="0"/>
        <w:spacing w:line="500" w:lineRule="exact"/>
        <w:ind w:firstLineChars="200" w:firstLine="420"/>
        <w:rPr>
          <w:rFonts w:ascii="Helvetica" w:hAnsi="Helvetica"/>
          <w:color w:val="000000"/>
          <w:szCs w:val="21"/>
        </w:rPr>
      </w:pPr>
      <w:r w:rsidRPr="003F0A9F">
        <w:rPr>
          <w:rFonts w:hint="eastAsia"/>
          <w:color w:val="000000"/>
        </w:rPr>
        <w:t>交货期为</w:t>
      </w:r>
      <w:r w:rsidRPr="003F0A9F">
        <w:rPr>
          <w:rFonts w:hint="eastAsia"/>
          <w:color w:val="000000"/>
        </w:rPr>
        <w:t>70</w:t>
      </w:r>
      <w:r w:rsidRPr="003F0A9F">
        <w:rPr>
          <w:rFonts w:hint="eastAsia"/>
          <w:color w:val="000000"/>
        </w:rPr>
        <w:t>天</w:t>
      </w:r>
      <w:r w:rsidRPr="003F0A9F">
        <w:rPr>
          <w:rFonts w:ascii="Helvetica" w:hAnsi="Helvetica" w:hint="eastAsia"/>
          <w:color w:val="000000"/>
          <w:szCs w:val="21"/>
        </w:rPr>
        <w:t>。</w:t>
      </w:r>
    </w:p>
    <w:p w:rsidR="00C359FF" w:rsidRPr="003F0A9F" w:rsidRDefault="00C359FF" w:rsidP="00C359FF">
      <w:pPr>
        <w:pStyle w:val="a3"/>
        <w:kinsoku w:val="0"/>
        <w:overflowPunct w:val="0"/>
        <w:spacing w:line="500" w:lineRule="exact"/>
        <w:ind w:firstLineChars="200" w:firstLine="420"/>
        <w:rPr>
          <w:color w:val="000000"/>
          <w:u w:val="single"/>
        </w:rPr>
      </w:pPr>
      <w:r w:rsidRPr="003F0A9F">
        <w:rPr>
          <w:rFonts w:ascii="Helvetica" w:hAnsi="Helvetica" w:hint="eastAsia"/>
          <w:color w:val="000000"/>
          <w:szCs w:val="21"/>
        </w:rPr>
        <w:t>交货地点：</w:t>
      </w:r>
      <w:r w:rsidRPr="003F0A9F">
        <w:rPr>
          <w:rFonts w:ascii="Helvetica" w:hAnsi="Helvetica" w:hint="eastAsia"/>
          <w:color w:val="000000"/>
          <w:szCs w:val="21"/>
          <w:u w:val="single"/>
        </w:rPr>
        <w:t xml:space="preserve"> </w:t>
      </w:r>
      <w:r w:rsidRPr="003F0A9F">
        <w:rPr>
          <w:rFonts w:ascii="Helvetica" w:hAnsi="Helvetica" w:hint="eastAsia"/>
          <w:color w:val="000000"/>
          <w:szCs w:val="21"/>
          <w:u w:val="single"/>
        </w:rPr>
        <w:t>四川省成都市天府新区中国农业科学院国家农业科技中心（成都市天府新区兴隆湖镇天明村</w:t>
      </w:r>
      <w:r w:rsidRPr="003F0A9F">
        <w:rPr>
          <w:rFonts w:ascii="Helvetica" w:hAnsi="Helvetica" w:hint="eastAsia"/>
          <w:color w:val="000000"/>
          <w:szCs w:val="21"/>
          <w:u w:val="single"/>
        </w:rPr>
        <w:t>4</w:t>
      </w:r>
      <w:r w:rsidRPr="003F0A9F">
        <w:rPr>
          <w:rFonts w:ascii="Helvetica" w:hAnsi="Helvetica" w:hint="eastAsia"/>
          <w:color w:val="000000"/>
          <w:szCs w:val="21"/>
          <w:u w:val="single"/>
        </w:rPr>
        <w:t>组</w:t>
      </w:r>
      <w:r w:rsidRPr="003F0A9F">
        <w:rPr>
          <w:rFonts w:ascii="Helvetica" w:hAnsi="Helvetica" w:hint="eastAsia"/>
          <w:color w:val="000000"/>
          <w:szCs w:val="21"/>
          <w:u w:val="single"/>
        </w:rPr>
        <w:t>209</w:t>
      </w:r>
      <w:r w:rsidRPr="003F0A9F">
        <w:rPr>
          <w:rFonts w:ascii="Helvetica" w:hAnsi="Helvetica" w:hint="eastAsia"/>
          <w:color w:val="000000"/>
          <w:szCs w:val="21"/>
          <w:u w:val="single"/>
        </w:rPr>
        <w:t>号）</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四、评标方法：综合评分法。</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五、供应商资格要求：</w:t>
      </w:r>
    </w:p>
    <w:p w:rsidR="00C359FF" w:rsidRPr="003F0A9F" w:rsidRDefault="00C359FF" w:rsidP="00C359FF">
      <w:pPr>
        <w:pStyle w:val="a3"/>
        <w:kinsoku w:val="0"/>
        <w:overflowPunct w:val="0"/>
        <w:spacing w:line="500" w:lineRule="exact"/>
        <w:ind w:firstLineChars="200" w:firstLine="420"/>
        <w:rPr>
          <w:color w:val="000000"/>
        </w:rPr>
      </w:pPr>
      <w:r w:rsidRPr="003F0A9F">
        <w:rPr>
          <w:color w:val="000000"/>
        </w:rPr>
        <w:t>1</w:t>
      </w:r>
      <w:r w:rsidRPr="003F0A9F">
        <w:rPr>
          <w:rFonts w:hint="eastAsia"/>
          <w:color w:val="000000"/>
        </w:rPr>
        <w:t>、必须符合《中华人民共和国政府采购法》第二十二条的规定</w:t>
      </w:r>
      <w:r w:rsidRPr="003F0A9F">
        <w:rPr>
          <w:color w:val="000000"/>
        </w:rPr>
        <w:t>,</w:t>
      </w:r>
      <w:r w:rsidRPr="003F0A9F">
        <w:rPr>
          <w:rFonts w:hint="eastAsia"/>
          <w:color w:val="000000"/>
        </w:rPr>
        <w:t>并提供《中华人民共和国政府采购法实施条例》第十七条所要求的材料；</w:t>
      </w:r>
      <w:r w:rsidRPr="003F0A9F">
        <w:rPr>
          <w:rFonts w:hint="eastAsia"/>
          <w:color w:val="000000"/>
        </w:rPr>
        <w:t xml:space="preserve">  </w:t>
      </w:r>
    </w:p>
    <w:p w:rsidR="00C359FF" w:rsidRPr="003F0A9F" w:rsidRDefault="00C359FF" w:rsidP="00C359FF">
      <w:pPr>
        <w:pStyle w:val="a3"/>
        <w:kinsoku w:val="0"/>
        <w:overflowPunct w:val="0"/>
        <w:spacing w:line="500" w:lineRule="exact"/>
        <w:ind w:firstLineChars="200" w:firstLine="420"/>
        <w:rPr>
          <w:color w:val="000000"/>
        </w:rPr>
      </w:pPr>
      <w:r w:rsidRPr="003F0A9F">
        <w:rPr>
          <w:rFonts w:hint="eastAsia"/>
          <w:color w:val="000000"/>
        </w:rPr>
        <w:t>2</w:t>
      </w:r>
      <w:r w:rsidRPr="003F0A9F">
        <w:rPr>
          <w:rFonts w:hint="eastAsia"/>
          <w:color w:val="000000"/>
        </w:rPr>
        <w:t>、对提供进口产品的投标人，须提供投标产品生产厂家针对本项目的专项授权函原件或区域总代理针对本项目的转授权函原件（提供转授权函的，还须提供生产厂家对区域总代理的授权函复印件且该复印件须加盖区域总代理公章）；</w:t>
      </w:r>
    </w:p>
    <w:p w:rsidR="00C359FF" w:rsidRPr="003F0A9F" w:rsidRDefault="00C359FF" w:rsidP="00C359FF">
      <w:pPr>
        <w:pStyle w:val="a3"/>
        <w:kinsoku w:val="0"/>
        <w:overflowPunct w:val="0"/>
        <w:spacing w:line="500" w:lineRule="exact"/>
        <w:ind w:firstLineChars="200" w:firstLine="420"/>
        <w:rPr>
          <w:color w:val="000000"/>
        </w:rPr>
      </w:pPr>
      <w:bookmarkStart w:id="1" w:name="_GoBack"/>
      <w:bookmarkEnd w:id="1"/>
      <w:r w:rsidRPr="003F0A9F">
        <w:rPr>
          <w:rFonts w:hint="eastAsia"/>
          <w:color w:val="000000"/>
        </w:rPr>
        <w:t>3</w:t>
      </w:r>
      <w:r w:rsidRPr="003F0A9F">
        <w:rPr>
          <w:rFonts w:hint="eastAsia"/>
          <w:color w:val="000000"/>
        </w:rPr>
        <w:t>、投标人须为未被列入“信用中国”</w:t>
      </w:r>
      <w:proofErr w:type="gramStart"/>
      <w:r w:rsidRPr="003F0A9F">
        <w:rPr>
          <w:rFonts w:hint="eastAsia"/>
          <w:color w:val="000000"/>
        </w:rPr>
        <w:t>网记录</w:t>
      </w:r>
      <w:proofErr w:type="gramEnd"/>
      <w:r w:rsidRPr="003F0A9F">
        <w:rPr>
          <w:rFonts w:hint="eastAsia"/>
          <w:color w:val="000000"/>
        </w:rPr>
        <w:t>失信被执行人或重大税收违法案件当事人名单或政府采购严重违法失信行为</w:t>
      </w:r>
      <w:proofErr w:type="gramStart"/>
      <w:r w:rsidRPr="003F0A9F">
        <w:rPr>
          <w:rFonts w:hint="eastAsia"/>
          <w:color w:val="000000"/>
        </w:rPr>
        <w:t>”</w:t>
      </w:r>
      <w:proofErr w:type="gramEnd"/>
      <w:r w:rsidRPr="003F0A9F">
        <w:rPr>
          <w:rFonts w:hint="eastAsia"/>
          <w:color w:val="000000"/>
        </w:rPr>
        <w:t>记录名单；或不处于中国政府采购</w:t>
      </w:r>
      <w:proofErr w:type="gramStart"/>
      <w:r w:rsidRPr="003F0A9F">
        <w:rPr>
          <w:rFonts w:hint="eastAsia"/>
          <w:color w:val="000000"/>
        </w:rPr>
        <w:t>网政府</w:t>
      </w:r>
      <w:proofErr w:type="gramEnd"/>
      <w:r w:rsidRPr="003F0A9F">
        <w:rPr>
          <w:rFonts w:hint="eastAsia"/>
          <w:color w:val="000000"/>
        </w:rPr>
        <w:t>采购严重违法失信行为信息记录</w:t>
      </w:r>
      <w:proofErr w:type="gramStart"/>
      <w:r w:rsidRPr="003F0A9F">
        <w:rPr>
          <w:rFonts w:hint="eastAsia"/>
          <w:color w:val="000000"/>
        </w:rPr>
        <w:t>”</w:t>
      </w:r>
      <w:proofErr w:type="gramEnd"/>
      <w:r w:rsidRPr="003F0A9F">
        <w:rPr>
          <w:rFonts w:hint="eastAsia"/>
          <w:color w:val="000000"/>
        </w:rPr>
        <w:t>中的禁止参加政府采购活动期间；或未被列入“信用甘肃”网站记录失信被执行人或财政性资金管理使用领域相关失信责任主体、统计领域严重失信企业及其有关人员等的方可参加本项目的投标。在“信用中国”网站（</w:t>
      </w:r>
      <w:r w:rsidRPr="003F0A9F">
        <w:rPr>
          <w:rFonts w:hint="eastAsia"/>
          <w:color w:val="000000"/>
        </w:rPr>
        <w:t>www.creditchina.gov.cn</w:t>
      </w:r>
      <w:r w:rsidRPr="003F0A9F">
        <w:rPr>
          <w:rFonts w:hint="eastAsia"/>
          <w:color w:val="000000"/>
        </w:rPr>
        <w:t>）、中国政府采购网</w:t>
      </w:r>
      <w:r w:rsidRPr="003F0A9F">
        <w:rPr>
          <w:rFonts w:hint="eastAsia"/>
          <w:color w:val="000000"/>
        </w:rPr>
        <w:t>(www.ccgp.gov.cn)</w:t>
      </w:r>
      <w:r w:rsidRPr="003F0A9F">
        <w:rPr>
          <w:rFonts w:hint="eastAsia"/>
          <w:color w:val="000000"/>
        </w:rPr>
        <w:t>或“信用甘肃”网站（</w:t>
      </w:r>
      <w:r w:rsidRPr="003F0A9F">
        <w:rPr>
          <w:rFonts w:hint="eastAsia"/>
          <w:color w:val="000000"/>
        </w:rPr>
        <w:t>www.gscredit.gov.cn</w:t>
      </w:r>
      <w:r w:rsidRPr="003F0A9F">
        <w:rPr>
          <w:rFonts w:hint="eastAsia"/>
          <w:color w:val="000000"/>
        </w:rPr>
        <w:t>）查询结果为准。</w:t>
      </w:r>
      <w:r w:rsidRPr="00BE69F1">
        <w:rPr>
          <w:rFonts w:hint="eastAsia"/>
          <w:color w:val="000000"/>
        </w:rPr>
        <w:t>如</w:t>
      </w:r>
      <w:r w:rsidRPr="00BE69F1">
        <w:rPr>
          <w:rFonts w:hint="eastAsia"/>
          <w:color w:val="000000"/>
        </w:rPr>
        <w:lastRenderedPageBreak/>
        <w:t>相关失信记录已失效，投标人需提供相关证明资料（查询时间为本项目招标公告发布之日起至投标截止时间前）；</w:t>
      </w:r>
    </w:p>
    <w:p w:rsidR="00C359FF" w:rsidRDefault="00C359FF" w:rsidP="00C359FF">
      <w:pPr>
        <w:pStyle w:val="a3"/>
        <w:kinsoku w:val="0"/>
        <w:overflowPunct w:val="0"/>
        <w:spacing w:line="500" w:lineRule="exact"/>
        <w:ind w:firstLineChars="200" w:firstLine="420"/>
        <w:rPr>
          <w:rFonts w:hint="eastAsia"/>
          <w:color w:val="000000"/>
        </w:rPr>
      </w:pPr>
      <w:r w:rsidRPr="003F0A9F">
        <w:rPr>
          <w:rFonts w:hint="eastAsia"/>
          <w:color w:val="000000"/>
        </w:rPr>
        <w:t>4</w:t>
      </w:r>
      <w:r w:rsidRPr="003F0A9F">
        <w:rPr>
          <w:rFonts w:hint="eastAsia"/>
          <w:color w:val="000000"/>
        </w:rPr>
        <w:t>、单位负责人为同一人或者存在控股、管</w:t>
      </w:r>
      <w:r w:rsidRPr="003F0A9F">
        <w:rPr>
          <w:rFonts w:hint="eastAsia"/>
          <w:color w:val="000000"/>
          <w:szCs w:val="21"/>
        </w:rPr>
        <w:t>理关系的不同单位，不</w:t>
      </w:r>
      <w:r w:rsidRPr="003F0A9F">
        <w:rPr>
          <w:rFonts w:hint="eastAsia"/>
          <w:color w:val="000000"/>
        </w:rPr>
        <w:t>得同时参加本项目的投标。</w:t>
      </w:r>
    </w:p>
    <w:p w:rsidR="00C359FF" w:rsidRPr="003F0A9F" w:rsidRDefault="00C359FF" w:rsidP="00C359FF">
      <w:pPr>
        <w:pStyle w:val="a3"/>
        <w:kinsoku w:val="0"/>
        <w:overflowPunct w:val="0"/>
        <w:spacing w:line="500" w:lineRule="exact"/>
        <w:ind w:firstLineChars="200" w:firstLine="420"/>
        <w:rPr>
          <w:color w:val="000000"/>
        </w:rPr>
      </w:pPr>
      <w:r>
        <w:rPr>
          <w:rFonts w:hint="eastAsia"/>
          <w:color w:val="000000"/>
        </w:rPr>
        <w:t>5</w:t>
      </w:r>
      <w:r>
        <w:rPr>
          <w:rFonts w:hint="eastAsia"/>
          <w:color w:val="000000"/>
        </w:rPr>
        <w:t>、为本项目提供整体设计、规范编制或项目管理、监理、检测等服务的供应商，不得再参加本项目投标；</w:t>
      </w:r>
    </w:p>
    <w:p w:rsidR="00C359FF" w:rsidRPr="003F0A9F" w:rsidRDefault="00C359FF" w:rsidP="00C359FF">
      <w:pPr>
        <w:pStyle w:val="a3"/>
        <w:overflowPunct w:val="0"/>
        <w:spacing w:line="500" w:lineRule="exact"/>
        <w:ind w:firstLineChars="200" w:firstLine="422"/>
        <w:rPr>
          <w:color w:val="000000"/>
        </w:rPr>
      </w:pPr>
      <w:r w:rsidRPr="003F0A9F">
        <w:rPr>
          <w:rFonts w:hint="eastAsia"/>
          <w:b/>
          <w:color w:val="000000"/>
        </w:rPr>
        <w:t>本项目实行资格后审，不接受联合体投标。</w:t>
      </w:r>
    </w:p>
    <w:p w:rsidR="00C359FF" w:rsidRDefault="00C359FF" w:rsidP="00C359FF">
      <w:pPr>
        <w:pStyle w:val="a3"/>
        <w:overflowPunct w:val="0"/>
        <w:spacing w:line="500" w:lineRule="exact"/>
        <w:ind w:firstLineChars="200" w:firstLine="420"/>
        <w:rPr>
          <w:color w:val="000000"/>
        </w:rPr>
      </w:pPr>
      <w:r w:rsidRPr="003F0A9F">
        <w:rPr>
          <w:rFonts w:hint="eastAsia"/>
          <w:color w:val="000000"/>
        </w:rPr>
        <w:t>六、投标文件递交截止时间前应及时了解相关招标信息和补充信息。如因未主动登录网站而未获取相关信息，对其产生的不利因素由供应商自行承担。</w:t>
      </w:r>
    </w:p>
    <w:p w:rsidR="00C359FF" w:rsidRPr="00324385" w:rsidRDefault="00C359FF" w:rsidP="00C359FF">
      <w:pPr>
        <w:pStyle w:val="a3"/>
        <w:overflowPunct w:val="0"/>
        <w:spacing w:line="500" w:lineRule="exact"/>
        <w:ind w:firstLineChars="200" w:firstLine="422"/>
        <w:rPr>
          <w:b/>
          <w:color w:val="000000"/>
        </w:rPr>
      </w:pPr>
      <w:r w:rsidRPr="00324385">
        <w:rPr>
          <w:rFonts w:hint="eastAsia"/>
          <w:b/>
          <w:color w:val="000000"/>
        </w:rPr>
        <w:t>本公告在《中国政府采购网》和《中国招投标公共服务平台》上发布；</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七、获取招标文件需提供资料：</w:t>
      </w:r>
    </w:p>
    <w:p w:rsidR="00C359FF" w:rsidRPr="003A4A67" w:rsidRDefault="00C359FF" w:rsidP="00C359FF">
      <w:pPr>
        <w:pStyle w:val="a3"/>
        <w:kinsoku w:val="0"/>
        <w:overflowPunct w:val="0"/>
        <w:spacing w:line="500" w:lineRule="exact"/>
        <w:ind w:firstLineChars="200" w:firstLine="420"/>
        <w:rPr>
          <w:color w:val="000000"/>
        </w:rPr>
      </w:pPr>
      <w:r w:rsidRPr="003A4A67">
        <w:rPr>
          <w:rFonts w:hint="eastAsia"/>
          <w:color w:val="000000"/>
        </w:rPr>
        <w:t>1</w:t>
      </w:r>
      <w:r w:rsidRPr="003A4A67">
        <w:rPr>
          <w:rFonts w:hint="eastAsia"/>
          <w:color w:val="000000"/>
        </w:rPr>
        <w:t>、法定代表人授权书（原件）；</w:t>
      </w:r>
    </w:p>
    <w:p w:rsidR="00C359FF" w:rsidRPr="003F0A9F" w:rsidRDefault="00C359FF" w:rsidP="00C359FF">
      <w:pPr>
        <w:pStyle w:val="a3"/>
        <w:kinsoku w:val="0"/>
        <w:overflowPunct w:val="0"/>
        <w:spacing w:line="500" w:lineRule="exact"/>
        <w:ind w:firstLineChars="200" w:firstLine="420"/>
        <w:rPr>
          <w:color w:val="000000"/>
        </w:rPr>
      </w:pPr>
      <w:r w:rsidRPr="003A4A67">
        <w:rPr>
          <w:rFonts w:hint="eastAsia"/>
          <w:color w:val="000000"/>
        </w:rPr>
        <w:t>2</w:t>
      </w:r>
      <w:r w:rsidRPr="003A4A67">
        <w:rPr>
          <w:rFonts w:hint="eastAsia"/>
          <w:color w:val="000000"/>
        </w:rPr>
        <w:t>、法定代表人及被授权人身份证（正反面复印件加盖公章）</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八、获取招标文件时间：</w:t>
      </w:r>
      <w:r w:rsidRPr="003F0A9F">
        <w:rPr>
          <w:color w:val="000000"/>
        </w:rPr>
        <w:t>20</w:t>
      </w:r>
      <w:r w:rsidRPr="003F0A9F">
        <w:rPr>
          <w:rFonts w:hint="eastAsia"/>
          <w:color w:val="000000"/>
        </w:rPr>
        <w:t>21</w:t>
      </w:r>
      <w:r w:rsidRPr="003F0A9F">
        <w:rPr>
          <w:rFonts w:hint="eastAsia"/>
          <w:color w:val="000000"/>
        </w:rPr>
        <w:t>年</w:t>
      </w:r>
      <w:r>
        <w:rPr>
          <w:rFonts w:hint="eastAsia"/>
          <w:color w:val="000000"/>
        </w:rPr>
        <w:t>9</w:t>
      </w:r>
      <w:r w:rsidRPr="003F0A9F">
        <w:rPr>
          <w:rFonts w:hint="eastAsia"/>
          <w:color w:val="000000"/>
        </w:rPr>
        <w:t>月</w:t>
      </w:r>
      <w:r>
        <w:rPr>
          <w:rFonts w:hint="eastAsia"/>
          <w:color w:val="000000"/>
        </w:rPr>
        <w:t>9</w:t>
      </w:r>
      <w:r w:rsidRPr="003F0A9F">
        <w:rPr>
          <w:rFonts w:hint="eastAsia"/>
          <w:color w:val="000000"/>
        </w:rPr>
        <w:t>日至</w:t>
      </w:r>
      <w:r w:rsidRPr="003F0A9F">
        <w:rPr>
          <w:color w:val="000000"/>
        </w:rPr>
        <w:t>20</w:t>
      </w:r>
      <w:r w:rsidRPr="003F0A9F">
        <w:rPr>
          <w:rFonts w:hint="eastAsia"/>
          <w:color w:val="000000"/>
        </w:rPr>
        <w:t>21</w:t>
      </w:r>
      <w:r w:rsidRPr="003F0A9F">
        <w:rPr>
          <w:rFonts w:hint="eastAsia"/>
          <w:color w:val="000000"/>
        </w:rPr>
        <w:t>年</w:t>
      </w:r>
      <w:r>
        <w:rPr>
          <w:rFonts w:hint="eastAsia"/>
          <w:color w:val="000000"/>
        </w:rPr>
        <w:t>9</w:t>
      </w:r>
      <w:r w:rsidRPr="003F0A9F">
        <w:rPr>
          <w:rFonts w:hint="eastAsia"/>
          <w:color w:val="000000"/>
        </w:rPr>
        <w:t>月</w:t>
      </w:r>
      <w:r>
        <w:rPr>
          <w:rFonts w:hint="eastAsia"/>
          <w:color w:val="000000"/>
        </w:rPr>
        <w:t>16</w:t>
      </w:r>
      <w:r w:rsidRPr="003F0A9F">
        <w:rPr>
          <w:rFonts w:hint="eastAsia"/>
          <w:color w:val="000000"/>
        </w:rPr>
        <w:t>日（节假日除外），每日</w:t>
      </w:r>
      <w:r w:rsidRPr="003F0A9F">
        <w:rPr>
          <w:color w:val="000000"/>
        </w:rPr>
        <w:t>0</w:t>
      </w:r>
      <w:r>
        <w:rPr>
          <w:rFonts w:hint="eastAsia"/>
          <w:color w:val="000000"/>
        </w:rPr>
        <w:t>8</w:t>
      </w:r>
      <w:r w:rsidRPr="003F0A9F">
        <w:rPr>
          <w:color w:val="000000"/>
        </w:rPr>
        <w:t>:00-2</w:t>
      </w:r>
      <w:r>
        <w:rPr>
          <w:rFonts w:hint="eastAsia"/>
          <w:color w:val="000000"/>
        </w:rPr>
        <w:t>1</w:t>
      </w:r>
      <w:r w:rsidRPr="003F0A9F">
        <w:rPr>
          <w:color w:val="000000"/>
        </w:rPr>
        <w:t>:00</w:t>
      </w:r>
      <w:r w:rsidRPr="003F0A9F">
        <w:rPr>
          <w:rFonts w:hint="eastAsia"/>
          <w:color w:val="000000"/>
        </w:rPr>
        <w:t>；（北京时间，下同），地点：国信招标集团股份有限公司甘肃分公司（兰州市广场南路</w:t>
      </w:r>
      <w:proofErr w:type="gramStart"/>
      <w:r w:rsidRPr="003F0A9F">
        <w:rPr>
          <w:rFonts w:hint="eastAsia"/>
          <w:color w:val="000000"/>
        </w:rPr>
        <w:t>51</w:t>
      </w:r>
      <w:r w:rsidRPr="003F0A9F">
        <w:rPr>
          <w:rFonts w:hint="eastAsia"/>
          <w:color w:val="000000"/>
        </w:rPr>
        <w:t>号省统办</w:t>
      </w:r>
      <w:proofErr w:type="gramEnd"/>
      <w:r w:rsidRPr="003F0A9F">
        <w:rPr>
          <w:rFonts w:hint="eastAsia"/>
          <w:color w:val="000000"/>
        </w:rPr>
        <w:t>一号楼</w:t>
      </w:r>
      <w:r w:rsidRPr="003F0A9F">
        <w:rPr>
          <w:rFonts w:hint="eastAsia"/>
          <w:color w:val="000000"/>
        </w:rPr>
        <w:t>1716</w:t>
      </w:r>
      <w:r w:rsidRPr="003F0A9F">
        <w:rPr>
          <w:rFonts w:hint="eastAsia"/>
          <w:color w:val="000000"/>
        </w:rPr>
        <w:t>室）。</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九、投标文件递交的截止时间为</w:t>
      </w:r>
      <w:r w:rsidRPr="003F0A9F">
        <w:rPr>
          <w:rFonts w:hint="eastAsia"/>
          <w:color w:val="000000"/>
        </w:rPr>
        <w:t>2021</w:t>
      </w:r>
      <w:r w:rsidRPr="003F0A9F">
        <w:rPr>
          <w:rFonts w:hint="eastAsia"/>
          <w:color w:val="000000"/>
        </w:rPr>
        <w:t>年</w:t>
      </w:r>
      <w:r>
        <w:rPr>
          <w:rFonts w:hint="eastAsia"/>
          <w:color w:val="000000"/>
        </w:rPr>
        <w:t>9</w:t>
      </w:r>
      <w:r w:rsidRPr="003F0A9F">
        <w:rPr>
          <w:rFonts w:hint="eastAsia"/>
          <w:color w:val="000000"/>
        </w:rPr>
        <w:t>月</w:t>
      </w:r>
      <w:r>
        <w:rPr>
          <w:rFonts w:hint="eastAsia"/>
          <w:color w:val="000000"/>
        </w:rPr>
        <w:t>30</w:t>
      </w:r>
      <w:r w:rsidRPr="003F0A9F">
        <w:rPr>
          <w:rFonts w:hint="eastAsia"/>
          <w:color w:val="000000"/>
        </w:rPr>
        <w:t>日</w:t>
      </w:r>
      <w:r>
        <w:rPr>
          <w:rFonts w:hint="eastAsia"/>
          <w:color w:val="000000"/>
        </w:rPr>
        <w:t>9</w:t>
      </w:r>
      <w:r w:rsidRPr="003F0A9F">
        <w:rPr>
          <w:rFonts w:hint="eastAsia"/>
          <w:color w:val="000000"/>
        </w:rPr>
        <w:t>时（北京时间），请在此时间前送达</w:t>
      </w:r>
      <w:r w:rsidRPr="00D460D6">
        <w:rPr>
          <w:rFonts w:hint="eastAsia"/>
          <w:color w:val="000000"/>
        </w:rPr>
        <w:t>兰州市广场南路</w:t>
      </w:r>
      <w:proofErr w:type="gramStart"/>
      <w:r w:rsidRPr="00D460D6">
        <w:rPr>
          <w:rFonts w:hint="eastAsia"/>
          <w:color w:val="000000"/>
        </w:rPr>
        <w:t>51</w:t>
      </w:r>
      <w:r w:rsidRPr="00D460D6">
        <w:rPr>
          <w:rFonts w:hint="eastAsia"/>
          <w:color w:val="000000"/>
        </w:rPr>
        <w:t>号省统办</w:t>
      </w:r>
      <w:proofErr w:type="gramEnd"/>
      <w:r w:rsidRPr="00D460D6">
        <w:rPr>
          <w:rFonts w:hint="eastAsia"/>
          <w:color w:val="000000"/>
        </w:rPr>
        <w:t>一号楼</w:t>
      </w:r>
      <w:r w:rsidRPr="00D460D6">
        <w:rPr>
          <w:rFonts w:hint="eastAsia"/>
          <w:color w:val="000000"/>
        </w:rPr>
        <w:t>1705</w:t>
      </w:r>
      <w:r w:rsidRPr="00D460D6">
        <w:rPr>
          <w:rFonts w:hint="eastAsia"/>
          <w:color w:val="000000"/>
        </w:rPr>
        <w:t>室</w:t>
      </w:r>
      <w:r w:rsidRPr="003F0A9F">
        <w:rPr>
          <w:rFonts w:hint="eastAsia"/>
          <w:color w:val="000000"/>
        </w:rPr>
        <w:t>。</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开标及投标截止时间：</w:t>
      </w:r>
      <w:r w:rsidRPr="003F0A9F">
        <w:rPr>
          <w:color w:val="000000"/>
        </w:rPr>
        <w:t>20</w:t>
      </w:r>
      <w:r w:rsidRPr="003F0A9F">
        <w:rPr>
          <w:rFonts w:hint="eastAsia"/>
          <w:color w:val="000000"/>
        </w:rPr>
        <w:t>21</w:t>
      </w:r>
      <w:r w:rsidRPr="003F0A9F">
        <w:rPr>
          <w:rFonts w:hint="eastAsia"/>
          <w:color w:val="000000"/>
        </w:rPr>
        <w:t>年</w:t>
      </w:r>
      <w:r>
        <w:rPr>
          <w:rFonts w:hint="eastAsia"/>
          <w:color w:val="000000"/>
          <w:u w:val="single"/>
        </w:rPr>
        <w:t>9</w:t>
      </w:r>
      <w:r w:rsidRPr="003F0A9F">
        <w:rPr>
          <w:color w:val="000000"/>
        </w:rPr>
        <w:t>月</w:t>
      </w:r>
      <w:r>
        <w:rPr>
          <w:rFonts w:hint="eastAsia"/>
          <w:color w:val="000000"/>
        </w:rPr>
        <w:t>30</w:t>
      </w:r>
      <w:r w:rsidRPr="003F0A9F">
        <w:rPr>
          <w:color w:val="000000"/>
        </w:rPr>
        <w:t>日</w:t>
      </w:r>
      <w:r>
        <w:rPr>
          <w:rFonts w:hint="eastAsia"/>
          <w:color w:val="000000"/>
        </w:rPr>
        <w:t>9</w:t>
      </w:r>
      <w:r w:rsidRPr="003F0A9F">
        <w:rPr>
          <w:rFonts w:hint="eastAsia"/>
          <w:color w:val="000000"/>
        </w:rPr>
        <w:t>时</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开标地点：</w:t>
      </w:r>
      <w:r w:rsidRPr="00D460D6">
        <w:rPr>
          <w:rFonts w:hint="eastAsia"/>
          <w:color w:val="000000"/>
        </w:rPr>
        <w:t>兰州市广场南路</w:t>
      </w:r>
      <w:proofErr w:type="gramStart"/>
      <w:r w:rsidRPr="00D460D6">
        <w:rPr>
          <w:rFonts w:hint="eastAsia"/>
          <w:color w:val="000000"/>
        </w:rPr>
        <w:t>51</w:t>
      </w:r>
      <w:r w:rsidRPr="00D460D6">
        <w:rPr>
          <w:rFonts w:hint="eastAsia"/>
          <w:color w:val="000000"/>
        </w:rPr>
        <w:t>号省统办</w:t>
      </w:r>
      <w:proofErr w:type="gramEnd"/>
      <w:r w:rsidRPr="00D460D6">
        <w:rPr>
          <w:rFonts w:hint="eastAsia"/>
          <w:color w:val="000000"/>
        </w:rPr>
        <w:t>一号楼</w:t>
      </w:r>
      <w:r w:rsidRPr="00D460D6">
        <w:rPr>
          <w:rFonts w:hint="eastAsia"/>
          <w:color w:val="000000"/>
        </w:rPr>
        <w:t>1705</w:t>
      </w:r>
      <w:r w:rsidRPr="00D460D6">
        <w:rPr>
          <w:rFonts w:hint="eastAsia"/>
          <w:color w:val="000000"/>
        </w:rPr>
        <w:t>室</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十、投标保证金提交专用账户：</w:t>
      </w:r>
    </w:p>
    <w:p w:rsidR="00C359FF" w:rsidRPr="001D5BD2" w:rsidRDefault="00C359FF" w:rsidP="00C359FF">
      <w:pPr>
        <w:pStyle w:val="a3"/>
        <w:overflowPunct w:val="0"/>
        <w:spacing w:line="500" w:lineRule="exact"/>
        <w:ind w:firstLineChars="200" w:firstLine="420"/>
        <w:rPr>
          <w:color w:val="000000"/>
        </w:rPr>
      </w:pPr>
      <w:r w:rsidRPr="001D5BD2">
        <w:rPr>
          <w:rFonts w:hint="eastAsia"/>
          <w:color w:val="000000"/>
        </w:rPr>
        <w:t>账户名称：国信招标集团股份有限公司甘肃分公司</w:t>
      </w:r>
    </w:p>
    <w:p w:rsidR="00C359FF" w:rsidRPr="001D5BD2" w:rsidRDefault="00C359FF" w:rsidP="00C359FF">
      <w:pPr>
        <w:pStyle w:val="a3"/>
        <w:overflowPunct w:val="0"/>
        <w:spacing w:line="500" w:lineRule="exact"/>
        <w:ind w:firstLineChars="200" w:firstLine="420"/>
        <w:rPr>
          <w:color w:val="000000"/>
        </w:rPr>
      </w:pPr>
      <w:r w:rsidRPr="001D5BD2">
        <w:rPr>
          <w:rFonts w:hint="eastAsia"/>
          <w:color w:val="000000"/>
        </w:rPr>
        <w:t>保证金账号：</w:t>
      </w:r>
      <w:r w:rsidRPr="001D5BD2">
        <w:rPr>
          <w:rFonts w:hint="eastAsia"/>
          <w:color w:val="000000"/>
        </w:rPr>
        <w:t>9319 0545 5810 305</w:t>
      </w:r>
    </w:p>
    <w:p w:rsidR="00C359FF" w:rsidRPr="001D5BD2" w:rsidRDefault="00C359FF" w:rsidP="00C359FF">
      <w:pPr>
        <w:pStyle w:val="a3"/>
        <w:overflowPunct w:val="0"/>
        <w:spacing w:line="500" w:lineRule="exact"/>
        <w:ind w:firstLineChars="200" w:firstLine="420"/>
        <w:rPr>
          <w:color w:val="000000"/>
        </w:rPr>
      </w:pPr>
      <w:r w:rsidRPr="001D5BD2">
        <w:rPr>
          <w:rFonts w:hint="eastAsia"/>
          <w:color w:val="000000"/>
        </w:rPr>
        <w:t>保证金开户行：招商银行股份有限公司兰州分行营业部</w:t>
      </w:r>
    </w:p>
    <w:p w:rsidR="00C359FF" w:rsidRPr="001D5BD2" w:rsidRDefault="00C359FF" w:rsidP="00C359FF">
      <w:pPr>
        <w:pStyle w:val="a3"/>
        <w:overflowPunct w:val="0"/>
        <w:spacing w:line="500" w:lineRule="exact"/>
        <w:ind w:firstLineChars="200" w:firstLine="420"/>
        <w:rPr>
          <w:color w:val="000000"/>
        </w:rPr>
      </w:pPr>
      <w:r w:rsidRPr="001D5BD2">
        <w:rPr>
          <w:rFonts w:hint="eastAsia"/>
          <w:color w:val="000000"/>
        </w:rPr>
        <w:t>保证金开户行行号：</w:t>
      </w:r>
      <w:r w:rsidRPr="001D5BD2">
        <w:rPr>
          <w:rFonts w:hint="eastAsia"/>
          <w:color w:val="000000"/>
        </w:rPr>
        <w:t>308821004011</w:t>
      </w:r>
    </w:p>
    <w:p w:rsidR="00C359FF" w:rsidRPr="003F0A9F" w:rsidRDefault="00C359FF" w:rsidP="00C359FF">
      <w:pPr>
        <w:pStyle w:val="a3"/>
        <w:overflowPunct w:val="0"/>
        <w:spacing w:line="500" w:lineRule="exact"/>
        <w:ind w:firstLineChars="200" w:firstLine="420"/>
        <w:rPr>
          <w:color w:val="000000"/>
        </w:rPr>
      </w:pPr>
      <w:r w:rsidRPr="001D5BD2">
        <w:rPr>
          <w:rFonts w:hint="eastAsia"/>
          <w:color w:val="000000"/>
        </w:rPr>
        <w:t>财务部联系人：李欣书（</w:t>
      </w:r>
      <w:r w:rsidRPr="001D5BD2">
        <w:rPr>
          <w:rFonts w:hint="eastAsia"/>
          <w:color w:val="000000"/>
        </w:rPr>
        <w:t>0931-8811619</w:t>
      </w:r>
      <w:r w:rsidRPr="001D5BD2">
        <w:rPr>
          <w:rFonts w:hint="eastAsia"/>
          <w:color w:val="000000"/>
        </w:rPr>
        <w:t>）</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投标人要充分考虑汇款及到账所需时间以及发现问题后采取补救措施所需时间，以确保</w:t>
      </w:r>
      <w:r w:rsidRPr="003F0A9F">
        <w:rPr>
          <w:rFonts w:hint="eastAsia"/>
          <w:color w:val="000000"/>
        </w:rPr>
        <w:lastRenderedPageBreak/>
        <w:t>投标保证金在规定时间前到账。因不能在投标截止时间前到达指定账户，导致投标无效的后果由投标人自行承担。</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十一、投标保证金递交须知：</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（一）投标保证金提交方式</w:t>
      </w:r>
      <w:proofErr w:type="gramStart"/>
      <w:r w:rsidRPr="003F0A9F">
        <w:rPr>
          <w:rFonts w:hint="eastAsia"/>
          <w:color w:val="000000"/>
        </w:rPr>
        <w:t>为网银转账</w:t>
      </w:r>
      <w:proofErr w:type="gramEnd"/>
      <w:r w:rsidRPr="003F0A9F">
        <w:rPr>
          <w:rFonts w:hint="eastAsia"/>
          <w:color w:val="000000"/>
        </w:rPr>
        <w:t>，电汇、支票转账。</w:t>
      </w:r>
      <w:r w:rsidRPr="003F0A9F">
        <w:rPr>
          <w:rFonts w:hint="eastAsia"/>
          <w:color w:val="000000"/>
        </w:rPr>
        <w:t xml:space="preserve"> </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（二）投标人必须从基本账户以电汇方式提交保证金，且投标保证金单位名称必须与投标人登记的单位名称一致，不得以分公司、办事处或其他机构名义递交。</w:t>
      </w:r>
      <w:r w:rsidRPr="003F0A9F">
        <w:rPr>
          <w:rFonts w:hint="eastAsia"/>
          <w:color w:val="000000"/>
        </w:rPr>
        <w:t xml:space="preserve"> </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（三）投标保证金按参加</w:t>
      </w:r>
      <w:proofErr w:type="gramStart"/>
      <w:r w:rsidRPr="003F0A9F">
        <w:rPr>
          <w:rFonts w:hint="eastAsia"/>
          <w:color w:val="000000"/>
        </w:rPr>
        <w:t>项目标段</w:t>
      </w:r>
      <w:proofErr w:type="gramEnd"/>
      <w:r w:rsidRPr="003F0A9F">
        <w:rPr>
          <w:rFonts w:hint="eastAsia"/>
          <w:color w:val="000000"/>
        </w:rPr>
        <w:t>（包）逐笔电汇，即分标段打款。</w:t>
      </w:r>
      <w:r w:rsidRPr="003F0A9F">
        <w:rPr>
          <w:rFonts w:hint="eastAsia"/>
          <w:color w:val="000000"/>
        </w:rPr>
        <w:t xml:space="preserve"> </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（四）投标人在办理投标保证金电汇手续时，在银行电汇单附言栏内只</w:t>
      </w:r>
      <w:proofErr w:type="gramStart"/>
      <w:r w:rsidRPr="003F0A9F">
        <w:rPr>
          <w:rFonts w:hint="eastAsia"/>
          <w:color w:val="000000"/>
        </w:rPr>
        <w:t>填写本笔投标</w:t>
      </w:r>
      <w:proofErr w:type="gramEnd"/>
      <w:r w:rsidRPr="003F0A9F">
        <w:rPr>
          <w:rFonts w:hint="eastAsia"/>
          <w:color w:val="000000"/>
        </w:rPr>
        <w:t>保证金对应的投标</w:t>
      </w:r>
      <w:proofErr w:type="gramStart"/>
      <w:r w:rsidRPr="003F0A9F">
        <w:rPr>
          <w:rFonts w:hint="eastAsia"/>
          <w:color w:val="000000"/>
        </w:rPr>
        <w:t>项目标段</w:t>
      </w:r>
      <w:proofErr w:type="gramEnd"/>
      <w:r w:rsidRPr="003F0A9F">
        <w:rPr>
          <w:rFonts w:hint="eastAsia"/>
          <w:color w:val="000000"/>
        </w:rPr>
        <w:t>（包）的登记号。</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（五）因登记号不填或错填导致投标无效的责任由投标人自行承担。</w:t>
      </w:r>
      <w:r w:rsidRPr="003F0A9F">
        <w:rPr>
          <w:rFonts w:hint="eastAsia"/>
          <w:color w:val="000000"/>
        </w:rPr>
        <w:t xml:space="preserve"> </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十二、采购人联系人姓名及电话：</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采购人：中国农业科学院兰州兽医研究所</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联系人：</w:t>
      </w:r>
      <w:r w:rsidRPr="003F0A9F">
        <w:rPr>
          <w:color w:val="000000"/>
        </w:rPr>
        <w:t xml:space="preserve"> </w:t>
      </w:r>
      <w:r>
        <w:rPr>
          <w:rFonts w:hint="eastAsia"/>
          <w:color w:val="000000"/>
        </w:rPr>
        <w:t>王琦、曹伟军、张强</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联系电话：</w:t>
      </w:r>
      <w:r w:rsidRPr="003F0A9F">
        <w:rPr>
          <w:color w:val="000000"/>
        </w:rPr>
        <w:t>0931-</w:t>
      </w:r>
      <w:r w:rsidRPr="003F0A9F">
        <w:rPr>
          <w:rFonts w:hint="eastAsia"/>
          <w:color w:val="000000"/>
        </w:rPr>
        <w:t xml:space="preserve"> </w:t>
      </w:r>
      <w:r>
        <w:rPr>
          <w:rFonts w:hint="eastAsia"/>
          <w:color w:val="000000"/>
        </w:rPr>
        <w:t>8322510</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代理机构联系方式：</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代理机构：国信招标集团股份有限公司</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执行机构：国信招标集团股份有限公司甘肃分公司</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地址：兰州市城关区广场南路</w:t>
      </w:r>
      <w:proofErr w:type="gramStart"/>
      <w:r w:rsidRPr="003F0A9F">
        <w:rPr>
          <w:color w:val="000000"/>
        </w:rPr>
        <w:t>51</w:t>
      </w:r>
      <w:r w:rsidRPr="003F0A9F">
        <w:rPr>
          <w:rFonts w:hint="eastAsia"/>
          <w:color w:val="000000"/>
        </w:rPr>
        <w:t>号省统办</w:t>
      </w:r>
      <w:proofErr w:type="gramEnd"/>
      <w:r w:rsidRPr="003F0A9F">
        <w:rPr>
          <w:rFonts w:hint="eastAsia"/>
          <w:color w:val="000000"/>
        </w:rPr>
        <w:t>一号楼</w:t>
      </w:r>
      <w:r w:rsidRPr="003F0A9F">
        <w:rPr>
          <w:color w:val="000000"/>
        </w:rPr>
        <w:t>17</w:t>
      </w:r>
      <w:r w:rsidRPr="003F0A9F">
        <w:rPr>
          <w:rFonts w:hint="eastAsia"/>
          <w:color w:val="000000"/>
        </w:rPr>
        <w:t>16</w:t>
      </w:r>
      <w:r w:rsidRPr="003F0A9F">
        <w:rPr>
          <w:rFonts w:hint="eastAsia"/>
          <w:color w:val="000000"/>
        </w:rPr>
        <w:t>（邮箱</w:t>
      </w:r>
      <w:r w:rsidRPr="003F0A9F">
        <w:rPr>
          <w:rFonts w:hint="eastAsia"/>
          <w:color w:val="000000"/>
        </w:rPr>
        <w:t>gaozhan03140@126.com</w:t>
      </w:r>
      <w:r w:rsidRPr="003F0A9F">
        <w:rPr>
          <w:rFonts w:hint="eastAsia"/>
          <w:color w:val="000000"/>
        </w:rPr>
        <w:t>）</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联系人：高瞻、顾有香</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联系电话：</w:t>
      </w:r>
      <w:r w:rsidRPr="003F0A9F">
        <w:rPr>
          <w:rFonts w:hint="eastAsia"/>
          <w:color w:val="000000"/>
        </w:rPr>
        <w:t>0931-8726093</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十三、公告期限</w:t>
      </w:r>
      <w:r w:rsidRPr="003F0A9F">
        <w:rPr>
          <w:rFonts w:hint="eastAsia"/>
          <w:color w:val="000000"/>
        </w:rPr>
        <w:t xml:space="preserve"> </w:t>
      </w:r>
    </w:p>
    <w:p w:rsidR="00C359FF" w:rsidRPr="003F0A9F" w:rsidRDefault="00C359FF" w:rsidP="00C359FF">
      <w:pPr>
        <w:pStyle w:val="a3"/>
        <w:overflowPunct w:val="0"/>
        <w:spacing w:line="500" w:lineRule="exact"/>
        <w:ind w:firstLineChars="200" w:firstLine="420"/>
        <w:rPr>
          <w:color w:val="000000"/>
        </w:rPr>
      </w:pPr>
      <w:r w:rsidRPr="003F0A9F">
        <w:rPr>
          <w:rFonts w:hint="eastAsia"/>
          <w:color w:val="000000"/>
        </w:rPr>
        <w:t>公告期限</w:t>
      </w:r>
      <w:r>
        <w:rPr>
          <w:rFonts w:hint="eastAsia"/>
          <w:color w:val="000000"/>
        </w:rPr>
        <w:t>为</w:t>
      </w:r>
      <w:r w:rsidRPr="003F0A9F">
        <w:rPr>
          <w:rFonts w:hint="eastAsia"/>
          <w:color w:val="000000"/>
        </w:rPr>
        <w:t>5</w:t>
      </w:r>
      <w:r w:rsidRPr="003F0A9F">
        <w:rPr>
          <w:rFonts w:hint="eastAsia"/>
          <w:color w:val="000000"/>
        </w:rPr>
        <w:t>个工作日</w:t>
      </w:r>
      <w:r>
        <w:rPr>
          <w:rFonts w:hint="eastAsia"/>
          <w:color w:val="000000"/>
        </w:rPr>
        <w:t>。</w:t>
      </w:r>
    </w:p>
    <w:p w:rsidR="00C359FF" w:rsidRPr="003F0A9F" w:rsidRDefault="00C359FF" w:rsidP="00C359FF">
      <w:pPr>
        <w:pStyle w:val="a3"/>
        <w:overflowPunct w:val="0"/>
        <w:spacing w:line="500" w:lineRule="exact"/>
        <w:ind w:firstLineChars="200" w:firstLine="420"/>
        <w:rPr>
          <w:color w:val="000000"/>
        </w:rPr>
      </w:pPr>
    </w:p>
    <w:p w:rsidR="00C359FF" w:rsidRPr="003F0A9F" w:rsidRDefault="00C359FF" w:rsidP="00C359FF">
      <w:pPr>
        <w:pStyle w:val="a3"/>
        <w:overflowPunct w:val="0"/>
        <w:spacing w:line="500" w:lineRule="exact"/>
        <w:ind w:firstLineChars="200" w:firstLine="420"/>
        <w:rPr>
          <w:color w:val="000000"/>
        </w:rPr>
      </w:pPr>
    </w:p>
    <w:p w:rsidR="00C359FF" w:rsidRPr="003F0A9F" w:rsidRDefault="00C359FF" w:rsidP="00C359FF">
      <w:pPr>
        <w:pStyle w:val="a3"/>
        <w:tabs>
          <w:tab w:val="left" w:pos="7797"/>
        </w:tabs>
        <w:overflowPunct w:val="0"/>
        <w:spacing w:line="500" w:lineRule="exact"/>
        <w:ind w:rightChars="242" w:right="508" w:firstLineChars="200" w:firstLine="420"/>
        <w:jc w:val="right"/>
        <w:rPr>
          <w:color w:val="000000"/>
        </w:rPr>
      </w:pPr>
      <w:r w:rsidRPr="003F0A9F">
        <w:rPr>
          <w:rFonts w:hint="eastAsia"/>
          <w:color w:val="000000"/>
        </w:rPr>
        <w:t>国信招标集团股份有限公司</w:t>
      </w:r>
    </w:p>
    <w:p w:rsidR="00C359FF" w:rsidRPr="003F0A9F" w:rsidRDefault="00C359FF" w:rsidP="00C359FF">
      <w:pPr>
        <w:pStyle w:val="a3"/>
        <w:tabs>
          <w:tab w:val="left" w:pos="7797"/>
        </w:tabs>
        <w:overflowPunct w:val="0"/>
        <w:spacing w:line="500" w:lineRule="exact"/>
        <w:ind w:rightChars="242" w:right="508" w:firstLineChars="200" w:firstLine="420"/>
        <w:jc w:val="right"/>
        <w:rPr>
          <w:color w:val="000000"/>
        </w:rPr>
      </w:pPr>
    </w:p>
    <w:p w:rsidR="00C359FF" w:rsidRPr="003F0A9F" w:rsidRDefault="00C359FF" w:rsidP="00C359FF">
      <w:pPr>
        <w:pStyle w:val="a3"/>
        <w:wordWrap w:val="0"/>
        <w:overflowPunct w:val="0"/>
        <w:spacing w:line="500" w:lineRule="exact"/>
        <w:ind w:rightChars="229" w:right="481" w:firstLineChars="200" w:firstLine="420"/>
        <w:jc w:val="right"/>
        <w:rPr>
          <w:rFonts w:ascii="宋体" w:hAnsi="宋体"/>
          <w:color w:val="000000" w:themeColor="text1"/>
        </w:rPr>
      </w:pPr>
      <w:r w:rsidRPr="003F0A9F">
        <w:rPr>
          <w:color w:val="000000"/>
        </w:rPr>
        <w:t>20</w:t>
      </w:r>
      <w:r w:rsidRPr="003F0A9F">
        <w:rPr>
          <w:rFonts w:hint="eastAsia"/>
          <w:color w:val="000000"/>
        </w:rPr>
        <w:t>21</w:t>
      </w:r>
      <w:r w:rsidRPr="003F0A9F">
        <w:rPr>
          <w:rFonts w:hint="eastAsia"/>
          <w:color w:val="000000"/>
        </w:rPr>
        <w:t>年</w:t>
      </w:r>
      <w:r>
        <w:rPr>
          <w:rFonts w:hint="eastAsia"/>
          <w:color w:val="000000"/>
        </w:rPr>
        <w:t>9</w:t>
      </w:r>
      <w:r w:rsidRPr="003F0A9F">
        <w:rPr>
          <w:rFonts w:hint="eastAsia"/>
          <w:color w:val="000000"/>
        </w:rPr>
        <w:t>月</w:t>
      </w:r>
      <w:r>
        <w:rPr>
          <w:rFonts w:hint="eastAsia"/>
          <w:color w:val="000000"/>
        </w:rPr>
        <w:t>9</w:t>
      </w:r>
      <w:r w:rsidRPr="003F0A9F">
        <w:rPr>
          <w:rFonts w:hint="eastAsia"/>
          <w:color w:val="000000"/>
        </w:rPr>
        <w:t>日</w:t>
      </w:r>
    </w:p>
    <w:p w:rsidR="00000000" w:rsidRDefault="00AF4808"/>
    <w:sectPr w:rsidR="000000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9FF"/>
    <w:rsid w:val="00AF4808"/>
    <w:rsid w:val="00C35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59FF"/>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359FF"/>
    <w:pPr>
      <w:spacing w:line="360" w:lineRule="auto"/>
    </w:pPr>
  </w:style>
  <w:style w:type="character" w:customStyle="1" w:styleId="Char">
    <w:name w:val="正文文本 Char"/>
    <w:basedOn w:val="a0"/>
    <w:link w:val="a3"/>
    <w:qFormat/>
    <w:rsid w:val="00C359F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351</Words>
  <Characters>2002</Characters>
  <Application>Microsoft Office Word</Application>
  <DocSecurity>0</DocSecurity>
  <Lines>16</Lines>
  <Paragraphs>4</Paragraphs>
  <ScaleCrop>false</ScaleCrop>
  <Company>微软中国</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2021-09-09T07:01:00Z</dcterms:created>
  <dcterms:modified xsi:type="dcterms:W3CDTF">2021-09-09T07:03:00Z</dcterms:modified>
</cp:coreProperties>
</file>