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jc w:val="right"/>
        <w:rPr>
          <w:rFonts w:ascii="华康简魏碑" w:eastAsia="华康简魏碑"/>
          <w:color w:val="auto"/>
          <w:spacing w:val="80"/>
          <w:sz w:val="64"/>
          <w:highlight w:val="none"/>
        </w:rPr>
      </w:pPr>
    </w:p>
    <w:p>
      <w:pPr>
        <w:pStyle w:val="27"/>
        <w:jc w:val="center"/>
        <w:rPr>
          <w:rFonts w:ascii="楷体_GB2312" w:eastAsia="楷体_GB2312"/>
          <w:b/>
          <w:bCs/>
          <w:color w:val="auto"/>
          <w:sz w:val="96"/>
          <w:szCs w:val="96"/>
          <w:highlight w:val="none"/>
        </w:rPr>
      </w:pPr>
      <w:r>
        <w:rPr>
          <w:rFonts w:hint="eastAsia" w:ascii="华康简魏碑" w:eastAsia="华康简魏碑"/>
          <w:b/>
          <w:bCs/>
          <w:color w:val="auto"/>
          <w:spacing w:val="80"/>
          <w:sz w:val="96"/>
          <w:szCs w:val="96"/>
          <w:highlight w:val="none"/>
        </w:rPr>
        <w:t>横县政府采购</w:t>
      </w:r>
    </w:p>
    <w:p>
      <w:pPr>
        <w:pStyle w:val="27"/>
        <w:jc w:val="center"/>
        <w:rPr>
          <w:color w:val="auto"/>
          <w:sz w:val="96"/>
          <w:szCs w:val="96"/>
          <w:highlight w:val="none"/>
        </w:rPr>
      </w:pPr>
    </w:p>
    <w:p>
      <w:pPr>
        <w:pStyle w:val="27"/>
        <w:jc w:val="center"/>
        <w:rPr>
          <w:rFonts w:ascii="楷体_GB2312" w:eastAsia="楷体_GB2312"/>
          <w:b/>
          <w:bCs/>
          <w:color w:val="auto"/>
          <w:sz w:val="72"/>
          <w:highlight w:val="none"/>
        </w:rPr>
      </w:pPr>
      <w:r>
        <w:rPr>
          <w:rFonts w:hint="eastAsia"/>
          <w:color w:val="auto"/>
          <w:sz w:val="96"/>
          <w:szCs w:val="96"/>
          <w:highlight w:val="none"/>
        </w:rPr>
        <w:t>公开招标文件</w:t>
      </w:r>
    </w:p>
    <w:p>
      <w:pPr>
        <w:jc w:val="center"/>
        <w:rPr>
          <w:rFonts w:ascii="宋体" w:hAnsi="宋体"/>
          <w:b/>
          <w:color w:val="auto"/>
          <w:sz w:val="36"/>
          <w:szCs w:val="36"/>
          <w:highlight w:val="none"/>
        </w:rPr>
      </w:pPr>
      <w:r>
        <w:rPr>
          <w:rFonts w:hint="eastAsia" w:ascii="宋体" w:hAnsi="宋体"/>
          <w:b/>
          <w:color w:val="auto"/>
          <w:sz w:val="36"/>
          <w:szCs w:val="36"/>
          <w:highlight w:val="none"/>
        </w:rPr>
        <w:t>(交易)</w:t>
      </w:r>
    </w:p>
    <w:p>
      <w:pPr>
        <w:jc w:val="center"/>
        <w:rPr>
          <w:rFonts w:ascii="宋体" w:hAnsi="宋体"/>
          <w:b/>
          <w:color w:val="auto"/>
          <w:sz w:val="36"/>
          <w:szCs w:val="36"/>
          <w:highlight w:val="none"/>
        </w:rPr>
      </w:pPr>
    </w:p>
    <w:p>
      <w:pPr>
        <w:jc w:val="center"/>
        <w:rPr>
          <w:rFonts w:ascii="宋体" w:hAnsi="宋体"/>
          <w:b/>
          <w:color w:val="auto"/>
          <w:sz w:val="36"/>
          <w:szCs w:val="36"/>
          <w:highlight w:val="none"/>
        </w:rPr>
      </w:pPr>
    </w:p>
    <w:p>
      <w:pPr>
        <w:pStyle w:val="27"/>
        <w:rPr>
          <w:color w:val="auto"/>
          <w:highlight w:val="none"/>
        </w:rPr>
      </w:pPr>
    </w:p>
    <w:p>
      <w:pPr>
        <w:rPr>
          <w:rFonts w:ascii="宋体" w:hAnsi="Courier New"/>
          <w:color w:val="auto"/>
          <w:szCs w:val="20"/>
          <w:highlight w:val="none"/>
        </w:rPr>
      </w:pPr>
    </w:p>
    <w:p>
      <w:pPr>
        <w:rPr>
          <w:rFonts w:ascii="宋体" w:hAnsi="Courier New"/>
          <w:color w:val="auto"/>
          <w:szCs w:val="20"/>
          <w:highlight w:val="none"/>
        </w:rPr>
      </w:pPr>
    </w:p>
    <w:p>
      <w:pPr>
        <w:ind w:left="3517" w:leftChars="910" w:hanging="1606" w:hangingChars="500"/>
        <w:rPr>
          <w:rFonts w:ascii="宋体" w:hAnsi="宋体"/>
          <w:b/>
          <w:color w:val="auto"/>
          <w:sz w:val="32"/>
          <w:szCs w:val="32"/>
          <w:highlight w:val="none"/>
        </w:rPr>
      </w:pPr>
      <w:r>
        <w:rPr>
          <w:rFonts w:hint="eastAsia" w:ascii="宋体" w:hAnsi="宋体"/>
          <w:b/>
          <w:color w:val="auto"/>
          <w:sz w:val="32"/>
          <w:szCs w:val="32"/>
          <w:highlight w:val="none"/>
        </w:rPr>
        <w:t>项目名称：国家茉莉花及制品质量检验中心(广西)建设项目-实验室检验检测设备采购</w:t>
      </w:r>
    </w:p>
    <w:p>
      <w:pPr>
        <w:ind w:left="3517" w:leftChars="910" w:hanging="1606" w:hangingChars="500"/>
        <w:rPr>
          <w:rFonts w:ascii="宋体" w:hAnsi="宋体"/>
          <w:b/>
          <w:color w:val="auto"/>
          <w:sz w:val="32"/>
          <w:szCs w:val="32"/>
          <w:highlight w:val="none"/>
        </w:rPr>
      </w:pPr>
      <w:r>
        <w:rPr>
          <w:rFonts w:hint="eastAsia" w:ascii="宋体" w:hAnsi="宋体"/>
          <w:b/>
          <w:color w:val="auto"/>
          <w:sz w:val="32"/>
          <w:szCs w:val="32"/>
          <w:highlight w:val="none"/>
        </w:rPr>
        <w:t>项目编号：KWAZ2G2020815</w:t>
      </w:r>
    </w:p>
    <w:p>
      <w:pPr>
        <w:ind w:firstLine="1908" w:firstLineChars="594"/>
        <w:rPr>
          <w:rFonts w:ascii="宋体" w:hAnsi="宋体"/>
          <w:b/>
          <w:color w:val="auto"/>
          <w:sz w:val="32"/>
          <w:szCs w:val="32"/>
          <w:highlight w:val="none"/>
        </w:rPr>
      </w:pPr>
      <w:r>
        <w:rPr>
          <w:rFonts w:hint="eastAsia" w:ascii="宋体" w:hAnsi="宋体"/>
          <w:b/>
          <w:color w:val="auto"/>
          <w:sz w:val="32"/>
          <w:szCs w:val="32"/>
          <w:highlight w:val="none"/>
        </w:rPr>
        <w:t xml:space="preserve">政府采购计划编号：HXZC2020-G1-00171 </w:t>
      </w:r>
    </w:p>
    <w:p>
      <w:pPr>
        <w:ind w:left="1735" w:leftChars="826"/>
        <w:rPr>
          <w:b/>
          <w:color w:val="auto"/>
          <w:sz w:val="32"/>
          <w:szCs w:val="32"/>
          <w:highlight w:val="none"/>
        </w:rPr>
      </w:pPr>
    </w:p>
    <w:p>
      <w:pPr>
        <w:ind w:left="1735" w:leftChars="826"/>
        <w:rPr>
          <w:b/>
          <w:color w:val="auto"/>
          <w:sz w:val="32"/>
          <w:szCs w:val="32"/>
          <w:highlight w:val="none"/>
        </w:rPr>
      </w:pPr>
    </w:p>
    <w:p>
      <w:pPr>
        <w:ind w:left="1735" w:leftChars="826"/>
        <w:rPr>
          <w:b/>
          <w:color w:val="auto"/>
          <w:sz w:val="32"/>
          <w:szCs w:val="32"/>
          <w:highlight w:val="none"/>
        </w:rPr>
      </w:pPr>
      <w:r>
        <w:rPr>
          <w:rFonts w:hint="eastAsia"/>
          <w:b/>
          <w:color w:val="auto"/>
          <w:sz w:val="32"/>
          <w:szCs w:val="32"/>
          <w:highlight w:val="none"/>
        </w:rPr>
        <w:t>采   购   人：横县市场监督管理局</w:t>
      </w:r>
    </w:p>
    <w:p>
      <w:pPr>
        <w:ind w:left="1735" w:leftChars="826"/>
        <w:rPr>
          <w:b/>
          <w:color w:val="auto"/>
          <w:sz w:val="32"/>
          <w:szCs w:val="32"/>
          <w:highlight w:val="none"/>
        </w:rPr>
      </w:pPr>
      <w:r>
        <w:rPr>
          <w:rFonts w:hint="eastAsia"/>
          <w:b/>
          <w:color w:val="auto"/>
          <w:sz w:val="32"/>
          <w:szCs w:val="32"/>
          <w:highlight w:val="none"/>
        </w:rPr>
        <w:t>采购代理机构：广西科文招标有限公司</w:t>
      </w:r>
    </w:p>
    <w:p>
      <w:pPr>
        <w:pStyle w:val="27"/>
        <w:jc w:val="center"/>
        <w:rPr>
          <w:rFonts w:hAnsi="宋体"/>
          <w:b/>
          <w:color w:val="auto"/>
          <w:sz w:val="32"/>
          <w:szCs w:val="32"/>
          <w:highlight w:val="none"/>
        </w:rPr>
      </w:pPr>
      <w:r>
        <w:rPr>
          <w:rFonts w:hAnsi="宋体"/>
          <w:b/>
          <w:color w:val="auto"/>
          <w:sz w:val="32"/>
          <w:szCs w:val="32"/>
          <w:highlight w:val="none"/>
        </w:rPr>
        <w:t>2020年</w:t>
      </w:r>
      <w:r>
        <w:rPr>
          <w:rFonts w:hint="eastAsia" w:hAnsi="宋体"/>
          <w:b/>
          <w:color w:val="auto"/>
          <w:sz w:val="32"/>
          <w:szCs w:val="32"/>
          <w:highlight w:val="none"/>
          <w:lang w:val="en-US" w:eastAsia="zh-CN"/>
        </w:rPr>
        <w:t>8</w:t>
      </w:r>
      <w:r>
        <w:rPr>
          <w:rFonts w:hAnsi="宋体"/>
          <w:b/>
          <w:color w:val="auto"/>
          <w:sz w:val="32"/>
          <w:szCs w:val="32"/>
          <w:highlight w:val="none"/>
        </w:rPr>
        <w:t>月</w:t>
      </w:r>
    </w:p>
    <w:p>
      <w:pPr>
        <w:pStyle w:val="27"/>
        <w:rPr>
          <w:rFonts w:ascii="Times New Roman" w:hAnsi="Times New Roman"/>
          <w:color w:val="auto"/>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134" w:left="1134" w:header="720" w:footer="720" w:gutter="0"/>
          <w:pgNumType w:start="0"/>
          <w:cols w:space="720" w:num="1"/>
          <w:titlePg/>
          <w:docGrid w:type="lines" w:linePitch="331" w:charSpace="0"/>
        </w:sectPr>
      </w:pPr>
    </w:p>
    <w:p>
      <w:pPr>
        <w:pStyle w:val="27"/>
        <w:rPr>
          <w:rFonts w:ascii="Times New Roman" w:hAnsi="Times New Roman"/>
          <w:color w:val="auto"/>
          <w:highlight w:val="none"/>
        </w:rPr>
      </w:pPr>
    </w:p>
    <w:sdt>
      <w:sdtPr>
        <w:rPr>
          <w:rFonts w:ascii="Times New Roman" w:hAnsi="Times New Roman" w:eastAsia="宋体" w:cs="Times New Roman"/>
          <w:b w:val="0"/>
          <w:bCs w:val="0"/>
          <w:color w:val="auto"/>
          <w:kern w:val="2"/>
          <w:sz w:val="21"/>
          <w:szCs w:val="24"/>
          <w:highlight w:val="none"/>
          <w:lang w:val="zh-CN"/>
        </w:rPr>
        <w:id w:val="20722693"/>
        <w:docPartObj>
          <w:docPartGallery w:val="Table of Contents"/>
          <w:docPartUnique/>
        </w:docPartObj>
      </w:sdtPr>
      <w:sdtEndPr>
        <w:rPr>
          <w:rFonts w:ascii="宋体" w:hAnsi="宋体" w:eastAsia="宋体" w:cs="Times New Roman"/>
          <w:b w:val="0"/>
          <w:bCs w:val="0"/>
          <w:color w:val="auto"/>
          <w:kern w:val="2"/>
          <w:sz w:val="36"/>
          <w:szCs w:val="36"/>
          <w:highlight w:val="none"/>
          <w:lang w:val="en-US"/>
        </w:rPr>
      </w:sdtEndPr>
      <w:sdtContent>
        <w:p>
          <w:pPr>
            <w:pStyle w:val="467"/>
            <w:jc w:val="center"/>
            <w:rPr>
              <w:color w:val="auto"/>
              <w:sz w:val="48"/>
              <w:szCs w:val="48"/>
              <w:highlight w:val="none"/>
              <w:lang w:val="zh-CN"/>
            </w:rPr>
          </w:pPr>
          <w:bookmarkStart w:id="0" w:name="_Toc139967217"/>
          <w:bookmarkStart w:id="1" w:name="_Toc139966433"/>
          <w:bookmarkStart w:id="2" w:name="_Toc213206171"/>
          <w:bookmarkStart w:id="3" w:name="_Toc213325920"/>
          <w:r>
            <w:rPr>
              <w:color w:val="auto"/>
              <w:sz w:val="52"/>
              <w:szCs w:val="52"/>
              <w:highlight w:val="none"/>
              <w:lang w:val="zh-CN"/>
            </w:rPr>
            <w:t>目录</w:t>
          </w:r>
        </w:p>
        <w:p>
          <w:pPr>
            <w:rPr>
              <w:color w:val="auto"/>
              <w:highlight w:val="none"/>
              <w:lang w:val="zh-CN"/>
            </w:rPr>
          </w:pPr>
        </w:p>
        <w:p>
          <w:pPr>
            <w:pStyle w:val="34"/>
            <w:tabs>
              <w:tab w:val="right" w:leader="dot" w:pos="9628"/>
            </w:tabs>
            <w:rPr>
              <w:rFonts w:ascii="宋体" w:hAnsi="宋体" w:cstheme="minorBidi"/>
              <w:b w:val="0"/>
              <w:bCs w:val="0"/>
              <w:caps w:val="0"/>
              <w:color w:val="auto"/>
              <w:sz w:val="36"/>
              <w:szCs w:val="36"/>
              <w:highlight w:val="none"/>
            </w:rPr>
          </w:pPr>
          <w:r>
            <w:rPr>
              <w:rFonts w:ascii="宋体" w:hAnsi="宋体"/>
              <w:color w:val="auto"/>
              <w:sz w:val="36"/>
              <w:szCs w:val="36"/>
              <w:highlight w:val="none"/>
            </w:rPr>
            <w:fldChar w:fldCharType="begin"/>
          </w:r>
          <w:r>
            <w:rPr>
              <w:rFonts w:ascii="宋体" w:hAnsi="宋体"/>
              <w:color w:val="auto"/>
              <w:sz w:val="36"/>
              <w:szCs w:val="36"/>
              <w:highlight w:val="none"/>
            </w:rPr>
            <w:instrText xml:space="preserve"> TOC \o "1-3" \h \z \u </w:instrText>
          </w:r>
          <w:r>
            <w:rPr>
              <w:rFonts w:ascii="宋体" w:hAnsi="宋体"/>
              <w:color w:val="auto"/>
              <w:sz w:val="36"/>
              <w:szCs w:val="36"/>
              <w:highlight w:val="none"/>
            </w:rPr>
            <w:fldChar w:fldCharType="separate"/>
          </w:r>
          <w:r>
            <w:rPr>
              <w:color w:val="auto"/>
              <w:highlight w:val="none"/>
            </w:rPr>
            <w:fldChar w:fldCharType="begin"/>
          </w:r>
          <w:r>
            <w:rPr>
              <w:color w:val="auto"/>
              <w:highlight w:val="none"/>
            </w:rPr>
            <w:instrText xml:space="preserve"> HYPERLINK \l "_Toc43563141" </w:instrText>
          </w:r>
          <w:r>
            <w:rPr>
              <w:color w:val="auto"/>
              <w:highlight w:val="none"/>
            </w:rPr>
            <w:fldChar w:fldCharType="separate"/>
          </w:r>
          <w:r>
            <w:rPr>
              <w:rStyle w:val="59"/>
              <w:rFonts w:hint="eastAsia" w:ascii="宋体" w:hAnsi="宋体"/>
              <w:color w:val="auto"/>
              <w:sz w:val="36"/>
              <w:szCs w:val="36"/>
              <w:highlight w:val="none"/>
            </w:rPr>
            <w:t>第一章公告</w:t>
          </w:r>
          <w:r>
            <w:rPr>
              <w:rFonts w:ascii="宋体" w:hAnsi="宋体"/>
              <w:color w:val="auto"/>
              <w:sz w:val="36"/>
              <w:szCs w:val="36"/>
              <w:highlight w:val="none"/>
            </w:rPr>
            <w:tab/>
          </w:r>
          <w:r>
            <w:rPr>
              <w:rFonts w:ascii="宋体" w:hAnsi="宋体"/>
              <w:color w:val="auto"/>
              <w:sz w:val="36"/>
              <w:szCs w:val="36"/>
              <w:highlight w:val="none"/>
            </w:rPr>
            <w:fldChar w:fldCharType="begin"/>
          </w:r>
          <w:r>
            <w:rPr>
              <w:rFonts w:ascii="宋体" w:hAnsi="宋体"/>
              <w:color w:val="auto"/>
              <w:sz w:val="36"/>
              <w:szCs w:val="36"/>
              <w:highlight w:val="none"/>
            </w:rPr>
            <w:instrText xml:space="preserve"> PAGEREF _Toc43563141 \h </w:instrText>
          </w:r>
          <w:r>
            <w:rPr>
              <w:rFonts w:ascii="宋体" w:hAnsi="宋体"/>
              <w:color w:val="auto"/>
              <w:sz w:val="36"/>
              <w:szCs w:val="36"/>
              <w:highlight w:val="none"/>
            </w:rPr>
            <w:fldChar w:fldCharType="separate"/>
          </w:r>
          <w:r>
            <w:rPr>
              <w:rFonts w:ascii="宋体" w:hAnsi="宋体"/>
              <w:color w:val="auto"/>
              <w:sz w:val="36"/>
              <w:szCs w:val="36"/>
              <w:highlight w:val="none"/>
            </w:rPr>
            <w:t>2</w:t>
          </w:r>
          <w:r>
            <w:rPr>
              <w:rFonts w:ascii="宋体" w:hAnsi="宋体"/>
              <w:color w:val="auto"/>
              <w:sz w:val="36"/>
              <w:szCs w:val="36"/>
              <w:highlight w:val="none"/>
            </w:rPr>
            <w:fldChar w:fldCharType="end"/>
          </w:r>
          <w:r>
            <w:rPr>
              <w:rFonts w:ascii="宋体" w:hAnsi="宋体"/>
              <w:color w:val="auto"/>
              <w:sz w:val="36"/>
              <w:szCs w:val="36"/>
              <w:highlight w:val="none"/>
            </w:rPr>
            <w:fldChar w:fldCharType="end"/>
          </w:r>
        </w:p>
        <w:p>
          <w:pPr>
            <w:pStyle w:val="34"/>
            <w:tabs>
              <w:tab w:val="right" w:leader="dot" w:pos="9628"/>
            </w:tabs>
            <w:rPr>
              <w:rFonts w:ascii="宋体" w:hAnsi="宋体" w:cstheme="minorBidi"/>
              <w:b w:val="0"/>
              <w:bCs w:val="0"/>
              <w:caps w:val="0"/>
              <w:color w:val="auto"/>
              <w:sz w:val="36"/>
              <w:szCs w:val="36"/>
              <w:highlight w:val="none"/>
            </w:rPr>
          </w:pPr>
          <w:r>
            <w:rPr>
              <w:color w:val="auto"/>
              <w:highlight w:val="none"/>
            </w:rPr>
            <w:fldChar w:fldCharType="begin"/>
          </w:r>
          <w:r>
            <w:rPr>
              <w:color w:val="auto"/>
              <w:highlight w:val="none"/>
            </w:rPr>
            <w:instrText xml:space="preserve"> HYPERLINK \l "_Toc43563142" </w:instrText>
          </w:r>
          <w:r>
            <w:rPr>
              <w:color w:val="auto"/>
              <w:highlight w:val="none"/>
            </w:rPr>
            <w:fldChar w:fldCharType="separate"/>
          </w:r>
          <w:r>
            <w:rPr>
              <w:rStyle w:val="59"/>
              <w:rFonts w:hint="eastAsia" w:ascii="宋体" w:hAnsi="宋体"/>
              <w:color w:val="auto"/>
              <w:sz w:val="36"/>
              <w:szCs w:val="36"/>
              <w:highlight w:val="none"/>
            </w:rPr>
            <w:t>第二章招标项目采购需求</w:t>
          </w:r>
          <w:r>
            <w:rPr>
              <w:rFonts w:ascii="宋体" w:hAnsi="宋体"/>
              <w:color w:val="auto"/>
              <w:sz w:val="36"/>
              <w:szCs w:val="36"/>
              <w:highlight w:val="none"/>
            </w:rPr>
            <w:tab/>
          </w:r>
          <w:r>
            <w:rPr>
              <w:rFonts w:ascii="宋体" w:hAnsi="宋体"/>
              <w:color w:val="auto"/>
              <w:sz w:val="36"/>
              <w:szCs w:val="36"/>
              <w:highlight w:val="none"/>
            </w:rPr>
            <w:fldChar w:fldCharType="begin"/>
          </w:r>
          <w:r>
            <w:rPr>
              <w:rFonts w:ascii="宋体" w:hAnsi="宋体"/>
              <w:color w:val="auto"/>
              <w:sz w:val="36"/>
              <w:szCs w:val="36"/>
              <w:highlight w:val="none"/>
            </w:rPr>
            <w:instrText xml:space="preserve"> PAGEREF _Toc43563142 \h </w:instrText>
          </w:r>
          <w:r>
            <w:rPr>
              <w:rFonts w:ascii="宋体" w:hAnsi="宋体"/>
              <w:color w:val="auto"/>
              <w:sz w:val="36"/>
              <w:szCs w:val="36"/>
              <w:highlight w:val="none"/>
            </w:rPr>
            <w:fldChar w:fldCharType="separate"/>
          </w:r>
          <w:r>
            <w:rPr>
              <w:rFonts w:ascii="宋体" w:hAnsi="宋体"/>
              <w:color w:val="auto"/>
              <w:sz w:val="36"/>
              <w:szCs w:val="36"/>
              <w:highlight w:val="none"/>
            </w:rPr>
            <w:t>6</w:t>
          </w:r>
          <w:r>
            <w:rPr>
              <w:rFonts w:ascii="宋体" w:hAnsi="宋体"/>
              <w:color w:val="auto"/>
              <w:sz w:val="36"/>
              <w:szCs w:val="36"/>
              <w:highlight w:val="none"/>
            </w:rPr>
            <w:fldChar w:fldCharType="end"/>
          </w:r>
          <w:r>
            <w:rPr>
              <w:rFonts w:ascii="宋体" w:hAnsi="宋体"/>
              <w:color w:val="auto"/>
              <w:sz w:val="36"/>
              <w:szCs w:val="36"/>
              <w:highlight w:val="none"/>
            </w:rPr>
            <w:fldChar w:fldCharType="end"/>
          </w:r>
        </w:p>
        <w:p>
          <w:pPr>
            <w:pStyle w:val="34"/>
            <w:tabs>
              <w:tab w:val="right" w:leader="dot" w:pos="9628"/>
            </w:tabs>
            <w:rPr>
              <w:rFonts w:ascii="宋体" w:hAnsi="宋体" w:cstheme="minorBidi"/>
              <w:b w:val="0"/>
              <w:bCs w:val="0"/>
              <w:caps w:val="0"/>
              <w:color w:val="auto"/>
              <w:sz w:val="36"/>
              <w:szCs w:val="36"/>
              <w:highlight w:val="none"/>
            </w:rPr>
          </w:pPr>
          <w:r>
            <w:rPr>
              <w:color w:val="auto"/>
              <w:highlight w:val="none"/>
            </w:rPr>
            <w:fldChar w:fldCharType="begin"/>
          </w:r>
          <w:r>
            <w:rPr>
              <w:color w:val="auto"/>
              <w:highlight w:val="none"/>
            </w:rPr>
            <w:instrText xml:space="preserve"> HYPERLINK \l "_Toc43563143" </w:instrText>
          </w:r>
          <w:r>
            <w:rPr>
              <w:color w:val="auto"/>
              <w:highlight w:val="none"/>
            </w:rPr>
            <w:fldChar w:fldCharType="separate"/>
          </w:r>
          <w:r>
            <w:rPr>
              <w:rStyle w:val="59"/>
              <w:rFonts w:hint="eastAsia" w:ascii="宋体" w:hAnsi="宋体"/>
              <w:color w:val="auto"/>
              <w:sz w:val="36"/>
              <w:szCs w:val="36"/>
              <w:highlight w:val="none"/>
            </w:rPr>
            <w:t>第三章评标方法（综合评分法）</w:t>
          </w:r>
          <w:r>
            <w:rPr>
              <w:rFonts w:ascii="宋体" w:hAnsi="宋体"/>
              <w:color w:val="auto"/>
              <w:sz w:val="36"/>
              <w:szCs w:val="36"/>
              <w:highlight w:val="none"/>
            </w:rPr>
            <w:tab/>
          </w:r>
          <w:r>
            <w:rPr>
              <w:rFonts w:ascii="宋体" w:hAnsi="宋体"/>
              <w:color w:val="auto"/>
              <w:sz w:val="36"/>
              <w:szCs w:val="36"/>
              <w:highlight w:val="none"/>
            </w:rPr>
            <w:fldChar w:fldCharType="begin"/>
          </w:r>
          <w:r>
            <w:rPr>
              <w:rFonts w:ascii="宋体" w:hAnsi="宋体"/>
              <w:color w:val="auto"/>
              <w:sz w:val="36"/>
              <w:szCs w:val="36"/>
              <w:highlight w:val="none"/>
            </w:rPr>
            <w:instrText xml:space="preserve"> PAGEREF _Toc43563143 \h </w:instrText>
          </w:r>
          <w:r>
            <w:rPr>
              <w:rFonts w:ascii="宋体" w:hAnsi="宋体"/>
              <w:color w:val="auto"/>
              <w:sz w:val="36"/>
              <w:szCs w:val="36"/>
              <w:highlight w:val="none"/>
            </w:rPr>
            <w:fldChar w:fldCharType="separate"/>
          </w:r>
          <w:r>
            <w:rPr>
              <w:rFonts w:ascii="宋体" w:hAnsi="宋体"/>
              <w:color w:val="auto"/>
              <w:sz w:val="36"/>
              <w:szCs w:val="36"/>
              <w:highlight w:val="none"/>
            </w:rPr>
            <w:t>78</w:t>
          </w:r>
          <w:r>
            <w:rPr>
              <w:rFonts w:ascii="宋体" w:hAnsi="宋体"/>
              <w:color w:val="auto"/>
              <w:sz w:val="36"/>
              <w:szCs w:val="36"/>
              <w:highlight w:val="none"/>
            </w:rPr>
            <w:fldChar w:fldCharType="end"/>
          </w:r>
          <w:r>
            <w:rPr>
              <w:rFonts w:ascii="宋体" w:hAnsi="宋体"/>
              <w:color w:val="auto"/>
              <w:sz w:val="36"/>
              <w:szCs w:val="36"/>
              <w:highlight w:val="none"/>
            </w:rPr>
            <w:fldChar w:fldCharType="end"/>
          </w:r>
        </w:p>
        <w:p>
          <w:pPr>
            <w:pStyle w:val="34"/>
            <w:tabs>
              <w:tab w:val="right" w:leader="dot" w:pos="9628"/>
            </w:tabs>
            <w:rPr>
              <w:rFonts w:ascii="宋体" w:hAnsi="宋体" w:cstheme="minorBidi"/>
              <w:b w:val="0"/>
              <w:bCs w:val="0"/>
              <w:caps w:val="0"/>
              <w:color w:val="auto"/>
              <w:sz w:val="36"/>
              <w:szCs w:val="36"/>
              <w:highlight w:val="none"/>
            </w:rPr>
          </w:pPr>
          <w:r>
            <w:rPr>
              <w:color w:val="auto"/>
              <w:highlight w:val="none"/>
            </w:rPr>
            <w:fldChar w:fldCharType="begin"/>
          </w:r>
          <w:r>
            <w:rPr>
              <w:color w:val="auto"/>
              <w:highlight w:val="none"/>
            </w:rPr>
            <w:instrText xml:space="preserve"> HYPERLINK \l "_Toc43563144" </w:instrText>
          </w:r>
          <w:r>
            <w:rPr>
              <w:color w:val="auto"/>
              <w:highlight w:val="none"/>
            </w:rPr>
            <w:fldChar w:fldCharType="separate"/>
          </w:r>
          <w:r>
            <w:rPr>
              <w:rStyle w:val="59"/>
              <w:rFonts w:hint="eastAsia" w:ascii="宋体" w:hAnsi="宋体"/>
              <w:color w:val="auto"/>
              <w:sz w:val="36"/>
              <w:szCs w:val="36"/>
              <w:highlight w:val="none"/>
            </w:rPr>
            <w:t>第四章投标人须知</w:t>
          </w:r>
          <w:r>
            <w:rPr>
              <w:rFonts w:ascii="宋体" w:hAnsi="宋体"/>
              <w:color w:val="auto"/>
              <w:sz w:val="36"/>
              <w:szCs w:val="36"/>
              <w:highlight w:val="none"/>
            </w:rPr>
            <w:tab/>
          </w:r>
          <w:r>
            <w:rPr>
              <w:rFonts w:ascii="宋体" w:hAnsi="宋体"/>
              <w:color w:val="auto"/>
              <w:sz w:val="36"/>
              <w:szCs w:val="36"/>
              <w:highlight w:val="none"/>
            </w:rPr>
            <w:fldChar w:fldCharType="begin"/>
          </w:r>
          <w:r>
            <w:rPr>
              <w:rFonts w:ascii="宋体" w:hAnsi="宋体"/>
              <w:color w:val="auto"/>
              <w:sz w:val="36"/>
              <w:szCs w:val="36"/>
              <w:highlight w:val="none"/>
            </w:rPr>
            <w:instrText xml:space="preserve"> PAGEREF _Toc43563144 \h </w:instrText>
          </w:r>
          <w:r>
            <w:rPr>
              <w:rFonts w:ascii="宋体" w:hAnsi="宋体"/>
              <w:color w:val="auto"/>
              <w:sz w:val="36"/>
              <w:szCs w:val="36"/>
              <w:highlight w:val="none"/>
            </w:rPr>
            <w:fldChar w:fldCharType="separate"/>
          </w:r>
          <w:r>
            <w:rPr>
              <w:rFonts w:ascii="宋体" w:hAnsi="宋体"/>
              <w:color w:val="auto"/>
              <w:sz w:val="36"/>
              <w:szCs w:val="36"/>
              <w:highlight w:val="none"/>
            </w:rPr>
            <w:t>81</w:t>
          </w:r>
          <w:r>
            <w:rPr>
              <w:rFonts w:ascii="宋体" w:hAnsi="宋体"/>
              <w:color w:val="auto"/>
              <w:sz w:val="36"/>
              <w:szCs w:val="36"/>
              <w:highlight w:val="none"/>
            </w:rPr>
            <w:fldChar w:fldCharType="end"/>
          </w:r>
          <w:r>
            <w:rPr>
              <w:rFonts w:ascii="宋体" w:hAnsi="宋体"/>
              <w:color w:val="auto"/>
              <w:sz w:val="36"/>
              <w:szCs w:val="36"/>
              <w:highlight w:val="none"/>
            </w:rPr>
            <w:fldChar w:fldCharType="end"/>
          </w:r>
        </w:p>
        <w:p>
          <w:pPr>
            <w:pStyle w:val="34"/>
            <w:tabs>
              <w:tab w:val="right" w:leader="dot" w:pos="9628"/>
            </w:tabs>
            <w:rPr>
              <w:rFonts w:ascii="宋体" w:hAnsi="宋体" w:cstheme="minorBidi"/>
              <w:b w:val="0"/>
              <w:bCs w:val="0"/>
              <w:caps w:val="0"/>
              <w:color w:val="auto"/>
              <w:sz w:val="36"/>
              <w:szCs w:val="36"/>
              <w:highlight w:val="none"/>
            </w:rPr>
          </w:pPr>
          <w:r>
            <w:rPr>
              <w:color w:val="auto"/>
              <w:highlight w:val="none"/>
            </w:rPr>
            <w:fldChar w:fldCharType="begin"/>
          </w:r>
          <w:r>
            <w:rPr>
              <w:color w:val="auto"/>
              <w:highlight w:val="none"/>
            </w:rPr>
            <w:instrText xml:space="preserve"> HYPERLINK \l "_Toc43563145" </w:instrText>
          </w:r>
          <w:r>
            <w:rPr>
              <w:color w:val="auto"/>
              <w:highlight w:val="none"/>
            </w:rPr>
            <w:fldChar w:fldCharType="separate"/>
          </w:r>
          <w:r>
            <w:rPr>
              <w:rStyle w:val="59"/>
              <w:rFonts w:hint="eastAsia" w:ascii="宋体" w:hAnsi="宋体"/>
              <w:color w:val="auto"/>
              <w:sz w:val="36"/>
              <w:szCs w:val="36"/>
              <w:highlight w:val="none"/>
            </w:rPr>
            <w:t>第五章投标文件格式</w:t>
          </w:r>
          <w:r>
            <w:rPr>
              <w:rFonts w:ascii="宋体" w:hAnsi="宋体"/>
              <w:color w:val="auto"/>
              <w:sz w:val="36"/>
              <w:szCs w:val="36"/>
              <w:highlight w:val="none"/>
            </w:rPr>
            <w:tab/>
          </w:r>
          <w:r>
            <w:rPr>
              <w:rFonts w:ascii="宋体" w:hAnsi="宋体"/>
              <w:color w:val="auto"/>
              <w:sz w:val="36"/>
              <w:szCs w:val="36"/>
              <w:highlight w:val="none"/>
            </w:rPr>
            <w:fldChar w:fldCharType="begin"/>
          </w:r>
          <w:r>
            <w:rPr>
              <w:rFonts w:ascii="宋体" w:hAnsi="宋体"/>
              <w:color w:val="auto"/>
              <w:sz w:val="36"/>
              <w:szCs w:val="36"/>
              <w:highlight w:val="none"/>
            </w:rPr>
            <w:instrText xml:space="preserve"> PAGEREF _Toc43563145 \h </w:instrText>
          </w:r>
          <w:r>
            <w:rPr>
              <w:rFonts w:ascii="宋体" w:hAnsi="宋体"/>
              <w:color w:val="auto"/>
              <w:sz w:val="36"/>
              <w:szCs w:val="36"/>
              <w:highlight w:val="none"/>
            </w:rPr>
            <w:fldChar w:fldCharType="separate"/>
          </w:r>
          <w:r>
            <w:rPr>
              <w:rFonts w:ascii="宋体" w:hAnsi="宋体"/>
              <w:color w:val="auto"/>
              <w:sz w:val="36"/>
              <w:szCs w:val="36"/>
              <w:highlight w:val="none"/>
            </w:rPr>
            <w:t>98</w:t>
          </w:r>
          <w:r>
            <w:rPr>
              <w:rFonts w:ascii="宋体" w:hAnsi="宋体"/>
              <w:color w:val="auto"/>
              <w:sz w:val="36"/>
              <w:szCs w:val="36"/>
              <w:highlight w:val="none"/>
            </w:rPr>
            <w:fldChar w:fldCharType="end"/>
          </w:r>
          <w:r>
            <w:rPr>
              <w:rFonts w:ascii="宋体" w:hAnsi="宋体"/>
              <w:color w:val="auto"/>
              <w:sz w:val="36"/>
              <w:szCs w:val="36"/>
              <w:highlight w:val="none"/>
            </w:rPr>
            <w:fldChar w:fldCharType="end"/>
          </w:r>
        </w:p>
        <w:p>
          <w:pPr>
            <w:pStyle w:val="34"/>
            <w:tabs>
              <w:tab w:val="right" w:leader="dot" w:pos="9628"/>
            </w:tabs>
            <w:rPr>
              <w:rFonts w:ascii="宋体" w:hAnsi="宋体" w:cstheme="minorBidi"/>
              <w:b w:val="0"/>
              <w:bCs w:val="0"/>
              <w:caps w:val="0"/>
              <w:color w:val="auto"/>
              <w:sz w:val="36"/>
              <w:szCs w:val="36"/>
              <w:highlight w:val="none"/>
            </w:rPr>
          </w:pPr>
          <w:r>
            <w:rPr>
              <w:color w:val="auto"/>
              <w:highlight w:val="none"/>
            </w:rPr>
            <w:fldChar w:fldCharType="begin"/>
          </w:r>
          <w:r>
            <w:rPr>
              <w:color w:val="auto"/>
              <w:highlight w:val="none"/>
            </w:rPr>
            <w:instrText xml:space="preserve"> HYPERLINK \l "_Toc43563146" </w:instrText>
          </w:r>
          <w:r>
            <w:rPr>
              <w:color w:val="auto"/>
              <w:highlight w:val="none"/>
            </w:rPr>
            <w:fldChar w:fldCharType="separate"/>
          </w:r>
          <w:r>
            <w:rPr>
              <w:rStyle w:val="59"/>
              <w:rFonts w:hint="eastAsia" w:ascii="宋体" w:hAnsi="宋体"/>
              <w:color w:val="auto"/>
              <w:sz w:val="36"/>
              <w:szCs w:val="36"/>
              <w:highlight w:val="none"/>
            </w:rPr>
            <w:t>第六章合同条款及格式</w:t>
          </w:r>
          <w:r>
            <w:rPr>
              <w:rFonts w:ascii="宋体" w:hAnsi="宋体"/>
              <w:color w:val="auto"/>
              <w:sz w:val="36"/>
              <w:szCs w:val="36"/>
              <w:highlight w:val="none"/>
            </w:rPr>
            <w:tab/>
          </w:r>
          <w:r>
            <w:rPr>
              <w:rFonts w:ascii="宋体" w:hAnsi="宋体"/>
              <w:color w:val="auto"/>
              <w:sz w:val="36"/>
              <w:szCs w:val="36"/>
              <w:highlight w:val="none"/>
            </w:rPr>
            <w:fldChar w:fldCharType="begin"/>
          </w:r>
          <w:r>
            <w:rPr>
              <w:rFonts w:ascii="宋体" w:hAnsi="宋体"/>
              <w:color w:val="auto"/>
              <w:sz w:val="36"/>
              <w:szCs w:val="36"/>
              <w:highlight w:val="none"/>
            </w:rPr>
            <w:instrText xml:space="preserve"> PAGEREF _Toc43563146 \h </w:instrText>
          </w:r>
          <w:r>
            <w:rPr>
              <w:rFonts w:ascii="宋体" w:hAnsi="宋体"/>
              <w:color w:val="auto"/>
              <w:sz w:val="36"/>
              <w:szCs w:val="36"/>
              <w:highlight w:val="none"/>
            </w:rPr>
            <w:fldChar w:fldCharType="separate"/>
          </w:r>
          <w:r>
            <w:rPr>
              <w:rFonts w:ascii="宋体" w:hAnsi="宋体"/>
              <w:color w:val="auto"/>
              <w:sz w:val="36"/>
              <w:szCs w:val="36"/>
              <w:highlight w:val="none"/>
            </w:rPr>
            <w:t>110</w:t>
          </w:r>
          <w:r>
            <w:rPr>
              <w:rFonts w:ascii="宋体" w:hAnsi="宋体"/>
              <w:color w:val="auto"/>
              <w:sz w:val="36"/>
              <w:szCs w:val="36"/>
              <w:highlight w:val="none"/>
            </w:rPr>
            <w:fldChar w:fldCharType="end"/>
          </w:r>
          <w:r>
            <w:rPr>
              <w:rFonts w:ascii="宋体" w:hAnsi="宋体"/>
              <w:color w:val="auto"/>
              <w:sz w:val="36"/>
              <w:szCs w:val="36"/>
              <w:highlight w:val="none"/>
            </w:rPr>
            <w:fldChar w:fldCharType="end"/>
          </w:r>
        </w:p>
        <w:p>
          <w:pPr>
            <w:rPr>
              <w:rFonts w:ascii="宋体" w:hAnsi="宋体"/>
              <w:color w:val="auto"/>
              <w:sz w:val="36"/>
              <w:szCs w:val="36"/>
              <w:highlight w:val="none"/>
            </w:rPr>
          </w:pPr>
          <w:r>
            <w:rPr>
              <w:rFonts w:ascii="宋体" w:hAnsi="宋体"/>
              <w:color w:val="auto"/>
              <w:sz w:val="36"/>
              <w:szCs w:val="36"/>
              <w:highlight w:val="none"/>
            </w:rPr>
            <w:fldChar w:fldCharType="end"/>
          </w:r>
        </w:p>
      </w:sdtContent>
    </w:sdt>
    <w:p>
      <w:pPr>
        <w:pStyle w:val="27"/>
        <w:jc w:val="center"/>
        <w:outlineLvl w:val="0"/>
        <w:rPr>
          <w:rFonts w:hAnsi="宋体" w:cs="宋体"/>
          <w:b/>
          <w:bCs/>
          <w:caps/>
          <w:color w:val="auto"/>
          <w:sz w:val="32"/>
          <w:szCs w:val="32"/>
          <w:highlight w:val="none"/>
        </w:rPr>
      </w:pPr>
    </w:p>
    <w:p>
      <w:pPr>
        <w:pStyle w:val="27"/>
        <w:jc w:val="center"/>
        <w:outlineLvl w:val="0"/>
        <w:rPr>
          <w:rFonts w:hAnsi="宋体"/>
          <w:b/>
          <w:bCs/>
          <w:caps/>
          <w:color w:val="auto"/>
          <w:sz w:val="28"/>
          <w:szCs w:val="28"/>
          <w:highlight w:val="none"/>
        </w:rPr>
      </w:pPr>
    </w:p>
    <w:p>
      <w:pPr>
        <w:pStyle w:val="27"/>
        <w:jc w:val="center"/>
        <w:outlineLvl w:val="0"/>
        <w:rPr>
          <w:rFonts w:hAnsi="宋体"/>
          <w:b/>
          <w:bCs/>
          <w:caps/>
          <w:color w:val="auto"/>
          <w:sz w:val="28"/>
          <w:szCs w:val="28"/>
          <w:highlight w:val="none"/>
        </w:rPr>
      </w:pPr>
    </w:p>
    <w:p>
      <w:pPr>
        <w:pStyle w:val="27"/>
        <w:jc w:val="center"/>
        <w:outlineLvl w:val="0"/>
        <w:rPr>
          <w:rFonts w:hAnsi="宋体"/>
          <w:b/>
          <w:bCs/>
          <w:caps/>
          <w:color w:val="auto"/>
          <w:sz w:val="28"/>
          <w:szCs w:val="28"/>
          <w:highlight w:val="none"/>
        </w:rPr>
      </w:pPr>
    </w:p>
    <w:p>
      <w:pPr>
        <w:pStyle w:val="27"/>
        <w:jc w:val="center"/>
        <w:outlineLvl w:val="0"/>
        <w:rPr>
          <w:rFonts w:hAnsi="宋体"/>
          <w:b/>
          <w:bCs/>
          <w:caps/>
          <w:color w:val="auto"/>
          <w:sz w:val="28"/>
          <w:szCs w:val="28"/>
          <w:highlight w:val="none"/>
        </w:rPr>
      </w:pPr>
    </w:p>
    <w:p>
      <w:pPr>
        <w:pStyle w:val="27"/>
        <w:spacing w:line="340" w:lineRule="exact"/>
        <w:jc w:val="center"/>
        <w:outlineLvl w:val="0"/>
        <w:rPr>
          <w:rFonts w:hAnsi="宋体"/>
          <w:b/>
          <w:color w:val="auto"/>
          <w:sz w:val="28"/>
          <w:szCs w:val="28"/>
          <w:highlight w:val="none"/>
        </w:rPr>
      </w:pPr>
      <w:r>
        <w:rPr>
          <w:rFonts w:hAnsi="宋体"/>
          <w:b/>
          <w:color w:val="auto"/>
          <w:sz w:val="28"/>
          <w:szCs w:val="28"/>
          <w:highlight w:val="none"/>
        </w:rPr>
        <w:br w:type="page"/>
      </w:r>
      <w:bookmarkStart w:id="4" w:name="_Toc43563080"/>
      <w:bookmarkStart w:id="5" w:name="_Toc22917843"/>
      <w:bookmarkStart w:id="6" w:name="_Toc43563141"/>
      <w:r>
        <w:rPr>
          <w:rFonts w:hint="eastAsia" w:hAnsi="宋体"/>
          <w:b/>
          <w:color w:val="auto"/>
          <w:sz w:val="28"/>
          <w:szCs w:val="28"/>
          <w:highlight w:val="none"/>
        </w:rPr>
        <w:t>第一章  公告</w:t>
      </w:r>
      <w:bookmarkEnd w:id="0"/>
      <w:bookmarkEnd w:id="1"/>
      <w:bookmarkEnd w:id="2"/>
      <w:bookmarkEnd w:id="3"/>
      <w:bookmarkEnd w:id="4"/>
      <w:bookmarkEnd w:id="5"/>
      <w:bookmarkEnd w:id="6"/>
    </w:p>
    <w:p>
      <w:pPr>
        <w:pStyle w:val="27"/>
        <w:spacing w:line="340" w:lineRule="exact"/>
        <w:jc w:val="center"/>
        <w:outlineLvl w:val="0"/>
        <w:rPr>
          <w:rFonts w:hAnsi="宋体"/>
          <w:b/>
          <w:color w:val="auto"/>
          <w:sz w:val="28"/>
          <w:szCs w:val="28"/>
          <w:highlight w:val="none"/>
        </w:rPr>
      </w:pPr>
      <w:bookmarkStart w:id="7" w:name="_Toc245719947"/>
      <w:bookmarkStart w:id="8" w:name="_Toc246232676"/>
      <w:bookmarkStart w:id="9" w:name="_Toc306005867"/>
      <w:bookmarkStart w:id="10" w:name="_Toc245720157"/>
      <w:bookmarkStart w:id="11" w:name="_Toc422316556"/>
      <w:bookmarkStart w:id="12" w:name="_Toc531285725"/>
    </w:p>
    <w:p>
      <w:pPr>
        <w:pStyle w:val="27"/>
        <w:spacing w:line="340" w:lineRule="exact"/>
        <w:jc w:val="center"/>
        <w:rPr>
          <w:rFonts w:hAnsi="宋体"/>
          <w:b/>
          <w:color w:val="auto"/>
          <w:sz w:val="28"/>
          <w:szCs w:val="28"/>
          <w:highlight w:val="none"/>
        </w:rPr>
      </w:pPr>
      <w:r>
        <w:rPr>
          <w:rFonts w:hint="eastAsia" w:hAnsi="宋体"/>
          <w:b/>
          <w:color w:val="auto"/>
          <w:sz w:val="28"/>
          <w:szCs w:val="28"/>
          <w:highlight w:val="none"/>
        </w:rPr>
        <w:t>广西科文招标有限公司</w:t>
      </w:r>
    </w:p>
    <w:p>
      <w:pPr>
        <w:pStyle w:val="27"/>
        <w:spacing w:line="340" w:lineRule="exact"/>
        <w:jc w:val="center"/>
        <w:rPr>
          <w:rFonts w:hAnsi="宋体"/>
          <w:b/>
          <w:color w:val="auto"/>
          <w:sz w:val="28"/>
          <w:szCs w:val="28"/>
          <w:highlight w:val="none"/>
        </w:rPr>
      </w:pPr>
      <w:r>
        <w:rPr>
          <w:rFonts w:hint="eastAsia" w:hAnsi="宋体"/>
          <w:b/>
          <w:color w:val="auto"/>
          <w:sz w:val="28"/>
          <w:szCs w:val="28"/>
          <w:highlight w:val="none"/>
        </w:rPr>
        <w:t>国家茉莉花及制品质量检验中心(广西)建设项目-实验室检验检测设备采购（KWAZ2G2020815）</w:t>
      </w:r>
      <w:bookmarkEnd w:id="7"/>
      <w:bookmarkStart w:id="13" w:name="_Toc245719948"/>
      <w:r>
        <w:rPr>
          <w:rFonts w:hint="eastAsia" w:hAnsi="宋体"/>
          <w:b/>
          <w:color w:val="auto"/>
          <w:sz w:val="28"/>
          <w:szCs w:val="28"/>
          <w:highlight w:val="none"/>
        </w:rPr>
        <w:t>招标公告</w:t>
      </w:r>
      <w:bookmarkEnd w:id="8"/>
      <w:bookmarkEnd w:id="9"/>
      <w:bookmarkEnd w:id="10"/>
      <w:bookmarkEnd w:id="11"/>
      <w:bookmarkEnd w:id="12"/>
      <w:bookmarkEnd w:id="13"/>
    </w:p>
    <w:p>
      <w:pPr>
        <w:pStyle w:val="27"/>
        <w:spacing w:line="360" w:lineRule="exact"/>
        <w:ind w:right="420" w:firstLine="6930" w:firstLineChars="3300"/>
        <w:rPr>
          <w:rFonts w:hAnsi="宋体" w:cs="宋体"/>
          <w:color w:val="auto"/>
          <w:sz w:val="21"/>
          <w:szCs w:val="21"/>
          <w:highlight w:val="none"/>
        </w:rPr>
      </w:pPr>
    </w:p>
    <w:p>
      <w:pPr>
        <w:spacing w:line="400" w:lineRule="exact"/>
        <w:rPr>
          <w:rFonts w:ascii="宋体" w:hAnsi="宋体"/>
          <w:color w:val="auto"/>
          <w:sz w:val="24"/>
          <w:highlight w:val="none"/>
        </w:rPr>
      </w:pPr>
      <w:r>
        <w:rPr>
          <w:rFonts w:hint="eastAsia" w:ascii="宋体" w:hAnsi="宋体"/>
          <w:color w:val="auto"/>
          <w:sz w:val="24"/>
          <w:highlight w:val="none"/>
        </w:rPr>
        <w:t>项目概况</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u w:val="single"/>
        </w:rPr>
        <w:t>国家茉莉花及制品质量检验中心(广西)建设项目-实验室检验检测设备采购</w:t>
      </w:r>
      <w:r>
        <w:rPr>
          <w:rFonts w:hint="eastAsia" w:ascii="宋体" w:hAnsi="宋体"/>
          <w:color w:val="auto"/>
          <w:sz w:val="24"/>
          <w:highlight w:val="none"/>
        </w:rPr>
        <w:t>招标项目的潜在投标人应在</w:t>
      </w:r>
      <w:r>
        <w:rPr>
          <w:rFonts w:hint="eastAsia" w:ascii="宋体" w:hAnsi="宋体"/>
          <w:color w:val="auto"/>
          <w:sz w:val="24"/>
          <w:highlight w:val="none"/>
          <w:u w:val="single"/>
        </w:rPr>
        <w:t>南宁市公共资源交易平台（www.nnggzy.org.cn）政府采购信息公告专栏自行下载获取招标文件，并于</w:t>
      </w:r>
      <w:r>
        <w:rPr>
          <w:rFonts w:ascii="宋体" w:hAnsi="宋体"/>
          <w:color w:val="auto"/>
          <w:sz w:val="24"/>
          <w:highlight w:val="none"/>
          <w:u w:val="single"/>
        </w:rPr>
        <w:t>2020年</w:t>
      </w:r>
      <w:r>
        <w:rPr>
          <w:rFonts w:hint="eastAsia" w:ascii="宋体" w:hAnsi="宋体"/>
          <w:color w:val="auto"/>
          <w:sz w:val="24"/>
          <w:highlight w:val="none"/>
          <w:u w:val="single"/>
          <w:lang w:val="en-US" w:eastAsia="zh-CN"/>
        </w:rPr>
        <w:t>8</w:t>
      </w:r>
      <w:r>
        <w:rPr>
          <w:rFonts w:ascii="宋体" w:hAnsi="宋体"/>
          <w:color w:val="auto"/>
          <w:sz w:val="24"/>
          <w:highlight w:val="none"/>
          <w:u w:val="single"/>
        </w:rPr>
        <w:t>月</w:t>
      </w:r>
      <w:r>
        <w:rPr>
          <w:rFonts w:hint="eastAsia" w:ascii="宋体" w:hAnsi="宋体"/>
          <w:color w:val="auto"/>
          <w:sz w:val="24"/>
          <w:highlight w:val="none"/>
          <w:u w:val="single"/>
          <w:lang w:val="en-US" w:eastAsia="zh-CN"/>
        </w:rPr>
        <w:t>28</w:t>
      </w:r>
      <w:r>
        <w:rPr>
          <w:rFonts w:ascii="宋体" w:hAnsi="宋体"/>
          <w:color w:val="auto"/>
          <w:sz w:val="24"/>
          <w:highlight w:val="none"/>
          <w:u w:val="single"/>
        </w:rPr>
        <w:t>日9点</w:t>
      </w:r>
      <w:r>
        <w:rPr>
          <w:rFonts w:hint="eastAsia" w:ascii="宋体" w:hAnsi="宋体"/>
          <w:color w:val="auto"/>
          <w:sz w:val="24"/>
          <w:highlight w:val="none"/>
          <w:u w:val="single"/>
        </w:rPr>
        <w:t>30</w:t>
      </w:r>
      <w:r>
        <w:rPr>
          <w:rFonts w:ascii="宋体" w:hAnsi="宋体"/>
          <w:color w:val="auto"/>
          <w:sz w:val="24"/>
          <w:highlight w:val="none"/>
          <w:u w:val="single"/>
        </w:rPr>
        <w:t>分（北京时间）</w:t>
      </w:r>
      <w:r>
        <w:rPr>
          <w:rFonts w:hint="eastAsia" w:ascii="宋体" w:hAnsi="宋体"/>
          <w:bCs/>
          <w:color w:val="auto"/>
          <w:sz w:val="24"/>
          <w:highlight w:val="none"/>
        </w:rPr>
        <w:t>前递交投标</w:t>
      </w:r>
      <w:r>
        <w:rPr>
          <w:rFonts w:ascii="宋体" w:hAnsi="宋体"/>
          <w:bCs/>
          <w:color w:val="auto"/>
          <w:sz w:val="24"/>
          <w:highlight w:val="none"/>
        </w:rPr>
        <w:t>文件</w:t>
      </w:r>
      <w:r>
        <w:rPr>
          <w:rFonts w:hint="eastAsia" w:ascii="宋体" w:hAnsi="宋体"/>
          <w:bCs/>
          <w:color w:val="auto"/>
          <w:sz w:val="24"/>
          <w:highlight w:val="none"/>
        </w:rPr>
        <w:t>。</w:t>
      </w:r>
    </w:p>
    <w:p>
      <w:pPr>
        <w:keepNext/>
        <w:keepLines/>
        <w:spacing w:line="400" w:lineRule="exact"/>
        <w:outlineLvl w:val="1"/>
        <w:rPr>
          <w:rFonts w:ascii="宋体" w:hAnsi="宋体" w:cs="宋体"/>
          <w:bCs/>
          <w:color w:val="auto"/>
          <w:sz w:val="24"/>
          <w:highlight w:val="none"/>
        </w:rPr>
      </w:pPr>
      <w:bookmarkStart w:id="14" w:name="_Toc28359002"/>
      <w:bookmarkStart w:id="15" w:name="_Toc35393621"/>
      <w:bookmarkStart w:id="16" w:name="_Toc35393790"/>
      <w:bookmarkStart w:id="17" w:name="_Toc28359079"/>
      <w:bookmarkStart w:id="18" w:name="_Hlk24379207"/>
      <w:r>
        <w:rPr>
          <w:rFonts w:hint="eastAsia" w:ascii="宋体" w:hAnsi="宋体" w:cs="宋体"/>
          <w:bCs/>
          <w:color w:val="auto"/>
          <w:sz w:val="24"/>
          <w:highlight w:val="none"/>
        </w:rPr>
        <w:t>一、项目基本情况</w:t>
      </w:r>
      <w:bookmarkEnd w:id="14"/>
      <w:bookmarkEnd w:id="15"/>
      <w:bookmarkEnd w:id="16"/>
      <w:bookmarkEnd w:id="17"/>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项目编号：</w:t>
      </w:r>
      <w:r>
        <w:rPr>
          <w:rFonts w:ascii="宋体" w:hAnsi="宋体"/>
          <w:color w:val="auto"/>
          <w:sz w:val="24"/>
          <w:highlight w:val="none"/>
        </w:rPr>
        <w:t>KWAZ2G2020815</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政府采购计划编号：HXZC2020-G1-00171</w:t>
      </w:r>
    </w:p>
    <w:bookmarkEnd w:id="18"/>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项目名称：国家茉莉花及制品质量检验中心(广西)建设项目-实验室检验检测设备采购</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预算金额：1599.84万元</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标段1：348.25万元；标段2：279.665万元；标段3：351.95万元；标段4：361万元；标段5：258.975万元。</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最高限价：与预算金额一致。</w:t>
      </w:r>
    </w:p>
    <w:p>
      <w:pPr>
        <w:spacing w:line="400" w:lineRule="exact"/>
        <w:ind w:firstLine="480" w:firstLineChars="200"/>
        <w:rPr>
          <w:rFonts w:ascii="宋体" w:hAnsi="宋体"/>
          <w:color w:val="auto"/>
          <w:sz w:val="24"/>
          <w:highlight w:val="none"/>
          <w:u w:val="single"/>
        </w:rPr>
      </w:pPr>
      <w:r>
        <w:rPr>
          <w:rFonts w:hint="eastAsia" w:ascii="宋体" w:hAnsi="宋体"/>
          <w:color w:val="auto"/>
          <w:sz w:val="24"/>
          <w:highlight w:val="none"/>
        </w:rPr>
        <w:t>采购需求：</w:t>
      </w:r>
    </w:p>
    <w:p>
      <w:pPr>
        <w:spacing w:line="400" w:lineRule="exact"/>
        <w:ind w:firstLine="480" w:firstLineChars="200"/>
        <w:rPr>
          <w:rFonts w:hint="eastAsia" w:ascii="宋体" w:hAnsi="宋体" w:eastAsia="宋体"/>
          <w:b w:val="0"/>
          <w:bCs/>
          <w:color w:val="auto"/>
          <w:sz w:val="24"/>
          <w:highlight w:val="none"/>
          <w:lang w:eastAsia="zh-CN"/>
        </w:rPr>
      </w:pPr>
      <w:r>
        <w:rPr>
          <w:rFonts w:hint="eastAsia" w:ascii="宋体" w:hAnsi="宋体"/>
          <w:b w:val="0"/>
          <w:bCs/>
          <w:color w:val="auto"/>
          <w:sz w:val="24"/>
          <w:highlight w:val="none"/>
        </w:rPr>
        <w:t>标段1：电感耦合等离子体质谱仪(ICP-MS)1套</w:t>
      </w:r>
      <w:r>
        <w:rPr>
          <w:rFonts w:hint="eastAsia" w:ascii="宋体" w:hAnsi="宋体"/>
          <w:b w:val="0"/>
          <w:bCs/>
          <w:color w:val="auto"/>
          <w:sz w:val="24"/>
          <w:highlight w:val="none"/>
          <w:lang w:val="en-US" w:eastAsia="zh-CN"/>
        </w:rPr>
        <w:t>、</w:t>
      </w:r>
      <w:r>
        <w:rPr>
          <w:rFonts w:hint="eastAsia" w:ascii="宋体" w:hAnsi="宋体"/>
          <w:b w:val="0"/>
          <w:bCs/>
          <w:color w:val="auto"/>
          <w:sz w:val="24"/>
          <w:highlight w:val="none"/>
        </w:rPr>
        <w:t>原子吸收光谱仪1套</w:t>
      </w:r>
      <w:r>
        <w:rPr>
          <w:rFonts w:hint="eastAsia" w:ascii="宋体" w:hAnsi="宋体"/>
          <w:b w:val="0"/>
          <w:bCs/>
          <w:color w:val="auto"/>
          <w:sz w:val="24"/>
          <w:highlight w:val="none"/>
          <w:lang w:eastAsia="zh-CN"/>
        </w:rPr>
        <w:t>、</w:t>
      </w:r>
      <w:r>
        <w:rPr>
          <w:rFonts w:hint="eastAsia" w:ascii="宋体" w:hAnsi="宋体"/>
          <w:b w:val="0"/>
          <w:bCs/>
          <w:color w:val="auto"/>
          <w:sz w:val="24"/>
          <w:highlight w:val="none"/>
        </w:rPr>
        <w:t>多功能衍生系统（光衍生+化学衍生）1套</w:t>
      </w:r>
      <w:r>
        <w:rPr>
          <w:rFonts w:hint="eastAsia" w:ascii="宋体" w:hAnsi="宋体"/>
          <w:b w:val="0"/>
          <w:bCs/>
          <w:color w:val="auto"/>
          <w:sz w:val="24"/>
          <w:highlight w:val="none"/>
          <w:lang w:eastAsia="zh-CN"/>
        </w:rPr>
        <w:t>、</w:t>
      </w:r>
      <w:r>
        <w:rPr>
          <w:rFonts w:hint="eastAsia" w:ascii="宋体" w:hAnsi="宋体"/>
          <w:b w:val="0"/>
          <w:bCs/>
          <w:color w:val="auto"/>
          <w:sz w:val="24"/>
          <w:highlight w:val="none"/>
        </w:rPr>
        <w:t>原子荧光光度计1套</w:t>
      </w:r>
      <w:r>
        <w:rPr>
          <w:rFonts w:hint="eastAsia" w:ascii="宋体" w:hAnsi="宋体"/>
          <w:b w:val="0"/>
          <w:bCs/>
          <w:color w:val="auto"/>
          <w:sz w:val="24"/>
          <w:highlight w:val="none"/>
          <w:lang w:eastAsia="zh-CN"/>
        </w:rPr>
        <w:t>、</w:t>
      </w:r>
      <w:r>
        <w:rPr>
          <w:rFonts w:hint="eastAsia" w:ascii="宋体" w:hAnsi="宋体"/>
          <w:b w:val="0"/>
          <w:bCs/>
          <w:color w:val="auto"/>
          <w:sz w:val="24"/>
          <w:highlight w:val="none"/>
        </w:rPr>
        <w:t>超高压液相色谱仪（荧光+二极管）1套</w:t>
      </w:r>
      <w:r>
        <w:rPr>
          <w:rFonts w:hint="eastAsia" w:ascii="宋体" w:hAnsi="宋体"/>
          <w:b w:val="0"/>
          <w:bCs/>
          <w:color w:val="auto"/>
          <w:sz w:val="24"/>
          <w:highlight w:val="none"/>
          <w:lang w:eastAsia="zh-CN"/>
        </w:rPr>
        <w:t>；</w:t>
      </w:r>
    </w:p>
    <w:p>
      <w:pPr>
        <w:spacing w:line="400" w:lineRule="exact"/>
        <w:ind w:firstLine="480" w:firstLineChars="200"/>
        <w:rPr>
          <w:rFonts w:hint="eastAsia" w:ascii="宋体" w:hAnsi="宋体" w:eastAsia="宋体"/>
          <w:b w:val="0"/>
          <w:bCs/>
          <w:color w:val="auto"/>
          <w:sz w:val="24"/>
          <w:highlight w:val="none"/>
          <w:lang w:eastAsia="zh-CN"/>
        </w:rPr>
      </w:pPr>
      <w:r>
        <w:rPr>
          <w:rFonts w:hint="eastAsia" w:ascii="宋体" w:hAnsi="宋体"/>
          <w:b w:val="0"/>
          <w:bCs/>
          <w:color w:val="auto"/>
          <w:sz w:val="24"/>
          <w:highlight w:val="none"/>
        </w:rPr>
        <w:t>标段2：紫外可见分光光度计1套</w:t>
      </w:r>
      <w:r>
        <w:rPr>
          <w:rFonts w:hint="eastAsia" w:ascii="宋体" w:hAnsi="宋体"/>
          <w:b w:val="0"/>
          <w:bCs/>
          <w:color w:val="auto"/>
          <w:sz w:val="24"/>
          <w:highlight w:val="none"/>
          <w:lang w:eastAsia="zh-CN"/>
        </w:rPr>
        <w:t>、</w:t>
      </w:r>
      <w:r>
        <w:rPr>
          <w:rFonts w:hint="eastAsia" w:ascii="宋体" w:hAnsi="宋体"/>
          <w:b w:val="0"/>
          <w:bCs/>
          <w:color w:val="auto"/>
          <w:sz w:val="24"/>
          <w:highlight w:val="none"/>
        </w:rPr>
        <w:t>电热鼓风干燥箱2台</w:t>
      </w:r>
      <w:r>
        <w:rPr>
          <w:rFonts w:hint="eastAsia" w:ascii="宋体" w:hAnsi="宋体"/>
          <w:b w:val="0"/>
          <w:bCs/>
          <w:color w:val="auto"/>
          <w:sz w:val="24"/>
          <w:highlight w:val="none"/>
          <w:lang w:eastAsia="zh-CN"/>
        </w:rPr>
        <w:t>、</w:t>
      </w:r>
      <w:r>
        <w:rPr>
          <w:rFonts w:hint="eastAsia" w:ascii="宋体" w:hAnsi="宋体"/>
          <w:b w:val="0"/>
          <w:bCs/>
          <w:color w:val="auto"/>
          <w:sz w:val="24"/>
          <w:highlight w:val="none"/>
        </w:rPr>
        <w:t>真空干燥箱（真空度数显控制）1台</w:t>
      </w:r>
      <w:r>
        <w:rPr>
          <w:rFonts w:hint="eastAsia" w:ascii="宋体" w:hAnsi="宋体"/>
          <w:b w:val="0"/>
          <w:bCs/>
          <w:color w:val="auto"/>
          <w:sz w:val="24"/>
          <w:highlight w:val="none"/>
          <w:lang w:eastAsia="zh-CN"/>
        </w:rPr>
        <w:t>、</w:t>
      </w:r>
      <w:r>
        <w:rPr>
          <w:rFonts w:hint="eastAsia" w:ascii="宋体" w:hAnsi="宋体"/>
          <w:b w:val="0"/>
          <w:bCs/>
          <w:color w:val="auto"/>
          <w:sz w:val="24"/>
          <w:highlight w:val="none"/>
        </w:rPr>
        <w:t>暗箱式三用紫外分析仪1台</w:t>
      </w:r>
      <w:r>
        <w:rPr>
          <w:rFonts w:hint="eastAsia" w:ascii="宋体" w:hAnsi="宋体"/>
          <w:b w:val="0"/>
          <w:bCs/>
          <w:color w:val="auto"/>
          <w:sz w:val="24"/>
          <w:highlight w:val="none"/>
          <w:lang w:eastAsia="zh-CN"/>
        </w:rPr>
        <w:t>、</w:t>
      </w:r>
      <w:r>
        <w:rPr>
          <w:rFonts w:hint="eastAsia" w:ascii="宋体" w:hAnsi="宋体"/>
          <w:b w:val="0"/>
          <w:bCs/>
          <w:color w:val="auto"/>
          <w:sz w:val="24"/>
          <w:highlight w:val="none"/>
        </w:rPr>
        <w:t>全自动均质器1套</w:t>
      </w:r>
      <w:r>
        <w:rPr>
          <w:rFonts w:hint="eastAsia" w:ascii="宋体" w:hAnsi="宋体"/>
          <w:b w:val="0"/>
          <w:bCs/>
          <w:color w:val="auto"/>
          <w:sz w:val="24"/>
          <w:highlight w:val="none"/>
          <w:lang w:eastAsia="zh-CN"/>
        </w:rPr>
        <w:t>、</w:t>
      </w:r>
      <w:r>
        <w:rPr>
          <w:rFonts w:hint="eastAsia" w:ascii="宋体" w:hAnsi="宋体"/>
          <w:b w:val="0"/>
          <w:bCs/>
          <w:color w:val="auto"/>
          <w:sz w:val="24"/>
          <w:highlight w:val="none"/>
        </w:rPr>
        <w:t>高通量真空平行浓缩仪1套</w:t>
      </w:r>
      <w:r>
        <w:rPr>
          <w:rFonts w:hint="eastAsia" w:ascii="宋体" w:hAnsi="宋体"/>
          <w:b w:val="0"/>
          <w:bCs/>
          <w:color w:val="auto"/>
          <w:sz w:val="24"/>
          <w:highlight w:val="none"/>
          <w:lang w:eastAsia="zh-CN"/>
        </w:rPr>
        <w:t>、</w:t>
      </w:r>
      <w:r>
        <w:rPr>
          <w:rFonts w:hint="eastAsia" w:ascii="宋体" w:hAnsi="宋体"/>
          <w:b w:val="0"/>
          <w:bCs/>
          <w:color w:val="auto"/>
          <w:sz w:val="24"/>
          <w:highlight w:val="none"/>
        </w:rPr>
        <w:t>全自动石墨消解仪1套</w:t>
      </w:r>
      <w:r>
        <w:rPr>
          <w:rFonts w:hint="eastAsia" w:ascii="宋体" w:hAnsi="宋体"/>
          <w:b w:val="0"/>
          <w:bCs/>
          <w:color w:val="auto"/>
          <w:sz w:val="24"/>
          <w:highlight w:val="none"/>
          <w:lang w:eastAsia="zh-CN"/>
        </w:rPr>
        <w:t>、</w:t>
      </w:r>
      <w:r>
        <w:rPr>
          <w:rFonts w:hint="eastAsia" w:ascii="宋体" w:hAnsi="宋体"/>
          <w:b w:val="0"/>
          <w:bCs/>
          <w:color w:val="auto"/>
          <w:sz w:val="24"/>
          <w:highlight w:val="none"/>
        </w:rPr>
        <w:t>全自动实验室玻璃器皿清洗机1套</w:t>
      </w:r>
      <w:r>
        <w:rPr>
          <w:rFonts w:hint="eastAsia" w:ascii="宋体" w:hAnsi="宋体"/>
          <w:b w:val="0"/>
          <w:bCs/>
          <w:color w:val="auto"/>
          <w:sz w:val="24"/>
          <w:highlight w:val="none"/>
          <w:lang w:eastAsia="zh-CN"/>
        </w:rPr>
        <w:t>、</w:t>
      </w:r>
      <w:r>
        <w:rPr>
          <w:rFonts w:hint="eastAsia" w:ascii="宋体" w:hAnsi="宋体"/>
          <w:b w:val="0"/>
          <w:bCs/>
          <w:color w:val="auto"/>
          <w:sz w:val="24"/>
          <w:highlight w:val="none"/>
        </w:rPr>
        <w:t>高压灭菌锅1台</w:t>
      </w:r>
      <w:r>
        <w:rPr>
          <w:rFonts w:hint="eastAsia" w:ascii="宋体" w:hAnsi="宋体"/>
          <w:b w:val="0"/>
          <w:bCs/>
          <w:color w:val="auto"/>
          <w:sz w:val="24"/>
          <w:highlight w:val="none"/>
          <w:lang w:eastAsia="zh-CN"/>
        </w:rPr>
        <w:t>、</w:t>
      </w:r>
      <w:r>
        <w:rPr>
          <w:rFonts w:hint="eastAsia" w:ascii="宋体" w:hAnsi="宋体"/>
          <w:b w:val="0"/>
          <w:bCs/>
          <w:color w:val="auto"/>
          <w:sz w:val="24"/>
          <w:highlight w:val="none"/>
        </w:rPr>
        <w:t>二氧化硫蒸馏仪1套</w:t>
      </w:r>
      <w:r>
        <w:rPr>
          <w:rFonts w:hint="eastAsia" w:ascii="宋体" w:hAnsi="宋体"/>
          <w:b w:val="0"/>
          <w:bCs/>
          <w:color w:val="auto"/>
          <w:sz w:val="24"/>
          <w:highlight w:val="none"/>
          <w:lang w:eastAsia="zh-CN"/>
        </w:rPr>
        <w:t>、</w:t>
      </w:r>
      <w:r>
        <w:rPr>
          <w:rFonts w:hint="eastAsia" w:ascii="宋体" w:hAnsi="宋体"/>
          <w:b w:val="0"/>
          <w:bCs/>
          <w:color w:val="auto"/>
          <w:sz w:val="24"/>
          <w:highlight w:val="none"/>
        </w:rPr>
        <w:t>重量稀释仪1套</w:t>
      </w:r>
      <w:r>
        <w:rPr>
          <w:rFonts w:hint="eastAsia" w:ascii="宋体" w:hAnsi="宋体"/>
          <w:b w:val="0"/>
          <w:bCs/>
          <w:color w:val="auto"/>
          <w:sz w:val="24"/>
          <w:highlight w:val="none"/>
          <w:lang w:eastAsia="zh-CN"/>
        </w:rPr>
        <w:t>、</w:t>
      </w:r>
      <w:r>
        <w:rPr>
          <w:rFonts w:hint="eastAsia" w:ascii="宋体" w:hAnsi="宋体"/>
          <w:b w:val="0"/>
          <w:bCs/>
          <w:color w:val="auto"/>
          <w:sz w:val="24"/>
          <w:highlight w:val="none"/>
        </w:rPr>
        <w:t>电子天平（百分之一）1套</w:t>
      </w:r>
      <w:r>
        <w:rPr>
          <w:rFonts w:hint="eastAsia" w:ascii="宋体" w:hAnsi="宋体"/>
          <w:b w:val="0"/>
          <w:bCs/>
          <w:color w:val="auto"/>
          <w:sz w:val="24"/>
          <w:highlight w:val="none"/>
          <w:lang w:eastAsia="zh-CN"/>
        </w:rPr>
        <w:t>、</w:t>
      </w:r>
      <w:r>
        <w:rPr>
          <w:rFonts w:hint="eastAsia" w:ascii="宋体" w:hAnsi="宋体"/>
          <w:b w:val="0"/>
          <w:bCs/>
          <w:color w:val="auto"/>
          <w:sz w:val="24"/>
          <w:highlight w:val="none"/>
        </w:rPr>
        <w:t>电子天平（大量程）1台</w:t>
      </w:r>
      <w:r>
        <w:rPr>
          <w:rFonts w:hint="eastAsia" w:ascii="宋体" w:hAnsi="宋体"/>
          <w:b w:val="0"/>
          <w:bCs/>
          <w:color w:val="auto"/>
          <w:sz w:val="24"/>
          <w:highlight w:val="none"/>
          <w:lang w:eastAsia="zh-CN"/>
        </w:rPr>
        <w:t>、</w:t>
      </w:r>
      <w:r>
        <w:rPr>
          <w:rFonts w:hint="eastAsia" w:ascii="宋体" w:hAnsi="宋体"/>
          <w:b w:val="0"/>
          <w:bCs/>
          <w:color w:val="auto"/>
          <w:sz w:val="24"/>
          <w:highlight w:val="none"/>
        </w:rPr>
        <w:t>电子天平（万分之一）1套</w:t>
      </w:r>
      <w:r>
        <w:rPr>
          <w:rFonts w:hint="eastAsia" w:ascii="宋体" w:hAnsi="宋体"/>
          <w:b w:val="0"/>
          <w:bCs/>
          <w:color w:val="auto"/>
          <w:sz w:val="24"/>
          <w:highlight w:val="none"/>
          <w:lang w:eastAsia="zh-CN"/>
        </w:rPr>
        <w:t>、</w:t>
      </w:r>
      <w:r>
        <w:rPr>
          <w:rFonts w:hint="eastAsia" w:ascii="宋体" w:hAnsi="宋体"/>
          <w:b w:val="0"/>
          <w:bCs/>
          <w:color w:val="auto"/>
          <w:sz w:val="24"/>
          <w:highlight w:val="none"/>
        </w:rPr>
        <w:t>电子天平（十万分之一，双量程）1套</w:t>
      </w:r>
      <w:r>
        <w:rPr>
          <w:rFonts w:hint="eastAsia" w:ascii="宋体" w:hAnsi="宋体"/>
          <w:b w:val="0"/>
          <w:bCs/>
          <w:color w:val="auto"/>
          <w:sz w:val="24"/>
          <w:highlight w:val="none"/>
          <w:lang w:eastAsia="zh-CN"/>
        </w:rPr>
        <w:t>、</w:t>
      </w:r>
      <w:r>
        <w:rPr>
          <w:rFonts w:hint="eastAsia" w:ascii="宋体" w:hAnsi="宋体"/>
          <w:b w:val="0"/>
          <w:bCs/>
          <w:color w:val="auto"/>
          <w:sz w:val="24"/>
          <w:highlight w:val="none"/>
        </w:rPr>
        <w:t>折光仪1套</w:t>
      </w:r>
      <w:r>
        <w:rPr>
          <w:rFonts w:hint="eastAsia" w:ascii="宋体" w:hAnsi="宋体"/>
          <w:b w:val="0"/>
          <w:bCs/>
          <w:color w:val="auto"/>
          <w:sz w:val="24"/>
          <w:highlight w:val="none"/>
          <w:lang w:eastAsia="zh-CN"/>
        </w:rPr>
        <w:t>、</w:t>
      </w:r>
      <w:r>
        <w:rPr>
          <w:rFonts w:hint="eastAsia" w:ascii="宋体" w:hAnsi="宋体"/>
          <w:b w:val="0"/>
          <w:bCs/>
          <w:color w:val="auto"/>
          <w:sz w:val="24"/>
          <w:highlight w:val="none"/>
        </w:rPr>
        <w:t>熔点测定仪1套</w:t>
      </w:r>
      <w:r>
        <w:rPr>
          <w:rFonts w:hint="eastAsia" w:ascii="宋体" w:hAnsi="宋体"/>
          <w:b w:val="0"/>
          <w:bCs/>
          <w:color w:val="auto"/>
          <w:sz w:val="24"/>
          <w:highlight w:val="none"/>
          <w:lang w:eastAsia="zh-CN"/>
        </w:rPr>
        <w:t>、</w:t>
      </w:r>
      <w:r>
        <w:rPr>
          <w:rFonts w:hint="eastAsia" w:ascii="宋体" w:hAnsi="宋体"/>
          <w:b w:val="0"/>
          <w:bCs/>
          <w:color w:val="auto"/>
          <w:sz w:val="24"/>
          <w:highlight w:val="none"/>
        </w:rPr>
        <w:t>手持pH计1</w:t>
      </w:r>
      <w:r>
        <w:rPr>
          <w:rFonts w:hint="eastAsia" w:ascii="宋体" w:hAnsi="宋体"/>
          <w:b w:val="0"/>
          <w:bCs/>
          <w:color w:val="auto"/>
          <w:sz w:val="24"/>
          <w:highlight w:val="none"/>
          <w:lang w:eastAsia="zh-CN"/>
        </w:rPr>
        <w:t>、</w:t>
      </w:r>
      <w:r>
        <w:rPr>
          <w:rFonts w:hint="eastAsia" w:ascii="宋体" w:hAnsi="宋体"/>
          <w:b w:val="0"/>
          <w:bCs/>
          <w:color w:val="auto"/>
          <w:sz w:val="24"/>
          <w:highlight w:val="none"/>
        </w:rPr>
        <w:t>纯水超纯水一体机2套</w:t>
      </w:r>
      <w:r>
        <w:rPr>
          <w:rFonts w:hint="eastAsia" w:ascii="宋体" w:hAnsi="宋体"/>
          <w:b w:val="0"/>
          <w:bCs/>
          <w:color w:val="auto"/>
          <w:sz w:val="24"/>
          <w:highlight w:val="none"/>
          <w:lang w:eastAsia="zh-CN"/>
        </w:rPr>
        <w:t>、</w:t>
      </w:r>
      <w:r>
        <w:rPr>
          <w:rFonts w:hint="eastAsia" w:ascii="宋体" w:hAnsi="宋体"/>
          <w:b w:val="0"/>
          <w:bCs/>
          <w:color w:val="auto"/>
          <w:sz w:val="24"/>
          <w:highlight w:val="none"/>
        </w:rPr>
        <w:t>刀式研磨仪1套</w:t>
      </w:r>
      <w:r>
        <w:rPr>
          <w:rFonts w:hint="eastAsia" w:ascii="宋体" w:hAnsi="宋体"/>
          <w:b w:val="0"/>
          <w:bCs/>
          <w:color w:val="auto"/>
          <w:sz w:val="24"/>
          <w:highlight w:val="none"/>
          <w:lang w:eastAsia="zh-CN"/>
        </w:rPr>
        <w:t>、</w:t>
      </w:r>
      <w:r>
        <w:rPr>
          <w:rFonts w:hint="eastAsia" w:ascii="宋体" w:hAnsi="宋体"/>
          <w:b w:val="0"/>
          <w:bCs/>
          <w:color w:val="auto"/>
          <w:sz w:val="24"/>
          <w:highlight w:val="none"/>
        </w:rPr>
        <w:t>马弗炉1台</w:t>
      </w:r>
      <w:r>
        <w:rPr>
          <w:rFonts w:hint="eastAsia" w:ascii="宋体" w:hAnsi="宋体"/>
          <w:b w:val="0"/>
          <w:bCs/>
          <w:color w:val="auto"/>
          <w:sz w:val="24"/>
          <w:highlight w:val="none"/>
          <w:lang w:eastAsia="zh-CN"/>
        </w:rPr>
        <w:t>、</w:t>
      </w:r>
      <w:r>
        <w:rPr>
          <w:rFonts w:hint="eastAsia" w:ascii="宋体" w:hAnsi="宋体"/>
          <w:b w:val="0"/>
          <w:bCs/>
          <w:color w:val="auto"/>
          <w:sz w:val="24"/>
          <w:highlight w:val="none"/>
        </w:rPr>
        <w:t>精密恒温水浴锅1台</w:t>
      </w:r>
      <w:r>
        <w:rPr>
          <w:rFonts w:hint="eastAsia" w:ascii="宋体" w:hAnsi="宋体"/>
          <w:b w:val="0"/>
          <w:bCs/>
          <w:color w:val="auto"/>
          <w:sz w:val="24"/>
          <w:highlight w:val="none"/>
          <w:lang w:eastAsia="zh-CN"/>
        </w:rPr>
        <w:t>、</w:t>
      </w:r>
      <w:r>
        <w:rPr>
          <w:rFonts w:hint="eastAsia" w:ascii="宋体" w:hAnsi="宋体"/>
          <w:b w:val="0"/>
          <w:bCs/>
          <w:color w:val="auto"/>
          <w:sz w:val="24"/>
          <w:highlight w:val="none"/>
        </w:rPr>
        <w:t>手动单道可调移液器5支</w:t>
      </w:r>
      <w:r>
        <w:rPr>
          <w:rFonts w:hint="eastAsia" w:ascii="宋体" w:hAnsi="宋体"/>
          <w:b w:val="0"/>
          <w:bCs/>
          <w:color w:val="auto"/>
          <w:sz w:val="24"/>
          <w:highlight w:val="none"/>
          <w:lang w:eastAsia="zh-CN"/>
        </w:rPr>
        <w:t>、</w:t>
      </w:r>
      <w:r>
        <w:rPr>
          <w:rFonts w:hint="eastAsia" w:ascii="宋体" w:hAnsi="宋体"/>
          <w:b w:val="0"/>
          <w:bCs/>
          <w:color w:val="auto"/>
          <w:sz w:val="24"/>
          <w:highlight w:val="none"/>
          <w:lang w:val="en-US" w:eastAsia="zh-CN"/>
        </w:rPr>
        <w:t>手动单道可调移液器</w:t>
      </w:r>
      <w:r>
        <w:rPr>
          <w:rFonts w:hint="eastAsia" w:ascii="宋体" w:hAnsi="宋体"/>
          <w:b w:val="0"/>
          <w:bCs/>
          <w:color w:val="auto"/>
          <w:sz w:val="24"/>
          <w:highlight w:val="none"/>
        </w:rPr>
        <w:t>15支</w:t>
      </w:r>
      <w:r>
        <w:rPr>
          <w:rFonts w:hint="eastAsia" w:ascii="宋体" w:hAnsi="宋体"/>
          <w:b w:val="0"/>
          <w:bCs/>
          <w:color w:val="auto"/>
          <w:sz w:val="24"/>
          <w:highlight w:val="none"/>
          <w:lang w:eastAsia="zh-CN"/>
        </w:rPr>
        <w:t>、</w:t>
      </w:r>
      <w:r>
        <w:rPr>
          <w:rFonts w:hint="eastAsia" w:ascii="宋体" w:hAnsi="宋体"/>
          <w:b w:val="0"/>
          <w:bCs/>
          <w:color w:val="auto"/>
          <w:sz w:val="24"/>
          <w:highlight w:val="none"/>
        </w:rPr>
        <w:t>电动单道可调移液器20支</w:t>
      </w:r>
      <w:r>
        <w:rPr>
          <w:rFonts w:hint="eastAsia" w:ascii="宋体" w:hAnsi="宋体"/>
          <w:b w:val="0"/>
          <w:bCs/>
          <w:color w:val="auto"/>
          <w:sz w:val="24"/>
          <w:highlight w:val="none"/>
          <w:lang w:eastAsia="zh-CN"/>
        </w:rPr>
        <w:t>、</w:t>
      </w:r>
      <w:r>
        <w:rPr>
          <w:rFonts w:hint="eastAsia" w:ascii="宋体" w:hAnsi="宋体"/>
          <w:b w:val="0"/>
          <w:bCs/>
          <w:color w:val="auto"/>
          <w:sz w:val="24"/>
          <w:highlight w:val="none"/>
        </w:rPr>
        <w:t>数字可调瓶口分液器10台（25ml、50ml各5台）</w:t>
      </w:r>
      <w:r>
        <w:rPr>
          <w:rFonts w:hint="eastAsia" w:ascii="宋体" w:hAnsi="宋体"/>
          <w:b w:val="0"/>
          <w:bCs/>
          <w:color w:val="auto"/>
          <w:sz w:val="24"/>
          <w:highlight w:val="none"/>
          <w:lang w:eastAsia="zh-CN"/>
        </w:rPr>
        <w:t>、数字可调瓶口分液器</w:t>
      </w:r>
      <w:r>
        <w:rPr>
          <w:rFonts w:hint="eastAsia" w:ascii="宋体" w:hAnsi="宋体"/>
          <w:b w:val="0"/>
          <w:bCs/>
          <w:color w:val="auto"/>
          <w:sz w:val="24"/>
          <w:highlight w:val="none"/>
        </w:rPr>
        <w:t>10台（25ml、50ml各5台）</w:t>
      </w:r>
      <w:r>
        <w:rPr>
          <w:rFonts w:hint="eastAsia" w:ascii="宋体" w:hAnsi="宋体"/>
          <w:b w:val="0"/>
          <w:bCs/>
          <w:color w:val="auto"/>
          <w:sz w:val="24"/>
          <w:highlight w:val="none"/>
          <w:lang w:eastAsia="zh-CN"/>
        </w:rPr>
        <w:t>、</w:t>
      </w:r>
      <w:r>
        <w:rPr>
          <w:rFonts w:hint="eastAsia" w:ascii="宋体" w:hAnsi="宋体"/>
          <w:b w:val="0"/>
          <w:bCs/>
          <w:color w:val="auto"/>
          <w:sz w:val="24"/>
          <w:highlight w:val="none"/>
        </w:rPr>
        <w:t>平板涡旋振荡器1套</w:t>
      </w:r>
      <w:r>
        <w:rPr>
          <w:rFonts w:hint="eastAsia" w:ascii="宋体" w:hAnsi="宋体"/>
          <w:b w:val="0"/>
          <w:bCs/>
          <w:color w:val="auto"/>
          <w:sz w:val="24"/>
          <w:highlight w:val="none"/>
          <w:lang w:eastAsia="zh-CN"/>
        </w:rPr>
        <w:t>、</w:t>
      </w:r>
      <w:r>
        <w:rPr>
          <w:rFonts w:hint="eastAsia" w:ascii="宋体" w:hAnsi="宋体"/>
          <w:b w:val="0"/>
          <w:bCs/>
          <w:color w:val="auto"/>
          <w:sz w:val="24"/>
          <w:highlight w:val="none"/>
        </w:rPr>
        <w:t>试管涡旋振荡器2套</w:t>
      </w:r>
      <w:r>
        <w:rPr>
          <w:rFonts w:hint="eastAsia" w:ascii="宋体" w:hAnsi="宋体"/>
          <w:b w:val="0"/>
          <w:bCs/>
          <w:color w:val="auto"/>
          <w:sz w:val="24"/>
          <w:highlight w:val="none"/>
          <w:lang w:eastAsia="zh-CN"/>
        </w:rPr>
        <w:t>、</w:t>
      </w:r>
      <w:r>
        <w:rPr>
          <w:rFonts w:hint="eastAsia" w:ascii="宋体" w:hAnsi="宋体"/>
          <w:b w:val="0"/>
          <w:bCs/>
          <w:color w:val="auto"/>
          <w:sz w:val="24"/>
          <w:highlight w:val="none"/>
        </w:rPr>
        <w:t>冷冻离心机1套</w:t>
      </w:r>
      <w:r>
        <w:rPr>
          <w:rFonts w:hint="eastAsia" w:ascii="宋体" w:hAnsi="宋体"/>
          <w:b w:val="0"/>
          <w:bCs/>
          <w:color w:val="auto"/>
          <w:sz w:val="24"/>
          <w:highlight w:val="none"/>
          <w:lang w:eastAsia="zh-CN"/>
        </w:rPr>
        <w:t>、</w:t>
      </w:r>
      <w:r>
        <w:rPr>
          <w:rFonts w:hint="eastAsia" w:ascii="宋体" w:hAnsi="宋体"/>
          <w:b w:val="0"/>
          <w:bCs/>
          <w:color w:val="auto"/>
          <w:sz w:val="24"/>
          <w:highlight w:val="none"/>
        </w:rPr>
        <w:t>实验耗材1批</w:t>
      </w:r>
      <w:r>
        <w:rPr>
          <w:rFonts w:hint="eastAsia" w:ascii="宋体" w:hAnsi="宋体"/>
          <w:b w:val="0"/>
          <w:bCs/>
          <w:color w:val="auto"/>
          <w:sz w:val="24"/>
          <w:highlight w:val="none"/>
          <w:lang w:eastAsia="zh-CN"/>
        </w:rPr>
        <w:t>；</w:t>
      </w:r>
    </w:p>
    <w:p>
      <w:pPr>
        <w:spacing w:line="400" w:lineRule="exact"/>
        <w:ind w:firstLine="480" w:firstLineChars="200"/>
        <w:rPr>
          <w:rFonts w:hint="eastAsia" w:ascii="宋体" w:hAnsi="宋体" w:eastAsia="宋体"/>
          <w:b w:val="0"/>
          <w:bCs/>
          <w:color w:val="auto"/>
          <w:sz w:val="24"/>
          <w:highlight w:val="none"/>
          <w:lang w:eastAsia="zh-CN"/>
        </w:rPr>
      </w:pPr>
      <w:r>
        <w:rPr>
          <w:rFonts w:hint="eastAsia" w:ascii="宋体" w:hAnsi="宋体"/>
          <w:b w:val="0"/>
          <w:bCs/>
          <w:color w:val="auto"/>
          <w:sz w:val="24"/>
          <w:highlight w:val="none"/>
        </w:rPr>
        <w:t>标段3：三重四级杆气质联用仪1套</w:t>
      </w:r>
      <w:r>
        <w:rPr>
          <w:rFonts w:hint="eastAsia" w:ascii="宋体" w:hAnsi="宋体"/>
          <w:b w:val="0"/>
          <w:bCs/>
          <w:color w:val="auto"/>
          <w:sz w:val="24"/>
          <w:highlight w:val="none"/>
          <w:lang w:eastAsia="zh-CN"/>
        </w:rPr>
        <w:t>、</w:t>
      </w:r>
      <w:r>
        <w:rPr>
          <w:rFonts w:hint="eastAsia" w:ascii="宋体" w:hAnsi="宋体"/>
          <w:b w:val="0"/>
          <w:bCs/>
          <w:color w:val="auto"/>
          <w:sz w:val="24"/>
          <w:highlight w:val="none"/>
        </w:rPr>
        <w:t>全自动凯氏定氮仪（含自动进样器、消化仪）1套</w:t>
      </w:r>
      <w:r>
        <w:rPr>
          <w:rFonts w:hint="eastAsia" w:ascii="宋体" w:hAnsi="宋体"/>
          <w:b w:val="0"/>
          <w:bCs/>
          <w:color w:val="auto"/>
          <w:sz w:val="24"/>
          <w:highlight w:val="none"/>
          <w:lang w:eastAsia="zh-CN"/>
        </w:rPr>
        <w:t>、</w:t>
      </w:r>
      <w:r>
        <w:rPr>
          <w:rFonts w:hint="eastAsia" w:ascii="宋体" w:hAnsi="宋体"/>
          <w:b w:val="0"/>
          <w:bCs/>
          <w:color w:val="auto"/>
          <w:sz w:val="24"/>
          <w:highlight w:val="none"/>
        </w:rPr>
        <w:t>微波消解仪（配100套原装消解罐）1套</w:t>
      </w:r>
      <w:r>
        <w:rPr>
          <w:rFonts w:hint="eastAsia" w:ascii="宋体" w:hAnsi="宋体"/>
          <w:b w:val="0"/>
          <w:bCs/>
          <w:color w:val="auto"/>
          <w:sz w:val="24"/>
          <w:highlight w:val="none"/>
          <w:lang w:eastAsia="zh-CN"/>
        </w:rPr>
        <w:t>、</w:t>
      </w:r>
      <w:r>
        <w:rPr>
          <w:rFonts w:hint="eastAsia" w:ascii="宋体" w:hAnsi="宋体"/>
          <w:b w:val="0"/>
          <w:bCs/>
          <w:color w:val="auto"/>
          <w:sz w:val="24"/>
          <w:highlight w:val="none"/>
        </w:rPr>
        <w:t>卡尔费休水分测定仪1套</w:t>
      </w:r>
      <w:r>
        <w:rPr>
          <w:rFonts w:hint="eastAsia" w:ascii="宋体" w:hAnsi="宋体"/>
          <w:b w:val="0"/>
          <w:bCs/>
          <w:color w:val="auto"/>
          <w:sz w:val="24"/>
          <w:highlight w:val="none"/>
          <w:lang w:eastAsia="zh-CN"/>
        </w:rPr>
        <w:t>、</w:t>
      </w:r>
      <w:r>
        <w:rPr>
          <w:rFonts w:hint="eastAsia" w:ascii="宋体" w:hAnsi="宋体"/>
          <w:b w:val="0"/>
          <w:bCs/>
          <w:color w:val="auto"/>
          <w:sz w:val="24"/>
          <w:highlight w:val="none"/>
        </w:rPr>
        <w:t>A2级双人生物安全柜2套</w:t>
      </w:r>
      <w:r>
        <w:rPr>
          <w:rFonts w:hint="eastAsia" w:ascii="宋体" w:hAnsi="宋体"/>
          <w:b w:val="0"/>
          <w:bCs/>
          <w:color w:val="auto"/>
          <w:sz w:val="24"/>
          <w:highlight w:val="none"/>
          <w:lang w:eastAsia="zh-CN"/>
        </w:rPr>
        <w:t>、</w:t>
      </w:r>
      <w:r>
        <w:rPr>
          <w:rFonts w:hint="eastAsia" w:ascii="宋体" w:hAnsi="宋体"/>
          <w:b w:val="0"/>
          <w:bCs/>
          <w:color w:val="auto"/>
          <w:sz w:val="24"/>
          <w:highlight w:val="none"/>
        </w:rPr>
        <w:t>双人超净工作台2套</w:t>
      </w:r>
      <w:r>
        <w:rPr>
          <w:rFonts w:hint="eastAsia" w:ascii="宋体" w:hAnsi="宋体"/>
          <w:b w:val="0"/>
          <w:bCs/>
          <w:color w:val="auto"/>
          <w:sz w:val="24"/>
          <w:highlight w:val="none"/>
          <w:lang w:eastAsia="zh-CN"/>
        </w:rPr>
        <w:t>；</w:t>
      </w:r>
    </w:p>
    <w:p>
      <w:pPr>
        <w:spacing w:line="400" w:lineRule="exact"/>
        <w:ind w:firstLine="480" w:firstLineChars="200"/>
        <w:rPr>
          <w:rFonts w:hint="eastAsia" w:ascii="宋体" w:hAnsi="宋体" w:eastAsia="宋体"/>
          <w:b w:val="0"/>
          <w:bCs/>
          <w:color w:val="auto"/>
          <w:sz w:val="24"/>
          <w:highlight w:val="none"/>
          <w:lang w:eastAsia="zh-CN"/>
        </w:rPr>
      </w:pPr>
      <w:r>
        <w:rPr>
          <w:rFonts w:hint="eastAsia" w:ascii="宋体" w:hAnsi="宋体"/>
          <w:b w:val="0"/>
          <w:bCs/>
          <w:color w:val="auto"/>
          <w:sz w:val="24"/>
          <w:highlight w:val="none"/>
        </w:rPr>
        <w:t>标段4：三重四级杆液相质谱联用仪1套</w:t>
      </w:r>
      <w:r>
        <w:rPr>
          <w:rFonts w:hint="eastAsia" w:ascii="宋体" w:hAnsi="宋体"/>
          <w:b w:val="0"/>
          <w:bCs/>
          <w:color w:val="auto"/>
          <w:sz w:val="24"/>
          <w:highlight w:val="none"/>
          <w:lang w:eastAsia="zh-CN"/>
        </w:rPr>
        <w:t>；</w:t>
      </w:r>
    </w:p>
    <w:p>
      <w:pPr>
        <w:spacing w:line="400" w:lineRule="exact"/>
        <w:ind w:firstLine="480" w:firstLineChars="200"/>
        <w:rPr>
          <w:rFonts w:hint="eastAsia" w:ascii="宋体" w:hAnsi="宋体"/>
          <w:b w:val="0"/>
          <w:bCs/>
          <w:color w:val="auto"/>
          <w:sz w:val="24"/>
          <w:highlight w:val="none"/>
          <w:lang w:eastAsia="zh-CN"/>
        </w:rPr>
      </w:pPr>
      <w:r>
        <w:rPr>
          <w:rFonts w:hint="eastAsia" w:ascii="宋体" w:hAnsi="宋体"/>
          <w:b w:val="0"/>
          <w:bCs/>
          <w:color w:val="auto"/>
          <w:sz w:val="24"/>
          <w:highlight w:val="none"/>
        </w:rPr>
        <w:t>标段5：旋转蒸发仪1套</w:t>
      </w:r>
      <w:r>
        <w:rPr>
          <w:rFonts w:hint="eastAsia" w:ascii="宋体" w:hAnsi="宋体"/>
          <w:b w:val="0"/>
          <w:bCs/>
          <w:color w:val="auto"/>
          <w:sz w:val="24"/>
          <w:highlight w:val="none"/>
          <w:lang w:eastAsia="zh-CN"/>
        </w:rPr>
        <w:t>、</w:t>
      </w:r>
      <w:r>
        <w:rPr>
          <w:rFonts w:hint="eastAsia" w:ascii="宋体" w:hAnsi="宋体"/>
          <w:b w:val="0"/>
          <w:bCs/>
          <w:color w:val="auto"/>
          <w:sz w:val="24"/>
          <w:highlight w:val="none"/>
        </w:rPr>
        <w:t>气味分析系统（三合一进样器+嗅辩仪）1套</w:t>
      </w:r>
      <w:r>
        <w:rPr>
          <w:rFonts w:hint="eastAsia" w:ascii="宋体" w:hAnsi="宋体"/>
          <w:b w:val="0"/>
          <w:bCs/>
          <w:color w:val="auto"/>
          <w:sz w:val="24"/>
          <w:highlight w:val="none"/>
          <w:lang w:eastAsia="zh-CN"/>
        </w:rPr>
        <w:t>、</w:t>
      </w:r>
      <w:r>
        <w:rPr>
          <w:rFonts w:hint="eastAsia" w:ascii="宋体" w:hAnsi="宋体"/>
          <w:b w:val="0"/>
          <w:bCs/>
          <w:color w:val="auto"/>
          <w:sz w:val="24"/>
          <w:highlight w:val="none"/>
        </w:rPr>
        <w:t>风味分析多功能平台（六合一进样器+嗅辩仪）1套</w:t>
      </w:r>
      <w:r>
        <w:rPr>
          <w:rFonts w:hint="eastAsia" w:ascii="宋体" w:hAnsi="宋体"/>
          <w:b w:val="0"/>
          <w:bCs/>
          <w:color w:val="auto"/>
          <w:sz w:val="24"/>
          <w:highlight w:val="none"/>
          <w:lang w:eastAsia="zh-CN"/>
        </w:rPr>
        <w:t>、</w:t>
      </w:r>
      <w:r>
        <w:rPr>
          <w:rFonts w:hint="eastAsia" w:ascii="宋体" w:hAnsi="宋体"/>
          <w:b w:val="0"/>
          <w:bCs/>
          <w:color w:val="auto"/>
          <w:sz w:val="24"/>
          <w:highlight w:val="none"/>
        </w:rPr>
        <w:t>全自动氮吹浓缩仪（配大流量氮气发生器）1套</w:t>
      </w:r>
      <w:r>
        <w:rPr>
          <w:rFonts w:hint="eastAsia" w:ascii="宋体" w:hAnsi="宋体"/>
          <w:b w:val="0"/>
          <w:bCs/>
          <w:color w:val="auto"/>
          <w:sz w:val="24"/>
          <w:highlight w:val="none"/>
          <w:lang w:eastAsia="zh-CN"/>
        </w:rPr>
        <w:t>、</w:t>
      </w:r>
      <w:r>
        <w:rPr>
          <w:rFonts w:hint="eastAsia" w:ascii="宋体" w:hAnsi="宋体"/>
          <w:b w:val="0"/>
          <w:bCs/>
          <w:color w:val="auto"/>
          <w:sz w:val="24"/>
          <w:highlight w:val="none"/>
        </w:rPr>
        <w:t>凯式蒸馏仪1套</w:t>
      </w:r>
      <w:r>
        <w:rPr>
          <w:rFonts w:hint="eastAsia" w:ascii="宋体" w:hAnsi="宋体"/>
          <w:b w:val="0"/>
          <w:bCs/>
          <w:color w:val="auto"/>
          <w:sz w:val="24"/>
          <w:highlight w:val="none"/>
          <w:lang w:eastAsia="zh-CN"/>
        </w:rPr>
        <w:t>、</w:t>
      </w:r>
      <w:r>
        <w:rPr>
          <w:rFonts w:hint="eastAsia" w:ascii="宋体" w:hAnsi="宋体"/>
          <w:b w:val="0"/>
          <w:bCs/>
          <w:color w:val="auto"/>
          <w:sz w:val="24"/>
          <w:highlight w:val="none"/>
        </w:rPr>
        <w:t>振动筛分仪（配分样器）1套</w:t>
      </w:r>
      <w:r>
        <w:rPr>
          <w:rFonts w:hint="eastAsia" w:ascii="宋体" w:hAnsi="宋体"/>
          <w:b w:val="0"/>
          <w:bCs/>
          <w:color w:val="auto"/>
          <w:sz w:val="24"/>
          <w:highlight w:val="none"/>
          <w:lang w:eastAsia="zh-CN"/>
        </w:rPr>
        <w:t>、</w:t>
      </w:r>
      <w:r>
        <w:rPr>
          <w:rFonts w:hint="eastAsia" w:ascii="宋体" w:hAnsi="宋体"/>
          <w:b w:val="0"/>
          <w:bCs/>
          <w:color w:val="auto"/>
          <w:sz w:val="24"/>
          <w:highlight w:val="none"/>
        </w:rPr>
        <w:t>茶叶审评杯碗80套</w:t>
      </w:r>
      <w:r>
        <w:rPr>
          <w:rFonts w:hint="eastAsia" w:ascii="宋体" w:hAnsi="宋体"/>
          <w:b w:val="0"/>
          <w:bCs/>
          <w:color w:val="auto"/>
          <w:sz w:val="24"/>
          <w:highlight w:val="none"/>
          <w:lang w:eastAsia="zh-CN"/>
        </w:rPr>
        <w:t>。</w:t>
      </w:r>
    </w:p>
    <w:p>
      <w:pPr>
        <w:pStyle w:val="2"/>
        <w:ind w:left="0" w:leftChars="0" w:firstLine="480" w:firstLineChars="200"/>
        <w:rPr>
          <w:rFonts w:hint="eastAsia"/>
          <w:color w:val="auto"/>
          <w:highlight w:val="none"/>
          <w:lang w:eastAsia="zh-CN"/>
        </w:rPr>
      </w:pPr>
      <w:r>
        <w:rPr>
          <w:rFonts w:hint="eastAsia" w:hAnsi="宋体"/>
          <w:b w:val="0"/>
          <w:bCs/>
          <w:color w:val="auto"/>
          <w:sz w:val="24"/>
          <w:highlight w:val="none"/>
          <w:lang w:eastAsia="zh-CN"/>
        </w:rPr>
        <w:t>详见招标文件第二章招标项目采购需求表。</w:t>
      </w:r>
    </w:p>
    <w:p>
      <w:pPr>
        <w:spacing w:line="400" w:lineRule="exact"/>
        <w:ind w:firstLine="480" w:firstLineChars="200"/>
        <w:rPr>
          <w:rFonts w:ascii="宋体" w:hAnsi="宋体"/>
          <w:color w:val="auto"/>
          <w:sz w:val="24"/>
          <w:highlight w:val="none"/>
          <w:u w:val="single"/>
        </w:rPr>
      </w:pPr>
      <w:r>
        <w:rPr>
          <w:rFonts w:hint="eastAsia" w:ascii="宋体" w:hAnsi="宋体"/>
          <w:color w:val="auto"/>
          <w:sz w:val="24"/>
          <w:highlight w:val="none"/>
        </w:rPr>
        <w:t>合同履行期限：进口设备自签订合同之日起90个日历日，国产设备自签订合同之日起30个日历日，具体详见招标文件。</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本项目（是</w:t>
      </w:r>
      <w:r>
        <w:rPr>
          <w:rFonts w:ascii="宋体" w:hAnsi="宋体"/>
          <w:color w:val="auto"/>
          <w:sz w:val="24"/>
          <w:highlight w:val="none"/>
        </w:rPr>
        <w:t>/否</w:t>
      </w:r>
      <w:r>
        <w:rPr>
          <w:rFonts w:hint="eastAsia" w:ascii="宋体" w:hAnsi="宋体"/>
          <w:color w:val="auto"/>
          <w:sz w:val="24"/>
          <w:highlight w:val="none"/>
        </w:rPr>
        <w:t>）接受联合体投标：否。</w:t>
      </w:r>
    </w:p>
    <w:p>
      <w:pPr>
        <w:keepNext/>
        <w:keepLines/>
        <w:spacing w:line="400" w:lineRule="exact"/>
        <w:outlineLvl w:val="1"/>
        <w:rPr>
          <w:rFonts w:ascii="宋体" w:hAnsi="宋体" w:cs="宋体"/>
          <w:bCs/>
          <w:color w:val="auto"/>
          <w:sz w:val="24"/>
          <w:highlight w:val="none"/>
        </w:rPr>
      </w:pPr>
      <w:bookmarkStart w:id="19" w:name="_Toc35393791"/>
      <w:bookmarkStart w:id="20" w:name="_Toc35393622"/>
      <w:bookmarkStart w:id="21" w:name="_Toc28359003"/>
      <w:bookmarkStart w:id="22" w:name="_Toc28359080"/>
      <w:r>
        <w:rPr>
          <w:rFonts w:hint="eastAsia" w:ascii="宋体" w:hAnsi="宋体" w:cs="宋体"/>
          <w:bCs/>
          <w:color w:val="auto"/>
          <w:sz w:val="24"/>
          <w:highlight w:val="none"/>
        </w:rPr>
        <w:t>二、申请人的资格要求：</w:t>
      </w:r>
      <w:bookmarkEnd w:id="19"/>
      <w:bookmarkEnd w:id="20"/>
      <w:bookmarkEnd w:id="21"/>
      <w:bookmarkEnd w:id="22"/>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1、满足《中华人民共和国政府采购法》第二十二条规定。</w:t>
      </w:r>
    </w:p>
    <w:p>
      <w:pPr>
        <w:spacing w:line="400" w:lineRule="exact"/>
        <w:ind w:firstLine="480" w:firstLineChars="200"/>
        <w:rPr>
          <w:rFonts w:ascii="宋体" w:hAnsi="宋体"/>
          <w:color w:val="auto"/>
          <w:sz w:val="24"/>
          <w:highlight w:val="none"/>
        </w:rPr>
      </w:pPr>
      <w:bookmarkStart w:id="23" w:name="_Toc28359081"/>
      <w:bookmarkStart w:id="24" w:name="_Toc28359004"/>
      <w:r>
        <w:rPr>
          <w:rFonts w:ascii="宋体" w:hAnsi="宋体"/>
          <w:color w:val="auto"/>
          <w:sz w:val="24"/>
          <w:highlight w:val="none"/>
        </w:rPr>
        <w:t>2</w:t>
      </w:r>
      <w:r>
        <w:rPr>
          <w:rFonts w:hint="eastAsia" w:ascii="宋体" w:hAnsi="宋体"/>
          <w:color w:val="auto"/>
          <w:sz w:val="24"/>
          <w:highlight w:val="none"/>
        </w:rPr>
        <w:t>、落实政府采购政策需满足的资格要求：无。</w:t>
      </w:r>
    </w:p>
    <w:p>
      <w:pPr>
        <w:spacing w:line="400" w:lineRule="exact"/>
        <w:ind w:firstLine="480" w:firstLineChars="200"/>
        <w:rPr>
          <w:rFonts w:hint="eastAsia" w:ascii="宋体" w:hAnsi="宋体"/>
          <w:color w:val="auto"/>
          <w:sz w:val="24"/>
          <w:highlight w:val="none"/>
        </w:rPr>
      </w:pPr>
      <w:r>
        <w:rPr>
          <w:rFonts w:hint="eastAsia" w:ascii="宋体" w:hAnsi="宋体"/>
          <w:color w:val="auto"/>
          <w:sz w:val="24"/>
          <w:highlight w:val="none"/>
        </w:rPr>
        <w:t>3、本项目的特定资格要求：具备国内注册（指按国家有关规定要求注册的），生产或经营本次招标采购货物的供应商。</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4、在参加政府采购活动期间未被列入“信用中国”网站(www.creditchina.gov.cn)、中国政府采购网(www.ccgp.gov.cn)渠道信用记录失信被执行人、重大税收违法案件当事人名单、政府采购严重违法失信行为记录名单的供应商。</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5、单位负责人为同一人或者存在直接控股、管理关系的不同的投标人，不得参加同一合同项下的政府采购活动。除单一来源采购项目外，为采购项目提供整体设计、规范编制或者项目管理、监理、检测等服务的供应商，不得再参加该采购项目的其他采购活动。同一生产厂家不得同一合同项目经销授权不同的投标人。</w:t>
      </w:r>
    </w:p>
    <w:p>
      <w:pPr>
        <w:keepNext/>
        <w:keepLines/>
        <w:spacing w:line="400" w:lineRule="exact"/>
        <w:outlineLvl w:val="1"/>
        <w:rPr>
          <w:rFonts w:ascii="宋体" w:hAnsi="宋体" w:cs="宋体"/>
          <w:bCs/>
          <w:color w:val="auto"/>
          <w:sz w:val="24"/>
          <w:highlight w:val="none"/>
        </w:rPr>
      </w:pPr>
      <w:bookmarkStart w:id="25" w:name="_Toc35393623"/>
      <w:bookmarkStart w:id="26" w:name="_Toc35393792"/>
      <w:r>
        <w:rPr>
          <w:rFonts w:hint="eastAsia" w:ascii="宋体" w:hAnsi="宋体" w:cs="宋体"/>
          <w:bCs/>
          <w:color w:val="auto"/>
          <w:sz w:val="24"/>
          <w:highlight w:val="none"/>
        </w:rPr>
        <w:t>三、获取招标文件</w:t>
      </w:r>
      <w:bookmarkEnd w:id="23"/>
      <w:bookmarkEnd w:id="24"/>
      <w:bookmarkEnd w:id="25"/>
      <w:bookmarkEnd w:id="26"/>
    </w:p>
    <w:p>
      <w:pPr>
        <w:spacing w:line="400" w:lineRule="exact"/>
        <w:ind w:firstLine="540"/>
        <w:rPr>
          <w:rFonts w:ascii="宋体" w:hAnsi="宋体" w:cs="宋体"/>
          <w:color w:val="auto"/>
          <w:sz w:val="24"/>
          <w:highlight w:val="none"/>
        </w:rPr>
      </w:pPr>
      <w:r>
        <w:rPr>
          <w:rFonts w:hint="eastAsia" w:ascii="宋体" w:hAnsi="宋体" w:cs="宋体"/>
          <w:color w:val="auto"/>
          <w:sz w:val="24"/>
          <w:highlight w:val="none"/>
        </w:rPr>
        <w:t>时间：</w:t>
      </w:r>
      <w:r>
        <w:rPr>
          <w:rFonts w:ascii="宋体" w:hAnsi="宋体" w:cs="宋体"/>
          <w:color w:val="auto"/>
          <w:sz w:val="24"/>
          <w:highlight w:val="none"/>
          <w:u w:val="single"/>
        </w:rPr>
        <w:t>2020年</w:t>
      </w:r>
      <w:r>
        <w:rPr>
          <w:rFonts w:hint="eastAsia" w:ascii="宋体" w:hAnsi="宋体" w:cs="宋体"/>
          <w:color w:val="auto"/>
          <w:sz w:val="24"/>
          <w:highlight w:val="none"/>
          <w:u w:val="single"/>
          <w:lang w:val="en-US" w:eastAsia="zh-CN"/>
        </w:rPr>
        <w:t>8</w:t>
      </w:r>
      <w:r>
        <w:rPr>
          <w:rFonts w:ascii="宋体" w:hAnsi="宋体" w:cs="宋体"/>
          <w:color w:val="auto"/>
          <w:sz w:val="24"/>
          <w:highlight w:val="none"/>
          <w:u w:val="single"/>
        </w:rPr>
        <w:t>月</w:t>
      </w:r>
      <w:r>
        <w:rPr>
          <w:rFonts w:hint="eastAsia" w:ascii="宋体" w:hAnsi="宋体" w:cs="宋体"/>
          <w:color w:val="auto"/>
          <w:sz w:val="24"/>
          <w:highlight w:val="none"/>
          <w:u w:val="single"/>
          <w:lang w:val="en-US" w:eastAsia="zh-CN"/>
        </w:rPr>
        <w:t>7</w:t>
      </w:r>
      <w:r>
        <w:rPr>
          <w:rFonts w:ascii="宋体" w:hAnsi="宋体" w:cs="宋体"/>
          <w:color w:val="auto"/>
          <w:sz w:val="24"/>
          <w:highlight w:val="none"/>
          <w:u w:val="single"/>
        </w:rPr>
        <w:t>日至2020年</w:t>
      </w:r>
      <w:r>
        <w:rPr>
          <w:rFonts w:hint="eastAsia" w:ascii="宋体" w:hAnsi="宋体" w:cs="宋体"/>
          <w:color w:val="auto"/>
          <w:sz w:val="24"/>
          <w:highlight w:val="none"/>
          <w:u w:val="single"/>
          <w:lang w:val="en-US" w:eastAsia="zh-CN"/>
        </w:rPr>
        <w:t>8</w:t>
      </w:r>
      <w:r>
        <w:rPr>
          <w:rFonts w:ascii="宋体" w:hAnsi="宋体" w:cs="宋体"/>
          <w:color w:val="auto"/>
          <w:sz w:val="24"/>
          <w:highlight w:val="none"/>
          <w:u w:val="single"/>
        </w:rPr>
        <w:t>月</w:t>
      </w:r>
      <w:r>
        <w:rPr>
          <w:rFonts w:hint="eastAsia" w:ascii="宋体" w:hAnsi="宋体" w:cs="宋体"/>
          <w:color w:val="auto"/>
          <w:sz w:val="24"/>
          <w:highlight w:val="none"/>
          <w:u w:val="single"/>
          <w:lang w:val="en-US" w:eastAsia="zh-CN"/>
        </w:rPr>
        <w:t>14</w:t>
      </w:r>
      <w:r>
        <w:rPr>
          <w:rFonts w:ascii="宋体" w:hAnsi="宋体" w:cs="宋体"/>
          <w:color w:val="auto"/>
          <w:sz w:val="24"/>
          <w:highlight w:val="none"/>
          <w:u w:val="single"/>
        </w:rPr>
        <w:t>日</w:t>
      </w:r>
    </w:p>
    <w:p>
      <w:pPr>
        <w:spacing w:line="400" w:lineRule="exact"/>
        <w:ind w:firstLine="540"/>
        <w:rPr>
          <w:rFonts w:ascii="宋体" w:hAnsi="宋体"/>
          <w:color w:val="auto"/>
          <w:sz w:val="24"/>
          <w:highlight w:val="none"/>
          <w:u w:val="single"/>
        </w:rPr>
      </w:pPr>
      <w:r>
        <w:rPr>
          <w:rFonts w:hint="eastAsia" w:ascii="宋体" w:hAnsi="宋体" w:cs="宋体"/>
          <w:color w:val="auto"/>
          <w:sz w:val="24"/>
          <w:highlight w:val="none"/>
        </w:rPr>
        <w:t>地点：</w:t>
      </w:r>
      <w:r>
        <w:rPr>
          <w:rFonts w:hint="eastAsia" w:ascii="宋体" w:hAnsi="宋体"/>
          <w:color w:val="auto"/>
          <w:sz w:val="24"/>
          <w:highlight w:val="none"/>
          <w:u w:val="single"/>
        </w:rPr>
        <w:t>南宁市公共资源交易平台（www.nnggzy.org.cn）政府采购信息公告专栏</w:t>
      </w:r>
    </w:p>
    <w:p>
      <w:pPr>
        <w:spacing w:line="400" w:lineRule="exact"/>
        <w:ind w:firstLine="540"/>
        <w:rPr>
          <w:rFonts w:ascii="宋体" w:hAnsi="宋体" w:cs="宋体"/>
          <w:color w:val="auto"/>
          <w:sz w:val="24"/>
          <w:highlight w:val="none"/>
        </w:rPr>
      </w:pPr>
      <w:r>
        <w:rPr>
          <w:rFonts w:hint="eastAsia" w:ascii="宋体" w:hAnsi="宋体"/>
          <w:color w:val="auto"/>
          <w:sz w:val="24"/>
          <w:highlight w:val="none"/>
        </w:rPr>
        <w:t>方式：</w:t>
      </w:r>
      <w:r>
        <w:rPr>
          <w:rFonts w:hint="eastAsia" w:ascii="宋体" w:hAnsi="宋体"/>
          <w:color w:val="auto"/>
          <w:sz w:val="24"/>
          <w:highlight w:val="none"/>
          <w:u w:val="single"/>
        </w:rPr>
        <w:t>线上获取，投标人自行在规定网站下载电子版采购文件</w:t>
      </w:r>
    </w:p>
    <w:p>
      <w:pPr>
        <w:spacing w:line="400" w:lineRule="exact"/>
        <w:ind w:firstLine="540"/>
        <w:rPr>
          <w:rFonts w:ascii="宋体" w:hAnsi="宋体" w:cs="宋体"/>
          <w:color w:val="auto"/>
          <w:sz w:val="24"/>
          <w:highlight w:val="none"/>
        </w:rPr>
      </w:pPr>
      <w:bookmarkStart w:id="27" w:name="_Toc28359005"/>
      <w:bookmarkStart w:id="28" w:name="_Toc28359082"/>
      <w:bookmarkStart w:id="29" w:name="_Toc35393624"/>
      <w:bookmarkStart w:id="30" w:name="_Toc35393793"/>
      <w:r>
        <w:rPr>
          <w:rFonts w:hint="eastAsia" w:ascii="宋体" w:hAnsi="宋体" w:cs="宋体"/>
          <w:color w:val="auto"/>
          <w:sz w:val="24"/>
          <w:highlight w:val="none"/>
        </w:rPr>
        <w:t>售价：</w:t>
      </w:r>
      <w:r>
        <w:rPr>
          <w:rFonts w:hint="eastAsia" w:ascii="宋体" w:hAnsi="宋体" w:cs="宋体"/>
          <w:color w:val="auto"/>
          <w:sz w:val="24"/>
          <w:highlight w:val="none"/>
          <w:u w:val="single"/>
        </w:rPr>
        <w:t>0元</w:t>
      </w:r>
    </w:p>
    <w:p>
      <w:pPr>
        <w:keepNext/>
        <w:keepLines/>
        <w:spacing w:line="400" w:lineRule="exact"/>
        <w:outlineLvl w:val="1"/>
        <w:rPr>
          <w:rFonts w:ascii="宋体" w:hAnsi="宋体" w:cs="宋体"/>
          <w:bCs/>
          <w:color w:val="auto"/>
          <w:sz w:val="24"/>
          <w:highlight w:val="none"/>
        </w:rPr>
      </w:pPr>
      <w:r>
        <w:rPr>
          <w:rFonts w:hint="eastAsia" w:ascii="宋体" w:hAnsi="宋体" w:cs="宋体"/>
          <w:bCs/>
          <w:color w:val="auto"/>
          <w:sz w:val="24"/>
          <w:highlight w:val="none"/>
        </w:rPr>
        <w:t>四、提交投标文件</w:t>
      </w:r>
      <w:bookmarkEnd w:id="27"/>
      <w:bookmarkEnd w:id="28"/>
      <w:r>
        <w:rPr>
          <w:rFonts w:hint="eastAsia" w:ascii="宋体" w:hAnsi="宋体" w:cs="宋体"/>
          <w:bCs/>
          <w:color w:val="auto"/>
          <w:sz w:val="24"/>
          <w:highlight w:val="none"/>
        </w:rPr>
        <w:t>截止时间、开标时间和地点</w:t>
      </w:r>
      <w:bookmarkEnd w:id="29"/>
      <w:bookmarkEnd w:id="30"/>
    </w:p>
    <w:p>
      <w:pPr>
        <w:spacing w:line="400" w:lineRule="exact"/>
        <w:ind w:firstLine="480" w:firstLineChars="200"/>
        <w:rPr>
          <w:rFonts w:ascii="宋体" w:hAnsi="宋体"/>
          <w:bCs/>
          <w:color w:val="auto"/>
          <w:sz w:val="24"/>
          <w:highlight w:val="none"/>
          <w:u w:val="single"/>
        </w:rPr>
      </w:pPr>
      <w:r>
        <w:rPr>
          <w:rFonts w:hint="eastAsia" w:ascii="宋体" w:hAnsi="宋体"/>
          <w:color w:val="auto"/>
          <w:sz w:val="24"/>
          <w:highlight w:val="none"/>
        </w:rPr>
        <w:t>提交投标文件截止时间、开标时间：</w:t>
      </w:r>
      <w:r>
        <w:rPr>
          <w:rFonts w:hint="eastAsia" w:ascii="宋体" w:hAnsi="宋体"/>
          <w:bCs/>
          <w:color w:val="auto"/>
          <w:sz w:val="24"/>
          <w:highlight w:val="none"/>
          <w:u w:val="single"/>
        </w:rPr>
        <w:t>2020年</w:t>
      </w:r>
      <w:r>
        <w:rPr>
          <w:rFonts w:hint="eastAsia" w:ascii="宋体" w:hAnsi="宋体"/>
          <w:bCs/>
          <w:color w:val="auto"/>
          <w:sz w:val="24"/>
          <w:highlight w:val="none"/>
          <w:u w:val="single"/>
          <w:lang w:val="en-US" w:eastAsia="zh-CN"/>
        </w:rPr>
        <w:t>8</w:t>
      </w:r>
      <w:r>
        <w:rPr>
          <w:rFonts w:hint="eastAsia" w:ascii="宋体" w:hAnsi="宋体"/>
          <w:bCs/>
          <w:color w:val="auto"/>
          <w:sz w:val="24"/>
          <w:highlight w:val="none"/>
          <w:u w:val="single"/>
        </w:rPr>
        <w:t>月</w:t>
      </w:r>
      <w:r>
        <w:rPr>
          <w:rFonts w:hint="eastAsia" w:ascii="宋体" w:hAnsi="宋体"/>
          <w:bCs/>
          <w:color w:val="auto"/>
          <w:sz w:val="24"/>
          <w:highlight w:val="none"/>
          <w:u w:val="single"/>
          <w:lang w:val="en-US" w:eastAsia="zh-CN"/>
        </w:rPr>
        <w:t>28</w:t>
      </w:r>
      <w:r>
        <w:rPr>
          <w:rFonts w:hint="eastAsia" w:ascii="宋体" w:hAnsi="宋体"/>
          <w:bCs/>
          <w:color w:val="auto"/>
          <w:sz w:val="24"/>
          <w:highlight w:val="none"/>
          <w:u w:val="single"/>
        </w:rPr>
        <w:t>日9点30分（北京时间）</w:t>
      </w:r>
    </w:p>
    <w:p>
      <w:pPr>
        <w:spacing w:line="400" w:lineRule="exact"/>
        <w:ind w:firstLine="480" w:firstLineChars="200"/>
        <w:rPr>
          <w:rFonts w:hint="eastAsia" w:ascii="宋体" w:hAnsi="宋体"/>
          <w:color w:val="auto"/>
          <w:sz w:val="24"/>
          <w:highlight w:val="none"/>
          <w:u w:val="single"/>
        </w:rPr>
      </w:pPr>
      <w:r>
        <w:rPr>
          <w:rFonts w:hint="eastAsia" w:ascii="宋体" w:hAnsi="宋体"/>
          <w:color w:val="auto"/>
          <w:sz w:val="24"/>
          <w:highlight w:val="none"/>
          <w:lang w:eastAsia="zh-CN"/>
        </w:rPr>
        <w:t>开标</w:t>
      </w:r>
      <w:r>
        <w:rPr>
          <w:rFonts w:hint="eastAsia" w:ascii="宋体" w:hAnsi="宋体"/>
          <w:color w:val="auto"/>
          <w:sz w:val="24"/>
          <w:highlight w:val="none"/>
        </w:rPr>
        <w:t>地点：</w:t>
      </w:r>
      <w:r>
        <w:rPr>
          <w:rFonts w:hint="eastAsia" w:ascii="宋体" w:hAnsi="宋体"/>
          <w:color w:val="auto"/>
          <w:sz w:val="24"/>
          <w:highlight w:val="none"/>
          <w:u w:val="single"/>
        </w:rPr>
        <w:t>南宁市良庆区玉洞大道33号9楼南宁市公共资源交易中心（具体详见9楼电子显示屏安排）</w:t>
      </w:r>
    </w:p>
    <w:p>
      <w:pPr>
        <w:pStyle w:val="2"/>
        <w:ind w:left="0" w:leftChars="0" w:firstLine="480" w:firstLineChars="200"/>
        <w:rPr>
          <w:rFonts w:hint="eastAsia" w:eastAsia="宋体"/>
          <w:lang w:eastAsia="zh-CN"/>
        </w:rPr>
      </w:pPr>
      <w:r>
        <w:rPr>
          <w:rFonts w:hint="eastAsia" w:hAnsi="宋体"/>
          <w:color w:val="auto"/>
          <w:sz w:val="24"/>
          <w:highlight w:val="none"/>
          <w:u w:val="single"/>
          <w:lang w:eastAsia="zh-CN"/>
        </w:rPr>
        <w:t>提交投标文件地点：本项目的投标文件通过邮寄快递的方式，详见本公告其他补充事宜</w:t>
      </w:r>
    </w:p>
    <w:p>
      <w:pPr>
        <w:keepNext/>
        <w:keepLines/>
        <w:spacing w:line="400" w:lineRule="exact"/>
        <w:outlineLvl w:val="1"/>
        <w:rPr>
          <w:rFonts w:ascii="宋体" w:hAnsi="宋体" w:cs="宋体"/>
          <w:bCs/>
          <w:color w:val="auto"/>
          <w:sz w:val="24"/>
          <w:highlight w:val="none"/>
        </w:rPr>
      </w:pPr>
      <w:bookmarkStart w:id="31" w:name="_Toc35393794"/>
      <w:bookmarkStart w:id="32" w:name="_Toc35393625"/>
      <w:bookmarkStart w:id="33" w:name="_Toc28359007"/>
      <w:bookmarkStart w:id="34" w:name="_Toc28359084"/>
      <w:r>
        <w:rPr>
          <w:rFonts w:hint="eastAsia" w:ascii="宋体" w:hAnsi="宋体" w:cs="宋体"/>
          <w:bCs/>
          <w:color w:val="auto"/>
          <w:sz w:val="24"/>
          <w:highlight w:val="none"/>
        </w:rPr>
        <w:t>五、公告期限</w:t>
      </w:r>
      <w:bookmarkEnd w:id="31"/>
      <w:bookmarkEnd w:id="32"/>
      <w:bookmarkEnd w:id="33"/>
      <w:bookmarkEnd w:id="34"/>
    </w:p>
    <w:p>
      <w:pPr>
        <w:spacing w:line="4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自本公告发布之日起5个工作日。</w:t>
      </w:r>
    </w:p>
    <w:p>
      <w:pPr>
        <w:keepNext/>
        <w:keepLines/>
        <w:spacing w:line="400" w:lineRule="exact"/>
        <w:outlineLvl w:val="1"/>
        <w:rPr>
          <w:rFonts w:ascii="宋体" w:hAnsi="宋体" w:cs="宋体"/>
          <w:bCs/>
          <w:color w:val="auto"/>
          <w:sz w:val="24"/>
          <w:highlight w:val="none"/>
        </w:rPr>
      </w:pPr>
      <w:bookmarkStart w:id="35" w:name="_Toc35393795"/>
      <w:bookmarkStart w:id="36" w:name="_Toc35393626"/>
      <w:r>
        <w:rPr>
          <w:rFonts w:hint="eastAsia" w:ascii="宋体" w:hAnsi="宋体" w:cs="宋体"/>
          <w:bCs/>
          <w:color w:val="auto"/>
          <w:sz w:val="24"/>
          <w:highlight w:val="none"/>
        </w:rPr>
        <w:t>六、其他补充事宜</w:t>
      </w:r>
      <w:bookmarkEnd w:id="35"/>
      <w:bookmarkEnd w:id="36"/>
    </w:p>
    <w:p>
      <w:pPr>
        <w:pStyle w:val="2"/>
        <w:spacing w:line="400" w:lineRule="exact"/>
        <w:ind w:firstLine="353"/>
        <w:rPr>
          <w:rFonts w:hAnsi="宋体" w:cs="宋体"/>
          <w:color w:val="auto"/>
          <w:highlight w:val="none"/>
        </w:rPr>
      </w:pPr>
      <w:r>
        <w:rPr>
          <w:rFonts w:hint="eastAsia" w:hAnsi="宋体" w:cs="宋体"/>
          <w:color w:val="auto"/>
          <w:highlight w:val="none"/>
        </w:rPr>
        <w:t>（一）网上查询：中国政府采购网（www.ccgp.gov.cn）、广西政府采购网（zfcg.gxzf.gov.cn）、南宁市公共资源交易中心网（www.nnggzy.org.cn）。</w:t>
      </w:r>
    </w:p>
    <w:p>
      <w:pPr>
        <w:pStyle w:val="2"/>
        <w:spacing w:line="400" w:lineRule="exact"/>
        <w:ind w:firstLine="353"/>
        <w:rPr>
          <w:rFonts w:hAnsi="宋体" w:cs="宋体"/>
          <w:color w:val="auto"/>
          <w:highlight w:val="none"/>
        </w:rPr>
      </w:pPr>
      <w:r>
        <w:rPr>
          <w:rFonts w:hint="eastAsia" w:hAnsi="宋体" w:cs="宋体"/>
          <w:color w:val="auto"/>
          <w:highlight w:val="none"/>
        </w:rPr>
        <w:t>（二）本项目需要落实的政府采购政策：《政府采购促进中小企业发展暂行办法》（财库[2011]181号），《关于我区政府采购支持监狱企业发展有关问题的通知》（桂财采[2015]24号），《三部门联合发布关于促进残疾人就业政府采购政策的通知》（财库〔2017〕141号），《广西壮族自治区人民政府办公厅关于印发招标采购促进广西工业产品产销对接实施细则的通知》（桂政办发〔2015〕78号），强制采购、优先采购节能产品，环境标志产品。</w:t>
      </w:r>
    </w:p>
    <w:p>
      <w:pPr>
        <w:pStyle w:val="2"/>
        <w:spacing w:line="400" w:lineRule="exact"/>
        <w:ind w:firstLine="353"/>
        <w:rPr>
          <w:rFonts w:hAnsi="宋体" w:cs="宋体"/>
          <w:color w:val="auto"/>
          <w:highlight w:val="none"/>
        </w:rPr>
      </w:pPr>
      <w:r>
        <w:rPr>
          <w:rFonts w:hint="eastAsia" w:hAnsi="宋体" w:cs="宋体"/>
          <w:color w:val="auto"/>
          <w:highlight w:val="none"/>
        </w:rPr>
        <w:t>（三）为做好新型冠状病毒肺炎疫情防控工作，根据南宁市财政局《关于做好疫情防控期间政府采购工作有关事项的通知》（南财采〔2020〕12号）要求，现对本项目相关事项通知如下：</w:t>
      </w:r>
    </w:p>
    <w:p>
      <w:pPr>
        <w:pStyle w:val="2"/>
        <w:spacing w:line="400" w:lineRule="exact"/>
        <w:ind w:firstLine="353"/>
        <w:rPr>
          <w:rFonts w:hAnsi="宋体" w:cs="宋体"/>
          <w:color w:val="auto"/>
          <w:highlight w:val="none"/>
        </w:rPr>
      </w:pPr>
      <w:r>
        <w:rPr>
          <w:rFonts w:hint="eastAsia" w:hAnsi="宋体" w:cs="宋体"/>
          <w:color w:val="auto"/>
          <w:highlight w:val="none"/>
        </w:rPr>
        <w:t>1、本项目的投标文件通过邮寄快递的方式送达。</w:t>
      </w:r>
    </w:p>
    <w:p>
      <w:pPr>
        <w:pStyle w:val="2"/>
        <w:spacing w:line="400" w:lineRule="exact"/>
        <w:ind w:firstLine="353"/>
        <w:rPr>
          <w:rFonts w:hAnsi="宋体" w:cs="宋体"/>
          <w:color w:val="auto"/>
          <w:highlight w:val="none"/>
        </w:rPr>
      </w:pPr>
      <w:r>
        <w:rPr>
          <w:rFonts w:hint="eastAsia" w:hAnsi="宋体" w:cs="宋体"/>
          <w:color w:val="auto"/>
          <w:highlight w:val="none"/>
        </w:rPr>
        <w:t>（1）接收邮寄包裹的时间为工作日8：00～18：00。投标文件必须在投标截止时间前送达。招标采购代理机构工作人员签收邮寄包裹的时间即为投标人投标文件的送达时间，逾期送达的投标文件无效，后果由投标人自行承担。</w:t>
      </w:r>
    </w:p>
    <w:p>
      <w:pPr>
        <w:pStyle w:val="2"/>
        <w:spacing w:line="400" w:lineRule="exact"/>
        <w:ind w:firstLine="353"/>
        <w:rPr>
          <w:rFonts w:hAnsi="宋体" w:cs="宋体"/>
          <w:color w:val="auto"/>
          <w:highlight w:val="none"/>
        </w:rPr>
      </w:pPr>
      <w:r>
        <w:rPr>
          <w:rFonts w:hint="eastAsia" w:hAnsi="宋体" w:cs="宋体"/>
          <w:color w:val="auto"/>
          <w:highlight w:val="none"/>
        </w:rPr>
        <w:t>（2）采购代理机构将在投标截止时间前一</w:t>
      </w:r>
      <w:r>
        <w:rPr>
          <w:rFonts w:hint="eastAsia" w:hAnsi="宋体" w:cs="宋体"/>
          <w:color w:val="auto"/>
          <w:highlight w:val="none"/>
          <w:lang w:eastAsia="zh-CN"/>
        </w:rPr>
        <w:t>个半</w:t>
      </w:r>
      <w:r>
        <w:rPr>
          <w:rFonts w:hint="eastAsia" w:hAnsi="宋体" w:cs="宋体"/>
          <w:color w:val="auto"/>
          <w:highlight w:val="none"/>
        </w:rPr>
        <w:t>小时（即8时</w:t>
      </w:r>
      <w:r>
        <w:rPr>
          <w:rFonts w:hint="eastAsia" w:hAnsi="宋体" w:cs="宋体"/>
          <w:color w:val="auto"/>
          <w:highlight w:val="none"/>
          <w:lang w:eastAsia="zh-CN"/>
        </w:rPr>
        <w:t>整</w:t>
      </w:r>
      <w:r>
        <w:rPr>
          <w:rFonts w:hint="eastAsia" w:hAnsi="宋体" w:cs="宋体"/>
          <w:color w:val="auto"/>
          <w:highlight w:val="none"/>
        </w:rPr>
        <w:t>）统一将收到的投标文件运送至南宁市公共资源交易中心，以确保本项目能在投标截止（开标）时间准时截标。供应商应充分预留投标文件邮寄、送达所需要的时间。为确保疫情防控期间邮寄包裹能及时送达，应选择邮寄运送时间有保障的快递公司寄送投标响应文件，并确保在投标截止日期前1个工作日内送达。</w:t>
      </w:r>
    </w:p>
    <w:p>
      <w:pPr>
        <w:pStyle w:val="2"/>
        <w:spacing w:line="400" w:lineRule="exact"/>
        <w:ind w:firstLine="353"/>
        <w:rPr>
          <w:rFonts w:hAnsi="宋体" w:cs="宋体"/>
          <w:color w:val="auto"/>
          <w:highlight w:val="none"/>
        </w:rPr>
      </w:pPr>
      <w:r>
        <w:rPr>
          <w:rFonts w:hint="eastAsia" w:hAnsi="宋体" w:cs="宋体"/>
          <w:color w:val="auto"/>
          <w:highlight w:val="none"/>
        </w:rPr>
        <w:t>（3）投标人在按照招标文件的要求装订、密封好投标文件后，应使用不透明、防水的邮寄袋或箱子再次包裹已密封好的投标文件，并在邮寄袋或箱子上粘牢注明项目名称、项目编号、项目开标日期、联系人、联系手电话、联系电子邮箱等内容的纸质表格（表格格式详见附件）。</w:t>
      </w:r>
    </w:p>
    <w:p>
      <w:pPr>
        <w:pStyle w:val="2"/>
        <w:spacing w:line="400" w:lineRule="exact"/>
        <w:ind w:firstLine="353"/>
        <w:rPr>
          <w:rFonts w:hAnsi="宋体" w:cs="宋体"/>
          <w:color w:val="auto"/>
          <w:highlight w:val="none"/>
        </w:rPr>
      </w:pPr>
      <w:r>
        <w:rPr>
          <w:rFonts w:hint="eastAsia" w:hAnsi="宋体" w:cs="宋体"/>
          <w:color w:val="auto"/>
          <w:highlight w:val="none"/>
        </w:rPr>
        <w:t>（4）招标采购代理机构工作人员在收到投标文件的邮寄包裹后，第一时间按照投标人在邮寄包裹上所预留的电子邮箱告知投标文件收件情况，请投标人务必确保所预留的电子邮箱的有效性，并注意查收邮件。</w:t>
      </w:r>
    </w:p>
    <w:p>
      <w:pPr>
        <w:pStyle w:val="2"/>
        <w:spacing w:line="400" w:lineRule="exact"/>
        <w:ind w:firstLine="353"/>
        <w:rPr>
          <w:rFonts w:hAnsi="宋体" w:cs="宋体"/>
          <w:color w:val="auto"/>
          <w:highlight w:val="none"/>
        </w:rPr>
      </w:pPr>
      <w:r>
        <w:rPr>
          <w:rFonts w:hint="eastAsia" w:hAnsi="宋体" w:cs="宋体"/>
          <w:color w:val="auto"/>
          <w:highlight w:val="none"/>
        </w:rPr>
        <w:t>（5）投标文件邮寄地址：广西南宁市民族大道141号中鼎万象东方D区五层设备招标代理部；收件人：李工、银工；联系电话：0771-2023873。</w:t>
      </w:r>
    </w:p>
    <w:p>
      <w:pPr>
        <w:pStyle w:val="2"/>
        <w:spacing w:line="400" w:lineRule="exact"/>
        <w:ind w:firstLine="353"/>
        <w:rPr>
          <w:rFonts w:hAnsi="宋体" w:cs="宋体"/>
          <w:color w:val="auto"/>
          <w:highlight w:val="none"/>
        </w:rPr>
      </w:pPr>
      <w:r>
        <w:rPr>
          <w:rFonts w:hint="eastAsia" w:hAnsi="宋体" w:cs="宋体"/>
          <w:color w:val="auto"/>
          <w:highlight w:val="none"/>
        </w:rPr>
        <w:t>4、投标人不参加现场开标活动。</w:t>
      </w:r>
    </w:p>
    <w:p>
      <w:pPr>
        <w:pStyle w:val="2"/>
        <w:spacing w:line="400" w:lineRule="exact"/>
        <w:ind w:firstLine="353"/>
        <w:rPr>
          <w:rFonts w:hAnsi="宋体" w:cs="宋体"/>
          <w:color w:val="auto"/>
          <w:highlight w:val="none"/>
        </w:rPr>
      </w:pPr>
      <w:r>
        <w:rPr>
          <w:rFonts w:hint="eastAsia" w:hAnsi="宋体" w:cs="宋体"/>
          <w:color w:val="auto"/>
          <w:highlight w:val="none"/>
        </w:rPr>
        <w:t>5、投标文件拆封及密封性检查：</w:t>
      </w:r>
    </w:p>
    <w:p>
      <w:pPr>
        <w:pStyle w:val="2"/>
        <w:spacing w:line="400" w:lineRule="exact"/>
        <w:ind w:firstLine="353"/>
        <w:rPr>
          <w:rFonts w:hAnsi="宋体" w:cs="宋体"/>
          <w:color w:val="auto"/>
          <w:highlight w:val="none"/>
        </w:rPr>
      </w:pPr>
      <w:r>
        <w:rPr>
          <w:rFonts w:hint="eastAsia" w:hAnsi="宋体" w:cs="宋体"/>
          <w:color w:val="auto"/>
          <w:highlight w:val="none"/>
        </w:rPr>
        <w:t>截标后，采购代理机构工作人员在南宁市公共资源交易中心工作人员和采购人的见证下拆开投标文件包封，采购人对投标文件密封性和投标文件正副本数量进行签字确认。</w:t>
      </w:r>
    </w:p>
    <w:p>
      <w:pPr>
        <w:pStyle w:val="2"/>
        <w:spacing w:line="400" w:lineRule="exact"/>
        <w:ind w:firstLine="353"/>
        <w:rPr>
          <w:rFonts w:hAnsi="宋体" w:cs="宋体"/>
          <w:color w:val="auto"/>
          <w:highlight w:val="none"/>
        </w:rPr>
      </w:pPr>
      <w:r>
        <w:rPr>
          <w:rFonts w:hint="eastAsia" w:hAnsi="宋体" w:cs="宋体"/>
          <w:color w:val="auto"/>
          <w:highlight w:val="none"/>
        </w:rPr>
        <w:t>6、关于投标人的唱标报价。</w:t>
      </w:r>
    </w:p>
    <w:p>
      <w:pPr>
        <w:pStyle w:val="2"/>
        <w:spacing w:line="400" w:lineRule="exact"/>
        <w:ind w:firstLine="353"/>
        <w:rPr>
          <w:rFonts w:hAnsi="宋体" w:cs="宋体"/>
          <w:color w:val="auto"/>
          <w:highlight w:val="none"/>
        </w:rPr>
      </w:pPr>
      <w:r>
        <w:rPr>
          <w:rFonts w:hint="eastAsia" w:hAnsi="宋体" w:cs="宋体"/>
          <w:color w:val="auto"/>
          <w:highlight w:val="none"/>
        </w:rPr>
        <w:t>采购代理机构根据投标人的投标报价情况填写开标记录表，交由采购人对投标人的报价、交货时间等内容进行签字确认。供应商视为对本项目的唱标记录直接确认。</w:t>
      </w:r>
    </w:p>
    <w:p>
      <w:pPr>
        <w:pStyle w:val="2"/>
        <w:spacing w:line="400" w:lineRule="exact"/>
        <w:ind w:firstLine="353"/>
        <w:rPr>
          <w:rFonts w:hAnsi="宋体" w:cs="宋体"/>
          <w:color w:val="auto"/>
          <w:highlight w:val="none"/>
        </w:rPr>
      </w:pPr>
      <w:r>
        <w:rPr>
          <w:rFonts w:hint="eastAsia" w:hAnsi="宋体" w:cs="宋体"/>
          <w:color w:val="auto"/>
          <w:highlight w:val="none"/>
        </w:rPr>
        <w:t>7、关于投标文件澄清的有关要求</w:t>
      </w:r>
    </w:p>
    <w:p>
      <w:pPr>
        <w:pStyle w:val="2"/>
        <w:spacing w:line="400" w:lineRule="exact"/>
        <w:ind w:firstLine="353"/>
        <w:rPr>
          <w:rFonts w:hAnsi="宋体" w:cs="宋体"/>
          <w:color w:val="auto"/>
          <w:highlight w:val="none"/>
        </w:rPr>
      </w:pPr>
      <w:r>
        <w:rPr>
          <w:rFonts w:hint="eastAsia" w:hAnsi="宋体" w:cs="宋体"/>
          <w:color w:val="auto"/>
          <w:highlight w:val="none"/>
        </w:rPr>
        <w:t xml:space="preserve">（1）为便于采购代理机构或评标委员会在项目评标期间与投标人取得联系，做好评标过程中投标人对投标文件的澄清、说明或者补正等工作，投标人务必做到：“第六章投标文件格式”中“投标函”的“电话”务必填写法定代表人或委托代理人的电话联系方式。 </w:t>
      </w:r>
    </w:p>
    <w:p>
      <w:pPr>
        <w:pStyle w:val="2"/>
        <w:spacing w:line="400" w:lineRule="exact"/>
        <w:ind w:firstLine="353"/>
        <w:rPr>
          <w:rFonts w:hAnsi="宋体" w:cs="宋体"/>
          <w:color w:val="auto"/>
          <w:highlight w:val="none"/>
        </w:rPr>
      </w:pPr>
      <w:r>
        <w:rPr>
          <w:rFonts w:hint="eastAsia" w:hAnsi="宋体" w:cs="宋体"/>
          <w:color w:val="auto"/>
          <w:highlight w:val="none"/>
        </w:rPr>
        <w:t>（2）开标当天投标人务必保持电话畅通。如果评标过程中需要投标人对投标文件作出澄清、说明或者补正的，评标委员会会通知投标人在规定的时间内通过电子邮件、传真等方式提交。投标人所提交的澄清、说明或者补正等材料必须加盖投标人的公章确认。</w:t>
      </w:r>
    </w:p>
    <w:p>
      <w:pPr>
        <w:pStyle w:val="2"/>
        <w:spacing w:line="400" w:lineRule="exact"/>
        <w:ind w:firstLine="353"/>
        <w:rPr>
          <w:rFonts w:hAnsi="宋体" w:cs="宋体"/>
          <w:color w:val="auto"/>
          <w:highlight w:val="none"/>
        </w:rPr>
      </w:pPr>
      <w:r>
        <w:rPr>
          <w:rFonts w:hint="eastAsia" w:hAnsi="宋体" w:cs="宋体"/>
          <w:color w:val="auto"/>
          <w:highlight w:val="none"/>
        </w:rPr>
        <w:t>（3）如投标人未按上述要求提供联系方式，致使采购代理机构或评标委员会在项目评标期间无法与投标人取得联系的，或因自身原因未能保持电话畅通或未按评标委员会要求提交澄清、说明或者补正的，后果由投标人自行承担。</w:t>
      </w:r>
    </w:p>
    <w:p>
      <w:pPr>
        <w:pStyle w:val="2"/>
        <w:spacing w:line="400" w:lineRule="exact"/>
        <w:ind w:firstLine="353"/>
        <w:rPr>
          <w:rFonts w:hAnsi="宋体" w:cs="宋体"/>
          <w:color w:val="auto"/>
          <w:highlight w:val="none"/>
        </w:rPr>
      </w:pPr>
      <w:r>
        <w:rPr>
          <w:rFonts w:hint="eastAsia" w:hAnsi="宋体" w:cs="宋体"/>
          <w:color w:val="auto"/>
          <w:highlight w:val="none"/>
        </w:rPr>
        <w:t>8、附件：邮件外包粘贴表格（格式）</w:t>
      </w:r>
    </w:p>
    <w:p>
      <w:pPr>
        <w:pStyle w:val="2"/>
        <w:spacing w:line="400" w:lineRule="exact"/>
        <w:ind w:firstLine="353"/>
        <w:rPr>
          <w:rFonts w:hAnsi="宋体" w:cs="宋体"/>
          <w:color w:val="auto"/>
          <w:highlight w:val="none"/>
        </w:rPr>
      </w:pPr>
      <w:r>
        <w:rPr>
          <w:rFonts w:hint="eastAsia" w:hAnsi="宋体" w:cs="宋体"/>
          <w:color w:val="auto"/>
          <w:highlight w:val="none"/>
        </w:rPr>
        <w:t>项目名称：</w:t>
      </w:r>
    </w:p>
    <w:p>
      <w:pPr>
        <w:pStyle w:val="2"/>
        <w:spacing w:line="400" w:lineRule="exact"/>
        <w:ind w:firstLine="353"/>
        <w:rPr>
          <w:rFonts w:hAnsi="宋体" w:cs="宋体"/>
          <w:color w:val="auto"/>
          <w:highlight w:val="none"/>
        </w:rPr>
      </w:pPr>
      <w:r>
        <w:rPr>
          <w:rFonts w:hint="eastAsia" w:hAnsi="宋体" w:cs="宋体"/>
          <w:color w:val="auto"/>
          <w:highlight w:val="none"/>
        </w:rPr>
        <w:t>项目编号：</w:t>
      </w:r>
    </w:p>
    <w:p>
      <w:pPr>
        <w:pStyle w:val="2"/>
        <w:spacing w:line="400" w:lineRule="exact"/>
        <w:ind w:firstLine="353"/>
        <w:rPr>
          <w:rFonts w:hAnsi="宋体" w:cs="宋体"/>
          <w:color w:val="auto"/>
          <w:highlight w:val="none"/>
        </w:rPr>
      </w:pPr>
      <w:r>
        <w:rPr>
          <w:rFonts w:hint="eastAsia" w:hAnsi="宋体" w:cs="宋体"/>
          <w:color w:val="auto"/>
          <w:highlight w:val="none"/>
        </w:rPr>
        <w:t>项目开标日期：</w:t>
      </w:r>
    </w:p>
    <w:p>
      <w:pPr>
        <w:pStyle w:val="2"/>
        <w:spacing w:line="400" w:lineRule="exact"/>
        <w:ind w:firstLine="353"/>
        <w:rPr>
          <w:rFonts w:hAnsi="宋体" w:cs="宋体"/>
          <w:color w:val="auto"/>
          <w:highlight w:val="none"/>
        </w:rPr>
      </w:pPr>
      <w:r>
        <w:rPr>
          <w:rFonts w:hint="eastAsia" w:hAnsi="宋体" w:cs="宋体"/>
          <w:color w:val="auto"/>
          <w:highlight w:val="none"/>
        </w:rPr>
        <w:t>联系电子邮箱：</w:t>
      </w:r>
    </w:p>
    <w:p>
      <w:pPr>
        <w:pStyle w:val="2"/>
        <w:spacing w:line="400" w:lineRule="exact"/>
        <w:ind w:firstLine="353"/>
        <w:rPr>
          <w:rFonts w:hAnsi="宋体" w:cs="宋体"/>
          <w:color w:val="auto"/>
          <w:highlight w:val="none"/>
        </w:rPr>
      </w:pPr>
      <w:r>
        <w:rPr>
          <w:rFonts w:hint="eastAsia" w:hAnsi="宋体" w:cs="宋体"/>
          <w:color w:val="auto"/>
          <w:highlight w:val="none"/>
        </w:rPr>
        <w:t>委托人：</w:t>
      </w:r>
    </w:p>
    <w:p>
      <w:pPr>
        <w:pStyle w:val="2"/>
        <w:spacing w:line="400" w:lineRule="exact"/>
        <w:ind w:firstLine="353"/>
        <w:rPr>
          <w:rFonts w:hAnsi="宋体" w:cs="宋体"/>
          <w:color w:val="auto"/>
          <w:highlight w:val="none"/>
        </w:rPr>
      </w:pPr>
      <w:r>
        <w:rPr>
          <w:rFonts w:hint="eastAsia" w:hAnsi="宋体" w:cs="宋体"/>
          <w:color w:val="auto"/>
          <w:highlight w:val="none"/>
        </w:rPr>
        <w:t>委托人联系电话：</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9、供应商应对自己的投标文件的快递包封和密封性负责，如送达的快递包裹出现破损导致投标文件密封性包封破损的，视为不响应招标文件的密封性要求，做废标处理。</w:t>
      </w:r>
    </w:p>
    <w:p>
      <w:pPr>
        <w:keepNext/>
        <w:keepLines/>
        <w:spacing w:line="400" w:lineRule="exact"/>
        <w:outlineLvl w:val="1"/>
        <w:rPr>
          <w:rFonts w:ascii="宋体" w:hAnsi="宋体" w:cs="宋体"/>
          <w:bCs/>
          <w:color w:val="auto"/>
          <w:sz w:val="24"/>
          <w:highlight w:val="none"/>
        </w:rPr>
      </w:pPr>
      <w:bookmarkStart w:id="37" w:name="_Toc35393796"/>
      <w:bookmarkStart w:id="38" w:name="_Toc28359085"/>
      <w:bookmarkStart w:id="39" w:name="_Toc28359008"/>
      <w:bookmarkStart w:id="40" w:name="_Toc35393627"/>
      <w:r>
        <w:rPr>
          <w:rFonts w:hint="eastAsia" w:ascii="宋体" w:hAnsi="宋体" w:cs="宋体"/>
          <w:bCs/>
          <w:color w:val="auto"/>
          <w:sz w:val="24"/>
          <w:highlight w:val="none"/>
        </w:rPr>
        <w:t>七、对本次招标提出询问，请按</w:t>
      </w:r>
      <w:r>
        <w:rPr>
          <w:rFonts w:ascii="宋体" w:hAnsi="宋体" w:cs="宋体"/>
          <w:bCs/>
          <w:color w:val="auto"/>
          <w:sz w:val="24"/>
          <w:highlight w:val="none"/>
        </w:rPr>
        <w:t>以下方式</w:t>
      </w:r>
      <w:r>
        <w:rPr>
          <w:rFonts w:hint="eastAsia" w:ascii="宋体" w:hAnsi="宋体" w:cs="宋体"/>
          <w:bCs/>
          <w:color w:val="auto"/>
          <w:sz w:val="24"/>
          <w:highlight w:val="none"/>
        </w:rPr>
        <w:t>联系。</w:t>
      </w:r>
      <w:bookmarkEnd w:id="37"/>
      <w:bookmarkEnd w:id="38"/>
      <w:bookmarkEnd w:id="39"/>
      <w:bookmarkEnd w:id="40"/>
    </w:p>
    <w:p>
      <w:pPr>
        <w:spacing w:line="4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1.采购人信息</w:t>
      </w:r>
    </w:p>
    <w:p>
      <w:pPr>
        <w:spacing w:line="4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名 称：横县市场监督管理局</w:t>
      </w:r>
    </w:p>
    <w:p>
      <w:pPr>
        <w:spacing w:line="4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地址：横县横州镇茉莉花大道</w:t>
      </w:r>
    </w:p>
    <w:p>
      <w:pPr>
        <w:spacing w:line="4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联系方式：李主任，联系电话：</w:t>
      </w:r>
      <w:bookmarkStart w:id="41" w:name="_Toc28359009"/>
      <w:bookmarkStart w:id="42" w:name="_Toc28359086"/>
      <w:r>
        <w:rPr>
          <w:rFonts w:hint="eastAsia" w:ascii="宋体" w:hAnsi="宋体" w:cs="宋体"/>
          <w:color w:val="auto"/>
          <w:kern w:val="0"/>
          <w:sz w:val="24"/>
          <w:highlight w:val="none"/>
        </w:rPr>
        <w:t>0771-7080300、18977121162</w:t>
      </w:r>
    </w:p>
    <w:p>
      <w:pPr>
        <w:spacing w:line="4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2.采购代理机构信息</w:t>
      </w:r>
      <w:bookmarkEnd w:id="41"/>
      <w:bookmarkEnd w:id="42"/>
    </w:p>
    <w:p>
      <w:pPr>
        <w:spacing w:line="4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名 称：广西科文招标有限公司</w:t>
      </w:r>
    </w:p>
    <w:p>
      <w:pPr>
        <w:spacing w:line="4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地 址：南宁市民族大道141号中鼎万象东方D区五层</w:t>
      </w:r>
    </w:p>
    <w:p>
      <w:pPr>
        <w:spacing w:line="4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联系方式：李工、银工，联系电话：0771-2023</w:t>
      </w:r>
      <w:bookmarkStart w:id="43" w:name="_Toc28359010"/>
      <w:bookmarkStart w:id="44" w:name="_Toc28359087"/>
      <w:r>
        <w:rPr>
          <w:rFonts w:hint="eastAsia" w:ascii="宋体" w:hAnsi="宋体" w:cs="宋体"/>
          <w:color w:val="auto"/>
          <w:kern w:val="0"/>
          <w:sz w:val="24"/>
          <w:highlight w:val="none"/>
        </w:rPr>
        <w:t>873，传真：0771-2023997</w:t>
      </w:r>
    </w:p>
    <w:p>
      <w:pPr>
        <w:spacing w:line="4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3.项目</w:t>
      </w:r>
      <w:r>
        <w:rPr>
          <w:rFonts w:ascii="宋体" w:hAnsi="宋体" w:cs="宋体"/>
          <w:color w:val="auto"/>
          <w:kern w:val="0"/>
          <w:sz w:val="24"/>
          <w:highlight w:val="none"/>
        </w:rPr>
        <w:t>联系方式</w:t>
      </w:r>
      <w:bookmarkEnd w:id="43"/>
      <w:bookmarkEnd w:id="44"/>
    </w:p>
    <w:p>
      <w:pPr>
        <w:spacing w:line="4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项目联系人：李工、银工</w:t>
      </w:r>
    </w:p>
    <w:p>
      <w:pPr>
        <w:spacing w:line="4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电 话：0771-2023873</w:t>
      </w:r>
    </w:p>
    <w:p>
      <w:pPr>
        <w:widowControl/>
        <w:spacing w:line="400" w:lineRule="exact"/>
        <w:ind w:firstLine="4538"/>
        <w:jc w:val="right"/>
        <w:rPr>
          <w:rFonts w:ascii="宋体" w:hAnsi="宋体"/>
          <w:color w:val="auto"/>
          <w:sz w:val="24"/>
          <w:highlight w:val="none"/>
        </w:rPr>
      </w:pPr>
      <w:r>
        <w:rPr>
          <w:rFonts w:hint="eastAsia" w:ascii="宋体" w:hAnsi="宋体"/>
          <w:color w:val="auto"/>
          <w:sz w:val="24"/>
          <w:highlight w:val="none"/>
        </w:rPr>
        <w:t>广西科文招标有限公司</w:t>
      </w:r>
    </w:p>
    <w:p>
      <w:pPr>
        <w:pStyle w:val="27"/>
        <w:spacing w:line="400" w:lineRule="exact"/>
        <w:ind w:right="420"/>
        <w:jc w:val="right"/>
        <w:rPr>
          <w:rFonts w:hAnsi="宋体" w:cs="宋体"/>
          <w:color w:val="auto"/>
          <w:spacing w:val="-4"/>
          <w:kern w:val="2"/>
          <w:sz w:val="21"/>
          <w:szCs w:val="21"/>
          <w:highlight w:val="none"/>
        </w:rPr>
      </w:pPr>
      <w:r>
        <w:rPr>
          <w:rFonts w:hint="eastAsia" w:hAnsi="宋体"/>
          <w:color w:val="auto"/>
          <w:kern w:val="2"/>
          <w:sz w:val="24"/>
          <w:szCs w:val="24"/>
          <w:highlight w:val="none"/>
        </w:rPr>
        <w:t>2020年</w:t>
      </w:r>
      <w:r>
        <w:rPr>
          <w:rFonts w:hint="eastAsia" w:hAnsi="宋体"/>
          <w:color w:val="auto"/>
          <w:kern w:val="2"/>
          <w:sz w:val="24"/>
          <w:szCs w:val="24"/>
          <w:highlight w:val="none"/>
          <w:lang w:val="en-US" w:eastAsia="zh-CN"/>
        </w:rPr>
        <w:t>8</w:t>
      </w:r>
      <w:r>
        <w:rPr>
          <w:rFonts w:hint="eastAsia" w:hAnsi="宋体"/>
          <w:color w:val="auto"/>
          <w:kern w:val="2"/>
          <w:sz w:val="24"/>
          <w:szCs w:val="24"/>
          <w:highlight w:val="none"/>
        </w:rPr>
        <w:t>月</w:t>
      </w:r>
      <w:r>
        <w:rPr>
          <w:rFonts w:hint="eastAsia" w:hAnsi="宋体"/>
          <w:color w:val="auto"/>
          <w:kern w:val="2"/>
          <w:sz w:val="24"/>
          <w:szCs w:val="24"/>
          <w:highlight w:val="none"/>
          <w:lang w:val="en-US" w:eastAsia="zh-CN"/>
        </w:rPr>
        <w:t>7</w:t>
      </w:r>
      <w:r>
        <w:rPr>
          <w:rFonts w:hint="eastAsia" w:hAnsi="宋体"/>
          <w:color w:val="auto"/>
          <w:kern w:val="2"/>
          <w:sz w:val="24"/>
          <w:szCs w:val="24"/>
          <w:highlight w:val="none"/>
        </w:rPr>
        <w:t>日</w:t>
      </w:r>
    </w:p>
    <w:p>
      <w:pPr>
        <w:pStyle w:val="27"/>
        <w:spacing w:line="360" w:lineRule="exact"/>
        <w:ind w:right="420" w:firstLine="6666" w:firstLineChars="3300"/>
        <w:rPr>
          <w:rFonts w:hAnsi="宋体" w:cs="宋体"/>
          <w:color w:val="auto"/>
          <w:spacing w:val="-4"/>
          <w:kern w:val="2"/>
          <w:sz w:val="21"/>
          <w:szCs w:val="21"/>
          <w:highlight w:val="none"/>
        </w:rPr>
      </w:pPr>
    </w:p>
    <w:p>
      <w:pPr>
        <w:pStyle w:val="27"/>
        <w:spacing w:line="360" w:lineRule="exact"/>
        <w:ind w:right="420" w:firstLine="6930" w:firstLineChars="3300"/>
        <w:rPr>
          <w:rFonts w:hAnsi="宋体" w:cs="宋体"/>
          <w:color w:val="auto"/>
          <w:sz w:val="21"/>
          <w:szCs w:val="21"/>
          <w:highlight w:val="none"/>
        </w:rPr>
      </w:pPr>
    </w:p>
    <w:p>
      <w:pPr>
        <w:pStyle w:val="3"/>
        <w:spacing w:line="360" w:lineRule="exact"/>
        <w:jc w:val="center"/>
        <w:rPr>
          <w:rFonts w:ascii="宋体" w:hAnsi="宋体"/>
          <w:color w:val="auto"/>
          <w:sz w:val="32"/>
          <w:szCs w:val="24"/>
          <w:highlight w:val="none"/>
        </w:rPr>
      </w:pPr>
      <w:r>
        <w:rPr>
          <w:rFonts w:hint="eastAsia" w:ascii="宋体" w:hAnsi="宋体" w:cs="宋体"/>
          <w:b w:val="0"/>
          <w:color w:val="auto"/>
          <w:sz w:val="21"/>
          <w:szCs w:val="21"/>
          <w:highlight w:val="none"/>
        </w:rPr>
        <w:br w:type="page"/>
      </w:r>
      <w:bookmarkStart w:id="45" w:name="_Toc43563081"/>
      <w:bookmarkStart w:id="46" w:name="_Toc43563142"/>
      <w:bookmarkStart w:id="47" w:name="_Toc22917844"/>
      <w:r>
        <w:rPr>
          <w:rFonts w:hint="eastAsia" w:hAnsi="宋体"/>
          <w:color w:val="auto"/>
          <w:sz w:val="32"/>
          <w:szCs w:val="32"/>
          <w:highlight w:val="none"/>
        </w:rPr>
        <w:t xml:space="preserve">第二章  </w:t>
      </w:r>
      <w:r>
        <w:rPr>
          <w:rFonts w:hint="eastAsia" w:ascii="宋体" w:hAnsi="宋体"/>
          <w:color w:val="auto"/>
          <w:sz w:val="32"/>
          <w:szCs w:val="24"/>
          <w:highlight w:val="none"/>
        </w:rPr>
        <w:t>招标</w:t>
      </w:r>
      <w:r>
        <w:rPr>
          <w:rFonts w:ascii="宋体" w:hAnsi="宋体"/>
          <w:color w:val="auto"/>
          <w:sz w:val="32"/>
          <w:szCs w:val="24"/>
          <w:highlight w:val="none"/>
        </w:rPr>
        <w:t>项目采购需求</w:t>
      </w:r>
      <w:bookmarkEnd w:id="45"/>
      <w:bookmarkEnd w:id="46"/>
      <w:bookmarkEnd w:id="47"/>
    </w:p>
    <w:p>
      <w:pPr>
        <w:adjustRightInd w:val="0"/>
        <w:spacing w:line="260" w:lineRule="exact"/>
        <w:rPr>
          <w:rFonts w:hAnsi="宋体"/>
          <w:b/>
          <w:color w:val="auto"/>
          <w:szCs w:val="21"/>
          <w:highlight w:val="none"/>
        </w:rPr>
      </w:pPr>
      <w:r>
        <w:rPr>
          <w:rFonts w:hint="eastAsia" w:hAnsi="宋体"/>
          <w:b/>
          <w:color w:val="auto"/>
          <w:szCs w:val="21"/>
          <w:highlight w:val="none"/>
        </w:rPr>
        <w:t>说明：</w:t>
      </w:r>
      <w:bookmarkStart w:id="76" w:name="_GoBack"/>
      <w:bookmarkEnd w:id="76"/>
    </w:p>
    <w:p>
      <w:pPr>
        <w:spacing w:line="360" w:lineRule="exact"/>
        <w:ind w:firstLine="422" w:firstLineChars="200"/>
        <w:rPr>
          <w:rFonts w:ascii="宋体" w:hAnsi="宋体"/>
          <w:b/>
          <w:color w:val="auto"/>
          <w:szCs w:val="22"/>
          <w:highlight w:val="none"/>
        </w:rPr>
      </w:pPr>
      <w:r>
        <w:rPr>
          <w:rFonts w:hint="eastAsia" w:ascii="宋体" w:hAnsi="宋体"/>
          <w:b/>
          <w:color w:val="auto"/>
          <w:szCs w:val="22"/>
          <w:highlight w:val="none"/>
        </w:rPr>
        <w:t>1、本一览表中的品牌、型号仅起参考作用，投标人可选用其他品牌型号替代，但这些替代的品牌型号要实质上相当于或优于参考品牌型号及其技术参数性能（配置）要求；</w:t>
      </w:r>
    </w:p>
    <w:p>
      <w:pPr>
        <w:spacing w:line="360" w:lineRule="exact"/>
        <w:ind w:firstLine="422" w:firstLineChars="200"/>
        <w:rPr>
          <w:rFonts w:ascii="宋体" w:hAnsi="宋体"/>
          <w:b/>
          <w:color w:val="auto"/>
          <w:szCs w:val="22"/>
          <w:highlight w:val="none"/>
        </w:rPr>
      </w:pPr>
      <w:r>
        <w:rPr>
          <w:rFonts w:hint="eastAsia" w:ascii="宋体" w:hAnsi="宋体"/>
          <w:b/>
          <w:color w:val="auto"/>
          <w:szCs w:val="22"/>
          <w:highlight w:val="none"/>
        </w:rPr>
        <w:t>2、本一览表中参考品牌型号及技术参数性能（配置）不明确或有误的，或投标人选用其他品牌型号替代的，请以详细、正确的品牌型号、技术参数性能配置填写投标报价表和技术规格偏离表。投标人须根据技术参数及性能配置要求提供一一对应的技术响应偏离表。</w:t>
      </w:r>
    </w:p>
    <w:p>
      <w:pPr>
        <w:spacing w:line="360" w:lineRule="exact"/>
        <w:ind w:firstLine="422" w:firstLineChars="200"/>
        <w:rPr>
          <w:rFonts w:ascii="宋体" w:hAnsi="宋体"/>
          <w:b/>
          <w:color w:val="auto"/>
          <w:szCs w:val="22"/>
          <w:highlight w:val="none"/>
        </w:rPr>
      </w:pPr>
      <w:r>
        <w:rPr>
          <w:rFonts w:hint="eastAsia" w:ascii="宋体" w:hAnsi="宋体"/>
          <w:b/>
          <w:color w:val="auto"/>
          <w:szCs w:val="22"/>
          <w:highlight w:val="none"/>
        </w:rPr>
        <w:t>3、本货物需求一览表中标注★号的内容为实质性条款，必须满足，否则投标无效。</w:t>
      </w:r>
    </w:p>
    <w:p>
      <w:pPr>
        <w:spacing w:line="360" w:lineRule="exact"/>
        <w:ind w:firstLine="422" w:firstLineChars="200"/>
        <w:rPr>
          <w:rFonts w:ascii="宋体" w:hAnsi="宋体"/>
          <w:b/>
          <w:color w:val="auto"/>
          <w:szCs w:val="22"/>
          <w:highlight w:val="none"/>
        </w:rPr>
      </w:pPr>
      <w:r>
        <w:rPr>
          <w:rFonts w:hint="eastAsia" w:ascii="宋体" w:hAnsi="宋体"/>
          <w:b/>
          <w:color w:val="auto"/>
          <w:szCs w:val="22"/>
          <w:highlight w:val="none"/>
        </w:rPr>
        <w:t>4、本货物需求一览表中的内容如与第五章“合同条款及格式”相关条款不一致的，以本表为准。</w:t>
      </w:r>
    </w:p>
    <w:p>
      <w:pPr>
        <w:spacing w:line="360" w:lineRule="exact"/>
        <w:ind w:firstLine="422" w:firstLineChars="200"/>
        <w:rPr>
          <w:rFonts w:ascii="宋体" w:hAnsi="宋体"/>
          <w:b/>
          <w:bCs/>
          <w:color w:val="auto"/>
          <w:highlight w:val="none"/>
        </w:rPr>
      </w:pPr>
    </w:p>
    <w:p>
      <w:pPr>
        <w:pStyle w:val="2"/>
        <w:ind w:firstLine="354"/>
        <w:rPr>
          <w:b/>
          <w:color w:val="auto"/>
          <w:highlight w:val="none"/>
        </w:rPr>
      </w:pPr>
      <w:r>
        <w:rPr>
          <w:rFonts w:hint="eastAsia"/>
          <w:b/>
          <w:color w:val="auto"/>
          <w:highlight w:val="none"/>
        </w:rPr>
        <w:t>标段1：</w:t>
      </w:r>
    </w:p>
    <w:tbl>
      <w:tblPr>
        <w:tblStyle w:val="51"/>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8"/>
        <w:gridCol w:w="900"/>
        <w:gridCol w:w="540"/>
        <w:gridCol w:w="720"/>
        <w:gridCol w:w="68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648" w:type="dxa"/>
            <w:gridSpan w:val="5"/>
            <w:tcBorders>
              <w:top w:val="single" w:color="auto" w:sz="4" w:space="0"/>
              <w:left w:val="single" w:color="auto" w:sz="4" w:space="0"/>
              <w:bottom w:val="single" w:color="auto" w:sz="4" w:space="0"/>
              <w:right w:val="single" w:color="auto" w:sz="4" w:space="0"/>
            </w:tcBorders>
          </w:tcPr>
          <w:p>
            <w:pPr>
              <w:snapToGrid w:val="0"/>
              <w:spacing w:line="360" w:lineRule="exact"/>
              <w:ind w:firstLine="354"/>
              <w:outlineLvl w:val="0"/>
              <w:rPr>
                <w:rFonts w:ascii="宋体" w:hAnsi="宋体" w:cs="宋体"/>
                <w:b/>
                <w:color w:val="auto"/>
                <w:szCs w:val="21"/>
                <w:highlight w:val="none"/>
              </w:rPr>
            </w:pPr>
            <w:r>
              <w:rPr>
                <w:rFonts w:hint="eastAsia" w:ascii="宋体" w:hAnsi="宋体" w:cs="宋体"/>
                <w:b/>
                <w:color w:val="auto"/>
                <w:szCs w:val="21"/>
                <w:highlight w:val="none"/>
              </w:rPr>
              <w:t>一、技术要求表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outlineLvl w:val="0"/>
              <w:rPr>
                <w:rFonts w:ascii="宋体" w:hAnsi="宋体" w:cs="宋体"/>
                <w:b/>
                <w:color w:val="auto"/>
                <w:szCs w:val="21"/>
                <w:highlight w:val="none"/>
              </w:rPr>
            </w:pPr>
            <w:r>
              <w:rPr>
                <w:rFonts w:hint="eastAsia" w:ascii="宋体" w:hAnsi="宋体" w:cs="宋体"/>
                <w:b/>
                <w:color w:val="auto"/>
                <w:szCs w:val="21"/>
                <w:highlight w:val="none"/>
              </w:rPr>
              <w:t>序号</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outlineLvl w:val="0"/>
              <w:rPr>
                <w:rFonts w:ascii="宋体" w:hAnsi="宋体" w:cs="宋体"/>
                <w:b/>
                <w:color w:val="auto"/>
                <w:szCs w:val="21"/>
                <w:highlight w:val="none"/>
              </w:rPr>
            </w:pPr>
            <w:r>
              <w:rPr>
                <w:rFonts w:hint="eastAsia" w:ascii="宋体" w:hAnsi="宋体" w:cs="宋体"/>
                <w:b/>
                <w:color w:val="auto"/>
                <w:szCs w:val="21"/>
                <w:highlight w:val="none"/>
              </w:rPr>
              <w:t>采购内容</w:t>
            </w: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outlineLvl w:val="0"/>
              <w:rPr>
                <w:rFonts w:ascii="宋体" w:hAnsi="宋体" w:cs="宋体"/>
                <w:b/>
                <w:color w:val="auto"/>
                <w:szCs w:val="21"/>
                <w:highlight w:val="none"/>
              </w:rPr>
            </w:pPr>
            <w:r>
              <w:rPr>
                <w:rFonts w:hint="eastAsia" w:ascii="宋体" w:hAnsi="宋体" w:cs="宋体"/>
                <w:b/>
                <w:color w:val="auto"/>
                <w:szCs w:val="21"/>
                <w:highlight w:val="none"/>
              </w:rPr>
              <w:t>数量</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353"/>
              <w:jc w:val="center"/>
              <w:outlineLvl w:val="0"/>
              <w:rPr>
                <w:rFonts w:ascii="宋体" w:hAnsi="宋体" w:cs="宋体"/>
                <w:b/>
                <w:color w:val="auto"/>
                <w:szCs w:val="21"/>
                <w:highlight w:val="none"/>
              </w:rPr>
            </w:pPr>
            <w:r>
              <w:rPr>
                <w:rFonts w:hint="eastAsia" w:ascii="宋体" w:hAnsi="宋体" w:cs="宋体"/>
                <w:b/>
                <w:color w:val="auto"/>
                <w:szCs w:val="21"/>
                <w:highlight w:val="none"/>
              </w:rPr>
              <w:t>项目要求及技术需求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1</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电感耦合等离子体质谱仪(ICP-MS)</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 w:val="22"/>
                <w:szCs w:val="22"/>
                <w:highlight w:val="none"/>
              </w:rPr>
              <w:t>1套</w:t>
            </w:r>
          </w:p>
        </w:tc>
        <w:tc>
          <w:tcPr>
            <w:tcW w:w="6840" w:type="dxa"/>
            <w:tcBorders>
              <w:top w:val="single" w:color="auto" w:sz="4" w:space="0"/>
              <w:left w:val="single" w:color="auto" w:sz="4" w:space="0"/>
              <w:right w:val="single" w:color="auto" w:sz="4" w:space="0"/>
            </w:tcBorders>
            <w:vAlign w:val="center"/>
          </w:tcPr>
          <w:p>
            <w:pPr>
              <w:widowControl/>
              <w:spacing w:line="360" w:lineRule="exact"/>
              <w:jc w:val="left"/>
              <w:rPr>
                <w:rFonts w:ascii="宋体" w:hAnsi="宋体" w:cs="宋体"/>
                <w:color w:val="auto"/>
                <w:szCs w:val="21"/>
                <w:highlight w:val="none"/>
              </w:rPr>
            </w:pPr>
            <w:r>
              <w:rPr>
                <w:rFonts w:hint="eastAsia" w:ascii="宋体" w:hAnsi="宋体" w:cs="宋体"/>
                <w:color w:val="auto"/>
                <w:szCs w:val="21"/>
                <w:highlight w:val="none"/>
              </w:rPr>
              <w:t>1、仪器总体要求</w:t>
            </w:r>
          </w:p>
          <w:p>
            <w:pPr>
              <w:widowControl/>
              <w:spacing w:line="360" w:lineRule="exact"/>
              <w:jc w:val="left"/>
              <w:rPr>
                <w:rFonts w:ascii="宋体" w:hAnsi="宋体" w:cs="宋体"/>
                <w:color w:val="auto"/>
                <w:szCs w:val="21"/>
                <w:highlight w:val="none"/>
              </w:rPr>
            </w:pPr>
            <w:r>
              <w:rPr>
                <w:rFonts w:hint="eastAsia" w:ascii="宋体" w:hAnsi="宋体" w:cs="宋体"/>
                <w:color w:val="auto"/>
                <w:szCs w:val="21"/>
                <w:highlight w:val="none"/>
              </w:rPr>
              <w:t>1.1 电感耦合等离子体质谱仪（ICPMS）由电感耦合等离子体离子源、四极杆离子偏转提取系统、四极杆碰撞反应池、四极杆质量过滤器、离子检测系统等部分构成。</w:t>
            </w:r>
          </w:p>
          <w:p>
            <w:pPr>
              <w:widowControl/>
              <w:spacing w:line="360" w:lineRule="exact"/>
              <w:jc w:val="left"/>
              <w:rPr>
                <w:rFonts w:ascii="宋体" w:hAnsi="宋体" w:cs="宋体"/>
                <w:color w:val="auto"/>
                <w:szCs w:val="21"/>
                <w:highlight w:val="none"/>
              </w:rPr>
            </w:pPr>
            <w:r>
              <w:rPr>
                <w:rFonts w:hint="eastAsia" w:ascii="宋体" w:hAnsi="宋体" w:cs="宋体"/>
                <w:color w:val="auto"/>
                <w:szCs w:val="21"/>
                <w:highlight w:val="none"/>
              </w:rPr>
              <w:t>1.2 电感耦合等离子体质谱仪要求能适用于应用领域广泛的各种样品的元素分析、同位素分析分析任务。</w:t>
            </w:r>
          </w:p>
          <w:p>
            <w:pPr>
              <w:widowControl/>
              <w:spacing w:line="360" w:lineRule="exact"/>
              <w:jc w:val="left"/>
              <w:rPr>
                <w:rFonts w:ascii="宋体" w:hAnsi="宋体" w:cs="宋体"/>
                <w:color w:val="auto"/>
                <w:szCs w:val="21"/>
                <w:highlight w:val="none"/>
              </w:rPr>
            </w:pPr>
            <w:r>
              <w:rPr>
                <w:rFonts w:hint="eastAsia" w:ascii="宋体" w:hAnsi="宋体" w:cs="宋体"/>
                <w:color w:val="auto"/>
                <w:szCs w:val="21"/>
                <w:highlight w:val="none"/>
              </w:rPr>
              <w:t>1.3 仪器要求要求能进行样品定性、半定量、定量、同位素比分析。</w:t>
            </w:r>
          </w:p>
          <w:p>
            <w:pPr>
              <w:widowControl/>
              <w:spacing w:line="360" w:lineRule="exact"/>
              <w:jc w:val="left"/>
              <w:rPr>
                <w:rFonts w:ascii="宋体" w:hAnsi="宋体" w:cs="宋体"/>
                <w:color w:val="auto"/>
                <w:szCs w:val="21"/>
                <w:highlight w:val="none"/>
              </w:rPr>
            </w:pPr>
            <w:r>
              <w:rPr>
                <w:rFonts w:hint="eastAsia" w:ascii="宋体" w:hAnsi="宋体" w:cs="宋体"/>
                <w:color w:val="auto"/>
                <w:szCs w:val="21"/>
                <w:highlight w:val="none"/>
              </w:rPr>
              <w:t>2、仪器工作环境</w:t>
            </w:r>
          </w:p>
          <w:p>
            <w:pPr>
              <w:widowControl/>
              <w:spacing w:line="360" w:lineRule="exact"/>
              <w:jc w:val="left"/>
              <w:rPr>
                <w:rFonts w:ascii="宋体" w:hAnsi="宋体" w:cs="宋体"/>
                <w:color w:val="auto"/>
                <w:szCs w:val="21"/>
                <w:highlight w:val="none"/>
              </w:rPr>
            </w:pPr>
            <w:r>
              <w:rPr>
                <w:rFonts w:hint="eastAsia" w:ascii="宋体" w:hAnsi="宋体" w:cs="宋体"/>
                <w:color w:val="auto"/>
                <w:szCs w:val="21"/>
                <w:highlight w:val="none"/>
              </w:rPr>
              <w:t>2.1 工作环境温度：15～30℃；</w:t>
            </w:r>
          </w:p>
          <w:p>
            <w:pPr>
              <w:widowControl/>
              <w:spacing w:line="360" w:lineRule="exact"/>
              <w:jc w:val="left"/>
              <w:rPr>
                <w:rFonts w:ascii="宋体" w:hAnsi="宋体" w:cs="宋体"/>
                <w:color w:val="auto"/>
                <w:szCs w:val="21"/>
                <w:highlight w:val="none"/>
              </w:rPr>
            </w:pPr>
            <w:r>
              <w:rPr>
                <w:rFonts w:hint="eastAsia" w:ascii="宋体" w:hAnsi="宋体" w:cs="宋体"/>
                <w:color w:val="auto"/>
                <w:szCs w:val="21"/>
                <w:highlight w:val="none"/>
              </w:rPr>
              <w:t>2.2 工作环境湿度：＜80%（无冷凝）；</w:t>
            </w:r>
          </w:p>
          <w:p>
            <w:pPr>
              <w:widowControl/>
              <w:spacing w:line="360" w:lineRule="exact"/>
              <w:jc w:val="left"/>
              <w:rPr>
                <w:rFonts w:ascii="宋体" w:hAnsi="宋体" w:cs="宋体"/>
                <w:color w:val="auto"/>
                <w:szCs w:val="21"/>
                <w:highlight w:val="none"/>
              </w:rPr>
            </w:pPr>
            <w:r>
              <w:rPr>
                <w:rFonts w:hint="eastAsia" w:ascii="宋体" w:hAnsi="宋体" w:cs="宋体"/>
                <w:color w:val="auto"/>
                <w:szCs w:val="21"/>
                <w:highlight w:val="none"/>
              </w:rPr>
              <w:t>2.3 电源：单相200-240V，50Hz；</w:t>
            </w:r>
          </w:p>
          <w:p>
            <w:pPr>
              <w:widowControl/>
              <w:spacing w:line="360" w:lineRule="exact"/>
              <w:jc w:val="left"/>
              <w:rPr>
                <w:rFonts w:ascii="宋体" w:hAnsi="宋体" w:cs="宋体"/>
                <w:color w:val="auto"/>
                <w:szCs w:val="21"/>
                <w:highlight w:val="none"/>
              </w:rPr>
            </w:pPr>
            <w:r>
              <w:rPr>
                <w:rFonts w:hint="eastAsia" w:ascii="宋体" w:hAnsi="宋体" w:cs="宋体"/>
                <w:color w:val="auto"/>
                <w:szCs w:val="21"/>
                <w:highlight w:val="none"/>
              </w:rPr>
              <w:t>3、技术要求</w:t>
            </w:r>
          </w:p>
          <w:p>
            <w:pPr>
              <w:widowControl/>
              <w:spacing w:line="360" w:lineRule="exact"/>
              <w:jc w:val="left"/>
              <w:rPr>
                <w:rFonts w:ascii="宋体" w:hAnsi="宋体" w:cs="宋体"/>
                <w:color w:val="auto"/>
                <w:szCs w:val="21"/>
                <w:highlight w:val="none"/>
              </w:rPr>
            </w:pPr>
            <w:r>
              <w:rPr>
                <w:rFonts w:hint="eastAsia" w:ascii="宋体" w:hAnsi="宋体" w:cs="宋体"/>
                <w:color w:val="auto"/>
                <w:szCs w:val="21"/>
                <w:highlight w:val="none"/>
              </w:rPr>
              <w:t>3.1 仪器硬件</w:t>
            </w:r>
          </w:p>
          <w:p>
            <w:pPr>
              <w:widowControl/>
              <w:spacing w:line="360" w:lineRule="exact"/>
              <w:jc w:val="left"/>
              <w:rPr>
                <w:rFonts w:ascii="宋体" w:hAnsi="宋体" w:cs="宋体"/>
                <w:color w:val="auto"/>
                <w:szCs w:val="21"/>
                <w:highlight w:val="none"/>
              </w:rPr>
            </w:pPr>
            <w:r>
              <w:rPr>
                <w:rFonts w:hint="eastAsia" w:ascii="宋体" w:hAnsi="宋体" w:cs="宋体"/>
                <w:color w:val="auto"/>
                <w:szCs w:val="21"/>
                <w:highlight w:val="none"/>
              </w:rPr>
              <w:t>3.1.1 雾化器：耐高盐、高效同心雾化器。</w:t>
            </w:r>
          </w:p>
          <w:p>
            <w:pPr>
              <w:widowControl/>
              <w:spacing w:line="360" w:lineRule="exact"/>
              <w:jc w:val="left"/>
              <w:rPr>
                <w:rFonts w:ascii="宋体" w:hAnsi="宋体" w:cs="宋体"/>
                <w:color w:val="auto"/>
                <w:szCs w:val="21"/>
                <w:highlight w:val="none"/>
              </w:rPr>
            </w:pPr>
            <w:r>
              <w:rPr>
                <w:rFonts w:hint="eastAsia" w:ascii="宋体" w:hAnsi="宋体" w:cs="宋体"/>
                <w:color w:val="auto"/>
                <w:szCs w:val="21"/>
                <w:highlight w:val="none"/>
              </w:rPr>
              <w:t>3.1.2 雾化室：小体积、低记忆效应旋流型雾化室。</w:t>
            </w:r>
          </w:p>
          <w:p>
            <w:pPr>
              <w:widowControl/>
              <w:spacing w:line="360" w:lineRule="exact"/>
              <w:jc w:val="left"/>
              <w:rPr>
                <w:rFonts w:ascii="宋体" w:hAnsi="宋体" w:cs="宋体"/>
                <w:color w:val="auto"/>
                <w:szCs w:val="21"/>
                <w:highlight w:val="none"/>
              </w:rPr>
            </w:pPr>
            <w:r>
              <w:rPr>
                <w:rFonts w:hint="eastAsia" w:ascii="宋体" w:hAnsi="宋体" w:cs="宋体"/>
                <w:color w:val="auto"/>
                <w:szCs w:val="21"/>
                <w:highlight w:val="none"/>
              </w:rPr>
              <w:t>3.1.3 炬管：一体式石英矩管</w:t>
            </w:r>
          </w:p>
          <w:p>
            <w:pPr>
              <w:widowControl/>
              <w:spacing w:line="360" w:lineRule="exact"/>
              <w:jc w:val="left"/>
              <w:rPr>
                <w:rFonts w:ascii="宋体" w:hAnsi="宋体" w:cs="宋体"/>
                <w:color w:val="auto"/>
                <w:szCs w:val="21"/>
                <w:highlight w:val="none"/>
              </w:rPr>
            </w:pPr>
            <w:r>
              <w:rPr>
                <w:rFonts w:hint="eastAsia" w:ascii="宋体" w:hAnsi="宋体" w:cs="宋体"/>
                <w:color w:val="auto"/>
                <w:szCs w:val="21"/>
                <w:highlight w:val="none"/>
              </w:rPr>
              <w:t>★3.1.4 离子源：采用高频率自激式全固态射频发生器，要求频率33MHz 或以上，频率越高越优。</w:t>
            </w:r>
          </w:p>
          <w:p>
            <w:pPr>
              <w:widowControl/>
              <w:spacing w:line="360" w:lineRule="exact"/>
              <w:jc w:val="left"/>
              <w:rPr>
                <w:rFonts w:ascii="宋体" w:hAnsi="宋体" w:cs="宋体"/>
                <w:color w:val="auto"/>
                <w:szCs w:val="21"/>
                <w:highlight w:val="none"/>
              </w:rPr>
            </w:pPr>
            <w:r>
              <w:rPr>
                <w:rFonts w:hint="eastAsia" w:ascii="宋体" w:hAnsi="宋体" w:cs="宋体"/>
                <w:color w:val="auto"/>
                <w:szCs w:val="21"/>
                <w:highlight w:val="none"/>
              </w:rPr>
              <w:t>3.1.5 具有虚拟接地的、不额外依靠外部物理接地的消除锥口二次电弧放电技术，无需屏蔽炬等额外消耗与维护或需屏蔽炬消耗品需提供50 套屏蔽炬。</w:t>
            </w:r>
          </w:p>
          <w:p>
            <w:pPr>
              <w:widowControl/>
              <w:spacing w:line="360" w:lineRule="exact"/>
              <w:jc w:val="left"/>
              <w:rPr>
                <w:rFonts w:ascii="宋体" w:hAnsi="宋体" w:cs="宋体"/>
                <w:color w:val="auto"/>
                <w:szCs w:val="21"/>
                <w:highlight w:val="none"/>
              </w:rPr>
            </w:pPr>
            <w:r>
              <w:rPr>
                <w:rFonts w:hint="eastAsia" w:ascii="宋体" w:hAnsi="宋体" w:cs="宋体"/>
                <w:color w:val="auto"/>
                <w:szCs w:val="21"/>
                <w:highlight w:val="none"/>
              </w:rPr>
              <w:t>★3.1.6 等离子体工作线圈寿命长采用线圈通水冷却或气体冷却，实现低射频能量损耗。</w:t>
            </w:r>
          </w:p>
          <w:p>
            <w:pPr>
              <w:widowControl/>
              <w:spacing w:line="360" w:lineRule="exact"/>
              <w:jc w:val="left"/>
              <w:rPr>
                <w:rFonts w:ascii="宋体" w:hAnsi="宋体" w:cs="宋体"/>
                <w:color w:val="auto"/>
                <w:szCs w:val="21"/>
                <w:highlight w:val="none"/>
              </w:rPr>
            </w:pPr>
            <w:r>
              <w:rPr>
                <w:rFonts w:hint="eastAsia" w:ascii="宋体" w:hAnsi="宋体" w:cs="宋体"/>
                <w:color w:val="auto"/>
                <w:szCs w:val="21"/>
                <w:highlight w:val="none"/>
              </w:rPr>
              <w:t>3.1.7 等离子体可视系统：可以从实际观测窗中实时全彩监测等离子体、锥口和中心管状态，便于样品分析和维护确认，方便有机样品方法开发。</w:t>
            </w:r>
          </w:p>
          <w:p>
            <w:pPr>
              <w:widowControl/>
              <w:spacing w:line="360" w:lineRule="exact"/>
              <w:jc w:val="left"/>
              <w:rPr>
                <w:rFonts w:ascii="宋体" w:hAnsi="宋体" w:cs="宋体"/>
                <w:color w:val="auto"/>
                <w:szCs w:val="21"/>
                <w:highlight w:val="none"/>
              </w:rPr>
            </w:pPr>
            <w:r>
              <w:rPr>
                <w:rFonts w:hint="eastAsia" w:ascii="宋体" w:hAnsi="宋体" w:cs="宋体"/>
                <w:color w:val="auto"/>
                <w:szCs w:val="21"/>
                <w:highlight w:val="none"/>
              </w:rPr>
              <w:t>★3.1.8 接口设计：截取锥要求≥0.7mm，从而保证长期分析高基体、高盐样品的稳定性，满足高通量分析及大进样量的要求，锥口越大越优；锥体需要嵌片的需额外提供30套以上的耐基体嵌片。</w:t>
            </w:r>
          </w:p>
          <w:p>
            <w:pPr>
              <w:widowControl/>
              <w:spacing w:line="360" w:lineRule="exact"/>
              <w:jc w:val="left"/>
              <w:rPr>
                <w:rFonts w:ascii="宋体" w:hAnsi="宋体" w:cs="宋体"/>
                <w:color w:val="auto"/>
                <w:szCs w:val="21"/>
                <w:highlight w:val="none"/>
              </w:rPr>
            </w:pPr>
            <w:r>
              <w:rPr>
                <w:rFonts w:hint="eastAsia" w:ascii="宋体" w:hAnsi="宋体" w:cs="宋体"/>
                <w:color w:val="auto"/>
                <w:szCs w:val="21"/>
                <w:highlight w:val="none"/>
              </w:rPr>
              <w:t>3.1.9 离子透镜系统</w:t>
            </w:r>
          </w:p>
          <w:p>
            <w:pPr>
              <w:widowControl/>
              <w:spacing w:line="360" w:lineRule="exact"/>
              <w:jc w:val="left"/>
              <w:rPr>
                <w:rFonts w:ascii="宋体" w:hAnsi="宋体" w:cs="宋体"/>
                <w:color w:val="auto"/>
                <w:szCs w:val="21"/>
                <w:highlight w:val="none"/>
              </w:rPr>
            </w:pPr>
            <w:r>
              <w:rPr>
                <w:rFonts w:hint="eastAsia" w:ascii="宋体" w:hAnsi="宋体" w:cs="宋体"/>
                <w:color w:val="auto"/>
                <w:szCs w:val="21"/>
                <w:highlight w:val="none"/>
              </w:rPr>
              <w:t>3.1.9.1 四极杆离子提取透镜系统，可实现离子质量筛选功能。</w:t>
            </w:r>
          </w:p>
          <w:p>
            <w:pPr>
              <w:widowControl/>
              <w:spacing w:line="360" w:lineRule="exact"/>
              <w:jc w:val="left"/>
              <w:rPr>
                <w:rFonts w:ascii="宋体" w:hAnsi="宋体" w:cs="宋体"/>
                <w:color w:val="auto"/>
                <w:szCs w:val="21"/>
                <w:highlight w:val="none"/>
              </w:rPr>
            </w:pPr>
            <w:r>
              <w:rPr>
                <w:rFonts w:hint="eastAsia" w:ascii="宋体" w:hAnsi="宋体" w:cs="宋体"/>
                <w:color w:val="auto"/>
                <w:szCs w:val="21"/>
                <w:highlight w:val="none"/>
              </w:rPr>
              <w:t>3.1.9.2 正交90度离子偏转设计，彻底分离中性离子和光子，避免分析腔内样品沉积，无需对提取透镜、碰撞反应池、质量分析器的清洗和维护。</w:t>
            </w:r>
          </w:p>
          <w:p>
            <w:pPr>
              <w:widowControl/>
              <w:spacing w:line="360" w:lineRule="exact"/>
              <w:jc w:val="left"/>
              <w:rPr>
                <w:rFonts w:ascii="宋体" w:hAnsi="宋体" w:cs="宋体"/>
                <w:color w:val="auto"/>
                <w:szCs w:val="21"/>
                <w:highlight w:val="none"/>
              </w:rPr>
            </w:pPr>
            <w:r>
              <w:rPr>
                <w:rFonts w:hint="eastAsia" w:ascii="宋体" w:hAnsi="宋体" w:cs="宋体"/>
                <w:color w:val="auto"/>
                <w:szCs w:val="21"/>
                <w:highlight w:val="none"/>
              </w:rPr>
              <w:t>★3.1.10 四极杆碰撞反应池：池体内部或池体前端必须具有一套可实现质量筛选功能的四极杆结构设计，在同一试验方法中可以同时使用多种气体，包括碰撞模式（He 或H</w:t>
            </w:r>
            <w:r>
              <w:rPr>
                <w:rFonts w:hint="eastAsia" w:ascii="宋体" w:hAnsi="宋体" w:cs="宋体"/>
                <w:color w:val="auto"/>
                <w:szCs w:val="21"/>
                <w:highlight w:val="none"/>
                <w:vertAlign w:val="subscript"/>
              </w:rPr>
              <w:t>2</w:t>
            </w:r>
            <w:r>
              <w:rPr>
                <w:rFonts w:hint="eastAsia" w:ascii="宋体" w:hAnsi="宋体" w:cs="宋体"/>
                <w:color w:val="auto"/>
                <w:szCs w:val="21"/>
                <w:highlight w:val="none"/>
              </w:rPr>
              <w:t>气）、氧化反应模式（O</w:t>
            </w:r>
            <w:r>
              <w:rPr>
                <w:rFonts w:hint="eastAsia" w:ascii="宋体" w:hAnsi="宋体" w:cs="宋体"/>
                <w:color w:val="auto"/>
                <w:szCs w:val="21"/>
                <w:highlight w:val="none"/>
                <w:vertAlign w:val="subscript"/>
              </w:rPr>
              <w:t>2</w:t>
            </w:r>
            <w:r>
              <w:rPr>
                <w:rFonts w:hint="eastAsia" w:ascii="宋体" w:hAnsi="宋体" w:cs="宋体"/>
                <w:color w:val="auto"/>
                <w:szCs w:val="21"/>
                <w:highlight w:val="none"/>
              </w:rPr>
              <w:t>气）和还原反应模式三种模式切换。</w:t>
            </w:r>
          </w:p>
          <w:p>
            <w:pPr>
              <w:widowControl/>
              <w:spacing w:line="360" w:lineRule="exact"/>
              <w:jc w:val="left"/>
              <w:rPr>
                <w:rFonts w:ascii="宋体" w:hAnsi="宋体" w:cs="宋体"/>
                <w:color w:val="auto"/>
                <w:szCs w:val="21"/>
                <w:highlight w:val="none"/>
              </w:rPr>
            </w:pPr>
            <w:r>
              <w:rPr>
                <w:rFonts w:hint="eastAsia" w:ascii="宋体" w:hAnsi="宋体" w:cs="宋体"/>
                <w:color w:val="auto"/>
                <w:szCs w:val="21"/>
                <w:highlight w:val="none"/>
              </w:rPr>
              <w:t>3.1.11 四极杆质量分析器</w:t>
            </w:r>
          </w:p>
          <w:p>
            <w:pPr>
              <w:widowControl/>
              <w:spacing w:line="360" w:lineRule="exact"/>
              <w:jc w:val="left"/>
              <w:rPr>
                <w:rFonts w:ascii="宋体" w:hAnsi="宋体" w:cs="宋体"/>
                <w:color w:val="auto"/>
                <w:szCs w:val="21"/>
                <w:highlight w:val="none"/>
              </w:rPr>
            </w:pPr>
            <w:r>
              <w:rPr>
                <w:rFonts w:hint="eastAsia" w:ascii="宋体" w:hAnsi="宋体" w:cs="宋体"/>
                <w:color w:val="auto"/>
                <w:szCs w:val="21"/>
                <w:highlight w:val="none"/>
              </w:rPr>
              <w:t>3.1.13.1 材料：陶瓷镀金材料或特殊合金四极杆，保证四极杆的热稳定性。</w:t>
            </w:r>
          </w:p>
          <w:p>
            <w:pPr>
              <w:widowControl/>
              <w:spacing w:line="360" w:lineRule="exact"/>
              <w:jc w:val="left"/>
              <w:rPr>
                <w:rFonts w:ascii="宋体" w:hAnsi="宋体" w:cs="宋体"/>
                <w:color w:val="auto"/>
                <w:szCs w:val="21"/>
                <w:highlight w:val="none"/>
              </w:rPr>
            </w:pPr>
            <w:r>
              <w:rPr>
                <w:rFonts w:hint="eastAsia" w:ascii="宋体" w:hAnsi="宋体" w:cs="宋体"/>
                <w:color w:val="auto"/>
                <w:szCs w:val="21"/>
                <w:highlight w:val="none"/>
              </w:rPr>
              <w:t>★3.1.11.2 质谱范围：1～280amu。</w:t>
            </w:r>
          </w:p>
          <w:p>
            <w:pPr>
              <w:widowControl/>
              <w:spacing w:line="360" w:lineRule="exact"/>
              <w:jc w:val="left"/>
              <w:rPr>
                <w:rFonts w:ascii="宋体" w:hAnsi="宋体" w:cs="宋体"/>
                <w:color w:val="auto"/>
                <w:szCs w:val="21"/>
                <w:highlight w:val="none"/>
              </w:rPr>
            </w:pPr>
            <w:r>
              <w:rPr>
                <w:rFonts w:hint="eastAsia" w:ascii="宋体" w:hAnsi="宋体" w:cs="宋体"/>
                <w:color w:val="auto"/>
                <w:szCs w:val="21"/>
                <w:highlight w:val="none"/>
              </w:rPr>
              <w:t>3.1.11.3 驱动频率≥2.5MHz。</w:t>
            </w:r>
          </w:p>
          <w:p>
            <w:pPr>
              <w:widowControl/>
              <w:spacing w:line="360" w:lineRule="exact"/>
              <w:jc w:val="left"/>
              <w:rPr>
                <w:rFonts w:ascii="宋体" w:hAnsi="宋体" w:cs="宋体"/>
                <w:color w:val="auto"/>
                <w:szCs w:val="21"/>
                <w:highlight w:val="none"/>
              </w:rPr>
            </w:pPr>
            <w:r>
              <w:rPr>
                <w:rFonts w:hint="eastAsia" w:ascii="宋体" w:hAnsi="宋体" w:cs="宋体"/>
                <w:color w:val="auto"/>
                <w:szCs w:val="21"/>
                <w:highlight w:val="none"/>
              </w:rPr>
              <w:t>★3.1.11.4 具有不同分辨率模式，可以对不同元素进行不同分辨率的设定，要求在一次样品测试中，可以在线连续调节6种不同分辨率，调节范围0.2～2.0amu。</w:t>
            </w:r>
            <w:r>
              <w:rPr>
                <w:rFonts w:hint="eastAsia" w:ascii="宋体" w:hAnsi="宋体" w:cs="宋体"/>
                <w:b/>
                <w:color w:val="auto"/>
                <w:szCs w:val="21"/>
                <w:highlight w:val="none"/>
              </w:rPr>
              <w:t>提供6个不同分辨率的实时软件截图。</w:t>
            </w:r>
          </w:p>
          <w:p>
            <w:pPr>
              <w:widowControl/>
              <w:spacing w:line="360" w:lineRule="exact"/>
              <w:jc w:val="left"/>
              <w:rPr>
                <w:rFonts w:ascii="宋体" w:hAnsi="宋体" w:cs="宋体"/>
                <w:color w:val="auto"/>
                <w:szCs w:val="21"/>
                <w:highlight w:val="none"/>
              </w:rPr>
            </w:pPr>
            <w:r>
              <w:rPr>
                <w:rFonts w:hint="eastAsia" w:ascii="宋体" w:hAnsi="宋体" w:cs="宋体"/>
                <w:color w:val="auto"/>
                <w:szCs w:val="21"/>
                <w:highlight w:val="none"/>
              </w:rPr>
              <w:t>3.1.12 脉冲模拟双模式同时型电子倍增器，10个数量级的动态线性范围。</w:t>
            </w:r>
          </w:p>
          <w:p>
            <w:pPr>
              <w:widowControl/>
              <w:spacing w:line="360" w:lineRule="exact"/>
              <w:jc w:val="left"/>
              <w:rPr>
                <w:rFonts w:ascii="宋体" w:hAnsi="宋体" w:cs="宋体"/>
                <w:color w:val="auto"/>
                <w:szCs w:val="21"/>
                <w:highlight w:val="none"/>
              </w:rPr>
            </w:pPr>
            <w:r>
              <w:rPr>
                <w:rFonts w:hint="eastAsia" w:ascii="宋体" w:hAnsi="宋体" w:cs="宋体"/>
                <w:color w:val="auto"/>
                <w:szCs w:val="21"/>
                <w:highlight w:val="none"/>
              </w:rPr>
              <w:t>★3.1.13 四极杆最短驻留时间（dwell time）10μs</w:t>
            </w:r>
            <w:r>
              <w:rPr>
                <w:rFonts w:hint="eastAsia" w:ascii="宋体" w:hAnsi="宋体" w:cs="宋体"/>
                <w:b/>
                <w:color w:val="auto"/>
                <w:szCs w:val="21"/>
                <w:highlight w:val="none"/>
              </w:rPr>
              <w:t>（提供软件截图证明）</w:t>
            </w:r>
            <w:r>
              <w:rPr>
                <w:rFonts w:hint="eastAsia" w:ascii="宋体" w:hAnsi="宋体" w:cs="宋体"/>
                <w:color w:val="auto"/>
                <w:szCs w:val="21"/>
                <w:highlight w:val="none"/>
              </w:rPr>
              <w:t>。</w:t>
            </w:r>
          </w:p>
          <w:p>
            <w:pPr>
              <w:widowControl/>
              <w:spacing w:line="360" w:lineRule="exact"/>
              <w:jc w:val="left"/>
              <w:rPr>
                <w:rFonts w:ascii="宋体" w:hAnsi="宋体" w:cs="宋体"/>
                <w:color w:val="auto"/>
                <w:szCs w:val="21"/>
                <w:highlight w:val="none"/>
              </w:rPr>
            </w:pPr>
            <w:r>
              <w:rPr>
                <w:rFonts w:hint="eastAsia" w:ascii="宋体" w:hAnsi="宋体" w:cs="宋体"/>
                <w:color w:val="auto"/>
                <w:szCs w:val="21"/>
                <w:highlight w:val="none"/>
              </w:rPr>
              <w:t>3.1.14 四级真空系统：要求从大气压开始抽至可工作的真空度的时间小于10分钟。</w:t>
            </w:r>
          </w:p>
          <w:p>
            <w:pPr>
              <w:widowControl/>
              <w:spacing w:line="360" w:lineRule="exact"/>
              <w:jc w:val="left"/>
              <w:rPr>
                <w:rFonts w:ascii="宋体" w:hAnsi="宋体" w:cs="宋体"/>
                <w:color w:val="auto"/>
                <w:szCs w:val="21"/>
                <w:highlight w:val="none"/>
              </w:rPr>
            </w:pPr>
            <w:r>
              <w:rPr>
                <w:rFonts w:hint="eastAsia" w:ascii="宋体" w:hAnsi="宋体" w:cs="宋体"/>
                <w:color w:val="auto"/>
                <w:szCs w:val="21"/>
                <w:highlight w:val="none"/>
              </w:rPr>
              <w:t>★3.1.15 本仪器可实现纳米材料和单粒子中多元素快速分析，可检测20nm尺寸纳米粒子。</w:t>
            </w:r>
            <w:r>
              <w:rPr>
                <w:rFonts w:hint="eastAsia" w:ascii="宋体" w:hAnsi="宋体" w:cs="宋体"/>
                <w:b/>
                <w:color w:val="auto"/>
                <w:szCs w:val="21"/>
                <w:highlight w:val="none"/>
              </w:rPr>
              <w:t>（须有生产厂家盖章的文献证明）</w:t>
            </w:r>
          </w:p>
          <w:p>
            <w:pPr>
              <w:widowControl/>
              <w:spacing w:line="360" w:lineRule="exact"/>
              <w:jc w:val="left"/>
              <w:rPr>
                <w:rFonts w:ascii="宋体" w:hAnsi="宋体" w:cs="宋体"/>
                <w:color w:val="auto"/>
                <w:szCs w:val="21"/>
                <w:highlight w:val="none"/>
              </w:rPr>
            </w:pPr>
            <w:r>
              <w:rPr>
                <w:rFonts w:hint="eastAsia" w:ascii="宋体" w:hAnsi="宋体" w:cs="宋体"/>
                <w:color w:val="auto"/>
                <w:szCs w:val="21"/>
                <w:highlight w:val="none"/>
              </w:rPr>
              <w:t>3.1.16 自动进样器</w:t>
            </w:r>
          </w:p>
          <w:p>
            <w:pPr>
              <w:widowControl/>
              <w:spacing w:line="360" w:lineRule="exact"/>
              <w:jc w:val="left"/>
              <w:rPr>
                <w:rFonts w:ascii="宋体" w:hAnsi="宋体" w:cs="宋体"/>
                <w:color w:val="auto"/>
                <w:szCs w:val="21"/>
                <w:highlight w:val="none"/>
              </w:rPr>
            </w:pPr>
            <w:r>
              <w:rPr>
                <w:rFonts w:hint="eastAsia" w:ascii="宋体" w:hAnsi="宋体" w:cs="宋体"/>
                <w:color w:val="auto"/>
                <w:szCs w:val="21"/>
                <w:highlight w:val="none"/>
              </w:rPr>
              <w:t>3.1.16.1 样品容量：158位。</w:t>
            </w:r>
          </w:p>
          <w:p>
            <w:pPr>
              <w:widowControl/>
              <w:spacing w:line="360" w:lineRule="exact"/>
              <w:jc w:val="left"/>
              <w:rPr>
                <w:rFonts w:ascii="宋体" w:hAnsi="宋体" w:cs="宋体"/>
                <w:color w:val="auto"/>
                <w:szCs w:val="21"/>
                <w:highlight w:val="none"/>
              </w:rPr>
            </w:pPr>
            <w:r>
              <w:rPr>
                <w:rFonts w:hint="eastAsia" w:ascii="宋体" w:hAnsi="宋体" w:cs="宋体"/>
                <w:color w:val="auto"/>
                <w:szCs w:val="21"/>
                <w:highlight w:val="none"/>
              </w:rPr>
              <w:t>3.1.16.2 样品架：一个9位/29位（50ml/15ml样品管）样品架和2个60位（15ml样品管）样品盘。</w:t>
            </w:r>
          </w:p>
          <w:p>
            <w:pPr>
              <w:widowControl/>
              <w:spacing w:line="360" w:lineRule="exact"/>
              <w:jc w:val="left"/>
              <w:rPr>
                <w:rFonts w:ascii="宋体" w:hAnsi="宋体" w:cs="宋体"/>
                <w:color w:val="auto"/>
                <w:szCs w:val="21"/>
                <w:highlight w:val="none"/>
              </w:rPr>
            </w:pPr>
            <w:r>
              <w:rPr>
                <w:rFonts w:hint="eastAsia" w:ascii="宋体" w:hAnsi="宋体" w:cs="宋体"/>
                <w:color w:val="auto"/>
                <w:szCs w:val="21"/>
                <w:highlight w:val="none"/>
              </w:rPr>
              <w:t>3.2 软件</w:t>
            </w:r>
          </w:p>
          <w:p>
            <w:pPr>
              <w:widowControl/>
              <w:spacing w:line="360" w:lineRule="exact"/>
              <w:jc w:val="left"/>
              <w:rPr>
                <w:rFonts w:ascii="宋体" w:hAnsi="宋体" w:cs="宋体"/>
                <w:color w:val="auto"/>
                <w:szCs w:val="21"/>
                <w:highlight w:val="none"/>
              </w:rPr>
            </w:pPr>
            <w:r>
              <w:rPr>
                <w:rFonts w:hint="eastAsia" w:ascii="宋体" w:hAnsi="宋体" w:cs="宋体"/>
                <w:color w:val="auto"/>
                <w:szCs w:val="21"/>
                <w:highlight w:val="none"/>
              </w:rPr>
              <w:t>3.2.1 操作系统：Microsoft Windows 多任务，多用户系统软件。</w:t>
            </w:r>
          </w:p>
          <w:p>
            <w:pPr>
              <w:widowControl/>
              <w:spacing w:line="360" w:lineRule="exact"/>
              <w:jc w:val="left"/>
              <w:rPr>
                <w:rFonts w:ascii="宋体" w:hAnsi="宋体" w:cs="宋体"/>
                <w:color w:val="auto"/>
                <w:szCs w:val="21"/>
                <w:highlight w:val="none"/>
              </w:rPr>
            </w:pPr>
            <w:r>
              <w:rPr>
                <w:rFonts w:hint="eastAsia" w:ascii="宋体" w:hAnsi="宋体" w:cs="宋体"/>
                <w:color w:val="auto"/>
                <w:szCs w:val="21"/>
                <w:highlight w:val="none"/>
              </w:rPr>
              <w:t>3.2.2 全自动分析功能（启动关闭仪器,炬位调整，等离子体参数，离子透镜，标准等离子体条件与冷等离子体条件切换，标准模式与碰撞反应池模式切换等）</w:t>
            </w:r>
          </w:p>
          <w:p>
            <w:pPr>
              <w:widowControl/>
              <w:spacing w:line="360" w:lineRule="exact"/>
              <w:jc w:val="left"/>
              <w:rPr>
                <w:rFonts w:ascii="宋体" w:hAnsi="宋体" w:cs="宋体"/>
                <w:color w:val="auto"/>
                <w:szCs w:val="21"/>
                <w:highlight w:val="none"/>
              </w:rPr>
            </w:pPr>
            <w:r>
              <w:rPr>
                <w:rFonts w:hint="eastAsia" w:ascii="宋体" w:hAnsi="宋体" w:cs="宋体"/>
                <w:color w:val="auto"/>
                <w:szCs w:val="21"/>
                <w:highlight w:val="none"/>
              </w:rPr>
              <w:t>3.2.3 实时数据显示和实时报告显示。</w:t>
            </w:r>
          </w:p>
          <w:p>
            <w:pPr>
              <w:widowControl/>
              <w:spacing w:line="360" w:lineRule="exact"/>
              <w:jc w:val="left"/>
              <w:rPr>
                <w:rFonts w:ascii="宋体" w:hAnsi="宋体" w:cs="宋体"/>
                <w:color w:val="auto"/>
                <w:szCs w:val="21"/>
                <w:highlight w:val="none"/>
              </w:rPr>
            </w:pPr>
            <w:r>
              <w:rPr>
                <w:rFonts w:hint="eastAsia" w:ascii="宋体" w:hAnsi="宋体" w:cs="宋体"/>
                <w:color w:val="auto"/>
                <w:szCs w:val="21"/>
                <w:highlight w:val="none"/>
              </w:rPr>
              <w:t>3.2.4 ICP-MS 操作软件可以安装于个人计算机上，至少能安装在5个使用者的个人计算机上。样品分析数据可以使用此软件进行离线数据处理，并生成报告。</w:t>
            </w:r>
          </w:p>
          <w:p>
            <w:pPr>
              <w:widowControl/>
              <w:spacing w:line="360" w:lineRule="exact"/>
              <w:jc w:val="left"/>
              <w:rPr>
                <w:rFonts w:ascii="宋体" w:hAnsi="宋体" w:cs="宋体"/>
                <w:color w:val="auto"/>
                <w:szCs w:val="21"/>
                <w:highlight w:val="none"/>
              </w:rPr>
            </w:pPr>
            <w:r>
              <w:rPr>
                <w:rFonts w:hint="eastAsia" w:ascii="宋体" w:hAnsi="宋体" w:cs="宋体"/>
                <w:color w:val="auto"/>
                <w:szCs w:val="21"/>
                <w:highlight w:val="none"/>
              </w:rPr>
              <w:t>4、仪器性能指标</w:t>
            </w:r>
          </w:p>
          <w:p>
            <w:pPr>
              <w:widowControl/>
              <w:spacing w:line="360" w:lineRule="exact"/>
              <w:jc w:val="left"/>
              <w:rPr>
                <w:rFonts w:ascii="宋体" w:hAnsi="宋体" w:cs="宋体"/>
                <w:color w:val="auto"/>
                <w:szCs w:val="21"/>
                <w:highlight w:val="none"/>
              </w:rPr>
            </w:pPr>
            <w:r>
              <w:rPr>
                <w:rFonts w:hint="eastAsia" w:ascii="宋体" w:hAnsi="宋体" w:cs="宋体"/>
                <w:color w:val="auto"/>
                <w:szCs w:val="21"/>
                <w:highlight w:val="none"/>
              </w:rPr>
              <w:t>4.1 标准模式下灵敏度</w:t>
            </w:r>
          </w:p>
          <w:p>
            <w:pPr>
              <w:widowControl/>
              <w:spacing w:line="360" w:lineRule="exact"/>
              <w:jc w:val="left"/>
              <w:rPr>
                <w:rFonts w:ascii="宋体" w:hAnsi="宋体" w:cs="宋体"/>
                <w:color w:val="auto"/>
                <w:szCs w:val="21"/>
                <w:highlight w:val="none"/>
              </w:rPr>
            </w:pPr>
            <w:r>
              <w:rPr>
                <w:rFonts w:hint="eastAsia" w:ascii="宋体" w:hAnsi="宋体" w:cs="宋体"/>
                <w:color w:val="auto"/>
                <w:szCs w:val="21"/>
                <w:highlight w:val="none"/>
              </w:rPr>
              <w:t>4.1.1 低质量数（Li）：≥50M cps/ppm</w:t>
            </w:r>
          </w:p>
          <w:p>
            <w:pPr>
              <w:widowControl/>
              <w:spacing w:line="360" w:lineRule="exact"/>
              <w:jc w:val="left"/>
              <w:rPr>
                <w:rFonts w:ascii="宋体" w:hAnsi="宋体" w:cs="宋体"/>
                <w:color w:val="auto"/>
                <w:szCs w:val="21"/>
                <w:highlight w:val="none"/>
              </w:rPr>
            </w:pPr>
            <w:r>
              <w:rPr>
                <w:rFonts w:hint="eastAsia" w:ascii="宋体" w:hAnsi="宋体" w:cs="宋体"/>
                <w:color w:val="auto"/>
                <w:szCs w:val="21"/>
                <w:highlight w:val="none"/>
              </w:rPr>
              <w:t>4.1.2 中质量数（In 或Y）：≥100M cps/ppm</w:t>
            </w:r>
          </w:p>
          <w:p>
            <w:pPr>
              <w:widowControl/>
              <w:spacing w:line="360" w:lineRule="exact"/>
              <w:jc w:val="left"/>
              <w:rPr>
                <w:rFonts w:ascii="宋体" w:hAnsi="宋体" w:cs="宋体"/>
                <w:color w:val="auto"/>
                <w:szCs w:val="21"/>
                <w:highlight w:val="none"/>
              </w:rPr>
            </w:pPr>
            <w:r>
              <w:rPr>
                <w:rFonts w:hint="eastAsia" w:ascii="宋体" w:hAnsi="宋体" w:cs="宋体"/>
                <w:color w:val="auto"/>
                <w:szCs w:val="21"/>
                <w:highlight w:val="none"/>
              </w:rPr>
              <w:t>4.1.3 高质量数（U 或Tl）：≥80M cps/ppm</w:t>
            </w:r>
          </w:p>
          <w:p>
            <w:pPr>
              <w:widowControl/>
              <w:spacing w:line="360" w:lineRule="exact"/>
              <w:jc w:val="left"/>
              <w:rPr>
                <w:rFonts w:ascii="宋体" w:hAnsi="宋体" w:cs="宋体"/>
                <w:color w:val="auto"/>
                <w:szCs w:val="21"/>
                <w:highlight w:val="none"/>
              </w:rPr>
            </w:pPr>
            <w:r>
              <w:rPr>
                <w:rFonts w:hint="eastAsia" w:ascii="宋体" w:hAnsi="宋体" w:cs="宋体"/>
                <w:color w:val="auto"/>
                <w:szCs w:val="21"/>
                <w:highlight w:val="none"/>
              </w:rPr>
              <w:t>4.2 随机背景：＜1 cps（4.5 或220）</w:t>
            </w:r>
          </w:p>
          <w:p>
            <w:pPr>
              <w:widowControl/>
              <w:spacing w:line="360" w:lineRule="exact"/>
              <w:jc w:val="left"/>
              <w:rPr>
                <w:rFonts w:ascii="宋体" w:hAnsi="宋体" w:cs="宋体"/>
                <w:color w:val="auto"/>
                <w:szCs w:val="21"/>
                <w:highlight w:val="none"/>
              </w:rPr>
            </w:pPr>
            <w:r>
              <w:rPr>
                <w:rFonts w:hint="eastAsia" w:ascii="宋体" w:hAnsi="宋体" w:cs="宋体"/>
                <w:color w:val="auto"/>
                <w:szCs w:val="21"/>
                <w:highlight w:val="none"/>
              </w:rPr>
              <w:t>4.3 氧化物离子（CeO+/Ce+）≤2.5%，双电荷粒子（CeO+/Ce+）≤3%。（不带制冷）</w:t>
            </w:r>
          </w:p>
          <w:p>
            <w:pPr>
              <w:widowControl/>
              <w:spacing w:line="360" w:lineRule="exact"/>
              <w:jc w:val="left"/>
              <w:rPr>
                <w:rFonts w:ascii="宋体" w:hAnsi="宋体" w:cs="宋体"/>
                <w:color w:val="auto"/>
                <w:szCs w:val="21"/>
                <w:highlight w:val="none"/>
              </w:rPr>
            </w:pPr>
            <w:r>
              <w:rPr>
                <w:rFonts w:hint="eastAsia" w:ascii="宋体" w:hAnsi="宋体" w:cs="宋体"/>
                <w:color w:val="auto"/>
                <w:szCs w:val="21"/>
                <w:highlight w:val="none"/>
              </w:rPr>
              <w:t>4.4 仪器检出限</w:t>
            </w:r>
          </w:p>
          <w:p>
            <w:pPr>
              <w:widowControl/>
              <w:spacing w:line="360" w:lineRule="exact"/>
              <w:jc w:val="left"/>
              <w:rPr>
                <w:rFonts w:ascii="宋体" w:hAnsi="宋体" w:cs="宋体"/>
                <w:color w:val="auto"/>
                <w:szCs w:val="21"/>
                <w:highlight w:val="none"/>
              </w:rPr>
            </w:pPr>
            <w:r>
              <w:rPr>
                <w:rFonts w:hint="eastAsia" w:ascii="宋体" w:hAnsi="宋体" w:cs="宋体"/>
                <w:color w:val="auto"/>
                <w:szCs w:val="21"/>
                <w:highlight w:val="none"/>
              </w:rPr>
              <w:t>4.4.1 轻质量元素：Be≤0.5ppt</w:t>
            </w:r>
          </w:p>
          <w:p>
            <w:pPr>
              <w:widowControl/>
              <w:spacing w:line="360" w:lineRule="exact"/>
              <w:jc w:val="left"/>
              <w:rPr>
                <w:rFonts w:ascii="宋体" w:hAnsi="宋体" w:cs="宋体"/>
                <w:color w:val="auto"/>
                <w:szCs w:val="21"/>
                <w:highlight w:val="none"/>
              </w:rPr>
            </w:pPr>
            <w:r>
              <w:rPr>
                <w:rFonts w:hint="eastAsia" w:ascii="宋体" w:hAnsi="宋体" w:cs="宋体"/>
                <w:color w:val="auto"/>
                <w:szCs w:val="21"/>
                <w:highlight w:val="none"/>
              </w:rPr>
              <w:t>4.4.2 中质量数元素：In≤0.1 ppt</w:t>
            </w:r>
          </w:p>
          <w:p>
            <w:pPr>
              <w:widowControl/>
              <w:spacing w:line="360" w:lineRule="exact"/>
              <w:jc w:val="left"/>
              <w:rPr>
                <w:rFonts w:ascii="宋体" w:hAnsi="宋体" w:cs="宋体"/>
                <w:color w:val="auto"/>
                <w:szCs w:val="21"/>
                <w:highlight w:val="none"/>
              </w:rPr>
            </w:pPr>
            <w:r>
              <w:rPr>
                <w:rFonts w:hint="eastAsia" w:ascii="宋体" w:hAnsi="宋体" w:cs="宋体"/>
                <w:color w:val="auto"/>
                <w:szCs w:val="21"/>
                <w:highlight w:val="none"/>
              </w:rPr>
              <w:t>4.4.3 高质量数元素：U≤0.1 ppt</w:t>
            </w:r>
          </w:p>
          <w:p>
            <w:pPr>
              <w:widowControl/>
              <w:spacing w:line="360" w:lineRule="exact"/>
              <w:jc w:val="left"/>
              <w:rPr>
                <w:rFonts w:ascii="宋体" w:hAnsi="宋体" w:cs="宋体"/>
                <w:color w:val="auto"/>
                <w:szCs w:val="21"/>
                <w:highlight w:val="none"/>
              </w:rPr>
            </w:pPr>
            <w:r>
              <w:rPr>
                <w:rFonts w:hint="eastAsia" w:ascii="宋体" w:hAnsi="宋体" w:cs="宋体"/>
                <w:color w:val="auto"/>
                <w:szCs w:val="21"/>
                <w:highlight w:val="none"/>
              </w:rPr>
              <w:t>4.5 稳定性</w:t>
            </w:r>
          </w:p>
          <w:p>
            <w:pPr>
              <w:widowControl/>
              <w:spacing w:line="360" w:lineRule="exact"/>
              <w:jc w:val="left"/>
              <w:rPr>
                <w:rFonts w:ascii="宋体" w:hAnsi="宋体" w:cs="宋体"/>
                <w:color w:val="auto"/>
                <w:szCs w:val="21"/>
                <w:highlight w:val="none"/>
              </w:rPr>
            </w:pPr>
            <w:r>
              <w:rPr>
                <w:rFonts w:hint="eastAsia" w:ascii="宋体" w:hAnsi="宋体" w:cs="宋体"/>
                <w:color w:val="auto"/>
                <w:szCs w:val="21"/>
                <w:highlight w:val="none"/>
              </w:rPr>
              <w:t>4.5.1 短期稳定性（RSD）：≤3%（20分钟，1ppb混合溶液、无内标、不同模式间切换）</w:t>
            </w:r>
          </w:p>
          <w:p>
            <w:pPr>
              <w:widowControl/>
              <w:spacing w:line="360" w:lineRule="exact"/>
              <w:jc w:val="left"/>
              <w:rPr>
                <w:rFonts w:ascii="宋体" w:hAnsi="宋体" w:cs="宋体"/>
                <w:color w:val="auto"/>
                <w:szCs w:val="21"/>
                <w:highlight w:val="none"/>
              </w:rPr>
            </w:pPr>
            <w:r>
              <w:rPr>
                <w:rFonts w:hint="eastAsia" w:ascii="宋体" w:hAnsi="宋体" w:cs="宋体"/>
                <w:color w:val="auto"/>
                <w:szCs w:val="21"/>
                <w:highlight w:val="none"/>
              </w:rPr>
              <w:t>4.5.2 长期稳定性（RSD）：≤4%（4小时，1ppb混合溶液、无内标、不同模式间切换）</w:t>
            </w:r>
          </w:p>
          <w:p>
            <w:pPr>
              <w:widowControl/>
              <w:spacing w:line="360" w:lineRule="exact"/>
              <w:jc w:val="left"/>
              <w:rPr>
                <w:rFonts w:ascii="宋体" w:hAnsi="宋体" w:cs="宋体"/>
                <w:color w:val="auto"/>
                <w:szCs w:val="21"/>
                <w:highlight w:val="none"/>
              </w:rPr>
            </w:pPr>
            <w:r>
              <w:rPr>
                <w:rFonts w:hint="eastAsia" w:ascii="宋体" w:hAnsi="宋体" w:cs="宋体"/>
                <w:color w:val="auto"/>
                <w:szCs w:val="21"/>
                <w:highlight w:val="none"/>
              </w:rPr>
              <w:t>4.6 质谱校正稳定性：≤0.025amu/24h</w:t>
            </w:r>
          </w:p>
          <w:p>
            <w:pPr>
              <w:widowControl/>
              <w:spacing w:line="360" w:lineRule="exact"/>
              <w:jc w:val="left"/>
              <w:rPr>
                <w:rFonts w:ascii="宋体" w:hAnsi="宋体" w:cs="宋体"/>
                <w:b/>
                <w:color w:val="auto"/>
                <w:szCs w:val="21"/>
                <w:highlight w:val="none"/>
              </w:rPr>
            </w:pPr>
            <w:r>
              <w:rPr>
                <w:rFonts w:hint="eastAsia" w:ascii="宋体" w:hAnsi="宋体" w:cs="宋体"/>
                <w:color w:val="auto"/>
                <w:szCs w:val="21"/>
                <w:highlight w:val="none"/>
              </w:rPr>
              <w:t>★4.7 同位素精度：Ag107/Ag108≤0.08%；</w:t>
            </w:r>
            <w:r>
              <w:rPr>
                <w:rFonts w:hint="eastAsia" w:ascii="宋体" w:hAnsi="宋体" w:cs="宋体"/>
                <w:b/>
                <w:color w:val="auto"/>
                <w:szCs w:val="21"/>
                <w:highlight w:val="none"/>
              </w:rPr>
              <w:t>（须有生产厂家盖章的文献证明）</w:t>
            </w:r>
          </w:p>
          <w:p>
            <w:pPr>
              <w:widowControl/>
              <w:spacing w:line="360" w:lineRule="exact"/>
              <w:jc w:val="left"/>
              <w:rPr>
                <w:rFonts w:ascii="宋体" w:hAnsi="宋体" w:cs="宋体"/>
                <w:color w:val="auto"/>
                <w:szCs w:val="21"/>
                <w:highlight w:val="none"/>
              </w:rPr>
            </w:pPr>
            <w:r>
              <w:rPr>
                <w:rFonts w:hint="eastAsia" w:ascii="宋体" w:hAnsi="宋体" w:cs="宋体"/>
                <w:color w:val="auto"/>
                <w:szCs w:val="21"/>
                <w:highlight w:val="none"/>
              </w:rPr>
              <w:t>5、仪器配置要求</w:t>
            </w:r>
          </w:p>
          <w:p>
            <w:pPr>
              <w:widowControl/>
              <w:spacing w:line="360" w:lineRule="exact"/>
              <w:jc w:val="left"/>
              <w:rPr>
                <w:rFonts w:ascii="宋体" w:hAnsi="宋体" w:cs="宋体"/>
                <w:color w:val="auto"/>
                <w:szCs w:val="21"/>
                <w:highlight w:val="none"/>
              </w:rPr>
            </w:pPr>
            <w:r>
              <w:rPr>
                <w:rFonts w:hint="eastAsia" w:ascii="宋体" w:hAnsi="宋体" w:cs="宋体"/>
                <w:color w:val="auto"/>
                <w:szCs w:val="21"/>
                <w:highlight w:val="none"/>
              </w:rPr>
              <w:t>5.1 四极杆电感耦合等离子体质谱主机1 套；</w:t>
            </w:r>
          </w:p>
          <w:p>
            <w:pPr>
              <w:widowControl/>
              <w:spacing w:line="360" w:lineRule="exact"/>
              <w:jc w:val="left"/>
              <w:rPr>
                <w:rFonts w:ascii="宋体" w:hAnsi="宋体" w:cs="宋体"/>
                <w:color w:val="auto"/>
                <w:szCs w:val="21"/>
                <w:highlight w:val="none"/>
              </w:rPr>
            </w:pPr>
            <w:r>
              <w:rPr>
                <w:rFonts w:hint="eastAsia" w:ascii="宋体" w:hAnsi="宋体" w:cs="宋体"/>
                <w:color w:val="auto"/>
                <w:szCs w:val="21"/>
                <w:highlight w:val="none"/>
              </w:rPr>
              <w:t>5.2 自动进样器1 套；</w:t>
            </w:r>
          </w:p>
          <w:p>
            <w:pPr>
              <w:widowControl/>
              <w:spacing w:line="360" w:lineRule="exact"/>
              <w:jc w:val="left"/>
              <w:rPr>
                <w:rFonts w:ascii="宋体" w:hAnsi="宋体" w:cs="宋体"/>
                <w:color w:val="auto"/>
                <w:szCs w:val="21"/>
                <w:highlight w:val="none"/>
              </w:rPr>
            </w:pPr>
            <w:r>
              <w:rPr>
                <w:rFonts w:hint="eastAsia" w:ascii="宋体" w:hAnsi="宋体" w:cs="宋体"/>
                <w:color w:val="auto"/>
                <w:szCs w:val="21"/>
                <w:highlight w:val="none"/>
              </w:rPr>
              <w:t>5.3 具有1路质量流量计的碰撞和反应池1 个；</w:t>
            </w:r>
          </w:p>
          <w:p>
            <w:pPr>
              <w:widowControl/>
              <w:spacing w:line="360" w:lineRule="exact"/>
              <w:jc w:val="left"/>
              <w:rPr>
                <w:rFonts w:ascii="宋体" w:hAnsi="宋体" w:cs="宋体"/>
                <w:color w:val="auto"/>
                <w:szCs w:val="21"/>
                <w:highlight w:val="none"/>
              </w:rPr>
            </w:pPr>
            <w:r>
              <w:rPr>
                <w:rFonts w:hint="eastAsia" w:ascii="宋体" w:hAnsi="宋体" w:cs="宋体"/>
                <w:color w:val="auto"/>
                <w:szCs w:val="21"/>
                <w:highlight w:val="none"/>
              </w:rPr>
              <w:t>5.4 工作站软件1 个，至少5 个使用安装控制账号；</w:t>
            </w:r>
          </w:p>
          <w:p>
            <w:pPr>
              <w:widowControl/>
              <w:spacing w:line="360" w:lineRule="exact"/>
              <w:jc w:val="left"/>
              <w:rPr>
                <w:rFonts w:ascii="宋体" w:hAnsi="宋体" w:cs="宋体"/>
                <w:color w:val="auto"/>
                <w:szCs w:val="21"/>
                <w:highlight w:val="none"/>
              </w:rPr>
            </w:pPr>
            <w:r>
              <w:rPr>
                <w:rFonts w:hint="eastAsia" w:ascii="宋体" w:hAnsi="宋体" w:cs="宋体"/>
                <w:color w:val="auto"/>
                <w:szCs w:val="21"/>
                <w:highlight w:val="none"/>
              </w:rPr>
              <w:t>5.5 循环冷却水系统（5～35℃控温）1 台；</w:t>
            </w:r>
          </w:p>
          <w:p>
            <w:pPr>
              <w:widowControl/>
              <w:spacing w:line="360" w:lineRule="exact"/>
              <w:jc w:val="left"/>
              <w:rPr>
                <w:rFonts w:ascii="宋体" w:hAnsi="宋体" w:cs="宋体"/>
                <w:color w:val="auto"/>
                <w:szCs w:val="21"/>
                <w:highlight w:val="none"/>
              </w:rPr>
            </w:pPr>
            <w:r>
              <w:rPr>
                <w:rFonts w:hint="eastAsia" w:ascii="宋体" w:hAnsi="宋体" w:cs="宋体"/>
                <w:color w:val="auto"/>
                <w:szCs w:val="21"/>
                <w:highlight w:val="none"/>
              </w:rPr>
              <w:t>5.6 调试溶液2 瓶。</w:t>
            </w:r>
          </w:p>
          <w:p>
            <w:pPr>
              <w:widowControl/>
              <w:spacing w:line="360" w:lineRule="exact"/>
              <w:jc w:val="left"/>
              <w:rPr>
                <w:rFonts w:ascii="宋体" w:hAnsi="宋体" w:cs="宋体"/>
                <w:color w:val="auto"/>
                <w:szCs w:val="21"/>
                <w:highlight w:val="none"/>
              </w:rPr>
            </w:pPr>
            <w:r>
              <w:rPr>
                <w:rFonts w:hint="eastAsia" w:ascii="宋体" w:hAnsi="宋体" w:cs="宋体"/>
                <w:color w:val="auto"/>
                <w:szCs w:val="21"/>
                <w:highlight w:val="none"/>
              </w:rPr>
              <w:t>5.7 消耗品备品备件：镍采样锥4个、镍截取锥4个、超级锥2个、石英矩管4支、采样锥垫片10个、进样泵管60根、废液管48根、进样毛细管3套、多元素混合标准溶液2瓶、样品管500个。</w:t>
            </w:r>
          </w:p>
          <w:p>
            <w:pPr>
              <w:spacing w:line="360" w:lineRule="exact"/>
              <w:jc w:val="left"/>
              <w:rPr>
                <w:rFonts w:ascii="宋体" w:hAnsi="宋体" w:cs="宋体"/>
                <w:color w:val="auto"/>
                <w:szCs w:val="21"/>
                <w:highlight w:val="none"/>
              </w:rPr>
            </w:pPr>
            <w:r>
              <w:rPr>
                <w:rFonts w:hint="eastAsia" w:ascii="宋体" w:hAnsi="宋体" w:cs="宋体"/>
                <w:color w:val="auto"/>
                <w:szCs w:val="21"/>
                <w:highlight w:val="none"/>
              </w:rPr>
              <w:t>5.8 台式电脑1台，激光打印机1台，UPS不间断电源 6KW（2小时）1套。</w:t>
            </w:r>
          </w:p>
          <w:p>
            <w:pPr>
              <w:widowControl/>
              <w:spacing w:line="360" w:lineRule="exact"/>
              <w:jc w:val="left"/>
              <w:rPr>
                <w:rFonts w:ascii="宋体" w:hAnsi="宋体" w:cs="宋体"/>
                <w:color w:val="auto"/>
                <w:szCs w:val="21"/>
                <w:highlight w:val="none"/>
              </w:rPr>
            </w:pPr>
            <w:r>
              <w:rPr>
                <w:rFonts w:hint="eastAsia" w:ascii="宋体" w:hAnsi="宋体" w:cs="宋体"/>
                <w:color w:val="auto"/>
                <w:szCs w:val="21"/>
                <w:highlight w:val="none"/>
              </w:rPr>
              <w:t>5.9 氩气钢瓶40L带减压阀2 瓶，氦气40L带减压阀1瓶，氨气8L带减压阀1瓶，氧气8L带减压阀1瓶。</w:t>
            </w:r>
          </w:p>
          <w:p>
            <w:pPr>
              <w:widowControl/>
              <w:spacing w:line="360" w:lineRule="exact"/>
              <w:jc w:val="left"/>
              <w:textAlignment w:val="center"/>
              <w:rPr>
                <w:rFonts w:ascii="宋体" w:hAnsi="宋体" w:cs="宋体"/>
                <w:color w:val="auto"/>
                <w:szCs w:val="21"/>
                <w:highlight w:val="none"/>
              </w:rPr>
            </w:pPr>
            <w:r>
              <w:rPr>
                <w:rFonts w:hint="eastAsia" w:ascii="宋体" w:hAnsi="宋体" w:cs="宋体"/>
                <w:bCs/>
                <w:color w:val="auto"/>
                <w:szCs w:val="21"/>
                <w:highlight w:val="none"/>
              </w:rPr>
              <w:t>6、培训应用支持：除现场</w:t>
            </w:r>
            <w:r>
              <w:rPr>
                <w:rFonts w:hint="eastAsia" w:ascii="宋体" w:hAnsi="宋体" w:cs="宋体"/>
                <w:color w:val="auto"/>
                <w:szCs w:val="21"/>
                <w:highlight w:val="none"/>
              </w:rPr>
              <w:t>仪器操作、日常维护</w:t>
            </w:r>
            <w:r>
              <w:rPr>
                <w:rFonts w:hint="eastAsia" w:ascii="宋体" w:hAnsi="宋体" w:cs="宋体"/>
                <w:bCs/>
                <w:color w:val="auto"/>
                <w:szCs w:val="21"/>
                <w:highlight w:val="none"/>
              </w:rPr>
              <w:t>培训外，厂家还提供应用支持，现场协助建立至少1个多元素的仪器方法，能够为用户在方法开发及优化方面提供技术支持及协助。</w:t>
            </w:r>
            <w:r>
              <w:rPr>
                <w:rFonts w:hint="eastAsia" w:ascii="宋体" w:hAnsi="宋体" w:cs="宋体"/>
                <w:color w:val="auto"/>
                <w:szCs w:val="21"/>
                <w:highlight w:val="none"/>
              </w:rPr>
              <w:t>提供至少2个免费培训名额参加厂家在正规培训中心的官方集中培训。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2</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原子吸收光谱仪</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 w:val="22"/>
                <w:szCs w:val="22"/>
                <w:highlight w:val="none"/>
              </w:rPr>
              <w:t>1套</w:t>
            </w:r>
          </w:p>
        </w:tc>
        <w:tc>
          <w:tcPr>
            <w:tcW w:w="6840" w:type="dxa"/>
            <w:tcBorders>
              <w:top w:val="single" w:color="auto" w:sz="4" w:space="0"/>
              <w:left w:val="single" w:color="auto" w:sz="4" w:space="0"/>
              <w:right w:val="single" w:color="auto" w:sz="4" w:space="0"/>
            </w:tcBorders>
            <w:vAlign w:val="center"/>
          </w:tcPr>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1、工作条件</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1.1 电源要求：230V（+5%～-10%），50/60 Hz；5000VA。</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1.2 环境温度：+15℃～+35℃。</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1.3 相对湿度：20～80%。</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2. 系统描述</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台式设计原子吸收光谱仪，火焰、石墨炉一体机。</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3、光学系统和检测器技术指标</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3.1 光学系统：实时双光束，1800线/mm</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★3.2大面积平面光栅分光系统，光栅面积60×60mm</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3.3波长范围：190～900nm</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3.4狭缝：狭缝的宽度自动选择，狭缝的高度自动选择</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★3.5检测器：全谱高灵敏度阵列式多象素点CCD固态检测器或双光电倍增管检测器。</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★3.6灯选择：8灯位；内置两种灯电源，可连接无极放电灯或同品牌双泵氢化物发生装置。</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4、火焰系统技术指标</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 xml:space="preserve">4.1火焰系统安全保护：安全联锁装置与燃烧头，雾化器/端盖，排液系统，废液桶液面高度，气体流量等联锁，防止在任何不当条件下点火，当监测不到火焰或任何锁定功能能激活时，联锁系统会自动关闭燃烧气体，以防万一。突然断电时，仪器会从任何操作方式按预设程序自动关机，确保安全。 </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4.2燃烧器系统：预混燃烧器可通过软件控制驱动装置自动换入样品室。火焰在光路中的准直，燃烧器的垂直，水平位置的调节完全自动化，并由软件控制自动进行位置最佳化。</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4.3燃烧系统：可调式通用型雾化器，高强度惰性材料预混室，全钛燃烧头</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4.4排液系统：排液系统前置以利于随时检测。</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★4.5火焰进样系统：火焰系统具有悬浮液直接进样功能，可以直接分析悬浮奶粉等，并有实际应用。</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4.6兼容性：全面兼容国产的氢化物发生器和国产灯，软件可以用峰面积进行计算，也可以使用峰高进行计算，利用国产的氢化物发生器和国产的As灯测量砷的标准曲线，砷的标准溶液浓度分别为2、4、6ppb，线性系数优于0.9999。</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5、石墨炉系统技术指标</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★5.1石墨炉背景扣除方式：采用纵向塞曼背景校正方式。</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★5.2石墨炉加热方式：采用横向加热方式。</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★5.3石墨炉AAS进样系统，具有130位以上的自动进样器，进样量1～99微升连续可调。</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★5.4石墨炉AAS进样系统，配备加氧装置，加氧流量50mL/min和250mL/min。</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5.5石墨炉灵敏度，25ppb Cu 进样20微升，特征质量＜16.5pg，精密度RSD＜2%。测量方法按照中华人民共和国国家标准GB/T 21187-2007的4.5.2.2、4.6.2.2和4.7.2.2试验程序进行。</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5.6以石墨炉方法测量1%氯化钠基体溶液中10ppb、20ppb、30ppb、40ppb、50ppb的铅标准溶液，以线性计算截距的校准方式，线性相关系数必须大于0.999 。</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5.7石墨炉位置优化：计算机自动控制（仅按一下鼠标）并储存在计算机中。</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5.8石墨炉加热电流：直流电，避免交流电周期影响，吸收峰更加平滑。</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★5.9自动基线漂移校正（BOC）：测量前自动零点校正，长时间测定基线稳定。</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★5.10石墨炉配备全彩色摄像装置，以便实时监测石墨炉进样针的位置、样品溶液的干燥、灰化等过程。</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6、操作软件和计算机技术指标</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6.1分析软件：多任务操作功能，即在分析样品的同时，能同时进行数据处理。软件操作方便、直观，软件为中文多任务操作，并处理和打印全中文报告。</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6.2数据处理：仪器吸收值、浓度或发射强度等读数可在0.01至100倍的范围内扩展。积分时间可按0.1秒的增量在0.1至60秒之间任选，读数方式包括时间平均积分、峰面积和峰高测量法，同时内置数理统计功能。</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6.3校正曲线：多达15个标准点的各种校正曲线法供选择，可任选单标进行曲线斜率重校。</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7、主要配置</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7.1主机 1套</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7.2石墨炉自动进样器（130位或以上）1套</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7.3原装石墨管3盒（5根/盒）、</w:t>
            </w:r>
            <w:r>
              <w:rPr>
                <w:rFonts w:hint="eastAsia" w:ascii="宋体" w:hAnsi="宋体" w:cs="宋体"/>
                <w:color w:val="auto"/>
                <w:szCs w:val="21"/>
                <w:highlight w:val="none"/>
              </w:rPr>
              <w:t>进样杯200个。</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7.4铜、锰、镉、铬、铅、锌、铁元素灯各1个。</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7.5 空压机 1台。</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7.6冷却循环水 1台。</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7.7电脑、激光打印机各1台。</w:t>
            </w:r>
          </w:p>
          <w:p>
            <w:pPr>
              <w:widowControl/>
              <w:spacing w:line="360" w:lineRule="exact"/>
              <w:jc w:val="left"/>
              <w:textAlignment w:val="center"/>
              <w:rPr>
                <w:rFonts w:ascii="宋体" w:hAnsi="宋体" w:cs="宋体"/>
                <w:color w:val="auto"/>
                <w:szCs w:val="21"/>
                <w:highlight w:val="none"/>
              </w:rPr>
            </w:pPr>
            <w:r>
              <w:rPr>
                <w:rFonts w:hint="eastAsia" w:ascii="宋体" w:hAnsi="宋体" w:cs="宋体"/>
                <w:bCs/>
                <w:color w:val="auto"/>
                <w:szCs w:val="21"/>
                <w:highlight w:val="none"/>
              </w:rPr>
              <w:t>8、培训应用支持：除现场</w:t>
            </w:r>
            <w:r>
              <w:rPr>
                <w:rFonts w:hint="eastAsia" w:ascii="宋体" w:hAnsi="宋体" w:cs="宋体"/>
                <w:color w:val="auto"/>
                <w:szCs w:val="21"/>
                <w:highlight w:val="none"/>
              </w:rPr>
              <w:t>仪器操作、日常维护</w:t>
            </w:r>
            <w:r>
              <w:rPr>
                <w:rFonts w:hint="eastAsia" w:ascii="宋体" w:hAnsi="宋体" w:cs="宋体"/>
                <w:bCs/>
                <w:color w:val="auto"/>
                <w:szCs w:val="21"/>
                <w:highlight w:val="none"/>
              </w:rPr>
              <w:t>培训外，厂家还提供应用支持，现场协助建立至少7个元素的仪器方法，在方法开发及优化方面提供技术支持及协助。</w:t>
            </w:r>
            <w:r>
              <w:rPr>
                <w:rFonts w:hint="eastAsia" w:ascii="宋体" w:hAnsi="宋体" w:cs="宋体"/>
                <w:color w:val="auto"/>
                <w:szCs w:val="21"/>
                <w:highlight w:val="none"/>
              </w:rPr>
              <w:t>提供至少2个免费培训名额参加厂家在正规培训中心的官方集中培训。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3</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多功能衍生系统（光衍生+化学衍生）</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 w:val="22"/>
                <w:szCs w:val="22"/>
                <w:highlight w:val="none"/>
              </w:rPr>
              <w:t>1套</w:t>
            </w:r>
          </w:p>
        </w:tc>
        <w:tc>
          <w:tcPr>
            <w:tcW w:w="6840" w:type="dxa"/>
            <w:tcBorders>
              <w:top w:val="single" w:color="auto" w:sz="4" w:space="0"/>
              <w:left w:val="single" w:color="auto" w:sz="4" w:space="0"/>
              <w:right w:val="single" w:color="auto" w:sz="4" w:space="0"/>
            </w:tcBorders>
            <w:vAlign w:val="center"/>
          </w:tcPr>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1、用途与原理：</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用于分析氨基酸、氨基甲酸酯、毒枝菌素、抗生素和多种其他应用，不需试剂对黄曲霉毒素进行在线衍生。</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2、工作条件：</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温度4℃～45℃；相对湿度≤90%；适用电压220V（±10%），50Hz(±2%)</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3、技术要求：</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★3.1 整机要求：将柱后试剂衍生装置和光化学衍生装置集成于一体，采用双流路通道，可以实现自动切换检测流路，实现试剂衍生与光衍生的快速转换，可有效提高检测效率。</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3.2 化学衍生单元 （双泵配置）</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3.2.1 高压恒流泵：选用双柱塞串联式往复泵，由高精度直流伺服电机提供动力，并采用嵌入式微处理器控制和电子压力脉动抑制等技术；</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3.2.2 流速范围：0.01～9.99 mL/min，以0.01ml为增量；</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3.2.3 流量精度：＜0.5%；</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3.2.4 流量准确度：±0.1%；</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3.2.5 最大操作压力：40Mpa；</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3.2.6 压力脉冲：＜0.05Mpa；</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★3.2.7 化学衍生池采用惰性流路设计；</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3.3   温控反应池：</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3.3.1 工作温度：室温～150℃；</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3.3.2 温度重现性±0.1℃；</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3.3.3 温度准确：±0.1℃；</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3.3.4 温度稳定时间小于20min；</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3.3.5 可选反应池体积0.1ml～2ml；</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★3.4  光化学衍生单元：</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3.4.1 衍生光源：254nmU形灯管；</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3.4.2 衍生线圈：5米FEP透明材质；</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3.4.3 单元模块化设计，易拆卸，可自主更换配件；</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3.4.5 光源使用寿命＞5000小时；</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3.4.6 标配流路光衍生与试剂衍生自动切换功能；</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3.5  系统兼容性：兼容所有液相系统，兼容所有模拟检测器：UV、FLD、ELSD；</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3.6   仪器全惰性管路；</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3.7   自动活塞清洗和可编程的系统冲洗，保护系统和延长系统寿命；</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3.8   电子阀可快速试剂更换冲洗，不需要昂贵的单向阀来维护和替换，也不会像造成单向阀那样堵塞；</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★3.9   反应池独立化设计，可实现快拆快修；</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★3.10  柱后防回流系统：管内单向阀，当HPLC压力降低时，防止试剂回流至色谱柱过压保护系统；</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★3.11  在线对黄曲霉毒素B1、G1进行衍生，重现性好，最低检测限小于0.1ppb（取决于检测器灵敏度）；不需要任何化学衍生试剂，减少液相系统的清洗工作，延长使用寿命。</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4、基本配置</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4.1光化学衍生单元：5米全透明质化环形反应线圈，材质FEP反应管；带有冷却反射管的254nm的低压紫外衍生灯 (9W UVC环形双柱灯管)；电源电压补偿和降温附件(内置)；与色谱仪联接配件PEEK（内置）。</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4.2 化学衍生单元：液相色谱连接管路工具包；高压恒流泵；切换阀；温控反应池（标配0.5mL,1mL各一个）；防回流、过压保护装置；衍生试剂滤头；降温冷却装置；操作手册。</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★4.3黄曲霉毒素耗材包</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同品牌黄曲霉素3ml免疫亲和柱(25支/包,保存期12个月以上,)2盒；</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同品牌黄曲霉毒素复合标准溶液一支；</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同品牌微孔玻璃纤维滤膜（110/1.5um，100P）；</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同品牌8位泵流操作架（30ML，气流7.2L/min,压力0.012MPa）；</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4.4 氨基甲酸酯衍生试剂包三套</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5、技术资料</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 xml:space="preserve">5.1 </w:t>
            </w:r>
            <w:r>
              <w:rPr>
                <w:rFonts w:hint="eastAsia" w:ascii="宋体" w:hAnsi="宋体" w:cs="宋体"/>
                <w:b/>
                <w:bCs/>
                <w:color w:val="auto"/>
                <w:szCs w:val="21"/>
                <w:highlight w:val="none"/>
              </w:rPr>
              <w:t>供货</w:t>
            </w:r>
            <w:r>
              <w:rPr>
                <w:rFonts w:ascii="宋体" w:hAnsi="宋体" w:cs="宋体"/>
                <w:b/>
                <w:bCs/>
                <w:color w:val="auto"/>
                <w:szCs w:val="21"/>
                <w:highlight w:val="none"/>
              </w:rPr>
              <w:t>时</w:t>
            </w:r>
            <w:r>
              <w:rPr>
                <w:rFonts w:hint="eastAsia" w:ascii="宋体" w:hAnsi="宋体" w:cs="宋体"/>
                <w:b/>
                <w:bCs/>
                <w:color w:val="auto"/>
                <w:szCs w:val="21"/>
                <w:highlight w:val="none"/>
              </w:rPr>
              <w:t>提供</w:t>
            </w:r>
            <w:r>
              <w:rPr>
                <w:rFonts w:hint="eastAsia" w:ascii="宋体" w:hAnsi="宋体" w:cs="宋体"/>
                <w:bCs/>
                <w:color w:val="auto"/>
                <w:szCs w:val="21"/>
                <w:highlight w:val="none"/>
              </w:rPr>
              <w:t>仪器的中文说明书一份</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 xml:space="preserve">5.2 </w:t>
            </w:r>
            <w:r>
              <w:rPr>
                <w:rFonts w:hint="eastAsia" w:ascii="宋体" w:hAnsi="宋体" w:cs="宋体"/>
                <w:b/>
                <w:bCs/>
                <w:color w:val="auto"/>
                <w:szCs w:val="21"/>
                <w:highlight w:val="none"/>
              </w:rPr>
              <w:t>供货</w:t>
            </w:r>
            <w:r>
              <w:rPr>
                <w:rFonts w:ascii="宋体" w:hAnsi="宋体" w:cs="宋体"/>
                <w:b/>
                <w:bCs/>
                <w:color w:val="auto"/>
                <w:szCs w:val="21"/>
                <w:highlight w:val="none"/>
              </w:rPr>
              <w:t>时</w:t>
            </w:r>
            <w:r>
              <w:rPr>
                <w:rFonts w:hint="eastAsia" w:ascii="宋体" w:hAnsi="宋体" w:cs="宋体"/>
                <w:b/>
                <w:bCs/>
                <w:color w:val="auto"/>
                <w:szCs w:val="21"/>
                <w:highlight w:val="none"/>
              </w:rPr>
              <w:t>提供</w:t>
            </w:r>
            <w:r>
              <w:rPr>
                <w:rFonts w:hint="eastAsia" w:ascii="宋体" w:hAnsi="宋体" w:cs="宋体"/>
                <w:bCs/>
                <w:color w:val="auto"/>
                <w:szCs w:val="21"/>
                <w:highlight w:val="none"/>
              </w:rPr>
              <w:t>产品质量合格证书一份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4</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原子荧光光度计</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Cs w:val="21"/>
                <w:highlight w:val="none"/>
              </w:rPr>
              <w:t>1套</w:t>
            </w:r>
          </w:p>
        </w:tc>
        <w:tc>
          <w:tcPr>
            <w:tcW w:w="6840" w:type="dxa"/>
            <w:tcBorders>
              <w:top w:val="single" w:color="auto" w:sz="4" w:space="0"/>
              <w:left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1、用途：用于样品中As、Sb、Bi、Hg、Se、Te、Sn、Ge、Pb、Zn、Cd、Au元素的痕量分析。</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 仪器类型：全自动双路顺序注射原子荧光光度计</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2.2外置全自动旋转式进样系统，静噪式设计。</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★2.3双路顺序注射泵1套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2.4数据处理系统1套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2.5注射进样管2支</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2.6元素灯：As、Hg各1支</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2.7电脑：品牌商用19寸液晶 4G内存 500G硬盘</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 xml:space="preserve">2.8品牌打印机   </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2.9软件工作站</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3、技术性能指标要求</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3.1双道可同时测定双元素。全新密闭光源系统</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3.2光源采用特制空心阴极灯，集束脉冲控制方式。</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★3.3具备扣除光源漂移和脉动的装置。</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★3.4光学系统 短焦距透镜聚光，无色散全密闭避光调光系统，仓门可关闭内置隐藏式观察窗（方便观察原子化器工作状态的同时在检测中减少外界光线的干扰）</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★3.5 全自动内置式双路顺序注射泵（非注射泵+蠕动泵的断续流动方式），外置式210位以上位数自动进样器</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3.6原子化器：氩氢火焰、屏蔽式石英炉原子化器。</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★3.7  双路顺序注射泵进样氢化物发生器，多位阀精确控制试剂精度（不采用便宜但精度不足的夹管阀），两个注射泵一个蠕动泵，一共三个泵；（蠕动泵只用于排废液，不参与试剂进样，消除了蠕动泵参与进样带来的脉动问题，提高了仪器的稳定性）。</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★3.8 可自动在线稀释、自动清洗、单标自动配标准曲线（r＞0.9995重复测量确保斜率值不变）高浓度自动稀释，自动添加还原剂，掩蔽剂及自动进样系统。</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3.9用于氢化物发生法的在线消除还原剂气泡装置（消除气泡对检测结果的干扰）</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3.10可根据样品浓度选择工作曲线范围</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3.11升级功能：配置形态分析前处理模块可做As、Se、Hg、Sb的形态分析</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3.12 配置测镉模块；可以直接实施固体进样直接测镉。</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 xml:space="preserve">     配置测汞模块；可以直接实施固体进样直接测汞。</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★3.13化学气相发生气液分离器装置，有效的去处水蒸气；二级气液分离部分采用非密闭式设计，防止样品反应激烈时试剂直接冲到原子化器造成仪器的损坏和污染。</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3.14标准的RS-232接口/RS-485通讯口</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3.15检出限（DL）硒、碲、铋、砷、汞等元素＜0.01µg/L；冷原子测汞＜0.001µg/L； 镉＜0.001µg/L</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 xml:space="preserve">★3.16测量精度 RSD＜0.6% </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3.17线性范围 三个数量级</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★3.18氢化物发生原子荧光测量尾气中有害元素的捕集阱；具备氢化物发生原子荧光测量尾气中有害元素的捕集阱，有效去除尾气中汞蒸汽等有害气体，降低对人体的损害，回收汞蒸气。</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4、技术服务</w:t>
            </w:r>
          </w:p>
          <w:p>
            <w:pPr>
              <w:widowControl/>
              <w:spacing w:line="360" w:lineRule="exact"/>
              <w:jc w:val="left"/>
              <w:textAlignment w:val="center"/>
              <w:rPr>
                <w:rFonts w:ascii="宋体" w:hAnsi="宋体" w:cs="宋体"/>
                <w:strike/>
                <w:color w:val="auto"/>
                <w:szCs w:val="21"/>
                <w:highlight w:val="none"/>
              </w:rPr>
            </w:pPr>
            <w:r>
              <w:rPr>
                <w:rFonts w:hint="eastAsia" w:ascii="宋体" w:hAnsi="宋体" w:cs="宋体"/>
                <w:color w:val="auto"/>
                <w:szCs w:val="21"/>
                <w:highlight w:val="none"/>
                <w:lang w:eastAsia="zh-CN"/>
              </w:rPr>
              <w:t>可</w:t>
            </w:r>
            <w:r>
              <w:rPr>
                <w:rFonts w:hint="eastAsia" w:ascii="宋体" w:hAnsi="宋体" w:cs="宋体"/>
                <w:color w:val="auto"/>
                <w:szCs w:val="21"/>
                <w:highlight w:val="none"/>
              </w:rPr>
              <w:t>提供该品牌仪器至少160篇以上应用方法，可以快速应对常见样品检测。</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5、配置清单</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5.1  双道原子荧光光度计仪器主机1套</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5.2  双路顺序注射泵1套</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5.3  212位自动进样器1套</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5.4  进样反应系统备件：1套</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5.4.1 顺序注射泵石英针管2支</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5.4.2 样品盘1个</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5.4.3 载流槽1个</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5.4.4 进样针5根</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5.4.5 混合反应块1个</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5.4.6 气液分离器1个</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5.4.7 泵管、连接管、三通 1套</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5.5 专用编码空心阴极灯（砷、汞、硒、锡灯各一支） 4支</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5.6 密闭式石英炉原子化器 1套</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5.7 去除水蒸气的装置（二级气液分离器）化学气相气液分离器 1套</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5.8 烟囱 1个</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5.9 氢化物发生原子荧光测量尾气中有害元素的捕集阱 1个</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5.10 形态分析前处理模块接口 1套</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5.11 石英炉芯 1个</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5.12 点火炉丝 3根</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5.13 调光器 1个</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5.14 电源保险丝 3个</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5.15 电源线 1根</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5.16 接口电缆 2根</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5.17 专用安装工具 1套</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5.18 系统操作软件光盘 1套</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5.19 仪器使用说明书 1本</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5.20 软件操作手册 1本</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5.21 实用分析方法手册 1本</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5.22 双道原子荧光光度计论文集 1本</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5.23品牌电脑 1套</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5.24品牌打印机 1套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5</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超高压液相色谱仪（荧光+二极管）</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Cs w:val="21"/>
                <w:highlight w:val="none"/>
              </w:rPr>
              <w:t>1套</w:t>
            </w:r>
          </w:p>
        </w:tc>
        <w:tc>
          <w:tcPr>
            <w:tcW w:w="6840" w:type="dxa"/>
            <w:tcBorders>
              <w:top w:val="single" w:color="auto" w:sz="4" w:space="0"/>
              <w:left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用途：用于测定有机农残、食品安全、非法添加物等。</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1、工作条件：</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1.1工作电压：220V±10%，50Hz</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1.2温度：4.0～40.0℃(39.2～104.0℉)</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1.3湿度：20%～80%，无冷凝</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2、技术指标：要求既可在超高效模式下运行，又可在HPLC模式下运行。并具有两者间方法互相转换之功能。</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2.1四元溶剂管理系统</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★2.1.1色谱泵：一体式独立柱塞，数控直线驱动色谱泵技术，双压力传感器反馈回路，无需阻尼器，压力脉冲为0</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2.1.2集成式漏液管理：漏液传感器与安全漏液处理</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2.1.3pH范围：1～12.5</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★2.1.4泵压力传感器反馈回路：2路</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2.1.5压缩补偿：自动、连续</w:t>
            </w:r>
          </w:p>
          <w:p>
            <w:pPr>
              <w:widowControl/>
              <w:spacing w:line="360" w:lineRule="exact"/>
              <w:jc w:val="left"/>
              <w:textAlignment w:val="center"/>
              <w:rPr>
                <w:rFonts w:ascii="宋体" w:hAnsi="宋体" w:cs="宋体"/>
                <w:b/>
                <w:strike/>
                <w:color w:val="auto"/>
                <w:szCs w:val="21"/>
                <w:highlight w:val="none"/>
              </w:rPr>
            </w:pPr>
            <w:r>
              <w:rPr>
                <w:rFonts w:hint="eastAsia" w:ascii="宋体" w:hAnsi="宋体" w:cs="宋体"/>
                <w:color w:val="auto"/>
                <w:szCs w:val="21"/>
                <w:highlight w:val="none"/>
              </w:rPr>
              <w:t>2.1.6梯度模式：低压混合，四元梯度，1～4路溶剂任意混合</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2.1.7溶剂脱气：集成式真空脱气，4个排气仓；另有1个排气仓专供进样系统清除溶剂使用</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2.1.8溶剂混合：自动在线混合溶剂，得到不同pH、离子强度以及含不同有机改性剂的流动相</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2.1.9可设置的流速范围：</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0.010～2.000mL/min，增量为0.001mL，灌注流速4mL/min</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2.1.10最大操作压力：15,000 psi</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2.1.11（系统总）延迟体积：≤400 μL（含100 uL混和器），不随反压变化</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2.1.12梯度延迟体积：≤300 μL（包括标准100 uL混合器）</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2.1.13流速精度：≤0.075% RSD或±0.01 min SD（全流速范围内，取较大者），基于6次重复进样的结果</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2.1.14流速准确度：±1.0%</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2.1.15梯度准确度：±0.5%，不随反压变化</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2.1.16梯度精度：±0.15% RSD，不随反压变化</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2.1.17混合准确度：±0.5%绝对值（满量程），0.5～2.0 mL/min</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2.1.18混合精度：≤0.15% RSD或±0.02 min SD（取较大者），基于6次重复进样的结果</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★2.1.19自动缓冲盐配置功能（Auto Blend Plus）：可实现自动配置缓冲盐浓度和pH值梯度</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pH值配置准确度：±0.1（pH 2.70～10.85）</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pH值配置精度：＜1.8% RSD（pH 2.70～10.85）</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内置缓冲盐配置体系数量：≥8</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梯度种类：3种（流动相组成变化，流速变化，pH值变化）</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★2.1.20梯度变化模式：系统或软件预编11种梯度曲线，分为1线性、2步进、4凹线、4凸线四种类型，不需要额外编辑</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2.1.21可压缩性补偿：自动、持续</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2.1.22泵密封清洗：配备自动清洗系统，用于冲洗高压密封件的后部和柱塞杆</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2.2自动进样器管理系统</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2.2.1流通针式进样模式</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2.2.2定量同步：泵和进样器之间可实现进样同步，提高保留时间重现性</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 xml:space="preserve">2.2.3最大样品容量：在2个384孔板中最多可容纳768个样品，也可以使用2 mL样品瓶架容纳96个样品，另设有4个位置用于稀释 </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2.2.4准确度（吸样）：±0.2μL（通过测量从样品瓶中移去的液体重量而得，使用标准100 μL注射器执行20次进样，平均每次进样10μL）</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2.2.5进样线性度：＞0.999（标配进样针）</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2.2.6进样精度：≤0.25% RSD，5～100μL</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2.2.7进样针清洗：集成、主动、程序化</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★2.2.8样品交叉污染度（样品残留）：对于咖啡因，≤0.002% (UV)；对于磺胺二甲氧嘧啶，≤0.002%(MS)</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2.2.9进样体积：0.1～10μL，增量：0.1μL；可使用扩展定量环最大扩到1000.0μL</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2.2.10进样次数：每个样品1～99次进样</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2.2.11最小样品量需求：3μL，使用2mL全回收样品瓶</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2.2.12自动进样循环时间：＜30 s（进样之间，带针外壁进样前后各6s清洗）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2.2.13样品室温度范围：4℃～40℃，增量：0.1℃</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温度准确度：传感器处为+/- 0.5℃</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稳定稳定性：传感器处为+/- 1.0℃</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2.2.14样品管理器高级功能：自动稀释、自动添加和预加载</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2.3柱温箱</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2.3.1色谱柱容量：</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可容纳最大内径(I.D.) 4.6 mm，最长150 mm（带在线过滤器或保护柱）；</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2.3.2温度范围：20.0（或高于环境温度5.0℃）～90.0℃，增量：0.1℃</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温度准确度 ± 0.5℃</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温度稳定度 ± 0.3℃</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2.3.3色谱柱室加热时间：≤15 min，环境温度-60℃</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★2.3.4即插主动式溶剂预热器</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★2.3.5色谱柱追踪：利用色谱柱信息管理功能追踪并存档色谱柱的使用历史。信息类型为18项（内容包括色谱柱测试报告及填料特性、50个样品组、使用过程中最小最大柱压力、温度、操作者、进样次数等信息）</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 xml:space="preserve">2.4二极管阵列检测器 </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 xml:space="preserve">2.4.1波长范围：190～800nm </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2.4.2波长准确度：±1 nm (铒过滤器)</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2.4.3带宽：1.2 nm</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2.4.4二极管数：≤512</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2.4.5数字分辨率：1.2 nm（0.6nm，190～500nm）</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2.4.6采样频率：80 Hz</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2.4.7基线噪音：±3×10</w:t>
            </w:r>
            <w:r>
              <w:rPr>
                <w:rFonts w:hint="eastAsia" w:ascii="宋体" w:hAnsi="宋体" w:cs="宋体"/>
                <w:color w:val="auto"/>
                <w:szCs w:val="21"/>
                <w:highlight w:val="none"/>
                <w:vertAlign w:val="superscript"/>
              </w:rPr>
              <w:t xml:space="preserve">-6 </w:t>
            </w:r>
            <w:r>
              <w:rPr>
                <w:rFonts w:hint="eastAsia" w:ascii="宋体" w:hAnsi="宋体" w:cs="宋体"/>
                <w:color w:val="auto"/>
                <w:szCs w:val="21"/>
                <w:highlight w:val="none"/>
              </w:rPr>
              <w:t>AU</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2.4.8基线漂移: ≤1.0×10</w:t>
            </w:r>
            <w:r>
              <w:rPr>
                <w:rFonts w:hint="eastAsia" w:ascii="宋体" w:hAnsi="宋体" w:cs="宋体"/>
                <w:color w:val="auto"/>
                <w:szCs w:val="21"/>
                <w:highlight w:val="none"/>
                <w:vertAlign w:val="superscript"/>
              </w:rPr>
              <w:t>-3</w:t>
            </w:r>
            <w:r>
              <w:rPr>
                <w:rFonts w:hint="eastAsia" w:ascii="宋体" w:hAnsi="宋体" w:cs="宋体"/>
                <w:color w:val="auto"/>
                <w:szCs w:val="21"/>
                <w:highlight w:val="none"/>
              </w:rPr>
              <w:t xml:space="preserve"> AU/hr/</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2.4.9漂移: ≤1.0×10</w:t>
            </w:r>
            <w:r>
              <w:rPr>
                <w:rFonts w:hint="eastAsia" w:ascii="宋体" w:hAnsi="宋体" w:cs="宋体"/>
                <w:color w:val="auto"/>
                <w:szCs w:val="21"/>
                <w:highlight w:val="none"/>
                <w:vertAlign w:val="superscript"/>
              </w:rPr>
              <w:t>-3</w:t>
            </w:r>
            <w:r>
              <w:rPr>
                <w:rFonts w:hint="eastAsia" w:ascii="宋体" w:hAnsi="宋体" w:cs="宋体"/>
                <w:color w:val="auto"/>
                <w:szCs w:val="21"/>
                <w:highlight w:val="none"/>
              </w:rPr>
              <w:t xml:space="preserve"> AU/hr</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2.4.10线性范围：2.0 AU</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2.4.11吸收范围：0.0001～4.0000 AU</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2.4.12光源：190～800nm全波长范围内仅氘灯，寿命2000小时</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★2.4.13流通池：光导全反射流动池, 池长：10 mm，池体积：500 nL（分析池）</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2.4.14流通池耐压：1000 psi</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★2.4.15可将所有组分的最大吸收波长值整合成一张色谱图，无需逐个设置波长来寻找每个组分的最大吸收波长值</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★2.4.16具备建立标准物质光谱库功能</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2.5荧光检测器</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★2.5.1激发波长：200～890 nm</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★2.5.2发射波长：210～900 nm</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2.5.3发射波长与激发波长设置差值：10 nm</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2.5.4带宽：20 nm</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2.5.5数据采集模式：最多4个2D通道或1个3D通道</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 xml:space="preserve">2.5.6波长准确度：±3 nm </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2.5.7波长重现性：±0.25 nm</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2.5.8灵敏度：S/N＞ 1000 (水测量信号的拉曼光谱）</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2.5.9测量范围：0.001～100,000.000 发射单位</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★2.5.10流通池：＜2 ul，长轴向设计</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2.5.11光源：汞/弧氙灯，寿命1000小时</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2.5.12采样频率：单(波长)模式最高80 Hz</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2.5.13流通池耐压：145 psi (10 bar)</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★2.5.14配黄曲霉分析包，无需柱后衍生方法，8分钟内测定黄曲霉B1.B2.G1,G2,M1</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3、色谱数据管理系统</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3.1是在最新Windows7，64中文版操作系统下编写和测试。</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3.2原厂源代码级全中文版，其中包括在线帮助采用简体中文。</w:t>
            </w:r>
          </w:p>
          <w:p>
            <w:pPr>
              <w:widowControl/>
              <w:spacing w:line="360" w:lineRule="exact"/>
              <w:jc w:val="left"/>
              <w:textAlignment w:val="center"/>
              <w:rPr>
                <w:rFonts w:ascii="宋体" w:hAnsi="宋体" w:cs="宋体"/>
                <w:b/>
                <w:color w:val="auto"/>
                <w:szCs w:val="21"/>
                <w:highlight w:val="none"/>
              </w:rPr>
            </w:pPr>
            <w:r>
              <w:rPr>
                <w:rFonts w:hint="eastAsia" w:ascii="宋体" w:hAnsi="宋体" w:cs="宋体"/>
                <w:color w:val="auto"/>
                <w:szCs w:val="21"/>
                <w:highlight w:val="none"/>
              </w:rPr>
              <w:t>★3.3</w:t>
            </w:r>
            <w:r>
              <w:rPr>
                <w:rFonts w:hint="eastAsia" w:ascii="宋体" w:hAnsi="宋体" w:cs="宋体"/>
                <w:b/>
                <w:color w:val="auto"/>
                <w:szCs w:val="21"/>
                <w:highlight w:val="none"/>
              </w:rPr>
              <w:t>配置数据库。供货时需要提供数据库厂家的授权文件或者是数据库厂家的分销、销售文件（合同）。</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3.4登录时输入用户名和密码，每个使用者可以使用各自的用户名，密码和权限，相互之间的数据互相独立，互不干扰。</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3.5操作向导模式和在线帮助功能：只需按照指南要求进行操作即可执行相应的功能。</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3.6具有数据安全性：符合cGMP/GLP和21 CFR Part 11法规的要求，具有电子记录，电子签名之功能。具有分配用户使用权限之功能。</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3.7≥16种校正拟合定量计算方式，适应不同分析及不同检测器应用。</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3.8≥10种数据检索模式，适应大量数据管理和检索。</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3.9报告格式的编辑和排版：结果可以有单个报告和综合报告。</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3.10原始数据和结果可通过多种方式输出到其它软件中（如Excel）。</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3.11用户可自定义样品信息和编辑计算公式实现特殊的计算：样品信息类型 ≥6；数据类型≥6。</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3.12积分模式：传统积分和ApexTrack峰尖寻迹拟和积分，可提供更准确的肩峰、负峰和拖尾峰的积分。</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4、数据处理系统1套；ThinkCentre  M920T  台式机 （同级或以上），处理器:Intel Core i5-8500 3G 6C Vpro，光驱:DVD-RW 光驱，操作系统: OEM Windows10 Professional  64Bit  中/英文 ，内存:16GB DDR4 2666 UDIMM，硬盘: 1TB HD 7200RPM 3.5" SATA3，显卡:Integrated Graphic Card，网卡:集成千兆网卡，键盘鼠标:USB有线键盘鼠标，显示器:ThinkVision 21.5英寸宽屏LED液晶，服务:3年有限上门服务；数据输出系统1套。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4、配置要求：</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4.1 高效液相色谱四元泵</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4.2 在线脱气机</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4.3 自动进样器</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4.4 柱温箱</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4.5 二极管阵列检测器</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4.6 荧光检测器（含黄曲霉测定包）</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4.7 数据处理系统（含数据库）</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4.8 数据输出系统（含电脑1台、打印机1台）</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4.9 各种消耗品：滤芯组件1包、样品瓶（带盖、垫）500个、样品过滤膜3包，溶剂滤膜3包</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4.10 色谱柱3根(1.7μm  BEH C18 2.1×50mm 1根；1.7μm  2.1×100mm， BEH C18色谱柱2根)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648"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354"/>
              <w:outlineLvl w:val="0"/>
              <w:rPr>
                <w:rFonts w:ascii="宋体" w:hAnsi="宋体" w:cs="宋体"/>
                <w:b/>
                <w:color w:val="auto"/>
                <w:szCs w:val="21"/>
                <w:highlight w:val="none"/>
              </w:rPr>
            </w:pPr>
            <w:r>
              <w:rPr>
                <w:rFonts w:hint="eastAsia" w:ascii="宋体" w:hAnsi="宋体" w:cs="宋体"/>
                <w:b/>
                <w:color w:val="auto"/>
                <w:szCs w:val="21"/>
                <w:highlight w:val="none"/>
              </w:rPr>
              <w:t>二、商务要求表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54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color w:val="auto"/>
                <w:kern w:val="0"/>
                <w:szCs w:val="21"/>
                <w:highlight w:val="none"/>
              </w:rPr>
              <w:t>★</w:t>
            </w:r>
            <w:r>
              <w:rPr>
                <w:rFonts w:hint="eastAsia" w:ascii="宋体" w:hAnsi="宋体" w:cs="宋体"/>
                <w:color w:val="auto"/>
                <w:szCs w:val="21"/>
                <w:highlight w:val="none"/>
              </w:rPr>
              <w:t>质保期</w:t>
            </w:r>
          </w:p>
        </w:tc>
        <w:tc>
          <w:tcPr>
            <w:tcW w:w="810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left="2"/>
              <w:rPr>
                <w:rFonts w:ascii="宋体" w:hAnsi="宋体" w:cs="宋体"/>
                <w:color w:val="auto"/>
                <w:szCs w:val="21"/>
                <w:highlight w:val="none"/>
              </w:rPr>
            </w:pPr>
            <w:r>
              <w:rPr>
                <w:rFonts w:hint="eastAsia" w:ascii="宋体" w:hAnsi="宋体" w:cs="宋体"/>
                <w:color w:val="auto"/>
                <w:szCs w:val="21"/>
                <w:highlight w:val="none"/>
              </w:rPr>
              <w:t>要求整机及附件质保期不少于一年（含一年），保修期内出现质量问题，需派出技术员到达现场处理质量问题，并承担一切费用。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54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color w:val="auto"/>
                <w:kern w:val="0"/>
                <w:szCs w:val="21"/>
                <w:highlight w:val="none"/>
              </w:rPr>
              <w:t>★</w:t>
            </w:r>
            <w:r>
              <w:rPr>
                <w:rFonts w:hint="eastAsia" w:ascii="宋体" w:hAnsi="宋体" w:cs="宋体"/>
                <w:color w:val="auto"/>
                <w:szCs w:val="21"/>
                <w:highlight w:val="none"/>
              </w:rPr>
              <w:t>售后服务要求</w:t>
            </w:r>
          </w:p>
        </w:tc>
        <w:tc>
          <w:tcPr>
            <w:tcW w:w="810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80" w:lineRule="exact"/>
              <w:outlineLvl w:val="0"/>
              <w:rPr>
                <w:rFonts w:ascii="宋体" w:hAnsi="宋体" w:cs="宋体"/>
                <w:color w:val="auto"/>
                <w:szCs w:val="21"/>
                <w:highlight w:val="none"/>
              </w:rPr>
            </w:pPr>
            <w:r>
              <w:rPr>
                <w:rFonts w:hint="eastAsia" w:ascii="宋体" w:hAnsi="宋体" w:cs="宋体"/>
                <w:color w:val="auto"/>
                <w:szCs w:val="21"/>
                <w:highlight w:val="none"/>
              </w:rPr>
              <w:t>1、免费送货上门、免费安装调试、免费培训。</w:t>
            </w:r>
          </w:p>
          <w:p>
            <w:pPr>
              <w:spacing w:line="380" w:lineRule="exact"/>
              <w:rPr>
                <w:rFonts w:ascii="宋体" w:hAnsi="宋体" w:cs="宋体"/>
                <w:color w:val="auto"/>
                <w:szCs w:val="21"/>
                <w:highlight w:val="none"/>
              </w:rPr>
            </w:pPr>
            <w:r>
              <w:rPr>
                <w:rFonts w:hint="eastAsia" w:ascii="宋体" w:hAnsi="宋体" w:cs="宋体"/>
                <w:color w:val="auto"/>
                <w:szCs w:val="21"/>
                <w:highlight w:val="none"/>
              </w:rPr>
              <w:t>2、安装调试和培训：</w:t>
            </w:r>
            <w:r>
              <w:rPr>
                <w:rFonts w:hint="eastAsia" w:ascii="宋体" w:hAnsi="宋体" w:cs="宋体"/>
                <w:bCs/>
                <w:color w:val="auto"/>
                <w:szCs w:val="21"/>
                <w:highlight w:val="none"/>
              </w:rPr>
              <w:t>到货后，厂家需在接到用户通知后10个工作日内进行安装调试；提供用户至少两名管理人员的现场操作使用及基本维护的免费培训，</w:t>
            </w:r>
            <w:r>
              <w:rPr>
                <w:rFonts w:hint="eastAsia" w:ascii="宋体" w:hAnsi="宋体" w:cs="宋体"/>
                <w:color w:val="auto"/>
                <w:szCs w:val="21"/>
                <w:highlight w:val="none"/>
              </w:rPr>
              <w:t>使受训人员了解货物的工作原理、操作规程、以及维护、保养方法。</w:t>
            </w:r>
          </w:p>
          <w:p>
            <w:pPr>
              <w:spacing w:line="400" w:lineRule="exact"/>
              <w:jc w:val="left"/>
              <w:rPr>
                <w:rFonts w:ascii="宋体" w:hAnsi="宋体" w:cs="宋体"/>
                <w:color w:val="auto"/>
                <w:szCs w:val="21"/>
                <w:highlight w:val="none"/>
              </w:rPr>
            </w:pPr>
            <w:r>
              <w:rPr>
                <w:rFonts w:hint="eastAsia" w:ascii="宋体" w:hAnsi="宋体" w:cs="宋体"/>
                <w:color w:val="auto"/>
                <w:szCs w:val="21"/>
                <w:highlight w:val="none"/>
              </w:rPr>
              <w:t>3、接到采购单位故障通知，2小时内响应，24小时内到现场进行维修，当设备出现重大故障48小时内无法修复的需提供备品备件或备用机。</w:t>
            </w:r>
          </w:p>
          <w:p>
            <w:pPr>
              <w:spacing w:line="380" w:lineRule="exact"/>
              <w:rPr>
                <w:rFonts w:ascii="宋体" w:hAnsi="宋体" w:cs="宋体"/>
                <w:color w:val="auto"/>
                <w:szCs w:val="21"/>
                <w:highlight w:val="none"/>
              </w:rPr>
            </w:pPr>
            <w:r>
              <w:rPr>
                <w:rFonts w:hint="eastAsia" w:ascii="宋体" w:hAnsi="宋体" w:cs="宋体"/>
                <w:color w:val="auto"/>
                <w:szCs w:val="21"/>
                <w:highlight w:val="none"/>
              </w:rPr>
              <w:t>4、提供每季度不少于一次（含一次）的定期回访。</w:t>
            </w:r>
          </w:p>
          <w:p>
            <w:pPr>
              <w:spacing w:line="380" w:lineRule="exact"/>
              <w:rPr>
                <w:rFonts w:ascii="宋体" w:hAnsi="宋体" w:cs="宋体"/>
                <w:color w:val="auto"/>
                <w:szCs w:val="21"/>
                <w:highlight w:val="none"/>
              </w:rPr>
            </w:pPr>
            <w:r>
              <w:rPr>
                <w:rFonts w:hint="eastAsia" w:ascii="宋体" w:hAnsi="宋体" w:cs="宋体"/>
                <w:color w:val="auto"/>
                <w:szCs w:val="21"/>
                <w:highlight w:val="none"/>
              </w:rPr>
              <w:t>5、</w:t>
            </w:r>
            <w:r>
              <w:rPr>
                <w:rFonts w:hint="eastAsia" w:ascii="宋体" w:hAnsi="宋体" w:cs="宋体"/>
                <w:bCs/>
                <w:color w:val="auto"/>
                <w:szCs w:val="21"/>
                <w:highlight w:val="none"/>
              </w:rPr>
              <w:t>验收：按供货方合格证书技术资料中的技术指标、质量要求和双方签订的合同技术附件所规定的条款进行验收。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54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color w:val="auto"/>
                <w:kern w:val="0"/>
                <w:szCs w:val="21"/>
                <w:highlight w:val="none"/>
              </w:rPr>
              <w:t>★</w:t>
            </w:r>
            <w:r>
              <w:rPr>
                <w:rFonts w:hint="eastAsia" w:ascii="宋体" w:hAnsi="宋体" w:cs="宋体"/>
                <w:color w:val="auto"/>
                <w:szCs w:val="21"/>
                <w:highlight w:val="none"/>
              </w:rPr>
              <w:t>交货时间及地点</w:t>
            </w:r>
          </w:p>
        </w:tc>
        <w:tc>
          <w:tcPr>
            <w:tcW w:w="810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exact"/>
              <w:outlineLvl w:val="0"/>
              <w:rPr>
                <w:rFonts w:ascii="宋体" w:hAnsi="宋体" w:cs="宋体"/>
                <w:b/>
                <w:color w:val="auto"/>
                <w:szCs w:val="21"/>
                <w:highlight w:val="none"/>
              </w:rPr>
            </w:pPr>
            <w:r>
              <w:rPr>
                <w:rFonts w:hint="eastAsia" w:ascii="宋体" w:hAnsi="宋体" w:cs="宋体"/>
                <w:b/>
                <w:color w:val="auto"/>
                <w:szCs w:val="21"/>
                <w:highlight w:val="none"/>
              </w:rPr>
              <w:t>交货时间：进口设备自签订合同之日起</w:t>
            </w:r>
            <w:r>
              <w:rPr>
                <w:rFonts w:ascii="宋体" w:hAnsi="宋体" w:cs="宋体"/>
                <w:b/>
                <w:color w:val="auto"/>
                <w:szCs w:val="21"/>
                <w:highlight w:val="none"/>
              </w:rPr>
              <w:t>90</w:t>
            </w:r>
            <w:r>
              <w:rPr>
                <w:rFonts w:hint="eastAsia" w:ascii="宋体" w:hAnsi="宋体" w:cs="宋体"/>
                <w:b/>
                <w:color w:val="auto"/>
                <w:szCs w:val="21"/>
                <w:highlight w:val="none"/>
              </w:rPr>
              <w:t>个日历日内安装调试完毕，国产设备自签订合同之日起30个日历日内安装调试完毕。</w:t>
            </w:r>
          </w:p>
          <w:p>
            <w:pPr>
              <w:snapToGrid w:val="0"/>
              <w:spacing w:line="360" w:lineRule="exact"/>
              <w:outlineLvl w:val="0"/>
              <w:rPr>
                <w:rFonts w:ascii="宋体" w:hAnsi="宋体" w:cs="宋体"/>
                <w:b/>
                <w:color w:val="auto"/>
                <w:szCs w:val="21"/>
                <w:highlight w:val="none"/>
              </w:rPr>
            </w:pPr>
            <w:r>
              <w:rPr>
                <w:rFonts w:hint="eastAsia" w:ascii="宋体" w:hAnsi="宋体" w:cs="宋体"/>
                <w:b/>
                <w:color w:val="auto"/>
                <w:szCs w:val="21"/>
                <w:highlight w:val="none"/>
              </w:rPr>
              <w:t>交货地点：横县采购人指定地点。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54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付款条件</w:t>
            </w:r>
          </w:p>
        </w:tc>
        <w:tc>
          <w:tcPr>
            <w:tcW w:w="810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exact"/>
              <w:outlineLvl w:val="0"/>
              <w:rPr>
                <w:rFonts w:ascii="宋体" w:hAnsi="宋体" w:cs="宋体"/>
                <w:b/>
                <w:color w:val="auto"/>
                <w:szCs w:val="21"/>
                <w:highlight w:val="none"/>
              </w:rPr>
            </w:pPr>
            <w:r>
              <w:rPr>
                <w:rFonts w:hint="eastAsia" w:ascii="宋体" w:hAnsi="宋体" w:cs="宋体"/>
                <w:b/>
                <w:color w:val="auto"/>
                <w:szCs w:val="21"/>
                <w:highlight w:val="none"/>
              </w:rPr>
              <w:t>交货验收合格后二十个工作日内，由采购人一次性付清中标人的全部结算款项的100%（无预付款）。中标人自收到款项之日起三个工作日内开具发票给采购人。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54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bCs/>
                <w:color w:val="auto"/>
                <w:szCs w:val="21"/>
                <w:highlight w:val="none"/>
              </w:rPr>
            </w:pPr>
            <w:r>
              <w:rPr>
                <w:rFonts w:hint="eastAsia" w:ascii="宋体" w:hAnsi="宋体" w:cs="宋体"/>
                <w:b/>
                <w:bCs/>
                <w:color w:val="auto"/>
                <w:szCs w:val="21"/>
                <w:highlight w:val="none"/>
              </w:rPr>
              <w:t>履约保证金及质量保证金</w:t>
            </w:r>
          </w:p>
        </w:tc>
        <w:tc>
          <w:tcPr>
            <w:tcW w:w="810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auto"/>
                <w:szCs w:val="21"/>
                <w:highlight w:val="none"/>
              </w:rPr>
            </w:pPr>
            <w:r>
              <w:rPr>
                <w:rFonts w:hint="eastAsia" w:ascii="宋体" w:hAnsi="宋体" w:cs="宋体"/>
                <w:color w:val="auto"/>
                <w:szCs w:val="21"/>
                <w:highlight w:val="none"/>
              </w:rPr>
              <w:t>中标人在采购合同签订后五个工作日内，按合同金额的5%向采购单位指定账户缴纳履约保证金，项目验收完毕后自动转为质量保证金，质保期（投标人承诺质保期延长的则按承诺执行）满后无质量问题可向采购单位申请退还，采购单位在收到申请后五个工作日内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6" w:hRule="atLeast"/>
          <w:jc w:val="center"/>
        </w:trPr>
        <w:tc>
          <w:tcPr>
            <w:tcW w:w="154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color w:val="auto"/>
                <w:kern w:val="0"/>
                <w:szCs w:val="21"/>
                <w:highlight w:val="none"/>
              </w:rPr>
              <w:t>★厂家</w:t>
            </w:r>
            <w:r>
              <w:rPr>
                <w:rFonts w:hint="eastAsia" w:ascii="宋体" w:hAnsi="宋体" w:cs="宋体"/>
                <w:color w:val="auto"/>
                <w:szCs w:val="21"/>
                <w:highlight w:val="none"/>
              </w:rPr>
              <w:t>授权要求</w:t>
            </w:r>
          </w:p>
        </w:tc>
        <w:tc>
          <w:tcPr>
            <w:tcW w:w="810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s="宋体"/>
                <w:color w:val="auto"/>
                <w:szCs w:val="21"/>
                <w:highlight w:val="none"/>
              </w:rPr>
            </w:pPr>
            <w:r>
              <w:rPr>
                <w:rFonts w:hint="eastAsia" w:ascii="宋体" w:hAnsi="宋体" w:cs="宋体"/>
                <w:color w:val="auto"/>
                <w:szCs w:val="21"/>
                <w:highlight w:val="none"/>
              </w:rPr>
              <w:t>本</w:t>
            </w:r>
            <w:r>
              <w:rPr>
                <w:rFonts w:hint="eastAsia" w:ascii="宋体" w:hAnsi="宋体" w:cs="宋体"/>
                <w:color w:val="auto"/>
                <w:szCs w:val="21"/>
                <w:highlight w:val="none"/>
                <w:lang w:eastAsia="zh-CN"/>
              </w:rPr>
              <w:t>标段</w:t>
            </w:r>
            <w:r>
              <w:rPr>
                <w:rFonts w:hint="eastAsia" w:ascii="宋体" w:hAnsi="宋体" w:cs="宋体"/>
                <w:color w:val="auto"/>
                <w:szCs w:val="21"/>
                <w:highlight w:val="none"/>
              </w:rPr>
              <w:t>的</w:t>
            </w:r>
            <w:r>
              <w:rPr>
                <w:rFonts w:hint="eastAsia" w:ascii="宋体" w:hAnsi="宋体" w:cs="宋体"/>
                <w:b/>
                <w:color w:val="auto"/>
                <w:szCs w:val="21"/>
                <w:highlight w:val="none"/>
              </w:rPr>
              <w:t>第1、2、</w:t>
            </w:r>
            <w:r>
              <w:rPr>
                <w:rFonts w:ascii="宋体" w:hAnsi="宋体" w:cs="宋体"/>
                <w:b/>
                <w:color w:val="auto"/>
                <w:szCs w:val="21"/>
                <w:highlight w:val="none"/>
              </w:rPr>
              <w:t>3、5</w:t>
            </w:r>
            <w:r>
              <w:rPr>
                <w:rFonts w:hint="eastAsia" w:ascii="宋体" w:hAnsi="宋体" w:cs="宋体"/>
                <w:b/>
                <w:color w:val="auto"/>
                <w:szCs w:val="21"/>
                <w:highlight w:val="none"/>
              </w:rPr>
              <w:t>项</w:t>
            </w:r>
            <w:r>
              <w:rPr>
                <w:rFonts w:hint="eastAsia" w:ascii="宋体" w:hAnsi="宋体" w:cs="宋体"/>
                <w:color w:val="auto"/>
                <w:szCs w:val="21"/>
                <w:highlight w:val="none"/>
              </w:rPr>
              <w:t>设备属于非生产厂家参加投标的，须提供仪器设备生产厂家或国内总代理商出具的有效授权书原件和售后服务承诺书原件。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54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其他要求</w:t>
            </w:r>
          </w:p>
        </w:tc>
        <w:tc>
          <w:tcPr>
            <w:tcW w:w="810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auto"/>
                <w:highlight w:val="none"/>
              </w:rPr>
            </w:pPr>
            <w:r>
              <w:rPr>
                <w:rFonts w:hint="eastAsia" w:ascii="宋体" w:hAnsi="宋体" w:cs="宋体"/>
                <w:color w:val="auto"/>
                <w:highlight w:val="none"/>
              </w:rPr>
              <w:t>★1、本</w:t>
            </w:r>
            <w:r>
              <w:rPr>
                <w:rFonts w:hint="eastAsia" w:ascii="宋体" w:hAnsi="宋体" w:cs="宋体"/>
                <w:color w:val="auto"/>
                <w:highlight w:val="none"/>
                <w:lang w:eastAsia="zh-CN"/>
              </w:rPr>
              <w:t>标段</w:t>
            </w:r>
            <w:r>
              <w:rPr>
                <w:rFonts w:hint="eastAsia" w:ascii="宋体" w:hAnsi="宋体" w:cs="宋体"/>
                <w:color w:val="auto"/>
                <w:highlight w:val="none"/>
              </w:rPr>
              <w:t>的第1、2、3、5项设备设备已按规定办妥进口产品采购审核手续，投标产品可选用进口产品，如选用进口产品时必须为全套原装进口产品（即通过中国海关报关验放进入中国境内且产自关境外的产品），要求：①中标人负责办理进口设备的相关手续及承担相关的所有费用；②如投标人不具备进出口业务代理资质，则其报价中必须包含关税在内的所有相关进出口税费。其余设备不接受进口产品投标。</w:t>
            </w:r>
          </w:p>
          <w:p>
            <w:pPr>
              <w:spacing w:line="360" w:lineRule="exact"/>
              <w:jc w:val="left"/>
              <w:rPr>
                <w:rFonts w:ascii="宋体" w:hAnsi="宋体" w:cs="宋体"/>
                <w:color w:val="auto"/>
                <w:highlight w:val="none"/>
              </w:rPr>
            </w:pPr>
            <w:r>
              <w:rPr>
                <w:rFonts w:hint="eastAsia" w:ascii="宋体" w:hAnsi="宋体" w:cs="宋体"/>
                <w:color w:val="auto"/>
                <w:highlight w:val="none"/>
              </w:rPr>
              <w:t>★2、所投产品若属《节能产品政府采购清单》中强制采购节能产品范围的，必须提供节能产品，并提供相关证明材料（如：所投产品列入的《节能产品政府采购清单》截图）。</w:t>
            </w:r>
          </w:p>
          <w:p>
            <w:pPr>
              <w:spacing w:line="400" w:lineRule="exact"/>
              <w:jc w:val="left"/>
              <w:rPr>
                <w:rFonts w:ascii="宋体" w:hAnsi="宋体" w:cs="宋体"/>
                <w:b/>
                <w:color w:val="auto"/>
                <w:highlight w:val="none"/>
              </w:rPr>
            </w:pPr>
            <w:r>
              <w:rPr>
                <w:rFonts w:hint="eastAsia" w:ascii="宋体" w:hAnsi="宋体" w:cs="宋体"/>
                <w:b/>
                <w:color w:val="auto"/>
                <w:highlight w:val="none"/>
              </w:rPr>
              <w:t>3、投标时提供产品的说明书或彩页（体现重要的技术参数）；与投标文件一并装订，也可以是从生产厂家网页下载的PDF或HTML文件，彩页上应有详细的产品技术介绍、技术参数、产品图样照片等。（如有，请提供）</w:t>
            </w:r>
          </w:p>
          <w:p>
            <w:pPr>
              <w:spacing w:line="360" w:lineRule="exact"/>
              <w:jc w:val="left"/>
              <w:rPr>
                <w:rFonts w:ascii="宋体" w:hAnsi="宋体" w:cs="宋体"/>
                <w:color w:val="auto"/>
                <w:highlight w:val="none"/>
              </w:rPr>
            </w:pPr>
            <w:r>
              <w:rPr>
                <w:rFonts w:hint="eastAsia" w:ascii="宋体" w:hAnsi="宋体" w:cs="宋体"/>
                <w:color w:val="auto"/>
                <w:highlight w:val="none"/>
              </w:rPr>
              <w:t>★4、投标文件中所承诺的货物性能参数、技术规格应该与生产厂家公开印发该货物产品说明书或产品彩页相一致；如不一致，投标人必须提供由生产厂家或其合法派出机构出具的说明其原因的有效证明文件。投标人必须根据招标要求的技术参数（配置）及要求中的每项指标要求，如实逐项填写技术响应、偏离情况说明表。</w:t>
            </w:r>
          </w:p>
          <w:p>
            <w:pPr>
              <w:spacing w:line="360" w:lineRule="exact"/>
              <w:jc w:val="left"/>
              <w:rPr>
                <w:rFonts w:ascii="宋体" w:hAnsi="宋体" w:cs="宋体"/>
                <w:color w:val="auto"/>
                <w:highlight w:val="none"/>
              </w:rPr>
            </w:pPr>
            <w:r>
              <w:rPr>
                <w:rFonts w:hint="eastAsia" w:ascii="宋体" w:hAnsi="宋体" w:cs="宋体"/>
                <w:color w:val="auto"/>
                <w:highlight w:val="none"/>
              </w:rPr>
              <w:t>★5、所有设备必须为原厂出产全新、未经使用的设备；设备到达现场后，供货方派专业工程师到现场与用户一起开箱检验，按设备配置清单进行验收，若有短少或损坏在三个工作日内补足或更换全新同规格产品。采购单位对设备验收合格后，由双方共同签署验收合格证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54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color w:val="auto"/>
                <w:highlight w:val="none"/>
              </w:rPr>
              <w:t>★</w:t>
            </w:r>
            <w:r>
              <w:rPr>
                <w:rFonts w:hint="eastAsia" w:ascii="宋体" w:hAnsi="宋体" w:cs="宋体"/>
                <w:color w:val="auto"/>
                <w:szCs w:val="21"/>
                <w:highlight w:val="none"/>
              </w:rPr>
              <w:t>核心产品</w:t>
            </w:r>
          </w:p>
        </w:tc>
        <w:tc>
          <w:tcPr>
            <w:tcW w:w="810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auto"/>
                <w:highlight w:val="none"/>
              </w:rPr>
            </w:pPr>
            <w:r>
              <w:rPr>
                <w:rFonts w:hint="eastAsia" w:ascii="宋体" w:hAnsi="宋体" w:cs="宋体"/>
                <w:color w:val="auto"/>
                <w:highlight w:val="none"/>
              </w:rPr>
              <w:t>本</w:t>
            </w:r>
            <w:r>
              <w:rPr>
                <w:rFonts w:hint="eastAsia" w:ascii="宋体" w:hAnsi="宋体" w:cs="宋体"/>
                <w:color w:val="auto"/>
                <w:highlight w:val="none"/>
                <w:lang w:eastAsia="zh-CN"/>
              </w:rPr>
              <w:t>标段</w:t>
            </w:r>
            <w:r>
              <w:rPr>
                <w:rFonts w:hint="eastAsia" w:ascii="宋体" w:hAnsi="宋体" w:cs="宋体"/>
                <w:b/>
                <w:color w:val="auto"/>
                <w:highlight w:val="none"/>
              </w:rPr>
              <w:t>第</w:t>
            </w:r>
            <w:r>
              <w:rPr>
                <w:rFonts w:ascii="宋体" w:hAnsi="宋体" w:cs="宋体"/>
                <w:b/>
                <w:color w:val="auto"/>
                <w:highlight w:val="none"/>
              </w:rPr>
              <w:t>1项“电感耦合等离子体质谱仪(ICP-MS)”</w:t>
            </w:r>
            <w:r>
              <w:rPr>
                <w:rFonts w:hint="eastAsia" w:ascii="宋体" w:hAnsi="宋体" w:cs="宋体"/>
                <w:color w:val="auto"/>
                <w:highlight w:val="none"/>
              </w:rPr>
              <w:t>为本次采购的核心产品。</w:t>
            </w:r>
          </w:p>
          <w:p>
            <w:pPr>
              <w:spacing w:line="360" w:lineRule="exact"/>
              <w:jc w:val="left"/>
              <w:rPr>
                <w:rFonts w:ascii="宋体" w:hAnsi="宋体" w:cs="宋体"/>
                <w:color w:val="auto"/>
                <w:highlight w:val="none"/>
              </w:rPr>
            </w:pPr>
            <w:r>
              <w:rPr>
                <w:rFonts w:hint="eastAsia" w:ascii="宋体" w:hAnsi="宋体" w:cs="宋体"/>
                <w:color w:val="auto"/>
                <w:highlight w:val="none"/>
              </w:rPr>
              <w:t xml:space="preserve">   提供相同品牌产品且通过资格审查、符合性审查的不同投标人参加同一合同项下投标的，按一家投标人计算，评审后得分最高的同品牌投标人获得中标人推荐资格（评审得分相同的，以投标报价由低到高顺序排列；得分相同且投标报价相同的，按技术分由高到底顺序排列），其他同品牌投标人不作为中标候选人。</w:t>
            </w:r>
          </w:p>
        </w:tc>
      </w:tr>
    </w:tbl>
    <w:p>
      <w:pPr>
        <w:pStyle w:val="2"/>
        <w:ind w:firstLine="353"/>
        <w:rPr>
          <w:color w:val="auto"/>
          <w:highlight w:val="none"/>
        </w:rPr>
      </w:pPr>
    </w:p>
    <w:p>
      <w:pPr>
        <w:pStyle w:val="2"/>
        <w:ind w:firstLine="353"/>
        <w:rPr>
          <w:color w:val="auto"/>
          <w:highlight w:val="none"/>
        </w:rPr>
      </w:pPr>
    </w:p>
    <w:p>
      <w:pPr>
        <w:pStyle w:val="2"/>
        <w:ind w:firstLine="353"/>
        <w:rPr>
          <w:color w:val="auto"/>
          <w:highlight w:val="none"/>
        </w:rPr>
      </w:pPr>
    </w:p>
    <w:p>
      <w:pPr>
        <w:pStyle w:val="2"/>
        <w:ind w:firstLine="354"/>
        <w:rPr>
          <w:b/>
          <w:color w:val="auto"/>
          <w:highlight w:val="none"/>
        </w:rPr>
      </w:pPr>
      <w:r>
        <w:rPr>
          <w:rFonts w:hint="eastAsia"/>
          <w:b/>
          <w:color w:val="auto"/>
          <w:highlight w:val="none"/>
        </w:rPr>
        <w:t>标段2：</w:t>
      </w:r>
    </w:p>
    <w:tbl>
      <w:tblPr>
        <w:tblStyle w:val="51"/>
        <w:tblW w:w="964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8"/>
        <w:gridCol w:w="900"/>
        <w:gridCol w:w="442"/>
        <w:gridCol w:w="992"/>
        <w:gridCol w:w="66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648" w:type="dxa"/>
            <w:gridSpan w:val="5"/>
            <w:tcBorders>
              <w:top w:val="single" w:color="auto" w:sz="4" w:space="0"/>
              <w:left w:val="single" w:color="auto" w:sz="4" w:space="0"/>
              <w:bottom w:val="single" w:color="auto" w:sz="4" w:space="0"/>
              <w:right w:val="single" w:color="auto" w:sz="4" w:space="0"/>
            </w:tcBorders>
          </w:tcPr>
          <w:p>
            <w:pPr>
              <w:snapToGrid w:val="0"/>
              <w:spacing w:line="360" w:lineRule="exact"/>
              <w:outlineLvl w:val="0"/>
              <w:rPr>
                <w:rFonts w:ascii="宋体" w:hAnsi="宋体" w:cs="宋体"/>
                <w:color w:val="auto"/>
                <w:szCs w:val="21"/>
                <w:highlight w:val="none"/>
              </w:rPr>
            </w:pPr>
            <w:r>
              <w:rPr>
                <w:rFonts w:hint="eastAsia" w:ascii="宋体" w:hAnsi="宋体" w:cs="宋体"/>
                <w:color w:val="auto"/>
                <w:szCs w:val="21"/>
                <w:highlight w:val="none"/>
              </w:rPr>
              <w:t>一、技术要求表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outlineLvl w:val="0"/>
              <w:rPr>
                <w:rFonts w:ascii="宋体" w:hAnsi="宋体" w:cs="宋体"/>
                <w:color w:val="auto"/>
                <w:szCs w:val="21"/>
                <w:highlight w:val="none"/>
              </w:rPr>
            </w:pPr>
            <w:r>
              <w:rPr>
                <w:rFonts w:hint="eastAsia" w:ascii="宋体" w:hAnsi="宋体" w:cs="宋体"/>
                <w:color w:val="auto"/>
                <w:szCs w:val="21"/>
                <w:highlight w:val="none"/>
              </w:rPr>
              <w:t>序号</w:t>
            </w:r>
          </w:p>
        </w:tc>
        <w:tc>
          <w:tcPr>
            <w:tcW w:w="134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outlineLvl w:val="0"/>
              <w:rPr>
                <w:rFonts w:ascii="宋体" w:hAnsi="宋体" w:cs="宋体"/>
                <w:color w:val="auto"/>
                <w:szCs w:val="21"/>
                <w:highlight w:val="none"/>
              </w:rPr>
            </w:pPr>
            <w:r>
              <w:rPr>
                <w:rFonts w:hint="eastAsia" w:ascii="宋体" w:hAnsi="宋体" w:cs="宋体"/>
                <w:color w:val="auto"/>
                <w:szCs w:val="21"/>
                <w:highlight w:val="none"/>
              </w:rPr>
              <w:t>采购内容</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outlineLvl w:val="0"/>
              <w:rPr>
                <w:rFonts w:ascii="宋体" w:hAnsi="宋体" w:cs="宋体"/>
                <w:color w:val="auto"/>
                <w:szCs w:val="21"/>
                <w:highlight w:val="none"/>
              </w:rPr>
            </w:pPr>
            <w:r>
              <w:rPr>
                <w:rFonts w:hint="eastAsia" w:ascii="宋体" w:hAnsi="宋体" w:cs="宋体"/>
                <w:color w:val="auto"/>
                <w:szCs w:val="21"/>
                <w:highlight w:val="none"/>
              </w:rPr>
              <w:t>数量</w:t>
            </w:r>
          </w:p>
        </w:tc>
        <w:tc>
          <w:tcPr>
            <w:tcW w:w="666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outlineLvl w:val="0"/>
              <w:rPr>
                <w:rFonts w:ascii="宋体" w:hAnsi="宋体" w:cs="宋体"/>
                <w:color w:val="auto"/>
                <w:szCs w:val="21"/>
                <w:highlight w:val="none"/>
              </w:rPr>
            </w:pPr>
            <w:r>
              <w:rPr>
                <w:rFonts w:hint="eastAsia" w:ascii="宋体" w:hAnsi="宋体" w:cs="宋体"/>
                <w:color w:val="auto"/>
                <w:szCs w:val="21"/>
                <w:highlight w:val="none"/>
              </w:rPr>
              <w:t>项目要求及技术需求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1342"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紫外可见分光光度计</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1套</w:t>
            </w:r>
          </w:p>
        </w:tc>
        <w:tc>
          <w:tcPr>
            <w:tcW w:w="6666" w:type="dxa"/>
            <w:tcBorders>
              <w:top w:val="single" w:color="auto" w:sz="4" w:space="0"/>
              <w:left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一、紫外可见分光光度计技术指标：</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1、波长范围：185～900nm</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 xml:space="preserve">★2、波长准确度：±0.1nm（氘灯656.1nm） </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3、波长重复性：≤0.05nm（氘灯656.1nm）</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 xml:space="preserve">★4、光谱带宽：：0.1nm、0.2nm、0.5nm、1.0nm、2.0nm、5.0nm六档位可调 </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★5、杂散光：≤0.0001%T(NaI，220nm）</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 xml:space="preserve">             ≤0.0001%T（NaNO</w:t>
            </w:r>
            <w:r>
              <w:rPr>
                <w:rFonts w:hint="eastAsia" w:ascii="宋体" w:hAnsi="宋体" w:cs="宋体"/>
                <w:color w:val="auto"/>
                <w:szCs w:val="21"/>
                <w:highlight w:val="none"/>
                <w:vertAlign w:val="subscript"/>
              </w:rPr>
              <w:t>2</w:t>
            </w:r>
            <w:r>
              <w:rPr>
                <w:rFonts w:hint="eastAsia" w:ascii="宋体" w:hAnsi="宋体" w:cs="宋体"/>
                <w:color w:val="auto"/>
                <w:szCs w:val="21"/>
                <w:highlight w:val="none"/>
              </w:rPr>
              <w:t>，360nm)</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★6、光度范围：-6.0A～6.0A</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7、光度准确度：±0.004A @2.0A</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 xml:space="preserve">                ±0.003A @1.0A</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 xml:space="preserve">                ±0.002A @0.5A</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 xml:space="preserve">               （NIST930D/NIST1930标准滤光片）</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 xml:space="preserve">                ±0.3%</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 xml:space="preserve">8、光度重复性：≤0.00016A@1.0A </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 xml:space="preserve">                ≤0.00008A@0.5A </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 xml:space="preserve">               （NIST930D标准滤光片,546.1nm，10次测量标准偏差）</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 xml:space="preserve">                ≤0.1%</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9、基线平直度（吸光度）：±0.0008A</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10、噪声：≤0.00005A (RMS)</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★11、光源：内置氘灯、钨灯、汞灯，自动切换</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★12、光学系统：混合C-T双单器系统</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13、检测器：R928光电倍增管</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★14、百万分之一杂光、注塑外壳、网络化，无单机操作双单色器，双光束,PMT接收</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15、通讯接口：RS232，USB</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16、控制软件：PC机、WINDOWSXP、WIN7</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★17、样品室：最大光程100mm</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 xml:space="preserve">              参与光束与样品光束中心距100mm</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 xml:space="preserve">              样品池光斑高度0-12mm连续可调</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18、电源：100～240VAC，50/60Hz，100VA</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19、使用温度湿度：温度15℃～35℃，相对湿度≤85%（不应结露）</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二、性能指标：</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超低杂散光-光度范围宽达-6.0Abs～6.0Abs：混合C-T双单器光学系统，采用特殊涂层高反射率光学器件，在保证光学系统高分辨率的同时，有效提高了系统光通量，实现仪器220nm杂散光指标优于0.0001%，340nm、360nm杂散光指标优于0.0001%。</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2、宽波长范围-实现深紫外区测量：仪器紫外光源选用高性能氘灯，检测器选用紫外增强高灵敏度光电倍增管，实现185nm～900nm的宽波长范围，在氮气吹扫时可实现185nm以下深紫外测量。</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3、自动光谱带宽扫描-测量数据更加准：仪器采用立式三缝组合连续可变狭缝设计，可自动在0.1nm～5.0nm范围内进行光谱带宽扫描，并识别样品分子共振吸收最强时的光谱带宽，从而确定最佳实验条件。</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4、开放式仪器应用平台-方便用户二次开发：仪器采用模块化涉及，提供开放式光学平台及电器接口，方便科研人员根据工作需要进行二次开发。</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5、内置三种光源-方便用户进行波张校准：仪器除了提供高性能氘灯、长寿命钨灯两种工作光源外，还内置了波长校准光源，方便用户在需要时进行波长校准，保证测量数据的准确可靠。</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★6、高效空气阻隔光学系统-充分保障仪器使用寿命：</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 xml:space="preserve">     光学系统采用全密封结构设计，实现与外界环境的高效隔离，防止光学器件因灰尘和腐蚀性气体侵入所导致的性能下降，充分保障仪器使用寿命。</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7、软件分析助手：可实现光度测量、定量测量、三维光谱扫描、时间扫描、最佳测量光谱带宽自动分析。</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★8、附件自动识别功能：无需用户设置配置的附件，使用简单便捷。</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三、技术服务</w:t>
            </w:r>
          </w:p>
          <w:p>
            <w:pPr>
              <w:widowControl/>
              <w:spacing w:line="360" w:lineRule="exact"/>
              <w:jc w:val="left"/>
              <w:textAlignment w:val="center"/>
              <w:rPr>
                <w:rFonts w:ascii="宋体" w:hAnsi="宋体" w:cs="宋体"/>
                <w:color w:val="auto"/>
                <w:szCs w:val="21"/>
                <w:highlight w:val="none"/>
              </w:rPr>
            </w:pPr>
            <w:r>
              <w:rPr>
                <w:rFonts w:ascii="宋体" w:hAnsi="宋体" w:cs="宋体"/>
                <w:color w:val="auto"/>
                <w:szCs w:val="21"/>
                <w:highlight w:val="none"/>
              </w:rPr>
              <w:t>具备全国分析检测人员能力培训委员会颁发的培训资质（NTC），可提供NTC分析检测培训，及颁发证书。</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四、配置要求：</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1、双光束紫外可见分光光度计1台</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2、石英比色皿1对</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3、十字螺丝刀(大Φ6mm×200mm) 1把</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4、十字螺丝刀(小Φ3mm×100mm) 1把</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5、一字螺丝刀(小Φ3mm×100mm) 1把</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6、一字螺丝刀(大Φ6mm×200mm) 1把</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7、电源插座  1个</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8、检验合格证1张</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9、安装验收单2张</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10、装箱单1张</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11、普析紫外仪器控制软件1套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12、使用说明书1本</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13、快速安装指南1张</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14、仪器罩1个</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15、电源线（SVT电源线）1根</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16、USB2.0连接线，A型至B型2m 1根</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17、钨灯（12V/20W横丝G4） 1个</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18、黑挡块 1只</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19、管状熔断体（RT1-20-2A/250V）  2支</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20、开口扳手GB/T4388 12×14  1把</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21、品牌电脑 1台</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22、品牌激光打印机 1台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2</w:t>
            </w:r>
          </w:p>
        </w:tc>
        <w:tc>
          <w:tcPr>
            <w:tcW w:w="1342"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电热鼓风干燥箱</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2台</w:t>
            </w:r>
          </w:p>
        </w:tc>
        <w:tc>
          <w:tcPr>
            <w:tcW w:w="6666" w:type="dxa"/>
            <w:tcBorders>
              <w:top w:val="single" w:color="auto" w:sz="4" w:space="0"/>
              <w:left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一、性能要求</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★1、大屏幕液晶显示屏，多组数据一屏显示，菜单式操作界面，简单易懂，便于观察和操作。</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★2、采用镜面不锈钢内胆，四角半圆弧过渡，搁板支架可以自由装卸，便于工作室的清洗工作。</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 xml:space="preserve">★3、箱体左侧配有直径为25mm测试孔，可根据放置场所需要而任意布线。   </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 xml:space="preserve">自我诊断功能  </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 xml:space="preserve">★4、当干燥箱发生故障时，液晶显示屏会出现故障信息，运行故障点一目了然。 </w:t>
            </w:r>
          </w:p>
          <w:p>
            <w:pPr>
              <w:widowControl/>
              <w:spacing w:line="360" w:lineRule="exact"/>
              <w:jc w:val="left"/>
              <w:textAlignment w:val="center"/>
              <w:rPr>
                <w:rFonts w:ascii="宋体" w:hAnsi="宋体" w:cs="宋体"/>
                <w:b/>
                <w:strike/>
                <w:color w:val="auto"/>
                <w:szCs w:val="21"/>
                <w:highlight w:val="none"/>
              </w:rPr>
            </w:pPr>
            <w:r>
              <w:rPr>
                <w:rFonts w:hint="eastAsia" w:ascii="宋体" w:hAnsi="宋体" w:cs="宋体"/>
                <w:color w:val="auto"/>
                <w:szCs w:val="21"/>
                <w:highlight w:val="none"/>
              </w:rPr>
              <w:t>★5、独立限温报警系统，并声光报警提示操作者，保证安全运行不发生意外。</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★6、温度偏高或偏低及超温报警。</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二、技术参数</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1、电源电压：AC220V50HZ</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2、输入功率：850W</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3、控温范围：RT+10～200℃(RT+10～250℃)</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4、温度分辨率：0.1℃</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5、恒温波动度：±1℃</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6、温度均匀度：±2.5%(测试点为100℃)</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7、搁板：3块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8、工作室尺(mm)W×D×H：600×450×900</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9、容积：250L</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10、定时范围：1～9999min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3</w:t>
            </w:r>
          </w:p>
        </w:tc>
        <w:tc>
          <w:tcPr>
            <w:tcW w:w="1342"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真空干燥箱（真空度数显控制）</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1台</w:t>
            </w:r>
          </w:p>
        </w:tc>
        <w:tc>
          <w:tcPr>
            <w:tcW w:w="6666" w:type="dxa"/>
            <w:tcBorders>
              <w:top w:val="single" w:color="auto" w:sz="4" w:space="0"/>
              <w:left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一、功能要求</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1、长方体工作室，使有效容积达到最大，微电脑温度控制器，控温精确可靠。</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2、钢化、防弹双层玻璃门观察工作室内物体，一目了然，可向内部充入惰性气体。</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3、箱门闭合松紧可调节，一体成型的硅橡胶门封圈，确保箱内高真空度。</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4、工作室采用不锈钢板材料制成</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5、储存、加热、试验和干燥可在没有氧气或者充满惰性气体环境里进行，不会导致氧化。</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6、缩短干燥时间，与传统真空干燥箱相比，干燥时间减少50%以上。</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7、干燥过程控制</w:t>
            </w:r>
          </w:p>
          <w:p>
            <w:pPr>
              <w:widowControl/>
              <w:spacing w:line="360" w:lineRule="exact"/>
              <w:ind w:firstLine="210" w:firstLineChars="100"/>
              <w:jc w:val="left"/>
              <w:textAlignment w:val="center"/>
              <w:rPr>
                <w:rFonts w:ascii="宋体" w:hAnsi="宋体" w:cs="宋体"/>
                <w:color w:val="auto"/>
                <w:szCs w:val="21"/>
                <w:highlight w:val="none"/>
              </w:rPr>
            </w:pPr>
            <w:r>
              <w:rPr>
                <w:rFonts w:hint="eastAsia" w:ascii="宋体" w:hAnsi="宋体" w:cs="宋体"/>
                <w:color w:val="auto"/>
                <w:szCs w:val="21"/>
                <w:highlight w:val="none"/>
              </w:rPr>
              <w:t>真空干燥过程控制可以提供程序化的真空循环，只需根据要求分别设定最高和最低真空度值，就能进一步缩短干燥时间。</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8、循环程序控制功能</w:t>
            </w:r>
          </w:p>
          <w:p>
            <w:pPr>
              <w:widowControl/>
              <w:spacing w:line="360" w:lineRule="exact"/>
              <w:ind w:firstLine="210" w:firstLineChars="100"/>
              <w:jc w:val="left"/>
              <w:textAlignment w:val="center"/>
              <w:rPr>
                <w:rFonts w:ascii="宋体" w:hAnsi="宋体" w:cs="宋体"/>
                <w:color w:val="auto"/>
                <w:szCs w:val="21"/>
                <w:highlight w:val="none"/>
              </w:rPr>
            </w:pPr>
            <w:r>
              <w:rPr>
                <w:rFonts w:hint="eastAsia" w:ascii="宋体" w:hAnsi="宋体" w:cs="宋体"/>
                <w:color w:val="auto"/>
                <w:szCs w:val="21"/>
                <w:highlight w:val="none"/>
              </w:rPr>
              <w:t>人性化的操作界面和编程程序，节约时间，保证可靠的加热或干燥工艺，可以在操作界面直接编程，可预设7组63步可编程序，每组设置时间1-99小时59分，可预置开机和关机时间。</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9、真空度控制</w:t>
            </w:r>
          </w:p>
          <w:p>
            <w:pPr>
              <w:widowControl/>
              <w:spacing w:line="360" w:lineRule="exact"/>
              <w:ind w:firstLine="210" w:firstLineChars="100"/>
              <w:jc w:val="left"/>
              <w:textAlignment w:val="center"/>
              <w:rPr>
                <w:rFonts w:ascii="宋体" w:hAnsi="宋体" w:cs="宋体"/>
                <w:color w:val="auto"/>
                <w:szCs w:val="21"/>
                <w:highlight w:val="none"/>
              </w:rPr>
            </w:pPr>
            <w:r>
              <w:rPr>
                <w:rFonts w:hint="eastAsia" w:ascii="宋体" w:hAnsi="宋体" w:cs="宋体"/>
                <w:color w:val="auto"/>
                <w:szCs w:val="21"/>
                <w:highlight w:val="none"/>
              </w:rPr>
              <w:t>真空干燥箱采用数字技术控制真空度，通过数显真空计自动控制真空度，能提供更加精确有效的真空度控制。通过面板，可方便地将真空度控制在10～105Pa(最低达到真空度133Pa)的范围内的任何两路点间或区域，控制精度为±1%。真空计采用了电阻硅管压力传感器，从而保证了稳定的压力值，不受气流的影响，把稳定的压力值传给真空计LED显示屏上。</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10、温度控制优势</w:t>
            </w:r>
          </w:p>
          <w:p>
            <w:pPr>
              <w:widowControl/>
              <w:spacing w:line="360" w:lineRule="exact"/>
              <w:ind w:firstLine="210" w:firstLineChars="100"/>
              <w:jc w:val="left"/>
              <w:textAlignment w:val="center"/>
              <w:rPr>
                <w:rFonts w:ascii="宋体" w:hAnsi="宋体" w:cs="宋体"/>
                <w:color w:val="auto"/>
                <w:szCs w:val="21"/>
                <w:highlight w:val="none"/>
              </w:rPr>
            </w:pPr>
            <w:r>
              <w:rPr>
                <w:rFonts w:hint="eastAsia" w:ascii="宋体" w:hAnsi="宋体" w:cs="宋体"/>
                <w:color w:val="auto"/>
                <w:szCs w:val="21"/>
                <w:highlight w:val="none"/>
              </w:rPr>
              <w:t>具有7组63步温度可编程功能：具有传统程序控制模式，还可以设置温度、恒温时间，含义为“温度～该温度恒温时间”，包含斜率模式程序控制，要用“温度—时间—温度”格式定义：从某温度升或降到另一温度所需要的时间，从而精准实现升或降温过程的速率控制。</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二、技术参数</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1、电源电压：AC220V 50HZ</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2、输入功率：1800W</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3、控温范围：RT+10～200℃</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4、温度分辨率/波动度：0.1℃/±1℃</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5、真空计：数字显示</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6、真空传感器：采用电阻硅管压力传感器</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7、真空度控制范围：10～105Pa (最低达到真空度133Pa)</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8、内胆尺寸（mm)W×D×H：400×400×400</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9、搁板：3块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10、工作室材料：不锈钢304（1Cr～18Ni9Ti)</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4</w:t>
            </w:r>
          </w:p>
        </w:tc>
        <w:tc>
          <w:tcPr>
            <w:tcW w:w="1342"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暗箱式三用紫外分析仪</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1台</w:t>
            </w:r>
          </w:p>
        </w:tc>
        <w:tc>
          <w:tcPr>
            <w:tcW w:w="6666" w:type="dxa"/>
            <w:tcBorders>
              <w:top w:val="single" w:color="auto" w:sz="4" w:space="0"/>
              <w:left w:val="single" w:color="auto" w:sz="4" w:space="0"/>
              <w:right w:val="single" w:color="auto" w:sz="4" w:space="0"/>
            </w:tcBorders>
            <w:vAlign w:val="center"/>
          </w:tcPr>
          <w:p>
            <w:pPr>
              <w:widowControl/>
              <w:shd w:val="clear" w:color="auto" w:fill="FFFFFF"/>
              <w:spacing w:line="405" w:lineRule="atLeast"/>
              <w:jc w:val="left"/>
              <w:rPr>
                <w:rFonts w:ascii="宋体" w:hAnsi="宋体" w:cs="宋体"/>
                <w:color w:val="auto"/>
                <w:kern w:val="0"/>
                <w:szCs w:val="21"/>
                <w:highlight w:val="none"/>
              </w:rPr>
            </w:pPr>
            <w:r>
              <w:rPr>
                <w:rFonts w:hint="eastAsia" w:ascii="宋体" w:hAnsi="宋体" w:cs="宋体"/>
                <w:color w:val="auto"/>
                <w:kern w:val="0"/>
                <w:szCs w:val="21"/>
                <w:highlight w:val="none"/>
              </w:rPr>
              <w:t>一、工作原理：采用紫外线灯管及滤光片组成。机器能分别发出强烈的253.7nm和365.0nm紫外线，亦能同时一次性混合使用两种波长。具有消耗功率小，热量低，并可以长时间连续使用，</w:t>
            </w:r>
            <w:r>
              <w:rPr>
                <w:rFonts w:hint="eastAsia" w:ascii="宋体" w:hAnsi="宋体" w:cs="宋体"/>
                <w:strike/>
                <w:color w:val="auto"/>
                <w:kern w:val="0"/>
                <w:szCs w:val="21"/>
                <w:highlight w:val="none"/>
              </w:rPr>
              <w:t>最大的优点是</w:t>
            </w:r>
            <w:r>
              <w:rPr>
                <w:rFonts w:hint="eastAsia" w:ascii="宋体" w:hAnsi="宋体" w:cs="宋体"/>
                <w:color w:val="auto"/>
                <w:kern w:val="0"/>
                <w:szCs w:val="21"/>
                <w:highlight w:val="none"/>
              </w:rPr>
              <w:t>采用在暗箱里操作，使图像更清晰。紫外灯管发出的光经过滤光片滤去可见光，为萤光分析提供了强烈的253.7nm和365.0nm紫外光。</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二、设备用途</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1、在实验工作中能检测许多物质，是检测如蛋白质、核苷酸等的必要仪器。</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2、在药物生产和研究中，可用来检查激素生物碱、维生素等各种能产生萤光药品的质量，它特别适宜作薄层分析，纸层分析斑点和检测。</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3、在粮油、蔬菜、食品部门可用于检查毒素、（如黄曲霉素等）食品添加剂等。</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三、技术参数</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1、波长：253.7nm、365.0nm</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 xml:space="preserve">2、滤色片：150×50(mm) </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3、最大照射面积：250×250(mm) (可使用面积)</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 xml:space="preserve">4、电源：AC220V±10% 50HZ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5</w:t>
            </w:r>
          </w:p>
        </w:tc>
        <w:tc>
          <w:tcPr>
            <w:tcW w:w="1342"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 w:val="22"/>
                <w:szCs w:val="22"/>
                <w:highlight w:val="none"/>
              </w:rPr>
              <w:t>全自动均质器</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 w:val="22"/>
                <w:szCs w:val="22"/>
                <w:highlight w:val="none"/>
              </w:rPr>
              <w:t>1套</w:t>
            </w:r>
          </w:p>
        </w:tc>
        <w:tc>
          <w:tcPr>
            <w:tcW w:w="6666" w:type="dxa"/>
            <w:tcBorders>
              <w:top w:val="single" w:color="auto" w:sz="4" w:space="0"/>
              <w:left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一、仪器用途：广泛用于动物组织、生物样品、食品、药品、化妆品，特别适用于农兽残检测样品的提取。</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二、技术参数</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1、最大样品批次处理量：36个。</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2、样品管体积：10ml～200mL，可以满足各种均质需求。</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3、电子控制转速，均质速度：3000～25000rpm/min。</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★4、10寸彩色触摸屏操作，图形化界面，操作简单，可编辑并储存几十条均质程序，包括加液通道、加液体积、均质速度、时间、清洗模式等，</w:t>
            </w:r>
            <w:r>
              <w:rPr>
                <w:rFonts w:hint="eastAsia" w:ascii="宋体" w:hAnsi="宋体" w:cs="宋体"/>
                <w:b/>
                <w:color w:val="auto"/>
                <w:szCs w:val="21"/>
                <w:highlight w:val="none"/>
              </w:rPr>
              <w:t>提供操作界面实拍图。</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★5、可选自动加液，三种溶剂通道。</w:t>
            </w:r>
          </w:p>
          <w:p>
            <w:pPr>
              <w:widowControl/>
              <w:spacing w:line="360" w:lineRule="exact"/>
              <w:jc w:val="left"/>
              <w:textAlignment w:val="center"/>
              <w:rPr>
                <w:rFonts w:ascii="宋体" w:hAnsi="宋体" w:cs="宋体"/>
                <w:b/>
                <w:color w:val="auto"/>
                <w:szCs w:val="21"/>
                <w:highlight w:val="none"/>
              </w:rPr>
            </w:pPr>
            <w:r>
              <w:rPr>
                <w:rFonts w:hint="eastAsia" w:ascii="宋体" w:hAnsi="宋体" w:cs="宋体"/>
                <w:color w:val="auto"/>
                <w:szCs w:val="21"/>
                <w:highlight w:val="none"/>
              </w:rPr>
              <w:t>★6、仪器主要部件电机为进口均质器，均质速度可以通过控制软件设定，</w:t>
            </w:r>
            <w:r>
              <w:rPr>
                <w:rFonts w:hint="eastAsia" w:ascii="宋体" w:hAnsi="宋体" w:cs="宋体"/>
                <w:b/>
                <w:color w:val="auto"/>
                <w:szCs w:val="21"/>
                <w:highlight w:val="none"/>
              </w:rPr>
              <w:t>而不是在均质器电机上去调节，提供电机装在仪器上面的实拍图、能看到均质器电机的仪器整体图及厂家声明。</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★7、样品盘自动识别。</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★8、管架规格：200mL×12孔、175mL×12孔、120mL×16孔、100mL×16孔、50mL×24孔、15mL×6孔、10mL×36孔。</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9、管架材质：铝合金。</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★10、可选带冰浴样品架，使得你的样品可以在低温条件进行操作，提供样品架实拍图并解释如何实现。</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11、机械刀头：19×204mm。</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12、均质器刀头清洗装置，动态喷淋清洗以保证清洗效果。</w:t>
            </w:r>
          </w:p>
          <w:p>
            <w:pPr>
              <w:widowControl/>
              <w:spacing w:line="360" w:lineRule="exact"/>
              <w:jc w:val="left"/>
              <w:textAlignment w:val="center"/>
              <w:rPr>
                <w:rFonts w:ascii="宋体" w:hAnsi="宋体" w:cs="宋体"/>
                <w:b/>
                <w:color w:val="auto"/>
                <w:szCs w:val="21"/>
                <w:highlight w:val="none"/>
              </w:rPr>
            </w:pPr>
            <w:r>
              <w:rPr>
                <w:rFonts w:hint="eastAsia" w:ascii="宋体" w:hAnsi="宋体" w:cs="宋体"/>
                <w:color w:val="auto"/>
                <w:szCs w:val="21"/>
                <w:highlight w:val="none"/>
              </w:rPr>
              <w:t>★13、独立的刀头清洗槽，包括三种清洗方式，有机溶剂、水和超声波清洗；可以根据需要选择是用哪种清洗方式进行清洗及设定清洗时间等，且清洗槽都具备自动上液和自动排放功能，无需人工操作，有机和水分开排放及上液，水清洗及超声波清洗进水有两种选择，方便在超声波清洗时可以用纯水或者超纯水进行清洗以减少由于自来水引进的污染，</w:t>
            </w:r>
            <w:r>
              <w:rPr>
                <w:rFonts w:hint="eastAsia" w:ascii="宋体" w:hAnsi="宋体" w:cs="宋体"/>
                <w:b/>
                <w:color w:val="auto"/>
                <w:szCs w:val="21"/>
                <w:highlight w:val="none"/>
              </w:rPr>
              <w:t>提供侧面排液及进液管路排布实拍图并解释。</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★14、有机溶剂清洗，可实现清洗液重复使用，使用次数可以根据需要进行设定，</w:t>
            </w:r>
            <w:r>
              <w:rPr>
                <w:rFonts w:hint="eastAsia" w:ascii="宋体" w:hAnsi="宋体" w:cs="宋体"/>
                <w:b/>
                <w:color w:val="auto"/>
                <w:szCs w:val="21"/>
                <w:highlight w:val="none"/>
              </w:rPr>
              <w:t>提供仪器操作界面图并解释。</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15、水清洗水源水用桶装的可选液位监控，以防清洗水用完了，仪器继续运行导致刀头交叉污染的产生。</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16、有机清洗产生的废液可选液位监控，以保证有机废液不会溢出来污染实验室空气。</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17、均质过程中刀头上下移动以增强均质效果，刀头上下移动距离仪器会根据样品量和样品管规格自动进行调整，</w:t>
            </w:r>
            <w:r>
              <w:rPr>
                <w:rFonts w:hint="eastAsia" w:ascii="宋体" w:hAnsi="宋体" w:cs="宋体"/>
                <w:b/>
                <w:color w:val="auto"/>
                <w:szCs w:val="21"/>
                <w:highlight w:val="none"/>
              </w:rPr>
              <w:t>提供操作界面图并说明</w:t>
            </w:r>
            <w:r>
              <w:rPr>
                <w:rFonts w:hint="eastAsia" w:ascii="宋体" w:hAnsi="宋体" w:cs="宋体"/>
                <w:color w:val="auto"/>
                <w:szCs w:val="21"/>
                <w:highlight w:val="none"/>
              </w:rPr>
              <w:t>。</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18、转盘式样品盘在刀头从均质位转到清洗位过程中同时随着转动，以减少交叉污染的可能。</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19、仪器安全性：仪器有自动保护功能，如实际转速与设定转速相差太大时（过慢或者过快时）仪器会自动停机，并报警；样品过载或马达过热致温度上升时，仪器会自动调整并报警，以提高实验的安全性。</w:t>
            </w:r>
          </w:p>
          <w:p>
            <w:pPr>
              <w:widowControl/>
              <w:spacing w:line="360" w:lineRule="exact"/>
              <w:jc w:val="left"/>
              <w:textAlignment w:val="center"/>
              <w:rPr>
                <w:rFonts w:ascii="宋体" w:hAnsi="宋体" w:cs="宋体"/>
                <w:b/>
                <w:color w:val="auto"/>
                <w:szCs w:val="21"/>
                <w:highlight w:val="none"/>
              </w:rPr>
            </w:pPr>
            <w:r>
              <w:rPr>
                <w:rFonts w:hint="eastAsia" w:ascii="宋体" w:hAnsi="宋体" w:cs="宋体"/>
                <w:color w:val="auto"/>
                <w:szCs w:val="21"/>
                <w:highlight w:val="none"/>
              </w:rPr>
              <w:t>★20、运行过程中，显示面板可以显示均质速度、总的程序运行剩余时间、工作位置等实时信息，并且可以随时暂停或者停止现有工作，</w:t>
            </w:r>
            <w:r>
              <w:rPr>
                <w:rFonts w:hint="eastAsia" w:ascii="宋体" w:hAnsi="宋体" w:cs="宋体"/>
                <w:b/>
                <w:color w:val="auto"/>
                <w:szCs w:val="21"/>
                <w:highlight w:val="none"/>
              </w:rPr>
              <w:t>提供操作界面实拍图并指出各参数。</w:t>
            </w:r>
          </w:p>
          <w:p>
            <w:pPr>
              <w:widowControl/>
              <w:spacing w:line="360" w:lineRule="exact"/>
              <w:jc w:val="left"/>
              <w:textAlignment w:val="center"/>
              <w:rPr>
                <w:rFonts w:ascii="宋体" w:hAnsi="宋体" w:cs="宋体"/>
                <w:b/>
                <w:color w:val="auto"/>
                <w:szCs w:val="21"/>
                <w:highlight w:val="none"/>
              </w:rPr>
            </w:pPr>
            <w:r>
              <w:rPr>
                <w:rFonts w:hint="eastAsia" w:ascii="宋体" w:hAnsi="宋体" w:cs="宋体"/>
                <w:color w:val="auto"/>
                <w:szCs w:val="21"/>
                <w:highlight w:val="none"/>
              </w:rPr>
              <w:t>★21、所有的动作都是在一个密闭的系统里面，通过管连接仪器后部的排气扇可以把挥发的有机溶剂排到室外减少对实验室人员的身体毒害，并且可以节约实验室有限的通风橱空间，</w:t>
            </w:r>
            <w:r>
              <w:rPr>
                <w:rFonts w:hint="eastAsia" w:ascii="宋体" w:hAnsi="宋体" w:cs="宋体"/>
                <w:b/>
                <w:color w:val="auto"/>
                <w:szCs w:val="21"/>
                <w:highlight w:val="none"/>
              </w:rPr>
              <w:t>请提供仪器后部及正面实拍图。</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22、全透明塑料前门，内置LED灯，可以一览无余的看到均质全过程。</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三、配置要求：</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1、主机一台（含控制操作系统、均质器电机等）</w:t>
            </w:r>
          </w:p>
          <w:p>
            <w:pPr>
              <w:widowControl/>
              <w:spacing w:line="360" w:lineRule="exact"/>
              <w:jc w:val="left"/>
              <w:textAlignment w:val="center"/>
              <w:rPr>
                <w:rFonts w:ascii="宋体" w:hAnsi="宋体" w:cs="宋体"/>
                <w:b/>
                <w:strike/>
                <w:color w:val="auto"/>
                <w:szCs w:val="21"/>
                <w:highlight w:val="none"/>
              </w:rPr>
            </w:pPr>
            <w:r>
              <w:rPr>
                <w:rFonts w:hint="eastAsia" w:ascii="宋体" w:hAnsi="宋体" w:cs="宋体"/>
                <w:color w:val="auto"/>
                <w:szCs w:val="21"/>
                <w:highlight w:val="none"/>
              </w:rPr>
              <w:t>2、自动加液系统</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3、通用型19×204mm平底机械刀头一把</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4、维护工具包一套、刀头轴承1个</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 xml:space="preserve">5、农残样品专用套件1套 </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6、电源线一根</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7、操作说明书一份</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 xml:space="preserve">四、工作条件 </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1、工作温度：10～40℃</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2、湿度：20～80 %</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3、电源：单相200～240 V，50/60 Hz</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五、应用支持：厂家有应用研发实验室，能够为用户在均质提取的方法开发及优化方面提供支持及协助。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6</w:t>
            </w:r>
          </w:p>
        </w:tc>
        <w:tc>
          <w:tcPr>
            <w:tcW w:w="1342"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 w:val="22"/>
                <w:szCs w:val="22"/>
                <w:highlight w:val="none"/>
              </w:rPr>
              <w:t>高通量真空平行浓缩仪</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 w:val="22"/>
                <w:szCs w:val="22"/>
                <w:highlight w:val="none"/>
              </w:rPr>
              <w:t>1套</w:t>
            </w:r>
          </w:p>
        </w:tc>
        <w:tc>
          <w:tcPr>
            <w:tcW w:w="6666" w:type="dxa"/>
            <w:tcBorders>
              <w:top w:val="single" w:color="auto" w:sz="4" w:space="0"/>
              <w:left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一、仪器用途：可用食品、环境土壤、环境水、司法检材等各种样品残留测定的前处理，实现多样品在真空负压的状态下进行快速且平行的溶剂浓缩，挥发的有机试剂可进行回收。</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二、技术参数：</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1、主机模块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★1.1样品在真空负压、加热和震荡的多重作用下，进行样品浓缩，无需外接气源。</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★1.2批处理能力：最大支持16个360ml圆底管样品同时进行浓缩，样品管也可配置浓缩尾管，可在浓缩尾管内直接定容。</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★1.3 试管架和浓缩腔分体式设计，36位85 ml试管架。</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1.4 浓缩杯具备0.5ml或1ml刻度线，可直接在浓缩杯上完成定容。</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★1.5 浓缩腔体为三面透明，不小于8L，试管底部无遮挡物，可直接在仪器运行过程中对样品底部的浓缩状态进行观察。</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★1.6 加热模块：水浴加热，温度可设定（室温～90℃），加热模块不与样品管接触，水浴进行温度传递，腔体温度均一。</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★1.7 仪器具备自动给排水功能：软件界面一键操作，在加水泵的作用下进行自动加水操作；也可在排水泵的作用下进行快速排水操作。</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★1.8 程序阶梯式控制：同一个浓缩方法中，真空度可根据触控式屏幕软件进行梯度设定，方法运行过程中自动进行真空度调节，时间范围0- 99小时59分钟。</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1.9 水平振荡转速范围：0～300 rpm</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1.10 水平振荡偏心率可调范围：0～5mm</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1.11 每个样品管含有独立的真空管路，避免样品间的交叉污染。</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1.12 真空盖板采用耐腐蚀PFA涂层，耐腐蚀。</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1.13  泵速：1.2～1.8m</w:t>
            </w:r>
            <w:r>
              <w:rPr>
                <w:rFonts w:hint="eastAsia" w:ascii="宋体" w:hAnsi="宋体" w:cs="宋体"/>
                <w:color w:val="auto"/>
                <w:szCs w:val="21"/>
                <w:highlight w:val="none"/>
                <w:vertAlign w:val="superscript"/>
              </w:rPr>
              <w:t>3</w:t>
            </w:r>
            <w:r>
              <w:rPr>
                <w:rFonts w:hint="eastAsia" w:ascii="宋体" w:hAnsi="宋体" w:cs="宋体"/>
                <w:color w:val="auto"/>
                <w:szCs w:val="21"/>
                <w:highlight w:val="none"/>
              </w:rPr>
              <w:t>/h；</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1.14  真空度控制精度：1～10 mbar，真空度设置精度1 mbar；</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1.15  耐腐蚀真空系统与真空低温溶剂回收主机直接相连，冷凝回收主机实时显示各级冷肼温度。</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1.16 真空泵膜片为聚四氟乙烯隔膜，气体管道材料：PEEK，PTFE，PP，玻璃，抗化学腐蚀，可自动干燥残留溶剂。</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2、溶剂回收系统：浓缩过程产生的有机蒸汽可进行冷凝回收处理。</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3、集成控制系统</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★3.1 主机集成软件控制，七寸LED大屏幕进行参数显示及仪器控制，可按设定进行真空度梯度的实时调节。</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★3.2 终点控制可设定，采用定时模式。</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3.3安全模块：内置放气阀和压力传感器，断电时可以自动放气，防止系统过压。</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★3.4含浓缩数据库，带有多种溶剂的挥发设定程序，可根据自身实验条件进行数据存储和调用。</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4、配置清单</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4.1  真空平行浓缩仪主机，带三面观察水浴模块，加热模块，震荡模块、集成控制系统  1台</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4.2  溶剂回收系统 1套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4.3  真空控制系统 1套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4.4  冷却循环系统 1套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4.5  36位样品组件（含65ml、75ml试管各36支）1套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4.6  MPE维护包1套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4.7  MPE连接套件1套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7</w:t>
            </w:r>
          </w:p>
        </w:tc>
        <w:tc>
          <w:tcPr>
            <w:tcW w:w="1342"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 w:val="22"/>
                <w:szCs w:val="22"/>
                <w:highlight w:val="none"/>
              </w:rPr>
              <w:t>全自动石墨消解仪</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 w:val="22"/>
                <w:szCs w:val="22"/>
                <w:highlight w:val="none"/>
              </w:rPr>
              <w:t>1套</w:t>
            </w:r>
          </w:p>
        </w:tc>
        <w:tc>
          <w:tcPr>
            <w:tcW w:w="6666" w:type="dxa"/>
            <w:tcBorders>
              <w:top w:val="single" w:color="auto" w:sz="4" w:space="0"/>
              <w:left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1、工作条件</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1.1 工作温度：15℃～40℃</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1.2 湿度：20%～80% Rh（相对湿度）</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1.3 电源：220～240 VAC，50/60Hz，10A（Auto GDA-36）/16A（Auto GDA-72）</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2、技术要求</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 功能要求：用于各种样品的重金属消解及金属样品溶解的全自动前处理过程（全自动加酸碱、加标准品、自动混匀、自动添加消解管盖、消解管架自动升降、自动消解、自动赶酸、自动定容等）。</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2.2 主机及石墨炉加热系统基本参数</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★2.2.1最多可以同一批次连续处理72个样品</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★2.2.2 两块立体式石墨炉加热主体，表面镀特氟龙，保证了升温速度和加热效率及均匀性，提高样品前处理重复性，可以同时运行两个消解方法。</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2.2.3 石墨炉温度在常温到230℃之间可调，消解过程中采用程序升温的方式，逐步提高消解温度，样品消解更彻底，PID控温，温度精度为0.1℃，消解赶酸效果明显。</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2.2.4 石墨消解孔之间温差±1℃@150℃。</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2.2.5 仪器面板材质为特氟龙，可长期工作在高浓度酸雾环境中，不会被酸雾腐蚀。</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★2.2.6炫彩灯光指示仪器运行状态，仪器运行状态一目了然，减少酸雾对实验人员的伤害。</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2.3消解试剂输送系统、消解试剂自动分配系统（机械臂）</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★2.3.1 消解试剂添加使用2个高精度蠕动泵和1个注射泵，两个蠕动泵可以同时加液，减少加液时间，蠕动泵管为进口双层特氟隆管，耐强酸强碱，单泵输液速度可达4mL/s，速度可调。</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2.3.2 消解试剂添加时，马达升降系统自动升高，将样品管脱离加热块添加试剂，避免剧烈反应等意外发生。</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★2.3.3 消解试剂通道：12个，其中4个试剂通道为注射泵添加试剂通道，可以添加标准品和定容试剂通道，8个试剂通道为蠕动泵添加耐腐蚀试剂通道。</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★2.3.4 X-Y反式全密闭特氟龙磁悬浮机械臂，减少酸雾对机械臂的腐蚀，减少皮带等耗材。</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2.3.5 试剂通道可设定任意清洗体积，可选用水或下一种试剂自动清洗。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2.3.6 试剂管路为PFA管，耐受所有的酸，含氢氟酸。</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2.4 样品精确定容系统：样品消解完毕后，通过微距低功率超声传感器和注射泵加液定容，定容精度高。可以设定定容校准曲线。</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2.5仪器控制和方法设置软件</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2.5.1 可随意设定消解和其它前处理步骤，满足用户不同样品消解的需求。</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2.5.2 可存储几乎无限多的消解和前处理程序。</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2.5.3 记录处理过程中的数据和步骤。</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★2.5.4 WIFI连接，电脑控制，减少控制器的腐蚀，便于操作，无人职守功能。</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2.5.5 自动生成实验报告和实验日志，更好的实验溯源。</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2.5.6 实时显示样品的位置信息和运行方法的信息。</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2.6 马达升降振荡系统</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2.6.1 主机配置消解管架及马达系统，根据实验需求仪器可自动升降消解管架。</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2.6.2 可通过马达振荡系统，实现消解管架的的震荡，实现加试剂后与样品的混匀。</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2.6.3 可以设定震荡摇匀的频率和时间。</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★2.7 独有的消解管盖实现自动添加和取下功能：有效的减少了酸的用量，减少酸用量带来的背景干扰、最大程度的保护了实验人员的安全</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2.8 通风系统</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2.8.1 自身带有密闭通风罩，聚碳酸酯材质，耐腐蚀</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★2.8.2 独立防腐风机，密闭隔绝处理，大流量吸风，低噪音运转。</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2.8.3 防腐通风管可达4米，使仪器的位置不受固定的区域限制。</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★2.8.4 HEPA过滤网，保证了样品的纯洁度，不受外界环境的干扰</w:t>
            </w:r>
            <w:r>
              <w:rPr>
                <w:rFonts w:hint="eastAsia" w:ascii="宋体" w:hAnsi="宋体" w:cs="宋体"/>
                <w:color w:val="auto"/>
                <w:szCs w:val="21"/>
                <w:highlight w:val="none"/>
              </w:rPr>
              <w:tab/>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★2.9消解终点自动识别剩余液体体积，可以根据实验需要设定为停止运行或者进行补酸。</w:t>
            </w:r>
          </w:p>
          <w:p>
            <w:pPr>
              <w:widowControl/>
              <w:spacing w:line="360" w:lineRule="exact"/>
              <w:jc w:val="left"/>
              <w:textAlignment w:val="center"/>
              <w:rPr>
                <w:rFonts w:ascii="宋体" w:hAnsi="宋体" w:cs="宋体"/>
                <w:strike/>
                <w:color w:val="auto"/>
                <w:szCs w:val="21"/>
                <w:highlight w:val="none"/>
              </w:rPr>
            </w:pPr>
            <w:r>
              <w:rPr>
                <w:rFonts w:hint="eastAsia" w:ascii="宋体" w:hAnsi="宋体" w:cs="宋体"/>
                <w:color w:val="auto"/>
                <w:szCs w:val="21"/>
                <w:highlight w:val="none"/>
              </w:rPr>
              <w:t>★2.10可以识别消解管的位置，避免加酸到石墨孔内；可以针对不同的位置添加不同的试剂，有利于同一方法下做不同的样品。</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3、配置要求</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3.1 石墨消解仪标准配置（主机）</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3.1.1 石墨消解仪主机1台，含蠕动泵流路模组2套，注射泵流路模组1套，加取盖模组1套，升降模组2套，摇匀模组2套，石墨模组2套，机械臂模组1套，超声波定容模组1套，排废模组1套，通风模组1套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3.1.2 石墨消解仪配件箱：含公制球头内六角扳手（3mm）1个，公制球头内六角扳手（2.5mm）1个，十字螺丝刀1个，一字螺丝刀1个，沉瓶器（3.2）8个，沉瓶器（1.6）4个，50mL消解架4个，50mL消解盖8个，50mL特氟龙消解管144个，防护塞16个。</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★3.1.3石油醚套件：16位样品架（320ml圆底试管）、16位样品盖板、320ml圆底试管16支。</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w:t>
            </w:r>
            <w:r>
              <w:rPr>
                <w:rFonts w:ascii="宋体" w:hAnsi="宋体" w:cs="宋体"/>
                <w:color w:val="auto"/>
                <w:szCs w:val="21"/>
                <w:highlight w:val="none"/>
              </w:rPr>
              <w:t>应用支持</w:t>
            </w:r>
            <w:r>
              <w:rPr>
                <w:rFonts w:hint="eastAsia" w:ascii="宋体" w:hAnsi="宋体" w:cs="宋体"/>
                <w:color w:val="auto"/>
                <w:szCs w:val="21"/>
                <w:highlight w:val="none"/>
              </w:rPr>
              <w:t>：</w:t>
            </w:r>
            <w:r>
              <w:rPr>
                <w:rFonts w:ascii="宋体" w:hAnsi="宋体" w:cs="宋体"/>
                <w:color w:val="auto"/>
                <w:szCs w:val="21"/>
                <w:highlight w:val="none"/>
              </w:rPr>
              <w:t>厂家有应用研发实验室，新设备安装现场会有技术人员到场协助</w:t>
            </w:r>
            <w:r>
              <w:rPr>
                <w:rFonts w:hint="eastAsia" w:ascii="宋体" w:hAnsi="宋体" w:cs="宋体"/>
                <w:color w:val="auto"/>
                <w:szCs w:val="21"/>
                <w:highlight w:val="none"/>
                <w:lang w:eastAsia="zh-CN"/>
              </w:rPr>
              <w:t>采购人</w:t>
            </w:r>
            <w:r>
              <w:rPr>
                <w:rFonts w:ascii="宋体" w:hAnsi="宋体" w:cs="宋体"/>
                <w:color w:val="auto"/>
                <w:szCs w:val="21"/>
                <w:highlight w:val="none"/>
              </w:rPr>
              <w:t>针对相应国标如：GB 5009.12-2017，GB 5009.13-2017，GB 5009.138-2017等进行方法开发及优化。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48" w:type="dxa"/>
            <w:tcBorders>
              <w:top w:val="single" w:color="auto" w:sz="4" w:space="0"/>
              <w:left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8</w:t>
            </w:r>
          </w:p>
        </w:tc>
        <w:tc>
          <w:tcPr>
            <w:tcW w:w="1342" w:type="dxa"/>
            <w:gridSpan w:val="2"/>
            <w:tcBorders>
              <w:top w:val="single" w:color="auto" w:sz="4" w:space="0"/>
              <w:left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全自动实验室玻璃器皿清洗机</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1套</w:t>
            </w:r>
          </w:p>
        </w:tc>
        <w:tc>
          <w:tcPr>
            <w:tcW w:w="6666" w:type="dxa"/>
            <w:tcBorders>
              <w:top w:val="single" w:color="auto" w:sz="4" w:space="0"/>
              <w:left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1、用途：适用于清洗实验室玻璃器皿与水冲式清洗单独或配合使用。</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2、技术要求：</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2.1外壳材质，304不锈钢，内腔材质，316L不锈钢，仪器内部可以存储4桶5L装清洗剂；</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2.2清洗容积≥210L，可放置双层篮架，单次最多可以清洗460个色谱进样瓶或170根移液管；清洗剂独立供给通道不低于2个；</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2.3电源220V，50hz，峰值功率≤5KW，加热功率≤4KW，水加热盘管隐藏在水箱内部，不直接裸露在底板之上；</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2.4控制系统为进口微电脑芯片控制技术，非PLC控制，采用轻触式耐酸碱钢化面板显示操作；</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2.5内置不少于25个标准程序及不少于75个用户自定义程序，每个程序均有独立编码和参数，为应对极痕量清洗最多可提供27次以上漂洗，FDA标准三级密码操作管理；</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★2.6 循环泵软启动变频控制实现水循环量0～580L/min可调节，避免了水泵启动瞬间水柱压力过大对玻璃器皿造成的伤害；</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★2.7通过管道压力检测传感器实时检测清洗水管道压力，在水压过低或零时可暂停水泵运行，防止水泵空转运行和有效保障清洗过程中的喷淋压力，防泡沫清洗技术（提供管道压力监测证明材料）；</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2.8仪器内置“黑匣子”功能，能全程自动记录清洗全过程中每一个电器部件的运行状态，并在清洗完成后蜂鸣提醒、面板提醒完成；符合FDA法规要求，机器可自动打印清洗参数，并自动存储清洗数据以备核查，喷淋臂转速传感器实时监控清洗状态；</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2.9喷淋循环清洗水从机器顶部进入内腔为清洗栏架供水，清洗栏架采用中心12等分，每30°角为一根分水管，均匀分水，保障每一根水管内的压力均匀一致，清洗水柱压力高度一致；清洗栏架需有泄水装置，确保洗瓶机循环管路和清洗舱内无存水死角；</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2.10要求移液管为直上直下清洗方式，不为倾斜清洗方式，防止倾斜式清洗大肚移液管造成的清洗死角问题；</w:t>
            </w:r>
          </w:p>
          <w:p>
            <w:pPr>
              <w:widowControl/>
              <w:spacing w:line="360" w:lineRule="exact"/>
              <w:jc w:val="left"/>
              <w:textAlignment w:val="center"/>
              <w:rPr>
                <w:rFonts w:ascii="宋体" w:hAnsi="宋体" w:cs="宋体"/>
                <w:b/>
                <w:color w:val="auto"/>
                <w:szCs w:val="21"/>
                <w:highlight w:val="none"/>
              </w:rPr>
            </w:pPr>
            <w:r>
              <w:rPr>
                <w:rFonts w:hint="eastAsia" w:ascii="宋体" w:hAnsi="宋体" w:cs="宋体"/>
                <w:color w:val="auto"/>
                <w:szCs w:val="21"/>
                <w:highlight w:val="none"/>
              </w:rPr>
              <w:t>★2.11为保证痕量分析实验结果的精确性，清洗后的残留物能完全达到行业内相应方法检出限标准和清洗后的颗粒物残留物≤0.003ppm，</w:t>
            </w:r>
            <w:r>
              <w:rPr>
                <w:rFonts w:hint="eastAsia" w:ascii="宋体" w:hAnsi="宋体" w:cs="宋体"/>
                <w:b/>
                <w:color w:val="auto"/>
                <w:szCs w:val="21"/>
                <w:highlight w:val="none"/>
              </w:rPr>
              <w:t>必须提供第三方清洗残留验证报告；</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3、安全保护系统及干燥系统</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3.1电子安全锁，机械保险装置并电动开门无需手动扳手、过温保护、清洗剂缺液提醒功能，及时提醒用户添加清洗剂、漏水监测等保护功能；配有排水过滤和循环水过滤系统保障玻璃器皿和管路的安全，停水自恢复和停电自动保存当前清洗状态；</w:t>
            </w:r>
          </w:p>
          <w:p>
            <w:pPr>
              <w:widowControl/>
              <w:spacing w:line="360" w:lineRule="exact"/>
              <w:jc w:val="left"/>
              <w:textAlignment w:val="center"/>
              <w:rPr>
                <w:rFonts w:ascii="宋体" w:hAnsi="宋体" w:cs="宋体"/>
                <w:b/>
                <w:color w:val="auto"/>
                <w:szCs w:val="21"/>
                <w:highlight w:val="none"/>
              </w:rPr>
            </w:pPr>
            <w:r>
              <w:rPr>
                <w:rFonts w:hint="eastAsia" w:ascii="宋体" w:hAnsi="宋体" w:cs="宋体"/>
                <w:color w:val="auto"/>
                <w:szCs w:val="21"/>
                <w:highlight w:val="none"/>
              </w:rPr>
              <w:t>★3.2</w:t>
            </w:r>
            <w:r>
              <w:rPr>
                <w:rFonts w:hint="eastAsia" w:ascii="宋体" w:hAnsi="宋体" w:cs="宋体"/>
                <w:b/>
                <w:color w:val="auto"/>
                <w:szCs w:val="21"/>
                <w:highlight w:val="none"/>
              </w:rPr>
              <w:t>设备生产厂家须提供防交叉污染证明材料；</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3.3干燥空气通过注射清洗栏架直达器皿内部，可彻底干燥玻璃器皿的内部和外部，温度可调（室温～110℃），干燥时间（0～180分钟），热风循环量不低于100m</w:t>
            </w:r>
            <w:r>
              <w:rPr>
                <w:rFonts w:hint="eastAsia" w:ascii="宋体" w:hAnsi="宋体" w:cs="宋体"/>
                <w:color w:val="auto"/>
                <w:szCs w:val="21"/>
                <w:highlight w:val="none"/>
                <w:vertAlign w:val="superscript"/>
              </w:rPr>
              <w:t>3</w:t>
            </w:r>
            <w:r>
              <w:rPr>
                <w:rFonts w:hint="eastAsia" w:ascii="宋体" w:hAnsi="宋体" w:cs="宋体"/>
                <w:color w:val="auto"/>
                <w:szCs w:val="21"/>
                <w:highlight w:val="none"/>
              </w:rPr>
              <w:t>/h；</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3.4内腔没有排气孔，具有双重喷淋热交换系统，进行蒸汽冷凝和冷却水自动排放，无需排风管道，冷凝器采用高品质不锈钢材料，能够在循环结束前冷却玻璃器皿；</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4、清洗篮架</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4.1清洗篮架一：不少于48位上层清洗篮架，主要用于清洗烧杯、容量瓶、锥形瓶、三角瓶、量筒等实验室器皿，数量：一套；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4.2 清洗篮架二：不少于50位下层清洗篮架，主要用于清洗烧杯、容量瓶、锥形瓶、三角瓶、量筒等实验室器皿，数量：一套；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★4.3清洗篮架三：不少于170位混合清洗插件，用于清洗移液管喷淋器25个，试管喷淋器75个，进样小瓶喷淋器70个，数量：一套；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5、配置要求：</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5.1 主机1台：220v，50hz，5kw</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5.2 上层48位清洗篮架1套：适合清洗10-250ml容量瓶、三角瓶、碘量瓶、试剂瓶、烧杯、量筒等玻璃器皿</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5.3 下层52位清洗篮架1套：适合清洗10-250ml容量瓶、三角瓶、碘量瓶、试剂瓶、烧杯、量筒等玻璃器皿</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5.4 混合清洗篮架1套：适合清洗移液管、试管、色谱进样小瓶、20ml顶空进样瓶</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5.5 酸碱清洗剂一组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9</w:t>
            </w:r>
          </w:p>
        </w:tc>
        <w:tc>
          <w:tcPr>
            <w:tcW w:w="1342"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高压灭菌锅</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1台</w:t>
            </w:r>
          </w:p>
        </w:tc>
        <w:tc>
          <w:tcPr>
            <w:tcW w:w="6666" w:type="dxa"/>
            <w:tcBorders>
              <w:top w:val="single" w:color="auto" w:sz="4" w:space="0"/>
              <w:left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一、功能要求：</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1、实行微电脑智能控制系统：采用"LED"数显运行工作循环程序，灭菌结束（报警）后自动停机。</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2、安全联锁装置：采用电子与机械互动的安全控制结构，确保锅内有压力时联锁装置自动锁紧锅盖，避免了误操作或使用不当而产生的不安全因素。</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3、锅盖启闭装置：采用手轮式旋压锁紧结构，使锅盖开启与锁紧安全可靠。</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4、预置程序：可预置固定程序分别针对液体、固体的灭菌、干燥。</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5、记忆存储系统：可存储上次灭菌程序。</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6、校验接口：提供温度、压力检验接口，方便对锅内多点温度进行检测。</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7、操控台动态：数显屏与指示灯可显示设定的灭菌工作动态与运行的功能提示。</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二、技术参数：</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1、手轮式快开门结构</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2、304不锈钢材质，自胀式密封圈</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3、自动控制灭菌循环程序，压力安全联锁装置</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4、数码窗液晶显示工作状态</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5、超压自泄0.145～0.217Mpa</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6、灭菌温度可选设定范围50℃～134℃</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7、灭菌时间可调设定范围0～99h</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8、具有断水保护装置</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9、灭菌终了蜂鸣提醒后自动停机</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10、容积：100升,电源电压:380V，功率:6KW</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11、灭菌室尺寸：φ500×550（mm），网篮尺寸：465×230（mm）（2只）</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12、具有国家规定的特种设备压力容器证书。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10</w:t>
            </w:r>
          </w:p>
        </w:tc>
        <w:tc>
          <w:tcPr>
            <w:tcW w:w="1342"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二氧化硫蒸馏仪</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1套</w:t>
            </w:r>
          </w:p>
        </w:tc>
        <w:tc>
          <w:tcPr>
            <w:tcW w:w="6666" w:type="dxa"/>
            <w:tcBorders>
              <w:top w:val="single" w:color="auto" w:sz="4" w:space="0"/>
              <w:left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一、设备用途：</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 xml:space="preserve">    二氧化硫残留量测定仪是基于蒸馏法的二氧化硫残留量检测仪器，可用于食品，食品接触性木制材料等领域二氧化硫残留量测定。</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二、工作条件：</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1、电源：220 VAC ±10%  50Hz；</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2、温度：操作环境10～35℃；</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3、冷凝水压：0.02MPa～1MPa；</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4、冷凝水温度：≤20℃；</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三、功能参数：</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1、满足GB 5009.34-2016 食品安全国家标准 食品中二氧化硫的测定要求；</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 xml:space="preserve">2、测定样品量：固体≤10克/样品，液体≤20毫升/样品 </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 xml:space="preserve">3、测定范围：0.1～50毫克 </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 xml:space="preserve">4、测定速度：5～10分钟/样品 </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 xml:space="preserve">5、搅拌方式：磁力搅拌，正反可调 </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 xml:space="preserve">6、搅拌速度范围：15～1500rpm </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 xml:space="preserve">7、重复率：RSD≤1% </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 xml:space="preserve">8、蒸馏时间：0～90分钟 </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 xml:space="preserve">9、冷凝水消耗：5L/min </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 xml:space="preserve">10、根据用户的设置，自动进行蒸馏，到达用户设定值自动停止，无需人工值守，提升了实验效率。 </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 xml:space="preserve">11、采用高效加热管加热方式，有效避免爆沸现象和潜在风险。 </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 xml:space="preserve">12、自动加注接收液、蒸馏水、盐酸溶液，避免人工加注引起的危险和误差。 </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 xml:space="preserve">13、磁力搅拌系统自动对接收液进行搅拌，可根据实验情况实时调节搅拌速度。 </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 xml:space="preserve">14、根据实验过程自动开启和关闭冷凝水，省时省力，节约水资源。 </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 xml:space="preserve">15、4.3英寸高分辨率彩色液晶显示屏，实时人机互动，使用方便快捷。 </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16、具备安全门自动监测功能，保证实验人员安全。</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17、具有故障自动检测及声光报警系统智能化设计。</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5、仪器配置</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5.1 二氧化硫残留量测定仪主机1台；</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5.2 800ml消化管 20只；</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5.3 储液桶3个；</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5.4 废液接收槽1副。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11</w:t>
            </w:r>
          </w:p>
        </w:tc>
        <w:tc>
          <w:tcPr>
            <w:tcW w:w="1342"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重量稀释仪</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1套</w:t>
            </w:r>
          </w:p>
        </w:tc>
        <w:tc>
          <w:tcPr>
            <w:tcW w:w="6666" w:type="dxa"/>
            <w:tcBorders>
              <w:top w:val="single" w:color="auto" w:sz="4" w:space="0"/>
              <w:left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一、用途</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用于微生物样品前处理自动稀释。仪器称量样品重量，然后按设定的稀释比例自动添加相应体积的液体培养基或无菌水。</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二、技术参数</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1、稀释比：1:2～1:100</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2、称重范围：3g～2000g</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3、重量误差精度：1%</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4、符合标准：BAM；ISO 6887；ISO 7218</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★5、控制面板：可移动的电阻式触摸屏</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★6、屏幕尺寸及分辨率：8.89cm-240×320px</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★7、分装加液臂：可水平旋转的全自动加液臂，便于操作人将样品加入稀释袋，避免交叉污染。</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★8、状态指示灯：可变色LED灯，操作人员可直观判断仪器稀释状态</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9、电源：100～240V，50/60Hz，2A</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10、功率：120w</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三、配置清单</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1、单泵稀释仪主机一台</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2、400ML稀释袋支架</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3、一次性胶管套件一套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4、黏胶一袋</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5、电源线一根</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6、3.2mm胶管套件一套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7、操作手册一本</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12</w:t>
            </w:r>
          </w:p>
        </w:tc>
        <w:tc>
          <w:tcPr>
            <w:tcW w:w="1342"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电子天平（百分之一）</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1套</w:t>
            </w:r>
          </w:p>
        </w:tc>
        <w:tc>
          <w:tcPr>
            <w:tcW w:w="6666" w:type="dxa"/>
            <w:tcBorders>
              <w:top w:val="single" w:color="auto" w:sz="4" w:space="0"/>
              <w:left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一、技术参数</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★1.1最大秤量/精度：620g；可读性：0.01g</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1.2重复性（5%载荷）：0.007g；</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★1.3线性误差：0.015g</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1.4稳定时间：1.5 s</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二、性能指标</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 支持直流电源或者电池供电，实现随时随地称量。</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2.2具有过载保护功能，保护传感器免受超负荷称量，最大限度保护天平</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2.3内置10个应用程序，带背光LED显示屏，任何光照条件下均可清晰辨认</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2.4设计坚固轻巧，可堆叠盖子便于储存和保护</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三、配置</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1、天平主机1台</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2、电源一套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3、电池1套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4、校正砝码1套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5、清洁刷1把</w:t>
            </w:r>
          </w:p>
          <w:p>
            <w:pPr>
              <w:widowControl/>
              <w:spacing w:line="360" w:lineRule="exact"/>
              <w:jc w:val="left"/>
              <w:textAlignment w:val="center"/>
              <w:rPr>
                <w:rFonts w:ascii="宋体" w:hAnsi="宋体" w:cs="宋体"/>
                <w:color w:val="auto"/>
                <w:highlight w:val="none"/>
              </w:rPr>
            </w:pPr>
            <w:r>
              <w:rPr>
                <w:rFonts w:ascii="宋体" w:hAnsi="宋体" w:cs="宋体"/>
                <w:color w:val="auto"/>
                <w:szCs w:val="21"/>
                <w:highlight w:val="none"/>
              </w:rPr>
              <w:t>6</w:t>
            </w:r>
            <w:r>
              <w:rPr>
                <w:rFonts w:hint="eastAsia" w:ascii="宋体" w:hAnsi="宋体" w:cs="宋体"/>
                <w:color w:val="auto"/>
                <w:szCs w:val="21"/>
                <w:highlight w:val="none"/>
              </w:rPr>
              <w:t>、</w:t>
            </w:r>
            <w:r>
              <w:rPr>
                <w:rFonts w:ascii="宋体" w:hAnsi="宋体" w:cs="宋体"/>
                <w:color w:val="auto"/>
                <w:szCs w:val="21"/>
                <w:highlight w:val="none"/>
              </w:rPr>
              <w:t>产品证书和操作说明书1套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13</w:t>
            </w:r>
          </w:p>
        </w:tc>
        <w:tc>
          <w:tcPr>
            <w:tcW w:w="1342"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电子天平（大量程）</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1台</w:t>
            </w:r>
          </w:p>
        </w:tc>
        <w:tc>
          <w:tcPr>
            <w:tcW w:w="6666" w:type="dxa"/>
            <w:tcBorders>
              <w:top w:val="single" w:color="auto" w:sz="4" w:space="0"/>
              <w:left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一、技术参数</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★1、可读性：0.1g，最大称量值：8200g，重复性(sd)：0.1g，线性：0.2g；全自动校准技术</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★2、最小称量值（5% 加载，k=2，U=1%）: 12g</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3、称盘≥Ø90mm，标配不锈钢秤盘防风圈；防风罩有效高度≥236mm</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★4、≥7英寸超大彩色TFT触摸屏，≥18mm高数字显示；允许佩戴棉质、硅胶和橡胶手套进行操作</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5、前置式物理水平泡装置，方便观察记录并确保水平状态的可靠性</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6、屏幕内置水平控制功能，在天平非处于水平时会发出警告，并在屏幕上提供指导以帮助用户在最快的时间内将天平调至水平</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7、全金属机架确保较长的天平使用寿命，完整的压铸铝外壳不仅保护称重传感器避免环境影响，还可阻止丙酮等刺激性化学品；配置标配机架塑料保护罩，避免散落样品的腐蚀和对天平表面的划伤。</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8、五面玻璃防风罩及防静电底板设计，有效避免静电荷对称量结果的影响</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9、密码保护功能，设定数字密码防止天平设定被未授权的人修改</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10、下挂钩称量功能，满足特殊称量应用需求</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11、称重，统计称量，检重称重，求和称量，计件称量，配方称量，百分比称量，动态称重，自由因子称量，密度测定，PC直连（简单的数据传输）</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★12、内置≥1个RS232及2个USB接口通讯接口</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二、配置清单</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天平主机1台，说明书1份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14</w:t>
            </w:r>
          </w:p>
        </w:tc>
        <w:tc>
          <w:tcPr>
            <w:tcW w:w="1342"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电子天平（万分之一）</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1套</w:t>
            </w:r>
          </w:p>
        </w:tc>
        <w:tc>
          <w:tcPr>
            <w:tcW w:w="6666" w:type="dxa"/>
            <w:tcBorders>
              <w:top w:val="single" w:color="auto" w:sz="4" w:space="0"/>
              <w:left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一、技术参数</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1、最大秤量：220 g</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2、精度：0.1 mg</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3、重复性（5%载荷）：0.04 mg</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4、灵敏度偏置，标称载荷：0.24 mg</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5、稳定时间：1.5 s</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★6、最小称量值：(k=2，U=1%) 8.2mg ，（符合USP) 82 mg</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7、校正：内部/ FACT（内置两组校正砝码）</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8、秤盘外形尺寸(宽×深)</w:t>
            </w:r>
            <w:r>
              <w:rPr>
                <w:rFonts w:hint="eastAsia" w:ascii="宋体" w:hAnsi="宋体" w:cs="宋体"/>
                <w:color w:val="auto"/>
                <w:szCs w:val="21"/>
                <w:highlight w:val="none"/>
              </w:rPr>
              <w:tab/>
            </w:r>
            <w:r>
              <w:rPr>
                <w:rFonts w:hint="eastAsia" w:ascii="宋体" w:hAnsi="宋体" w:cs="宋体"/>
                <w:color w:val="auto"/>
                <w:szCs w:val="21"/>
                <w:highlight w:val="none"/>
              </w:rPr>
              <w:t>：≥78 mm×73 mm</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二、性能指标</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★1、天平采用高精度高分辨率后置式传感器，采用悬挂式网格秤盘，使用称量组件不占用称量量程。</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2、具有中文界面的TFT彩色触摸屏，方便天平称量菜单和参数设置等操作。</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★3、天平具备状态指示灯，通过三种颜色直观的显示天平正常、警告、故障的状态，可直观判断出天平的实时状态。</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4、全金属机架，具有良好的抗过载保护性能。</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5、左右手更换开关门，可从天平左侧（右侧）打开右侧（左侧）的玻璃防风门。</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6、动态图形显示，直接显示天平已使用的称量范围。</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7、专业级全自动校准技术，温度漂移和时间设置触发的自动内置砝码校正和线性校正。</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8、水平向导，在天平未处于水平时提供警告，并在触摸屏上显示完整的说明和红/绿色实时图形化水平泡。</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9、最小称量值(MinWeigh)功能，提供符合质量法规的称量帮助。</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10、显示屏塑料保护罩，避免散落样品的腐蚀。</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★11、可移动分离的显示控制终端，方便天平使用。</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12、测试管理器内置固件中进行符合SOP的日常测试。</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13、玻璃防风罩无需外用工具可完全可拆卸、清洗，实现快速清洁。</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14、丰富的内置称量应用程序：基础称量、统计功能、配方称量、计件称量、百分比称量、密度测定、差重称量、滴定应用、移液器测试。</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★15、金属篮易巧称量件，安全放置去皮容器，并有效屏蔽静电荷影响。</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16、天平内置优化天平适应性的称量参数设置，满足不同称量环境要求。</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17、标配RS232通讯接口和一个可用于蓝牙、以太网、LocalCAN、RS232和PS/2通讯接口选件插槽，方便连接打印机、电脑等外围设备。</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18、天平具有下挂称量功能和防盗装置连接点。</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19、符合GxP规范的称量结果输出，获得完整的、可追溯的称量信息。</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20、可通过英特网下载软件，实现天平软件的即时更新。</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★21、由内置电极驱动的自动防风门，通过终端控制，可以实现自动开关门。并且可以调节快关门的幅度。</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22、无需工具可快速（10秒以内）拆卸天平防风门和秤盘，可在实验室洗碗机中直接清洁，避免交叉污染以及确保实验室人员的安全。</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三、配置清单</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1、天平主机1台</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2、独立于主机之外中文彩色触摸控制屏操作终端1个</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3、SmartGrid悬挂式网格秤盘1个</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4、网格秤盘 (SmartGrid) 罩，铬镍钢1个</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5、承水盘1个</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6、操作终端的保护罩1个</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7、成套防风罩门和显示操作终端支座1套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8、清洁刷1把</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9、金属篮易巧称量件1个</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10、产品证书和操作说明书1套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15</w:t>
            </w:r>
          </w:p>
        </w:tc>
        <w:tc>
          <w:tcPr>
            <w:tcW w:w="1342"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电子天平（十万分之一，双量程）</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1套</w:t>
            </w:r>
          </w:p>
        </w:tc>
        <w:tc>
          <w:tcPr>
            <w:tcW w:w="6666" w:type="dxa"/>
            <w:tcBorders>
              <w:top w:val="single" w:color="auto" w:sz="4" w:space="0"/>
              <w:left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一、技术参数</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1、最大秤量：220 g/121g</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2、精 度：0.1 mg/0.01mg</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 xml:space="preserve">3、重复性（5%载荷）：0.01 mg </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4、灵敏度偏置，标称载荷：0.16mg</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5、稳定时间：1.5 s</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★6、最小称量值：（k=2,u=1%) 2 mg，（符合USP) 20mg</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7、校正：内部/ FACT（内置两组校正砝码）</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8、秤盘外形尺寸(宽×深)</w:t>
            </w:r>
            <w:r>
              <w:rPr>
                <w:rFonts w:hint="eastAsia" w:ascii="宋体" w:hAnsi="宋体" w:cs="宋体"/>
                <w:color w:val="auto"/>
                <w:szCs w:val="21"/>
                <w:highlight w:val="none"/>
              </w:rPr>
              <w:tab/>
            </w:r>
            <w:r>
              <w:rPr>
                <w:rFonts w:hint="eastAsia" w:ascii="宋体" w:hAnsi="宋体" w:cs="宋体"/>
                <w:color w:val="auto"/>
                <w:szCs w:val="21"/>
                <w:highlight w:val="none"/>
              </w:rPr>
              <w:t>：≥78 mm×73 mm</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二、性能指标</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★1、天平采用高精度高分辨率后置式传感器，采用悬挂式网格秤盘，使用称量组件不占用称量量程。</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2、具有中文界面的TFT彩色触摸屏，方便天平称量菜单和参数设置等操作。</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★3、天平具备状态指示灯，通过三种颜色直观的显示天平正常、警告、故障的状态，可直观判断出天平的实时状态。</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4、全金属机架，具有良好的抗过载保护性能。</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5、左右手更换开关门，可从天平左侧（右侧）打开右侧（左侧）的玻璃防风门。</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6、动态图形显示，直接显示天平已使用的称量范围。</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7、专业级全自动校准技术，温度漂移和时间设置触发的自动内置砝码校正和线性校正。</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8、水平向导，在天平未处于水平时提供警告，并在触摸屏上显示完整的说明和红/绿色实时图形化水平泡。</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9、最小称量值(MinWeigh)功能，提供符合质量法规的称量帮助。</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10、显示屏塑料保护罩，避免散落样品的腐蚀。</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★11、可移动分离的显示控制终端，方便天平使用。</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12、测试管理器内置固件中进行符合SOP的日常测试。</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13、玻璃防风罩无需外用工具可完全可拆卸、清洗，实现快速清洁。</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14、丰富的内置称量应用程序：基础称量、统计功能、配方称量、计件称量、百分比称量、密度测定、差重称量、滴定应用、移液器测试。</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★15、金属篮易巧称量件，安全放置去皮容器，并有效屏蔽静电荷影响。</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16、天平内置优化天平适应性的称量参数设置，满足不同称量环境要求。</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17、标配RS232通讯接口和一个可用于蓝牙、以太网、LocalCAN、RS232和PS/2通讯接口选件插槽，方便连接打印机、电脑等外围设备。</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18、天平具有下挂称量功能和防盗装置连接点。</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19、符合GxP规范的称量结果输出，获得完整的、可追溯的称量信息。</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20、可通过英特网下载软件，实现天平软件的即时更新。</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★21、由内置电极驱动的自动防风门，通过终端控制，可以实现自动开关门。并且可以调节快关门的幅度。</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三、配置清单</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1、天平主机1台</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2、独立于主机之外中文彩色触摸控制屏操作终端1个</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3、SmartGrid悬挂式网格秤盘1个</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4、网格秤盘 (SmartGrid) 罩，铬镍钢1个</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5、承水盘1个</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6、操作终端的保护罩1个</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7、成套防风罩门和显示操作终端支座1套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8、清洁刷1把</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9、金属篮易巧称量件1个</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10、</w:t>
            </w:r>
            <w:r>
              <w:rPr>
                <w:rFonts w:hint="eastAsia" w:ascii="宋体" w:hAnsi="宋体" w:cs="宋体"/>
                <w:color w:val="auto"/>
                <w:kern w:val="0"/>
                <w:szCs w:val="21"/>
                <w:highlight w:val="none"/>
              </w:rPr>
              <w:t>产品证书和操作说明书1套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16</w:t>
            </w:r>
          </w:p>
        </w:tc>
        <w:tc>
          <w:tcPr>
            <w:tcW w:w="1342"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折光仪</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1套</w:t>
            </w:r>
          </w:p>
        </w:tc>
        <w:tc>
          <w:tcPr>
            <w:tcW w:w="6666" w:type="dxa"/>
            <w:tcBorders>
              <w:top w:val="single" w:color="auto" w:sz="4" w:space="0"/>
              <w:left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一、技术参数</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1、折光率量程（nD）：1.32～1.70</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2、折光率准确度：±0.0001</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3、折光率重复性：0.00005</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4、折光率分辨率：0.0001</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5、白利糖度（% w/w）：量程：0～100，准确度：0.05，重复性：0.05</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★6、温度范围（℃）：5～100</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7、温度准确度：0.1</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8、测量单位：内置功能及浓度表包括：nD、Zeiss(14.45)、Zeiss(15.00)、酸/碱值、盐、化学品、凝固点、糖（白利糖度、HFCS 42/55、转化糖、Oechsle,多达30个自定义浓度表（可作为表格或公式输入）</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9、存储容量：200条测量结果</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10、带有颜色指示的结果显示</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★11、仪器状态指示灯，可远距离判断仪器状态及操作进度，绿色常亮仪器正常待机，绿色闪烁仪器正在运行，橙色提示需要执行下一步操作，红色提示错误报警</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★12、内置操作向导模式，操作者无需任何经验，按照提示操作即可完成测量过程。</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★13、控制面板与主机分体式设计，更节省空间，并且方便在不同角度查看显示屏上的信息</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14、四级用户管理及密码保护</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★15、10种可选语言：英语、中文、德语、西班牙语、法语、意大利语、葡萄牙语、俄语、韩语、波兰语</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16、7英寸彩色触摸屏</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17、主机连接功能：3×USB主机（打印机、U盘、条形码扫描器、集线器、键盘、鼠标）；USB设备（电脑软件）；以太网（网络与电脑软件）；RS232（自动装置）；CAN（液位传感器）；HDMI（触摸屏）</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二、配置要求：</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1、折光仪主机 1套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2、电源线 1套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3、标准水 1套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4、显示屏 1套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5、32G U盘 1套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17</w:t>
            </w:r>
          </w:p>
        </w:tc>
        <w:tc>
          <w:tcPr>
            <w:tcW w:w="1342"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熔点测定仪</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1套</w:t>
            </w:r>
          </w:p>
        </w:tc>
        <w:tc>
          <w:tcPr>
            <w:tcW w:w="6666" w:type="dxa"/>
            <w:tcBorders>
              <w:top w:val="single" w:color="auto" w:sz="4" w:space="0"/>
              <w:left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一、运行环境；</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1、相对湿度：≤80%；</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2、适用电源：电压220V（±10%），50Hz(±2%)；</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二、技术参数</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1、测量指标：全自动测定熔点、熔程和滑动熔点。</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2、测量温度范围：室温～300℃</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★3、可同时测量3个样品熔点，同时测定2个样品的滑动熔点；</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★4、升温速率：0.1～20℃/min ，无梯度升温，最小刻度分辨率: 0.1℃</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5、加热时间：3min (50至 300℃），冷却时间：4min (300至 50℃)</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6、全自动光学校正位置和亮度；内置1点或2点温度校正功能，可使用任何品牌熔点标准品进行温度准确性确认</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7、熔点精度：±0.2˚C（室温～200℃），±0.5˚C（200℃～300℃）</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★8、全自动测定滑动熔点，测量滑动熔点重复性：±0.2˚C</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9、操作简单，一键开始，可以设置12个快捷键；</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★10、主机配备高亮度TFT中文彩色触摸屏，并具有中文操作界面，操作界面语言 8种，让仪器符合使用者的语言习惯；</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11、每个用户可以建立包括方法、手工操作和样品系列在内的快捷键，快捷键数目12个，并以不同的颜色和不同的图标来区分；</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12、可以设置具有管理员功能的30个不同用户；</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13、最长视频储存时间60min，并具有视频存储和回放的功能（包含强度变化曲线）；</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★14、仪器内置具有熔点（MP）、熔程 (MR) 和滑动熔点 (SMP)自动测定模板；方便用户自主操作。</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★15、可统计平均值、标准偏差、差异；自动指出非正常值结果；</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16、仪器可连接键盘，鼠标，方便用户操作。数据可通过打印机，U盘等方式输出；</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三、配置清单：</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1、滑动熔点仪主机1套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2、熔点毛细管 150支</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3、滑动熔点毛细管套管40支</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4、彩色中文触摸控制屏1套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5、滑动熔点两端开口内毛细管 100支</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6、样品制备工具 5只</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8、仪器校准标准品1套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9、原装打印机1套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10、32G U盘 1套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18</w:t>
            </w:r>
          </w:p>
        </w:tc>
        <w:tc>
          <w:tcPr>
            <w:tcW w:w="1342"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手持pH计</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szCs w:val="21"/>
                <w:highlight w:val="none"/>
                <w:lang w:eastAsia="zh-CN"/>
              </w:rPr>
            </w:pPr>
            <w:r>
              <w:rPr>
                <w:rFonts w:hint="eastAsia" w:ascii="宋体" w:hAnsi="宋体" w:cs="宋体"/>
                <w:color w:val="auto"/>
                <w:kern w:val="0"/>
                <w:szCs w:val="21"/>
                <w:highlight w:val="none"/>
              </w:rPr>
              <w:t>1</w:t>
            </w:r>
            <w:r>
              <w:rPr>
                <w:rFonts w:hint="eastAsia" w:ascii="宋体" w:hAnsi="宋体" w:cs="宋体"/>
                <w:color w:val="auto"/>
                <w:kern w:val="0"/>
                <w:szCs w:val="21"/>
                <w:highlight w:val="none"/>
                <w:lang w:eastAsia="zh-CN"/>
              </w:rPr>
              <w:t>套</w:t>
            </w:r>
          </w:p>
        </w:tc>
        <w:tc>
          <w:tcPr>
            <w:tcW w:w="6666" w:type="dxa"/>
            <w:tcBorders>
              <w:top w:val="single" w:color="auto" w:sz="4" w:space="0"/>
              <w:left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1、用途：用于测定溶液中的PH/MV的测量仪表。</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2、工作条件：</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 电源：4 节 1.5 V AA 电池或镍氢蓄电池 1.3 V</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2.2 温度：5～40°C</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2.3 湿度：5～85% 相对湿度（无凝结）</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3、主要技术参数：</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3.1 测量范围：pH:-2.000～20.000， mV:-2000～2000，离子浓度:1.00e-09...9.99e+09 温度:-30.0～130℃</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3.2 精度：±0.001pH，</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3.3 分辨率：0.001PH，</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3.4 自动/手动温度补偿， 手动/自动/定时终点</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★3.5 数据存储：2000个符合GLP要求的数据，包括时间、日期、电极ID、样品ID等。</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★3.6 屏幕显示：防强光屏幕–避免眩光引起无法读数</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★3.7状态检查：StatusLight (LED状态指示灯)</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4、技术性能指标：</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★4.1两种供电方式–兼顾便携和台式，随需而变。4节1.5V AA碱性电池或1.3V镍氢充电电池；USB接口供电</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★4.2支持12种语言，可中文清晰表述用户界面。清晰的表达简化了操作并为用户减少疲劳。</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★4.3通过连接任何 ISM(智能电极管理)电极，该仪器可自动识别电极并储存电极ID、序列号和上一次的校准数据。。</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★4.4主机在连接电极后，IP防护等级可达到IP67，能测定防尘，并能在水下1米的深度工作30分钟；仪表连同电极掉入水中可自动浮出水面</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4.5只需一个工具箱便能将仪表主机、电极、电缆以及其他附件收揽，携带方便、安全。</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5、配置清单：</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 xml:space="preserve">5.1 PH主机 1台 </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5.2 三合一复合智能电极1支</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5.3 USB电缆线 1根</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5.4 桌上套件1个</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5.5 腕带1根</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5.6 电池1套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5.7 操作手册1本</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5.8 校验证书1份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19</w:t>
            </w:r>
          </w:p>
        </w:tc>
        <w:tc>
          <w:tcPr>
            <w:tcW w:w="1342"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纯水超纯水一体机</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2套</w:t>
            </w:r>
          </w:p>
        </w:tc>
        <w:tc>
          <w:tcPr>
            <w:tcW w:w="6666" w:type="dxa"/>
            <w:tcBorders>
              <w:top w:val="single" w:color="auto" w:sz="4" w:space="0"/>
              <w:left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1、技术规格</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1.1该系统以城市自来水为进水，连续生产III级（纯）水和I级（超）纯水。</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1.2纯水产水水质：</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1.2.1离子截留率：97-98%；</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1.2.2有机物截流率(MW＞200 Dalton) &gt; 99%；</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1.2.3细菌和颗粒＞99%；</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★1.2.4系统可监测和显示反渗透膜的截留率；</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1.2.5流速：16 L/h 。</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1.3超纯水产水水质：</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1.3.1 电阻率：18.2MΩ.cm ＠25℃ （具有温度补偿和非温度补偿两种模式）；</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★1.3.2  总有机碳含量(TOC)：≤ 5ppb（μg/L） ,可在线监测并显示；</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1.3.3细菌＜0.1cfu／ml；</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1.3.4 颗粒（＞0.22μm）＜1个／ml；</w:t>
            </w:r>
          </w:p>
          <w:p>
            <w:pPr>
              <w:widowControl/>
              <w:spacing w:line="360" w:lineRule="exact"/>
              <w:jc w:val="left"/>
              <w:textAlignment w:val="center"/>
              <w:rPr>
                <w:rFonts w:ascii="宋体" w:hAnsi="宋体" w:cs="宋体"/>
                <w:b/>
                <w:color w:val="auto"/>
                <w:szCs w:val="21"/>
                <w:highlight w:val="none"/>
              </w:rPr>
            </w:pPr>
            <w:r>
              <w:rPr>
                <w:rFonts w:hint="eastAsia" w:ascii="宋体" w:hAnsi="宋体" w:cs="宋体"/>
                <w:color w:val="auto"/>
                <w:szCs w:val="21"/>
                <w:highlight w:val="none"/>
              </w:rPr>
              <w:t>★1.3.5 超纯水电阻率检测器电阻池常数：0.01cm</w:t>
            </w:r>
            <w:r>
              <w:rPr>
                <w:rFonts w:hint="eastAsia" w:ascii="宋体" w:hAnsi="宋体" w:cs="宋体"/>
                <w:color w:val="auto"/>
                <w:szCs w:val="21"/>
                <w:highlight w:val="none"/>
                <w:vertAlign w:val="superscript"/>
              </w:rPr>
              <w:t>－1</w:t>
            </w:r>
            <w:r>
              <w:rPr>
                <w:rFonts w:hint="eastAsia" w:ascii="宋体" w:hAnsi="宋体" w:cs="宋体"/>
                <w:color w:val="auto"/>
                <w:szCs w:val="21"/>
                <w:highlight w:val="none"/>
              </w:rPr>
              <w:t>，</w:t>
            </w:r>
            <w:r>
              <w:rPr>
                <w:rFonts w:hint="eastAsia" w:ascii="宋体" w:hAnsi="宋体" w:cs="宋体"/>
                <w:b/>
                <w:color w:val="auto"/>
                <w:szCs w:val="21"/>
                <w:highlight w:val="none"/>
              </w:rPr>
              <w:t>投标文件须附校验证书，证书可追溯第三方检验；</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1.3.6 流速：50ml～2000ml /min 可调。</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★1.4系统可对水质进行全程监控，分别检测和显示进水、纯水、超纯水电导率及RO膜截留率。</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★1.5 系统内置TOC显示仪，在线实时显示超纯水中的TOC水平。</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1.6超纯水部分具有185nm紫外灯，用于降低产水TOC水平；纯水部分可选配254nm紫外灯，用于杀灭细菌，以保证进入水箱的纯水水质。</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1.7取水装置高度能够调节，在取水过程中无需用手固定容器，具有定量（0.1L～60L）自动取水功能。</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1.8系统配备PE型材吹塑制备的锥形底部避光60Ｌ水箱，水箱具有液位显示控制模块，空气进出口有除菌、CO</w:t>
            </w:r>
            <w:r>
              <w:rPr>
                <w:rFonts w:hint="eastAsia" w:ascii="宋体" w:hAnsi="宋体" w:cs="宋体"/>
                <w:color w:val="auto"/>
                <w:szCs w:val="21"/>
                <w:highlight w:val="none"/>
                <w:vertAlign w:val="subscript"/>
              </w:rPr>
              <w:t>2</w:t>
            </w:r>
            <w:r>
              <w:rPr>
                <w:rFonts w:hint="eastAsia" w:ascii="宋体" w:hAnsi="宋体" w:cs="宋体"/>
                <w:color w:val="auto"/>
                <w:szCs w:val="21"/>
                <w:highlight w:val="none"/>
              </w:rPr>
              <w:t xml:space="preserve">及挥发性有机物之过滤器。 </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★1.9 取水终端可扩展有多种纯化单元可供选择，如去除内毒素过滤器、内分泌干扰素EDS过滤器、挥发性有机物VOC的过滤器，针对HPLC的C18反向硅胶的超低有机物型过滤器等，满足不同的实验需求，须提供彩页证明。</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1.10带中文等多国语言操作面板，具有更换预滤芯、滤膜、纯化柱和系统自动清洗等维护信息提示功能。</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1.11自动记录水质参数，可存储系统一年的历史数据，并通过RS232打印水质参数。</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★1.12 该纯水设备在 Science网站上的能被索引到的数量超过7万个。</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2、配置要求</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2.1主机系统1套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2.2自来水预处理组件1套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2.3预处理柱1套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2.4超纯化柱1套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2.560L PE水箱1个</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2.6水箱空气过滤器1个</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2.7系统清洗药片2盒</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2.80.22 μm终端过滤器1个</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2.9水箱自动消毒模块1套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2.10漏水检测器1个</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2.11操作手册/说明书1套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20</w:t>
            </w:r>
          </w:p>
        </w:tc>
        <w:tc>
          <w:tcPr>
            <w:tcW w:w="1342"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 w:val="22"/>
                <w:szCs w:val="22"/>
                <w:highlight w:val="none"/>
              </w:rPr>
              <w:t>刀式研磨仪</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 w:val="22"/>
                <w:szCs w:val="22"/>
                <w:highlight w:val="none"/>
              </w:rPr>
              <w:t>1套</w:t>
            </w:r>
          </w:p>
        </w:tc>
        <w:tc>
          <w:tcPr>
            <w:tcW w:w="6666" w:type="dxa"/>
            <w:tcBorders>
              <w:top w:val="single" w:color="auto" w:sz="4" w:space="0"/>
              <w:left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1、仪器系统：刀式混合研磨仪可用于对软性、中硬性、韧性、含水、含油等样品的粉碎和均质化。</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2、进样尺寸：约10～40毫米，最终出样尺寸：约300um</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 xml:space="preserve">3、转刀有两个刀片，转刀可以逆时针旋转，也可以顺时针旋转。 </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★4、最高转速14000rpm，</w:t>
            </w:r>
            <w:r>
              <w:rPr>
                <w:rFonts w:hint="eastAsia" w:ascii="宋体" w:hAnsi="宋体" w:cs="宋体"/>
                <w:b/>
                <w:color w:val="auto"/>
                <w:szCs w:val="21"/>
                <w:highlight w:val="none"/>
              </w:rPr>
              <w:t>需省级计量单位出具的测试证书证明</w:t>
            </w:r>
            <w:r>
              <w:rPr>
                <w:rFonts w:hint="eastAsia" w:ascii="宋体" w:hAnsi="宋体" w:cs="宋体"/>
                <w:color w:val="auto"/>
                <w:szCs w:val="21"/>
                <w:highlight w:val="none"/>
              </w:rPr>
              <w:t>。</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5、研磨时间设置：1秒至3分钟。</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6、仪器具有电子锁，在控制面板上开启</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★7、触摸屏控制</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8、刀头直径不小于118mm</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 xml:space="preserve">★9、标准配置中的容器和转刀均可以高温高压灭菌 </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★10、可设定8个标准程序，并且可选择4个序列（不同标准程序连用）</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★11、刀头采用插拔方式直接和研磨容器组合</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13、配置要求</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1、主机一台</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2、食品专用研磨套件 一套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3、茉莉花专用研磨套件一套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4、防重金属钛制套件一套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21</w:t>
            </w:r>
          </w:p>
        </w:tc>
        <w:tc>
          <w:tcPr>
            <w:tcW w:w="1342"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马弗炉</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1台</w:t>
            </w:r>
          </w:p>
        </w:tc>
        <w:tc>
          <w:tcPr>
            <w:tcW w:w="6666" w:type="dxa"/>
            <w:tcBorders>
              <w:top w:val="single" w:color="auto" w:sz="4" w:space="0"/>
              <w:left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 xml:space="preserve">★1、最高温度：1100℃； </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★2、内尺寸（宽×深×高）：230×240×170 mm；</w:t>
            </w:r>
            <w:r>
              <w:rPr>
                <w:rFonts w:ascii="宋体" w:hAnsi="宋体" w:cs="宋体"/>
                <w:color w:val="auto"/>
                <w:szCs w:val="21"/>
                <w:highlight w:val="none"/>
              </w:rPr>
              <w:t xml:space="preserve"> </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3、容积：9L；</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4、通过陶瓷加热板双面加热，陶瓷加热板内嵌加热丝，防止受到挥发及喷溅物的污染，易于更换；</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★5、只使用根据TRGS 905标准分类为不致癌的一类或二类纤维材料；</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 xml:space="preserve">6、炉壳由条纹不锈钢板构成，双层炉壳结构稳定，降低外壳温度； </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7、炉门为上开式炉门，可避免操作者远离高温；</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8、炉门上设有可调进气口，炉后壁设有排气口；</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9、控制器包含10个程序，每个程序包含20个程序段，包含2个额外功能（例如自动排气盖及自动通气）。包含自我优化功能，时钟，平板液晶显示，文本显示的状态信息，通过旋钮和按钮来输入数据，可输入工艺名称（比如：“烧结”），按键锁定，用户管理，用于段切换的Skip按键，以步进1℃或1 Min输入程序，开始时间可调，切换℃/°F，kWh计数器，运行时数计数器，设置点输出；</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10、用一个USB闪存记录过程数据，故障储存器；</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11、连接电压：200V-240V，50Hz；连接功率3.0KW。</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22</w:t>
            </w:r>
          </w:p>
        </w:tc>
        <w:tc>
          <w:tcPr>
            <w:tcW w:w="1342"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精密恒温水浴锅</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1台</w:t>
            </w:r>
          </w:p>
        </w:tc>
        <w:tc>
          <w:tcPr>
            <w:tcW w:w="6666" w:type="dxa"/>
            <w:tcBorders>
              <w:top w:val="single" w:color="auto" w:sz="4" w:space="0"/>
              <w:left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浴槽设计：全平面加热系统，浴槽无死角，槽内无加热盘管或其他附件，方便清洁；极限节省空间，浴槽容积与外部尺寸比最大，提升仪器空间使用率。带排水口，槽内底部为斜面设计，排水彻底；特殊设计底板，底部配合斜面，底板上部平整方便测试；浴液液位跨度宽，2cm水深即可开始试验。</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★2、温度控制：加热速率/体积比高，加热速度快；温场极均匀，专门设计的自然循环模式，不使用循环泵即可保证±0.15℃的均匀性。</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3、安全功能：设备具备防干烧功能，低液位声光报警功能和自动断电功能；电源开关嵌入在操作键盘上，防水防尘，操作安全。</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4、操作显示：全新高亮白光 LED 显示，在不同角度均可显示实际温度值和设定值，更加醒目更加明显。</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★5、计时功能：倒计时报警，解放用户时间，更灵活更便捷。</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6、USB通迅功能：实现远程开关机，设定温度，读取温度和加热功率。</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★7、工作温度范围： 室温+5～+99.9℃；稳定性：±0.15℃；显示分辨率：0.1℃</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8、加热功率：2KW</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9、浴槽开口尺寸W×L/D：55×27/18cm；充液体积：2～22L；</w:t>
            </w:r>
            <w:r>
              <w:rPr>
                <w:rFonts w:ascii="宋体" w:hAnsi="宋体" w:cs="宋体"/>
                <w:color w:val="auto"/>
                <w:szCs w:val="21"/>
                <w:highlight w:val="none"/>
              </w:rPr>
              <w:t xml:space="preserve"> </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★11、标准配置：该套装包括1个通用水浴主机，1个槽盖。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48" w:type="dxa"/>
            <w:vMerge w:val="restart"/>
            <w:tcBorders>
              <w:top w:val="single" w:color="auto" w:sz="4" w:space="0"/>
              <w:left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23</w:t>
            </w:r>
          </w:p>
        </w:tc>
        <w:tc>
          <w:tcPr>
            <w:tcW w:w="1342" w:type="dxa"/>
            <w:gridSpan w:val="2"/>
            <w:vMerge w:val="restart"/>
            <w:tcBorders>
              <w:top w:val="single" w:color="auto" w:sz="4" w:space="0"/>
              <w:left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手动单道可调移液器</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5支</w:t>
            </w:r>
          </w:p>
        </w:tc>
        <w:tc>
          <w:tcPr>
            <w:tcW w:w="6666" w:type="dxa"/>
            <w:tcBorders>
              <w:top w:val="single" w:color="auto" w:sz="4" w:space="0"/>
              <w:left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1、四位数字显示，精密度高，移液时便于观察读数框</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2、可整支高温高压灭菌和紫外线灭菌</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3、人体工程学设计，重量轻，操作用力小，避免发生手部重复性劳损（RSI），单手可调</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4、伸缩式弹性吸嘴设计，防止吸头安装高高低低，确保移液气密性和均一性</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5、具备密度调节功能，适用于不同密度的液体</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★6、采用高科技材质，坚固耐用，耐高温抗腐蚀</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★7、Research plus活塞系统采用新材质 (限20µl至10ml)：PEI 聚醚酰亚胺，坚固耐用，耐化学腐蚀性强</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8、技术参数：</w:t>
            </w:r>
          </w:p>
          <w:tbl>
            <w:tblPr>
              <w:tblStyle w:val="51"/>
              <w:tblW w:w="65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964"/>
              <w:gridCol w:w="1916"/>
              <w:gridCol w:w="1845"/>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30" w:type="dxa"/>
                </w:tcPr>
                <w:p>
                  <w:pPr>
                    <w:rPr>
                      <w:rFonts w:ascii="宋体" w:hAnsi="宋体" w:cs="宋体"/>
                      <w:color w:val="auto"/>
                      <w:szCs w:val="21"/>
                      <w:highlight w:val="none"/>
                    </w:rPr>
                  </w:pPr>
                  <w:r>
                    <w:rPr>
                      <w:rFonts w:hint="eastAsia" w:ascii="宋体" w:hAnsi="宋体" w:cs="宋体"/>
                      <w:color w:val="auto"/>
                      <w:szCs w:val="21"/>
                      <w:highlight w:val="none"/>
                    </w:rPr>
                    <w:t>量程</w:t>
                  </w:r>
                </w:p>
              </w:tc>
              <w:tc>
                <w:tcPr>
                  <w:tcW w:w="964" w:type="dxa"/>
                </w:tcPr>
                <w:p>
                  <w:pPr>
                    <w:rPr>
                      <w:rFonts w:ascii="宋体" w:hAnsi="宋体" w:cs="宋体"/>
                      <w:color w:val="auto"/>
                      <w:szCs w:val="21"/>
                      <w:highlight w:val="none"/>
                    </w:rPr>
                  </w:pPr>
                  <w:r>
                    <w:rPr>
                      <w:rFonts w:hint="eastAsia" w:ascii="宋体" w:hAnsi="宋体" w:cs="宋体"/>
                      <w:color w:val="auto"/>
                      <w:szCs w:val="21"/>
                      <w:highlight w:val="none"/>
                    </w:rPr>
                    <w:t>体积</w:t>
                  </w:r>
                </w:p>
              </w:tc>
              <w:tc>
                <w:tcPr>
                  <w:tcW w:w="1916" w:type="dxa"/>
                </w:tcPr>
                <w:p>
                  <w:pPr>
                    <w:rPr>
                      <w:rFonts w:ascii="宋体" w:hAnsi="宋体" w:cs="宋体"/>
                      <w:color w:val="auto"/>
                      <w:szCs w:val="21"/>
                      <w:highlight w:val="none"/>
                    </w:rPr>
                  </w:pPr>
                  <w:r>
                    <w:rPr>
                      <w:rFonts w:hint="eastAsia" w:ascii="宋体" w:hAnsi="宋体" w:cs="宋体"/>
                      <w:color w:val="auto"/>
                      <w:szCs w:val="21"/>
                      <w:highlight w:val="none"/>
                    </w:rPr>
                    <w:t>不准确度</w:t>
                  </w:r>
                </w:p>
              </w:tc>
              <w:tc>
                <w:tcPr>
                  <w:tcW w:w="1845" w:type="dxa"/>
                </w:tcPr>
                <w:p>
                  <w:pPr>
                    <w:rPr>
                      <w:rFonts w:ascii="宋体" w:hAnsi="宋体" w:cs="宋体"/>
                      <w:color w:val="auto"/>
                      <w:szCs w:val="21"/>
                      <w:highlight w:val="none"/>
                    </w:rPr>
                  </w:pPr>
                  <w:r>
                    <w:rPr>
                      <w:rFonts w:hint="eastAsia" w:ascii="宋体" w:hAnsi="宋体" w:cs="宋体"/>
                      <w:color w:val="auto"/>
                      <w:szCs w:val="21"/>
                      <w:highlight w:val="none"/>
                    </w:rPr>
                    <w:t xml:space="preserve">不精确度  </w:t>
                  </w:r>
                </w:p>
              </w:tc>
              <w:tc>
                <w:tcPr>
                  <w:tcW w:w="1140" w:type="dxa"/>
                </w:tcPr>
                <w:p>
                  <w:pPr>
                    <w:rPr>
                      <w:rFonts w:ascii="宋体" w:hAnsi="宋体" w:cs="宋体"/>
                      <w:color w:val="auto"/>
                      <w:szCs w:val="21"/>
                      <w:highlight w:val="none"/>
                    </w:rPr>
                  </w:pPr>
                  <w:r>
                    <w:rPr>
                      <w:rFonts w:hint="eastAsia" w:ascii="宋体" w:hAnsi="宋体" w:cs="宋体"/>
                      <w:color w:val="auto"/>
                      <w:szCs w:val="21"/>
                      <w:highlight w:val="none"/>
                    </w:rPr>
                    <w:t>适配吸头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30" w:type="dxa"/>
                </w:tcPr>
                <w:p>
                  <w:pPr>
                    <w:rPr>
                      <w:rFonts w:ascii="宋体" w:hAnsi="宋体" w:cs="宋体"/>
                      <w:color w:val="auto"/>
                      <w:szCs w:val="21"/>
                      <w:highlight w:val="none"/>
                    </w:rPr>
                  </w:pPr>
                  <w:r>
                    <w:rPr>
                      <w:rFonts w:hint="eastAsia" w:ascii="宋体" w:hAnsi="宋体" w:cs="宋体"/>
                      <w:color w:val="auto"/>
                      <w:szCs w:val="21"/>
                      <w:highlight w:val="none"/>
                    </w:rPr>
                    <w:t>100-1000ul</w:t>
                  </w:r>
                </w:p>
              </w:tc>
              <w:tc>
                <w:tcPr>
                  <w:tcW w:w="964" w:type="dxa"/>
                </w:tcPr>
                <w:p>
                  <w:pPr>
                    <w:jc w:val="left"/>
                    <w:rPr>
                      <w:rFonts w:ascii="宋体" w:hAnsi="宋体" w:cs="宋体"/>
                      <w:color w:val="auto"/>
                      <w:szCs w:val="21"/>
                      <w:highlight w:val="none"/>
                    </w:rPr>
                  </w:pPr>
                  <w:r>
                    <w:rPr>
                      <w:rFonts w:hint="eastAsia" w:ascii="宋体" w:hAnsi="宋体" w:cs="宋体"/>
                      <w:color w:val="auto"/>
                      <w:szCs w:val="21"/>
                      <w:highlight w:val="none"/>
                    </w:rPr>
                    <w:t>100ul</w:t>
                  </w:r>
                </w:p>
                <w:p>
                  <w:pPr>
                    <w:jc w:val="left"/>
                    <w:rPr>
                      <w:rFonts w:ascii="宋体" w:hAnsi="宋体" w:cs="宋体"/>
                      <w:color w:val="auto"/>
                      <w:szCs w:val="21"/>
                      <w:highlight w:val="none"/>
                    </w:rPr>
                  </w:pPr>
                  <w:r>
                    <w:rPr>
                      <w:rFonts w:hint="eastAsia" w:ascii="宋体" w:hAnsi="宋体" w:cs="宋体"/>
                      <w:color w:val="auto"/>
                      <w:szCs w:val="21"/>
                      <w:highlight w:val="none"/>
                    </w:rPr>
                    <w:t>500ul</w:t>
                  </w:r>
                </w:p>
                <w:p>
                  <w:pPr>
                    <w:rPr>
                      <w:rFonts w:ascii="宋体" w:hAnsi="宋体" w:cs="宋体"/>
                      <w:color w:val="auto"/>
                      <w:szCs w:val="21"/>
                      <w:highlight w:val="none"/>
                    </w:rPr>
                  </w:pPr>
                  <w:r>
                    <w:rPr>
                      <w:rFonts w:hint="eastAsia" w:ascii="宋体" w:hAnsi="宋体" w:cs="宋体"/>
                      <w:color w:val="auto"/>
                      <w:szCs w:val="21"/>
                      <w:highlight w:val="none"/>
                    </w:rPr>
                    <w:t>1000ul</w:t>
                  </w:r>
                </w:p>
              </w:tc>
              <w:tc>
                <w:tcPr>
                  <w:tcW w:w="1916" w:type="dxa"/>
                </w:tcPr>
                <w:p>
                  <w:pPr>
                    <w:jc w:val="left"/>
                    <w:rPr>
                      <w:rFonts w:ascii="宋体" w:hAnsi="宋体" w:cs="宋体"/>
                      <w:color w:val="auto"/>
                      <w:szCs w:val="21"/>
                      <w:highlight w:val="none"/>
                    </w:rPr>
                  </w:pPr>
                  <w:r>
                    <w:rPr>
                      <w:rFonts w:hint="eastAsia" w:ascii="宋体" w:hAnsi="宋体" w:cs="宋体"/>
                      <w:color w:val="auto"/>
                      <w:szCs w:val="21"/>
                      <w:highlight w:val="none"/>
                    </w:rPr>
                    <w:t>±3.0%  ±3.0ul</w:t>
                  </w:r>
                </w:p>
                <w:p>
                  <w:pPr>
                    <w:jc w:val="left"/>
                    <w:rPr>
                      <w:rFonts w:ascii="宋体" w:hAnsi="宋体" w:cs="宋体"/>
                      <w:color w:val="auto"/>
                      <w:szCs w:val="21"/>
                      <w:highlight w:val="none"/>
                    </w:rPr>
                  </w:pPr>
                  <w:r>
                    <w:rPr>
                      <w:rFonts w:hint="eastAsia" w:ascii="宋体" w:hAnsi="宋体" w:cs="宋体"/>
                      <w:color w:val="auto"/>
                      <w:szCs w:val="21"/>
                      <w:highlight w:val="none"/>
                    </w:rPr>
                    <w:t>±1.0%  ±5.0ul</w:t>
                  </w:r>
                </w:p>
                <w:p>
                  <w:pPr>
                    <w:rPr>
                      <w:rFonts w:ascii="宋体" w:hAnsi="宋体" w:cs="宋体"/>
                      <w:color w:val="auto"/>
                      <w:szCs w:val="21"/>
                      <w:highlight w:val="none"/>
                    </w:rPr>
                  </w:pPr>
                  <w:r>
                    <w:rPr>
                      <w:rFonts w:hint="eastAsia" w:ascii="宋体" w:hAnsi="宋体" w:cs="宋体"/>
                      <w:color w:val="auto"/>
                      <w:szCs w:val="21"/>
                      <w:highlight w:val="none"/>
                    </w:rPr>
                    <w:t>±0.6%  ±6.0ul</w:t>
                  </w:r>
                </w:p>
              </w:tc>
              <w:tc>
                <w:tcPr>
                  <w:tcW w:w="1845" w:type="dxa"/>
                </w:tcPr>
                <w:p>
                  <w:pPr>
                    <w:jc w:val="left"/>
                    <w:rPr>
                      <w:rFonts w:ascii="宋体" w:hAnsi="宋体" w:cs="宋体"/>
                      <w:color w:val="auto"/>
                      <w:szCs w:val="21"/>
                      <w:highlight w:val="none"/>
                    </w:rPr>
                  </w:pPr>
                  <w:r>
                    <w:rPr>
                      <w:rFonts w:hint="eastAsia" w:ascii="宋体" w:hAnsi="宋体" w:cs="宋体"/>
                      <w:color w:val="auto"/>
                      <w:szCs w:val="21"/>
                      <w:highlight w:val="none"/>
                    </w:rPr>
                    <w:t>±0.6%  ±0.6ul</w:t>
                  </w:r>
                </w:p>
                <w:p>
                  <w:pPr>
                    <w:jc w:val="left"/>
                    <w:rPr>
                      <w:rFonts w:ascii="宋体" w:hAnsi="宋体" w:cs="宋体"/>
                      <w:color w:val="auto"/>
                      <w:szCs w:val="21"/>
                      <w:highlight w:val="none"/>
                    </w:rPr>
                  </w:pPr>
                  <w:r>
                    <w:rPr>
                      <w:rFonts w:hint="eastAsia" w:ascii="宋体" w:hAnsi="宋体" w:cs="宋体"/>
                      <w:color w:val="auto"/>
                      <w:szCs w:val="21"/>
                      <w:highlight w:val="none"/>
                    </w:rPr>
                    <w:t>±0.2%  ±1.0ul</w:t>
                  </w:r>
                </w:p>
                <w:p>
                  <w:pPr>
                    <w:rPr>
                      <w:rFonts w:ascii="宋体" w:hAnsi="宋体" w:cs="宋体"/>
                      <w:color w:val="auto"/>
                      <w:szCs w:val="21"/>
                      <w:highlight w:val="none"/>
                    </w:rPr>
                  </w:pPr>
                  <w:r>
                    <w:rPr>
                      <w:rFonts w:hint="eastAsia" w:ascii="宋体" w:hAnsi="宋体" w:cs="宋体"/>
                      <w:color w:val="auto"/>
                      <w:szCs w:val="21"/>
                      <w:highlight w:val="none"/>
                    </w:rPr>
                    <w:t>±0.2%  ±2.0ul</w:t>
                  </w:r>
                </w:p>
              </w:tc>
              <w:tc>
                <w:tcPr>
                  <w:tcW w:w="1140" w:type="dxa"/>
                </w:tcPr>
                <w:p>
                  <w:pPr>
                    <w:widowControl/>
                    <w:jc w:val="left"/>
                    <w:rPr>
                      <w:rFonts w:ascii="宋体" w:hAnsi="宋体" w:cs="宋体"/>
                      <w:color w:val="auto"/>
                      <w:szCs w:val="21"/>
                      <w:highlight w:val="none"/>
                    </w:rPr>
                  </w:pPr>
                  <w:r>
                    <w:rPr>
                      <w:rFonts w:hint="eastAsia" w:ascii="宋体" w:hAnsi="宋体" w:cs="宋体"/>
                      <w:color w:val="auto"/>
                      <w:szCs w:val="21"/>
                      <w:highlight w:val="none"/>
                      <w:shd w:val="clear" w:color="auto" w:fill="3366FF"/>
                    </w:rPr>
                    <w:t>□</w:t>
                  </w:r>
                  <w:r>
                    <w:rPr>
                      <w:rFonts w:hint="eastAsia" w:ascii="宋体" w:hAnsi="宋体" w:cs="宋体"/>
                      <w:color w:val="auto"/>
                      <w:szCs w:val="21"/>
                      <w:highlight w:val="none"/>
                    </w:rPr>
                    <w:t>蓝色控制按钮</w:t>
                  </w:r>
                </w:p>
                <w:p>
                  <w:pPr>
                    <w:jc w:val="left"/>
                    <w:rPr>
                      <w:rFonts w:ascii="宋体" w:hAnsi="宋体" w:cs="宋体"/>
                      <w:color w:val="auto"/>
                      <w:szCs w:val="21"/>
                      <w:highlight w:val="none"/>
                    </w:rPr>
                  </w:pPr>
                  <w:r>
                    <w:rPr>
                      <w:rFonts w:hint="eastAsia" w:ascii="宋体" w:hAnsi="宋体" w:cs="宋体"/>
                      <w:color w:val="auto"/>
                      <w:szCs w:val="21"/>
                      <w:highlight w:val="none"/>
                    </w:rPr>
                    <w:t>适配1000ul吸头</w:t>
                  </w:r>
                </w:p>
              </w:tc>
            </w:tr>
          </w:tbl>
          <w:p>
            <w:pPr>
              <w:widowControl/>
              <w:spacing w:line="360" w:lineRule="exact"/>
              <w:jc w:val="left"/>
              <w:textAlignment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48" w:type="dxa"/>
            <w:vMerge w:val="continue"/>
            <w:tcBorders>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p>
        </w:tc>
        <w:tc>
          <w:tcPr>
            <w:tcW w:w="1342" w:type="dxa"/>
            <w:gridSpan w:val="2"/>
            <w:vMerge w:val="continue"/>
            <w:tcBorders>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szCs w:val="21"/>
                <w:highlight w:val="none"/>
              </w:rPr>
              <w:t>15</w:t>
            </w:r>
            <w:r>
              <w:rPr>
                <w:rFonts w:hint="eastAsia" w:ascii="宋体" w:hAnsi="宋体" w:cs="宋体"/>
                <w:color w:val="auto"/>
                <w:kern w:val="0"/>
                <w:szCs w:val="21"/>
                <w:highlight w:val="none"/>
              </w:rPr>
              <w:t>支</w:t>
            </w:r>
          </w:p>
        </w:tc>
        <w:tc>
          <w:tcPr>
            <w:tcW w:w="6666" w:type="dxa"/>
            <w:tcBorders>
              <w:top w:val="single" w:color="auto" w:sz="4" w:space="0"/>
              <w:left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1、四位数字显示，精密度高，移液时便于观察读数框</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2、可整支高温高压灭菌和紫外线灭菌</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3、人体工程学设计，重量轻，操作用力小，避免发生手部重复性劳损（RSI），单手可调</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4、伸缩式弹性吸嘴设计，防止吸头安装高高低低，确保移液气密性和均一性</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5、具备密度调节功能，适用于不同密度的液体</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★6、采用高科技材质，坚固耐用，耐高温抗腐蚀</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★7、Research plus 活塞系统采用新材质(限20µl至10ml)：PEI  聚醚酰亚胺，坚固耐用，耐化学腐蚀性强</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8、技术参数：</w:t>
            </w:r>
          </w:p>
          <w:tbl>
            <w:tblPr>
              <w:tblStyle w:val="51"/>
              <w:tblW w:w="65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720"/>
              <w:gridCol w:w="2022"/>
              <w:gridCol w:w="2130"/>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655" w:type="dxa"/>
                </w:tcPr>
                <w:p>
                  <w:pPr>
                    <w:rPr>
                      <w:rFonts w:ascii="宋体" w:hAnsi="宋体" w:cs="宋体"/>
                      <w:color w:val="auto"/>
                      <w:szCs w:val="21"/>
                      <w:highlight w:val="none"/>
                    </w:rPr>
                  </w:pPr>
                  <w:r>
                    <w:rPr>
                      <w:rFonts w:hint="eastAsia" w:ascii="宋体" w:hAnsi="宋体" w:cs="宋体"/>
                      <w:color w:val="auto"/>
                      <w:szCs w:val="21"/>
                      <w:highlight w:val="none"/>
                    </w:rPr>
                    <w:t>量程</w:t>
                  </w:r>
                </w:p>
              </w:tc>
              <w:tc>
                <w:tcPr>
                  <w:tcW w:w="720" w:type="dxa"/>
                </w:tcPr>
                <w:p>
                  <w:pPr>
                    <w:rPr>
                      <w:rFonts w:ascii="宋体" w:hAnsi="宋体" w:cs="宋体"/>
                      <w:color w:val="auto"/>
                      <w:szCs w:val="21"/>
                      <w:highlight w:val="none"/>
                    </w:rPr>
                  </w:pPr>
                  <w:r>
                    <w:rPr>
                      <w:rFonts w:hint="eastAsia" w:ascii="宋体" w:hAnsi="宋体" w:cs="宋体"/>
                      <w:color w:val="auto"/>
                      <w:szCs w:val="21"/>
                      <w:highlight w:val="none"/>
                    </w:rPr>
                    <w:t>体积</w:t>
                  </w:r>
                </w:p>
              </w:tc>
              <w:tc>
                <w:tcPr>
                  <w:tcW w:w="2022" w:type="dxa"/>
                </w:tcPr>
                <w:p>
                  <w:pPr>
                    <w:rPr>
                      <w:rFonts w:ascii="宋体" w:hAnsi="宋体" w:cs="宋体"/>
                      <w:color w:val="auto"/>
                      <w:szCs w:val="21"/>
                      <w:highlight w:val="none"/>
                    </w:rPr>
                  </w:pPr>
                  <w:r>
                    <w:rPr>
                      <w:rFonts w:hint="eastAsia" w:ascii="宋体" w:hAnsi="宋体" w:cs="宋体"/>
                      <w:color w:val="auto"/>
                      <w:szCs w:val="21"/>
                      <w:highlight w:val="none"/>
                    </w:rPr>
                    <w:t>不准确度</w:t>
                  </w:r>
                </w:p>
              </w:tc>
              <w:tc>
                <w:tcPr>
                  <w:tcW w:w="2130" w:type="dxa"/>
                </w:tcPr>
                <w:p>
                  <w:pPr>
                    <w:rPr>
                      <w:rFonts w:ascii="宋体" w:hAnsi="宋体" w:cs="宋体"/>
                      <w:color w:val="auto"/>
                      <w:szCs w:val="21"/>
                      <w:highlight w:val="none"/>
                    </w:rPr>
                  </w:pPr>
                  <w:r>
                    <w:rPr>
                      <w:rFonts w:hint="eastAsia" w:ascii="宋体" w:hAnsi="宋体" w:cs="宋体"/>
                      <w:color w:val="auto"/>
                      <w:szCs w:val="21"/>
                      <w:highlight w:val="none"/>
                    </w:rPr>
                    <w:t xml:space="preserve">不精确度  </w:t>
                  </w:r>
                </w:p>
              </w:tc>
              <w:tc>
                <w:tcPr>
                  <w:tcW w:w="1068" w:type="dxa"/>
                </w:tcPr>
                <w:p>
                  <w:pPr>
                    <w:rPr>
                      <w:rFonts w:ascii="宋体" w:hAnsi="宋体" w:cs="宋体"/>
                      <w:color w:val="auto"/>
                      <w:szCs w:val="21"/>
                      <w:highlight w:val="none"/>
                    </w:rPr>
                  </w:pPr>
                  <w:r>
                    <w:rPr>
                      <w:rFonts w:hint="eastAsia" w:ascii="宋体" w:hAnsi="宋体" w:cs="宋体"/>
                      <w:color w:val="auto"/>
                      <w:szCs w:val="21"/>
                      <w:highlight w:val="none"/>
                    </w:rPr>
                    <w:t>适配吸头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655" w:type="dxa"/>
                </w:tcPr>
                <w:p>
                  <w:pPr>
                    <w:rPr>
                      <w:rFonts w:ascii="宋体" w:hAnsi="宋体" w:cs="宋体"/>
                      <w:color w:val="auto"/>
                      <w:szCs w:val="21"/>
                      <w:highlight w:val="none"/>
                    </w:rPr>
                  </w:pPr>
                  <w:r>
                    <w:rPr>
                      <w:rFonts w:hint="eastAsia" w:ascii="宋体" w:hAnsi="宋体" w:cs="宋体"/>
                      <w:color w:val="auto"/>
                      <w:szCs w:val="21"/>
                      <w:highlight w:val="none"/>
                    </w:rPr>
                    <w:t>1-10ml</w:t>
                  </w:r>
                </w:p>
              </w:tc>
              <w:tc>
                <w:tcPr>
                  <w:tcW w:w="720" w:type="dxa"/>
                </w:tcPr>
                <w:p>
                  <w:pPr>
                    <w:jc w:val="left"/>
                    <w:rPr>
                      <w:rFonts w:ascii="宋体" w:hAnsi="宋体" w:cs="宋体"/>
                      <w:color w:val="auto"/>
                      <w:szCs w:val="21"/>
                      <w:highlight w:val="none"/>
                    </w:rPr>
                  </w:pPr>
                  <w:r>
                    <w:rPr>
                      <w:rFonts w:hint="eastAsia" w:ascii="宋体" w:hAnsi="宋体" w:cs="宋体"/>
                      <w:color w:val="auto"/>
                      <w:szCs w:val="21"/>
                      <w:highlight w:val="none"/>
                    </w:rPr>
                    <w:t>1ml</w:t>
                  </w:r>
                </w:p>
                <w:p>
                  <w:pPr>
                    <w:jc w:val="left"/>
                    <w:rPr>
                      <w:rFonts w:ascii="宋体" w:hAnsi="宋体" w:cs="宋体"/>
                      <w:color w:val="auto"/>
                      <w:szCs w:val="21"/>
                      <w:highlight w:val="none"/>
                    </w:rPr>
                  </w:pPr>
                  <w:r>
                    <w:rPr>
                      <w:rFonts w:hint="eastAsia" w:ascii="宋体" w:hAnsi="宋体" w:cs="宋体"/>
                      <w:color w:val="auto"/>
                      <w:szCs w:val="21"/>
                      <w:highlight w:val="none"/>
                    </w:rPr>
                    <w:t>5ml</w:t>
                  </w:r>
                </w:p>
                <w:p>
                  <w:pPr>
                    <w:jc w:val="left"/>
                    <w:rPr>
                      <w:rFonts w:ascii="宋体" w:hAnsi="宋体" w:cs="宋体"/>
                      <w:color w:val="auto"/>
                      <w:szCs w:val="21"/>
                      <w:highlight w:val="none"/>
                    </w:rPr>
                  </w:pPr>
                  <w:r>
                    <w:rPr>
                      <w:rFonts w:hint="eastAsia" w:ascii="宋体" w:hAnsi="宋体" w:cs="宋体"/>
                      <w:color w:val="auto"/>
                      <w:szCs w:val="21"/>
                      <w:highlight w:val="none"/>
                    </w:rPr>
                    <w:t>10ml</w:t>
                  </w:r>
                </w:p>
              </w:tc>
              <w:tc>
                <w:tcPr>
                  <w:tcW w:w="2022" w:type="dxa"/>
                </w:tcPr>
                <w:p>
                  <w:pPr>
                    <w:jc w:val="left"/>
                    <w:rPr>
                      <w:rFonts w:ascii="宋体" w:hAnsi="宋体" w:cs="宋体"/>
                      <w:color w:val="auto"/>
                      <w:szCs w:val="21"/>
                      <w:highlight w:val="none"/>
                    </w:rPr>
                  </w:pPr>
                  <w:r>
                    <w:rPr>
                      <w:rFonts w:hint="eastAsia" w:ascii="宋体" w:hAnsi="宋体" w:cs="宋体"/>
                      <w:color w:val="auto"/>
                      <w:szCs w:val="21"/>
                      <w:highlight w:val="none"/>
                    </w:rPr>
                    <w:t>±3.0%  ±0.03ml</w:t>
                  </w:r>
                </w:p>
                <w:p>
                  <w:pPr>
                    <w:jc w:val="left"/>
                    <w:rPr>
                      <w:rFonts w:ascii="宋体" w:hAnsi="宋体" w:cs="宋体"/>
                      <w:color w:val="auto"/>
                      <w:szCs w:val="21"/>
                      <w:highlight w:val="none"/>
                    </w:rPr>
                  </w:pPr>
                  <w:r>
                    <w:rPr>
                      <w:rFonts w:hint="eastAsia" w:ascii="宋体" w:hAnsi="宋体" w:cs="宋体"/>
                      <w:color w:val="auto"/>
                      <w:szCs w:val="21"/>
                      <w:highlight w:val="none"/>
                    </w:rPr>
                    <w:t>±0.8%  ±0.04ml</w:t>
                  </w:r>
                </w:p>
                <w:p>
                  <w:pPr>
                    <w:rPr>
                      <w:rFonts w:ascii="宋体" w:hAnsi="宋体" w:cs="宋体"/>
                      <w:color w:val="auto"/>
                      <w:szCs w:val="21"/>
                      <w:highlight w:val="none"/>
                    </w:rPr>
                  </w:pPr>
                  <w:r>
                    <w:rPr>
                      <w:rFonts w:hint="eastAsia" w:ascii="宋体" w:hAnsi="宋体" w:cs="宋体"/>
                      <w:color w:val="auto"/>
                      <w:szCs w:val="21"/>
                      <w:highlight w:val="none"/>
                    </w:rPr>
                    <w:t>±0.6%  ±0.06ml</w:t>
                  </w:r>
                </w:p>
              </w:tc>
              <w:tc>
                <w:tcPr>
                  <w:tcW w:w="2130" w:type="dxa"/>
                </w:tcPr>
                <w:p>
                  <w:pPr>
                    <w:jc w:val="left"/>
                    <w:rPr>
                      <w:rFonts w:ascii="宋体" w:hAnsi="宋体" w:cs="宋体"/>
                      <w:color w:val="auto"/>
                      <w:szCs w:val="21"/>
                      <w:highlight w:val="none"/>
                    </w:rPr>
                  </w:pPr>
                  <w:r>
                    <w:rPr>
                      <w:rFonts w:hint="eastAsia" w:ascii="宋体" w:hAnsi="宋体" w:cs="宋体"/>
                      <w:color w:val="auto"/>
                      <w:szCs w:val="21"/>
                      <w:highlight w:val="none"/>
                    </w:rPr>
                    <w:t>±0.6%  ±0.006ml</w:t>
                  </w:r>
                </w:p>
                <w:p>
                  <w:pPr>
                    <w:jc w:val="left"/>
                    <w:rPr>
                      <w:rFonts w:ascii="宋体" w:hAnsi="宋体" w:cs="宋体"/>
                      <w:color w:val="auto"/>
                      <w:szCs w:val="21"/>
                      <w:highlight w:val="none"/>
                    </w:rPr>
                  </w:pPr>
                  <w:r>
                    <w:rPr>
                      <w:rFonts w:hint="eastAsia" w:ascii="宋体" w:hAnsi="宋体" w:cs="宋体"/>
                      <w:color w:val="auto"/>
                      <w:szCs w:val="21"/>
                      <w:highlight w:val="none"/>
                    </w:rPr>
                    <w:t>±0.2%  ±0.01ml</w:t>
                  </w:r>
                </w:p>
                <w:p>
                  <w:pPr>
                    <w:rPr>
                      <w:rFonts w:ascii="宋体" w:hAnsi="宋体" w:cs="宋体"/>
                      <w:color w:val="auto"/>
                      <w:szCs w:val="21"/>
                      <w:highlight w:val="none"/>
                    </w:rPr>
                  </w:pPr>
                  <w:r>
                    <w:rPr>
                      <w:rFonts w:hint="eastAsia" w:ascii="宋体" w:hAnsi="宋体" w:cs="宋体"/>
                      <w:color w:val="auto"/>
                      <w:szCs w:val="21"/>
                      <w:highlight w:val="none"/>
                    </w:rPr>
                    <w:t>±0.15%  ±0.015ml</w:t>
                  </w:r>
                </w:p>
              </w:tc>
              <w:tc>
                <w:tcPr>
                  <w:tcW w:w="1068" w:type="dxa"/>
                </w:tcPr>
                <w:p>
                  <w:pPr>
                    <w:widowControl/>
                    <w:jc w:val="left"/>
                    <w:rPr>
                      <w:rFonts w:ascii="宋体" w:hAnsi="宋体" w:cs="宋体"/>
                      <w:color w:val="auto"/>
                      <w:szCs w:val="21"/>
                      <w:highlight w:val="none"/>
                    </w:rPr>
                  </w:pPr>
                  <w:r>
                    <w:rPr>
                      <w:rFonts w:hint="eastAsia" w:ascii="宋体" w:hAnsi="宋体" w:cs="宋体"/>
                      <w:color w:val="auto"/>
                      <w:szCs w:val="21"/>
                      <w:highlight w:val="none"/>
                    </w:rPr>
                    <w:t>□绿色控制按钮</w:t>
                  </w:r>
                </w:p>
                <w:p>
                  <w:pPr>
                    <w:widowControl/>
                    <w:jc w:val="left"/>
                    <w:rPr>
                      <w:rFonts w:ascii="宋体" w:hAnsi="宋体" w:cs="宋体"/>
                      <w:color w:val="auto"/>
                      <w:szCs w:val="21"/>
                      <w:highlight w:val="none"/>
                    </w:rPr>
                  </w:pPr>
                  <w:r>
                    <w:rPr>
                      <w:rFonts w:hint="eastAsia" w:ascii="宋体" w:hAnsi="宋体" w:cs="宋体"/>
                      <w:color w:val="auto"/>
                      <w:szCs w:val="21"/>
                      <w:highlight w:val="none"/>
                    </w:rPr>
                    <w:t>适配10ml</w:t>
                  </w:r>
                </w:p>
              </w:tc>
            </w:tr>
          </w:tbl>
          <w:p>
            <w:pPr>
              <w:widowControl/>
              <w:spacing w:line="360" w:lineRule="exact"/>
              <w:jc w:val="left"/>
              <w:textAlignment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24</w:t>
            </w:r>
          </w:p>
        </w:tc>
        <w:tc>
          <w:tcPr>
            <w:tcW w:w="1342"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电动单道可调移液器</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20支</w:t>
            </w:r>
          </w:p>
        </w:tc>
        <w:tc>
          <w:tcPr>
            <w:tcW w:w="6666" w:type="dxa"/>
            <w:tcBorders>
              <w:top w:val="single" w:color="auto" w:sz="4" w:space="0"/>
              <w:left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1、多功能摇杆，采用“升则向上，降则向下”功能</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2、选项盘可快捷选择各项功能</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3、彩色显示屏操作方便，无子菜单，人体工程学凸出显示，任何位置清晰可见</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4、弹性吸嘴（适用于最大为 1,000 µL 的所有移液器）大幅减轻吸头装配用力</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5、大容量可充电电池，支持长达 8 小时工作</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6、独立电源插座： 充电时可继续工作</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7、可根据外部环境条件进行校正（例如海拔高度、高密度液体）</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8、可对移液器下半部分进行高温高压灭菌，确保消除污染</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9、9种不同的语言：中文、荷兰语、英语、法语、德语、意大利语、日语、葡萄牙语和西班牙语。</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10、量程配置：0.5～10ul、5～100ul、15～300ul、50～1000ul、0.1～2.5ml、0.2～5ml</w:t>
            </w:r>
            <w:r>
              <w:rPr>
                <w:rFonts w:hint="eastAsia" w:ascii="宋体" w:hAnsi="宋体" w:cs="宋体"/>
                <w:b/>
                <w:color w:val="auto"/>
                <w:szCs w:val="21"/>
                <w:highlight w:val="none"/>
              </w:rPr>
              <w:t>各3支</w:t>
            </w:r>
            <w:r>
              <w:rPr>
                <w:rFonts w:hint="eastAsia" w:ascii="宋体" w:hAnsi="宋体" w:cs="宋体"/>
                <w:color w:val="auto"/>
                <w:szCs w:val="21"/>
                <w:highlight w:val="none"/>
              </w:rPr>
              <w:t>；0.5～10ml，</w:t>
            </w:r>
            <w:r>
              <w:rPr>
                <w:rFonts w:hint="eastAsia" w:ascii="宋体" w:hAnsi="宋体" w:cs="宋体"/>
                <w:b/>
                <w:color w:val="auto"/>
                <w:szCs w:val="21"/>
                <w:highlight w:val="none"/>
              </w:rPr>
              <w:t>2支</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48" w:type="dxa"/>
            <w:vMerge w:val="restart"/>
            <w:tcBorders>
              <w:top w:val="single" w:color="auto" w:sz="4" w:space="0"/>
              <w:left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25</w:t>
            </w:r>
          </w:p>
        </w:tc>
        <w:tc>
          <w:tcPr>
            <w:tcW w:w="1342" w:type="dxa"/>
            <w:gridSpan w:val="2"/>
            <w:vMerge w:val="restart"/>
            <w:tcBorders>
              <w:top w:val="single" w:color="auto" w:sz="4" w:space="0"/>
              <w:left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数字可调瓶口分液器</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10台</w:t>
            </w:r>
          </w:p>
          <w:p>
            <w:pPr>
              <w:widowControl/>
              <w:jc w:val="center"/>
              <w:textAlignment w:val="center"/>
              <w:rPr>
                <w:color w:val="auto"/>
                <w:highlight w:val="none"/>
              </w:rPr>
            </w:pPr>
            <w:r>
              <w:rPr>
                <w:rFonts w:hint="eastAsia" w:ascii="宋体" w:hAnsi="宋体" w:cs="宋体"/>
                <w:color w:val="auto"/>
                <w:kern w:val="0"/>
                <w:szCs w:val="21"/>
                <w:highlight w:val="none"/>
              </w:rPr>
              <w:t>（25ml、50ml各5台）</w:t>
            </w:r>
          </w:p>
        </w:tc>
        <w:tc>
          <w:tcPr>
            <w:tcW w:w="6666" w:type="dxa"/>
            <w:tcBorders>
              <w:top w:val="single" w:color="auto" w:sz="4" w:space="0"/>
              <w:left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★1、4位数字显示，10倍量程跨度，根据量程不同，附赠3-5个瓶口转接环</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2、红色普通型适用于酸，碱，盐溶液</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3、可整支121°C 高压湿热灭菌</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★4、采用浮动活塞原理，移液过程轻松流畅</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★5、具有Easy Calibration 易校准技术，无需使用工具即可校准</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6、随包装附原厂出厂性能证书</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7、具有安全回流阀，确保安全性的同时能更节省试剂</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★8、配伸缩式吸液管，排液管具有阀门设计，拆出排液管阀门自动关闭，保证操作者安全</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★9、试剂接触部件的材料：硼硅酸盐玻璃，陶瓷，铂铱或钽合金，ETFE、FEP、PFA、PTFE及 PP</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10、性能指标：</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2.5-25ml，0.1ml分刻度，精度≤±0.5 %</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5-50ml，0.5ml分刻度，精度≤±0.5 %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48" w:type="dxa"/>
            <w:vMerge w:val="continue"/>
            <w:tcBorders>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p>
        </w:tc>
        <w:tc>
          <w:tcPr>
            <w:tcW w:w="1342" w:type="dxa"/>
            <w:gridSpan w:val="2"/>
            <w:vMerge w:val="continue"/>
            <w:tcBorders>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10台（25ml、50ml各5台）</w:t>
            </w:r>
          </w:p>
        </w:tc>
        <w:tc>
          <w:tcPr>
            <w:tcW w:w="6666" w:type="dxa"/>
            <w:tcBorders>
              <w:top w:val="single" w:color="auto" w:sz="4" w:space="0"/>
              <w:left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★1、4位数字显示，10倍量程跨度，根据量程不同，附赠3-5个瓶口转接环</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2、黄色有机型适用于强酸及大部分的有机溶剂</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3、可整支121°C 高压湿热灭菌</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★4、采用浮动活塞原理，移液过程轻松流畅</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★5、具有Easy Calibration 易校准技术，无需使用工具即可校准</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6、随包装附原厂出厂性能证书</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7、具有安全回流阀，确保安全性的同时能更节省试剂</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★8、配伸缩式吸液管，排液管具有阀门设计，拆出排液管阀门自动关闭，保证操作者安全</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★9、试剂接触部件的材料：硼硅酸盐玻璃，陶瓷，铂铱或钽合金，ETFE、FEP、PFA、PTFE及 PP</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10、性能指标：</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（2.5-25ml）, 0.1ml分刻度，精度≤±0.5 %</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（5-50ml），0.5ml分刻度，精度≤±0.5 %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26</w:t>
            </w:r>
          </w:p>
        </w:tc>
        <w:tc>
          <w:tcPr>
            <w:tcW w:w="1342"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 w:val="22"/>
                <w:szCs w:val="22"/>
                <w:highlight w:val="none"/>
              </w:rPr>
              <w:t>平板涡旋振荡器</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 w:val="22"/>
                <w:szCs w:val="22"/>
                <w:highlight w:val="none"/>
              </w:rPr>
              <w:t>1套</w:t>
            </w:r>
          </w:p>
        </w:tc>
        <w:tc>
          <w:tcPr>
            <w:tcW w:w="6666" w:type="dxa"/>
            <w:tcBorders>
              <w:top w:val="single" w:color="auto" w:sz="4" w:space="0"/>
              <w:left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一、主要用途</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平面高速振荡，搭配滚轴或穿孔板夹具，可满足不同规格的试管、烧瓶、锥形瓶等的混匀振荡。广泛应用于生物、制药、医疗、检测等实验室中。</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二、技术参数</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1、运行模式：涡旋振荡；</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2、输入功率：31W；</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3、振幅：3mm；</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4、转速范围：150～1350rpm；</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5、转速显示：旋钮调节，刻度指示，连续可调；</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★6、运行方式：连续运转及定时操作；</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7、最大载重：2Kg；</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8、具有过热保护功能；</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★9、具有定时功能，定时范围1～120分钟，定时结束后声音提示并自动停止振动，可满足无人值守操作要求；</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★10、振动平台尺寸：220×220mm；</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★11、弹性滚轴或摇板夹具，用于同时振荡多种不同规格的容器；</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12、DIN EN 60529 保护方式：IP30。</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三、配置要求</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1、平板振荡器主机1台</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2、弹性滚轴2套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3、摇板夹具2套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27</w:t>
            </w:r>
          </w:p>
        </w:tc>
        <w:tc>
          <w:tcPr>
            <w:tcW w:w="1342"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 w:val="22"/>
                <w:szCs w:val="22"/>
                <w:highlight w:val="none"/>
              </w:rPr>
              <w:t>试管涡旋振荡器</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 w:val="22"/>
                <w:szCs w:val="22"/>
                <w:highlight w:val="none"/>
              </w:rPr>
              <w:t>2套</w:t>
            </w:r>
          </w:p>
        </w:tc>
        <w:tc>
          <w:tcPr>
            <w:tcW w:w="6666" w:type="dxa"/>
            <w:tcBorders>
              <w:top w:val="single" w:color="auto" w:sz="4" w:space="0"/>
              <w:left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一、主要用途</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通用试管振荡器，可同时进行12/26支试管的混匀振荡。广泛应用于生物、制药、医疗、检测等实验室中。</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二、技术</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1、运行模式：涡旋振荡；</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2、输入功率：50W；</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3、振幅：3mm；</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4、转速范围：150～2000rpm；</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★5、转速显示：LED数字显示；</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★6、运行方式：连续运转及定时操作；</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7、最大载重：1.5Kg；</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8、具有过热保护功能；</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★9、具有定时功能，定时范围1～999分钟，定时结束后声音提示并自动停止振动，可满足无人值守操作要求；</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★10、标配12位试管固定器（适用于16～32mm直径试管）及26位试管固定器（适用于10～16 mm直径试管）；</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11、DIN EN 60529 保护方式：IP30。</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三、配置要求</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1、试管振荡器主机1台</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2、12位试管固定器1个</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3、26位试管固定器1个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28</w:t>
            </w:r>
          </w:p>
        </w:tc>
        <w:tc>
          <w:tcPr>
            <w:tcW w:w="1342"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 w:val="22"/>
                <w:szCs w:val="22"/>
                <w:highlight w:val="none"/>
              </w:rPr>
              <w:t>冷冻离心机</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 w:val="22"/>
                <w:szCs w:val="22"/>
                <w:highlight w:val="none"/>
              </w:rPr>
              <w:t>1套</w:t>
            </w:r>
          </w:p>
        </w:tc>
        <w:tc>
          <w:tcPr>
            <w:tcW w:w="6666" w:type="dxa"/>
            <w:tcBorders>
              <w:top w:val="single" w:color="auto" w:sz="4" w:space="0"/>
              <w:left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一、技术参数</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★1、配水平转头最高转速：4700转/分</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★2、转速设定精度：1转/分</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★3、配水平转头最大离心力：4816×g</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★4、最大离心容量：4×1000ml</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★5、驱动系统：无碳刷电机直接驱动</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★6、控制系统：微处理器控制系统，全彩触控面板（耐用且耐化学腐蚀）</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7、运行时间控制：0～99小时59分钟59秒；并具有瞬时离心及连续离心方式</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★8、加/减速选择：9加速/10减速</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9、温度控制范围：从-10～+40度</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10、程序：最多可保存99个程序</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★11、具有转头自动锁定装置，可以在3秒内实现转头的安全锁定&amp;转头更换</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★12、转头自动识别</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 xml:space="preserve">13、电子式不平衡监测  </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14、防手指夹伤</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15、防撞结构</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16、状态自诊断</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17、自动锁盖及内锁装置</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★18、水平转头吊篮具有第三方认证的生物安全密封盖。可以单手操作，无需旋盖及搭扣，并可以确保密封。可从任意一边进行关闭，省力方便。无任何金属部件，防止不慎划破手套及手。</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19、现代化、直观的触摸式操作界面</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20、可进行日程管理功能</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21、科进行健康检查功能</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★22、具有ACE功能</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★23、具有分步程序设置功能</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24、可以通过 USB 端口提取所有运行，警报，健康状况数据，以获取正确的文档</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★25、具有语言选择</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★26、可选择在离心结束之后自动开盖</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★27、可选择在离心结束时声音提醒功能和状态提示功能</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★28、可选择显示离心腔温度或样品温度</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★29、可同时显示设定参数及实际运行参数</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★30、可设定腔门开启保护密码</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31、噪音：＜64 dB</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二、配置要求</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1、主机一台</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2、水平转头一个</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3、圆形吊篮（4个/套）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4、圆形吊篮 防生物污染密封盖（4个/套）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5、56×15 mL 尖底管适配器一套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6、28×50 mL 尖底管适配器一套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7、8×100 mL 圆底管适配器一套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29</w:t>
            </w:r>
          </w:p>
        </w:tc>
        <w:tc>
          <w:tcPr>
            <w:tcW w:w="1342"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 w:val="22"/>
                <w:szCs w:val="22"/>
                <w:highlight w:val="none"/>
              </w:rPr>
              <w:t>实验耗材</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 w:val="22"/>
                <w:szCs w:val="22"/>
                <w:highlight w:val="none"/>
              </w:rPr>
              <w:t>1批</w:t>
            </w:r>
          </w:p>
        </w:tc>
        <w:tc>
          <w:tcPr>
            <w:tcW w:w="6666" w:type="dxa"/>
            <w:tcBorders>
              <w:top w:val="single" w:color="auto" w:sz="4" w:space="0"/>
              <w:left w:val="single" w:color="auto" w:sz="4" w:space="0"/>
              <w:right w:val="single" w:color="auto" w:sz="4" w:space="0"/>
            </w:tcBorders>
            <w:vAlign w:val="center"/>
          </w:tcPr>
          <w:p>
            <w:pPr>
              <w:widowControl/>
              <w:spacing w:line="360" w:lineRule="exact"/>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1、农残标准物质、固相萃取小柱、Q法试剂包、样品瓶、试剂瓶、试剂、玻璃器皿等耗材；</w:t>
            </w:r>
          </w:p>
          <w:p>
            <w:pPr>
              <w:widowControl/>
              <w:spacing w:line="360" w:lineRule="exact"/>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2、本项配备实验过程中常用的耗材，根据采购单位日常使用情况配备，接到采购单位配送通知后3个工作日送达指定地点；</w:t>
            </w:r>
          </w:p>
          <w:p>
            <w:pPr>
              <w:widowControl/>
              <w:spacing w:line="360" w:lineRule="exact"/>
              <w:jc w:val="left"/>
              <w:textAlignment w:val="center"/>
              <w:rPr>
                <w:rFonts w:ascii="宋体" w:hAnsi="宋体"/>
                <w:color w:val="auto"/>
                <w:highlight w:val="none"/>
              </w:rPr>
            </w:pPr>
            <w:r>
              <w:rPr>
                <w:rFonts w:hint="eastAsia" w:ascii="宋体" w:hAnsi="宋体" w:cs="宋体"/>
                <w:color w:val="auto"/>
                <w:kern w:val="0"/>
                <w:szCs w:val="21"/>
                <w:highlight w:val="none"/>
              </w:rPr>
              <w:t>3、投标报价按厂家指导价为基准价，在投标时明确给予的优惠折扣，采购单位根据实际使用量进行结算。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648"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60" w:lineRule="exact"/>
              <w:outlineLvl w:val="0"/>
              <w:rPr>
                <w:rFonts w:ascii="宋体" w:hAnsi="宋体" w:cs="宋体"/>
                <w:color w:val="auto"/>
                <w:szCs w:val="21"/>
                <w:highlight w:val="none"/>
              </w:rPr>
            </w:pPr>
            <w:r>
              <w:rPr>
                <w:rFonts w:hint="eastAsia" w:ascii="宋体" w:hAnsi="宋体" w:cs="宋体"/>
                <w:color w:val="auto"/>
                <w:szCs w:val="21"/>
                <w:highlight w:val="none"/>
              </w:rPr>
              <w:t>二、商务要求表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54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color w:val="auto"/>
                <w:kern w:val="0"/>
                <w:szCs w:val="21"/>
                <w:highlight w:val="none"/>
              </w:rPr>
              <w:t>★</w:t>
            </w:r>
            <w:r>
              <w:rPr>
                <w:rFonts w:hint="eastAsia" w:ascii="宋体" w:hAnsi="宋体" w:cs="宋体"/>
                <w:color w:val="auto"/>
                <w:szCs w:val="21"/>
                <w:highlight w:val="none"/>
              </w:rPr>
              <w:t>质保期</w:t>
            </w:r>
          </w:p>
        </w:tc>
        <w:tc>
          <w:tcPr>
            <w:tcW w:w="810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Cs w:val="21"/>
                <w:highlight w:val="none"/>
              </w:rPr>
            </w:pPr>
            <w:r>
              <w:rPr>
                <w:rFonts w:hint="eastAsia" w:ascii="宋体" w:hAnsi="宋体" w:cs="宋体"/>
                <w:color w:val="auto"/>
                <w:szCs w:val="21"/>
                <w:highlight w:val="none"/>
              </w:rPr>
              <w:t>要求第8项设备整机质保期不少于三年（含三年），第22、28项设备整机质保期不少于二年（含二年），其余设备整机及附件质保期不少于一年（含一年），保修期内出现质量问题，需派出技术员到达现场处理质量问题，并承担一切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54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color w:val="auto"/>
                <w:kern w:val="0"/>
                <w:szCs w:val="21"/>
                <w:highlight w:val="none"/>
              </w:rPr>
              <w:t>★</w:t>
            </w:r>
            <w:r>
              <w:rPr>
                <w:rFonts w:hint="eastAsia" w:ascii="宋体" w:hAnsi="宋体" w:cs="宋体"/>
                <w:color w:val="auto"/>
                <w:szCs w:val="21"/>
                <w:highlight w:val="none"/>
              </w:rPr>
              <w:t>售后服务要求</w:t>
            </w:r>
          </w:p>
        </w:tc>
        <w:tc>
          <w:tcPr>
            <w:tcW w:w="810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80" w:lineRule="exact"/>
              <w:outlineLvl w:val="0"/>
              <w:rPr>
                <w:rFonts w:ascii="宋体" w:hAnsi="宋体" w:cs="宋体"/>
                <w:color w:val="auto"/>
                <w:szCs w:val="21"/>
                <w:highlight w:val="none"/>
              </w:rPr>
            </w:pPr>
            <w:r>
              <w:rPr>
                <w:rFonts w:hint="eastAsia" w:ascii="宋体" w:hAnsi="宋体" w:cs="宋体"/>
                <w:color w:val="auto"/>
                <w:szCs w:val="21"/>
                <w:highlight w:val="none"/>
              </w:rPr>
              <w:t>1、免费送货上门、免费安装调试、免费培训。</w:t>
            </w:r>
          </w:p>
          <w:p>
            <w:pPr>
              <w:spacing w:line="380" w:lineRule="exact"/>
              <w:rPr>
                <w:rFonts w:ascii="宋体" w:hAnsi="宋体" w:cs="宋体"/>
                <w:color w:val="auto"/>
                <w:szCs w:val="21"/>
                <w:highlight w:val="none"/>
              </w:rPr>
            </w:pPr>
            <w:r>
              <w:rPr>
                <w:rFonts w:hint="eastAsia" w:ascii="宋体" w:hAnsi="宋体" w:cs="宋体"/>
                <w:color w:val="auto"/>
                <w:szCs w:val="21"/>
                <w:highlight w:val="none"/>
              </w:rPr>
              <w:t>2、安装调试和培训：到货后，厂家需在接到用户通知后10个工作日内进行安装调试；提供用户至少两名管理人员的现场操作使用及基本维护的免费培训，使受训人员了解货物的工作原理、操作规程、以及维护、保养方法。</w:t>
            </w:r>
          </w:p>
          <w:p>
            <w:pPr>
              <w:spacing w:line="400" w:lineRule="exact"/>
              <w:jc w:val="left"/>
              <w:rPr>
                <w:rFonts w:ascii="宋体" w:hAnsi="宋体" w:cs="宋体"/>
                <w:color w:val="auto"/>
                <w:szCs w:val="21"/>
                <w:highlight w:val="none"/>
              </w:rPr>
            </w:pPr>
            <w:r>
              <w:rPr>
                <w:rFonts w:hint="eastAsia" w:ascii="宋体" w:hAnsi="宋体" w:cs="宋体"/>
                <w:color w:val="auto"/>
                <w:szCs w:val="21"/>
                <w:highlight w:val="none"/>
              </w:rPr>
              <w:t>3、接到采购单位故障通知，2小时内响应，24小时内到现场进行维修，当设备出现重大故障48小时内无法修复的需提供备品备件或备用机。</w:t>
            </w:r>
          </w:p>
          <w:p>
            <w:pPr>
              <w:spacing w:line="380" w:lineRule="exact"/>
              <w:rPr>
                <w:rFonts w:ascii="宋体" w:hAnsi="宋体" w:cs="宋体"/>
                <w:color w:val="auto"/>
                <w:szCs w:val="21"/>
                <w:highlight w:val="none"/>
              </w:rPr>
            </w:pPr>
            <w:r>
              <w:rPr>
                <w:rFonts w:hint="eastAsia" w:ascii="宋体" w:hAnsi="宋体" w:cs="宋体"/>
                <w:color w:val="auto"/>
                <w:szCs w:val="21"/>
                <w:highlight w:val="none"/>
              </w:rPr>
              <w:t>4、提供每季度不少于一次（含一次）的定期回访。</w:t>
            </w:r>
          </w:p>
          <w:p>
            <w:pPr>
              <w:spacing w:line="380" w:lineRule="exact"/>
              <w:rPr>
                <w:rFonts w:ascii="宋体" w:hAnsi="宋体" w:cs="宋体"/>
                <w:color w:val="auto"/>
                <w:szCs w:val="21"/>
                <w:highlight w:val="none"/>
              </w:rPr>
            </w:pPr>
            <w:r>
              <w:rPr>
                <w:rFonts w:hint="eastAsia" w:ascii="宋体" w:hAnsi="宋体" w:cs="宋体"/>
                <w:color w:val="auto"/>
                <w:szCs w:val="21"/>
                <w:highlight w:val="none"/>
              </w:rPr>
              <w:t>5、</w:t>
            </w:r>
            <w:r>
              <w:rPr>
                <w:rFonts w:hint="eastAsia" w:ascii="宋体" w:hAnsi="宋体" w:cs="宋体"/>
                <w:bCs/>
                <w:color w:val="auto"/>
                <w:szCs w:val="21"/>
                <w:highlight w:val="none"/>
              </w:rPr>
              <w:t>验收：按供货方合格证书技术资料中的技术指标、质量要求和双方签订的合同技术附件所规定的条款进行验收。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54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color w:val="auto"/>
                <w:kern w:val="0"/>
                <w:szCs w:val="21"/>
                <w:highlight w:val="none"/>
              </w:rPr>
              <w:t>★</w:t>
            </w:r>
            <w:r>
              <w:rPr>
                <w:rFonts w:hint="eastAsia" w:ascii="宋体" w:hAnsi="宋体" w:cs="宋体"/>
                <w:color w:val="auto"/>
                <w:szCs w:val="21"/>
                <w:highlight w:val="none"/>
              </w:rPr>
              <w:t>交货时间及地点</w:t>
            </w:r>
          </w:p>
        </w:tc>
        <w:tc>
          <w:tcPr>
            <w:tcW w:w="810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exact"/>
              <w:outlineLvl w:val="0"/>
              <w:rPr>
                <w:rFonts w:ascii="宋体" w:hAnsi="宋体" w:cs="宋体"/>
                <w:b/>
                <w:color w:val="auto"/>
                <w:szCs w:val="21"/>
                <w:highlight w:val="none"/>
              </w:rPr>
            </w:pPr>
            <w:r>
              <w:rPr>
                <w:rFonts w:hint="eastAsia" w:ascii="宋体" w:hAnsi="宋体" w:cs="宋体"/>
                <w:b/>
                <w:color w:val="auto"/>
                <w:szCs w:val="21"/>
                <w:highlight w:val="none"/>
              </w:rPr>
              <w:t>交货时间：进口设备自签订合同之日起</w:t>
            </w:r>
            <w:r>
              <w:rPr>
                <w:rFonts w:ascii="宋体" w:hAnsi="宋体" w:cs="宋体"/>
                <w:b/>
                <w:color w:val="auto"/>
                <w:szCs w:val="21"/>
                <w:highlight w:val="none"/>
              </w:rPr>
              <w:t>9</w:t>
            </w:r>
            <w:r>
              <w:rPr>
                <w:rFonts w:hint="eastAsia" w:ascii="宋体" w:hAnsi="宋体" w:cs="宋体"/>
                <w:b/>
                <w:color w:val="auto"/>
                <w:szCs w:val="21"/>
                <w:highlight w:val="none"/>
              </w:rPr>
              <w:t>0个日历日内安装调试完毕，国产设备自签订合同之日起30个日历日内安装调试完毕。</w:t>
            </w:r>
          </w:p>
          <w:p>
            <w:pPr>
              <w:snapToGrid w:val="0"/>
              <w:spacing w:line="360" w:lineRule="exact"/>
              <w:outlineLvl w:val="0"/>
              <w:rPr>
                <w:rFonts w:ascii="宋体" w:hAnsi="宋体" w:cs="宋体"/>
                <w:b/>
                <w:color w:val="auto"/>
                <w:szCs w:val="21"/>
                <w:highlight w:val="none"/>
              </w:rPr>
            </w:pPr>
            <w:r>
              <w:rPr>
                <w:rFonts w:hint="eastAsia" w:ascii="宋体" w:hAnsi="宋体" w:cs="宋体"/>
                <w:b/>
                <w:color w:val="auto"/>
                <w:szCs w:val="21"/>
                <w:highlight w:val="none"/>
              </w:rPr>
              <w:t>交货地点：横县采购人指定地点。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54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付款条件</w:t>
            </w:r>
          </w:p>
        </w:tc>
        <w:tc>
          <w:tcPr>
            <w:tcW w:w="810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exact"/>
              <w:outlineLvl w:val="0"/>
              <w:rPr>
                <w:rFonts w:ascii="宋体" w:hAnsi="宋体" w:cs="宋体"/>
                <w:color w:val="auto"/>
                <w:szCs w:val="21"/>
                <w:highlight w:val="none"/>
              </w:rPr>
            </w:pPr>
            <w:r>
              <w:rPr>
                <w:rFonts w:hint="eastAsia" w:ascii="宋体" w:hAnsi="宋体" w:cs="宋体"/>
                <w:color w:val="auto"/>
                <w:szCs w:val="21"/>
                <w:highlight w:val="none"/>
              </w:rPr>
              <w:t>交货验收合格后二十个工作日内，由采购人一次性付清中标人的全部结算款项的100%（无预付款）。中标人自收到款项之日起三个工作日内开具发票给采购人。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54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bCs/>
                <w:color w:val="auto"/>
                <w:szCs w:val="21"/>
                <w:highlight w:val="none"/>
              </w:rPr>
            </w:pPr>
            <w:r>
              <w:rPr>
                <w:rFonts w:hint="eastAsia" w:ascii="宋体" w:hAnsi="宋体" w:cs="宋体"/>
                <w:b/>
                <w:bCs/>
                <w:color w:val="auto"/>
                <w:szCs w:val="21"/>
                <w:highlight w:val="none"/>
              </w:rPr>
              <w:t>履约保证金及质量保证金</w:t>
            </w:r>
          </w:p>
        </w:tc>
        <w:tc>
          <w:tcPr>
            <w:tcW w:w="810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auto"/>
                <w:szCs w:val="21"/>
                <w:highlight w:val="none"/>
              </w:rPr>
            </w:pPr>
            <w:r>
              <w:rPr>
                <w:rFonts w:hint="eastAsia" w:ascii="宋体" w:hAnsi="宋体" w:cs="宋体"/>
                <w:color w:val="auto"/>
                <w:szCs w:val="21"/>
                <w:highlight w:val="none"/>
              </w:rPr>
              <w:t>中标人在采购合同签订后五个工作日内，按合同金额的5%向采购单位指定账户缴纳履约保证金，项目验收完毕后自动转为质量保证金，质保期（投标人承诺质保期延长的则按承诺执行）满后无质量问题可向采购单位申请退还，采购单位在收到申请后五个工作日内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6" w:hRule="atLeast"/>
          <w:jc w:val="center"/>
        </w:trPr>
        <w:tc>
          <w:tcPr>
            <w:tcW w:w="154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color w:val="auto"/>
                <w:kern w:val="0"/>
                <w:szCs w:val="21"/>
                <w:highlight w:val="none"/>
              </w:rPr>
              <w:t>★厂家</w:t>
            </w:r>
            <w:r>
              <w:rPr>
                <w:rFonts w:hint="eastAsia" w:ascii="宋体" w:hAnsi="宋体" w:cs="宋体"/>
                <w:color w:val="auto"/>
                <w:szCs w:val="21"/>
                <w:highlight w:val="none"/>
              </w:rPr>
              <w:t>授权要求</w:t>
            </w:r>
          </w:p>
        </w:tc>
        <w:tc>
          <w:tcPr>
            <w:tcW w:w="810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s="宋体"/>
                <w:color w:val="auto"/>
                <w:szCs w:val="21"/>
                <w:highlight w:val="none"/>
              </w:rPr>
            </w:pPr>
            <w:r>
              <w:rPr>
                <w:rFonts w:hint="eastAsia" w:ascii="宋体" w:hAnsi="宋体" w:cs="宋体"/>
                <w:color w:val="auto"/>
                <w:szCs w:val="21"/>
                <w:highlight w:val="none"/>
              </w:rPr>
              <w:t>本</w:t>
            </w:r>
            <w:r>
              <w:rPr>
                <w:rFonts w:hint="eastAsia" w:ascii="宋体" w:hAnsi="宋体" w:cs="宋体"/>
                <w:color w:val="auto"/>
                <w:szCs w:val="21"/>
                <w:highlight w:val="none"/>
                <w:lang w:eastAsia="zh-CN"/>
              </w:rPr>
              <w:t>标段</w:t>
            </w:r>
            <w:r>
              <w:rPr>
                <w:rFonts w:hint="eastAsia" w:ascii="宋体" w:hAnsi="宋体" w:cs="宋体"/>
                <w:color w:val="auto"/>
                <w:szCs w:val="21"/>
                <w:highlight w:val="none"/>
              </w:rPr>
              <w:t>的</w:t>
            </w:r>
            <w:r>
              <w:rPr>
                <w:rFonts w:hint="eastAsia" w:ascii="宋体" w:hAnsi="宋体" w:cs="宋体"/>
                <w:b/>
                <w:color w:val="auto"/>
                <w:szCs w:val="21"/>
                <w:highlight w:val="none"/>
              </w:rPr>
              <w:t>第19、28项</w:t>
            </w:r>
            <w:r>
              <w:rPr>
                <w:rFonts w:hint="eastAsia" w:ascii="宋体" w:hAnsi="宋体" w:cs="宋体"/>
                <w:color w:val="auto"/>
                <w:szCs w:val="21"/>
                <w:highlight w:val="none"/>
              </w:rPr>
              <w:t>设备属于非生产厂家参加投标的，须提供仪器设备生产厂家或国内总代理商出具的有效授权书原件和售后服务承诺书。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54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其他要求</w:t>
            </w:r>
          </w:p>
        </w:tc>
        <w:tc>
          <w:tcPr>
            <w:tcW w:w="810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auto"/>
                <w:highlight w:val="none"/>
              </w:rPr>
            </w:pPr>
            <w:r>
              <w:rPr>
                <w:rFonts w:hint="eastAsia" w:ascii="宋体" w:hAnsi="宋体" w:cs="宋体"/>
                <w:color w:val="auto"/>
                <w:highlight w:val="none"/>
              </w:rPr>
              <w:t>★1、本</w:t>
            </w:r>
            <w:r>
              <w:rPr>
                <w:rFonts w:hint="eastAsia" w:ascii="宋体" w:hAnsi="宋体" w:cs="宋体"/>
                <w:color w:val="auto"/>
                <w:highlight w:val="none"/>
                <w:lang w:eastAsia="zh-CN"/>
              </w:rPr>
              <w:t>标段</w:t>
            </w:r>
            <w:r>
              <w:rPr>
                <w:rFonts w:hint="eastAsia" w:ascii="宋体" w:hAnsi="宋体" w:cs="宋体"/>
                <w:color w:val="auto"/>
                <w:highlight w:val="none"/>
              </w:rPr>
              <w:t>的第11、14-29项设备已按规定办妥进口产品采购审核手续，投标产品可选用进口产品，如选用进口产品时必须为全套原装进口产品（即通过中国海关报关验放进入中国境内且产自关境外的产品），要求：①中标人负责办理进口设备的相关手续及承担相关的所有费用；②如投标人不具备进出口业务代理资质，则其报价中必须包含关税在内的所有相关进出口税费。其余设备不接受进口产品投标。</w:t>
            </w:r>
          </w:p>
          <w:p>
            <w:pPr>
              <w:spacing w:line="360" w:lineRule="exact"/>
              <w:jc w:val="left"/>
              <w:rPr>
                <w:rFonts w:ascii="宋体" w:hAnsi="宋体" w:cs="宋体"/>
                <w:color w:val="auto"/>
                <w:highlight w:val="none"/>
              </w:rPr>
            </w:pPr>
            <w:r>
              <w:rPr>
                <w:rFonts w:hint="eastAsia" w:ascii="宋体" w:hAnsi="宋体" w:cs="宋体"/>
                <w:color w:val="auto"/>
                <w:highlight w:val="none"/>
              </w:rPr>
              <w:t>★2、所投产品若属《节能产品政府采购清单》中强制采购节能产品范围的，必须提供节能产品，并提供相关证明材料（如：所投产品列入的《节能产品政府采购清单》截图）。</w:t>
            </w:r>
          </w:p>
          <w:p>
            <w:pPr>
              <w:spacing w:line="400" w:lineRule="exact"/>
              <w:jc w:val="left"/>
              <w:rPr>
                <w:rFonts w:ascii="宋体" w:hAnsi="宋体" w:cs="宋体"/>
                <w:b/>
                <w:color w:val="auto"/>
                <w:highlight w:val="none"/>
              </w:rPr>
            </w:pPr>
            <w:r>
              <w:rPr>
                <w:rFonts w:hint="eastAsia" w:ascii="宋体" w:hAnsi="宋体" w:cs="宋体"/>
                <w:b/>
                <w:color w:val="auto"/>
                <w:highlight w:val="none"/>
              </w:rPr>
              <w:t>3、投标时提供产品的说明书或彩页（体现重要的技术参数）；与投标文件一并装订，也可以是从生产厂家网页下载的PDF或HTML文件，彩页上应有详细的产品技术介绍、技术参数、产品图样照片等。（如有，请提供）</w:t>
            </w:r>
          </w:p>
          <w:p>
            <w:pPr>
              <w:spacing w:line="360" w:lineRule="exact"/>
              <w:jc w:val="left"/>
              <w:rPr>
                <w:rFonts w:ascii="宋体" w:hAnsi="宋体" w:cs="宋体"/>
                <w:color w:val="auto"/>
                <w:highlight w:val="none"/>
              </w:rPr>
            </w:pPr>
            <w:r>
              <w:rPr>
                <w:rFonts w:hint="eastAsia" w:ascii="宋体" w:hAnsi="宋体" w:cs="宋体"/>
                <w:color w:val="auto"/>
                <w:highlight w:val="none"/>
              </w:rPr>
              <w:t>★4、投标文件中所承诺的货物性能参数、技术规格应该与生产厂家公开印发该货物产品说明书或产品彩页相一致；如不一致，投标人必须提供由生产厂家或其合法派出机构出具的说明其原因的有效证明文件。投标人必须根据招标要求的技术参数（配置）及要求中的每项指标要求，如实逐项填写技术响应、偏离情况说明表。</w:t>
            </w:r>
          </w:p>
          <w:p>
            <w:pPr>
              <w:spacing w:line="360" w:lineRule="exact"/>
              <w:jc w:val="left"/>
              <w:rPr>
                <w:rFonts w:ascii="宋体" w:hAnsi="宋体" w:cs="宋体"/>
                <w:color w:val="auto"/>
                <w:highlight w:val="none"/>
              </w:rPr>
            </w:pPr>
            <w:r>
              <w:rPr>
                <w:rFonts w:hint="eastAsia" w:ascii="宋体" w:hAnsi="宋体" w:cs="宋体"/>
                <w:color w:val="auto"/>
                <w:highlight w:val="none"/>
              </w:rPr>
              <w:t>★5、所有设备必须为原厂出产全新、未经使用的设备；设备到达现场后，供货方派专业工程师到现场与用户一起开箱检验，按设备配置清单进行验收，若有短少或损坏在三个工作日内补足或更换全新同规格产品。采购单位对设备验收合格后，由双方共同签署验收合格证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54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color w:val="auto"/>
                <w:highlight w:val="none"/>
              </w:rPr>
              <w:t>★</w:t>
            </w:r>
            <w:r>
              <w:rPr>
                <w:rFonts w:hint="eastAsia" w:ascii="宋体" w:hAnsi="宋体" w:cs="宋体"/>
                <w:color w:val="auto"/>
                <w:szCs w:val="21"/>
                <w:highlight w:val="none"/>
              </w:rPr>
              <w:t>核心产品</w:t>
            </w:r>
          </w:p>
        </w:tc>
        <w:tc>
          <w:tcPr>
            <w:tcW w:w="810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auto"/>
                <w:highlight w:val="none"/>
              </w:rPr>
            </w:pPr>
            <w:r>
              <w:rPr>
                <w:rFonts w:hint="eastAsia" w:ascii="宋体" w:hAnsi="宋体" w:cs="宋体"/>
                <w:color w:val="auto"/>
                <w:highlight w:val="none"/>
              </w:rPr>
              <w:t>本</w:t>
            </w:r>
            <w:r>
              <w:rPr>
                <w:rFonts w:hint="eastAsia" w:ascii="宋体" w:hAnsi="宋体" w:cs="宋体"/>
                <w:color w:val="auto"/>
                <w:highlight w:val="none"/>
                <w:lang w:eastAsia="zh-CN"/>
              </w:rPr>
              <w:t>标段</w:t>
            </w:r>
            <w:r>
              <w:rPr>
                <w:rFonts w:hint="eastAsia" w:ascii="宋体" w:hAnsi="宋体" w:cs="宋体"/>
                <w:b/>
                <w:color w:val="auto"/>
                <w:highlight w:val="none"/>
              </w:rPr>
              <w:t>第</w:t>
            </w:r>
            <w:r>
              <w:rPr>
                <w:rFonts w:ascii="宋体" w:hAnsi="宋体" w:cs="宋体"/>
                <w:b/>
                <w:color w:val="auto"/>
                <w:highlight w:val="none"/>
              </w:rPr>
              <w:t>28项“冷冻离心机”</w:t>
            </w:r>
            <w:r>
              <w:rPr>
                <w:rFonts w:hint="eastAsia" w:ascii="宋体" w:hAnsi="宋体" w:cs="宋体"/>
                <w:color w:val="auto"/>
                <w:highlight w:val="none"/>
              </w:rPr>
              <w:t>为本次采购的核心产品。</w:t>
            </w:r>
          </w:p>
          <w:p>
            <w:pPr>
              <w:spacing w:line="360" w:lineRule="exact"/>
              <w:jc w:val="left"/>
              <w:rPr>
                <w:rFonts w:ascii="宋体" w:hAnsi="宋体" w:cs="宋体"/>
                <w:color w:val="auto"/>
                <w:highlight w:val="none"/>
              </w:rPr>
            </w:pPr>
            <w:r>
              <w:rPr>
                <w:rFonts w:hint="eastAsia" w:ascii="宋体" w:hAnsi="宋体" w:cs="宋体"/>
                <w:color w:val="auto"/>
                <w:highlight w:val="none"/>
              </w:rPr>
              <w:t xml:space="preserve">   提供相同品牌产品且通过资格审查、符合性审查的不同投标人参加同一合同项下投标的，按一家投标人计算，评审后得分最高的同品牌投标人获得中标人推荐资格（评审得分相同的，以投标报价由低到高顺序排列；得分相同且投标报价相同的，按技术分由高到底顺序排列），其他同品牌投标人不作为中标候选人。</w:t>
            </w:r>
          </w:p>
        </w:tc>
      </w:tr>
    </w:tbl>
    <w:p>
      <w:pPr>
        <w:autoSpaceDE w:val="0"/>
        <w:autoSpaceDN w:val="0"/>
        <w:adjustRightInd w:val="0"/>
        <w:spacing w:line="360" w:lineRule="auto"/>
        <w:ind w:firstLine="354" w:firstLineChars="147"/>
        <w:rPr>
          <w:rFonts w:ascii="宋体" w:hAnsi="Arial"/>
          <w:b/>
          <w:color w:val="auto"/>
          <w:kern w:val="0"/>
          <w:sz w:val="24"/>
          <w:highlight w:val="none"/>
        </w:rPr>
      </w:pPr>
    </w:p>
    <w:p>
      <w:pPr>
        <w:autoSpaceDE w:val="0"/>
        <w:autoSpaceDN w:val="0"/>
        <w:adjustRightInd w:val="0"/>
        <w:spacing w:line="360" w:lineRule="auto"/>
        <w:ind w:firstLine="354" w:firstLineChars="147"/>
        <w:rPr>
          <w:rFonts w:ascii="宋体" w:hAnsi="Arial"/>
          <w:b/>
          <w:color w:val="auto"/>
          <w:kern w:val="0"/>
          <w:sz w:val="24"/>
          <w:highlight w:val="none"/>
        </w:rPr>
      </w:pPr>
    </w:p>
    <w:p>
      <w:pPr>
        <w:autoSpaceDE w:val="0"/>
        <w:autoSpaceDN w:val="0"/>
        <w:adjustRightInd w:val="0"/>
        <w:spacing w:line="360" w:lineRule="auto"/>
        <w:ind w:firstLine="354" w:firstLineChars="147"/>
        <w:rPr>
          <w:rFonts w:ascii="宋体" w:hAnsi="Arial"/>
          <w:b/>
          <w:color w:val="auto"/>
          <w:kern w:val="0"/>
          <w:sz w:val="24"/>
          <w:highlight w:val="none"/>
        </w:rPr>
      </w:pPr>
      <w:r>
        <w:rPr>
          <w:rFonts w:hint="eastAsia" w:ascii="宋体" w:hAnsi="Arial"/>
          <w:b/>
          <w:color w:val="auto"/>
          <w:kern w:val="0"/>
          <w:sz w:val="24"/>
          <w:highlight w:val="none"/>
        </w:rPr>
        <w:t>标段3：</w:t>
      </w:r>
    </w:p>
    <w:tbl>
      <w:tblPr>
        <w:tblStyle w:val="51"/>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8"/>
        <w:gridCol w:w="900"/>
        <w:gridCol w:w="540"/>
        <w:gridCol w:w="720"/>
        <w:gridCol w:w="68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648" w:type="dxa"/>
            <w:gridSpan w:val="5"/>
            <w:tcBorders>
              <w:top w:val="single" w:color="auto" w:sz="4" w:space="0"/>
              <w:left w:val="single" w:color="auto" w:sz="4" w:space="0"/>
              <w:bottom w:val="single" w:color="auto" w:sz="4" w:space="0"/>
              <w:right w:val="single" w:color="auto" w:sz="4" w:space="0"/>
            </w:tcBorders>
          </w:tcPr>
          <w:p>
            <w:pPr>
              <w:snapToGrid w:val="0"/>
              <w:spacing w:line="360" w:lineRule="exact"/>
              <w:outlineLvl w:val="0"/>
              <w:rPr>
                <w:rFonts w:ascii="宋体" w:hAnsi="宋体" w:cs="宋体"/>
                <w:b/>
                <w:color w:val="auto"/>
                <w:szCs w:val="21"/>
                <w:highlight w:val="none"/>
              </w:rPr>
            </w:pPr>
            <w:r>
              <w:rPr>
                <w:rFonts w:hint="eastAsia" w:ascii="宋体" w:hAnsi="宋体" w:cs="宋体"/>
                <w:b/>
                <w:color w:val="auto"/>
                <w:szCs w:val="21"/>
                <w:highlight w:val="none"/>
              </w:rPr>
              <w:t>一、技术要求表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outlineLvl w:val="0"/>
              <w:rPr>
                <w:rFonts w:ascii="宋体" w:hAnsi="宋体" w:cs="宋体"/>
                <w:color w:val="auto"/>
                <w:szCs w:val="21"/>
                <w:highlight w:val="none"/>
              </w:rPr>
            </w:pPr>
            <w:r>
              <w:rPr>
                <w:rFonts w:hint="eastAsia" w:ascii="宋体" w:hAnsi="宋体" w:cs="宋体"/>
                <w:color w:val="auto"/>
                <w:szCs w:val="21"/>
                <w:highlight w:val="none"/>
              </w:rPr>
              <w:t>序号</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outlineLvl w:val="0"/>
              <w:rPr>
                <w:rFonts w:ascii="宋体" w:hAnsi="宋体" w:cs="宋体"/>
                <w:color w:val="auto"/>
                <w:szCs w:val="21"/>
                <w:highlight w:val="none"/>
              </w:rPr>
            </w:pPr>
            <w:r>
              <w:rPr>
                <w:rFonts w:hint="eastAsia" w:ascii="宋体" w:hAnsi="宋体" w:cs="宋体"/>
                <w:color w:val="auto"/>
                <w:szCs w:val="21"/>
                <w:highlight w:val="none"/>
              </w:rPr>
              <w:t>采购内容</w:t>
            </w: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outlineLvl w:val="0"/>
              <w:rPr>
                <w:rFonts w:ascii="宋体" w:hAnsi="宋体" w:cs="宋体"/>
                <w:color w:val="auto"/>
                <w:szCs w:val="21"/>
                <w:highlight w:val="none"/>
              </w:rPr>
            </w:pPr>
            <w:r>
              <w:rPr>
                <w:rFonts w:hint="eastAsia" w:ascii="宋体" w:hAnsi="宋体" w:cs="宋体"/>
                <w:color w:val="auto"/>
                <w:szCs w:val="21"/>
                <w:highlight w:val="none"/>
              </w:rPr>
              <w:t>数量</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outlineLvl w:val="0"/>
              <w:rPr>
                <w:rFonts w:ascii="宋体" w:hAnsi="宋体" w:cs="宋体"/>
                <w:color w:val="auto"/>
                <w:szCs w:val="21"/>
                <w:highlight w:val="none"/>
              </w:rPr>
            </w:pPr>
            <w:r>
              <w:rPr>
                <w:rFonts w:hint="eastAsia" w:ascii="宋体" w:hAnsi="宋体" w:cs="宋体"/>
                <w:color w:val="auto"/>
                <w:szCs w:val="21"/>
                <w:highlight w:val="none"/>
              </w:rPr>
              <w:t>项目要求及技术需求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1</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三重四级杆气质联用仪</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1套</w:t>
            </w:r>
          </w:p>
        </w:tc>
        <w:tc>
          <w:tcPr>
            <w:tcW w:w="6840" w:type="dxa"/>
            <w:tcBorders>
              <w:top w:val="single" w:color="auto" w:sz="4" w:space="0"/>
              <w:left w:val="single" w:color="auto" w:sz="4" w:space="0"/>
              <w:right w:val="single" w:color="auto" w:sz="4" w:space="0"/>
            </w:tcBorders>
            <w:vAlign w:val="center"/>
          </w:tcPr>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1、工作条件</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1.1.电源电压：220V±10%</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1.2.温度：18℃～28℃</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1.3.湿度：40%～70%</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2、气相色谱仪部分</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2.1.柱箱</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2.1.1.操作温度范围：室温以上2℃～450℃</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★2.1.2.标配柱箱最高升温速率：≥220℃/min，以0.01℃/min增加</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★2.1.3.程序升温的阶数：不少于30阶31平台</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2.1.4.温度设定精度：0.1℃</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2.1.5.控温准确性：0.01℃</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2.1.6.温度稳定性：周围温度每变化1℃，柱温箱温度变化小于0.01℃</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2.1.7.冷却速度：从 450 降到 50℃ ≤3.5min（210s）</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★2.1.8.最大运行时间：≥9900分钟</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2.1.9.气相色谱主机采用不小于7英寸的彩色触摸屏进行操控。</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2.1.10.柱温箱可升级配置氢气传感器，其具有氢气漏气报警功能，可实时监控泄漏，确保安全使用。</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★2.1.11.具有一键设置柱温箱降温速率功能，可依据不同色谱柱自由设置降温速率，有效延长色谱柱使用寿命。</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★2.1.12.柱温箱内置耐高温智能灯，柱箱门开启时自动点亮，照亮柱箱内空间方便安装和更换色谱柱。</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2.2.流路系统</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2.2.1.支持双柱双流路系统</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2.2.2.两个柱流量控制系统均采用先进的流量控制单元</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2.2.3.具有室温补偿和自动环境补偿功能</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2.2.4.具有恒线速度控制功能。</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2.2.5.支持色谱柱柱后反吹，具有专为反吹设计的图示化控制软件，操作方便。同时可实现不泄真空更换色谱柱功能。</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 xml:space="preserve">2.2.6.支持三柱三FID同时分析组成气相色谱方法优化系统。 </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2.2.7.可配合Twin Line System双柱系统、在无需人为干预的情况下实现两根色谱柱的切换使用，最大提升分析效率。</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2.3.分流/不分流毛细管进样口</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2.3.1.压力、流量和分流比可通过先进的流量控制系统进行数字化设定</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2.3.2.配备全自动电子流量控制系统，具备室温补偿和自动环境补偿功能</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 xml:space="preserve">2.3.3.支持恒流，恒压，程序增加流速，程序升压及压力脉冲等操作模式，同时具有恒线速度控制功能。 </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★2.3.4.进样口标配“智能锁”功能，徒手无需任何工具1秒内即可完成进样口的打开或关闭，仪器自动感知最佳气密位置，大幅简化维护操作。</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2.3.5.最高温度：≥430℃</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2.3.6.压力设定范围：0～1010kPa</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2.3.7.升温速率：≥220℃/min，以0.01℃/min增加</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2.3.8.速率设定范围：-400～400kPa/min</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2.3.9.压力程序的阶数：7</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2.3.10.分流比设定范围：0～9000</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2.3.11.流量设定范围：0～1250mL/min</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2.3.12.隔垫吹扫流量设置范围：0～200ml/min</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★2.3.13.仪器主机最多可同时安装3个SPL进样口。</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2.4.自动进样器单元</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2.4.1.样品位：≥150位样品盘</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 xml:space="preserve">2.4.2.进样量范围：0.1～150 uL，10μL 注射器以0.1μL 步进； </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2.4.3.交叉污染：小于10～4(使用4种溶剂清洗，测定正己烷中1%联苯)</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2.4.4.具有样品优先模式：当进行样品批处理进样时，可对某样品进行优先进样设定，而后继续完成批处理设定。</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2.4.5.可升级双塔双柱进样系统。</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2.4.6.可升级样品架冷却和加热功能。</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2.4.7.保留时间重复性：＜0.001min</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2.4.8.峰面积重复性：＜1% RSD</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2.5.程序升温进样口</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★2.5.1.最高温度：≥430℃</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2.5.2.两位一体的设计，通过更换衬管即可实现两种功能的转换</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2.5.3.升温速率：≥ 240℃/min，从50℃升到450℃≤3分钟</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2.5.4.降温速率：从450℃降到50℃，约为8分钟（柱温50℃时）</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2.5.5.PTV方式最大进样体积：≥900μl</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2.5.6.PTV方式升温程序的阶数：7阶</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2.5.7.冷柱头/程序升温两种方式均可采用自动进样器进样</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3、质谱部分</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3.1.基本性能</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3.1.1.质量数范围：2～1080u</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3.1.2.灵敏度：</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★3.1.2.1. EI Scan：1pg OFN，S/N ≥ 1900（氦气做载气、30米毛细柱验收）</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3.1.2.2.EI Scan：1pg   OFN，S/N≥200（氢气做载气）</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★3.1.2.3.EI MRM: 100fg OFN，S/N≥40000（氦气做载气、30米毛细柱验收）</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3.1.2.4.IDL(MRM)：2fg OFN 连续8次进样，统计学上99%置信度水平，IDL≤0.6fg。</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3.1.2.5.PCI MRM：1pg BZP-d10, S/N≥4500（30米毛细柱验收）</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3.1.2.6.NCI SIM：100fg OFN, S/N≥9000（30米毛细柱验收）</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3.1.3.分辨率：0.5～3.0u，可调</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3.1.4.碰撞能：0～55eV，可调</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3.1.5.质量稳定性：±0.1u/48h</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★3.1.6.最大扫描速度：≥ 18,000 u/sec，须有辅助技术解决高速扫描时高质量端离子传输效率降低的问题，须提供此技术的证明材料。</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★3.1.7.软件支持显示扫描速度数值，须提供软件截图证明。</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3.1.8.最小驻留时间(Dwell Time)：0.5ms</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3.1.9.最小Event time：3ms</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3.1.10.最大Event数：2000 events</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3.1.11.最大MRM速度：850通道/sec</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3.1.12.最大离子监测通道数：15ch/1 event</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★3.1.13.一次进样能够设置的通道数：≥ 30000</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3.2.离子源</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3.2.1.EI（标配）</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3.2.2.离子化能量：10～180eV</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3.2.3.离子源温度：独立控温，150～350℃</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3.2.4.灯丝电流：5～210μA（发射电流）</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3.2.5.双灯丝设计，且双灯丝分别安装在离子源盒的两侧，位置完全对称（非双灯丝在同侧）。从而当灯丝切换使用时，保证了数据的可靠性。</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3.2.6.GCMS 接口温度：50～320℃</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3.2.7.离子源采用前开门式设计（非侧开门式）。可从仪器正前面简单拆装，方便离子源清洗维护和灯丝更换。</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3.2.8.维护离子源和灯丝时无需暴露四极杆，杜绝因此造成的四极杆损伤风险。</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3.2.9.支持Smart EI/CI离子源，无需更换离子源，即可获得EI质谱图和CI质谱图。须提供Smart EI/CI离子源应用文章证明。</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3.3.质量分析器</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3.3.1.配备预四极的高精度全金属钼四极杆。</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3.3.2.预四极可转动，主四极杆可清洗打磨，有效抗污染。（预四极杆要求为非S型，避免出现死体积点和污染点。）</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★3.3.3.四极杆以不控温为优，无需控温即可实现0.1amu/48h稳定。四极杆如需控温才能达到相应稳定性，必须提供两套四极杆备用。</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3.3.4.四极杆具有自动优化加速功能：对于高质量端离子的自动电场补偿技术，提升离子通过四极杆的速度，以提升全质量范围的信号质量，在高速扫描时保证数据灵敏度和质谱图正确性。须提供此技术的证明材料。</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3.3.5.Q2采用八极杆超快速碰撞室，实现快速MRM性能，能有效消除记忆效应和交叉污染。先进的马蹄型加速电势场（带弯曲）加碰撞气压控制，同时进行线性高压加速，有效消除记忆效应和交叉污染。</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3.3.6.碰撞池采用氩气作为碰撞气,无需使用昂贵的氦气。</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3.3.7.Q3离轴设计，降低中性分子引起的背景噪声。</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3.4.扫描功能</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3.4.1.扫描功能:</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全扫描(Full Scan)、子离子扫描( Product Ion Scan)、母离子扫描(Precursor Ion Scan)、中性丢失扫描(Neutral Loss Scan)、选择离子扫描模式(SIM)、多反应扫描模式（MRM），以任意多种采集模式为组合进行同时扫描，例如Scan/MRM同时扫描、Scan/Product Ion Scan同时扫描等等。</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3.4.2.支持多种监测模式的同时扫描,例如Scan/MRM同时扫描、Scan/Product Ion Scan同时扫描等等，获得高灵敏度定量数据的同时不丢失化合物的质谱信息。</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3.5.检测系统</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3.5.1.二次电子倍增管和±10kV转换打拿极，须配备能去除中性噪声的透镜系统。</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3.5.2.离轴连续打拿电子倍增器</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3.5.3.动态范围：5×106</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3.6.真空系统</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★3.6.1.高真空：＞380L/s 双入口差动式涡轮分子泵排气系统。须提供涡轮分子泵抽力的证明图片。</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3.6.2.低真空：30L/min（60Hz）机械泵。</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3.6.3.低真空可选配：110L/min（60Hz）无油泵。</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3.6.4.标配皮拉尼真空规和离子规，可实时监测低真空度和高真空度，实时判断质谱运行情况，避免泄露等安全事故及实验误判。</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3.7.质谱直接进样单元</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3.7.1.与GCMS主机同一品牌的质谱直接进样杆</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 xml:space="preserve">3.7.2.安装质谱直接进样杆时无需挪动气相色谱，且须安装在质谱前面板上 </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3.7.3.从气相色谱进样切换到质谱直接进样杆进样时，无需停机和挪动气相色谱仪。</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3.7.4.质谱直接进样杆最高使用温度不低于450℃</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3.7.5.质谱直接进样杆支持程序升温功能，不少于3阶，升温速率不小于60℃/min。</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3.8.其他</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 xml:space="preserve">3.8.1配备生态学模式Eco Mode，有效降低耗电量与装置的运行成本，并可在批处理完成后自动运行 </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3.8.2主机具有“参数锁定”和“显示屏锁定功能”，从而避免误操作和意外操作。这些功能均可在主机彩色触摸屏上进行设置。</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3.8.3主机具有载气漏气检查功能，可在主机显示屏上显示漏气检查的结果。</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3.8.4多种附件可供选择，可选配质谱直接进样装置、自动液体进样器。</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4、数据处理系统</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4.1.GCMSMS工作站，可进行数据采集、数据处理、定性分析和定量分析；可调入单极GCMS方法，支持Excel表格与 MRM 表格的互相拷贝粘贴；支持自建库及谱库检索功能，支持AART保留时间自动调整功能。软件符合GLP认证及21 CFR Part11，支持自动校正和全自动分析功能，满足各种自动要求的软件系统。</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4.2.Smart MRM数据库：包含2000种以上的农药、环境污染物、法医毒物、代谢物的MRM参数、CAS号、中文名称、英文名称、日文名称和保留指数，并具备分组管理功能，自动创建MRM仪器方法。每个化合物包含至少4个MRM通道。</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4.3.Smart MRM数据库利用保留指数计算目标成分的当前保留时间，无需标准品即可创建仪器方法。</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★4.4.Smart MRM数据库具备分组管理功能，用户可自行创建目标化合物分组并支持自动创建MRM仪器方法。须提供数据库分组功能的截图证明。</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4.5.具有MRM自动优化工具，支持任意设置碰撞池CE能量范围和间隔，可自动创建批处理表格，自动处理相关数据文件，自动添加新增MRM参数至数据库中。须提供设置CE能量范围/间隔的软件截图和MRM自动优化工具优化过程的说明。</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4.6.工作站采用一体化数据结构，数据文件中可调出仪器方法，定量方法，报告格式，批处理、调谐文件等相应信息。</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4.7.CID碰撞气ON和CID碰撞气OFF支持同时调谐，保存在一个调谐文件中。一个批处理中软件可自动切换碰撞气ON/OFF。</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4.8.同一套软件可自由设置成单极四极杆模式及串联四极杆模式切换使用，串联四极杆仪器当做单极四极杆模式使用时，无离子信号损失，检测灵敏度与同品牌单极四极杆高端型号相当。</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4.9.支持中/英文工作站，一套软件即可安装成中文，亦可安装成英文。支持全中文的样品名、文件名、序列名等输入。</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4.10.支持智能钟功能。系统启动后真空状态、调谐结果自动判定，无需人为确认即可直接开始分析工作，序列运行、维护时间直观显示，便于用户合理工作时间，提升工作效率。</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5、配置要求</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5.1 三重四极杆气相色谱质谱联用仪主机（含气相色谱前端）1套</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5.2 分流/不分流进样口 1套</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5.3 PTV程序升温进样口1套</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5.4 抽力不小于380L/sec双入口涡轮分子泵1套</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5.5 前级机械泵及连接附件1套</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5.6 EI源2套</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5.7最新版NIST谱库1套</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5.8 Smart MRM数据库1套（包含800种以上农残数据）</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5.9 质谱专用毛细管色谱柱（检测农药残留、兽药残留）4根。</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5.10 四年消耗品包1套（包含：微量进样针、分子筛过滤器、O型环、针固定支架、过滤组件4个、铝垫片200个、进样隔垫100个、O型环4包、去活处理的玻璃衬管20根、密封垫40个、柱接头4个、灯丝4个、绝缘垫2套、离子源清洗布）</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5.11 工具包1套（包含：</w:t>
            </w:r>
            <w:r>
              <w:rPr>
                <w:rFonts w:hint="eastAsia" w:ascii="宋体" w:hAnsi="宋体" w:cs="宋体"/>
                <w:b/>
                <w:color w:val="auto"/>
                <w:highlight w:val="none"/>
              </w:rPr>
              <w:t>10X12-R</w:t>
            </w:r>
            <w:r>
              <w:rPr>
                <w:rFonts w:hint="eastAsia" w:ascii="宋体" w:hAnsi="宋体" w:cs="宋体"/>
                <w:color w:val="auto"/>
                <w:highlight w:val="none"/>
              </w:rPr>
              <w:t>扳手2把，6X8-R扳手2把，SPL-2010扳手1把，镊子1把，TORQUE #2 100MM扳手，NUTDRIVER,4.0  扳手1把，MINUS 100MM扳手1把，毛细柱用切割器1把，规尺2把，SUS304 1X12  管线1套）</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5.12样品瓶400个</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5.13专用过滤器1套</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5.14 150位液体自动进样器 1套</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 xml:space="preserve">5.15 </w:t>
            </w:r>
            <w:r>
              <w:rPr>
                <w:rFonts w:hint="eastAsia" w:ascii="宋体" w:hAnsi="宋体" w:cs="宋体"/>
                <w:b/>
                <w:color w:val="auto"/>
                <w:highlight w:val="none"/>
              </w:rPr>
              <w:t xml:space="preserve"> GB23200</w:t>
            </w:r>
            <w:r>
              <w:rPr>
                <w:rFonts w:hint="eastAsia" w:ascii="宋体" w:hAnsi="宋体" w:cs="宋体"/>
                <w:color w:val="auto"/>
                <w:highlight w:val="none"/>
              </w:rPr>
              <w:t xml:space="preserve">方法包1套（包含：208种农残标准品、专用色谱柱、数据库、指导手册视频文件等） </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5.16 “交钥匙”咨询服务包1个（包含厂家应用专家5天到</w:t>
            </w:r>
            <w:r>
              <w:rPr>
                <w:rFonts w:hint="eastAsia" w:ascii="宋体" w:hAnsi="宋体" w:cs="宋体"/>
                <w:color w:val="auto"/>
                <w:highlight w:val="none"/>
                <w:lang w:eastAsia="zh-CN"/>
              </w:rPr>
              <w:t>采购人</w:t>
            </w:r>
            <w:r>
              <w:rPr>
                <w:rFonts w:hint="eastAsia" w:ascii="宋体" w:hAnsi="宋体" w:cs="宋体"/>
                <w:color w:val="auto"/>
                <w:highlight w:val="none"/>
              </w:rPr>
              <w:t xml:space="preserve">现场，从前处理到GB23200农残检测方法的建立、数据分析、出报告全程培训）。提供至少2个免费培训名额参加厂家在正规培训中心的官方集中培训。                          </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5.17 6KW不间断电源（延迟2小时）1套</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 xml:space="preserve">5.18 品牌电脑：Intel i5以上；内存容量：8GB；硬盘容量：500GB；DVD刻录机；带有1个COM口，23寸以上液晶显示器 </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5.19 品牌黑白激光打印机1套</w:t>
            </w:r>
          </w:p>
          <w:p>
            <w:pPr>
              <w:widowControl/>
              <w:spacing w:line="360" w:lineRule="exact"/>
              <w:jc w:val="left"/>
              <w:textAlignment w:val="center"/>
              <w:rPr>
                <w:rFonts w:ascii="宋体" w:hAnsi="宋体" w:cs="宋体"/>
                <w:color w:val="auto"/>
                <w:highlight w:val="none"/>
              </w:rPr>
            </w:pPr>
            <w:r>
              <w:rPr>
                <w:rFonts w:hint="eastAsia" w:ascii="宋体" w:hAnsi="宋体" w:cs="宋体"/>
                <w:color w:val="auto"/>
                <w:highlight w:val="none"/>
              </w:rPr>
              <w:t>5.20 高纯氦气1瓶，高纯氩气1瓶。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2</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全自动凯氏定氮仪（含自动进样器、消化仪）</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1套</w:t>
            </w:r>
          </w:p>
        </w:tc>
        <w:tc>
          <w:tcPr>
            <w:tcW w:w="6840" w:type="dxa"/>
            <w:tcBorders>
              <w:top w:val="single" w:color="auto" w:sz="4" w:space="0"/>
              <w:left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一、主要用途：用于食品/制药/环境行业中氮、蛋白质及生物医药中痕量氮含量分析。</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二、技术指标：</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1、全自动凯氏定氮仪</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★1.1.采用国际及中国国家标准的凯氏定氮方法：浓硫酸消化、碱性环境蒸汽蒸馏、硼酸吸收，内置电位滴定法和颜色法判断终点法两种滴定方法。</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 xml:space="preserve">1.2.回收率：≥99.5% </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 xml:space="preserve">1.3.精度：≤ 1% </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★1.4.检测范围：0.02～200mg 氮</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1.5.蒸汽力度：30%～100%</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★1.6.定氮仪主机内置操作系统，8.4英寸彩色液晶触摸屏操作，带包括中文在内的八种语言操作界面；用户管理功能：管理员和操作者；</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★1.7.定氮仪仪器主机可存储≥100,000个结果。带全自动分析控制系统，包括：样品稀释、碱液添加、吸收液添加、蒸馏、滴定、计算、报告以及消化管、接收瓶自动排空等功能。</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★1.8.两种滴定功能：在线滴定（边蒸馏边滴定的功能）和标准滴定（蒸馏结束后再滴定）可根据用户需求进行设定。</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1.9.安全监控系统：包括防护门传感器、试管在位（如果没有试管放在蒸馏仪器上，仪器会出现提示信息而且不会执行任何操作）蒸汽发生器液位/过压传感器等一系列的安全保护措施。</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1.10.冷凝水温度传感器：可根据冷凝水的温度，自动调节冷凝水流量，使结果更加准确，并节约水源。</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★1.11.双通道废液分离阀：可分别单独收集样品管、接收瓶中的废液，防止交叉污染。</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1.12.化学试剂桶（碱桶和接收液桶），水和废液桶都带有液位传感器；</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★1.13.智能蒸馏模式(‘AutoDist’模式)：蒸馏仪自动检测仪器是否达到操作温度，仪器无需进行预热即可进行样品测定。</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1.14.带有自动进样器，实现无人值守的全自动操作，满足不同分析需求。自动进样器可通过定氮仪激活或关闭。</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1.15.可连接LIMS系统：选择和专用的计算机软件联机使用。软件可无限制设置应用程序和储存数据。通过外围设备（网络/USB/LIMS）可实现数据传输。</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★1.16.平顶加液方式，更换溶液无死体积，免清洗免维护，最小滴定体积：≤2ul；</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★1.17.主机带有天平1个和自动进样器接口1个；</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★1.18.主机带有USB接口3个：打印机接口1个，条码阅读器接口1个；记忆卡接口1个；</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2、自动进样器</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★2.1.蒸汽过压将样品转移至凯氏定氮仪中，避免机械升降故障率高的缺陷；</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★2.2.管路清洗：通过高温蒸汽连续、自动清洗管路和样品管，保证无残留，确保结果准确，重现</w:t>
            </w:r>
            <w:r>
              <w:rPr>
                <w:rFonts w:hint="eastAsia" w:ascii="宋体" w:hAnsi="宋体" w:cs="宋体"/>
                <w:b/>
                <w:color w:val="auto"/>
                <w:szCs w:val="21"/>
                <w:highlight w:val="none"/>
              </w:rPr>
              <w:t>性</w:t>
            </w:r>
            <w:r>
              <w:rPr>
                <w:rFonts w:hint="eastAsia" w:ascii="宋体" w:hAnsi="宋体" w:cs="宋体"/>
                <w:color w:val="auto"/>
                <w:szCs w:val="21"/>
                <w:highlight w:val="none"/>
              </w:rPr>
              <w:t>好；</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★2.3.自动进样/手动进样自由切换：无需拆卸或安装进样附件，自动进样和手动进样可随时自由选择；</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★2.4.快速样品位：自动进样器带有4个快速样品位，无需编辑样品序列，放入样品后可直接检测，适合临时和加急样品检测；</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3、全自动快速消解仪：</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★3.1.消化仪采用镂空式铝块快速加热系统，加热盘加热均匀，升降温速度快,20分钟即可由室温达到420℃。</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★3.2.内置温度传感器，精确温度控制，控温精度: ±1℃；</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3.3.消化能力：同时消解20个样品。</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3.4.消解仪上有LCD液晶屏显示：实际温度、设置温度、消解时间、消解状态等参数；可编辑消解程序，实现自动升温预热，到达设定温度后自动降入消解仪开始消解，消解完毕后样品架自动抬升冷却，实现全自动无人值守工作；</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3.5.最高温度：450℃。</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3.6.消解仪设有安全保护功能：过温保护.防腐保护和断电保护等。</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★3.7.消解仪带有承滴盘,可接收消解仪密封盖上滴落的酸液，防止腐蚀仪器。</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3.8.仪器内置电子降温风扇，可对消解管快速降温。</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★3.9.消化炉盖带有磁力设计装置，使密封盖可单手开合固定；</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3.10.消化管带有“冷凝环”设计，可以防止瀑沸,增加回流，提高消解回收率。</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三、基本配置：</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全自动定氮仪系统：包括带8.4英寸彩色液晶触摸屏全自动凯氏定氮仪主机一台、带有液位传感器的碱桶/水桶/接收液桶/废液桶各一个、一个消化管夹，带有天平接口1个和自动进样器接口1个；带有USB接口3个：打印机1个，条码阅读器1个；记忆卡1个；</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2、自动进样器1台（20个进样位+4个便捷进样位），</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3、全自动快速铝块消解仪1台（快速升温，自动升温预热、自动消解、消解完毕后自动抬起降温，可消解程序）；</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4、兼容自动进样器20位试管架1个；</w:t>
            </w:r>
          </w:p>
          <w:p>
            <w:pPr>
              <w:widowControl/>
              <w:spacing w:line="360" w:lineRule="exact"/>
              <w:jc w:val="left"/>
              <w:textAlignment w:val="center"/>
              <w:rPr>
                <w:rFonts w:ascii="宋体" w:hAnsi="宋体" w:cs="宋体"/>
                <w:b/>
                <w:color w:val="auto"/>
                <w:szCs w:val="21"/>
                <w:highlight w:val="none"/>
              </w:rPr>
            </w:pPr>
            <w:r>
              <w:rPr>
                <w:rFonts w:hint="eastAsia" w:ascii="宋体" w:hAnsi="宋体" w:cs="宋体"/>
                <w:b/>
                <w:color w:val="auto"/>
                <w:szCs w:val="21"/>
                <w:highlight w:val="none"/>
              </w:rPr>
              <w:t>5、针对不同样品的应用报告；</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6、凯氏应用手册1套。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3</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微波消解仪（配100套原装消解罐）</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1套</w:t>
            </w:r>
          </w:p>
        </w:tc>
        <w:tc>
          <w:tcPr>
            <w:tcW w:w="6840" w:type="dxa"/>
            <w:tcBorders>
              <w:top w:val="single" w:color="auto" w:sz="4" w:space="0"/>
              <w:left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一、技术要求：</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1、适用于植物、生物样、食品、药品、环境样等等各种样品金属元素分析的样品前处理即样品消解；</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2、适用于实验室样品中有机污染物，农药残留含量的萃取分析前处理；</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★3、主机和控制终端为专业一体化（内置触摸屏）。</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4、仪器总体要求：最多能够快速地同批次处理40个食品、药品、农产品、土壤、生物样品、污水、环境监测类等相关样品，同时非接触地控制40个样品罐的温度和压力安全，操作简单，高压消解罐无易耗品；</w:t>
            </w:r>
          </w:p>
          <w:p>
            <w:pPr>
              <w:widowControl/>
              <w:spacing w:line="360" w:lineRule="exact"/>
              <w:jc w:val="left"/>
              <w:textAlignment w:val="center"/>
              <w:rPr>
                <w:rFonts w:ascii="宋体" w:hAnsi="宋体" w:cs="宋体"/>
                <w:b/>
                <w:color w:val="auto"/>
                <w:szCs w:val="21"/>
                <w:highlight w:val="none"/>
              </w:rPr>
            </w:pPr>
            <w:r>
              <w:rPr>
                <w:rFonts w:hint="eastAsia" w:ascii="宋体" w:hAnsi="宋体" w:cs="宋体"/>
                <w:color w:val="auto"/>
                <w:szCs w:val="21"/>
                <w:highlight w:val="none"/>
              </w:rPr>
              <w:t>★5、微波源采用专业双磁控管设计，安装功率≥3000W，微波输出功率≥1800W，微波能量采用垂直双向波导技术，微波从腔体的顶部和侧面两个微波输出口输出微波，保证微波能量场均匀，确保样品充分消解，全功率范围非脉冲控制，连续可调，控制精度：±1W；</w:t>
            </w:r>
            <w:r>
              <w:rPr>
                <w:rFonts w:hint="eastAsia" w:ascii="宋体" w:hAnsi="宋体" w:cs="宋体"/>
                <w:b/>
                <w:color w:val="auto"/>
                <w:szCs w:val="21"/>
                <w:highlight w:val="none"/>
              </w:rPr>
              <w:t>（提供微波发射口垂直双向的图片证明材料）</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6、主机配备功率最大化系统，瞬时同步大功率平台，保证微波输出能量最大化，三维微波输出，确保难溶样品消解完全；</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7、主机配备多种接口，采用至少6个USB接口，可通过优盘等导入、导出应用方法，升级系统软件；采用至少2个以太网网口，可实现在线维修，传导数据，视频教程等；</w:t>
            </w:r>
          </w:p>
          <w:p>
            <w:pPr>
              <w:widowControl/>
              <w:spacing w:line="360" w:lineRule="exact"/>
              <w:jc w:val="left"/>
              <w:textAlignment w:val="center"/>
              <w:rPr>
                <w:rFonts w:ascii="宋体" w:hAnsi="宋体" w:cs="宋体"/>
                <w:b/>
                <w:color w:val="auto"/>
                <w:szCs w:val="21"/>
                <w:highlight w:val="none"/>
              </w:rPr>
            </w:pPr>
            <w:r>
              <w:rPr>
                <w:rFonts w:hint="eastAsia" w:ascii="宋体" w:hAnsi="宋体" w:cs="宋体"/>
                <w:color w:val="auto"/>
                <w:szCs w:val="21"/>
                <w:highlight w:val="none"/>
              </w:rPr>
              <w:t>★8、主机门体具有大面积防弹玻璃视窗（尺寸不小于20cm×20cm），直接观察腔内消解罐异常情况，保证开关门安全，具有内置灯光识别反应状态系统，可通过灯光信号变化反馈反应状况和不同的消解阶段；</w:t>
            </w:r>
            <w:r>
              <w:rPr>
                <w:rFonts w:hint="eastAsia" w:ascii="宋体" w:hAnsi="宋体" w:cs="宋体"/>
                <w:b/>
                <w:color w:val="auto"/>
                <w:szCs w:val="21"/>
                <w:highlight w:val="none"/>
              </w:rPr>
              <w:t>（投保时提供可视窗证明材料）</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9、内置视频培训教程和文件及EPA、GB等国际标准通用方法，中文操作界面，用户可以直接选择无需特别培训；</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10、内置一键式自动消解模式和经典消解模式两种消解模式，用户可自由选择和切换；</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11、采用开放式Linux操作平台，结合先进的智能一键式操作技术，用户只需选择样品类型，仪器自动匹配消解程序和温度、压力、时间等消解参数，全过程无需用户手动输入任何参数，实现一键式消解；</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12、主机可以实时显示和控制整个消解过程的温度、压力、功率数据和曲线图，同时可以实时显示和控制全罐温度曲线图及温/压双曲线图；</w:t>
            </w:r>
          </w:p>
          <w:p>
            <w:pPr>
              <w:widowControl/>
              <w:spacing w:line="360" w:lineRule="exact"/>
              <w:jc w:val="left"/>
              <w:textAlignment w:val="center"/>
              <w:rPr>
                <w:rFonts w:ascii="宋体" w:hAnsi="宋体" w:cs="宋体"/>
                <w:b/>
                <w:strike/>
                <w:color w:val="auto"/>
                <w:szCs w:val="21"/>
                <w:highlight w:val="none"/>
              </w:rPr>
            </w:pPr>
            <w:r>
              <w:rPr>
                <w:rFonts w:hint="eastAsia" w:ascii="宋体" w:hAnsi="宋体" w:cs="宋体"/>
                <w:color w:val="auto"/>
                <w:szCs w:val="21"/>
                <w:highlight w:val="none"/>
              </w:rPr>
              <w:t>★13、温度控制系统：底部安装，温度数据不受液面高度影响，保证精确的温度和最少的用酸量，无需其他的辅助连线实现实时监测40个所有反应罐的温度，并显示每个反应罐的温度柱状图，测温范围：常温-330℃；</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14、压力控制系统：非接触式全罐压力控制系统，压控系统无需任何的连线与主机相连，40个反应罐内的压力，任何反应罐压力变化达到设定值，自动发出安全警告，并停止微波发射；</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★15、消解罐自动识别监控系统：腔体底部有非接触式红外消解罐自动识别监控系统两套，自动识别用户使用的消解罐状态（如消解罐类型、数量等），智能匹配最适合的消解程序，实现安全完备的自动消解；</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16、消解罐工作方式为连续360°同向旋转和180°往复旋转两种方式可选；</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★17、内罐材质：高性能体状纯TFM材料，材料设计最高耐温330℃，设计最高压力2538psi，实验温状态下：最高耐温260℃，最高耐压1500psig，高压罐体体积≥60mL，超高压罐体体积≥110mL；</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18、内罐设计：采用压力弹片泄压方式，无防爆膜，金属片等任何耗材，泄压弹片为实心TFM材质，可用酸浸泡清洗；外套与内罐紧密贴合无缝隙，保证操作安全和样品完整性；消解罐放入消解转子后直接上机消解，无须再添加盖子或任何装置；</w:t>
            </w:r>
          </w:p>
          <w:p>
            <w:pPr>
              <w:widowControl/>
              <w:spacing w:line="360" w:lineRule="exact"/>
              <w:jc w:val="left"/>
              <w:textAlignment w:val="center"/>
              <w:rPr>
                <w:rFonts w:ascii="宋体" w:hAnsi="宋体" w:cs="宋体"/>
                <w:b/>
                <w:strike/>
                <w:color w:val="auto"/>
                <w:szCs w:val="21"/>
                <w:highlight w:val="none"/>
              </w:rPr>
            </w:pPr>
            <w:r>
              <w:rPr>
                <w:rFonts w:hint="eastAsia" w:ascii="宋体" w:hAnsi="宋体" w:cs="宋体"/>
                <w:color w:val="auto"/>
                <w:szCs w:val="21"/>
                <w:highlight w:val="none"/>
              </w:rPr>
              <w:t>★19、外罐：高性能宇航复合纤维材料，最高耐温600℃，最高耐压10000psi，能承受如铁锤等重物连续敲击而不发生形变和损坏；</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★20、消解转子：为体状复合聚合高分子材料，无金属材质，不吸收微波，耐高温及酸碱度极强，轻便易搬动，转子采用和外罐的分离设计，安全且容易清洁；</w:t>
            </w:r>
            <w:r>
              <w:rPr>
                <w:rFonts w:hint="eastAsia" w:ascii="宋体" w:hAnsi="宋体" w:cs="宋体"/>
                <w:b/>
                <w:color w:val="auto"/>
                <w:szCs w:val="21"/>
                <w:highlight w:val="none"/>
              </w:rPr>
              <w:t>（提供外罐和架子的分体证明材料）</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21、罐体手动开关：全TFM材料，防腐蚀性高，轻便耐用，适合各类实验者使用；</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★22、安全性：整机非金属材料外壳设计，具有防爆五层复合钢结构可视化安全门，在危险出现的时能动平行弹出，提前释放横向冲击波，具有防爆可视窗且可正面观察腔内运行情况，保证操作安全。</w:t>
            </w:r>
            <w:r>
              <w:rPr>
                <w:rFonts w:hint="eastAsia" w:ascii="宋体" w:hAnsi="宋体" w:cs="宋体"/>
                <w:b/>
                <w:color w:val="auto"/>
                <w:szCs w:val="21"/>
                <w:highlight w:val="none"/>
              </w:rPr>
              <w:t>（提供证明文件）；</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23、消解完成后风冷时间≤15min，冷却过程禁止搬运，确保安全；</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24、工作条件电源：220VAC±10%，环境温度：10～40℃ 。</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二、配置要求：</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1、微波消解系统主机1套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2、一键式智能消解系统1套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3、非接触底部温度控制系统2套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4、非接触压力监控系统1套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5、全自动消解罐智能识别控制系统2套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6、高压消解罐整体转子2个</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7、高压消解保护外罐100套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8、高压消解内罐（含内罐，泄压弹片，盖子）100套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9、全TFM材料的罐体手动开关1个</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10、消解罐架2个</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11、随机附件1套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4</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卡尔费休水分测定仪</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1套</w:t>
            </w:r>
          </w:p>
        </w:tc>
        <w:tc>
          <w:tcPr>
            <w:tcW w:w="6840" w:type="dxa"/>
            <w:tcBorders>
              <w:top w:val="single" w:color="auto" w:sz="4" w:space="0"/>
              <w:left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1、运行环境</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1.1相对湿度：≤80%1.2适用电源：电压220V（±10%），50Hz(±2%)。</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1.3环境温度：5℃～40℃</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2、技术参数</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  用途：适合气体、液体、固体样品，广泛适用于食品、化工、电力、制药、石油等领域；</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2.2  测量范围：极化电压：-2,000-2,000mV/极化电流：-120～+120μA；</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★2.3  极化电极分辨率：极化电压0.1 mV，极化电流0.01μA；</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 xml:space="preserve">2.4  系统漂移值在线测定：≤ 5μg水/min；  </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2.5  测量范围：10ppm -100%含水量的样品；测量分辨率高于0.25μg；</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★2.6  测量重复性≤0.3%（＞10mg水/样品时）；</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2.7  滴定管驱动器分辩率不低于1/20000，滴定管分辨率（以5ml滴定管为例）不低于0.25ul,滴定头具有可防止扩散功能；</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★2.8  主机配备高亮度≥5.9寸中文彩色触摸屏，并具有中文操作界面，并可任意选择中/英/法/德/意/俄/韩/葡萄牙语/西班牙9种语言的操作界面；</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2.9  仪器自动识别和智能查找卡尔费休滴定剂（包括名称、浓度、有效期、下次标定日期等），过期的或错误的滴定剂不能使用，避免错误；</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 xml:space="preserve">★2.10  外置独立溶剂管理系统，双向空气泵系统及磁力搅拌功能，可吸排液磁力搅拌滴定台，具备废液溢流保护功能；智能化监控试剂的状态，全密封排废液和更换溶剂，避免操保人员与有毒试剂接触，确保使用安全； </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2.11  接口：仪器标配以太网接口、2个USB接口、4个MSB接口，所有附件的连接都是热插接和即插即用；</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2.12  “搭积木”式的灵活方法编辑方式；用户自定仪计算公式及自定义方法程序；</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2.13  水分仪具备彩色液晶触摸屏和电脑软件同时控制功能；</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2.14  在线显示和打印5种曲线：E-V, E-t, V-t, drift-t, 水分含量-t；</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2.15  触摸屏上可设置快捷键，一键操作完成各种日常工作：样品中水分测定、试剂更换等；</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2.16  多用户权限管理，具备专家级、管理员级和操作人员级操作权限分极，可存储99个用户界面。</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 xml:space="preserve">2.17  可以对测量结果的重新计算； </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★2.18  可以连接不低于34位自动进样器，可以建立快捷键的数目：≥14个；</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2.19  保存方法的个数：≥300个，每个方法中计算公式和结果的数目：≥500个。</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2.20  在线帮助功能 ；</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2.21 温度范围：50～250℃</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★2.22 温度稳定性：±0.1℃</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2.23 升温速度：15℃/min (80～180℃，230V)</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2.24 降温速度：9℃/min (80～180℃，230V)</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2.25 流量范围：0～150 mL/min (常规状态下)</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★2.26 卡氏加热炉采用顶空进样方式，背景干扰仅限于10ml的顶空瓶，且加热腔体有隔热保温层；</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2.27 升温模式：可进行手动设置和程序升温两种模式，特殊样品可设定程度升温，有利于样品水分充分释放（即同一个样品，设定好程序后，仪器先将样品加热到一个温度平台，维持一定时间后，自动升温到第二个温度平台，维持一定时间后，再升温到下一个温度，直至测量结束）；</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★2.28 带加热功能的导气管，避免了已经汽化的水分在传输过程中又被液化冷凝的可能，确保水分100%能导入到测量池中</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3、配置清单</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3.1 卡尔费休水仪主机  1套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3.2 带独立磁力搅拌滴定系统全套  1套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3.3 双向空气泵的试剂管理系统  1套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3.4 彩色中文触摸控制屏及保护套  1套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3.5  20000步驱动单元  1套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3.6 智能10mL智能滴定管  1套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3.7 双重屏蔽静电电缆  1套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3.8 双铂针电极  1套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3.9 分子筛 250g  2套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3.10 密封垫片  5个</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3.11 1L棕色玻璃瓶  3个</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3.12 玻璃称量舟  1个</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3.13 顶空进样加热炉  1套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3.14 进口卡式试剂  1套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3.15 带加热功能导气管  1根</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3.16 顶空瓶口压盖器  1个</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3.17 样品瓶及瓶盖  100个</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3.18 废液防溢装置  1个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5</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A2级双人生物安全柜</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2套</w:t>
            </w:r>
          </w:p>
        </w:tc>
        <w:tc>
          <w:tcPr>
            <w:tcW w:w="6840" w:type="dxa"/>
            <w:tcBorders>
              <w:top w:val="single" w:color="auto" w:sz="4" w:space="0"/>
              <w:left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1、外形尺寸：设备厚度≤755mm；</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★2、工作区尺寸：长≥1800mm；</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★3、ULPA超高效空气过滤器，针对颗粒直径0.12微米,过滤效率≥99.999%或者针对颗粒直径0.3微米,过滤效率≥99.9995%；</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★4、工作区洁净等级≥ISO14644.1标准Class 3或者以下要求同时达到：0.3微米粒径的粒子最大浓度≤102个/立方米；同时0.5微米粒径的粒子最大浓度≤35个/立方米；同时1.0微米粒径的粒子最大浓度≤8个/立方米；同时5.0微米粒径的粒子最大浓度≤0个/立方米；</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★5、新型的直流节能单个大风机设计替代传统多风机设计，正常运行时主机整机额定功率≤400W；</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6、同时显示温度及计时器、ULPA超高效过滤器寿命显示等数字化实时显示（提供操作说明书资料）；</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7、操作区侧壁与前窗玻璃边缘标配引流孔设计；</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 xml:space="preserve">8、柜体外部含银离子或者氧化锌纳米涂层（提供相关实验资料）； </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★9、前窗玻璃倾斜角4到7°；</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10、显示屏有3-15分钟预洁净程序（提供操作说明书资料）；</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11、标配预过滤器，延长主过滤器使用寿命（提供预过滤器安装图文资料）；</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12、标配RS232或RS485数据输出端口，可实现多台生物安全柜数据联网连接PC端（提供操作说明书资料）；</w:t>
            </w:r>
          </w:p>
          <w:p>
            <w:pPr>
              <w:widowControl/>
              <w:spacing w:line="360" w:lineRule="exact"/>
              <w:jc w:val="left"/>
              <w:textAlignment w:val="center"/>
              <w:rPr>
                <w:rFonts w:ascii="宋体" w:hAnsi="宋体" w:cs="宋体"/>
                <w:b/>
                <w:color w:val="auto"/>
                <w:szCs w:val="21"/>
                <w:highlight w:val="none"/>
              </w:rPr>
            </w:pPr>
            <w:r>
              <w:rPr>
                <w:rFonts w:hint="eastAsia" w:ascii="宋体" w:hAnsi="宋体" w:cs="宋体"/>
                <w:color w:val="auto"/>
                <w:szCs w:val="21"/>
                <w:highlight w:val="none"/>
              </w:rPr>
              <w:t>★13、配置：主机1台；可移动支架1套；RS232或RS485联网数据接口1个；抗菌涂层1套；全不锈钢内胆；过滤器制造商检测报告1份；</w:t>
            </w:r>
            <w:r>
              <w:rPr>
                <w:rFonts w:hint="eastAsia" w:ascii="宋体" w:hAnsi="宋体" w:cs="宋体"/>
                <w:b/>
                <w:color w:val="auto"/>
                <w:szCs w:val="21"/>
                <w:highlight w:val="none"/>
              </w:rPr>
              <w:t>ISO14644.1标准Class 3洁净度检测报告及洁净度证书1份。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6</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双人超净工作台</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2套</w:t>
            </w:r>
          </w:p>
        </w:tc>
        <w:tc>
          <w:tcPr>
            <w:tcW w:w="6840" w:type="dxa"/>
            <w:tcBorders>
              <w:top w:val="single" w:color="auto" w:sz="4" w:space="0"/>
              <w:left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1、双人垂直单向流，准闭合式。专门为洁净工作台研制的风机系统，微电脑控制采用可调风量风机系统，轻触型开关调节电压大小。</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2、外尺寸(宽×深×高) 1980mm×745mm×1920mm</w:t>
            </w:r>
          </w:p>
          <w:p>
            <w:pPr>
              <w:widowControl/>
              <w:spacing w:line="360" w:lineRule="exact"/>
              <w:ind w:firstLine="315" w:firstLineChars="150"/>
              <w:jc w:val="left"/>
              <w:textAlignment w:val="center"/>
              <w:rPr>
                <w:rFonts w:ascii="宋体" w:hAnsi="宋体" w:cs="宋体"/>
                <w:color w:val="auto"/>
                <w:szCs w:val="21"/>
                <w:highlight w:val="none"/>
              </w:rPr>
            </w:pPr>
            <w:r>
              <w:rPr>
                <w:rFonts w:hint="eastAsia" w:ascii="宋体" w:hAnsi="宋体" w:cs="宋体"/>
                <w:color w:val="auto"/>
                <w:szCs w:val="21"/>
                <w:highlight w:val="none"/>
              </w:rPr>
              <w:t>内部尺寸(宽×深×高) 1800mm×650mm×720mm</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3、过滤技术：采用HV进口ULPA高效过滤器滤芯, 过滤效率99.999％（≥0.3μm颗粒）。</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4、洁净度：ISO 5 级</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5、噪音：≤62dB(A)</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6、振动半峰值：≤3μm </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7、照度：≥800Lx</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8、平均风速：≥0.35m/s，数显(三档调速)</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9、彩色高清LCD大屏显示，配合图案显示，轻触键控制，用户体验更加。</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10、紫外灯延时启动时间、杀菌时间长短、预约启动时间、风机档位等按用户使用习惯设置好相应参数后，微电脑自动记忆用户使用习惯，实时显示风速、温度、高效过滤器寿命等性能指标，并具有可视化声光预警和报警功能11、5℃倾斜式操作面。</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12、双侧双层玻璃视窗，提供良好的采光效果和宽阔的视野。</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13、一次成型不锈钢操作面，清洁方便。前段弧形设计操作舒适。</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14、节能值机模式，有效降低设备待机状态的能耗，开机设备状态自检功能，照明、杀菌系统和移门系统安全互锁。</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15、出风面满布整块高效过滤器，无盲区，洁净效果佳。</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16、升降系统控制位置上下任意可调，升降自如、定位准确、无故障、免维护，并能完全关闭以便灭菌。</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17、符合洁净工作台国家标准。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648"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60" w:lineRule="exact"/>
              <w:outlineLvl w:val="0"/>
              <w:rPr>
                <w:rFonts w:ascii="宋体" w:hAnsi="宋体" w:cs="宋体"/>
                <w:b/>
                <w:color w:val="auto"/>
                <w:szCs w:val="21"/>
                <w:highlight w:val="none"/>
              </w:rPr>
            </w:pPr>
            <w:r>
              <w:rPr>
                <w:rFonts w:hint="eastAsia" w:ascii="宋体" w:hAnsi="宋体" w:cs="宋体"/>
                <w:b/>
                <w:color w:val="auto"/>
                <w:szCs w:val="21"/>
                <w:highlight w:val="none"/>
              </w:rPr>
              <w:t>二、商务要求表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54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color w:val="auto"/>
                <w:kern w:val="0"/>
                <w:szCs w:val="21"/>
                <w:highlight w:val="none"/>
              </w:rPr>
              <w:t>★</w:t>
            </w:r>
            <w:r>
              <w:rPr>
                <w:rFonts w:hint="eastAsia" w:ascii="宋体" w:hAnsi="宋体" w:cs="宋体"/>
                <w:color w:val="auto"/>
                <w:szCs w:val="21"/>
                <w:highlight w:val="none"/>
              </w:rPr>
              <w:t>质保期</w:t>
            </w:r>
          </w:p>
        </w:tc>
        <w:tc>
          <w:tcPr>
            <w:tcW w:w="810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left="2"/>
              <w:rPr>
                <w:rFonts w:ascii="宋体" w:hAnsi="宋体" w:cs="宋体"/>
                <w:color w:val="auto"/>
                <w:szCs w:val="21"/>
                <w:highlight w:val="none"/>
              </w:rPr>
            </w:pPr>
            <w:r>
              <w:rPr>
                <w:rFonts w:hint="eastAsia" w:ascii="宋体" w:hAnsi="宋体" w:cs="宋体"/>
                <w:color w:val="auto"/>
                <w:szCs w:val="21"/>
                <w:highlight w:val="none"/>
              </w:rPr>
              <w:t>要求第1项设备整机质保期不少于二年（含二年），其余设备整机及附件质保期不少于一年（含一年），保修期内出现质量问题，需派出技术员到达现场处理质量问题，并承担一切费用。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54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color w:val="auto"/>
                <w:kern w:val="0"/>
                <w:szCs w:val="21"/>
                <w:highlight w:val="none"/>
              </w:rPr>
              <w:t>★</w:t>
            </w:r>
            <w:r>
              <w:rPr>
                <w:rFonts w:hint="eastAsia" w:ascii="宋体" w:hAnsi="宋体" w:cs="宋体"/>
                <w:color w:val="auto"/>
                <w:szCs w:val="21"/>
                <w:highlight w:val="none"/>
              </w:rPr>
              <w:t>售后服务要求</w:t>
            </w:r>
          </w:p>
        </w:tc>
        <w:tc>
          <w:tcPr>
            <w:tcW w:w="810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80" w:lineRule="exact"/>
              <w:outlineLvl w:val="0"/>
              <w:rPr>
                <w:rFonts w:ascii="宋体" w:hAnsi="宋体" w:cs="宋体"/>
                <w:color w:val="auto"/>
                <w:szCs w:val="21"/>
                <w:highlight w:val="none"/>
              </w:rPr>
            </w:pPr>
            <w:r>
              <w:rPr>
                <w:rFonts w:hint="eastAsia" w:ascii="宋体" w:hAnsi="宋体" w:cs="宋体"/>
                <w:color w:val="auto"/>
                <w:szCs w:val="21"/>
                <w:highlight w:val="none"/>
              </w:rPr>
              <w:t>1、免费送货上门、免费安装调试、免费培训。</w:t>
            </w:r>
          </w:p>
          <w:p>
            <w:pPr>
              <w:spacing w:line="380" w:lineRule="exact"/>
              <w:rPr>
                <w:rFonts w:ascii="宋体" w:hAnsi="宋体" w:cs="宋体"/>
                <w:color w:val="auto"/>
                <w:szCs w:val="21"/>
                <w:highlight w:val="none"/>
              </w:rPr>
            </w:pPr>
            <w:r>
              <w:rPr>
                <w:rFonts w:hint="eastAsia" w:ascii="宋体" w:hAnsi="宋体" w:cs="宋体"/>
                <w:color w:val="auto"/>
                <w:szCs w:val="21"/>
                <w:highlight w:val="none"/>
              </w:rPr>
              <w:t>2、安装调试和培训：到货后，厂家需在接到用户通知后10个工作日内进行安装调试；提供用户至少两名管理人员的现场操作使用及基本维护的免费培训，使受训人员了解货物的工作原理、操作规程、以及维护、保养方法。</w:t>
            </w:r>
          </w:p>
          <w:p>
            <w:pPr>
              <w:spacing w:line="400" w:lineRule="exact"/>
              <w:jc w:val="left"/>
              <w:rPr>
                <w:rFonts w:ascii="宋体" w:hAnsi="宋体" w:cs="宋体"/>
                <w:color w:val="auto"/>
                <w:szCs w:val="21"/>
                <w:highlight w:val="none"/>
              </w:rPr>
            </w:pPr>
            <w:r>
              <w:rPr>
                <w:rFonts w:hint="eastAsia" w:ascii="宋体" w:hAnsi="宋体" w:cs="宋体"/>
                <w:color w:val="auto"/>
                <w:szCs w:val="21"/>
                <w:highlight w:val="none"/>
              </w:rPr>
              <w:t>3、接到采购单位故障通知，2小时内响应，24小时内到现场进行维修，当设备出现重大故障48小时内无法修复的需提供备品备件或备用机。</w:t>
            </w:r>
          </w:p>
          <w:p>
            <w:pPr>
              <w:spacing w:line="380" w:lineRule="exact"/>
              <w:rPr>
                <w:rFonts w:ascii="宋体" w:hAnsi="宋体" w:cs="宋体"/>
                <w:color w:val="auto"/>
                <w:szCs w:val="21"/>
                <w:highlight w:val="none"/>
              </w:rPr>
            </w:pPr>
            <w:r>
              <w:rPr>
                <w:rFonts w:hint="eastAsia" w:ascii="宋体" w:hAnsi="宋体" w:cs="宋体"/>
                <w:color w:val="auto"/>
                <w:szCs w:val="21"/>
                <w:highlight w:val="none"/>
              </w:rPr>
              <w:t>4、提供每季度不少于一次（含一次）的定期回访。</w:t>
            </w:r>
          </w:p>
          <w:p>
            <w:pPr>
              <w:spacing w:line="380" w:lineRule="exact"/>
              <w:rPr>
                <w:rFonts w:ascii="宋体" w:hAnsi="宋体" w:cs="宋体"/>
                <w:color w:val="auto"/>
                <w:szCs w:val="21"/>
                <w:highlight w:val="none"/>
              </w:rPr>
            </w:pPr>
            <w:r>
              <w:rPr>
                <w:rFonts w:hint="eastAsia" w:ascii="宋体" w:hAnsi="宋体" w:cs="宋体"/>
                <w:color w:val="auto"/>
                <w:szCs w:val="21"/>
                <w:highlight w:val="none"/>
              </w:rPr>
              <w:t>5、</w:t>
            </w:r>
            <w:r>
              <w:rPr>
                <w:rFonts w:hint="eastAsia" w:ascii="宋体" w:hAnsi="宋体" w:cs="宋体"/>
                <w:bCs/>
                <w:color w:val="auto"/>
                <w:szCs w:val="21"/>
                <w:highlight w:val="none"/>
              </w:rPr>
              <w:t>验收：按供货方合格证书技术资料中的技术指标、质量要求和双方签订的合同技术附件所规定的条款进行验收。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54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color w:val="auto"/>
                <w:kern w:val="0"/>
                <w:szCs w:val="21"/>
                <w:highlight w:val="none"/>
              </w:rPr>
              <w:t>★</w:t>
            </w:r>
            <w:r>
              <w:rPr>
                <w:rFonts w:hint="eastAsia" w:ascii="宋体" w:hAnsi="宋体" w:cs="宋体"/>
                <w:color w:val="auto"/>
                <w:szCs w:val="21"/>
                <w:highlight w:val="none"/>
              </w:rPr>
              <w:t>交货时间及地点</w:t>
            </w:r>
          </w:p>
        </w:tc>
        <w:tc>
          <w:tcPr>
            <w:tcW w:w="810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exact"/>
              <w:outlineLvl w:val="0"/>
              <w:rPr>
                <w:rFonts w:ascii="宋体" w:hAnsi="宋体" w:cs="宋体"/>
                <w:b/>
                <w:color w:val="auto"/>
                <w:szCs w:val="21"/>
                <w:highlight w:val="none"/>
              </w:rPr>
            </w:pPr>
            <w:r>
              <w:rPr>
                <w:rFonts w:hint="eastAsia" w:ascii="宋体" w:hAnsi="宋体" w:cs="宋体"/>
                <w:color w:val="auto"/>
                <w:szCs w:val="21"/>
                <w:highlight w:val="none"/>
              </w:rPr>
              <w:t>交货时间：</w:t>
            </w:r>
            <w:r>
              <w:rPr>
                <w:rFonts w:hint="eastAsia" w:ascii="宋体" w:hAnsi="宋体" w:cs="宋体"/>
                <w:b/>
                <w:color w:val="auto"/>
                <w:szCs w:val="21"/>
                <w:highlight w:val="none"/>
              </w:rPr>
              <w:t>进口设备自签订合同之日起</w:t>
            </w:r>
            <w:r>
              <w:rPr>
                <w:rFonts w:ascii="宋体" w:hAnsi="宋体" w:cs="宋体"/>
                <w:b/>
                <w:color w:val="auto"/>
                <w:szCs w:val="21"/>
                <w:highlight w:val="none"/>
              </w:rPr>
              <w:t>9</w:t>
            </w:r>
            <w:r>
              <w:rPr>
                <w:rFonts w:hint="eastAsia" w:ascii="宋体" w:hAnsi="宋体" w:cs="宋体"/>
                <w:b/>
                <w:color w:val="auto"/>
                <w:szCs w:val="21"/>
                <w:highlight w:val="none"/>
              </w:rPr>
              <w:t>0个日历日内安装调试完毕，国产设备自签订合同之日起30个日历日内安装调试完毕。</w:t>
            </w:r>
          </w:p>
          <w:p>
            <w:pPr>
              <w:snapToGrid w:val="0"/>
              <w:spacing w:line="360" w:lineRule="exact"/>
              <w:outlineLvl w:val="0"/>
              <w:rPr>
                <w:rFonts w:ascii="宋体" w:hAnsi="宋体" w:cs="宋体"/>
                <w:color w:val="auto"/>
                <w:szCs w:val="21"/>
                <w:highlight w:val="none"/>
              </w:rPr>
            </w:pPr>
            <w:r>
              <w:rPr>
                <w:rFonts w:hint="eastAsia" w:ascii="宋体" w:hAnsi="宋体" w:cs="宋体"/>
                <w:color w:val="auto"/>
                <w:szCs w:val="21"/>
                <w:highlight w:val="none"/>
              </w:rPr>
              <w:t>交货地点：横县采购人指定地点。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54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付款条件</w:t>
            </w:r>
          </w:p>
        </w:tc>
        <w:tc>
          <w:tcPr>
            <w:tcW w:w="810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exact"/>
              <w:outlineLvl w:val="0"/>
              <w:rPr>
                <w:rFonts w:ascii="宋体" w:hAnsi="宋体" w:cs="宋体"/>
                <w:color w:val="auto"/>
                <w:szCs w:val="21"/>
                <w:highlight w:val="none"/>
              </w:rPr>
            </w:pPr>
            <w:r>
              <w:rPr>
                <w:rFonts w:hint="eastAsia" w:ascii="宋体" w:hAnsi="宋体" w:cs="宋体"/>
                <w:color w:val="auto"/>
                <w:szCs w:val="21"/>
                <w:highlight w:val="none"/>
              </w:rPr>
              <w:t>交货验收合格后二十个工作日内，由采购人一次性付清中标人的全部结算款项的100%（无预付款）。中标人自收到款项之日起三个工作日内开具发票给采购人。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54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bCs/>
                <w:color w:val="auto"/>
                <w:szCs w:val="21"/>
                <w:highlight w:val="none"/>
              </w:rPr>
            </w:pPr>
            <w:r>
              <w:rPr>
                <w:rFonts w:hint="eastAsia" w:ascii="宋体" w:hAnsi="宋体" w:cs="宋体"/>
                <w:b/>
                <w:bCs/>
                <w:color w:val="auto"/>
                <w:szCs w:val="21"/>
                <w:highlight w:val="none"/>
              </w:rPr>
              <w:t>履约保证金及质量保证金</w:t>
            </w:r>
          </w:p>
        </w:tc>
        <w:tc>
          <w:tcPr>
            <w:tcW w:w="810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auto"/>
                <w:szCs w:val="21"/>
                <w:highlight w:val="none"/>
              </w:rPr>
            </w:pPr>
            <w:r>
              <w:rPr>
                <w:rFonts w:hint="eastAsia" w:ascii="宋体" w:hAnsi="宋体" w:cs="宋体"/>
                <w:color w:val="auto"/>
                <w:szCs w:val="21"/>
                <w:highlight w:val="none"/>
              </w:rPr>
              <w:t>中标人在采购合同签订后五个工作日内，按合同金额的5%向采购单位指定账户缴纳履约保证金，项目验收完毕后自动转为质量保证金，质保期（投标人承诺质保期延长的则按承诺执行）满后无质量问题可向采购单位申请退还，采购单位在收到申请后五个工作日内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6" w:hRule="atLeast"/>
          <w:jc w:val="center"/>
        </w:trPr>
        <w:tc>
          <w:tcPr>
            <w:tcW w:w="154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color w:val="auto"/>
                <w:kern w:val="0"/>
                <w:szCs w:val="21"/>
                <w:highlight w:val="none"/>
              </w:rPr>
              <w:t>★厂家</w:t>
            </w:r>
            <w:r>
              <w:rPr>
                <w:rFonts w:hint="eastAsia" w:ascii="宋体" w:hAnsi="宋体" w:cs="宋体"/>
                <w:color w:val="auto"/>
                <w:szCs w:val="21"/>
                <w:highlight w:val="none"/>
              </w:rPr>
              <w:t>授权要求</w:t>
            </w:r>
          </w:p>
        </w:tc>
        <w:tc>
          <w:tcPr>
            <w:tcW w:w="810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s="宋体"/>
                <w:color w:val="auto"/>
                <w:szCs w:val="21"/>
                <w:highlight w:val="none"/>
              </w:rPr>
            </w:pPr>
            <w:r>
              <w:rPr>
                <w:rFonts w:hint="eastAsia" w:ascii="宋体" w:hAnsi="宋体" w:cs="宋体"/>
                <w:color w:val="auto"/>
                <w:szCs w:val="21"/>
                <w:highlight w:val="none"/>
              </w:rPr>
              <w:t>本</w:t>
            </w:r>
            <w:r>
              <w:rPr>
                <w:rFonts w:hint="eastAsia" w:ascii="宋体" w:hAnsi="宋体" w:cs="宋体"/>
                <w:color w:val="auto"/>
                <w:szCs w:val="21"/>
                <w:highlight w:val="none"/>
                <w:lang w:eastAsia="zh-CN"/>
              </w:rPr>
              <w:t>标段</w:t>
            </w:r>
            <w:r>
              <w:rPr>
                <w:rFonts w:hint="eastAsia" w:ascii="宋体" w:hAnsi="宋体" w:cs="宋体"/>
                <w:color w:val="auto"/>
                <w:szCs w:val="21"/>
                <w:highlight w:val="none"/>
              </w:rPr>
              <w:t>的</w:t>
            </w:r>
            <w:r>
              <w:rPr>
                <w:rFonts w:hint="eastAsia" w:ascii="宋体" w:hAnsi="宋体" w:cs="宋体"/>
                <w:b/>
                <w:color w:val="auto"/>
                <w:szCs w:val="21"/>
                <w:highlight w:val="none"/>
              </w:rPr>
              <w:t>第1-</w:t>
            </w:r>
            <w:r>
              <w:rPr>
                <w:rFonts w:ascii="宋体" w:hAnsi="宋体" w:cs="宋体"/>
                <w:b/>
                <w:color w:val="auto"/>
                <w:szCs w:val="21"/>
                <w:highlight w:val="none"/>
              </w:rPr>
              <w:t>5</w:t>
            </w:r>
            <w:r>
              <w:rPr>
                <w:rFonts w:hint="eastAsia" w:ascii="宋体" w:hAnsi="宋体" w:cs="宋体"/>
                <w:b/>
                <w:color w:val="auto"/>
                <w:szCs w:val="21"/>
                <w:highlight w:val="none"/>
              </w:rPr>
              <w:t>项</w:t>
            </w:r>
            <w:r>
              <w:rPr>
                <w:rFonts w:hint="eastAsia" w:ascii="宋体" w:hAnsi="宋体" w:cs="宋体"/>
                <w:color w:val="auto"/>
                <w:szCs w:val="21"/>
                <w:highlight w:val="none"/>
              </w:rPr>
              <w:t>设备属于非生产厂家参加投标的，须提供仪器设备生产厂家或国内总代理商出具的有效授权书原件和售后服务承诺书。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54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其他要求</w:t>
            </w:r>
          </w:p>
        </w:tc>
        <w:tc>
          <w:tcPr>
            <w:tcW w:w="810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auto"/>
                <w:highlight w:val="none"/>
              </w:rPr>
            </w:pPr>
            <w:r>
              <w:rPr>
                <w:rFonts w:hint="eastAsia" w:ascii="宋体" w:hAnsi="宋体" w:cs="宋体"/>
                <w:color w:val="auto"/>
                <w:highlight w:val="none"/>
              </w:rPr>
              <w:t>★1、本</w:t>
            </w:r>
            <w:r>
              <w:rPr>
                <w:rFonts w:hint="eastAsia" w:ascii="宋体" w:hAnsi="宋体" w:cs="宋体"/>
                <w:color w:val="auto"/>
                <w:highlight w:val="none"/>
                <w:lang w:eastAsia="zh-CN"/>
              </w:rPr>
              <w:t>标段</w:t>
            </w:r>
            <w:r>
              <w:rPr>
                <w:rFonts w:hint="eastAsia" w:ascii="宋体" w:hAnsi="宋体" w:cs="宋体"/>
                <w:color w:val="auto"/>
                <w:highlight w:val="none"/>
              </w:rPr>
              <w:t>的第</w:t>
            </w:r>
            <w:r>
              <w:rPr>
                <w:rFonts w:hint="eastAsia" w:ascii="宋体" w:hAnsi="宋体" w:cs="宋体"/>
                <w:b/>
                <w:color w:val="auto"/>
                <w:highlight w:val="none"/>
              </w:rPr>
              <w:t>1-</w:t>
            </w:r>
            <w:r>
              <w:rPr>
                <w:rFonts w:ascii="宋体" w:hAnsi="宋体" w:cs="宋体"/>
                <w:b/>
                <w:color w:val="auto"/>
                <w:highlight w:val="none"/>
              </w:rPr>
              <w:t>5</w:t>
            </w:r>
            <w:r>
              <w:rPr>
                <w:rFonts w:hint="eastAsia" w:ascii="宋体" w:hAnsi="宋体" w:cs="宋体"/>
                <w:color w:val="auto"/>
                <w:highlight w:val="none"/>
              </w:rPr>
              <w:t>项设备已按规定办妥进口产品采购审核手续，投标产品可选用进口产品，如选用进口产品时必须为全套原装进口产品（即通过中国海关报关验放进入中国境内且产自关境外的产品），要求：①中标人负责办理进口设备的相关手续及承担相关的所有费用；②如投标人不具备进出口业务代理资质，则其报价中必须包含关税在内的所有相关进出口税费。</w:t>
            </w:r>
          </w:p>
          <w:p>
            <w:pPr>
              <w:spacing w:line="360" w:lineRule="exact"/>
              <w:jc w:val="left"/>
              <w:rPr>
                <w:rFonts w:ascii="宋体" w:hAnsi="宋体" w:cs="宋体"/>
                <w:color w:val="auto"/>
                <w:highlight w:val="none"/>
              </w:rPr>
            </w:pPr>
            <w:r>
              <w:rPr>
                <w:rFonts w:hint="eastAsia" w:ascii="宋体" w:hAnsi="宋体" w:cs="宋体"/>
                <w:color w:val="auto"/>
                <w:highlight w:val="none"/>
              </w:rPr>
              <w:t>★2、所投产品若属《节能产品政府采购清单》中强制采购节能产品范围的，必须提供节能产品，并提供相关证明材料（如：所投产品列入的《节能产品政府采购清单》截图）。</w:t>
            </w:r>
          </w:p>
          <w:p>
            <w:pPr>
              <w:spacing w:line="400" w:lineRule="exact"/>
              <w:jc w:val="left"/>
              <w:rPr>
                <w:rFonts w:ascii="宋体" w:hAnsi="宋体" w:cs="宋体"/>
                <w:b/>
                <w:color w:val="auto"/>
                <w:highlight w:val="none"/>
              </w:rPr>
            </w:pPr>
            <w:r>
              <w:rPr>
                <w:rFonts w:hint="eastAsia" w:ascii="宋体" w:hAnsi="宋体" w:cs="宋体"/>
                <w:b/>
                <w:color w:val="auto"/>
                <w:highlight w:val="none"/>
              </w:rPr>
              <w:t>3、投标时提供产品的说明书或彩页（体现重要的技术参数）；与投标文件一并装订，也可以是从生产厂家网页下载的PDF或HTML文件，彩页上应有详细的产品技术介绍、技术参数、产品图样照片等。（如有，请提供）</w:t>
            </w:r>
          </w:p>
          <w:p>
            <w:pPr>
              <w:spacing w:line="360" w:lineRule="exact"/>
              <w:jc w:val="left"/>
              <w:rPr>
                <w:rFonts w:ascii="宋体" w:hAnsi="宋体" w:cs="宋体"/>
                <w:color w:val="auto"/>
                <w:highlight w:val="none"/>
              </w:rPr>
            </w:pPr>
            <w:r>
              <w:rPr>
                <w:rFonts w:hint="eastAsia" w:ascii="宋体" w:hAnsi="宋体" w:cs="宋体"/>
                <w:color w:val="auto"/>
                <w:highlight w:val="none"/>
              </w:rPr>
              <w:t>★4、投标文件中所承诺的货物性能参数、技术规格应该与生产厂家公开印发该货物产品说明书或产品彩页相一致；如不一致，投标人必须提供由生产厂家或其合法派出机构出具的说明其原因的有效证明文件。投标人必须根据招标要求的技术参数（配置）及要求中的每项指标要求，如实逐项填写技术响应、偏离情况说明表。</w:t>
            </w:r>
          </w:p>
          <w:p>
            <w:pPr>
              <w:spacing w:line="360" w:lineRule="exact"/>
              <w:jc w:val="left"/>
              <w:rPr>
                <w:rFonts w:ascii="宋体" w:hAnsi="宋体" w:cs="宋体"/>
                <w:color w:val="auto"/>
                <w:highlight w:val="none"/>
              </w:rPr>
            </w:pPr>
            <w:r>
              <w:rPr>
                <w:rFonts w:hint="eastAsia" w:ascii="宋体" w:hAnsi="宋体" w:cs="宋体"/>
                <w:color w:val="auto"/>
                <w:highlight w:val="none"/>
              </w:rPr>
              <w:t>★5、所有设备必须为原厂出产全新、未经使用的设备；设备到达现场后，供货方派专业工程师到现场与用户一起开箱检验，按设备配置清单进行验收，若有短少或损坏在三个工作日内补足或更换全新同规格产品。采购单位对设备验收合格后，由双方共同签署验收合格证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54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color w:val="auto"/>
                <w:highlight w:val="none"/>
              </w:rPr>
              <w:t>★</w:t>
            </w:r>
            <w:r>
              <w:rPr>
                <w:rFonts w:hint="eastAsia" w:ascii="宋体" w:hAnsi="宋体" w:cs="宋体"/>
                <w:color w:val="auto"/>
                <w:szCs w:val="21"/>
                <w:highlight w:val="none"/>
              </w:rPr>
              <w:t>核心产品</w:t>
            </w:r>
          </w:p>
        </w:tc>
        <w:tc>
          <w:tcPr>
            <w:tcW w:w="810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auto"/>
                <w:highlight w:val="none"/>
              </w:rPr>
            </w:pPr>
            <w:r>
              <w:rPr>
                <w:rFonts w:hint="eastAsia" w:ascii="宋体" w:hAnsi="宋体" w:cs="宋体"/>
                <w:color w:val="auto"/>
                <w:highlight w:val="none"/>
              </w:rPr>
              <w:t>本</w:t>
            </w:r>
            <w:r>
              <w:rPr>
                <w:rFonts w:hint="eastAsia" w:ascii="宋体" w:hAnsi="宋体" w:cs="宋体"/>
                <w:color w:val="auto"/>
                <w:highlight w:val="none"/>
                <w:lang w:eastAsia="zh-CN"/>
              </w:rPr>
              <w:t>标段</w:t>
            </w:r>
            <w:r>
              <w:rPr>
                <w:rFonts w:hint="eastAsia" w:ascii="宋体" w:hAnsi="宋体" w:cs="宋体"/>
                <w:b/>
                <w:color w:val="auto"/>
                <w:highlight w:val="none"/>
              </w:rPr>
              <w:t>第</w:t>
            </w:r>
            <w:r>
              <w:rPr>
                <w:rFonts w:ascii="宋体" w:hAnsi="宋体" w:cs="宋体"/>
                <w:b/>
                <w:color w:val="auto"/>
                <w:highlight w:val="none"/>
              </w:rPr>
              <w:t>1</w:t>
            </w:r>
            <w:r>
              <w:rPr>
                <w:rFonts w:hint="eastAsia" w:ascii="宋体" w:hAnsi="宋体" w:cs="宋体"/>
                <w:b/>
                <w:color w:val="auto"/>
                <w:highlight w:val="none"/>
              </w:rPr>
              <w:t>项“三重四级杆气质联用仪”</w:t>
            </w:r>
            <w:r>
              <w:rPr>
                <w:rFonts w:hint="eastAsia" w:ascii="宋体" w:hAnsi="宋体" w:cs="宋体"/>
                <w:color w:val="auto"/>
                <w:highlight w:val="none"/>
              </w:rPr>
              <w:t>为本次采购的核心产品。</w:t>
            </w:r>
          </w:p>
          <w:p>
            <w:pPr>
              <w:spacing w:line="360" w:lineRule="exact"/>
              <w:jc w:val="left"/>
              <w:rPr>
                <w:rFonts w:ascii="宋体" w:hAnsi="宋体" w:cs="宋体"/>
                <w:color w:val="auto"/>
                <w:highlight w:val="none"/>
              </w:rPr>
            </w:pPr>
            <w:r>
              <w:rPr>
                <w:rFonts w:hint="eastAsia" w:ascii="宋体" w:hAnsi="宋体" w:cs="宋体"/>
                <w:color w:val="auto"/>
                <w:highlight w:val="none"/>
              </w:rPr>
              <w:t xml:space="preserve">    提供相同品牌产品且通过资格审查、符合性审查的不同投标人参加同一合同项下投标的，按一家投标人计算，评审后得分最高的同品牌投标人获得中标人推荐资格（评审得分相同的，以投标报价由低到高顺序排列；得分相同且投标报价相同的，按技术分由高到底顺序排列），其他同品牌投标人不作为中标候选人。</w:t>
            </w:r>
          </w:p>
        </w:tc>
      </w:tr>
    </w:tbl>
    <w:p>
      <w:pPr>
        <w:autoSpaceDE w:val="0"/>
        <w:autoSpaceDN w:val="0"/>
        <w:adjustRightInd w:val="0"/>
        <w:spacing w:line="360" w:lineRule="auto"/>
        <w:ind w:firstLine="354" w:firstLineChars="147"/>
        <w:rPr>
          <w:rFonts w:ascii="宋体" w:hAnsi="Arial"/>
          <w:b/>
          <w:color w:val="auto"/>
          <w:kern w:val="0"/>
          <w:sz w:val="24"/>
          <w:highlight w:val="none"/>
        </w:rPr>
      </w:pPr>
    </w:p>
    <w:p>
      <w:pPr>
        <w:autoSpaceDE w:val="0"/>
        <w:autoSpaceDN w:val="0"/>
        <w:adjustRightInd w:val="0"/>
        <w:spacing w:line="360" w:lineRule="auto"/>
        <w:ind w:firstLine="354" w:firstLineChars="147"/>
        <w:rPr>
          <w:rFonts w:ascii="宋体" w:hAnsi="Arial"/>
          <w:b/>
          <w:color w:val="auto"/>
          <w:kern w:val="0"/>
          <w:sz w:val="24"/>
          <w:highlight w:val="none"/>
        </w:rPr>
      </w:pPr>
      <w:r>
        <w:rPr>
          <w:rFonts w:hint="eastAsia" w:ascii="宋体" w:hAnsi="Arial"/>
          <w:b/>
          <w:color w:val="auto"/>
          <w:kern w:val="0"/>
          <w:sz w:val="24"/>
          <w:highlight w:val="none"/>
        </w:rPr>
        <w:t>标段4：</w:t>
      </w:r>
    </w:p>
    <w:tbl>
      <w:tblPr>
        <w:tblStyle w:val="51"/>
        <w:tblW w:w="964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8"/>
        <w:gridCol w:w="900"/>
        <w:gridCol w:w="540"/>
        <w:gridCol w:w="720"/>
        <w:gridCol w:w="68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648" w:type="dxa"/>
            <w:gridSpan w:val="5"/>
            <w:tcBorders>
              <w:top w:val="single" w:color="auto" w:sz="4" w:space="0"/>
              <w:left w:val="single" w:color="auto" w:sz="4" w:space="0"/>
              <w:bottom w:val="single" w:color="auto" w:sz="4" w:space="0"/>
              <w:right w:val="single" w:color="auto" w:sz="4" w:space="0"/>
            </w:tcBorders>
          </w:tcPr>
          <w:p>
            <w:pPr>
              <w:snapToGrid w:val="0"/>
              <w:spacing w:line="360" w:lineRule="exact"/>
              <w:outlineLvl w:val="0"/>
              <w:rPr>
                <w:rFonts w:ascii="宋体" w:hAnsi="宋体" w:cs="宋体"/>
                <w:b/>
                <w:color w:val="auto"/>
                <w:szCs w:val="21"/>
                <w:highlight w:val="none"/>
              </w:rPr>
            </w:pPr>
            <w:r>
              <w:rPr>
                <w:rFonts w:hint="eastAsia" w:ascii="宋体" w:hAnsi="宋体" w:cs="宋体"/>
                <w:b/>
                <w:color w:val="auto"/>
                <w:szCs w:val="21"/>
                <w:highlight w:val="none"/>
              </w:rPr>
              <w:t>一、技术要求表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outlineLvl w:val="0"/>
              <w:rPr>
                <w:rFonts w:ascii="宋体" w:hAnsi="宋体" w:cs="宋体"/>
                <w:color w:val="auto"/>
                <w:szCs w:val="21"/>
                <w:highlight w:val="none"/>
              </w:rPr>
            </w:pPr>
            <w:r>
              <w:rPr>
                <w:rFonts w:hint="eastAsia" w:ascii="宋体" w:hAnsi="宋体" w:cs="宋体"/>
                <w:color w:val="auto"/>
                <w:szCs w:val="21"/>
                <w:highlight w:val="none"/>
              </w:rPr>
              <w:t>序号</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outlineLvl w:val="0"/>
              <w:rPr>
                <w:rFonts w:ascii="宋体" w:hAnsi="宋体" w:cs="宋体"/>
                <w:color w:val="auto"/>
                <w:szCs w:val="21"/>
                <w:highlight w:val="none"/>
              </w:rPr>
            </w:pPr>
            <w:r>
              <w:rPr>
                <w:rFonts w:hint="eastAsia" w:ascii="宋体" w:hAnsi="宋体" w:cs="宋体"/>
                <w:color w:val="auto"/>
                <w:szCs w:val="21"/>
                <w:highlight w:val="none"/>
              </w:rPr>
              <w:t>采购内容</w:t>
            </w: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outlineLvl w:val="0"/>
              <w:rPr>
                <w:rFonts w:ascii="宋体" w:hAnsi="宋体" w:cs="宋体"/>
                <w:color w:val="auto"/>
                <w:szCs w:val="21"/>
                <w:highlight w:val="none"/>
              </w:rPr>
            </w:pPr>
            <w:r>
              <w:rPr>
                <w:rFonts w:hint="eastAsia" w:ascii="宋体" w:hAnsi="宋体" w:cs="宋体"/>
                <w:color w:val="auto"/>
                <w:szCs w:val="21"/>
                <w:highlight w:val="none"/>
              </w:rPr>
              <w:t>数量</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outlineLvl w:val="0"/>
              <w:rPr>
                <w:rFonts w:ascii="宋体" w:hAnsi="宋体" w:cs="宋体"/>
                <w:color w:val="auto"/>
                <w:szCs w:val="21"/>
                <w:highlight w:val="none"/>
              </w:rPr>
            </w:pPr>
            <w:r>
              <w:rPr>
                <w:rFonts w:hint="eastAsia" w:ascii="宋体" w:hAnsi="宋体" w:cs="宋体"/>
                <w:color w:val="auto"/>
                <w:szCs w:val="21"/>
                <w:highlight w:val="none"/>
              </w:rPr>
              <w:t>项目要求及技术需求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1</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三重四级杆液相质谱联用仪</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 w:val="22"/>
                <w:szCs w:val="22"/>
                <w:highlight w:val="none"/>
              </w:rPr>
              <w:t>1套</w:t>
            </w:r>
          </w:p>
        </w:tc>
        <w:tc>
          <w:tcPr>
            <w:tcW w:w="6840" w:type="dxa"/>
            <w:tcBorders>
              <w:top w:val="single" w:color="auto" w:sz="4" w:space="0"/>
              <w:left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一、功能要求</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要求为高灵敏度液相色谱-四极杆串联线性离子阱质谱联用仪（LC/MS/MS），可对难挥发性物质进行高通检测，食品安全（农药残留，兽药残留）、非法添加剂、有机污染物等定性定量分析以及相关研究工作。</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1、液相色谱部分：</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1.1 输液单元（二元高压梯度系统）：</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1.1.1 流量范围：0.001mL/min～5.0 mL/min。</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1.1.2 流量精度：＜0.07% RSD。</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1.1.3 压力范围：18500 psi或以上。</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1.1.4 混合精度：＜0.15% RSD，高精度的梯度混合控制，保证复杂混合流动相和洗脱液时的高重现性。</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1.2智能化温控柱箱：</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1.2.1 柱温范围：室温以上10～80˚C。</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1.2.2 控温方式：空气循环强制平衡。</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1.3在线真空脱气机：3个独立通道。</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1.4自动进样器：</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1.4.1 进样范围：0.1μL～50μL。</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1.4.2 进样交叉污染：≤0.005% 。</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1.4.3 样品数量：96位。</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1.4.4 温度范围：4～40˚C。</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2、串联质谱部分：</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 离子源：</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2.1.1 配备独立的ESI和APCI离子源（非组合式或简单切换），离子源接口可适用于常规分析柱和毛细管电泳；清洗离子源时，无需放真空，便于日常维护使用。</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★2.1.2 流速范围：ESI离子源：无需分流，最大流速3mL/min，APCI离子源：无需分流，最大流速3 mL/min；不降低灵敏度下能直接转移常规液相方法至质谱，高流速缩短分析时间。</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★2.1.3 任何一种离子化模式下，至少两路辅助加热雾化气，确保系统有稳定可靠的灵敏度，辅助加热雾化气温度可≥720℃。</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★2.1.4 离子源接口及传输通道：锥孔结构，非毛细管（半径＜1 mm）设计装置，分析如复杂基质情况下不必额外维护仪器仍保持仪器性能。</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2.1.5 主动排放废气装置带动离子源内溶剂气体排放，防止气体在密闭的离子源腔体中的回流，降低离子源的记忆效应和污染，降低机械泵的负荷延长机械泵泵油使用时间。</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2.2 质量分析器：</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★2.2.1 类型：三重四极杆/线性离子阱复合质谱仪，一次进样同时满足三重四极杆质谱仪的定量功能和线性离子阱质谱仪的定性功能。</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2.2.2 质量稳定性：≤0.1 amu/24h。</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★2.2.3 扫描速度：20000 amu/s。</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2.2.4 质量准确度：全质量数范围0.01% amu。</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2.2.5 动态范围：≥6个数量级。</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★2.2.6 分辨率：＞9100（扫描速度为50amu/s时），提供质谱轮廓图证明，以计算分辨率</w:t>
            </w:r>
            <w:r>
              <w:rPr>
                <w:rFonts w:hint="eastAsia" w:ascii="宋体" w:hAnsi="宋体" w:cs="宋体"/>
                <w:b/>
                <w:color w:val="auto"/>
                <w:szCs w:val="21"/>
                <w:highlight w:val="none"/>
              </w:rPr>
              <w:t>（注：棒状图无法计算分辨率，提供无效）。</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2.2.8 离子引入：射频（RF）聚焦离子技术进行离子聚焦，确保最佳的离子聚焦效果和离子传输效率，有效消除“记忆效应”和“交叉污染”。</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★2.2.9 碰撞室：必须采用180°弯曲加速高压聚集碰撞技术设计，气压为8毫托，驻留时间（Dwell time）低至1 ms系统灵敏度不损失。</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2.2.10 真空系统：高真空系统，无需额外水冷却系统，可自动断电保护。</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2.3  检测性能：</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2.3.1  ESI（+）灵敏度：1pfg利血平色谱柱进样，MRM离子对为m/z609与195，分辨率设置为0.6～0.8 amu（FWHH），信噪比为S/N＞500000:1。</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2.3.2  ESI（-）灵敏度：1pg氯霉素色谱柱进样，信噪比为S/N≥300000:1。</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2.3.3  重现性：0.1ppb氯霉素进样，进样量≤20 μL，连续进样10针，面积RSD%≤4%，需要提供原始数据，并放大噪音部分，以显示背景水平。</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 xml:space="preserve">★2.3.4  正负模式切换速率：≤5ms </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2.3.5  扫描方式</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2.3.5.1 母离子扫描，子离子扫描，中性丢失扫描，选择性离子扫描，多反应监测定量扫描。</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★2.3.5.2 线性离子阱模式：多级MS3扫描 （非源内裂解方式）。</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★2.3.5.3 增强模式：增强全扫描（EMS）、增强子离子扫描（EPI）、增强多电荷扫描（EMC）、增强分辨率扫描（ER）。</w:t>
            </w:r>
          </w:p>
          <w:p>
            <w:pPr>
              <w:widowControl/>
              <w:spacing w:line="360" w:lineRule="exact"/>
              <w:jc w:val="left"/>
              <w:textAlignment w:val="center"/>
              <w:rPr>
                <w:rFonts w:ascii="宋体" w:hAnsi="宋体" w:cs="宋体"/>
                <w:b/>
                <w:strike/>
                <w:color w:val="auto"/>
                <w:szCs w:val="21"/>
                <w:highlight w:val="none"/>
              </w:rPr>
            </w:pPr>
            <w:r>
              <w:rPr>
                <w:rFonts w:hint="eastAsia" w:ascii="宋体" w:hAnsi="宋体" w:cs="宋体"/>
                <w:color w:val="auto"/>
                <w:szCs w:val="21"/>
                <w:highlight w:val="none"/>
              </w:rPr>
              <w:t>★2.3.6  MRM3检测灵敏度（非源内裂解）：柱上进样2pg利血平，检测609的子离子195的所有三级离子碎片，并提取响应最高离子，满足信噪比S/N＞500:1，偏差小于等于10%。且可看到质荷比在100到200范围内所有质荷比的信息。</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★2.3.7  MS/MS定性全扫描灵敏度：200fg柱上量克伦特罗在二级全扫描模式下，可以获得不少于4个大于10%相对丰度子离子，并能够准确的在谱库中检索，且匹配系数≥70%。</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2.3.8  电荷数判定：可以根据离子动能，实现在低分辨条件下，区分离子的电荷数，以获得更高的选择性。</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★2.3.9  串联质谱功能：同时具有MS/MS和MS/MS/MS功能，一次进样同时获得MRM定量图谱及各组分子离子的二级/三级全扫描质谱图（不包括源内裂解在内，要求可做到三级碎裂谱库的确认）。</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2.3.10  MRM最小驻留时间（Dwell time）：≤1 ms，灵敏度不受驻留时间影响。</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2.3.11  具备IDA或者DDA实时MRM到MS/MS切换采集模式，切换时间≤1ms。</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★2.3.12  检测器类型：高能打拿极（HED）检测器，可满足长期大量基质复杂样品定量分析的数据可靠性和重复性，保证正负离子检测均有高灵敏度。</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★2.3.13  气源供应：采用氮气发生器生产的氮气作为雾化气和碰撞气，无需额外氩气或高纯氩气，确保质谱仪的灵敏度和重现性。</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2.3.14  可兼容离子淌度用于复杂样品的同分异构体及共流出物的分析</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3、软件部分：</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3.1 质谱工作站软件适于 Microsoft windows操作系统环境，可单独控制液相部分和质谱部分。可以实现数据采集，数据分析，液相和质谱同步控制，在线监测，反馈显示和序列采集。自动识别色谱流出物的质谱图，定性分析和定量分析；有建立数据库功能，谱库检索功能。</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3.2 配备智能MRM算法，根据每个MRM目标物的保留时间自动安排MRM分析，无需设置MRM采集时间窗口。</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3.3 配备批量处理数据定量软件，具备大规模处理数据的能力，≥1000个数据可在同一界面进行分析，自动积分定量处理。</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★3.4 要求质谱工作站软件除可控制质谱仪外，也可直接控制市面主流液相色谱，包括Agilent、Shimadzu、Waters、Dionx等，以方便未来实验室的仪器资源整合。</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二、配置要求：</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1、超高压液相1套，含高压二元梯度泵、五线路在线脱气机、带制冷自动进样器、柱温箱、溶剂混合器。</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2、串联最新高性能质谱仪1套，包括串联最新三重四极杆线性离子阱主机，独立的ESI 和APCI 离子源。</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3、高性能工作站</w:t>
            </w:r>
            <w:r>
              <w:rPr>
                <w:rFonts w:hint="eastAsia" w:ascii="宋体" w:hAnsi="宋体" w:cs="宋体"/>
                <w:color w:val="auto"/>
                <w:szCs w:val="21"/>
                <w:highlight w:val="none"/>
              </w:rPr>
              <w:tab/>
            </w:r>
            <w:r>
              <w:rPr>
                <w:rFonts w:hint="eastAsia" w:ascii="宋体" w:hAnsi="宋体" w:cs="宋体"/>
                <w:color w:val="auto"/>
                <w:szCs w:val="21"/>
                <w:highlight w:val="none"/>
              </w:rPr>
              <w:t xml:space="preserve">品牌计算机。 </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4、最新串联质谱软件</w:t>
            </w:r>
            <w:r>
              <w:rPr>
                <w:rFonts w:hint="eastAsia" w:ascii="宋体" w:hAnsi="宋体" w:cs="宋体"/>
                <w:color w:val="auto"/>
                <w:szCs w:val="21"/>
                <w:highlight w:val="none"/>
              </w:rPr>
              <w:tab/>
            </w:r>
            <w:r>
              <w:rPr>
                <w:rFonts w:hint="eastAsia" w:ascii="宋体" w:hAnsi="宋体" w:cs="宋体"/>
                <w:color w:val="auto"/>
                <w:szCs w:val="21"/>
                <w:highlight w:val="none"/>
              </w:rPr>
              <w:t>包含液质控制软件、高通量数据处理软件及谱库。包括农药谱库、兽药谱库。包括用于分析 GB 2763 标准中规定农药的农药残留检测解决方案包，农业部公告规定兽药的兽药残留检测解决方案包。</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5、试剂耗材和备件 包含ESI喷针10根，APCI喷雾针1根，机械泵油2瓶，校准液1套，进样瓶500个，贮液瓶托盘1套、全密封流动相瓶5个、全密封废液瓶2套，C18色谱柱2根，C8色谱柱2根。</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6、激光打印机：品牌激光打印机1台</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7、UPS不间断电源 6KW（2小时）1套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8、氮气发生器1台</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9、技术资料1套：随机提供全套、完整的技术资料，包括仪器说明书、操作手册、维修保养说明书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648"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60" w:lineRule="exact"/>
              <w:outlineLvl w:val="0"/>
              <w:rPr>
                <w:rFonts w:ascii="宋体" w:hAnsi="宋体" w:cs="宋体"/>
                <w:b/>
                <w:color w:val="auto"/>
                <w:szCs w:val="21"/>
                <w:highlight w:val="none"/>
              </w:rPr>
            </w:pPr>
            <w:r>
              <w:rPr>
                <w:rFonts w:hint="eastAsia" w:ascii="宋体" w:hAnsi="宋体" w:cs="宋体"/>
                <w:b/>
                <w:color w:val="auto"/>
                <w:szCs w:val="21"/>
                <w:highlight w:val="none"/>
              </w:rPr>
              <w:t>二、商务要求表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54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color w:val="auto"/>
                <w:kern w:val="0"/>
                <w:szCs w:val="21"/>
                <w:highlight w:val="none"/>
              </w:rPr>
              <w:t>★</w:t>
            </w:r>
            <w:r>
              <w:rPr>
                <w:rFonts w:hint="eastAsia" w:ascii="宋体" w:hAnsi="宋体" w:cs="宋体"/>
                <w:color w:val="auto"/>
                <w:szCs w:val="21"/>
                <w:highlight w:val="none"/>
              </w:rPr>
              <w:t>质保期</w:t>
            </w:r>
          </w:p>
        </w:tc>
        <w:tc>
          <w:tcPr>
            <w:tcW w:w="810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left="2"/>
              <w:rPr>
                <w:rFonts w:ascii="宋体" w:hAnsi="宋体" w:cs="宋体"/>
                <w:color w:val="auto"/>
                <w:szCs w:val="21"/>
                <w:highlight w:val="none"/>
              </w:rPr>
            </w:pPr>
            <w:r>
              <w:rPr>
                <w:rFonts w:hint="eastAsia" w:ascii="宋体" w:hAnsi="宋体" w:cs="宋体"/>
                <w:color w:val="auto"/>
                <w:szCs w:val="21"/>
                <w:highlight w:val="none"/>
              </w:rPr>
              <w:t>要求整机及附件质保期不少于二年（含二年），保修期内出现质量问题，需派出技术员到达现场处理质量问题，并承担一切费用。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54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color w:val="auto"/>
                <w:kern w:val="0"/>
                <w:szCs w:val="21"/>
                <w:highlight w:val="none"/>
              </w:rPr>
              <w:t>★</w:t>
            </w:r>
            <w:r>
              <w:rPr>
                <w:rFonts w:hint="eastAsia" w:ascii="宋体" w:hAnsi="宋体" w:cs="宋体"/>
                <w:color w:val="auto"/>
                <w:szCs w:val="21"/>
                <w:highlight w:val="none"/>
              </w:rPr>
              <w:t>售后服务要求</w:t>
            </w:r>
          </w:p>
        </w:tc>
        <w:tc>
          <w:tcPr>
            <w:tcW w:w="810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80" w:lineRule="exact"/>
              <w:outlineLvl w:val="0"/>
              <w:rPr>
                <w:rFonts w:ascii="宋体" w:hAnsi="宋体" w:cs="宋体"/>
                <w:color w:val="auto"/>
                <w:szCs w:val="21"/>
                <w:highlight w:val="none"/>
              </w:rPr>
            </w:pPr>
            <w:r>
              <w:rPr>
                <w:rFonts w:hint="eastAsia" w:ascii="宋体" w:hAnsi="宋体" w:cs="宋体"/>
                <w:color w:val="auto"/>
                <w:szCs w:val="21"/>
                <w:highlight w:val="none"/>
              </w:rPr>
              <w:t>1、免费送货上门、免费安装调试、免费培训。</w:t>
            </w:r>
          </w:p>
          <w:p>
            <w:pPr>
              <w:spacing w:line="380" w:lineRule="exact"/>
              <w:rPr>
                <w:rFonts w:ascii="宋体" w:hAnsi="宋体" w:cs="宋体"/>
                <w:color w:val="auto"/>
                <w:szCs w:val="21"/>
                <w:highlight w:val="none"/>
              </w:rPr>
            </w:pPr>
            <w:r>
              <w:rPr>
                <w:rFonts w:hint="eastAsia" w:ascii="宋体" w:hAnsi="宋体" w:cs="宋体"/>
                <w:color w:val="auto"/>
                <w:szCs w:val="21"/>
                <w:highlight w:val="none"/>
              </w:rPr>
              <w:t>2、安装调试和培训：到货后，厂家需在接到用户通知后10个工作日内进行安装调试；提供用户至少两名管理人员的现场操作使用及基本维护的免费培训，使受训人员了解货物的工作原理、操作规程、以及维护、保养方法。</w:t>
            </w:r>
          </w:p>
          <w:p>
            <w:pPr>
              <w:spacing w:line="400" w:lineRule="exact"/>
              <w:jc w:val="left"/>
              <w:rPr>
                <w:rFonts w:ascii="宋体" w:hAnsi="宋体" w:cs="宋体"/>
                <w:color w:val="auto"/>
                <w:szCs w:val="21"/>
                <w:highlight w:val="none"/>
              </w:rPr>
            </w:pPr>
            <w:r>
              <w:rPr>
                <w:rFonts w:hint="eastAsia" w:ascii="宋体" w:hAnsi="宋体" w:cs="宋体"/>
                <w:color w:val="auto"/>
                <w:szCs w:val="21"/>
                <w:highlight w:val="none"/>
              </w:rPr>
              <w:t>3、接到采购单位故障通知，</w:t>
            </w:r>
            <w:r>
              <w:rPr>
                <w:rFonts w:ascii="宋体" w:hAnsi="宋体" w:cs="宋体"/>
                <w:b/>
                <w:color w:val="auto"/>
                <w:szCs w:val="21"/>
                <w:highlight w:val="none"/>
              </w:rPr>
              <w:t>2</w:t>
            </w:r>
            <w:r>
              <w:rPr>
                <w:rFonts w:hint="eastAsia" w:ascii="宋体" w:hAnsi="宋体" w:cs="宋体"/>
                <w:b/>
                <w:color w:val="auto"/>
                <w:szCs w:val="21"/>
                <w:highlight w:val="none"/>
              </w:rPr>
              <w:t>小时内响应，</w:t>
            </w:r>
            <w:r>
              <w:rPr>
                <w:rFonts w:ascii="宋体" w:hAnsi="宋体" w:cs="宋体"/>
                <w:b/>
                <w:color w:val="auto"/>
                <w:szCs w:val="21"/>
                <w:highlight w:val="none"/>
              </w:rPr>
              <w:t>24</w:t>
            </w:r>
            <w:r>
              <w:rPr>
                <w:rFonts w:hint="eastAsia" w:ascii="宋体" w:hAnsi="宋体" w:cs="宋体"/>
                <w:b/>
                <w:color w:val="auto"/>
                <w:szCs w:val="21"/>
                <w:highlight w:val="none"/>
              </w:rPr>
              <w:t>小时内</w:t>
            </w:r>
            <w:r>
              <w:rPr>
                <w:rFonts w:hint="eastAsia" w:ascii="宋体" w:hAnsi="宋体" w:cs="宋体"/>
                <w:color w:val="auto"/>
                <w:szCs w:val="21"/>
                <w:highlight w:val="none"/>
              </w:rPr>
              <w:t>到现场进行维修，当设备出现重大故障48小时内无法修复的需提供备品备件或备用机。</w:t>
            </w:r>
          </w:p>
          <w:p>
            <w:pPr>
              <w:spacing w:line="380" w:lineRule="exact"/>
              <w:rPr>
                <w:rFonts w:ascii="宋体" w:hAnsi="宋体" w:cs="宋体"/>
                <w:color w:val="auto"/>
                <w:szCs w:val="21"/>
                <w:highlight w:val="none"/>
              </w:rPr>
            </w:pPr>
            <w:r>
              <w:rPr>
                <w:rFonts w:hint="eastAsia" w:ascii="宋体" w:hAnsi="宋体" w:cs="宋体"/>
                <w:color w:val="auto"/>
                <w:szCs w:val="21"/>
                <w:highlight w:val="none"/>
              </w:rPr>
              <w:t>4、提供每季度不少于一次（含一次）的定期回访。</w:t>
            </w:r>
          </w:p>
          <w:p>
            <w:pPr>
              <w:spacing w:line="380" w:lineRule="exact"/>
              <w:rPr>
                <w:rFonts w:ascii="宋体" w:hAnsi="宋体" w:cs="宋体"/>
                <w:bCs/>
                <w:color w:val="auto"/>
                <w:szCs w:val="21"/>
                <w:highlight w:val="none"/>
              </w:rPr>
            </w:pPr>
            <w:r>
              <w:rPr>
                <w:rFonts w:hint="eastAsia" w:ascii="宋体" w:hAnsi="宋体" w:cs="宋体"/>
                <w:color w:val="auto"/>
                <w:szCs w:val="21"/>
                <w:highlight w:val="none"/>
              </w:rPr>
              <w:t>5、</w:t>
            </w:r>
            <w:r>
              <w:rPr>
                <w:rFonts w:hint="eastAsia" w:ascii="宋体" w:hAnsi="宋体" w:cs="宋体"/>
                <w:bCs/>
                <w:color w:val="auto"/>
                <w:szCs w:val="21"/>
                <w:highlight w:val="none"/>
              </w:rPr>
              <w:t>验收：按供货方合格证书技术资料中的技术指标、质量要求和双方签订的合同技术附件所规定的条款进行验收。</w:t>
            </w:r>
          </w:p>
          <w:p>
            <w:pPr>
              <w:spacing w:line="380" w:lineRule="exact"/>
              <w:rPr>
                <w:rFonts w:ascii="宋体" w:hAnsi="宋体" w:cs="宋体"/>
                <w:color w:val="auto"/>
                <w:szCs w:val="21"/>
                <w:highlight w:val="none"/>
              </w:rPr>
            </w:pPr>
            <w:r>
              <w:rPr>
                <w:rFonts w:hint="eastAsia" w:ascii="宋体" w:hAnsi="宋体" w:cs="宋体"/>
                <w:color w:val="auto"/>
                <w:szCs w:val="21"/>
                <w:highlight w:val="none"/>
              </w:rPr>
              <w:t>6、到货后，派遣由资格证的工程师免费安装调试，安装完成后每年有专职应用工程师上门培训，包括农药残留、兽药残留检测的全部仪器条件、软件方法设置，提供免费的技术支持。提供至少2个免费培训名额参加厂家在正规培训中心的官方集中培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54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color w:val="auto"/>
                <w:kern w:val="0"/>
                <w:szCs w:val="21"/>
                <w:highlight w:val="none"/>
              </w:rPr>
              <w:t>★</w:t>
            </w:r>
            <w:r>
              <w:rPr>
                <w:rFonts w:hint="eastAsia" w:ascii="宋体" w:hAnsi="宋体" w:cs="宋体"/>
                <w:color w:val="auto"/>
                <w:szCs w:val="21"/>
                <w:highlight w:val="none"/>
              </w:rPr>
              <w:t>交货时间及地点</w:t>
            </w:r>
          </w:p>
        </w:tc>
        <w:tc>
          <w:tcPr>
            <w:tcW w:w="810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exact"/>
              <w:outlineLvl w:val="0"/>
              <w:rPr>
                <w:rFonts w:ascii="宋体" w:hAnsi="宋体" w:cs="宋体"/>
                <w:color w:val="auto"/>
                <w:szCs w:val="21"/>
                <w:highlight w:val="none"/>
              </w:rPr>
            </w:pPr>
            <w:r>
              <w:rPr>
                <w:rFonts w:hint="eastAsia" w:ascii="宋体" w:hAnsi="宋体" w:cs="宋体"/>
                <w:color w:val="auto"/>
                <w:szCs w:val="21"/>
                <w:highlight w:val="none"/>
              </w:rPr>
              <w:t>交货时间：进口设备自签订合同之日起</w:t>
            </w:r>
            <w:r>
              <w:rPr>
                <w:rFonts w:ascii="宋体" w:hAnsi="宋体" w:cs="宋体"/>
                <w:b/>
                <w:color w:val="auto"/>
                <w:szCs w:val="21"/>
                <w:highlight w:val="none"/>
              </w:rPr>
              <w:t>9</w:t>
            </w:r>
            <w:r>
              <w:rPr>
                <w:rFonts w:hint="eastAsia" w:ascii="宋体" w:hAnsi="宋体" w:cs="宋体"/>
                <w:b/>
                <w:color w:val="auto"/>
                <w:szCs w:val="21"/>
                <w:highlight w:val="none"/>
              </w:rPr>
              <w:t>0</w:t>
            </w:r>
            <w:r>
              <w:rPr>
                <w:rFonts w:hint="eastAsia" w:ascii="宋体" w:hAnsi="宋体" w:cs="宋体"/>
                <w:color w:val="auto"/>
                <w:szCs w:val="21"/>
                <w:highlight w:val="none"/>
              </w:rPr>
              <w:t>个日历日内安装调试完毕，国产设备自签订合同之日起30个日历日内安装调试完毕。</w:t>
            </w:r>
          </w:p>
          <w:p>
            <w:pPr>
              <w:snapToGrid w:val="0"/>
              <w:spacing w:line="360" w:lineRule="exact"/>
              <w:outlineLvl w:val="0"/>
              <w:rPr>
                <w:rFonts w:ascii="宋体" w:hAnsi="宋体" w:cs="宋体"/>
                <w:color w:val="auto"/>
                <w:szCs w:val="21"/>
                <w:highlight w:val="none"/>
              </w:rPr>
            </w:pPr>
            <w:r>
              <w:rPr>
                <w:rFonts w:hint="eastAsia" w:ascii="宋体" w:hAnsi="宋体" w:cs="宋体"/>
                <w:color w:val="auto"/>
                <w:szCs w:val="21"/>
                <w:highlight w:val="none"/>
              </w:rPr>
              <w:t>交货地点：横县采购人指定地点。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54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付款条件</w:t>
            </w:r>
          </w:p>
        </w:tc>
        <w:tc>
          <w:tcPr>
            <w:tcW w:w="810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exact"/>
              <w:outlineLvl w:val="0"/>
              <w:rPr>
                <w:rFonts w:ascii="宋体" w:hAnsi="宋体" w:cs="宋体"/>
                <w:color w:val="auto"/>
                <w:szCs w:val="21"/>
                <w:highlight w:val="none"/>
              </w:rPr>
            </w:pPr>
            <w:r>
              <w:rPr>
                <w:rFonts w:hint="eastAsia" w:ascii="宋体" w:hAnsi="宋体" w:cs="宋体"/>
                <w:color w:val="auto"/>
                <w:szCs w:val="21"/>
                <w:highlight w:val="none"/>
              </w:rPr>
              <w:t>交货验收合格后二十个工作日内，由采购人一次性付清中标人的全部结算款项的100%（无预付款）。中标人自收到款项之日起三个工作日内开具发票给采购人。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54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bCs/>
                <w:color w:val="auto"/>
                <w:szCs w:val="21"/>
                <w:highlight w:val="none"/>
              </w:rPr>
            </w:pPr>
            <w:r>
              <w:rPr>
                <w:rFonts w:hint="eastAsia" w:ascii="宋体" w:hAnsi="宋体" w:cs="宋体"/>
                <w:b/>
                <w:bCs/>
                <w:color w:val="auto"/>
                <w:szCs w:val="21"/>
                <w:highlight w:val="none"/>
              </w:rPr>
              <w:t>履约保证金及质量保证金</w:t>
            </w:r>
          </w:p>
        </w:tc>
        <w:tc>
          <w:tcPr>
            <w:tcW w:w="810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auto"/>
                <w:szCs w:val="21"/>
                <w:highlight w:val="none"/>
              </w:rPr>
            </w:pPr>
            <w:r>
              <w:rPr>
                <w:rFonts w:hint="eastAsia" w:ascii="宋体" w:hAnsi="宋体" w:cs="宋体"/>
                <w:color w:val="auto"/>
                <w:szCs w:val="21"/>
                <w:highlight w:val="none"/>
              </w:rPr>
              <w:t>中标人在采购合同签订后五个工作日内，按合同金额的5%向采购单位指定账户缴纳履约保证金，项目验收完毕后自动转为质量保证金，质保期（投标人承诺质保期延长的则按承诺执行）满后无质量问题可向采购单位申请退还，采购单位在收到申请后五个工作日内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6" w:hRule="atLeast"/>
          <w:jc w:val="center"/>
        </w:trPr>
        <w:tc>
          <w:tcPr>
            <w:tcW w:w="154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color w:val="auto"/>
                <w:kern w:val="0"/>
                <w:szCs w:val="21"/>
                <w:highlight w:val="none"/>
              </w:rPr>
              <w:t>★厂家</w:t>
            </w:r>
            <w:r>
              <w:rPr>
                <w:rFonts w:hint="eastAsia" w:ascii="宋体" w:hAnsi="宋体" w:cs="宋体"/>
                <w:color w:val="auto"/>
                <w:szCs w:val="21"/>
                <w:highlight w:val="none"/>
              </w:rPr>
              <w:t>授权要求</w:t>
            </w:r>
          </w:p>
        </w:tc>
        <w:tc>
          <w:tcPr>
            <w:tcW w:w="810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s="宋体"/>
                <w:color w:val="auto"/>
                <w:szCs w:val="21"/>
                <w:highlight w:val="none"/>
              </w:rPr>
            </w:pPr>
            <w:r>
              <w:rPr>
                <w:rFonts w:hint="eastAsia" w:ascii="宋体" w:hAnsi="宋体" w:cs="宋体"/>
                <w:color w:val="auto"/>
                <w:szCs w:val="21"/>
                <w:highlight w:val="none"/>
              </w:rPr>
              <w:t>本</w:t>
            </w:r>
            <w:r>
              <w:rPr>
                <w:rFonts w:hint="eastAsia" w:ascii="宋体" w:hAnsi="宋体" w:cs="宋体"/>
                <w:color w:val="auto"/>
                <w:szCs w:val="21"/>
                <w:highlight w:val="none"/>
                <w:lang w:eastAsia="zh-CN"/>
              </w:rPr>
              <w:t>标段</w:t>
            </w:r>
            <w:r>
              <w:rPr>
                <w:rFonts w:hint="eastAsia" w:ascii="宋体" w:hAnsi="宋体" w:cs="宋体"/>
                <w:color w:val="auto"/>
                <w:szCs w:val="21"/>
                <w:highlight w:val="none"/>
              </w:rPr>
              <w:t>的设备属于非生产厂家参加投标的，须提供仪器设备生产厂家或国内总代理商出具的有效授权书原件和售后服务承诺书。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54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其他要求</w:t>
            </w:r>
          </w:p>
        </w:tc>
        <w:tc>
          <w:tcPr>
            <w:tcW w:w="810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auto"/>
                <w:highlight w:val="none"/>
              </w:rPr>
            </w:pPr>
            <w:r>
              <w:rPr>
                <w:rFonts w:hint="eastAsia" w:ascii="宋体" w:hAnsi="宋体" w:cs="宋体"/>
                <w:color w:val="auto"/>
                <w:highlight w:val="none"/>
              </w:rPr>
              <w:t>★1、本</w:t>
            </w:r>
            <w:r>
              <w:rPr>
                <w:rFonts w:hint="eastAsia" w:ascii="宋体" w:hAnsi="宋体" w:cs="宋体"/>
                <w:color w:val="auto"/>
                <w:highlight w:val="none"/>
                <w:lang w:eastAsia="zh-CN"/>
              </w:rPr>
              <w:t>标段</w:t>
            </w:r>
            <w:r>
              <w:rPr>
                <w:rFonts w:hint="eastAsia" w:ascii="宋体" w:hAnsi="宋体" w:cs="宋体"/>
                <w:color w:val="auto"/>
                <w:highlight w:val="none"/>
              </w:rPr>
              <w:t>的设备已按规定办妥进口产品采购审核手续，投标产品可选用进口产品，如选用进口产品时必须为全套原装进口产品（即通过中国海关报关验放进入中国境内且产自关境外的产品），要求：①中标人负责办理进口设备的相关手续及承担相关的所有费用；②如投标人不具备进出口业务代理资质，则其报价中必须包含关税在内的所有相关进出口税费。</w:t>
            </w:r>
          </w:p>
          <w:p>
            <w:pPr>
              <w:spacing w:line="360" w:lineRule="exact"/>
              <w:jc w:val="left"/>
              <w:rPr>
                <w:rFonts w:ascii="宋体" w:hAnsi="宋体" w:cs="宋体"/>
                <w:color w:val="auto"/>
                <w:highlight w:val="none"/>
              </w:rPr>
            </w:pPr>
            <w:r>
              <w:rPr>
                <w:rFonts w:hint="eastAsia" w:ascii="宋体" w:hAnsi="宋体" w:cs="宋体"/>
                <w:color w:val="auto"/>
                <w:highlight w:val="none"/>
              </w:rPr>
              <w:t>★2、所投产品若属《节能产品政府采购清单》中强制采购节能产品范围的，必须提供节能产品，并提供相关证明材料（如：所投产品列入的《节能产品政府采购清单》截图）。</w:t>
            </w:r>
          </w:p>
          <w:p>
            <w:pPr>
              <w:spacing w:line="400" w:lineRule="exact"/>
              <w:jc w:val="left"/>
              <w:rPr>
                <w:rFonts w:ascii="宋体" w:hAnsi="宋体" w:cs="宋体"/>
                <w:b/>
                <w:color w:val="auto"/>
                <w:highlight w:val="none"/>
              </w:rPr>
            </w:pPr>
            <w:r>
              <w:rPr>
                <w:rFonts w:hint="eastAsia" w:ascii="宋体" w:hAnsi="宋体" w:cs="宋体"/>
                <w:b/>
                <w:color w:val="auto"/>
                <w:highlight w:val="none"/>
              </w:rPr>
              <w:t>3、投标时提供产品的说明书或彩页（体现重要的技术参数）；与投标文件一并装订，也可以是从生产厂家网页下载的PDF或HTML文件，彩页上应有详细的产品技术介绍、技术参数、产品图样照片等。（如有，请提供）</w:t>
            </w:r>
          </w:p>
          <w:p>
            <w:pPr>
              <w:spacing w:line="360" w:lineRule="exact"/>
              <w:jc w:val="left"/>
              <w:rPr>
                <w:rFonts w:ascii="宋体" w:hAnsi="宋体" w:cs="宋体"/>
                <w:color w:val="auto"/>
                <w:highlight w:val="none"/>
              </w:rPr>
            </w:pPr>
            <w:r>
              <w:rPr>
                <w:rFonts w:hint="eastAsia" w:ascii="宋体" w:hAnsi="宋体" w:cs="宋体"/>
                <w:color w:val="auto"/>
                <w:highlight w:val="none"/>
              </w:rPr>
              <w:t>★4、投标文件中所承诺的货物性能参数、技术规格应该与生产厂家公开印发该货物产品说明书或产品彩页相一致；如不一致，投标人必须提供由生产厂家或其合法派出机构出具的说明其原因的有效证明文件。投标人必须根据招标要求的技术参数（配置）及要求中的每项指标要求，如实逐项填写技术响应、偏离情况说明表。</w:t>
            </w:r>
          </w:p>
          <w:p>
            <w:pPr>
              <w:spacing w:line="360" w:lineRule="exact"/>
              <w:jc w:val="left"/>
              <w:rPr>
                <w:rFonts w:ascii="宋体" w:hAnsi="宋体" w:cs="宋体"/>
                <w:color w:val="auto"/>
                <w:highlight w:val="none"/>
              </w:rPr>
            </w:pPr>
            <w:r>
              <w:rPr>
                <w:rFonts w:hint="eastAsia" w:ascii="宋体" w:hAnsi="宋体" w:cs="宋体"/>
                <w:color w:val="auto"/>
                <w:highlight w:val="none"/>
              </w:rPr>
              <w:t>★5、所有设备必须为原厂出产全新、未经使用的设备；设备到达现场后，供货方派专业工程师到现场与用户一起开箱检验，按设备配置清单进行验收，若有短少或损坏在三个工作日内补足或更换全新同规格产品。采购单位对设备验收合格后，由双方共同签署验收合格证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54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color w:val="auto"/>
                <w:highlight w:val="none"/>
              </w:rPr>
              <w:t>★</w:t>
            </w:r>
            <w:r>
              <w:rPr>
                <w:rFonts w:hint="eastAsia" w:ascii="宋体" w:hAnsi="宋体" w:cs="宋体"/>
                <w:color w:val="auto"/>
                <w:szCs w:val="21"/>
                <w:highlight w:val="none"/>
              </w:rPr>
              <w:t>核心产品</w:t>
            </w:r>
          </w:p>
        </w:tc>
        <w:tc>
          <w:tcPr>
            <w:tcW w:w="810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auto"/>
                <w:highlight w:val="none"/>
              </w:rPr>
            </w:pPr>
            <w:r>
              <w:rPr>
                <w:rFonts w:hint="eastAsia" w:ascii="宋体" w:hAnsi="宋体" w:cs="宋体"/>
                <w:color w:val="auto"/>
                <w:highlight w:val="none"/>
              </w:rPr>
              <w:t>本</w:t>
            </w:r>
            <w:r>
              <w:rPr>
                <w:rFonts w:hint="eastAsia" w:ascii="宋体" w:hAnsi="宋体" w:cs="宋体"/>
                <w:color w:val="auto"/>
                <w:highlight w:val="none"/>
                <w:lang w:eastAsia="zh-CN"/>
              </w:rPr>
              <w:t>标段</w:t>
            </w:r>
            <w:r>
              <w:rPr>
                <w:rFonts w:hint="eastAsia" w:ascii="宋体" w:hAnsi="宋体" w:cs="宋体"/>
                <w:color w:val="auto"/>
                <w:highlight w:val="none"/>
              </w:rPr>
              <w:t>“三重四级杆液相质谱联用仪”为本次采购的核心产品。</w:t>
            </w:r>
          </w:p>
          <w:p>
            <w:pPr>
              <w:spacing w:line="360" w:lineRule="exact"/>
              <w:jc w:val="left"/>
              <w:rPr>
                <w:rFonts w:ascii="宋体" w:hAnsi="宋体" w:cs="宋体"/>
                <w:color w:val="auto"/>
                <w:highlight w:val="none"/>
              </w:rPr>
            </w:pPr>
            <w:r>
              <w:rPr>
                <w:rFonts w:hint="eastAsia" w:ascii="宋体" w:hAnsi="宋体" w:cs="宋体"/>
                <w:color w:val="auto"/>
                <w:highlight w:val="none"/>
              </w:rPr>
              <w:t xml:space="preserve">    提供相同品牌产品且通过资格审查、符合性审查的不同投标人参加同一合同项下投标的，按一家投标人计算，评审后得分最高的同品牌投标人获得中标人推荐资格（评审得分相同的，以投标报价由低到高顺序排列；得分相同且投标报价相同的，按技术分由高到底顺序排列），其他同品牌投标人不作为中标候选人。</w:t>
            </w:r>
          </w:p>
        </w:tc>
      </w:tr>
    </w:tbl>
    <w:p>
      <w:pPr>
        <w:rPr>
          <w:color w:val="auto"/>
          <w:highlight w:val="none"/>
        </w:rPr>
      </w:pPr>
    </w:p>
    <w:p>
      <w:pPr>
        <w:autoSpaceDE w:val="0"/>
        <w:autoSpaceDN w:val="0"/>
        <w:adjustRightInd w:val="0"/>
        <w:spacing w:line="360" w:lineRule="auto"/>
        <w:ind w:firstLine="352" w:firstLineChars="147"/>
        <w:rPr>
          <w:rFonts w:ascii="宋体" w:hAnsi="Arial"/>
          <w:color w:val="auto"/>
          <w:kern w:val="0"/>
          <w:sz w:val="24"/>
          <w:highlight w:val="none"/>
        </w:rPr>
      </w:pPr>
    </w:p>
    <w:p>
      <w:pPr>
        <w:autoSpaceDE w:val="0"/>
        <w:autoSpaceDN w:val="0"/>
        <w:adjustRightInd w:val="0"/>
        <w:spacing w:line="360" w:lineRule="auto"/>
        <w:ind w:firstLine="354" w:firstLineChars="147"/>
        <w:rPr>
          <w:rFonts w:ascii="宋体" w:hAnsi="Arial"/>
          <w:b/>
          <w:color w:val="auto"/>
          <w:kern w:val="0"/>
          <w:sz w:val="24"/>
          <w:highlight w:val="none"/>
        </w:rPr>
      </w:pPr>
      <w:r>
        <w:rPr>
          <w:rFonts w:hint="eastAsia" w:ascii="宋体" w:hAnsi="Arial"/>
          <w:b/>
          <w:color w:val="auto"/>
          <w:kern w:val="0"/>
          <w:sz w:val="24"/>
          <w:highlight w:val="none"/>
        </w:rPr>
        <w:t>标段5：</w:t>
      </w:r>
    </w:p>
    <w:tbl>
      <w:tblPr>
        <w:tblStyle w:val="51"/>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8"/>
        <w:gridCol w:w="900"/>
        <w:gridCol w:w="540"/>
        <w:gridCol w:w="720"/>
        <w:gridCol w:w="68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648" w:type="dxa"/>
            <w:gridSpan w:val="5"/>
            <w:tcBorders>
              <w:top w:val="single" w:color="auto" w:sz="4" w:space="0"/>
              <w:left w:val="single" w:color="auto" w:sz="4" w:space="0"/>
              <w:bottom w:val="single" w:color="auto" w:sz="4" w:space="0"/>
              <w:right w:val="single" w:color="auto" w:sz="4" w:space="0"/>
            </w:tcBorders>
          </w:tcPr>
          <w:p>
            <w:pPr>
              <w:snapToGrid w:val="0"/>
              <w:spacing w:line="360" w:lineRule="exact"/>
              <w:outlineLvl w:val="0"/>
              <w:rPr>
                <w:rFonts w:ascii="宋体" w:hAnsi="宋体" w:cs="宋体"/>
                <w:b/>
                <w:color w:val="auto"/>
                <w:szCs w:val="21"/>
                <w:highlight w:val="none"/>
              </w:rPr>
            </w:pPr>
            <w:r>
              <w:rPr>
                <w:rFonts w:hint="eastAsia" w:ascii="宋体" w:hAnsi="宋体" w:cs="宋体"/>
                <w:b/>
                <w:color w:val="auto"/>
                <w:szCs w:val="21"/>
                <w:highlight w:val="none"/>
              </w:rPr>
              <w:t>一、技术要求表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outlineLvl w:val="0"/>
              <w:rPr>
                <w:rFonts w:ascii="宋体" w:hAnsi="宋体" w:cs="宋体"/>
                <w:color w:val="auto"/>
                <w:szCs w:val="21"/>
                <w:highlight w:val="none"/>
              </w:rPr>
            </w:pPr>
            <w:r>
              <w:rPr>
                <w:rFonts w:hint="eastAsia" w:ascii="宋体" w:hAnsi="宋体" w:cs="宋体"/>
                <w:color w:val="auto"/>
                <w:szCs w:val="21"/>
                <w:highlight w:val="none"/>
              </w:rPr>
              <w:t>序号</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outlineLvl w:val="0"/>
              <w:rPr>
                <w:rFonts w:ascii="宋体" w:hAnsi="宋体" w:cs="宋体"/>
                <w:color w:val="auto"/>
                <w:szCs w:val="21"/>
                <w:highlight w:val="none"/>
              </w:rPr>
            </w:pPr>
            <w:r>
              <w:rPr>
                <w:rFonts w:hint="eastAsia" w:ascii="宋体" w:hAnsi="宋体" w:cs="宋体"/>
                <w:color w:val="auto"/>
                <w:szCs w:val="21"/>
                <w:highlight w:val="none"/>
              </w:rPr>
              <w:t>采购内容</w:t>
            </w: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outlineLvl w:val="0"/>
              <w:rPr>
                <w:rFonts w:ascii="宋体" w:hAnsi="宋体" w:cs="宋体"/>
                <w:color w:val="auto"/>
                <w:szCs w:val="21"/>
                <w:highlight w:val="none"/>
              </w:rPr>
            </w:pPr>
            <w:r>
              <w:rPr>
                <w:rFonts w:hint="eastAsia" w:ascii="宋体" w:hAnsi="宋体" w:cs="宋体"/>
                <w:color w:val="auto"/>
                <w:szCs w:val="21"/>
                <w:highlight w:val="none"/>
              </w:rPr>
              <w:t>数量</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outlineLvl w:val="0"/>
              <w:rPr>
                <w:rFonts w:ascii="宋体" w:hAnsi="宋体" w:cs="宋体"/>
                <w:color w:val="auto"/>
                <w:szCs w:val="21"/>
                <w:highlight w:val="none"/>
              </w:rPr>
            </w:pPr>
            <w:r>
              <w:rPr>
                <w:rFonts w:hint="eastAsia" w:ascii="宋体" w:hAnsi="宋体" w:cs="宋体"/>
                <w:color w:val="auto"/>
                <w:szCs w:val="21"/>
                <w:highlight w:val="none"/>
              </w:rPr>
              <w:t>项目要求及技术需求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1</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旋转蒸发仪</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1套</w:t>
            </w:r>
          </w:p>
        </w:tc>
        <w:tc>
          <w:tcPr>
            <w:tcW w:w="6840" w:type="dxa"/>
            <w:tcBorders>
              <w:top w:val="single" w:color="auto" w:sz="4" w:space="0"/>
              <w:left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一、设备总体要求：</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1、旋转蒸发仪用于蒸馏、浓缩、结晶、粉末干燥以及一种或多种溶剂的分离，也可用于气相、液相以及质谱分析过程中样品的预处理。</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2、实现样品自动浓缩，具有精确真空控制功能、溶剂数据库、变频控制功能及循环水冷却等功能，所以部件均为相同品牌。</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二、旋转蒸发仪：</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1、主机</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★1.1.仪器采用模块化设计，有专用独立电动升降手柄，控制蒸发瓶快速升降；</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★1.2.升降高度范围为0～210mm，具有最低高度锁定功能；</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1.3.安全性高，断电时仪器自动停止旋蒸,并且自动将蒸发瓶提升出浴锅，防止样品过热，并停止旋转；</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★1.4.主机带有专用紧急停止按钮，一键即可关闭所有部件；</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2、冷凝器</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2.1.V形直立式冷凝器玻璃材质为惰性硼硅酸盐，无需金属杆固定；</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2.2.冷凝器具有大尺寸清洁口，方便清洗；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★2.3.冷凝器带有冷凝液接受装置，有排液管，有效接收冷凝器外侧滴落的冷凝水，防止腐蚀仪器；</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2.4.可根据不同要求选配7种不同冷凝器冷凝器，可选带有P+G防爆保护图层；</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3、浴锅</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 xml:space="preserve">3.1.加热平台提供5L水浴锅，可连接体积为50ml～5000ml的蒸发瓶或1L水浴锅，快速加热4min内可升温至50℃； </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★3.2.水浴锅加热温度范围：20℃～220℃，控温精度为：±1℃</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3.3.水浴锅可实现水浴和油浴切换，具有温度锁定和过温保护功能</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★3.4.水浴锅液晶显示屏可同时显示：水浴锅加热温度、实际温度、蒸发瓶转速，升降高度和温度锁定界面；</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★3.5.分体式浴锅、采用红外连接技术与主机实现数据传输，浴锅上无任何电线连接，可直接把浴锅端出加水或倒水，无需插拔电源线；</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★3.6.浴锅带有专用导轨，浴锅可在导轨上左右移动；</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4、无油变频隔膜真空泵</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★4.1.设计紧凑，结构坚固，带有一体式便携手柄；与介质接触材料：PTFE，FFKM, PPS, FEP；</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4.2.最小真空度：＜10mbar；</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4.3.泵送能力：≥1.5 m</w:t>
            </w:r>
            <w:r>
              <w:rPr>
                <w:rFonts w:hint="eastAsia" w:ascii="宋体" w:hAnsi="宋体" w:cs="宋体"/>
                <w:color w:val="auto"/>
                <w:szCs w:val="21"/>
                <w:highlight w:val="none"/>
                <w:vertAlign w:val="superscript"/>
              </w:rPr>
              <w:t>3</w:t>
            </w:r>
            <w:r>
              <w:rPr>
                <w:rFonts w:hint="eastAsia" w:ascii="宋体" w:hAnsi="宋体" w:cs="宋体"/>
                <w:color w:val="auto"/>
                <w:szCs w:val="21"/>
                <w:highlight w:val="none"/>
              </w:rPr>
              <w:t xml:space="preserve">/h，级数（泵头数）：2（2）； </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★4.4.防护等级：≥IP21；</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★4.5.最低噪音：≤40 dB（A）；</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★4.6.变频环保功能：带有ECO2模式：在没有真空控制器或真空模块的条件下，真空泵连续工作1小时后会将泵速降低至70%，从而降低能源消耗，减少噪音污染，并延长仪器的使用寿命；</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 xml:space="preserve">★4.7.内置空气干燥阀，可以自动干燥 PTFE隔膜，防止溶剂沉积；延长使用寿命； </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★4.8.消音技术及全封闭的外壳，且带有消声器，使泵运行安静平稳，无震动；</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5、真空控制器</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5.1.大体积液晶显示屏，图形化及数字式显示真空度，可方便地固定在真空泵或旋转蒸发仪主机上；</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★5.2.中文菜单，九种语言可供选择，操作界面简洁，使用方便；</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5.3.测量范围：1400～0mbar(hPa)；</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5.4.控制范围：1100～1 mbar(hPa)；</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★5.5.定时功能，到达预定时间自动停止或随时从定时功能切换到手动功能；</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 xml:space="preserve">★5.6.自动控制真空泵的启动、停止及显示设定真空度和实际真空度，达到设定真空度后，真空泵停止工作，实时维持体系在设定真空度； </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★5.7.放气功能（P↑）：可以随时地有效地控制爆沸及起泡；</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★5.8.连续工作模式（Continue）：真空控制器带有连续工作模式；</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6、冷却循环水机</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6.1.最低温度范围：≤-10℃；</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6.2.容积≥5L；</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三、配置要求：</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1、旋转蒸发仪1台；</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2、无油变频隔膜真空泵1台（带消声器）；</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3、真空控制器 1台；</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4、冷却循环水机 1台；</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5、5头多歧管1个。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2</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气味分析系统（三合一进样器+嗅辩仪）</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1套</w:t>
            </w:r>
          </w:p>
        </w:tc>
        <w:tc>
          <w:tcPr>
            <w:tcW w:w="6840" w:type="dxa"/>
            <w:tcBorders>
              <w:top w:val="single" w:color="auto" w:sz="4" w:space="0"/>
              <w:left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总体要求：系统配备闻味识别系统、三合一多功能进样单元（液体、顶空、固相微萃取），以及专门为气味分析开发的气味数据库。可配套安装在三重四级杆气质联用仪上使用，由一套工作站软件控制，对引起气味的物质以及气味的感官信息（如气味描述以及气味阈值）进行准确分析。</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 xml:space="preserve">2、闻味识别系统 </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 1温度控制：SSR零点交叉PID控制</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2.2 温度设定范围：0〜300℃(0.1℃ STEP)</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2.3 程序升温数量：(室温+20℃)～300℃</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2.4 温度梯度范围：0〜20℃/min、0.1℃ STEP</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 xml:space="preserve">2.5 程序升温数量：8次       </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2.6 梯度设定数量：最大32</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2.7 梯度设定时间：0分0秒〜99分59秒</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2.8 辅助气体：氦气、氮气</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2.9 流速调节器：质量流速控制阀</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2.10 IN端管道：接续1/8”管道</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2.11 OUT端管道：接续1/16”管道</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2.12 湿润空气：导入洁净空气</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2.13 流速调节器：速度控制阀</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2.14 IN端管道：接续1/8”管道</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2.15 OUT端管道：1/8”插入式管道连接</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2.16 导入和导出：USB端口（用于温度设定软件）START IN</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2.17 压力范围：0.1～0.6 MPa</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2.18 分流器接续管：惰性化处理的气相毛细管</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3、三位一体多功能进样单元</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3.1 可实现液体、顶空和固相微萃取SPME三种模式的自动进样</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3.2 具有自动换针功能：当变更进样模式时，可自动切换进样针。</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3.3 具有自动样品前处理操作功能：衍生化、稀释、添加内标、配制标准曲线。</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3.4 具有瓶底探测、快速进样（100ms）功能。</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3.5 样品瓶容量：2mL样品瓶标配162位，最大可扩展至648位；10/20mL样品瓶标配60位，最大可扩展至240位</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3.6 进样量范围：液体进样：1.2uL～1mL ；顶空进样: 1mL～5mL 。</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★3.7 通过气质工作软件嵌入式控制，中英文版本均可提供。</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★3.8 软件内置顶空进样、液体进样、固相微萃取SPME进样、添加内标物、配制标准曲线、苯酚衍生化方法文件。</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3.9 可追加条形码阅读器、控温模块、大体积或快速清洗模块。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3.10 可配合Twin Line System双柱系统、在无需人为干预的情况下实现两根色谱柱的切换使用，最大提升分析效率。</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3.11 可配合相关数据库，实现全自动的样品先筛查再准确定量功能，流程全部内嵌于软件之中。</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4、气味数据库</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★4.1 数据库中登录有 150 种气味物质的信息，包括：化合物名称、CAS 号、Scan/SIM 离子信息、MRM 离子对信息、保留指数、气味特征和气味阈值等</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4.2 数据库中内置校准曲线，可通过内标样品的分析，建立分析时的校准曲线，对未知样品进行半定量分析，然后将半定量结果与气味阈值进行比较，超过气味阈值的化合物可以定性为产生气味的物质。</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★4.3 用户可以根据分析的需要，将气味化合物注册到气味数据库，建立专属的气味数据库。</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5、配置要求</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5.1 专业气味数据库1套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5.2质谱专用毛细管色谱柱3根</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5.3 三合一（液体、顶空、SPME）多功能自动进样器 1套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5.4嗅探器（嗅辩仪）1套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3</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 w:val="22"/>
                <w:szCs w:val="22"/>
                <w:highlight w:val="none"/>
              </w:rPr>
              <w:t>风味分析多功能平台（六合一进样器+嗅辩仪）</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 w:val="22"/>
                <w:szCs w:val="22"/>
                <w:highlight w:val="none"/>
              </w:rPr>
              <w:t>1套</w:t>
            </w:r>
          </w:p>
        </w:tc>
        <w:tc>
          <w:tcPr>
            <w:tcW w:w="6840" w:type="dxa"/>
            <w:tcBorders>
              <w:top w:val="single" w:color="auto" w:sz="4" w:space="0"/>
              <w:left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一、主要用途：对茉莉花茶样品的香味分析和成分确定。</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二、工作条件</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1、温度：15－35度；</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2、湿度：30～80%；</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3、电压：200～220V。</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三、技术指标</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1、综合技术要求</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★1.1：基于同一平台，采用模块化设计易于升级，整机可直接搭建于GC或GC/MS/MS上，且所有模块均来自于同一制造商及品牌</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1.2：工作站软件控制所有样品处理过程，实时监控；软件具有多样品提前预处理功能：自动衍生化，自动稀释，自动加标样，风味检测分析等功能；</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2、嗅觉检测</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★2.1具有惰性化的传输线，≤70cm，最高温度达350℃</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2.2加热系统控温范围：50℃-350℃，控温精度要求≤0.1℃</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2.3能加热保温传输，实现同时平行检测</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2.4加热辅助气为He或N2</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2.5采用特定技术设定分流，分流比可以调节</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★2.6平行测定接口，不存在死体积，完全惰性化处理</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2.7加湿系统的湿度可调，能保证人鼻安全舒适的感官评价</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2.8独立的混合腔，可加热，避免高沸点物质冷凝</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2.9流路控制：配备质量流路控制器</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2.10使用声音识别软件对峰自动标记：将操作者的感受以完整的文件记录。</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2.11与大多数标准检测器平行使用，包括质谱检测器</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2.12可以与实验室现有气相色谱－质谱联用仪有良好的连接（接口在侧面）</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★2.13操作软件可以完全嵌合在实验室现有色谱工作站中，即通过色谱工作站中的下拉菜单可以选择并且控制嗅辨仪的操作软件</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★2.14可用热脱附管快速更换嗅觉口，多次收集气味进行二次分析</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3、风味气味浓缩富集</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3.1 满足固体，脱附管直接进样，具有二次解析功能</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★3.2 脱附解析区和二次冷阱是独立模块，适合标准3.5英寸长的吸附管，脱附室与冷阱直接连接，实现无阀输线</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3.3 一级热脱附温度范围：10℃-350℃，最小增加值：1℃，二级冷阱温度范围：-150～450℃，最小增加值：1℃；</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3.4 脱附室具备低温下预干燥、吹扫功能</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★3.5 冷阱具有分流/不分流、大体积进样模式，实现大体积进样功能</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4、动态顶空功能（大体积样品气味直接浓缩进样）</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4.1 连续自动处理多个样品，最多可实现120位样品的处理量，</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★4.2 具有富集功能：最多可选3根不同捕集管对同一样品中的有机物进行富集</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4.3 采用惰性化处理加热双针管进行样品组分传输，传输针温度150℃</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4.4 样品加热温度：30～200℃；捕集温度：20～70℃</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4.5 吹扫气体：He或N2，流速：5～100ml/min，震摇速度：250～1500rpm</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5、微萃取搅拌功能</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★5.1 配置有磁力搅拌子吸附萃取功能：萃取效率是普通SPME萃取针的100～1000倍</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5.2 磁力吸附搅拌子：可直接放置于液体样品中萃取（包括污水），搅拌子可重复多次使用。</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6、液体顶空进样功能</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6.1 通用型注射器支架: 可装1 µL～1000µL 注射器，无需额外购置针座，方便地实现从0.12uL～1000uL不同的样品进样体积；也适用1mL，2.5mL及5mL注射器</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★6.2 CIS大体积进样口, 最大进样体积：1000ul</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6.3 进样针在样品与进样口的深入度可调：样品中1～45mm，进样口10～45mm</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6.4  6位加热搅拌器：35～200℃，1℃温度增量；振荡速度：250～750rpm；可同时加热，全部过程实现软件控制</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6.5 液体进样重复性：RSD ＜ 0.60%，烷烃类C14/C15/ C16, 1 uL分流模式</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6.6 顶空进样重复性：RSD ＜1.00 %，异辛烷10 uL在20 mL样品瓶中, 500 uL进样针</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6.7 顶空有多次样品富集功能</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四、主要配置和备品配件</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1、风味分析多功能平台，含软件1套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2、气相色谱仪/质谱仪 安装支架1套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3、热脱附和CIS大体积进样模块1套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4、动态顶空模块1套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5、搅拌子功能模块1套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6、风味分析套件1套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7、10μL液体进样针2根，2.5mL顶空进样针2根，2mL液体进样小瓶100个（带盖子），10/20mL顶空瓶100个（带盖子和隔垫）</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8、Twister的组合装，PDMS涂层，1盒，热脱附管适配器，10个/盒，2盒，热脱附管适配器（液体进样），10个/盒，1盒，热脱附空管，5根/盒，2盒</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9、不同组合的CIS衬管，1盒，CIS衬管石墨垫，5个/盒，1盒，用于内径0.32mm色谱分析柱上的石墨垫，10个/盒，1盒</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10、用于热脱附管内的微型瓶，200个/包，1包，适配器隔垫，100个/包，1包。</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11、质谱香精香料库 一套。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12、风味分析质谱专用毛细管色谱柱2根。</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13、英文说明书及中文操作说明1套。</w:t>
            </w:r>
          </w:p>
          <w:p>
            <w:pPr>
              <w:spacing w:line="360" w:lineRule="auto"/>
              <w:rPr>
                <w:rFonts w:ascii="宋体" w:hAnsi="宋体" w:cs="宋体"/>
                <w:b/>
                <w:color w:val="auto"/>
                <w:szCs w:val="21"/>
                <w:highlight w:val="none"/>
              </w:rPr>
            </w:pPr>
            <w:r>
              <w:rPr>
                <w:rFonts w:hint="eastAsia" w:ascii="宋体" w:hAnsi="宋体" w:cs="宋体"/>
                <w:b/>
                <w:color w:val="auto"/>
                <w:szCs w:val="21"/>
                <w:highlight w:val="none"/>
              </w:rPr>
              <w:t>五、技术服务</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★1、应用工程师协助</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运用固相微萃取，热脱附，动态顶空，搅拌子功能模块技术建立茉莉花标准。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4</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 w:val="22"/>
                <w:szCs w:val="22"/>
                <w:highlight w:val="none"/>
              </w:rPr>
              <w:t>全自动氮吹浓缩仪（配大流量氮气发生器）</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 w:val="22"/>
                <w:szCs w:val="22"/>
                <w:highlight w:val="none"/>
              </w:rPr>
              <w:t>1套</w:t>
            </w:r>
          </w:p>
        </w:tc>
        <w:tc>
          <w:tcPr>
            <w:tcW w:w="6840" w:type="dxa"/>
            <w:tcBorders>
              <w:top w:val="single" w:color="auto" w:sz="4" w:space="0"/>
              <w:left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 xml:space="preserve">1、工作条件 </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1.1 工作温度：10～40℃</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1.2 湿度：20～80%</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1.3 电源：单相200～240 V，50/60 Hz</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2、技术规格及要求</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 利用水浴均匀加热和氮吹共同作用的方式对样品进行平行浓缩</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★2.2 批量处理能力：最多可60个样品同时进行浓缩，可在不更改主机大小的情况下扩展为100个样品同时处理。</w:t>
            </w:r>
          </w:p>
          <w:p>
            <w:pPr>
              <w:widowControl/>
              <w:spacing w:line="360" w:lineRule="exact"/>
              <w:jc w:val="left"/>
              <w:textAlignment w:val="center"/>
              <w:rPr>
                <w:rFonts w:ascii="宋体" w:hAnsi="宋体" w:cs="宋体"/>
                <w:strike/>
                <w:color w:val="auto"/>
                <w:szCs w:val="21"/>
                <w:highlight w:val="none"/>
              </w:rPr>
            </w:pPr>
            <w:r>
              <w:rPr>
                <w:rFonts w:hint="eastAsia" w:ascii="宋体" w:hAnsi="宋体" w:cs="宋体"/>
                <w:color w:val="auto"/>
                <w:szCs w:val="21"/>
                <w:highlight w:val="none"/>
              </w:rPr>
              <w:t>2.3 浓缩管体积：10ml～100ml，可兼容多种不同规格浓缩管。</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★2.4浓缩过程中，氮吹针可随液面自动匀速下降，可通过软件对针位移速度进行直接的设定，垂直移动距离大于10cm。</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2.5 氮吹针升降模式可选择：手动控制升降或自动升降。</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★2.6气体压力大小仪器根据软件设定自动调节，除了气源处的减压阀，仪器使用无任何需要手动调节的压力阀。</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★2.7每排氮气通道仪可单独控制，每个通道的气流由比例调节阀进行自动分配，出去口气流大小有软件直接设定，气流大小不受开启通道数的影响。</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★2.8 氮吹针可在无任何工具的协助下手动整排快速拔除拆卸，无需拆卸任何螺母等固定结构。</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2.9可视玻璃窗设计，用户可随时观察浓缩状态，浓缩仪前部开窗控制并具有照明功能，浓缩过程可视，无须拿出杯子后观察是否浓缩到期待体积的繁琐操作。</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★2.10 可与全自动固相萃取仪共用样品架，实现样品前处理步骤的连接。</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★2.11具有单独的氮吹至近干模块，可外置独立的手持气路用于手动对样品进行近干的操作。</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★2.12 加热模块采用电动抽屉方式，方便进行试管架或试管的拿取或更换。</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2.12.1 水浴方式加热，导热效率高、均匀，浓缩速度快。</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2.12.2 显示值基本误差：小于0.5%。</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2.12.3 控温方式：PID；控温精度：±0.1℃；控温范围：室温～100℃。</w:t>
            </w:r>
          </w:p>
          <w:p>
            <w:pPr>
              <w:widowControl/>
              <w:spacing w:line="360" w:lineRule="exact"/>
              <w:jc w:val="left"/>
              <w:textAlignment w:val="center"/>
              <w:rPr>
                <w:rFonts w:ascii="宋体" w:hAnsi="宋体" w:cs="宋体"/>
                <w:strike/>
                <w:color w:val="auto"/>
                <w:szCs w:val="21"/>
                <w:highlight w:val="none"/>
              </w:rPr>
            </w:pPr>
            <w:r>
              <w:rPr>
                <w:rFonts w:hint="eastAsia" w:ascii="宋体" w:hAnsi="宋体" w:cs="宋体"/>
                <w:color w:val="auto"/>
                <w:szCs w:val="21"/>
                <w:highlight w:val="none"/>
              </w:rPr>
              <w:t>★2.13 样品架与加热模块分体式设计，可不拆卸任何部件的情况下手动进行样品架的更换。</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★2.14 浓缩过程中具有锁定功能：浓缩时抽屉自动关闭实现锁定功能，暂停或结束时抽屉可自动打开，氮吹针可自动升降或复位。</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2.15 具有水位超限报警，压力超限报警等功能，并自动切断气流。</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★2.16 操作系统：简单易用，人性化设计，可通过手机、PAD等设备进行方法的编辑、修改、控制等。</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3、配套氮气发生器：为氮吹、浓缩仪等样品前处理仪器提供所需的高纯度、洁净的氮气，保障配套仪器的稳定使用。</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★3.1 采用一体式设计，整机集成空压机、净化除水系统、储气罐、氮气分离制备系统。</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★3.2 采用复合型常温低压中空纤维膜分离技术。</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3.3 氮气流量≥70L/min。</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3.4 氮气纯度：高达99%。</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3.5 输出压力：80psi，可任意调节。</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3.6 无液滴残留、无邻苯二甲酸酯类化合物残留、颗粒物小于0.01um、压力露点＜－40℃。</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★3.7 极少维护需求，极易维护，低成本维护，年度滤芯更换需求，用户可自行在数分钟内完成全部更换工作，无特殊工具需要。</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3.8 程序控制智能化的自诊断功能和服务提示功能。</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 xml:space="preserve">3.9 </w:t>
            </w:r>
            <w:r>
              <w:rPr>
                <w:rFonts w:hint="eastAsia" w:ascii="宋体" w:hAnsi="宋体" w:cs="宋体"/>
                <w:b/>
                <w:color w:val="auto"/>
                <w:szCs w:val="21"/>
                <w:highlight w:val="none"/>
              </w:rPr>
              <w:t>高度</w:t>
            </w:r>
            <w:r>
              <w:rPr>
                <w:rFonts w:hint="eastAsia" w:ascii="宋体" w:hAnsi="宋体" w:cs="宋体"/>
                <w:color w:val="auto"/>
                <w:szCs w:val="21"/>
                <w:highlight w:val="none"/>
              </w:rPr>
              <w:t>集成的模块化结构设计。</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★3.10 主机内部集成大功率无油空气压缩机，功率≥1500W，无需外置，空压机自动启停避免过度工作产生故障，优化设计彻底消除共振。</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★3.11 内置缓冲罐：容积≥40L，整体材质均为不锈钢。</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3.12 采用多级超精密高通量压缩空气净化系统，且带过滤单元失效预警提示。</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3.13 系统采用“加倍冗余干燥净化技术”，全自动冷凝水排放，解决“梅雨天、高湿度”工作环境，延长维护保养周期。</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3.14系统内置贮气罐稳压单元，带国际标准的安全阀设计。</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3.15可移动式设计，方便移动。</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4、配置要求</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4.1 全自动平行浓缩仪主机 1台</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4.2 60位氮吹模组 1套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4.3 水浴加热模组 1套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4.4 试管架 1套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4.5 20ml试管100个/包 2包</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4.6 控制软件 1套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4.7 氮气发生器主机 1台</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4.8 近干模组 1套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5</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凯式蒸馏仪</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1套</w:t>
            </w:r>
          </w:p>
        </w:tc>
        <w:tc>
          <w:tcPr>
            <w:tcW w:w="6840" w:type="dxa"/>
            <w:tcBorders>
              <w:top w:val="single" w:color="auto" w:sz="4" w:space="0"/>
              <w:left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一、主要用途：</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用于易挥发样品例如：亚硫酸盐、酒精、甲醛、挥发性酸、氨基态氮等的蒸馏测定。</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二、技术指标：</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 总氮检测方法：常量，半微量氮测定(符合AOAC,IP,DIN,GB等)；</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2.2 最低检测限：≥0.1mg N；</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2.3 测量范围：0～100mgN；</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2.4 重复性：≤± 1%；</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2.5 回收率：≥99.5%；</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2.6 自动完成样品的加水稀释、加碱、蒸馏；</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★2.7仪器采用液晶显示屏，智能控制面板，可以方便快捷的操作；</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2.8 蒸馏时间：60mgN/4min，自动排空清洗时间≤1min；</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★2.9全玻璃透明蒸馏区域，可方便观察蒸馏过程，直观安全。并有隔热保护装置确保蒸汽发生器，高效安全，无需维护；防溅保护器采用耐腐蚀塑料材质；</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2.10 安全功能：开机自检功能、样品管在位感应器、防护门感应器、蒸汽发生器过热过压保护和错误提醒功能；当仪器进入待机状态时自动切断冷却水或仪器工作时自动接通冷却水循环，确保利用高效率，节约水资源；</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★2.11带有独立耐酸泵可以做其他蒸馏测定，如苯酚，二氧化硫，挥发性酸等的蒸馏滴定，直接加入酸性或碱性腐蚀性溶液。</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三、配置要求：</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3.1.蒸馏仪 1台；</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3.2.300ml消化管25个；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6</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 w:val="22"/>
                <w:szCs w:val="22"/>
                <w:highlight w:val="none"/>
              </w:rPr>
              <w:t>振动筛分仪（配分样器）</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 w:val="22"/>
                <w:szCs w:val="22"/>
                <w:highlight w:val="none"/>
              </w:rPr>
              <w:t>1套</w:t>
            </w:r>
          </w:p>
        </w:tc>
        <w:tc>
          <w:tcPr>
            <w:tcW w:w="6840" w:type="dxa"/>
            <w:tcBorders>
              <w:top w:val="single" w:color="auto" w:sz="4" w:space="0"/>
              <w:left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1、仪器系统</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1.1 仪器由筛分仪主机、快速紧固装置和分析筛组成。广泛应用于科研、开发、生产加工和质量控制领域。能够非常快速、便捷、准确的对分散的固体物质的粒径大小和分布进行分离、分级和确定粒径。</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2、筛分仪系统</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 测量范围：20um～125mm，最细可提供10um或者16um电镀分析筛</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2.2 最大样品处理量：3Kg</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2.3 最大分析筛级数：11级/23级</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★2.4设备的筛分振幅模式可转化为不受电源频率影响的底座加速度筛分模式，筛塔加速度范围：1.0～15.1g（g为重力加速度）</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2.5时间显示为数字式，时间设置范围：1～99分钟,间歇驱动设置范围：1～99秒</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★2.6 可存储99种参数组合</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2.7 振幅数字式，0.2～3mm</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2.8 可以进行干筛和湿筛</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★2.9设备采用电磁驱动动力，产生三维的抛掷运动，使得筛分物能均一分布运动在整个筛分截面上，确保在短时间内产生更高的分离精度和更高的效率。</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2.10可选配EASY SIEVE软件，实现自动化的操作，通过电脑对筛分仪的整个筛分过程进行监控和记录，并自动分析结果。</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★2.11舒适型comfort紧固装置采用独特设计，只需在顶部的手柄处轻轻一按，就能安全、快速的固定好分析筛，带有可视有机玻璃窗。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3、分析筛</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★3.1分析筛外筐一次成型，筛网无槽过渡，无焊接，不产生残留，彻底避免产品交叉污染</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★3.2 分析筛独立包装，自带减震抗躁的专用密封圈，适用于直径200mm的筛子</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★3.3 采用高合金化的优质钢材（食品医药级316L）使得分析筛具有高度耐腐蚀性，并且非常便于清洗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3.4 激光刻制标识给分析筛清晰准确的作上标记，便于进行产品的追踪，符合GLP</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 xml:space="preserve">3.5 前端配置分样仪符合茶叶分样的要求. </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4、配置要求</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4.1 振荡筛分仪主机1台（带收集盘）</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4.2 舒适型紧固装置1套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4.3 适合茶叶分析的粉末筛各4个0.18mm、0.23mm、0.45mm、0.63mm。</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4.4适合茶叶分析的碎茶筛各2个1.25mm、1.60mm和毛茶1个1.12mm，颗粒茶1个75µm。</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4.5 分样器 一套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7</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茶叶审评杯碗</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80套</w:t>
            </w:r>
          </w:p>
        </w:tc>
        <w:tc>
          <w:tcPr>
            <w:tcW w:w="6840" w:type="dxa"/>
            <w:tcBorders>
              <w:top w:val="single" w:color="auto" w:sz="4" w:space="0"/>
              <w:left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1、精制茶审评杯碗：杯呈圆柱形，高66mm，外径67mm，容量150mL。具盖，盖上有一小孔，杯盖上面外径76mm。与杯柄相对的杯口上缘有三个呈锯齿形的滤茶口，口中心深3mm，宽2.5mm。碗高56mm，上口外径95mm，容量240mL。</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2、乌龙茶审评杯碗：杯呈倒钟形，高52mm，上口外径83mm，容量110mL。具盖，盖外径72mm。碗高51mm，上口外径95mm，容量160mL</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648"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60" w:lineRule="exact"/>
              <w:outlineLvl w:val="0"/>
              <w:rPr>
                <w:rFonts w:ascii="宋体" w:hAnsi="宋体" w:cs="宋体"/>
                <w:b/>
                <w:color w:val="auto"/>
                <w:szCs w:val="21"/>
                <w:highlight w:val="none"/>
              </w:rPr>
            </w:pPr>
            <w:r>
              <w:rPr>
                <w:rFonts w:hint="eastAsia" w:ascii="宋体" w:hAnsi="宋体" w:cs="宋体"/>
                <w:b/>
                <w:color w:val="auto"/>
                <w:szCs w:val="21"/>
                <w:highlight w:val="none"/>
              </w:rPr>
              <w:t>二、商务要求表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54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color w:val="auto"/>
                <w:kern w:val="0"/>
                <w:szCs w:val="21"/>
                <w:highlight w:val="none"/>
              </w:rPr>
              <w:t>★</w:t>
            </w:r>
            <w:r>
              <w:rPr>
                <w:rFonts w:hint="eastAsia" w:ascii="宋体" w:hAnsi="宋体" w:cs="宋体"/>
                <w:color w:val="auto"/>
                <w:szCs w:val="21"/>
                <w:highlight w:val="none"/>
              </w:rPr>
              <w:t>质保期</w:t>
            </w:r>
          </w:p>
        </w:tc>
        <w:tc>
          <w:tcPr>
            <w:tcW w:w="810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left="2"/>
              <w:rPr>
                <w:rFonts w:ascii="宋体" w:hAnsi="宋体" w:cs="宋体"/>
                <w:color w:val="auto"/>
                <w:szCs w:val="21"/>
                <w:highlight w:val="none"/>
              </w:rPr>
            </w:pPr>
            <w:r>
              <w:rPr>
                <w:rFonts w:hint="eastAsia" w:ascii="宋体" w:hAnsi="宋体" w:cs="宋体"/>
                <w:color w:val="auto"/>
                <w:szCs w:val="21"/>
                <w:highlight w:val="none"/>
              </w:rPr>
              <w:t>要求整机及附件质保期不少于一年（含一年），保修期内出现质量问题，需派出技术员到达现场处理质量问题，并承担一切费用。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54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color w:val="auto"/>
                <w:kern w:val="0"/>
                <w:szCs w:val="21"/>
                <w:highlight w:val="none"/>
              </w:rPr>
              <w:t>★</w:t>
            </w:r>
            <w:r>
              <w:rPr>
                <w:rFonts w:hint="eastAsia" w:ascii="宋体" w:hAnsi="宋体" w:cs="宋体"/>
                <w:color w:val="auto"/>
                <w:szCs w:val="21"/>
                <w:highlight w:val="none"/>
              </w:rPr>
              <w:t>售后服务要求</w:t>
            </w:r>
          </w:p>
        </w:tc>
        <w:tc>
          <w:tcPr>
            <w:tcW w:w="810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80" w:lineRule="exact"/>
              <w:outlineLvl w:val="0"/>
              <w:rPr>
                <w:rFonts w:ascii="宋体" w:hAnsi="宋体" w:cs="宋体"/>
                <w:color w:val="auto"/>
                <w:szCs w:val="21"/>
                <w:highlight w:val="none"/>
              </w:rPr>
            </w:pPr>
            <w:r>
              <w:rPr>
                <w:rFonts w:hint="eastAsia" w:ascii="宋体" w:hAnsi="宋体" w:cs="宋体"/>
                <w:color w:val="auto"/>
                <w:szCs w:val="21"/>
                <w:highlight w:val="none"/>
              </w:rPr>
              <w:t>1、免费送货上门、免费安装调试、免费培训。</w:t>
            </w:r>
          </w:p>
          <w:p>
            <w:pPr>
              <w:spacing w:line="380" w:lineRule="exact"/>
              <w:rPr>
                <w:rFonts w:ascii="宋体" w:hAnsi="宋体" w:cs="宋体"/>
                <w:color w:val="auto"/>
                <w:szCs w:val="21"/>
                <w:highlight w:val="none"/>
              </w:rPr>
            </w:pPr>
            <w:r>
              <w:rPr>
                <w:rFonts w:hint="eastAsia" w:ascii="宋体" w:hAnsi="宋体" w:cs="宋体"/>
                <w:color w:val="auto"/>
                <w:szCs w:val="21"/>
                <w:highlight w:val="none"/>
              </w:rPr>
              <w:t>2、安装调试和培训：到货后，厂家需在接到用户通知后10个工作日内进行安装调试；提供用户至少两名管理人员的现场操作使用及基本维护的免费培训，使受训人员了解货物的工作原理、操作规程、以及维护、保养方法。</w:t>
            </w:r>
          </w:p>
          <w:p>
            <w:pPr>
              <w:spacing w:line="400" w:lineRule="exact"/>
              <w:jc w:val="left"/>
              <w:rPr>
                <w:rFonts w:ascii="宋体" w:hAnsi="宋体" w:cs="宋体"/>
                <w:color w:val="auto"/>
                <w:szCs w:val="21"/>
                <w:highlight w:val="none"/>
              </w:rPr>
            </w:pPr>
            <w:r>
              <w:rPr>
                <w:rFonts w:hint="eastAsia" w:ascii="宋体" w:hAnsi="宋体" w:cs="宋体"/>
                <w:color w:val="auto"/>
                <w:szCs w:val="21"/>
                <w:highlight w:val="none"/>
              </w:rPr>
              <w:t>3、接到采购单位故障通知，2小时内响应，24小时内到现场进行维修，当设备出现重大故障48小时内无法修复的需提供备品备件或备用机。</w:t>
            </w:r>
          </w:p>
          <w:p>
            <w:pPr>
              <w:spacing w:line="380" w:lineRule="exact"/>
              <w:rPr>
                <w:rFonts w:ascii="宋体" w:hAnsi="宋体" w:cs="宋体"/>
                <w:color w:val="auto"/>
                <w:szCs w:val="21"/>
                <w:highlight w:val="none"/>
              </w:rPr>
            </w:pPr>
            <w:r>
              <w:rPr>
                <w:rFonts w:hint="eastAsia" w:ascii="宋体" w:hAnsi="宋体" w:cs="宋体"/>
                <w:color w:val="auto"/>
                <w:szCs w:val="21"/>
                <w:highlight w:val="none"/>
              </w:rPr>
              <w:t>4、提供每季度不少于一次（含一次）的定期回访。</w:t>
            </w:r>
          </w:p>
          <w:p>
            <w:pPr>
              <w:spacing w:line="380" w:lineRule="exact"/>
              <w:rPr>
                <w:rFonts w:ascii="宋体" w:hAnsi="宋体" w:cs="宋体"/>
                <w:color w:val="auto"/>
                <w:szCs w:val="21"/>
                <w:highlight w:val="none"/>
              </w:rPr>
            </w:pPr>
            <w:r>
              <w:rPr>
                <w:rFonts w:hint="eastAsia" w:ascii="宋体" w:hAnsi="宋体" w:cs="宋体"/>
                <w:color w:val="auto"/>
                <w:szCs w:val="21"/>
                <w:highlight w:val="none"/>
              </w:rPr>
              <w:t>5、</w:t>
            </w:r>
            <w:r>
              <w:rPr>
                <w:rFonts w:hint="eastAsia" w:ascii="宋体" w:hAnsi="宋体" w:cs="宋体"/>
                <w:bCs/>
                <w:color w:val="auto"/>
                <w:szCs w:val="21"/>
                <w:highlight w:val="none"/>
              </w:rPr>
              <w:t>验收：按供货方合格证书技术资料中的技术指标、质量要求和双方签订的合同技术附件所规定的条款进行验收。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54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color w:val="auto"/>
                <w:kern w:val="0"/>
                <w:szCs w:val="21"/>
                <w:highlight w:val="none"/>
              </w:rPr>
              <w:t>★</w:t>
            </w:r>
            <w:r>
              <w:rPr>
                <w:rFonts w:hint="eastAsia" w:ascii="宋体" w:hAnsi="宋体" w:cs="宋体"/>
                <w:color w:val="auto"/>
                <w:szCs w:val="21"/>
                <w:highlight w:val="none"/>
              </w:rPr>
              <w:t>交货时间及地点</w:t>
            </w:r>
          </w:p>
        </w:tc>
        <w:tc>
          <w:tcPr>
            <w:tcW w:w="810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exact"/>
              <w:outlineLvl w:val="0"/>
              <w:rPr>
                <w:rFonts w:ascii="宋体" w:hAnsi="宋体" w:cs="宋体"/>
                <w:b/>
                <w:color w:val="auto"/>
                <w:szCs w:val="21"/>
                <w:highlight w:val="none"/>
              </w:rPr>
            </w:pPr>
            <w:r>
              <w:rPr>
                <w:rFonts w:hint="eastAsia" w:ascii="宋体" w:hAnsi="宋体" w:cs="宋体"/>
                <w:color w:val="auto"/>
                <w:szCs w:val="21"/>
                <w:highlight w:val="none"/>
              </w:rPr>
              <w:t>交货时间：</w:t>
            </w:r>
            <w:r>
              <w:rPr>
                <w:rFonts w:hint="eastAsia" w:ascii="宋体" w:hAnsi="宋体" w:cs="宋体"/>
                <w:b/>
                <w:color w:val="auto"/>
                <w:szCs w:val="21"/>
                <w:highlight w:val="none"/>
              </w:rPr>
              <w:t>进口设备自签订合同之日起</w:t>
            </w:r>
            <w:r>
              <w:rPr>
                <w:rFonts w:ascii="宋体" w:hAnsi="宋体" w:cs="宋体"/>
                <w:b/>
                <w:color w:val="auto"/>
                <w:szCs w:val="21"/>
                <w:highlight w:val="none"/>
              </w:rPr>
              <w:t>9</w:t>
            </w:r>
            <w:r>
              <w:rPr>
                <w:rFonts w:hint="eastAsia" w:ascii="宋体" w:hAnsi="宋体" w:cs="宋体"/>
                <w:b/>
                <w:color w:val="auto"/>
                <w:szCs w:val="21"/>
                <w:highlight w:val="none"/>
              </w:rPr>
              <w:t>0个日历日内安装调试完毕，国产设备自签订合同之日起30个日历日内安装调试完毕。</w:t>
            </w:r>
          </w:p>
          <w:p>
            <w:pPr>
              <w:snapToGrid w:val="0"/>
              <w:spacing w:line="360" w:lineRule="exact"/>
              <w:outlineLvl w:val="0"/>
              <w:rPr>
                <w:rFonts w:ascii="宋体" w:hAnsi="宋体" w:cs="宋体"/>
                <w:color w:val="auto"/>
                <w:szCs w:val="21"/>
                <w:highlight w:val="none"/>
              </w:rPr>
            </w:pPr>
            <w:r>
              <w:rPr>
                <w:rFonts w:hint="eastAsia" w:ascii="宋体" w:hAnsi="宋体" w:cs="宋体"/>
                <w:color w:val="auto"/>
                <w:szCs w:val="21"/>
                <w:highlight w:val="none"/>
              </w:rPr>
              <w:t>交货地点：横县采购人指定地点。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54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付款条件</w:t>
            </w:r>
          </w:p>
        </w:tc>
        <w:tc>
          <w:tcPr>
            <w:tcW w:w="810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exact"/>
              <w:outlineLvl w:val="0"/>
              <w:rPr>
                <w:rFonts w:ascii="宋体" w:hAnsi="宋体" w:cs="宋体"/>
                <w:color w:val="auto"/>
                <w:szCs w:val="21"/>
                <w:highlight w:val="none"/>
              </w:rPr>
            </w:pPr>
            <w:r>
              <w:rPr>
                <w:rFonts w:hint="eastAsia" w:ascii="宋体" w:hAnsi="宋体" w:cs="宋体"/>
                <w:color w:val="auto"/>
                <w:szCs w:val="21"/>
                <w:highlight w:val="none"/>
              </w:rPr>
              <w:t>交货验收合格后二十个工作日内，由采购人一次性付清中标人的全部结算款项的100%（无预付款）。中标人自收到款项之日起三个工作日内开具发票给采购人。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54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bCs/>
                <w:color w:val="auto"/>
                <w:szCs w:val="21"/>
                <w:highlight w:val="none"/>
              </w:rPr>
            </w:pPr>
            <w:r>
              <w:rPr>
                <w:rFonts w:hint="eastAsia" w:ascii="宋体" w:hAnsi="宋体" w:cs="宋体"/>
                <w:b/>
                <w:bCs/>
                <w:color w:val="auto"/>
                <w:szCs w:val="21"/>
                <w:highlight w:val="none"/>
              </w:rPr>
              <w:t>履约保证金及质量保证金</w:t>
            </w:r>
          </w:p>
        </w:tc>
        <w:tc>
          <w:tcPr>
            <w:tcW w:w="810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auto"/>
                <w:szCs w:val="21"/>
                <w:highlight w:val="none"/>
              </w:rPr>
            </w:pPr>
            <w:r>
              <w:rPr>
                <w:rFonts w:hint="eastAsia" w:ascii="宋体" w:hAnsi="宋体" w:cs="宋体"/>
                <w:color w:val="auto"/>
                <w:szCs w:val="21"/>
                <w:highlight w:val="none"/>
              </w:rPr>
              <w:t>中标人在采购合同签订后五个工作日内，按合同金额的5%向采购单位指定账户缴纳履约保证金，项目验收完毕后自动转为质量保证金，质保期（投标人承诺质保期延长的则按承诺执行）满后无质量问题可向采购单位申请退还，采购单位在收到申请后五个工作日内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6" w:hRule="atLeast"/>
          <w:jc w:val="center"/>
        </w:trPr>
        <w:tc>
          <w:tcPr>
            <w:tcW w:w="154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color w:val="auto"/>
                <w:kern w:val="0"/>
                <w:szCs w:val="21"/>
                <w:highlight w:val="none"/>
              </w:rPr>
              <w:t>★厂家</w:t>
            </w:r>
            <w:r>
              <w:rPr>
                <w:rFonts w:hint="eastAsia" w:ascii="宋体" w:hAnsi="宋体" w:cs="宋体"/>
                <w:color w:val="auto"/>
                <w:szCs w:val="21"/>
                <w:highlight w:val="none"/>
              </w:rPr>
              <w:t>授权要求</w:t>
            </w:r>
          </w:p>
        </w:tc>
        <w:tc>
          <w:tcPr>
            <w:tcW w:w="810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s="宋体"/>
                <w:color w:val="auto"/>
                <w:szCs w:val="21"/>
                <w:highlight w:val="none"/>
              </w:rPr>
            </w:pPr>
            <w:r>
              <w:rPr>
                <w:rFonts w:hint="eastAsia" w:ascii="宋体" w:hAnsi="宋体" w:cs="宋体"/>
                <w:color w:val="auto"/>
                <w:szCs w:val="21"/>
                <w:highlight w:val="none"/>
              </w:rPr>
              <w:t>本</w:t>
            </w:r>
            <w:r>
              <w:rPr>
                <w:rFonts w:hint="eastAsia" w:ascii="宋体" w:hAnsi="宋体" w:cs="宋体"/>
                <w:color w:val="auto"/>
                <w:szCs w:val="21"/>
                <w:highlight w:val="none"/>
                <w:lang w:eastAsia="zh-CN"/>
              </w:rPr>
              <w:t>标段</w:t>
            </w:r>
            <w:r>
              <w:rPr>
                <w:rFonts w:hint="eastAsia" w:ascii="宋体" w:hAnsi="宋体" w:cs="宋体"/>
                <w:color w:val="auto"/>
                <w:szCs w:val="21"/>
                <w:highlight w:val="none"/>
              </w:rPr>
              <w:t>的</w:t>
            </w:r>
            <w:r>
              <w:rPr>
                <w:rFonts w:hint="eastAsia" w:ascii="宋体" w:hAnsi="宋体" w:cs="宋体"/>
                <w:b/>
                <w:color w:val="auto"/>
                <w:szCs w:val="21"/>
                <w:highlight w:val="none"/>
              </w:rPr>
              <w:t>第2、3、6项</w:t>
            </w:r>
            <w:r>
              <w:rPr>
                <w:rFonts w:hint="eastAsia" w:ascii="宋体" w:hAnsi="宋体" w:cs="宋体"/>
                <w:color w:val="auto"/>
                <w:szCs w:val="21"/>
                <w:highlight w:val="none"/>
              </w:rPr>
              <w:t>设备属于非生产厂家参加投标的，须提供仪器设备生产厂家或国内总代理商出具的有效授权书原件和售后服务承诺书。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54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其他要求</w:t>
            </w:r>
          </w:p>
        </w:tc>
        <w:tc>
          <w:tcPr>
            <w:tcW w:w="810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auto"/>
                <w:highlight w:val="none"/>
              </w:rPr>
            </w:pPr>
            <w:r>
              <w:rPr>
                <w:rFonts w:hint="eastAsia" w:ascii="宋体" w:hAnsi="宋体" w:cs="宋体"/>
                <w:color w:val="auto"/>
                <w:highlight w:val="none"/>
              </w:rPr>
              <w:t>★1、本</w:t>
            </w:r>
            <w:r>
              <w:rPr>
                <w:rFonts w:hint="eastAsia" w:ascii="宋体" w:hAnsi="宋体" w:cs="宋体"/>
                <w:color w:val="auto"/>
                <w:highlight w:val="none"/>
                <w:lang w:eastAsia="zh-CN"/>
              </w:rPr>
              <w:t>标段</w:t>
            </w:r>
            <w:r>
              <w:rPr>
                <w:rFonts w:hint="eastAsia" w:ascii="宋体" w:hAnsi="宋体" w:cs="宋体"/>
                <w:color w:val="auto"/>
                <w:highlight w:val="none"/>
              </w:rPr>
              <w:t>的第1、2、3、5、6项设备已按规定办妥进口产品采购审核手续，投标产品可选用进口产品，如选用进口产品时必须为全套原装进口产品（即通过中国海关报关验放进入中国境内且产自关境外的产品），要求：①中标人负责办理进口设备的相关手续及承担相关的所有费用；②如投标人不具备进出口业务代理资质，则其报价中必须包含关税在内的所有相关进出口税费。其余设备不接受进口产品投标。</w:t>
            </w:r>
          </w:p>
          <w:p>
            <w:pPr>
              <w:spacing w:line="360" w:lineRule="exact"/>
              <w:jc w:val="left"/>
              <w:rPr>
                <w:rFonts w:ascii="宋体" w:hAnsi="宋体" w:cs="宋体"/>
                <w:color w:val="auto"/>
                <w:highlight w:val="none"/>
              </w:rPr>
            </w:pPr>
            <w:r>
              <w:rPr>
                <w:rFonts w:hint="eastAsia" w:ascii="宋体" w:hAnsi="宋体" w:cs="宋体"/>
                <w:color w:val="auto"/>
                <w:highlight w:val="none"/>
              </w:rPr>
              <w:t>★2、所投产品若属《节能产品政府采购清单》中强制采购节能产品范围的，必须提供节能产品，并提供相关证明材料（如：所投产品列入的《节能产品政府采购清单》截图）。</w:t>
            </w:r>
          </w:p>
          <w:p>
            <w:pPr>
              <w:spacing w:line="400" w:lineRule="exact"/>
              <w:jc w:val="left"/>
              <w:rPr>
                <w:rFonts w:ascii="宋体" w:hAnsi="宋体" w:cs="宋体"/>
                <w:b/>
                <w:color w:val="auto"/>
                <w:highlight w:val="none"/>
              </w:rPr>
            </w:pPr>
            <w:r>
              <w:rPr>
                <w:rFonts w:hint="eastAsia" w:ascii="宋体" w:hAnsi="宋体" w:cs="宋体"/>
                <w:b/>
                <w:color w:val="auto"/>
                <w:highlight w:val="none"/>
              </w:rPr>
              <w:t>3、投标时提供产品的说明书或彩页（体现重要的技术参数）；与投标文件一并装订，也可以是从生产厂家网页下载的PDF或HTML文件，彩页上应有详细的产品技术介绍、技术参数、产品图样照片等。（如有，请提供）</w:t>
            </w:r>
          </w:p>
          <w:p>
            <w:pPr>
              <w:spacing w:line="360" w:lineRule="exact"/>
              <w:jc w:val="left"/>
              <w:rPr>
                <w:rFonts w:ascii="宋体" w:hAnsi="宋体" w:cs="宋体"/>
                <w:color w:val="auto"/>
                <w:highlight w:val="none"/>
              </w:rPr>
            </w:pPr>
            <w:r>
              <w:rPr>
                <w:rFonts w:hint="eastAsia" w:ascii="宋体" w:hAnsi="宋体" w:cs="宋体"/>
                <w:color w:val="auto"/>
                <w:highlight w:val="none"/>
              </w:rPr>
              <w:t>★4、投标文件中所承诺的货物性能参数、技术规格应该与生产厂家公开印发该货物产品说明书或产品彩页相一致；如不一致，投标人必须提供由生产厂家或其合法派出机构出具的说明其原因的有效证明文件。投标人必须根据招标要求的技术参数（配置）及要求中的每项指标要求，如实逐项填写技术响应、偏离情况说明表。</w:t>
            </w:r>
          </w:p>
          <w:p>
            <w:pPr>
              <w:spacing w:line="360" w:lineRule="exact"/>
              <w:jc w:val="left"/>
              <w:rPr>
                <w:rFonts w:ascii="宋体" w:hAnsi="宋体" w:cs="宋体"/>
                <w:color w:val="auto"/>
                <w:highlight w:val="none"/>
              </w:rPr>
            </w:pPr>
            <w:r>
              <w:rPr>
                <w:rFonts w:hint="eastAsia" w:ascii="宋体" w:hAnsi="宋体" w:cs="宋体"/>
                <w:color w:val="auto"/>
                <w:highlight w:val="none"/>
              </w:rPr>
              <w:t>★5、所有设备必须为原厂出产全新、未经使用的设备；设备到达现场后，供货方派专业工程师到现场与用户一起开箱检验，按设备配置清单进行验收，若有短少或损坏在三个工作日内补足或更换全新同规格产品。采购单位对设备验收合格后，由双方共同签署验收合格证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54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color w:val="auto"/>
                <w:highlight w:val="none"/>
              </w:rPr>
              <w:t>★</w:t>
            </w:r>
            <w:r>
              <w:rPr>
                <w:rFonts w:hint="eastAsia" w:ascii="宋体" w:hAnsi="宋体" w:cs="宋体"/>
                <w:color w:val="auto"/>
                <w:szCs w:val="21"/>
                <w:highlight w:val="none"/>
              </w:rPr>
              <w:t>核心产品</w:t>
            </w:r>
          </w:p>
        </w:tc>
        <w:tc>
          <w:tcPr>
            <w:tcW w:w="810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auto"/>
                <w:highlight w:val="none"/>
              </w:rPr>
            </w:pPr>
            <w:r>
              <w:rPr>
                <w:rFonts w:hint="eastAsia" w:ascii="宋体" w:hAnsi="宋体" w:cs="宋体"/>
                <w:color w:val="auto"/>
                <w:highlight w:val="none"/>
              </w:rPr>
              <w:t>本</w:t>
            </w:r>
            <w:r>
              <w:rPr>
                <w:rFonts w:hint="eastAsia" w:ascii="宋体" w:hAnsi="宋体" w:cs="宋体"/>
                <w:color w:val="auto"/>
                <w:highlight w:val="none"/>
                <w:lang w:eastAsia="zh-CN"/>
              </w:rPr>
              <w:t>标段</w:t>
            </w:r>
            <w:r>
              <w:rPr>
                <w:rFonts w:hint="eastAsia" w:ascii="宋体" w:hAnsi="宋体" w:cs="宋体"/>
                <w:b/>
                <w:color w:val="auto"/>
                <w:highlight w:val="none"/>
              </w:rPr>
              <w:t>第3项“风味分析多功能平台”</w:t>
            </w:r>
            <w:r>
              <w:rPr>
                <w:rFonts w:hint="eastAsia" w:ascii="宋体" w:hAnsi="宋体" w:cs="宋体"/>
                <w:color w:val="auto"/>
                <w:highlight w:val="none"/>
              </w:rPr>
              <w:t>为本次采购的核心产品。</w:t>
            </w:r>
          </w:p>
          <w:p>
            <w:pPr>
              <w:spacing w:line="360" w:lineRule="exact"/>
              <w:jc w:val="left"/>
              <w:rPr>
                <w:rFonts w:ascii="宋体" w:hAnsi="宋体" w:cs="宋体"/>
                <w:color w:val="auto"/>
                <w:highlight w:val="none"/>
              </w:rPr>
            </w:pPr>
            <w:r>
              <w:rPr>
                <w:rFonts w:hint="eastAsia" w:ascii="宋体" w:hAnsi="宋体" w:cs="宋体"/>
                <w:color w:val="auto"/>
                <w:highlight w:val="none"/>
              </w:rPr>
              <w:t xml:space="preserve">    提供相同品牌产品且通过资格审查、符合性审查的不同投标人参加同一合同项下投标的，按一家投标人计算，评审后得分最高的同品牌投标人获得中标人推荐资格（评审得分相同的，以投标报价由低到高顺序排列；得分相同且投标报价相同的，按技术分由高到底顺序排列），其他同品牌投标人不作为中标候选人。</w:t>
            </w:r>
          </w:p>
        </w:tc>
      </w:tr>
    </w:tbl>
    <w:p>
      <w:pPr>
        <w:autoSpaceDE w:val="0"/>
        <w:autoSpaceDN w:val="0"/>
        <w:adjustRightInd w:val="0"/>
        <w:spacing w:line="360" w:lineRule="auto"/>
        <w:ind w:firstLine="352" w:firstLineChars="147"/>
        <w:rPr>
          <w:rFonts w:ascii="宋体" w:hAnsi="Arial"/>
          <w:color w:val="auto"/>
          <w:kern w:val="0"/>
          <w:sz w:val="24"/>
          <w:highlight w:val="none"/>
        </w:rPr>
      </w:pPr>
    </w:p>
    <w:p>
      <w:pPr>
        <w:pStyle w:val="2"/>
        <w:ind w:firstLine="353"/>
        <w:rPr>
          <w:color w:val="auto"/>
          <w:highlight w:val="none"/>
        </w:rPr>
      </w:pPr>
    </w:p>
    <w:p>
      <w:pPr>
        <w:widowControl/>
        <w:jc w:val="left"/>
        <w:rPr>
          <w:color w:val="auto"/>
          <w:kern w:val="0"/>
          <w:sz w:val="36"/>
          <w:szCs w:val="20"/>
          <w:highlight w:val="none"/>
        </w:rPr>
      </w:pPr>
      <w:bookmarkStart w:id="48" w:name="_Toc22917845"/>
      <w:r>
        <w:rPr>
          <w:color w:val="auto"/>
          <w:sz w:val="36"/>
          <w:highlight w:val="none"/>
        </w:rPr>
        <w:br w:type="page"/>
      </w:r>
    </w:p>
    <w:p>
      <w:pPr>
        <w:pStyle w:val="27"/>
        <w:jc w:val="center"/>
        <w:outlineLvl w:val="0"/>
        <w:rPr>
          <w:rFonts w:ascii="Times New Roman" w:hAnsi="Times New Roman"/>
          <w:b/>
          <w:color w:val="auto"/>
          <w:sz w:val="36"/>
          <w:highlight w:val="none"/>
        </w:rPr>
      </w:pPr>
      <w:bookmarkStart w:id="49" w:name="_Toc43563143"/>
      <w:bookmarkStart w:id="50" w:name="_Toc43563082"/>
      <w:r>
        <w:rPr>
          <w:rFonts w:hint="eastAsia" w:ascii="Times New Roman" w:hAnsi="Times New Roman"/>
          <w:b/>
          <w:color w:val="auto"/>
          <w:sz w:val="36"/>
          <w:highlight w:val="none"/>
        </w:rPr>
        <w:t>第三章  评标方法（综合评分法）</w:t>
      </w:r>
      <w:bookmarkEnd w:id="48"/>
      <w:bookmarkEnd w:id="49"/>
      <w:bookmarkEnd w:id="50"/>
    </w:p>
    <w:p>
      <w:pPr>
        <w:spacing w:line="360" w:lineRule="exact"/>
        <w:ind w:firstLine="42" w:firstLineChars="20"/>
        <w:rPr>
          <w:rFonts w:ascii="宋体" w:hAnsi="宋体" w:cs="宋体"/>
          <w:bCs/>
          <w:color w:val="auto"/>
          <w:szCs w:val="21"/>
          <w:highlight w:val="none"/>
        </w:rPr>
      </w:pPr>
      <w:bookmarkStart w:id="51" w:name="_Toc213325923"/>
      <w:bookmarkStart w:id="52" w:name="_Toc213206174"/>
    </w:p>
    <w:p>
      <w:pPr>
        <w:spacing w:line="360" w:lineRule="exact"/>
        <w:ind w:firstLine="42" w:firstLineChars="20"/>
        <w:rPr>
          <w:rFonts w:ascii="宋体" w:hAnsi="宋体" w:cs="宋体"/>
          <w:bCs/>
          <w:color w:val="auto"/>
          <w:szCs w:val="21"/>
          <w:highlight w:val="none"/>
        </w:rPr>
      </w:pPr>
      <w:r>
        <w:rPr>
          <w:rFonts w:hint="eastAsia" w:ascii="宋体" w:hAnsi="宋体" w:cs="宋体"/>
          <w:bCs/>
          <w:color w:val="auto"/>
          <w:szCs w:val="21"/>
          <w:highlight w:val="none"/>
        </w:rPr>
        <w:t>本项目评标方法：综合评分法</w:t>
      </w:r>
    </w:p>
    <w:p>
      <w:pPr>
        <w:spacing w:line="360" w:lineRule="exact"/>
        <w:ind w:firstLine="42" w:firstLineChars="20"/>
        <w:rPr>
          <w:rFonts w:ascii="宋体" w:hAnsi="宋体" w:cs="宋体"/>
          <w:b/>
          <w:bCs/>
          <w:color w:val="auto"/>
          <w:szCs w:val="21"/>
          <w:highlight w:val="none"/>
        </w:rPr>
      </w:pPr>
      <w:r>
        <w:rPr>
          <w:rFonts w:hint="eastAsia" w:ascii="宋体" w:hAnsi="宋体" w:cs="宋体"/>
          <w:b/>
          <w:bCs/>
          <w:color w:val="auto"/>
          <w:szCs w:val="21"/>
          <w:highlight w:val="none"/>
        </w:rPr>
        <w:t>一、评标原则</w:t>
      </w:r>
    </w:p>
    <w:p>
      <w:pPr>
        <w:spacing w:line="360" w:lineRule="exact"/>
        <w:ind w:firstLine="420"/>
        <w:rPr>
          <w:rFonts w:ascii="宋体" w:hAnsi="宋体" w:cs="宋体"/>
          <w:bCs/>
          <w:color w:val="auto"/>
          <w:szCs w:val="21"/>
          <w:highlight w:val="none"/>
        </w:rPr>
      </w:pPr>
      <w:r>
        <w:rPr>
          <w:rFonts w:ascii="宋体" w:hAnsi="宋体" w:cs="宋体"/>
          <w:bCs/>
          <w:color w:val="auto"/>
          <w:szCs w:val="21"/>
          <w:highlight w:val="none"/>
        </w:rPr>
        <w:t>(</w:t>
      </w:r>
      <w:r>
        <w:rPr>
          <w:rFonts w:hint="eastAsia" w:ascii="宋体" w:hAnsi="宋体" w:cs="宋体"/>
          <w:bCs/>
          <w:color w:val="auto"/>
          <w:szCs w:val="21"/>
          <w:highlight w:val="none"/>
        </w:rPr>
        <w:t>一)评委构成：评标委员会由采购人代表和评审专家组成，成员人数应当为</w:t>
      </w:r>
      <w:r>
        <w:rPr>
          <w:rFonts w:ascii="宋体" w:hAnsi="宋体" w:cs="宋体"/>
          <w:bCs/>
          <w:color w:val="auto"/>
          <w:szCs w:val="21"/>
          <w:highlight w:val="none"/>
        </w:rPr>
        <w:t>5</w:t>
      </w:r>
      <w:r>
        <w:rPr>
          <w:rFonts w:hint="eastAsia" w:ascii="宋体" w:hAnsi="宋体" w:cs="宋体"/>
          <w:bCs/>
          <w:color w:val="auto"/>
          <w:szCs w:val="21"/>
          <w:highlight w:val="none"/>
        </w:rPr>
        <w:t>人以上单数，其中评审专家不得少于成员总数的三分之二。采购项目符合下列情形之一的，评标委员会成员人数应当为</w:t>
      </w:r>
      <w:r>
        <w:rPr>
          <w:rFonts w:ascii="宋体" w:hAnsi="宋体" w:cs="宋体"/>
          <w:bCs/>
          <w:color w:val="auto"/>
          <w:szCs w:val="21"/>
          <w:highlight w:val="none"/>
        </w:rPr>
        <w:t>7</w:t>
      </w:r>
      <w:r>
        <w:rPr>
          <w:rFonts w:hint="eastAsia" w:ascii="宋体" w:hAnsi="宋体" w:cs="宋体"/>
          <w:bCs/>
          <w:color w:val="auto"/>
          <w:szCs w:val="21"/>
          <w:highlight w:val="none"/>
        </w:rPr>
        <w:t>人以上单数：</w:t>
      </w:r>
      <w:r>
        <w:rPr>
          <w:rFonts w:ascii="宋体" w:hAnsi="宋体" w:cs="宋体"/>
          <w:bCs/>
          <w:color w:val="auto"/>
          <w:szCs w:val="21"/>
          <w:highlight w:val="none"/>
        </w:rPr>
        <w:t>1.</w:t>
      </w:r>
      <w:r>
        <w:rPr>
          <w:rFonts w:hint="eastAsia" w:ascii="宋体" w:hAnsi="宋体" w:cs="宋体"/>
          <w:bCs/>
          <w:color w:val="auto"/>
          <w:szCs w:val="21"/>
          <w:highlight w:val="none"/>
        </w:rPr>
        <w:t>采购预算金额在</w:t>
      </w:r>
      <w:r>
        <w:rPr>
          <w:rFonts w:ascii="宋体" w:hAnsi="宋体" w:cs="宋体"/>
          <w:bCs/>
          <w:color w:val="auto"/>
          <w:szCs w:val="21"/>
          <w:highlight w:val="none"/>
        </w:rPr>
        <w:t>1000</w:t>
      </w:r>
      <w:r>
        <w:rPr>
          <w:rFonts w:hint="eastAsia" w:ascii="宋体" w:hAnsi="宋体" w:cs="宋体"/>
          <w:bCs/>
          <w:color w:val="auto"/>
          <w:szCs w:val="21"/>
          <w:highlight w:val="none"/>
        </w:rPr>
        <w:t>万元以上；</w:t>
      </w:r>
      <w:r>
        <w:rPr>
          <w:rFonts w:ascii="宋体" w:hAnsi="宋体" w:cs="宋体"/>
          <w:bCs/>
          <w:color w:val="auto"/>
          <w:szCs w:val="21"/>
          <w:highlight w:val="none"/>
        </w:rPr>
        <w:t>2.</w:t>
      </w:r>
      <w:r>
        <w:rPr>
          <w:rFonts w:hint="eastAsia" w:ascii="宋体" w:hAnsi="宋体" w:cs="宋体"/>
          <w:bCs/>
          <w:color w:val="auto"/>
          <w:szCs w:val="21"/>
          <w:highlight w:val="none"/>
        </w:rPr>
        <w:t>技术复杂；</w:t>
      </w:r>
      <w:r>
        <w:rPr>
          <w:rFonts w:ascii="宋体" w:hAnsi="宋体" w:cs="宋体"/>
          <w:bCs/>
          <w:color w:val="auto"/>
          <w:szCs w:val="21"/>
          <w:highlight w:val="none"/>
        </w:rPr>
        <w:t>3.</w:t>
      </w:r>
      <w:r>
        <w:rPr>
          <w:rFonts w:hint="eastAsia" w:ascii="宋体" w:hAnsi="宋体" w:cs="宋体"/>
          <w:bCs/>
          <w:color w:val="auto"/>
          <w:szCs w:val="21"/>
          <w:highlight w:val="none"/>
        </w:rPr>
        <w:t>社会影响较大。</w:t>
      </w:r>
    </w:p>
    <w:p>
      <w:pPr>
        <w:spacing w:line="360" w:lineRule="exact"/>
        <w:ind w:firstLine="420"/>
        <w:rPr>
          <w:rFonts w:ascii="宋体" w:hAnsi="宋体" w:cs="宋体"/>
          <w:bCs/>
          <w:color w:val="auto"/>
          <w:szCs w:val="21"/>
          <w:highlight w:val="none"/>
        </w:rPr>
      </w:pPr>
      <w:r>
        <w:rPr>
          <w:rFonts w:ascii="宋体" w:hAnsi="宋体" w:cs="宋体"/>
          <w:bCs/>
          <w:color w:val="auto"/>
          <w:szCs w:val="21"/>
          <w:highlight w:val="none"/>
        </w:rPr>
        <w:t>(</w:t>
      </w:r>
      <w:r>
        <w:rPr>
          <w:rFonts w:hint="eastAsia" w:ascii="宋体" w:hAnsi="宋体" w:cs="宋体"/>
          <w:bCs/>
          <w:color w:val="auto"/>
          <w:szCs w:val="21"/>
          <w:highlight w:val="none"/>
        </w:rPr>
        <w:t>二)评标依据：评委将以招投标文件为评标依据，对投标人的投标报价、技术、信誉业绩、售后服务、政策功能等方面内容按百分制打分。</w:t>
      </w:r>
    </w:p>
    <w:p>
      <w:pPr>
        <w:spacing w:line="360" w:lineRule="exact"/>
        <w:ind w:firstLine="420"/>
        <w:rPr>
          <w:rFonts w:ascii="宋体" w:hAnsi="宋体" w:cs="宋体"/>
          <w:bCs/>
          <w:color w:val="auto"/>
          <w:szCs w:val="21"/>
          <w:highlight w:val="none"/>
        </w:rPr>
      </w:pPr>
      <w:r>
        <w:rPr>
          <w:rFonts w:ascii="宋体" w:hAnsi="宋体" w:cs="宋体"/>
          <w:bCs/>
          <w:color w:val="auto"/>
          <w:szCs w:val="21"/>
          <w:highlight w:val="none"/>
        </w:rPr>
        <w:t>(</w:t>
      </w:r>
      <w:r>
        <w:rPr>
          <w:rFonts w:hint="eastAsia" w:ascii="宋体" w:hAnsi="宋体" w:cs="宋体"/>
          <w:bCs/>
          <w:color w:val="auto"/>
          <w:szCs w:val="21"/>
          <w:highlight w:val="none"/>
        </w:rPr>
        <w:t>三)评标方式：以封闭方式进行。</w:t>
      </w:r>
    </w:p>
    <w:p>
      <w:pPr>
        <w:spacing w:line="360" w:lineRule="exact"/>
        <w:ind w:firstLine="420"/>
        <w:rPr>
          <w:rFonts w:ascii="宋体" w:hAnsi="宋体" w:cs="宋体"/>
          <w:bCs/>
          <w:color w:val="auto"/>
          <w:szCs w:val="21"/>
          <w:highlight w:val="none"/>
        </w:rPr>
      </w:pPr>
      <w:r>
        <w:rPr>
          <w:rFonts w:ascii="宋体" w:hAnsi="宋体" w:cs="宋体"/>
          <w:bCs/>
          <w:color w:val="auto"/>
          <w:szCs w:val="21"/>
          <w:highlight w:val="none"/>
        </w:rPr>
        <w:t>(</w:t>
      </w:r>
      <w:r>
        <w:rPr>
          <w:rFonts w:hint="eastAsia" w:ascii="宋体" w:hAnsi="宋体" w:cs="宋体"/>
          <w:bCs/>
          <w:color w:val="auto"/>
          <w:szCs w:val="21"/>
          <w:highlight w:val="none"/>
        </w:rPr>
        <w:t>四)按照《政府采购促进中小企业发展暂行办法》（财库</w:t>
      </w:r>
      <w:r>
        <w:rPr>
          <w:rFonts w:ascii="宋体" w:hAnsi="宋体" w:cs="宋体"/>
          <w:bCs/>
          <w:color w:val="auto"/>
          <w:szCs w:val="21"/>
          <w:highlight w:val="none"/>
        </w:rPr>
        <w:t>[2011]181</w:t>
      </w:r>
      <w:r>
        <w:rPr>
          <w:rFonts w:hint="eastAsia" w:ascii="宋体" w:hAnsi="宋体" w:cs="宋体"/>
          <w:bCs/>
          <w:color w:val="auto"/>
          <w:szCs w:val="21"/>
          <w:highlight w:val="none"/>
        </w:rPr>
        <w:t>号），投标单位认定为小型和微型企业的（以投标文件提供的符合规定的有关材料为准），对投标价给予</w:t>
      </w:r>
      <w:r>
        <w:rPr>
          <w:rFonts w:ascii="宋体" w:hAnsi="宋体" w:cs="宋体"/>
          <w:bCs/>
          <w:color w:val="auto"/>
          <w:szCs w:val="21"/>
          <w:highlight w:val="none"/>
        </w:rPr>
        <w:t>6%</w:t>
      </w:r>
      <w:r>
        <w:rPr>
          <w:rFonts w:hint="eastAsia" w:ascii="宋体" w:hAnsi="宋体" w:cs="宋体"/>
          <w:bCs/>
          <w:color w:val="auto"/>
          <w:szCs w:val="21"/>
          <w:highlight w:val="none"/>
        </w:rPr>
        <w:t>的扣除，扣除后的价格为评标报价，即评标报价</w:t>
      </w:r>
      <w:r>
        <w:rPr>
          <w:rFonts w:ascii="宋体" w:hAnsi="宋体" w:cs="宋体"/>
          <w:bCs/>
          <w:color w:val="auto"/>
          <w:szCs w:val="21"/>
          <w:highlight w:val="none"/>
        </w:rPr>
        <w:t>=</w:t>
      </w:r>
      <w:r>
        <w:rPr>
          <w:rFonts w:hint="eastAsia" w:ascii="宋体" w:hAnsi="宋体" w:cs="宋体"/>
          <w:bCs/>
          <w:color w:val="auto"/>
          <w:szCs w:val="21"/>
          <w:highlight w:val="none"/>
        </w:rPr>
        <w:t>投标价×（</w:t>
      </w:r>
      <w:r>
        <w:rPr>
          <w:rFonts w:ascii="宋体" w:hAnsi="宋体" w:cs="宋体"/>
          <w:bCs/>
          <w:color w:val="auto"/>
          <w:szCs w:val="21"/>
          <w:highlight w:val="none"/>
        </w:rPr>
        <w:t>1-6%</w:t>
      </w:r>
      <w:r>
        <w:rPr>
          <w:rFonts w:hint="eastAsia" w:ascii="宋体" w:hAnsi="宋体" w:cs="宋体"/>
          <w:bCs/>
          <w:color w:val="auto"/>
          <w:szCs w:val="21"/>
          <w:highlight w:val="none"/>
        </w:rPr>
        <w:t>）；除上述情况外，评标报价</w:t>
      </w:r>
      <w:r>
        <w:rPr>
          <w:rFonts w:ascii="宋体" w:hAnsi="宋体" w:cs="宋体"/>
          <w:bCs/>
          <w:color w:val="auto"/>
          <w:szCs w:val="21"/>
          <w:highlight w:val="none"/>
        </w:rPr>
        <w:t>=</w:t>
      </w:r>
      <w:r>
        <w:rPr>
          <w:rFonts w:hint="eastAsia" w:ascii="宋体" w:hAnsi="宋体" w:cs="宋体"/>
          <w:bCs/>
          <w:color w:val="auto"/>
          <w:szCs w:val="21"/>
          <w:highlight w:val="none"/>
        </w:rPr>
        <w:t>投标价。</w:t>
      </w:r>
    </w:p>
    <w:p>
      <w:pPr>
        <w:spacing w:line="360" w:lineRule="exact"/>
        <w:ind w:firstLine="420"/>
        <w:rPr>
          <w:rFonts w:ascii="宋体" w:hAnsi="宋体" w:cs="宋体"/>
          <w:bCs/>
          <w:color w:val="auto"/>
          <w:szCs w:val="21"/>
          <w:highlight w:val="none"/>
        </w:rPr>
      </w:pPr>
      <w:r>
        <w:rPr>
          <w:rFonts w:hint="eastAsia" w:ascii="宋体" w:hAnsi="宋体" w:cs="宋体"/>
          <w:bCs/>
          <w:color w:val="auto"/>
          <w:szCs w:val="21"/>
          <w:highlight w:val="none"/>
        </w:rPr>
        <w:t>监狱企业视同小型、微型企业。监狱企业参加政府采购活动时，应当提供由省级以上监狱管理局、戒毒管理局（含新疆生产建设兵团）出具的属于监狱企业的证明文件。</w:t>
      </w:r>
    </w:p>
    <w:p>
      <w:pPr>
        <w:spacing w:line="360" w:lineRule="exact"/>
        <w:ind w:firstLine="420"/>
        <w:rPr>
          <w:rFonts w:ascii="宋体" w:hAnsi="宋体" w:cs="宋体"/>
          <w:bCs/>
          <w:color w:val="auto"/>
          <w:szCs w:val="21"/>
          <w:highlight w:val="none"/>
        </w:rPr>
      </w:pPr>
      <w:r>
        <w:rPr>
          <w:rFonts w:hint="eastAsia" w:ascii="宋体" w:hAnsi="宋体" w:cs="宋体"/>
          <w:bCs/>
          <w:color w:val="auto"/>
          <w:szCs w:val="21"/>
          <w:highlight w:val="none"/>
        </w:rPr>
        <w:t>残疾人福利性单位视同小型、微型企业。符合条件的残疾人福利性单位在参加政府采购活动时，应当提供规定的《残疾人福利性单位声明函》，并对声明的真实性负责。</w:t>
      </w:r>
    </w:p>
    <w:p>
      <w:pPr>
        <w:spacing w:line="360" w:lineRule="exact"/>
        <w:ind w:firstLine="420" w:firstLineChars="200"/>
        <w:rPr>
          <w:rFonts w:ascii="宋体" w:hAnsi="宋体" w:cs="宋体"/>
          <w:b/>
          <w:color w:val="auto"/>
          <w:szCs w:val="21"/>
          <w:highlight w:val="none"/>
        </w:rPr>
      </w:pPr>
      <w:r>
        <w:rPr>
          <w:rFonts w:hint="eastAsia" w:ascii="宋体" w:hAnsi="宋体" w:cs="宋体"/>
          <w:bCs/>
          <w:color w:val="auto"/>
          <w:szCs w:val="21"/>
          <w:highlight w:val="none"/>
        </w:rPr>
        <w:t>（五）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exact"/>
        <w:rPr>
          <w:rFonts w:ascii="宋体" w:hAnsi="宋体" w:cs="宋体"/>
          <w:b/>
          <w:bCs/>
          <w:color w:val="auto"/>
          <w:szCs w:val="21"/>
          <w:highlight w:val="none"/>
        </w:rPr>
      </w:pPr>
      <w:r>
        <w:rPr>
          <w:rFonts w:hint="eastAsia" w:ascii="宋体" w:hAnsi="宋体" w:cs="宋体"/>
          <w:b/>
          <w:bCs/>
          <w:color w:val="auto"/>
          <w:szCs w:val="21"/>
          <w:highlight w:val="none"/>
        </w:rPr>
        <w:t>二、评定方法</w:t>
      </w:r>
    </w:p>
    <w:p>
      <w:pPr>
        <w:spacing w:line="360" w:lineRule="exact"/>
        <w:ind w:firstLine="632" w:firstLineChars="300"/>
        <w:rPr>
          <w:rFonts w:ascii="宋体" w:hAnsi="宋体" w:cs="宋体"/>
          <w:bCs/>
          <w:color w:val="auto"/>
          <w:szCs w:val="21"/>
          <w:highlight w:val="none"/>
        </w:rPr>
      </w:pPr>
      <w:r>
        <w:rPr>
          <w:rFonts w:hint="eastAsia" w:ascii="宋体" w:hAnsi="宋体" w:cs="宋体"/>
          <w:b/>
          <w:color w:val="auto"/>
          <w:szCs w:val="21"/>
          <w:highlight w:val="none"/>
        </w:rPr>
        <w:t>（一）</w:t>
      </w:r>
      <w:r>
        <w:rPr>
          <w:rFonts w:hint="eastAsia" w:ascii="宋体" w:hAnsi="宋体" w:cs="宋体"/>
          <w:bCs/>
          <w:color w:val="auto"/>
          <w:szCs w:val="21"/>
          <w:highlight w:val="none"/>
        </w:rPr>
        <w:t>对进入详评的，采用百分制综合评分法。</w:t>
      </w:r>
    </w:p>
    <w:p>
      <w:pPr>
        <w:spacing w:line="360" w:lineRule="exact"/>
        <w:ind w:firstLine="632" w:firstLineChars="300"/>
        <w:rPr>
          <w:rFonts w:ascii="宋体" w:hAnsi="宋体" w:cs="宋体"/>
          <w:bCs/>
          <w:color w:val="auto"/>
          <w:szCs w:val="21"/>
          <w:highlight w:val="none"/>
        </w:rPr>
      </w:pPr>
      <w:r>
        <w:rPr>
          <w:rFonts w:hint="eastAsia" w:ascii="宋体" w:hAnsi="宋体" w:cs="宋体"/>
          <w:b/>
          <w:color w:val="auto"/>
          <w:szCs w:val="21"/>
          <w:highlight w:val="none"/>
        </w:rPr>
        <w:t>（二）</w:t>
      </w:r>
      <w:r>
        <w:rPr>
          <w:rFonts w:hint="eastAsia" w:ascii="宋体" w:hAnsi="宋体" w:cs="宋体"/>
          <w:bCs/>
          <w:color w:val="auto"/>
          <w:szCs w:val="21"/>
          <w:highlight w:val="none"/>
        </w:rPr>
        <w:t>计分办法（按四舍五入取至百分位）：</w:t>
      </w:r>
    </w:p>
    <w:p>
      <w:pPr>
        <w:spacing w:line="360" w:lineRule="exact"/>
        <w:ind w:firstLine="316" w:firstLineChars="150"/>
        <w:rPr>
          <w:rFonts w:ascii="宋体" w:hAnsi="宋体" w:cs="宋体"/>
          <w:b/>
          <w:color w:val="auto"/>
          <w:szCs w:val="21"/>
          <w:highlight w:val="none"/>
        </w:rPr>
      </w:pPr>
      <w:r>
        <w:rPr>
          <w:rFonts w:hint="eastAsia" w:ascii="宋体" w:hAnsi="宋体" w:cs="宋体"/>
          <w:b/>
          <w:color w:val="auto"/>
          <w:szCs w:val="21"/>
          <w:highlight w:val="none"/>
        </w:rPr>
        <w:t>1、价格分………………………………………………………………………………30分</w:t>
      </w:r>
    </w:p>
    <w:p>
      <w:pPr>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价格分计算公式：</w:t>
      </w:r>
    </w:p>
    <w:p>
      <w:pPr>
        <w:spacing w:line="360" w:lineRule="exact"/>
        <w:ind w:firstLine="2940" w:firstLineChars="1400"/>
        <w:rPr>
          <w:rFonts w:ascii="宋体" w:hAnsi="宋体" w:cs="宋体"/>
          <w:color w:val="auto"/>
          <w:szCs w:val="21"/>
          <w:highlight w:val="none"/>
        </w:rPr>
      </w:pPr>
      <w:r>
        <w:rPr>
          <w:rFonts w:hint="eastAsia" w:ascii="宋体" w:hAnsi="宋体" w:cs="宋体"/>
          <w:color w:val="auto"/>
          <w:szCs w:val="21"/>
          <w:highlight w:val="none"/>
        </w:rPr>
        <w:t>有效投标人最低评标报价</w:t>
      </w:r>
    </w:p>
    <w:p>
      <w:pPr>
        <w:spacing w:line="360" w:lineRule="exact"/>
        <w:ind w:firstLine="420" w:firstLineChars="200"/>
        <w:rPr>
          <w:rFonts w:ascii="宋体" w:hAnsi="宋体" w:cs="宋体"/>
          <w:color w:val="auto"/>
          <w:szCs w:val="21"/>
          <w:highlight w:val="none"/>
        </w:rPr>
      </w:pPr>
      <w:r>
        <w:rPr>
          <w:rFonts w:ascii="宋体" w:hAnsi="宋体" w:cs="宋体"/>
          <w:color w:val="auto"/>
          <w:szCs w:val="21"/>
          <w:highlight w:val="none"/>
        </w:rPr>
        <w:pict>
          <v:line id="Line 6" o:spid="_x0000_s1026" o:spt="20" style="position:absolute;left:0pt;margin-left:116pt;margin-top:15.35pt;height:0.05pt;width:161.7pt;z-index:251657216;mso-width-relative:page;mso-height-relative:page;" coordsize="21600,21600" o:gfxdata="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McJR42AAAAAkBAAAPAAAAAAAAAAEAIAAAACIAAABkcnMvZG93bnJldi54bWxQSwECFAAUAAAA&#10;CACHTuJA7KvkjrUBAABhAwAADgAAAAAAAAABACAAAAAnAQAAZHJzL2Uyb0RvYy54bWxQSwUGAAAA&#10;AAYABgBZAQAATgUAAAAA&#10;">
            <v:path arrowok="t"/>
            <v:fill focussize="0,0"/>
            <v:stroke/>
            <v:imagedata o:title=""/>
            <o:lock v:ext="edit"/>
          </v:line>
        </w:pict>
      </w:r>
      <w:r>
        <w:rPr>
          <w:rFonts w:hint="eastAsia" w:ascii="宋体" w:hAnsi="宋体" w:cs="宋体"/>
          <w:color w:val="auto"/>
          <w:szCs w:val="21"/>
          <w:highlight w:val="none"/>
        </w:rPr>
        <w:t>某投标人价格分</w:t>
      </w:r>
      <w:r>
        <w:rPr>
          <w:rFonts w:ascii="宋体" w:hAnsi="宋体" w:cs="宋体"/>
          <w:color w:val="auto"/>
          <w:szCs w:val="21"/>
          <w:highlight w:val="none"/>
        </w:rPr>
        <w:t xml:space="preserve">=                                     </w:t>
      </w:r>
      <w:r>
        <w:rPr>
          <w:rFonts w:hint="eastAsia" w:ascii="宋体" w:hAnsi="宋体" w:cs="宋体"/>
          <w:color w:val="auto"/>
          <w:szCs w:val="21"/>
          <w:highlight w:val="none"/>
        </w:rPr>
        <w:t>×30分</w:t>
      </w:r>
    </w:p>
    <w:p>
      <w:pPr>
        <w:tabs>
          <w:tab w:val="left" w:pos="5760"/>
        </w:tabs>
        <w:spacing w:line="360" w:lineRule="exact"/>
        <w:ind w:firstLine="2940" w:firstLineChars="1400"/>
        <w:rPr>
          <w:rFonts w:ascii="宋体" w:hAnsi="宋体" w:cs="宋体"/>
          <w:color w:val="auto"/>
          <w:szCs w:val="21"/>
          <w:highlight w:val="none"/>
        </w:rPr>
      </w:pPr>
      <w:r>
        <w:rPr>
          <w:rFonts w:hint="eastAsia" w:ascii="宋体" w:hAnsi="宋体" w:cs="宋体"/>
          <w:color w:val="auto"/>
          <w:szCs w:val="21"/>
          <w:highlight w:val="none"/>
        </w:rPr>
        <w:t>某投标人有效评标报价</w:t>
      </w:r>
    </w:p>
    <w:p>
      <w:pPr>
        <w:spacing w:line="360" w:lineRule="exact"/>
        <w:ind w:firstLine="316" w:firstLineChars="150"/>
        <w:rPr>
          <w:rFonts w:ascii="宋体" w:hAnsi="宋体" w:cs="宋体"/>
          <w:b/>
          <w:color w:val="auto"/>
          <w:szCs w:val="21"/>
          <w:highlight w:val="none"/>
        </w:rPr>
      </w:pPr>
      <w:r>
        <w:rPr>
          <w:rFonts w:hint="eastAsia" w:ascii="宋体" w:hAnsi="宋体" w:cs="宋体"/>
          <w:b/>
          <w:color w:val="auto"/>
          <w:szCs w:val="21"/>
          <w:highlight w:val="none"/>
        </w:rPr>
        <w:t xml:space="preserve">2、技术分………………………………………………………………………………47分 </w:t>
      </w:r>
    </w:p>
    <w:p>
      <w:pPr>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（1）基本分（满分15分）</w:t>
      </w:r>
    </w:p>
    <w:p>
      <w:pPr>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投标产品参数完全满足招标文件要求的得15分，一般技术参数（不带▲号的条款）有负偏离的每一项扣3分，漏项的每一项扣3分，最多扣完本项分值。</w:t>
      </w:r>
    </w:p>
    <w:p>
      <w:pPr>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（2）货物性能分（满分17分）</w:t>
      </w:r>
    </w:p>
    <w:p>
      <w:pPr>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投标产品的主要技术参数（带▲号的条款）每有一项正偏离得3分，一般技术参数（不带▲号的条款）每有一项正偏离得1分，最多得17分。</w:t>
      </w:r>
    </w:p>
    <w:p>
      <w:pPr>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说明：技术参数的正偏离须评委集体讨论认可，基本分不得满分者，本项直接计0分。</w:t>
      </w:r>
    </w:p>
    <w:p>
      <w:pPr>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（3）项目实施方案分（满分15分）</w:t>
      </w:r>
    </w:p>
    <w:p>
      <w:pPr>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一档5分：有简单的项目实施规划、工期进度管理方案、施工保护措施等，综合评价一般；</w:t>
      </w:r>
    </w:p>
    <w:p>
      <w:pPr>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二档10分：对项目实施有基本的规划，有合理的工期进度管理方案，有基本的施工保护措施等，综合评价良好；</w:t>
      </w:r>
    </w:p>
    <w:p>
      <w:pPr>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三档15分：对项目实施有详细的整体规划，对工期进度有较好的管理方案，有良好的施工保护措施，投入实施人员充足且经验丰富等，综合评价优秀。</w:t>
      </w:r>
    </w:p>
    <w:p>
      <w:pPr>
        <w:spacing w:line="360" w:lineRule="exact"/>
        <w:ind w:firstLine="316" w:firstLineChars="150"/>
        <w:rPr>
          <w:rFonts w:ascii="宋体" w:hAnsi="宋体" w:cs="宋体"/>
          <w:b/>
          <w:color w:val="auto"/>
          <w:szCs w:val="21"/>
          <w:highlight w:val="none"/>
        </w:rPr>
      </w:pPr>
      <w:r>
        <w:rPr>
          <w:rFonts w:hint="eastAsia" w:ascii="宋体" w:hAnsi="宋体" w:cs="宋体"/>
          <w:b/>
          <w:color w:val="auto"/>
          <w:szCs w:val="21"/>
          <w:highlight w:val="none"/>
        </w:rPr>
        <w:t>3、售后服务方案分………………………………………………………………………10分</w:t>
      </w:r>
    </w:p>
    <w:p>
      <w:pPr>
        <w:pStyle w:val="27"/>
        <w:spacing w:line="360" w:lineRule="exact"/>
        <w:ind w:firstLine="420"/>
        <w:rPr>
          <w:rFonts w:hAnsi="宋体" w:cs="宋体"/>
          <w:bCs/>
          <w:color w:val="auto"/>
          <w:sz w:val="21"/>
          <w:szCs w:val="21"/>
          <w:highlight w:val="none"/>
        </w:rPr>
      </w:pPr>
      <w:r>
        <w:rPr>
          <w:rFonts w:hint="eastAsia" w:hAnsi="宋体" w:cs="宋体"/>
          <w:bCs/>
          <w:color w:val="auto"/>
          <w:sz w:val="21"/>
          <w:szCs w:val="21"/>
          <w:highlight w:val="none"/>
        </w:rPr>
        <w:t>一档3分：仅满足招标文件要求的，或有优于招标文件要求但不满足二档入档要求的。</w:t>
      </w:r>
    </w:p>
    <w:p>
      <w:pPr>
        <w:pStyle w:val="27"/>
        <w:spacing w:line="360" w:lineRule="exact"/>
        <w:ind w:firstLine="420"/>
        <w:rPr>
          <w:rFonts w:hAnsi="宋体" w:cs="宋体"/>
          <w:bCs/>
          <w:color w:val="auto"/>
          <w:sz w:val="21"/>
          <w:szCs w:val="21"/>
          <w:highlight w:val="none"/>
        </w:rPr>
      </w:pPr>
      <w:r>
        <w:rPr>
          <w:rFonts w:hint="eastAsia" w:hAnsi="宋体" w:cs="宋体"/>
          <w:bCs/>
          <w:color w:val="auto"/>
          <w:sz w:val="21"/>
          <w:szCs w:val="21"/>
          <w:highlight w:val="none"/>
        </w:rPr>
        <w:t>二档6分：满足招标文件要求，有该项目详细的售后服务方案，培训方案，有详细的售后服务流程、响应时间及质保期，针对本项目提供专门的售后服务支持，能提供快速的售后服务响应，并承诺如设备维修时间超过2天（含2天）以上的免费提供同等型号备用机的。</w:t>
      </w:r>
    </w:p>
    <w:p>
      <w:pPr>
        <w:pStyle w:val="27"/>
        <w:spacing w:line="360" w:lineRule="exact"/>
        <w:ind w:firstLine="420"/>
        <w:rPr>
          <w:rFonts w:hAnsi="宋体" w:cs="宋体"/>
          <w:bCs/>
          <w:color w:val="auto"/>
          <w:sz w:val="21"/>
          <w:szCs w:val="21"/>
          <w:highlight w:val="none"/>
        </w:rPr>
      </w:pPr>
      <w:r>
        <w:rPr>
          <w:rFonts w:hint="eastAsia" w:hAnsi="宋体" w:cs="宋体"/>
          <w:bCs/>
          <w:color w:val="auto"/>
          <w:sz w:val="21"/>
          <w:szCs w:val="21"/>
          <w:highlight w:val="none"/>
        </w:rPr>
        <w:t>三档10分：满足二档要求的基础上，同时提供免费保修期外维修方案，及国内建立有专属备件库（提供相关证明文件），承诺设备在6个月内因质量问题发生故障无条件免费更换，提供用户至少4名管理人员的现场操作使用及基本维护的免费培训，质保期外零配件有优惠等。</w:t>
      </w:r>
    </w:p>
    <w:p>
      <w:pPr>
        <w:spacing w:line="360" w:lineRule="exact"/>
        <w:ind w:firstLine="316" w:firstLineChars="150"/>
        <w:rPr>
          <w:rFonts w:ascii="宋体" w:hAnsi="宋体" w:cs="宋体"/>
          <w:b/>
          <w:color w:val="auto"/>
          <w:szCs w:val="21"/>
          <w:highlight w:val="none"/>
        </w:rPr>
      </w:pPr>
      <w:r>
        <w:rPr>
          <w:rFonts w:hint="eastAsia" w:ascii="宋体" w:hAnsi="宋体" w:cs="宋体"/>
          <w:b/>
          <w:color w:val="auto"/>
          <w:szCs w:val="21"/>
          <w:highlight w:val="none"/>
        </w:rPr>
        <w:t>4、信誉业绩分…………………………………………………………………………10分</w:t>
      </w:r>
    </w:p>
    <w:p>
      <w:pPr>
        <w:pStyle w:val="27"/>
        <w:spacing w:line="360" w:lineRule="exact"/>
        <w:ind w:firstLine="315"/>
        <w:rPr>
          <w:rFonts w:hAnsi="宋体" w:cs="宋体"/>
          <w:bCs/>
          <w:color w:val="auto"/>
          <w:sz w:val="21"/>
          <w:szCs w:val="21"/>
          <w:highlight w:val="none"/>
        </w:rPr>
      </w:pPr>
      <w:r>
        <w:rPr>
          <w:rFonts w:hint="eastAsia" w:hAnsi="宋体" w:cs="宋体"/>
          <w:bCs/>
          <w:color w:val="auto"/>
          <w:sz w:val="21"/>
          <w:szCs w:val="21"/>
          <w:highlight w:val="none"/>
        </w:rPr>
        <w:t>（1）投标人2017年以来获得省级及以上重合同守信用先进企业等与企业生产经营相关的荣誉证书的每项得0.5分，满分2分（提供证书复印件）。</w:t>
      </w:r>
    </w:p>
    <w:p>
      <w:pPr>
        <w:pStyle w:val="27"/>
        <w:spacing w:line="360" w:lineRule="exact"/>
        <w:ind w:firstLine="315"/>
        <w:rPr>
          <w:rFonts w:hAnsi="宋体" w:cs="宋体"/>
          <w:bCs/>
          <w:color w:val="auto"/>
          <w:sz w:val="21"/>
          <w:szCs w:val="21"/>
          <w:highlight w:val="none"/>
        </w:rPr>
      </w:pPr>
      <w:r>
        <w:rPr>
          <w:rFonts w:hint="eastAsia" w:hAnsi="宋体" w:cs="宋体"/>
          <w:bCs/>
          <w:color w:val="auto"/>
          <w:sz w:val="21"/>
          <w:szCs w:val="21"/>
          <w:highlight w:val="none"/>
        </w:rPr>
        <w:t>（2）投标人或其主要投标产品生产厂家通过ISO18001、ISO9001、ISO14001管理体系认证的，每提供一份得0.5分，满分3分（提供证书复印件）。</w:t>
      </w:r>
    </w:p>
    <w:p>
      <w:pPr>
        <w:pStyle w:val="27"/>
        <w:spacing w:line="360" w:lineRule="exact"/>
        <w:ind w:firstLine="315"/>
        <w:rPr>
          <w:rFonts w:hAnsi="宋体" w:cs="宋体"/>
          <w:bCs/>
          <w:color w:val="auto"/>
          <w:sz w:val="21"/>
          <w:szCs w:val="21"/>
          <w:highlight w:val="none"/>
        </w:rPr>
      </w:pPr>
      <w:r>
        <w:rPr>
          <w:rFonts w:hint="eastAsia" w:hAnsi="宋体" w:cs="宋体"/>
          <w:bCs/>
          <w:color w:val="auto"/>
          <w:sz w:val="21"/>
          <w:szCs w:val="21"/>
          <w:highlight w:val="none"/>
        </w:rPr>
        <w:t>（3）业绩分（满分5分）</w:t>
      </w:r>
    </w:p>
    <w:p>
      <w:pPr>
        <w:pStyle w:val="27"/>
        <w:spacing w:line="360" w:lineRule="exact"/>
        <w:ind w:firstLine="315"/>
        <w:rPr>
          <w:rFonts w:hAnsi="宋体" w:cs="宋体"/>
          <w:bCs/>
          <w:color w:val="auto"/>
          <w:sz w:val="21"/>
          <w:szCs w:val="21"/>
          <w:highlight w:val="none"/>
        </w:rPr>
      </w:pPr>
      <w:r>
        <w:rPr>
          <w:rFonts w:hint="eastAsia" w:hAnsi="宋体" w:cs="宋体"/>
          <w:bCs/>
          <w:color w:val="auto"/>
          <w:sz w:val="21"/>
          <w:szCs w:val="21"/>
          <w:highlight w:val="none"/>
        </w:rPr>
        <w:t>以投标人自2017年以来的同类项目业绩计算，每提供一份同类业绩得0.5分，满分5分。（以采购合同复印件为加分依据，合同原件备查）</w:t>
      </w:r>
    </w:p>
    <w:p>
      <w:pPr>
        <w:spacing w:line="360" w:lineRule="exact"/>
        <w:ind w:firstLine="316" w:firstLineChars="150"/>
        <w:rPr>
          <w:rFonts w:ascii="宋体" w:hAnsi="宋体" w:cs="宋体"/>
          <w:b/>
          <w:color w:val="auto"/>
          <w:szCs w:val="21"/>
          <w:highlight w:val="none"/>
        </w:rPr>
      </w:pPr>
      <w:r>
        <w:rPr>
          <w:rFonts w:hint="eastAsia" w:ascii="宋体" w:hAnsi="宋体" w:cs="宋体"/>
          <w:b/>
          <w:color w:val="auto"/>
          <w:szCs w:val="21"/>
          <w:highlight w:val="none"/>
        </w:rPr>
        <w:t>5、政策功能分 ………………………………………………………………………3分</w:t>
      </w:r>
    </w:p>
    <w:p>
      <w:pPr>
        <w:pStyle w:val="27"/>
        <w:spacing w:line="360" w:lineRule="exact"/>
        <w:ind w:firstLine="420" w:firstLineChars="200"/>
        <w:rPr>
          <w:rFonts w:hAnsi="宋体" w:cs="宋体"/>
          <w:bCs/>
          <w:color w:val="auto"/>
          <w:sz w:val="21"/>
          <w:szCs w:val="21"/>
          <w:highlight w:val="none"/>
        </w:rPr>
      </w:pPr>
      <w:r>
        <w:rPr>
          <w:rFonts w:hint="eastAsia" w:hAnsi="宋体" w:cs="宋体"/>
          <w:bCs/>
          <w:color w:val="auto"/>
          <w:sz w:val="21"/>
          <w:szCs w:val="21"/>
          <w:highlight w:val="none"/>
        </w:rPr>
        <w:t>（1）主要投标产品（金额占总额50%以上）为政府采购节能产品的得0.5分，满分0.5分（适用于非强制采购节能产品，以有效的节能产品认定证书复印件为准）。</w:t>
      </w:r>
    </w:p>
    <w:p>
      <w:pPr>
        <w:pStyle w:val="27"/>
        <w:spacing w:line="360" w:lineRule="exact"/>
        <w:ind w:firstLine="420" w:firstLineChars="200"/>
        <w:rPr>
          <w:rFonts w:hAnsi="宋体" w:cs="宋体"/>
          <w:bCs/>
          <w:color w:val="auto"/>
          <w:sz w:val="21"/>
          <w:szCs w:val="21"/>
          <w:highlight w:val="none"/>
        </w:rPr>
      </w:pPr>
      <w:r>
        <w:rPr>
          <w:rFonts w:hint="eastAsia" w:hAnsi="宋体" w:cs="宋体"/>
          <w:bCs/>
          <w:color w:val="auto"/>
          <w:sz w:val="21"/>
          <w:szCs w:val="21"/>
          <w:highlight w:val="none"/>
        </w:rPr>
        <w:t>（2）主要投标产品（金额占总额50%以上）为政府采购环境标志产品的得0.5分，满分0.5分（以有效的环境标志产品认定证书复印件为准）。</w:t>
      </w:r>
    </w:p>
    <w:p>
      <w:pPr>
        <w:spacing w:line="360" w:lineRule="exact"/>
        <w:ind w:firstLine="315" w:firstLineChars="150"/>
        <w:rPr>
          <w:rFonts w:ascii="宋体" w:hAnsi="宋体" w:cs="宋体"/>
          <w:b/>
          <w:color w:val="auto"/>
          <w:szCs w:val="21"/>
          <w:highlight w:val="none"/>
        </w:rPr>
      </w:pPr>
      <w:r>
        <w:rPr>
          <w:rFonts w:hint="eastAsia" w:ascii="宋体" w:hAnsi="宋体" w:cs="宋体"/>
          <w:bCs/>
          <w:color w:val="auto"/>
          <w:szCs w:val="21"/>
          <w:highlight w:val="none"/>
        </w:rPr>
        <w:t>（3）投标产品80%以上为广西工业产品的得2分（以投标人按第六章“投标文件格式”要求提供的《广西工业产品声明函》为评分依据。根据《广西壮族自治区人民政府办公厅关于印发招标采购促进广西工业产品产销对接实施细则的通知》（桂政办发【2015】78号）的规定，广西工业产品是指广西境内生产的工业产品，以生产企业的工商营业执照注册所在地为准。“投标产品</w:t>
      </w:r>
      <w:r>
        <w:rPr>
          <w:rFonts w:hint="eastAsia" w:ascii="宋体" w:hAnsi="宋体" w:cs="宋体"/>
          <w:color w:val="auto"/>
          <w:kern w:val="0"/>
          <w:szCs w:val="21"/>
          <w:highlight w:val="none"/>
        </w:rPr>
        <w:t>80%以上</w:t>
      </w:r>
      <w:r>
        <w:rPr>
          <w:rFonts w:hint="eastAsia" w:ascii="宋体" w:hAnsi="宋体" w:cs="宋体"/>
          <w:bCs/>
          <w:color w:val="auto"/>
          <w:szCs w:val="21"/>
          <w:highlight w:val="none"/>
        </w:rPr>
        <w:t>为广西工业产品”是指参加政府采购项目时供货范围中采用广西工业产品的金额占本次招标总金额的80%以上）。</w:t>
      </w:r>
    </w:p>
    <w:p>
      <w:pPr>
        <w:pStyle w:val="2"/>
        <w:spacing w:line="400" w:lineRule="exact"/>
        <w:ind w:firstLine="309"/>
        <w:rPr>
          <w:rFonts w:hAnsi="宋体" w:cs="宋体"/>
          <w:color w:val="auto"/>
          <w:kern w:val="2"/>
          <w:sz w:val="21"/>
          <w:szCs w:val="21"/>
          <w:highlight w:val="none"/>
        </w:rPr>
      </w:pPr>
      <w:r>
        <w:rPr>
          <w:rFonts w:hint="eastAsia" w:hAnsi="宋体" w:cs="宋体"/>
          <w:color w:val="auto"/>
          <w:kern w:val="2"/>
          <w:sz w:val="21"/>
          <w:szCs w:val="21"/>
          <w:highlight w:val="none"/>
        </w:rPr>
        <w:t>（三）总得分 =</w:t>
      </w:r>
      <w:r>
        <w:rPr>
          <w:rFonts w:hint="eastAsia" w:hAnsi="宋体" w:cs="宋体"/>
          <w:b/>
          <w:color w:val="auto"/>
          <w:sz w:val="21"/>
          <w:szCs w:val="21"/>
          <w:highlight w:val="none"/>
        </w:rPr>
        <w:t>1</w:t>
      </w:r>
      <w:r>
        <w:rPr>
          <w:rFonts w:hint="eastAsia" w:hAnsi="宋体" w:cs="宋体"/>
          <w:color w:val="auto"/>
          <w:kern w:val="2"/>
          <w:sz w:val="21"/>
          <w:szCs w:val="21"/>
          <w:highlight w:val="none"/>
        </w:rPr>
        <w:t xml:space="preserve"> + </w:t>
      </w:r>
      <w:r>
        <w:rPr>
          <w:rFonts w:hint="eastAsia" w:hAnsi="宋体" w:cs="宋体"/>
          <w:b/>
          <w:color w:val="auto"/>
          <w:sz w:val="21"/>
          <w:szCs w:val="21"/>
          <w:highlight w:val="none"/>
        </w:rPr>
        <w:t>2</w:t>
      </w:r>
      <w:r>
        <w:rPr>
          <w:rFonts w:hint="eastAsia" w:hAnsi="宋体" w:cs="宋体"/>
          <w:color w:val="auto"/>
          <w:kern w:val="2"/>
          <w:sz w:val="21"/>
          <w:szCs w:val="21"/>
          <w:highlight w:val="none"/>
        </w:rPr>
        <w:t xml:space="preserve"> + </w:t>
      </w:r>
      <w:r>
        <w:rPr>
          <w:rFonts w:hint="eastAsia" w:hAnsi="宋体" w:cs="宋体"/>
          <w:b/>
          <w:color w:val="auto"/>
          <w:sz w:val="21"/>
          <w:szCs w:val="21"/>
          <w:highlight w:val="none"/>
        </w:rPr>
        <w:t>3</w:t>
      </w:r>
      <w:r>
        <w:rPr>
          <w:rFonts w:hint="eastAsia" w:hAnsi="宋体" w:cs="宋体"/>
          <w:color w:val="auto"/>
          <w:kern w:val="2"/>
          <w:sz w:val="21"/>
          <w:szCs w:val="21"/>
          <w:highlight w:val="none"/>
        </w:rPr>
        <w:t xml:space="preserve"> + </w:t>
      </w:r>
      <w:r>
        <w:rPr>
          <w:rFonts w:hint="eastAsia" w:hAnsi="宋体" w:cs="宋体"/>
          <w:b/>
          <w:color w:val="auto"/>
          <w:sz w:val="21"/>
          <w:szCs w:val="21"/>
          <w:highlight w:val="none"/>
        </w:rPr>
        <w:t>4</w:t>
      </w:r>
    </w:p>
    <w:p>
      <w:pPr>
        <w:pStyle w:val="2"/>
        <w:spacing w:line="400" w:lineRule="exact"/>
        <w:ind w:firstLine="413" w:firstLineChars="197"/>
        <w:rPr>
          <w:rFonts w:hAnsi="宋体" w:cs="宋体"/>
          <w:color w:val="auto"/>
          <w:kern w:val="2"/>
          <w:sz w:val="21"/>
          <w:szCs w:val="21"/>
          <w:highlight w:val="none"/>
        </w:rPr>
      </w:pPr>
    </w:p>
    <w:p>
      <w:pPr>
        <w:pStyle w:val="2"/>
        <w:spacing w:line="400" w:lineRule="exact"/>
        <w:ind w:firstLine="413" w:firstLineChars="197"/>
        <w:rPr>
          <w:rFonts w:hAnsi="宋体" w:cs="宋体"/>
          <w:color w:val="auto"/>
          <w:kern w:val="2"/>
          <w:sz w:val="21"/>
          <w:szCs w:val="21"/>
          <w:highlight w:val="none"/>
        </w:rPr>
      </w:pPr>
      <w:r>
        <w:rPr>
          <w:rFonts w:hint="eastAsia" w:hAnsi="宋体" w:cs="宋体"/>
          <w:color w:val="auto"/>
          <w:kern w:val="2"/>
          <w:sz w:val="21"/>
          <w:szCs w:val="21"/>
          <w:highlight w:val="none"/>
        </w:rPr>
        <w:t>三、中标候选人推荐原则</w:t>
      </w:r>
    </w:p>
    <w:p>
      <w:pPr>
        <w:pStyle w:val="2"/>
        <w:spacing w:line="400" w:lineRule="exact"/>
        <w:ind w:firstLine="309"/>
        <w:rPr>
          <w:rFonts w:hAnsi="宋体"/>
          <w:color w:val="auto"/>
          <w:sz w:val="21"/>
          <w:szCs w:val="21"/>
          <w:highlight w:val="none"/>
        </w:rPr>
      </w:pPr>
      <w:r>
        <w:rPr>
          <w:rFonts w:hint="eastAsia" w:hAnsi="宋体" w:cs="宋体"/>
          <w:color w:val="auto"/>
          <w:kern w:val="2"/>
          <w:sz w:val="21"/>
          <w:szCs w:val="21"/>
          <w:highlight w:val="none"/>
        </w:rPr>
        <w:t>（一）评标委员会将根据得分由高到低排列次序（得分相同时，以投标报价由低到高顺序排列；得分相同且投标报价相同的，按技术指标优劣顺序排列）并推荐中标候选供应商。招标采购单位应当确定评审委员会推荐排名第一的中标候选人为中标人。排名第一的中标候选人放弃中标、因不可抗力提出不能履行合同，或者招标文件规定应当提交质量保证金而在规定的期限内未能提交的，招标采购单位可以确定排名第二的中标候选人为中标人。排名第二的中标候选人因前款规定的同样原因不能签订合同的，招标采购单位可以确定排名第三的中标候选人为中标人，其余以此类推。</w:t>
      </w:r>
    </w:p>
    <w:p>
      <w:pPr>
        <w:widowControl/>
        <w:jc w:val="left"/>
        <w:rPr>
          <w:b/>
          <w:color w:val="auto"/>
          <w:kern w:val="0"/>
          <w:sz w:val="36"/>
          <w:szCs w:val="20"/>
          <w:highlight w:val="none"/>
        </w:rPr>
      </w:pPr>
      <w:bookmarkStart w:id="53" w:name="_Toc22917846"/>
      <w:r>
        <w:rPr>
          <w:b/>
          <w:color w:val="auto"/>
          <w:sz w:val="36"/>
          <w:highlight w:val="none"/>
        </w:rPr>
        <w:br w:type="page"/>
      </w:r>
    </w:p>
    <w:p>
      <w:pPr>
        <w:pStyle w:val="27"/>
        <w:spacing w:line="400" w:lineRule="exact"/>
        <w:jc w:val="center"/>
        <w:outlineLvl w:val="0"/>
        <w:rPr>
          <w:rFonts w:hAnsi="宋体"/>
          <w:b/>
          <w:color w:val="auto"/>
          <w:sz w:val="36"/>
          <w:szCs w:val="36"/>
          <w:highlight w:val="none"/>
        </w:rPr>
      </w:pPr>
      <w:bookmarkStart w:id="54" w:name="_Toc43563144"/>
      <w:bookmarkStart w:id="55" w:name="_Toc43563083"/>
      <w:r>
        <w:rPr>
          <w:rFonts w:hint="eastAsia" w:ascii="Times New Roman" w:hAnsi="Times New Roman"/>
          <w:b/>
          <w:color w:val="auto"/>
          <w:sz w:val="36"/>
          <w:highlight w:val="none"/>
        </w:rPr>
        <w:t>第四章  投标人须知</w:t>
      </w:r>
      <w:bookmarkEnd w:id="51"/>
      <w:bookmarkEnd w:id="52"/>
      <w:bookmarkEnd w:id="53"/>
      <w:bookmarkEnd w:id="54"/>
      <w:bookmarkEnd w:id="55"/>
    </w:p>
    <w:p>
      <w:pPr>
        <w:pStyle w:val="27"/>
        <w:spacing w:line="720" w:lineRule="auto"/>
        <w:jc w:val="center"/>
        <w:rPr>
          <w:rFonts w:ascii="Times New Roman" w:hAnsi="Times New Roman"/>
          <w:b/>
          <w:color w:val="auto"/>
          <w:sz w:val="30"/>
          <w:szCs w:val="30"/>
          <w:highlight w:val="none"/>
        </w:rPr>
      </w:pPr>
      <w:r>
        <w:rPr>
          <w:rFonts w:hint="eastAsia" w:ascii="Times New Roman" w:hAnsi="Times New Roman"/>
          <w:b/>
          <w:color w:val="auto"/>
          <w:sz w:val="30"/>
          <w:szCs w:val="30"/>
          <w:highlight w:val="none"/>
        </w:rPr>
        <w:t>投标人须知前附表</w:t>
      </w:r>
    </w:p>
    <w:tbl>
      <w:tblPr>
        <w:tblStyle w:val="51"/>
        <w:tblW w:w="9586"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2206"/>
        <w:gridCol w:w="6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9" w:type="dxa"/>
            <w:vAlign w:val="center"/>
          </w:tcPr>
          <w:p>
            <w:pPr>
              <w:pStyle w:val="27"/>
              <w:adjustRightInd w:val="0"/>
              <w:spacing w:line="360" w:lineRule="exact"/>
              <w:jc w:val="center"/>
              <w:rPr>
                <w:rFonts w:hAnsi="宋体" w:cs="宋体"/>
                <w:b/>
                <w:color w:val="auto"/>
                <w:kern w:val="2"/>
                <w:sz w:val="21"/>
                <w:szCs w:val="21"/>
                <w:highlight w:val="none"/>
              </w:rPr>
            </w:pPr>
            <w:r>
              <w:rPr>
                <w:rFonts w:hint="eastAsia" w:hAnsi="宋体" w:cs="宋体"/>
                <w:b/>
                <w:color w:val="auto"/>
                <w:kern w:val="2"/>
                <w:sz w:val="21"/>
                <w:szCs w:val="21"/>
                <w:highlight w:val="none"/>
              </w:rPr>
              <w:t>条款号</w:t>
            </w:r>
          </w:p>
        </w:tc>
        <w:tc>
          <w:tcPr>
            <w:tcW w:w="2206" w:type="dxa"/>
            <w:vAlign w:val="center"/>
          </w:tcPr>
          <w:p>
            <w:pPr>
              <w:pStyle w:val="27"/>
              <w:spacing w:line="360" w:lineRule="exact"/>
              <w:jc w:val="center"/>
              <w:rPr>
                <w:rFonts w:hAnsi="宋体" w:cs="宋体"/>
                <w:b/>
                <w:color w:val="auto"/>
                <w:kern w:val="2"/>
                <w:sz w:val="21"/>
                <w:szCs w:val="21"/>
                <w:highlight w:val="none"/>
              </w:rPr>
            </w:pPr>
            <w:r>
              <w:rPr>
                <w:rFonts w:hint="eastAsia" w:hAnsi="宋体" w:cs="宋体"/>
                <w:b/>
                <w:color w:val="auto"/>
                <w:kern w:val="2"/>
                <w:sz w:val="21"/>
                <w:szCs w:val="21"/>
                <w:highlight w:val="none"/>
              </w:rPr>
              <w:t>条款名称</w:t>
            </w:r>
          </w:p>
        </w:tc>
        <w:tc>
          <w:tcPr>
            <w:tcW w:w="6301" w:type="dxa"/>
          </w:tcPr>
          <w:p>
            <w:pPr>
              <w:pStyle w:val="27"/>
              <w:spacing w:line="360" w:lineRule="exact"/>
              <w:jc w:val="center"/>
              <w:rPr>
                <w:rFonts w:hAnsi="宋体" w:cs="宋体"/>
                <w:b/>
                <w:color w:val="auto"/>
                <w:kern w:val="2"/>
                <w:sz w:val="21"/>
                <w:szCs w:val="21"/>
                <w:highlight w:val="none"/>
              </w:rPr>
            </w:pPr>
            <w:r>
              <w:rPr>
                <w:rFonts w:hint="eastAsia" w:hAnsi="宋体" w:cs="宋体"/>
                <w:b/>
                <w:color w:val="auto"/>
                <w:kern w:val="2"/>
                <w:sz w:val="21"/>
                <w:szCs w:val="21"/>
                <w:highlight w:val="none"/>
              </w:rPr>
              <w:t>详细内容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9" w:type="dxa"/>
            <w:vAlign w:val="center"/>
          </w:tcPr>
          <w:p>
            <w:pPr>
              <w:pStyle w:val="27"/>
              <w:adjustRightInd w:val="0"/>
              <w:spacing w:line="360" w:lineRule="exact"/>
              <w:jc w:val="center"/>
              <w:rPr>
                <w:rFonts w:hAnsi="宋体" w:cs="宋体"/>
                <w:color w:val="auto"/>
                <w:kern w:val="2"/>
                <w:sz w:val="21"/>
                <w:szCs w:val="21"/>
                <w:highlight w:val="none"/>
              </w:rPr>
            </w:pPr>
            <w:r>
              <w:rPr>
                <w:rFonts w:hint="eastAsia" w:hAnsi="宋体" w:cs="宋体"/>
                <w:color w:val="auto"/>
                <w:kern w:val="2"/>
                <w:sz w:val="21"/>
                <w:szCs w:val="21"/>
                <w:highlight w:val="none"/>
              </w:rPr>
              <w:t>1.1</w:t>
            </w:r>
          </w:p>
        </w:tc>
        <w:tc>
          <w:tcPr>
            <w:tcW w:w="2206" w:type="dxa"/>
            <w:vAlign w:val="center"/>
          </w:tcPr>
          <w:p>
            <w:pPr>
              <w:pStyle w:val="27"/>
              <w:spacing w:line="360" w:lineRule="exact"/>
              <w:jc w:val="center"/>
              <w:rPr>
                <w:rFonts w:hAnsi="宋体" w:cs="宋体"/>
                <w:color w:val="auto"/>
                <w:kern w:val="2"/>
                <w:sz w:val="21"/>
                <w:szCs w:val="21"/>
                <w:highlight w:val="none"/>
              </w:rPr>
            </w:pPr>
            <w:r>
              <w:rPr>
                <w:rFonts w:hint="eastAsia" w:hAnsi="宋体" w:cs="宋体"/>
                <w:color w:val="auto"/>
                <w:kern w:val="2"/>
                <w:sz w:val="21"/>
                <w:szCs w:val="21"/>
                <w:highlight w:val="none"/>
              </w:rPr>
              <w:t>采购人</w:t>
            </w:r>
          </w:p>
        </w:tc>
        <w:tc>
          <w:tcPr>
            <w:tcW w:w="6301" w:type="dxa"/>
            <w:vAlign w:val="center"/>
          </w:tcPr>
          <w:p>
            <w:pPr>
              <w:spacing w:line="360" w:lineRule="exact"/>
              <w:rPr>
                <w:rFonts w:ascii="宋体" w:hAnsi="宋体"/>
                <w:color w:val="auto"/>
                <w:spacing w:val="6"/>
                <w:kern w:val="48"/>
                <w:szCs w:val="21"/>
                <w:highlight w:val="none"/>
              </w:rPr>
            </w:pPr>
            <w:r>
              <w:rPr>
                <w:rFonts w:hint="eastAsia" w:ascii="宋体" w:hAnsi="宋体"/>
                <w:color w:val="auto"/>
                <w:spacing w:val="6"/>
                <w:kern w:val="48"/>
                <w:szCs w:val="21"/>
                <w:highlight w:val="none"/>
              </w:rPr>
              <w:t>采购人：横县市场监督管理局</w:t>
            </w:r>
          </w:p>
          <w:p>
            <w:pPr>
              <w:spacing w:line="360" w:lineRule="exact"/>
              <w:rPr>
                <w:rFonts w:ascii="宋体" w:hAnsi="宋体"/>
                <w:color w:val="auto"/>
                <w:spacing w:val="6"/>
                <w:kern w:val="48"/>
                <w:szCs w:val="21"/>
                <w:highlight w:val="none"/>
              </w:rPr>
            </w:pPr>
            <w:r>
              <w:rPr>
                <w:rFonts w:hint="eastAsia" w:ascii="宋体" w:hAnsi="宋体"/>
                <w:color w:val="auto"/>
                <w:spacing w:val="6"/>
                <w:kern w:val="48"/>
                <w:szCs w:val="21"/>
                <w:highlight w:val="none"/>
              </w:rPr>
              <w:t>地  址：横县横州镇茉莉花大道</w:t>
            </w:r>
          </w:p>
          <w:p>
            <w:pPr>
              <w:spacing w:line="360" w:lineRule="exact"/>
              <w:rPr>
                <w:rFonts w:ascii="宋体" w:hAnsi="宋体"/>
                <w:color w:val="auto"/>
                <w:spacing w:val="6"/>
                <w:kern w:val="48"/>
                <w:szCs w:val="21"/>
                <w:highlight w:val="none"/>
              </w:rPr>
            </w:pPr>
            <w:r>
              <w:rPr>
                <w:rFonts w:hint="eastAsia" w:ascii="宋体" w:hAnsi="宋体"/>
                <w:color w:val="auto"/>
                <w:spacing w:val="6"/>
                <w:kern w:val="48"/>
                <w:szCs w:val="21"/>
                <w:highlight w:val="none"/>
              </w:rPr>
              <w:t>联系人：李主任</w:t>
            </w:r>
          </w:p>
          <w:p>
            <w:pPr>
              <w:spacing w:line="360" w:lineRule="exact"/>
              <w:rPr>
                <w:rFonts w:ascii="宋体" w:hAnsi="宋体" w:cs="宋体"/>
                <w:color w:val="auto"/>
                <w:szCs w:val="21"/>
                <w:highlight w:val="none"/>
              </w:rPr>
            </w:pPr>
            <w:r>
              <w:rPr>
                <w:rFonts w:hint="eastAsia" w:ascii="宋体" w:hAnsi="宋体"/>
                <w:color w:val="auto"/>
                <w:spacing w:val="6"/>
                <w:kern w:val="48"/>
                <w:szCs w:val="21"/>
                <w:highlight w:val="none"/>
              </w:rPr>
              <w:t>联系电话：0771-7080300、18977121162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9" w:type="dxa"/>
            <w:vAlign w:val="center"/>
          </w:tcPr>
          <w:p>
            <w:pPr>
              <w:pStyle w:val="27"/>
              <w:adjustRightInd w:val="0"/>
              <w:spacing w:line="360" w:lineRule="exact"/>
              <w:jc w:val="center"/>
              <w:rPr>
                <w:rFonts w:hAnsi="宋体" w:cs="宋体"/>
                <w:color w:val="auto"/>
                <w:kern w:val="2"/>
                <w:sz w:val="21"/>
                <w:szCs w:val="21"/>
                <w:highlight w:val="none"/>
              </w:rPr>
            </w:pPr>
            <w:r>
              <w:rPr>
                <w:rFonts w:hint="eastAsia" w:hAnsi="宋体" w:cs="宋体"/>
                <w:color w:val="auto"/>
                <w:kern w:val="2"/>
                <w:sz w:val="21"/>
                <w:szCs w:val="21"/>
                <w:highlight w:val="none"/>
              </w:rPr>
              <w:t>1.2</w:t>
            </w:r>
          </w:p>
        </w:tc>
        <w:tc>
          <w:tcPr>
            <w:tcW w:w="2206" w:type="dxa"/>
            <w:vAlign w:val="center"/>
          </w:tcPr>
          <w:p>
            <w:pPr>
              <w:pStyle w:val="27"/>
              <w:spacing w:line="360" w:lineRule="exact"/>
              <w:jc w:val="center"/>
              <w:rPr>
                <w:rFonts w:hAnsi="宋体" w:cs="宋体"/>
                <w:color w:val="auto"/>
                <w:kern w:val="2"/>
                <w:sz w:val="21"/>
                <w:szCs w:val="21"/>
                <w:highlight w:val="none"/>
              </w:rPr>
            </w:pPr>
            <w:r>
              <w:rPr>
                <w:rFonts w:hint="eastAsia" w:hAnsi="宋体" w:cs="宋体"/>
                <w:color w:val="auto"/>
                <w:kern w:val="2"/>
                <w:sz w:val="21"/>
                <w:szCs w:val="21"/>
                <w:highlight w:val="none"/>
              </w:rPr>
              <w:t>采购代理机构</w:t>
            </w:r>
          </w:p>
        </w:tc>
        <w:tc>
          <w:tcPr>
            <w:tcW w:w="6301" w:type="dxa"/>
            <w:vAlign w:val="center"/>
          </w:tcPr>
          <w:p>
            <w:pPr>
              <w:pStyle w:val="27"/>
              <w:spacing w:line="360" w:lineRule="exact"/>
              <w:rPr>
                <w:rFonts w:hAnsi="宋体" w:cs="宋体"/>
                <w:color w:val="auto"/>
                <w:kern w:val="2"/>
                <w:sz w:val="21"/>
                <w:szCs w:val="21"/>
                <w:highlight w:val="none"/>
              </w:rPr>
            </w:pPr>
            <w:r>
              <w:rPr>
                <w:rFonts w:hint="eastAsia" w:hAnsi="宋体" w:cs="宋体"/>
                <w:color w:val="auto"/>
                <w:kern w:val="2"/>
                <w:sz w:val="21"/>
                <w:szCs w:val="21"/>
                <w:highlight w:val="none"/>
              </w:rPr>
              <w:t>名称：广西科文招标有限公司</w:t>
            </w:r>
          </w:p>
          <w:p>
            <w:pPr>
              <w:pStyle w:val="27"/>
              <w:spacing w:line="360" w:lineRule="exact"/>
              <w:rPr>
                <w:rFonts w:hAnsi="宋体" w:cs="宋体"/>
                <w:color w:val="auto"/>
                <w:kern w:val="2"/>
                <w:sz w:val="21"/>
                <w:szCs w:val="21"/>
                <w:highlight w:val="none"/>
              </w:rPr>
            </w:pPr>
            <w:r>
              <w:rPr>
                <w:rFonts w:hint="eastAsia" w:hAnsi="宋体" w:cs="宋体"/>
                <w:color w:val="auto"/>
                <w:kern w:val="2"/>
                <w:sz w:val="21"/>
                <w:szCs w:val="21"/>
                <w:highlight w:val="none"/>
              </w:rPr>
              <w:t>地址：广西南宁市民族大道141号中鼎万象东方D区五层</w:t>
            </w:r>
          </w:p>
          <w:p>
            <w:pPr>
              <w:pStyle w:val="27"/>
              <w:spacing w:line="360" w:lineRule="exact"/>
              <w:rPr>
                <w:rFonts w:hAnsi="宋体" w:cs="宋体"/>
                <w:color w:val="auto"/>
                <w:kern w:val="2"/>
                <w:sz w:val="21"/>
                <w:szCs w:val="21"/>
                <w:highlight w:val="none"/>
              </w:rPr>
            </w:pPr>
            <w:r>
              <w:rPr>
                <w:rFonts w:hint="eastAsia" w:hAnsi="宋体" w:cs="宋体"/>
                <w:color w:val="auto"/>
                <w:kern w:val="2"/>
                <w:sz w:val="21"/>
                <w:szCs w:val="21"/>
                <w:highlight w:val="none"/>
              </w:rPr>
              <w:t>项目负责人：李工、银工   电话：0771-2023873  传真：0771-2023997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9" w:type="dxa"/>
            <w:vAlign w:val="center"/>
          </w:tcPr>
          <w:p>
            <w:pPr>
              <w:pStyle w:val="27"/>
              <w:adjustRightInd w:val="0"/>
              <w:spacing w:line="360" w:lineRule="exact"/>
              <w:jc w:val="center"/>
              <w:rPr>
                <w:rFonts w:hAnsi="宋体" w:cs="宋体"/>
                <w:color w:val="auto"/>
                <w:kern w:val="2"/>
                <w:sz w:val="21"/>
                <w:szCs w:val="21"/>
                <w:highlight w:val="none"/>
              </w:rPr>
            </w:pPr>
            <w:r>
              <w:rPr>
                <w:rFonts w:hint="eastAsia" w:hAnsi="宋体" w:cs="宋体"/>
                <w:color w:val="auto"/>
                <w:kern w:val="2"/>
                <w:sz w:val="21"/>
                <w:szCs w:val="21"/>
                <w:highlight w:val="none"/>
              </w:rPr>
              <w:t>1.3</w:t>
            </w:r>
          </w:p>
        </w:tc>
        <w:tc>
          <w:tcPr>
            <w:tcW w:w="2206" w:type="dxa"/>
            <w:vAlign w:val="center"/>
          </w:tcPr>
          <w:p>
            <w:pPr>
              <w:pStyle w:val="27"/>
              <w:spacing w:line="360" w:lineRule="exact"/>
              <w:jc w:val="center"/>
              <w:rPr>
                <w:rFonts w:hAnsi="宋体" w:cs="宋体"/>
                <w:color w:val="auto"/>
                <w:kern w:val="2"/>
                <w:sz w:val="21"/>
                <w:szCs w:val="21"/>
                <w:highlight w:val="none"/>
              </w:rPr>
            </w:pPr>
            <w:r>
              <w:rPr>
                <w:rFonts w:hint="eastAsia" w:hAnsi="宋体" w:cs="宋体"/>
                <w:color w:val="auto"/>
                <w:kern w:val="2"/>
                <w:sz w:val="21"/>
                <w:szCs w:val="21"/>
                <w:highlight w:val="none"/>
              </w:rPr>
              <w:t>项目名称</w:t>
            </w:r>
          </w:p>
        </w:tc>
        <w:tc>
          <w:tcPr>
            <w:tcW w:w="6301" w:type="dxa"/>
            <w:vAlign w:val="center"/>
          </w:tcPr>
          <w:p>
            <w:pPr>
              <w:pStyle w:val="27"/>
              <w:spacing w:line="360" w:lineRule="exact"/>
              <w:rPr>
                <w:rFonts w:hAnsi="宋体" w:cs="宋体"/>
                <w:color w:val="auto"/>
                <w:kern w:val="2"/>
                <w:sz w:val="21"/>
                <w:szCs w:val="21"/>
                <w:highlight w:val="none"/>
              </w:rPr>
            </w:pPr>
            <w:r>
              <w:rPr>
                <w:rFonts w:hint="eastAsia" w:hAnsi="宋体" w:cs="宋体"/>
                <w:color w:val="auto"/>
                <w:kern w:val="2"/>
                <w:sz w:val="21"/>
                <w:szCs w:val="21"/>
                <w:highlight w:val="none"/>
              </w:rPr>
              <w:t>国家茉莉花及制品质量检验中心(广西)建设项目-实验室检验检测设备采购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9" w:type="dxa"/>
            <w:vAlign w:val="center"/>
          </w:tcPr>
          <w:p>
            <w:pPr>
              <w:pStyle w:val="27"/>
              <w:adjustRightInd w:val="0"/>
              <w:spacing w:line="360" w:lineRule="exact"/>
              <w:jc w:val="center"/>
              <w:rPr>
                <w:rFonts w:hAnsi="宋体" w:cs="宋体"/>
                <w:color w:val="auto"/>
                <w:kern w:val="2"/>
                <w:sz w:val="21"/>
                <w:szCs w:val="21"/>
                <w:highlight w:val="none"/>
              </w:rPr>
            </w:pPr>
            <w:r>
              <w:rPr>
                <w:rFonts w:hint="eastAsia" w:hAnsi="宋体" w:cs="宋体"/>
                <w:color w:val="auto"/>
                <w:kern w:val="2"/>
                <w:sz w:val="21"/>
                <w:szCs w:val="21"/>
                <w:highlight w:val="none"/>
              </w:rPr>
              <w:t>1.4</w:t>
            </w:r>
          </w:p>
        </w:tc>
        <w:tc>
          <w:tcPr>
            <w:tcW w:w="2206" w:type="dxa"/>
            <w:vAlign w:val="center"/>
          </w:tcPr>
          <w:p>
            <w:pPr>
              <w:pStyle w:val="27"/>
              <w:spacing w:line="360" w:lineRule="exact"/>
              <w:jc w:val="center"/>
              <w:rPr>
                <w:rFonts w:hAnsi="宋体" w:cs="宋体"/>
                <w:color w:val="auto"/>
                <w:kern w:val="2"/>
                <w:sz w:val="21"/>
                <w:szCs w:val="21"/>
                <w:highlight w:val="none"/>
              </w:rPr>
            </w:pPr>
            <w:r>
              <w:rPr>
                <w:rFonts w:hint="eastAsia" w:hAnsi="宋体" w:cs="宋体"/>
                <w:color w:val="auto"/>
                <w:kern w:val="2"/>
                <w:sz w:val="21"/>
                <w:szCs w:val="21"/>
                <w:highlight w:val="none"/>
              </w:rPr>
              <w:t>项目编号</w:t>
            </w:r>
          </w:p>
        </w:tc>
        <w:tc>
          <w:tcPr>
            <w:tcW w:w="6301" w:type="dxa"/>
            <w:vAlign w:val="center"/>
          </w:tcPr>
          <w:p>
            <w:pPr>
              <w:pStyle w:val="27"/>
              <w:spacing w:line="360" w:lineRule="exact"/>
              <w:rPr>
                <w:rFonts w:hAnsi="宋体" w:cs="宋体"/>
                <w:color w:val="auto"/>
                <w:kern w:val="2"/>
                <w:sz w:val="21"/>
                <w:szCs w:val="21"/>
                <w:highlight w:val="none"/>
              </w:rPr>
            </w:pPr>
            <w:r>
              <w:rPr>
                <w:rFonts w:hint="eastAsia" w:hAnsi="宋体" w:cs="宋体"/>
                <w:color w:val="auto"/>
                <w:kern w:val="2"/>
                <w:sz w:val="21"/>
                <w:szCs w:val="21"/>
                <w:highlight w:val="none"/>
              </w:rPr>
              <w:t>KWAZ2G2020815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8" w:hRule="atLeast"/>
        </w:trPr>
        <w:tc>
          <w:tcPr>
            <w:tcW w:w="1079" w:type="dxa"/>
            <w:vAlign w:val="center"/>
          </w:tcPr>
          <w:p>
            <w:pPr>
              <w:pStyle w:val="27"/>
              <w:adjustRightInd w:val="0"/>
              <w:spacing w:line="360" w:lineRule="exact"/>
              <w:jc w:val="center"/>
              <w:rPr>
                <w:rFonts w:hAnsi="宋体" w:cs="宋体"/>
                <w:color w:val="auto"/>
                <w:kern w:val="2"/>
                <w:sz w:val="21"/>
                <w:szCs w:val="21"/>
                <w:highlight w:val="none"/>
              </w:rPr>
            </w:pPr>
            <w:r>
              <w:rPr>
                <w:rFonts w:hint="eastAsia" w:hAnsi="宋体" w:cs="宋体"/>
                <w:color w:val="auto"/>
                <w:kern w:val="2"/>
                <w:sz w:val="21"/>
                <w:szCs w:val="21"/>
                <w:highlight w:val="none"/>
              </w:rPr>
              <w:t>1.5</w:t>
            </w:r>
          </w:p>
        </w:tc>
        <w:tc>
          <w:tcPr>
            <w:tcW w:w="2206" w:type="dxa"/>
            <w:vAlign w:val="center"/>
          </w:tcPr>
          <w:p>
            <w:pPr>
              <w:pStyle w:val="27"/>
              <w:spacing w:line="360" w:lineRule="exact"/>
              <w:jc w:val="center"/>
              <w:rPr>
                <w:rFonts w:hAnsi="宋体" w:cs="宋体"/>
                <w:color w:val="auto"/>
                <w:kern w:val="2"/>
                <w:sz w:val="21"/>
                <w:szCs w:val="21"/>
                <w:highlight w:val="none"/>
              </w:rPr>
            </w:pPr>
            <w:r>
              <w:rPr>
                <w:rFonts w:hint="eastAsia" w:hAnsi="宋体" w:cs="宋体"/>
                <w:color w:val="auto"/>
                <w:kern w:val="2"/>
                <w:sz w:val="21"/>
                <w:szCs w:val="21"/>
                <w:highlight w:val="none"/>
              </w:rPr>
              <w:t>采购预算</w:t>
            </w:r>
          </w:p>
        </w:tc>
        <w:tc>
          <w:tcPr>
            <w:tcW w:w="6301" w:type="dxa"/>
            <w:vAlign w:val="center"/>
          </w:tcPr>
          <w:p>
            <w:pPr>
              <w:pStyle w:val="21"/>
              <w:tabs>
                <w:tab w:val="left" w:pos="3204"/>
              </w:tabs>
              <w:spacing w:line="360" w:lineRule="exact"/>
              <w:ind w:firstLine="0"/>
              <w:rPr>
                <w:rFonts w:hAnsi="宋体"/>
                <w:color w:val="auto"/>
                <w:spacing w:val="0"/>
                <w:sz w:val="21"/>
                <w:szCs w:val="21"/>
                <w:highlight w:val="none"/>
              </w:rPr>
            </w:pPr>
            <w:r>
              <w:rPr>
                <w:rFonts w:hint="eastAsia" w:hAnsi="宋体" w:cs="宋体"/>
                <w:b/>
                <w:color w:val="auto"/>
                <w:spacing w:val="6"/>
                <w:kern w:val="48"/>
                <w:sz w:val="21"/>
                <w:szCs w:val="21"/>
                <w:highlight w:val="none"/>
              </w:rPr>
              <w:t>标段1：348.25万元；标段2：279.665万元；标段3：351.95万元；标段4：361万元；标段5：258.975万元</w:t>
            </w:r>
            <w:r>
              <w:rPr>
                <w:rFonts w:hint="eastAsia" w:hAnsi="宋体" w:cs="宋体"/>
                <w:b/>
                <w:bCs/>
                <w:color w:val="auto"/>
                <w:spacing w:val="6"/>
                <w:kern w:val="48"/>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079" w:type="dxa"/>
            <w:vAlign w:val="center"/>
          </w:tcPr>
          <w:p>
            <w:pPr>
              <w:pStyle w:val="27"/>
              <w:spacing w:line="360" w:lineRule="exact"/>
              <w:jc w:val="center"/>
              <w:rPr>
                <w:rFonts w:hAnsi="宋体" w:cs="宋体"/>
                <w:color w:val="auto"/>
                <w:kern w:val="2"/>
                <w:sz w:val="21"/>
                <w:szCs w:val="21"/>
                <w:highlight w:val="none"/>
              </w:rPr>
            </w:pPr>
            <w:r>
              <w:rPr>
                <w:rFonts w:hint="eastAsia" w:hAnsi="宋体" w:cs="宋体"/>
                <w:color w:val="auto"/>
                <w:kern w:val="2"/>
                <w:sz w:val="21"/>
                <w:szCs w:val="21"/>
                <w:highlight w:val="none"/>
              </w:rPr>
              <w:t>1.7</w:t>
            </w:r>
          </w:p>
        </w:tc>
        <w:tc>
          <w:tcPr>
            <w:tcW w:w="2206" w:type="dxa"/>
            <w:vAlign w:val="center"/>
          </w:tcPr>
          <w:p>
            <w:pPr>
              <w:pStyle w:val="27"/>
              <w:spacing w:line="360" w:lineRule="exact"/>
              <w:jc w:val="center"/>
              <w:rPr>
                <w:rFonts w:hAnsi="宋体" w:cs="宋体"/>
                <w:color w:val="auto"/>
                <w:kern w:val="2"/>
                <w:sz w:val="21"/>
                <w:szCs w:val="21"/>
                <w:highlight w:val="none"/>
              </w:rPr>
            </w:pPr>
            <w:r>
              <w:rPr>
                <w:rFonts w:hint="eastAsia" w:hAnsi="宋体" w:cs="宋体"/>
                <w:color w:val="auto"/>
                <w:kern w:val="2"/>
                <w:sz w:val="21"/>
                <w:szCs w:val="21"/>
                <w:highlight w:val="none"/>
              </w:rPr>
              <w:t>获取招标文件的方式及招标文件售价</w:t>
            </w:r>
          </w:p>
        </w:tc>
        <w:tc>
          <w:tcPr>
            <w:tcW w:w="6301" w:type="dxa"/>
            <w:vAlign w:val="center"/>
          </w:tcPr>
          <w:p>
            <w:pPr>
              <w:pStyle w:val="21"/>
              <w:tabs>
                <w:tab w:val="left" w:pos="3204"/>
              </w:tabs>
              <w:spacing w:line="360" w:lineRule="exact"/>
              <w:ind w:firstLine="0"/>
              <w:rPr>
                <w:rFonts w:hAnsi="宋体"/>
                <w:color w:val="auto"/>
                <w:spacing w:val="6"/>
                <w:kern w:val="48"/>
                <w:sz w:val="21"/>
                <w:szCs w:val="21"/>
                <w:highlight w:val="none"/>
              </w:rPr>
            </w:pPr>
            <w:r>
              <w:rPr>
                <w:rFonts w:hint="eastAsia" w:hAnsi="宋体"/>
                <w:color w:val="auto"/>
                <w:spacing w:val="6"/>
                <w:kern w:val="48"/>
                <w:sz w:val="21"/>
                <w:szCs w:val="21"/>
                <w:highlight w:val="none"/>
              </w:rPr>
              <w:t>获取方式：线上获取，投标人自行在规定网站下载电子版采购文件。</w:t>
            </w:r>
          </w:p>
          <w:p>
            <w:pPr>
              <w:pStyle w:val="21"/>
              <w:tabs>
                <w:tab w:val="left" w:pos="3204"/>
              </w:tabs>
              <w:spacing w:line="360" w:lineRule="exact"/>
              <w:ind w:firstLine="0"/>
              <w:rPr>
                <w:rFonts w:hAnsi="宋体"/>
                <w:color w:val="auto"/>
                <w:spacing w:val="6"/>
                <w:kern w:val="48"/>
                <w:sz w:val="21"/>
                <w:szCs w:val="21"/>
                <w:highlight w:val="none"/>
              </w:rPr>
            </w:pPr>
            <w:r>
              <w:rPr>
                <w:rFonts w:hint="eastAsia" w:hAnsi="宋体"/>
                <w:color w:val="auto"/>
                <w:spacing w:val="6"/>
                <w:kern w:val="48"/>
                <w:sz w:val="21"/>
                <w:szCs w:val="21"/>
                <w:highlight w:val="none"/>
              </w:rPr>
              <w:t>招标文件每套售价0.00元。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079" w:type="dxa"/>
            <w:vAlign w:val="center"/>
          </w:tcPr>
          <w:p>
            <w:pPr>
              <w:pStyle w:val="27"/>
              <w:spacing w:line="360" w:lineRule="exact"/>
              <w:jc w:val="center"/>
              <w:rPr>
                <w:rFonts w:hAnsi="宋体" w:cs="宋体"/>
                <w:color w:val="auto"/>
                <w:kern w:val="2"/>
                <w:sz w:val="21"/>
                <w:szCs w:val="21"/>
                <w:highlight w:val="none"/>
              </w:rPr>
            </w:pPr>
            <w:r>
              <w:rPr>
                <w:rFonts w:hint="eastAsia" w:hAnsi="宋体" w:cs="宋体"/>
                <w:b/>
                <w:color w:val="auto"/>
                <w:kern w:val="2"/>
                <w:sz w:val="21"/>
                <w:szCs w:val="21"/>
                <w:highlight w:val="none"/>
              </w:rPr>
              <w:t>1.8</w:t>
            </w:r>
          </w:p>
        </w:tc>
        <w:tc>
          <w:tcPr>
            <w:tcW w:w="2206" w:type="dxa"/>
            <w:vAlign w:val="center"/>
          </w:tcPr>
          <w:p>
            <w:pPr>
              <w:pStyle w:val="27"/>
              <w:spacing w:line="360" w:lineRule="exact"/>
              <w:jc w:val="center"/>
              <w:rPr>
                <w:rFonts w:hAnsi="宋体" w:cs="宋体"/>
                <w:color w:val="auto"/>
                <w:kern w:val="2"/>
                <w:sz w:val="21"/>
                <w:szCs w:val="21"/>
                <w:highlight w:val="none"/>
              </w:rPr>
            </w:pPr>
            <w:r>
              <w:rPr>
                <w:rFonts w:hint="eastAsia" w:hAnsi="宋体" w:cs="宋体"/>
                <w:b/>
                <w:bCs/>
                <w:color w:val="auto"/>
                <w:kern w:val="2"/>
                <w:sz w:val="21"/>
                <w:szCs w:val="21"/>
                <w:highlight w:val="none"/>
              </w:rPr>
              <w:t>预留采购份额</w:t>
            </w:r>
          </w:p>
        </w:tc>
        <w:tc>
          <w:tcPr>
            <w:tcW w:w="6301" w:type="dxa"/>
            <w:vAlign w:val="center"/>
          </w:tcPr>
          <w:p>
            <w:pPr>
              <w:pStyle w:val="27"/>
              <w:spacing w:line="360" w:lineRule="exact"/>
              <w:ind w:left="599" w:hanging="599" w:hangingChars="284"/>
              <w:rPr>
                <w:rFonts w:hAnsi="宋体" w:cs="宋体"/>
                <w:color w:val="auto"/>
                <w:kern w:val="2"/>
                <w:sz w:val="21"/>
                <w:szCs w:val="21"/>
                <w:highlight w:val="none"/>
              </w:rPr>
            </w:pPr>
            <w:r>
              <w:rPr>
                <w:rFonts w:hint="eastAsia" w:hAnsi="宋体" w:cs="宋体"/>
                <w:b/>
                <w:bCs/>
                <w:color w:val="auto"/>
                <w:kern w:val="2"/>
                <w:sz w:val="21"/>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Align w:val="center"/>
          </w:tcPr>
          <w:p>
            <w:pPr>
              <w:pStyle w:val="27"/>
              <w:adjustRightInd w:val="0"/>
              <w:spacing w:line="360" w:lineRule="exact"/>
              <w:jc w:val="center"/>
              <w:rPr>
                <w:rFonts w:hAnsi="宋体" w:cs="宋体"/>
                <w:color w:val="auto"/>
                <w:kern w:val="2"/>
                <w:sz w:val="21"/>
                <w:szCs w:val="21"/>
                <w:highlight w:val="none"/>
              </w:rPr>
            </w:pPr>
            <w:r>
              <w:rPr>
                <w:rFonts w:hint="eastAsia" w:hAnsi="宋体" w:cs="宋体"/>
                <w:color w:val="auto"/>
                <w:kern w:val="2"/>
                <w:sz w:val="21"/>
                <w:szCs w:val="21"/>
                <w:highlight w:val="none"/>
              </w:rPr>
              <w:t>3.2</w:t>
            </w:r>
          </w:p>
        </w:tc>
        <w:tc>
          <w:tcPr>
            <w:tcW w:w="2206" w:type="dxa"/>
            <w:vAlign w:val="center"/>
          </w:tcPr>
          <w:p>
            <w:pPr>
              <w:pStyle w:val="27"/>
              <w:spacing w:line="360" w:lineRule="exact"/>
              <w:jc w:val="center"/>
              <w:rPr>
                <w:rFonts w:hAnsi="宋体" w:cs="宋体"/>
                <w:color w:val="auto"/>
                <w:kern w:val="2"/>
                <w:sz w:val="21"/>
                <w:szCs w:val="21"/>
                <w:highlight w:val="none"/>
              </w:rPr>
            </w:pPr>
            <w:r>
              <w:rPr>
                <w:rFonts w:hint="eastAsia" w:hAnsi="宋体" w:cs="宋体"/>
                <w:bCs/>
                <w:color w:val="auto"/>
                <w:kern w:val="2"/>
                <w:sz w:val="21"/>
                <w:szCs w:val="21"/>
                <w:highlight w:val="none"/>
              </w:rPr>
              <w:t>投标人应具备的特定条件</w:t>
            </w:r>
          </w:p>
        </w:tc>
        <w:tc>
          <w:tcPr>
            <w:tcW w:w="6301" w:type="dxa"/>
            <w:vAlign w:val="center"/>
          </w:tcPr>
          <w:p>
            <w:pPr>
              <w:pStyle w:val="21"/>
              <w:tabs>
                <w:tab w:val="left" w:pos="3204"/>
              </w:tabs>
              <w:spacing w:line="360" w:lineRule="exact"/>
              <w:ind w:firstLine="0"/>
              <w:rPr>
                <w:rFonts w:hint="eastAsia" w:hAnsi="宋体" w:cs="宋体"/>
                <w:color w:val="auto"/>
                <w:spacing w:val="6"/>
                <w:kern w:val="48"/>
                <w:sz w:val="21"/>
                <w:szCs w:val="21"/>
                <w:highlight w:val="none"/>
              </w:rPr>
            </w:pPr>
            <w:r>
              <w:rPr>
                <w:rFonts w:hint="eastAsia" w:hAnsi="宋体" w:cs="宋体"/>
                <w:color w:val="auto"/>
                <w:spacing w:val="6"/>
                <w:kern w:val="48"/>
                <w:sz w:val="21"/>
                <w:szCs w:val="21"/>
                <w:highlight w:val="none"/>
              </w:rPr>
              <w:t>1、满足《中华人民共和国政府采购法》第二十二条规定。</w:t>
            </w:r>
          </w:p>
          <w:p>
            <w:pPr>
              <w:pStyle w:val="21"/>
              <w:tabs>
                <w:tab w:val="left" w:pos="3204"/>
              </w:tabs>
              <w:spacing w:line="360" w:lineRule="exact"/>
              <w:ind w:firstLine="0"/>
              <w:rPr>
                <w:rFonts w:hint="eastAsia" w:hAnsi="宋体" w:cs="宋体"/>
                <w:color w:val="auto"/>
                <w:spacing w:val="6"/>
                <w:kern w:val="48"/>
                <w:sz w:val="21"/>
                <w:szCs w:val="21"/>
                <w:highlight w:val="none"/>
              </w:rPr>
            </w:pPr>
            <w:r>
              <w:rPr>
                <w:rFonts w:hint="eastAsia" w:hAnsi="宋体" w:cs="宋体"/>
                <w:color w:val="auto"/>
                <w:spacing w:val="6"/>
                <w:kern w:val="48"/>
                <w:sz w:val="21"/>
                <w:szCs w:val="21"/>
                <w:highlight w:val="none"/>
              </w:rPr>
              <w:t>2、落实政府采购政策需满足的资格要求：无。</w:t>
            </w:r>
          </w:p>
          <w:p>
            <w:pPr>
              <w:pStyle w:val="21"/>
              <w:tabs>
                <w:tab w:val="left" w:pos="3204"/>
              </w:tabs>
              <w:spacing w:line="360" w:lineRule="exact"/>
              <w:ind w:firstLine="0"/>
              <w:rPr>
                <w:rFonts w:hint="eastAsia" w:hAnsi="宋体" w:cs="宋体"/>
                <w:color w:val="auto"/>
                <w:spacing w:val="6"/>
                <w:kern w:val="48"/>
                <w:sz w:val="21"/>
                <w:szCs w:val="21"/>
                <w:highlight w:val="none"/>
              </w:rPr>
            </w:pPr>
            <w:r>
              <w:rPr>
                <w:rFonts w:hint="eastAsia" w:hAnsi="宋体" w:cs="宋体"/>
                <w:color w:val="auto"/>
                <w:spacing w:val="6"/>
                <w:kern w:val="48"/>
                <w:sz w:val="21"/>
                <w:szCs w:val="21"/>
                <w:highlight w:val="none"/>
              </w:rPr>
              <w:t>3、本项目的特定资格要求：具备国内注册（指按国家有关规定要求注册的），生产或经营本次招标采购货物的供应商。</w:t>
            </w:r>
          </w:p>
          <w:p>
            <w:pPr>
              <w:pStyle w:val="21"/>
              <w:tabs>
                <w:tab w:val="left" w:pos="3204"/>
              </w:tabs>
              <w:spacing w:line="360" w:lineRule="exact"/>
              <w:ind w:firstLine="0"/>
              <w:rPr>
                <w:rFonts w:hint="eastAsia" w:hAnsi="宋体" w:cs="宋体"/>
                <w:color w:val="auto"/>
                <w:spacing w:val="6"/>
                <w:kern w:val="48"/>
                <w:sz w:val="21"/>
                <w:szCs w:val="21"/>
                <w:highlight w:val="none"/>
              </w:rPr>
            </w:pPr>
            <w:r>
              <w:rPr>
                <w:rFonts w:hint="eastAsia" w:hAnsi="宋体" w:cs="宋体"/>
                <w:color w:val="auto"/>
                <w:spacing w:val="6"/>
                <w:kern w:val="48"/>
                <w:sz w:val="21"/>
                <w:szCs w:val="21"/>
                <w:highlight w:val="none"/>
              </w:rPr>
              <w:t>4、在参加政府采购活动期间未被列入“信用中国”网站(www.creditchina.gov.cn)、中国政府采购网(www.ccgp.gov.cn)渠道信用记录失信被执行人、重大税收违法案件当事人名单、政府采购严重违法失信行为记录名单的供应商。</w:t>
            </w:r>
          </w:p>
          <w:p>
            <w:pPr>
              <w:pStyle w:val="21"/>
              <w:tabs>
                <w:tab w:val="left" w:pos="3204"/>
              </w:tabs>
              <w:spacing w:line="360" w:lineRule="exact"/>
              <w:ind w:firstLine="0"/>
              <w:rPr>
                <w:rFonts w:hAnsi="宋体" w:cs="宋体"/>
                <w:color w:val="auto"/>
                <w:spacing w:val="6"/>
                <w:kern w:val="48"/>
                <w:sz w:val="21"/>
                <w:szCs w:val="21"/>
                <w:highlight w:val="none"/>
              </w:rPr>
            </w:pPr>
            <w:r>
              <w:rPr>
                <w:rFonts w:hint="eastAsia" w:hAnsi="宋体" w:cs="宋体"/>
                <w:color w:val="auto"/>
                <w:spacing w:val="6"/>
                <w:kern w:val="48"/>
                <w:sz w:val="21"/>
                <w:szCs w:val="21"/>
                <w:highlight w:val="none"/>
              </w:rPr>
              <w:t>5、单位负责人为同一人或者存在直接控股、管理关系的不同的投标人，不得参加同一合同项下的政府采购活动。除单一来源采购项目外，为采购项目提供整体设计、规范编制或者项目管理、监理、检测等服务的供应商，不得再参加该采购项目的其他采购活动。同一生产厂家不得同一合同项目经销授权不同的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79" w:type="dxa"/>
            <w:vAlign w:val="center"/>
          </w:tcPr>
          <w:p>
            <w:pPr>
              <w:pStyle w:val="27"/>
              <w:adjustRightInd w:val="0"/>
              <w:spacing w:line="360" w:lineRule="exact"/>
              <w:jc w:val="center"/>
              <w:rPr>
                <w:rFonts w:hAnsi="宋体" w:cs="宋体"/>
                <w:color w:val="auto"/>
                <w:kern w:val="2"/>
                <w:sz w:val="21"/>
                <w:szCs w:val="21"/>
                <w:highlight w:val="none"/>
              </w:rPr>
            </w:pPr>
            <w:r>
              <w:rPr>
                <w:rFonts w:hint="eastAsia" w:hAnsi="宋体" w:cs="宋体"/>
                <w:color w:val="auto"/>
                <w:kern w:val="2"/>
                <w:sz w:val="21"/>
                <w:szCs w:val="21"/>
                <w:highlight w:val="none"/>
              </w:rPr>
              <w:t>3.3</w:t>
            </w:r>
          </w:p>
        </w:tc>
        <w:tc>
          <w:tcPr>
            <w:tcW w:w="2206" w:type="dxa"/>
            <w:vAlign w:val="center"/>
          </w:tcPr>
          <w:p>
            <w:pPr>
              <w:pStyle w:val="27"/>
              <w:spacing w:line="360" w:lineRule="exact"/>
              <w:jc w:val="center"/>
              <w:rPr>
                <w:rFonts w:hAnsi="宋体" w:cs="宋体"/>
                <w:color w:val="auto"/>
                <w:kern w:val="2"/>
                <w:sz w:val="21"/>
                <w:szCs w:val="21"/>
                <w:highlight w:val="none"/>
              </w:rPr>
            </w:pPr>
            <w:r>
              <w:rPr>
                <w:rFonts w:hint="eastAsia" w:hAnsi="宋体" w:cs="宋体"/>
                <w:color w:val="auto"/>
                <w:kern w:val="2"/>
                <w:sz w:val="21"/>
                <w:szCs w:val="21"/>
                <w:highlight w:val="none"/>
              </w:rPr>
              <w:t>是否接受联合体投标</w:t>
            </w:r>
          </w:p>
        </w:tc>
        <w:tc>
          <w:tcPr>
            <w:tcW w:w="6301" w:type="dxa"/>
            <w:vAlign w:val="center"/>
          </w:tcPr>
          <w:p>
            <w:pPr>
              <w:pStyle w:val="27"/>
              <w:spacing w:line="360" w:lineRule="exact"/>
              <w:rPr>
                <w:rFonts w:hAnsi="宋体" w:cs="宋体"/>
                <w:color w:val="auto"/>
                <w:kern w:val="2"/>
                <w:sz w:val="21"/>
                <w:szCs w:val="21"/>
                <w:highlight w:val="none"/>
              </w:rPr>
            </w:pPr>
            <w:bookmarkStart w:id="56" w:name="CgwjmbEntity：sflhttb_0"/>
            <w:r>
              <w:rPr>
                <w:rFonts w:hint="eastAsia" w:hAnsi="宋体" w:cs="宋体"/>
                <w:color w:val="auto"/>
                <w:kern w:val="2"/>
                <w:sz w:val="21"/>
                <w:szCs w:val="21"/>
                <w:highlight w:val="none"/>
              </w:rPr>
              <w:t>不接受联合体投标</w:t>
            </w:r>
            <w:bookmarkEnd w:id="5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trPr>
        <w:tc>
          <w:tcPr>
            <w:tcW w:w="1079" w:type="dxa"/>
            <w:vMerge w:val="restart"/>
            <w:vAlign w:val="center"/>
          </w:tcPr>
          <w:p>
            <w:pPr>
              <w:pStyle w:val="27"/>
              <w:adjustRightInd w:val="0"/>
              <w:spacing w:line="360" w:lineRule="exact"/>
              <w:jc w:val="center"/>
              <w:rPr>
                <w:rFonts w:hAnsi="宋体" w:cs="宋体"/>
                <w:color w:val="auto"/>
                <w:kern w:val="2"/>
                <w:sz w:val="21"/>
                <w:szCs w:val="21"/>
                <w:highlight w:val="none"/>
              </w:rPr>
            </w:pPr>
            <w:r>
              <w:rPr>
                <w:rFonts w:hint="eastAsia" w:hAnsi="宋体" w:cs="宋体"/>
                <w:color w:val="auto"/>
                <w:kern w:val="2"/>
                <w:sz w:val="21"/>
                <w:szCs w:val="21"/>
                <w:highlight w:val="none"/>
              </w:rPr>
              <w:t>4.1</w:t>
            </w:r>
          </w:p>
        </w:tc>
        <w:tc>
          <w:tcPr>
            <w:tcW w:w="2206" w:type="dxa"/>
            <w:vAlign w:val="center"/>
          </w:tcPr>
          <w:p>
            <w:pPr>
              <w:pStyle w:val="27"/>
              <w:spacing w:line="360" w:lineRule="exact"/>
              <w:jc w:val="center"/>
              <w:rPr>
                <w:rFonts w:hAnsi="宋体" w:cs="宋体"/>
                <w:color w:val="auto"/>
                <w:kern w:val="2"/>
                <w:sz w:val="21"/>
                <w:szCs w:val="21"/>
                <w:highlight w:val="none"/>
              </w:rPr>
            </w:pPr>
            <w:r>
              <w:rPr>
                <w:rFonts w:hint="eastAsia" w:hAnsi="宋体" w:cs="宋体"/>
                <w:color w:val="auto"/>
                <w:kern w:val="2"/>
                <w:sz w:val="21"/>
                <w:szCs w:val="21"/>
                <w:highlight w:val="none"/>
              </w:rPr>
              <w:t>招标文件质疑提交</w:t>
            </w:r>
            <w:r>
              <w:rPr>
                <w:rFonts w:hint="eastAsia" w:hAnsi="宋体" w:cs="宋体"/>
                <w:color w:val="auto"/>
                <w:sz w:val="21"/>
                <w:szCs w:val="21"/>
                <w:highlight w:val="none"/>
              </w:rPr>
              <w:t>的截止时间</w:t>
            </w:r>
          </w:p>
        </w:tc>
        <w:tc>
          <w:tcPr>
            <w:tcW w:w="6301" w:type="dxa"/>
            <w:vAlign w:val="center"/>
          </w:tcPr>
          <w:p>
            <w:pPr>
              <w:pStyle w:val="27"/>
              <w:spacing w:line="360" w:lineRule="exact"/>
              <w:rPr>
                <w:rFonts w:hAnsi="宋体" w:cs="宋体"/>
                <w:color w:val="auto"/>
                <w:kern w:val="2"/>
                <w:sz w:val="21"/>
                <w:szCs w:val="21"/>
                <w:highlight w:val="none"/>
              </w:rPr>
            </w:pPr>
            <w:r>
              <w:rPr>
                <w:rFonts w:hint="eastAsia" w:hAnsi="宋体"/>
                <w:color w:val="auto"/>
                <w:sz w:val="21"/>
                <w:szCs w:val="21"/>
                <w:highlight w:val="none"/>
              </w:rPr>
              <w:t>招标文件发布之日起</w:t>
            </w:r>
            <w:r>
              <w:rPr>
                <w:rFonts w:hAnsi="宋体"/>
                <w:color w:val="auto"/>
                <w:sz w:val="21"/>
                <w:szCs w:val="21"/>
                <w:highlight w:val="none"/>
              </w:rPr>
              <w:t>7</w:t>
            </w:r>
            <w:r>
              <w:rPr>
                <w:rFonts w:hint="eastAsia" w:hAnsi="宋体"/>
                <w:color w:val="auto"/>
                <w:sz w:val="21"/>
                <w:szCs w:val="21"/>
                <w:highlight w:val="none"/>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trPr>
        <w:tc>
          <w:tcPr>
            <w:tcW w:w="1079" w:type="dxa"/>
            <w:vMerge w:val="continue"/>
            <w:vAlign w:val="center"/>
          </w:tcPr>
          <w:p>
            <w:pPr>
              <w:pStyle w:val="27"/>
              <w:adjustRightInd w:val="0"/>
              <w:spacing w:line="360" w:lineRule="exact"/>
              <w:jc w:val="center"/>
              <w:rPr>
                <w:rFonts w:hAnsi="宋体" w:cs="宋体"/>
                <w:color w:val="auto"/>
                <w:kern w:val="2"/>
                <w:sz w:val="21"/>
                <w:szCs w:val="21"/>
                <w:highlight w:val="none"/>
              </w:rPr>
            </w:pPr>
          </w:p>
        </w:tc>
        <w:tc>
          <w:tcPr>
            <w:tcW w:w="2206" w:type="dxa"/>
            <w:vAlign w:val="center"/>
          </w:tcPr>
          <w:p>
            <w:pPr>
              <w:pStyle w:val="27"/>
              <w:spacing w:line="360" w:lineRule="exact"/>
              <w:jc w:val="center"/>
              <w:rPr>
                <w:rFonts w:hAnsi="宋体"/>
                <w:color w:val="auto"/>
                <w:kern w:val="2"/>
                <w:sz w:val="21"/>
                <w:szCs w:val="21"/>
                <w:highlight w:val="none"/>
              </w:rPr>
            </w:pPr>
            <w:r>
              <w:rPr>
                <w:rFonts w:hint="eastAsia" w:hAnsi="宋体"/>
                <w:color w:val="auto"/>
                <w:kern w:val="2"/>
                <w:sz w:val="21"/>
                <w:szCs w:val="21"/>
                <w:highlight w:val="none"/>
              </w:rPr>
              <w:t>接收质疑函的方式、联系部门、联系电话和通讯地址</w:t>
            </w:r>
          </w:p>
        </w:tc>
        <w:tc>
          <w:tcPr>
            <w:tcW w:w="6301" w:type="dxa"/>
            <w:vAlign w:val="center"/>
          </w:tcPr>
          <w:p>
            <w:pPr>
              <w:spacing w:line="360" w:lineRule="exact"/>
              <w:rPr>
                <w:rFonts w:ascii="宋体" w:hAnsi="宋体"/>
                <w:color w:val="auto"/>
                <w:szCs w:val="21"/>
                <w:highlight w:val="none"/>
              </w:rPr>
            </w:pPr>
            <w:r>
              <w:rPr>
                <w:rFonts w:hint="eastAsia" w:ascii="宋体" w:hAnsi="宋体"/>
                <w:color w:val="auto"/>
                <w:szCs w:val="21"/>
                <w:highlight w:val="none"/>
              </w:rPr>
              <w:t>1.接收质疑函的方式：接受现场提交或邮递方式提交的质疑书。</w:t>
            </w:r>
          </w:p>
          <w:p>
            <w:pPr>
              <w:spacing w:line="360" w:lineRule="exact"/>
              <w:rPr>
                <w:rFonts w:ascii="宋体" w:hAnsi="宋体"/>
                <w:color w:val="auto"/>
                <w:szCs w:val="21"/>
                <w:highlight w:val="none"/>
              </w:rPr>
            </w:pPr>
            <w:r>
              <w:rPr>
                <w:rFonts w:hint="eastAsia" w:ascii="宋体" w:hAnsi="宋体"/>
                <w:color w:val="auto"/>
                <w:szCs w:val="21"/>
                <w:highlight w:val="none"/>
              </w:rPr>
              <w:t>2.对资格审查的质疑，由采购人负责受理和答复。（地址及质疑咨询电话详见本表1.1</w:t>
            </w:r>
            <w:r>
              <w:rPr>
                <w:rFonts w:hint="eastAsia" w:ascii="宋体" w:hAnsi="宋体"/>
                <w:color w:val="auto"/>
                <w:spacing w:val="6"/>
                <w:kern w:val="48"/>
                <w:szCs w:val="21"/>
                <w:highlight w:val="none"/>
              </w:rPr>
              <w:t>）</w:t>
            </w:r>
          </w:p>
          <w:p>
            <w:pPr>
              <w:spacing w:line="360" w:lineRule="exact"/>
              <w:rPr>
                <w:rFonts w:ascii="宋体" w:hAnsi="宋体"/>
                <w:color w:val="auto"/>
                <w:szCs w:val="21"/>
                <w:highlight w:val="none"/>
              </w:rPr>
            </w:pPr>
            <w:r>
              <w:rPr>
                <w:rFonts w:hint="eastAsia" w:ascii="宋体" w:hAnsi="宋体"/>
                <w:color w:val="auto"/>
                <w:szCs w:val="21"/>
                <w:highlight w:val="none"/>
              </w:rPr>
              <w:t>3.对资格审查以外的质疑，由广西科文招标有限公司（广西南宁市民族大道141号中鼎万象东方D区五层），质疑咨询电话：0771-2023972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79" w:type="dxa"/>
            <w:vAlign w:val="center"/>
          </w:tcPr>
          <w:p>
            <w:pPr>
              <w:pStyle w:val="27"/>
              <w:adjustRightInd w:val="0"/>
              <w:spacing w:line="360" w:lineRule="exact"/>
              <w:jc w:val="center"/>
              <w:rPr>
                <w:rFonts w:hAnsi="宋体" w:cs="宋体"/>
                <w:color w:val="auto"/>
                <w:kern w:val="2"/>
                <w:sz w:val="21"/>
                <w:szCs w:val="21"/>
                <w:highlight w:val="none"/>
              </w:rPr>
            </w:pPr>
            <w:r>
              <w:rPr>
                <w:rFonts w:hint="eastAsia" w:hAnsi="宋体" w:cs="宋体"/>
                <w:color w:val="auto"/>
                <w:kern w:val="2"/>
                <w:sz w:val="21"/>
                <w:szCs w:val="21"/>
                <w:highlight w:val="none"/>
              </w:rPr>
              <w:t>7.1</w:t>
            </w:r>
          </w:p>
        </w:tc>
        <w:tc>
          <w:tcPr>
            <w:tcW w:w="2206" w:type="dxa"/>
            <w:vAlign w:val="center"/>
          </w:tcPr>
          <w:p>
            <w:pPr>
              <w:pStyle w:val="27"/>
              <w:spacing w:line="360" w:lineRule="exact"/>
              <w:jc w:val="center"/>
              <w:rPr>
                <w:rFonts w:hAnsi="宋体" w:cs="宋体"/>
                <w:color w:val="auto"/>
                <w:kern w:val="2"/>
                <w:sz w:val="21"/>
                <w:szCs w:val="21"/>
                <w:highlight w:val="none"/>
              </w:rPr>
            </w:pPr>
            <w:r>
              <w:rPr>
                <w:rFonts w:hint="eastAsia" w:hAnsi="宋体" w:cs="宋体"/>
                <w:color w:val="auto"/>
                <w:kern w:val="2"/>
                <w:sz w:val="21"/>
                <w:szCs w:val="21"/>
                <w:highlight w:val="none"/>
              </w:rPr>
              <w:t>投标人要求澄清的截止时间</w:t>
            </w:r>
          </w:p>
        </w:tc>
        <w:tc>
          <w:tcPr>
            <w:tcW w:w="6301" w:type="dxa"/>
            <w:vAlign w:val="center"/>
          </w:tcPr>
          <w:p>
            <w:pPr>
              <w:pStyle w:val="27"/>
              <w:spacing w:line="360" w:lineRule="exact"/>
              <w:rPr>
                <w:rFonts w:hAnsi="宋体" w:cs="宋体"/>
                <w:color w:val="auto"/>
                <w:kern w:val="2"/>
                <w:sz w:val="21"/>
                <w:szCs w:val="21"/>
                <w:highlight w:val="none"/>
              </w:rPr>
            </w:pPr>
            <w:r>
              <w:rPr>
                <w:rFonts w:hAnsi="宋体" w:cs="宋体"/>
                <w:color w:val="auto"/>
                <w:sz w:val="21"/>
                <w:szCs w:val="21"/>
                <w:highlight w:val="none"/>
              </w:rPr>
              <w:t>在收到招标文件之日起七个工作日内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Align w:val="center"/>
          </w:tcPr>
          <w:p>
            <w:pPr>
              <w:pStyle w:val="27"/>
              <w:adjustRightInd w:val="0"/>
              <w:spacing w:line="360" w:lineRule="exact"/>
              <w:jc w:val="center"/>
              <w:rPr>
                <w:rFonts w:hAnsi="宋体" w:cs="宋体"/>
                <w:color w:val="auto"/>
                <w:kern w:val="2"/>
                <w:sz w:val="21"/>
                <w:szCs w:val="21"/>
                <w:highlight w:val="none"/>
              </w:rPr>
            </w:pPr>
            <w:r>
              <w:rPr>
                <w:rFonts w:hint="eastAsia" w:hAnsi="宋体" w:cs="宋体"/>
                <w:color w:val="auto"/>
                <w:kern w:val="2"/>
                <w:sz w:val="21"/>
                <w:szCs w:val="21"/>
                <w:highlight w:val="none"/>
              </w:rPr>
              <w:t>8.8</w:t>
            </w:r>
          </w:p>
        </w:tc>
        <w:tc>
          <w:tcPr>
            <w:tcW w:w="2206" w:type="dxa"/>
            <w:vAlign w:val="center"/>
          </w:tcPr>
          <w:p>
            <w:pPr>
              <w:pStyle w:val="27"/>
              <w:spacing w:line="360" w:lineRule="exact"/>
              <w:jc w:val="center"/>
              <w:rPr>
                <w:rFonts w:hAnsi="宋体" w:cs="宋体"/>
                <w:color w:val="auto"/>
                <w:kern w:val="2"/>
                <w:sz w:val="21"/>
                <w:szCs w:val="21"/>
                <w:highlight w:val="none"/>
              </w:rPr>
            </w:pPr>
            <w:r>
              <w:rPr>
                <w:rFonts w:hint="eastAsia" w:hAnsi="宋体" w:cs="宋体"/>
                <w:color w:val="auto"/>
                <w:kern w:val="2"/>
                <w:sz w:val="21"/>
                <w:szCs w:val="21"/>
                <w:highlight w:val="none"/>
              </w:rPr>
              <w:t>投标文件份数</w:t>
            </w:r>
          </w:p>
        </w:tc>
        <w:tc>
          <w:tcPr>
            <w:tcW w:w="6301" w:type="dxa"/>
            <w:vAlign w:val="center"/>
          </w:tcPr>
          <w:p>
            <w:pPr>
              <w:spacing w:line="360" w:lineRule="exact"/>
              <w:rPr>
                <w:rFonts w:ascii="宋体" w:hAnsi="宋体" w:cs="宋体"/>
                <w:color w:val="auto"/>
                <w:szCs w:val="21"/>
                <w:highlight w:val="none"/>
              </w:rPr>
            </w:pPr>
            <w:r>
              <w:rPr>
                <w:rFonts w:hint="eastAsia" w:ascii="宋体" w:hAnsi="宋体" w:cs="宋体"/>
                <w:color w:val="auto"/>
                <w:szCs w:val="21"/>
                <w:highlight w:val="none"/>
              </w:rPr>
              <w:t>报价文件：正本1份，副本6份</w:t>
            </w:r>
          </w:p>
          <w:p>
            <w:pPr>
              <w:spacing w:line="360" w:lineRule="exact"/>
              <w:rPr>
                <w:rFonts w:ascii="宋体" w:hAnsi="宋体" w:cs="宋体"/>
                <w:color w:val="auto"/>
                <w:szCs w:val="21"/>
                <w:highlight w:val="none"/>
              </w:rPr>
            </w:pPr>
            <w:r>
              <w:rPr>
                <w:rFonts w:hint="eastAsia" w:ascii="宋体" w:hAnsi="宋体" w:cs="宋体"/>
                <w:color w:val="auto"/>
                <w:szCs w:val="21"/>
                <w:highlight w:val="none"/>
              </w:rPr>
              <w:t>资格文件：正本1份，副本6份</w:t>
            </w:r>
          </w:p>
          <w:p>
            <w:pPr>
              <w:spacing w:line="360" w:lineRule="exact"/>
              <w:rPr>
                <w:rFonts w:ascii="宋体" w:hAnsi="宋体" w:cs="宋体"/>
                <w:color w:val="auto"/>
                <w:szCs w:val="21"/>
                <w:highlight w:val="none"/>
              </w:rPr>
            </w:pPr>
            <w:r>
              <w:rPr>
                <w:rFonts w:hint="eastAsia" w:ascii="宋体" w:hAnsi="宋体" w:cs="宋体"/>
                <w:color w:val="auto"/>
                <w:szCs w:val="21"/>
                <w:highlight w:val="none"/>
              </w:rPr>
              <w:t>商务、技术文件：正本1份，副本6份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Align w:val="center"/>
          </w:tcPr>
          <w:p>
            <w:pPr>
              <w:pStyle w:val="27"/>
              <w:adjustRightInd w:val="0"/>
              <w:spacing w:line="360" w:lineRule="exact"/>
              <w:jc w:val="center"/>
              <w:rPr>
                <w:rFonts w:hAnsi="宋体" w:cs="宋体"/>
                <w:color w:val="auto"/>
                <w:kern w:val="2"/>
                <w:sz w:val="21"/>
                <w:szCs w:val="21"/>
                <w:highlight w:val="none"/>
              </w:rPr>
            </w:pPr>
            <w:r>
              <w:rPr>
                <w:rFonts w:hint="eastAsia" w:hAnsi="宋体" w:cs="宋体"/>
                <w:color w:val="auto"/>
                <w:kern w:val="2"/>
                <w:sz w:val="21"/>
                <w:szCs w:val="21"/>
                <w:highlight w:val="none"/>
              </w:rPr>
              <w:t>11.4</w:t>
            </w:r>
          </w:p>
        </w:tc>
        <w:tc>
          <w:tcPr>
            <w:tcW w:w="2206" w:type="dxa"/>
            <w:vAlign w:val="center"/>
          </w:tcPr>
          <w:p>
            <w:pPr>
              <w:autoSpaceDE w:val="0"/>
              <w:autoSpaceDN w:val="0"/>
              <w:adjustRightIn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采购代理服务费</w:t>
            </w:r>
          </w:p>
        </w:tc>
        <w:tc>
          <w:tcPr>
            <w:tcW w:w="6301" w:type="dxa"/>
            <w:vAlign w:val="center"/>
          </w:tcPr>
          <w:p>
            <w:pPr>
              <w:spacing w:line="360" w:lineRule="exact"/>
              <w:rPr>
                <w:rFonts w:ascii="宋体" w:hAnsi="宋体" w:cs="宋体"/>
                <w:color w:val="auto"/>
                <w:szCs w:val="21"/>
                <w:highlight w:val="none"/>
              </w:rPr>
            </w:pPr>
            <w:r>
              <w:rPr>
                <w:rFonts w:hint="eastAsia" w:ascii="宋体" w:hAnsi="宋体" w:cs="宋体"/>
                <w:color w:val="auto"/>
                <w:szCs w:val="21"/>
                <w:highlight w:val="none"/>
              </w:rPr>
              <w:t>1、招标代理服务费参照国家计委《招标代理服务收费管理暂行办法》（计价格[2002]1980号）货物类标准计取，由乙方向中标人收取。签订合同前，中标人应向采购代理机构一次付清招标代理服务费。</w:t>
            </w:r>
          </w:p>
          <w:p>
            <w:pPr>
              <w:spacing w:line="360" w:lineRule="exact"/>
              <w:rPr>
                <w:rFonts w:ascii="宋体" w:hAnsi="宋体" w:cs="宋体"/>
                <w:color w:val="auto"/>
                <w:szCs w:val="21"/>
                <w:highlight w:val="none"/>
              </w:rPr>
            </w:pPr>
            <w:r>
              <w:rPr>
                <w:rFonts w:hint="eastAsia" w:ascii="宋体" w:hAnsi="宋体" w:cs="宋体"/>
                <w:color w:val="auto"/>
                <w:szCs w:val="21"/>
                <w:highlight w:val="none"/>
              </w:rPr>
              <w:t>2、《招标代理服务费管理暂行办法》收费标准：</w:t>
            </w:r>
          </w:p>
          <w:tbl>
            <w:tblPr>
              <w:tblStyle w:val="51"/>
              <w:tblW w:w="0" w:type="auto"/>
              <w:jc w:val="center"/>
              <w:tblLayout w:type="fixed"/>
              <w:tblCellMar>
                <w:top w:w="0" w:type="dxa"/>
                <w:left w:w="0" w:type="dxa"/>
                <w:bottom w:w="0" w:type="dxa"/>
                <w:right w:w="0" w:type="dxa"/>
              </w:tblCellMar>
            </w:tblPr>
            <w:tblGrid>
              <w:gridCol w:w="2067"/>
              <w:gridCol w:w="1173"/>
              <w:gridCol w:w="1338"/>
              <w:gridCol w:w="1100"/>
            </w:tblGrid>
            <w:tr>
              <w:tblPrEx>
                <w:tblCellMar>
                  <w:top w:w="0" w:type="dxa"/>
                  <w:left w:w="0" w:type="dxa"/>
                  <w:bottom w:w="0" w:type="dxa"/>
                  <w:right w:w="0" w:type="dxa"/>
                </w:tblCellMar>
              </w:tblPrEx>
              <w:trPr>
                <w:trHeight w:val="780" w:hRule="atLeast"/>
                <w:jc w:val="center"/>
              </w:trPr>
              <w:tc>
                <w:tcPr>
                  <w:tcW w:w="206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line="360" w:lineRule="exact"/>
                    <w:ind w:firstLine="1365" w:firstLineChars="650"/>
                    <w:rPr>
                      <w:rFonts w:ascii="宋体" w:hAnsi="宋体" w:cs="宋体"/>
                      <w:color w:val="auto"/>
                      <w:szCs w:val="21"/>
                      <w:highlight w:val="none"/>
                    </w:rPr>
                  </w:pPr>
                  <w:r>
                    <w:rPr>
                      <w:rFonts w:ascii="宋体" w:hAnsi="宋体" w:cs="宋体"/>
                      <w:color w:val="auto"/>
                      <w:szCs w:val="21"/>
                      <w:highlight w:val="none"/>
                    </w:rPr>
                    <w:pict>
                      <v:line id="直线 459" o:spid="_x0000_s1027" o:spt="20" style="position:absolute;left:0pt;margin-left:-2.2pt;margin-top:1.2pt;height:39pt;width:99pt;z-index:251658240;mso-width-relative:page;mso-height-relative:page;" coordsize="21600,21600" o:gfxdata="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zN+pY1gAAAAcBAAAPAAAAAAAAAAEAIAAAACIA&#10;AABkcnMvZG93bnJldi54bWxQSwECFAAUAAAACACHTuJA5mLrc9IBAACUAwAADgAAAAAAAAABACAA&#10;AAAlAQAAZHJzL2Uyb0RvYy54bWxQSwUGAAAAAAYABgBZAQAAaQUAAAAA&#10;">
                        <v:path arrowok="t"/>
                        <v:fill focussize="0,0"/>
                        <v:stroke/>
                        <v:imagedata o:title=""/>
                        <o:lock v:ext="edit"/>
                      </v:line>
                    </w:pict>
                  </w:r>
                  <w:r>
                    <w:rPr>
                      <w:rFonts w:hint="eastAsia" w:ascii="宋体" w:hAnsi="宋体" w:cs="宋体"/>
                      <w:color w:val="auto"/>
                      <w:szCs w:val="21"/>
                      <w:highlight w:val="none"/>
                    </w:rPr>
                    <w:t>费率</w:t>
                  </w:r>
                </w:p>
                <w:p>
                  <w:pPr>
                    <w:spacing w:line="360" w:lineRule="exact"/>
                    <w:rPr>
                      <w:rFonts w:ascii="宋体" w:hAnsi="宋体" w:cs="宋体"/>
                      <w:color w:val="auto"/>
                      <w:szCs w:val="21"/>
                      <w:highlight w:val="none"/>
                    </w:rPr>
                  </w:pPr>
                  <w:r>
                    <w:rPr>
                      <w:rFonts w:hint="eastAsia" w:ascii="宋体" w:hAnsi="宋体" w:cs="宋体"/>
                      <w:color w:val="auto"/>
                      <w:szCs w:val="21"/>
                      <w:highlight w:val="none"/>
                    </w:rPr>
                    <w:t>中标金额</w:t>
                  </w:r>
                </w:p>
              </w:tc>
              <w:tc>
                <w:tcPr>
                  <w:tcW w:w="117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exact"/>
                    <w:rPr>
                      <w:rFonts w:ascii="宋体" w:hAnsi="宋体" w:cs="宋体"/>
                      <w:color w:val="auto"/>
                      <w:szCs w:val="21"/>
                      <w:highlight w:val="none"/>
                    </w:rPr>
                  </w:pPr>
                  <w:r>
                    <w:rPr>
                      <w:rFonts w:hint="eastAsia" w:ascii="宋体" w:hAnsi="宋体" w:cs="宋体"/>
                      <w:color w:val="auto"/>
                      <w:szCs w:val="21"/>
                      <w:highlight w:val="none"/>
                    </w:rPr>
                    <w:t>货物招标</w:t>
                  </w:r>
                </w:p>
              </w:tc>
              <w:tc>
                <w:tcPr>
                  <w:tcW w:w="133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exact"/>
                    <w:rPr>
                      <w:rFonts w:ascii="宋体" w:hAnsi="宋体" w:cs="宋体"/>
                      <w:color w:val="auto"/>
                      <w:szCs w:val="21"/>
                      <w:highlight w:val="none"/>
                    </w:rPr>
                  </w:pPr>
                  <w:r>
                    <w:rPr>
                      <w:rFonts w:hint="eastAsia" w:ascii="宋体" w:hAnsi="宋体" w:cs="宋体"/>
                      <w:color w:val="auto"/>
                      <w:szCs w:val="21"/>
                      <w:highlight w:val="none"/>
                    </w:rPr>
                    <w:t>服务招标</w:t>
                  </w:r>
                </w:p>
              </w:tc>
              <w:tc>
                <w:tcPr>
                  <w:tcW w:w="11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exact"/>
                    <w:rPr>
                      <w:rFonts w:ascii="宋体" w:hAnsi="宋体" w:cs="宋体"/>
                      <w:color w:val="auto"/>
                      <w:szCs w:val="21"/>
                      <w:highlight w:val="none"/>
                    </w:rPr>
                  </w:pPr>
                  <w:r>
                    <w:rPr>
                      <w:rFonts w:hint="eastAsia" w:ascii="宋体" w:hAnsi="宋体" w:cs="宋体"/>
                      <w:color w:val="auto"/>
                      <w:szCs w:val="21"/>
                      <w:highlight w:val="none"/>
                    </w:rPr>
                    <w:t>工程招标</w:t>
                  </w:r>
                </w:p>
              </w:tc>
            </w:tr>
            <w:tr>
              <w:tblPrEx>
                <w:tblCellMar>
                  <w:top w:w="0" w:type="dxa"/>
                  <w:left w:w="0" w:type="dxa"/>
                  <w:bottom w:w="0" w:type="dxa"/>
                  <w:right w:w="0" w:type="dxa"/>
                </w:tblCellMar>
              </w:tblPrEx>
              <w:trPr>
                <w:trHeight w:val="417" w:hRule="atLeast"/>
                <w:jc w:val="center"/>
              </w:trPr>
              <w:tc>
                <w:tcPr>
                  <w:tcW w:w="206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exact"/>
                    <w:rPr>
                      <w:rFonts w:ascii="宋体" w:hAnsi="宋体" w:cs="宋体"/>
                      <w:color w:val="auto"/>
                      <w:szCs w:val="21"/>
                      <w:highlight w:val="none"/>
                    </w:rPr>
                  </w:pPr>
                  <w:r>
                    <w:rPr>
                      <w:rFonts w:hint="eastAsia" w:ascii="宋体" w:hAnsi="宋体" w:cs="宋体"/>
                      <w:color w:val="auto"/>
                      <w:szCs w:val="21"/>
                      <w:highlight w:val="none"/>
                    </w:rPr>
                    <w:t>100万元以下</w:t>
                  </w:r>
                </w:p>
              </w:tc>
              <w:tc>
                <w:tcPr>
                  <w:tcW w:w="117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1.5%</w:t>
                  </w:r>
                </w:p>
              </w:tc>
              <w:tc>
                <w:tcPr>
                  <w:tcW w:w="133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1.5%</w:t>
                  </w:r>
                </w:p>
              </w:tc>
              <w:tc>
                <w:tcPr>
                  <w:tcW w:w="110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1.0%</w:t>
                  </w:r>
                </w:p>
              </w:tc>
            </w:tr>
            <w:tr>
              <w:tblPrEx>
                <w:tblCellMar>
                  <w:top w:w="0" w:type="dxa"/>
                  <w:left w:w="0" w:type="dxa"/>
                  <w:bottom w:w="0" w:type="dxa"/>
                  <w:right w:w="0" w:type="dxa"/>
                </w:tblCellMar>
              </w:tblPrEx>
              <w:trPr>
                <w:trHeight w:val="417" w:hRule="atLeast"/>
                <w:jc w:val="center"/>
              </w:trPr>
              <w:tc>
                <w:tcPr>
                  <w:tcW w:w="206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exact"/>
                    <w:rPr>
                      <w:rFonts w:ascii="宋体" w:hAnsi="宋体" w:cs="宋体"/>
                      <w:color w:val="auto"/>
                      <w:szCs w:val="21"/>
                      <w:highlight w:val="none"/>
                    </w:rPr>
                  </w:pPr>
                  <w:r>
                    <w:rPr>
                      <w:rFonts w:hint="eastAsia" w:ascii="宋体" w:hAnsi="宋体" w:cs="宋体"/>
                      <w:color w:val="auto"/>
                      <w:szCs w:val="21"/>
                      <w:highlight w:val="none"/>
                    </w:rPr>
                    <w:t>100～500万元</w:t>
                  </w:r>
                </w:p>
              </w:tc>
              <w:tc>
                <w:tcPr>
                  <w:tcW w:w="117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1.1%</w:t>
                  </w:r>
                </w:p>
              </w:tc>
              <w:tc>
                <w:tcPr>
                  <w:tcW w:w="133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0.8%</w:t>
                  </w:r>
                </w:p>
              </w:tc>
              <w:tc>
                <w:tcPr>
                  <w:tcW w:w="110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0.7%</w:t>
                  </w:r>
                </w:p>
              </w:tc>
            </w:tr>
            <w:tr>
              <w:tblPrEx>
                <w:tblCellMar>
                  <w:top w:w="0" w:type="dxa"/>
                  <w:left w:w="0" w:type="dxa"/>
                  <w:bottom w:w="0" w:type="dxa"/>
                  <w:right w:w="0" w:type="dxa"/>
                </w:tblCellMar>
              </w:tblPrEx>
              <w:trPr>
                <w:trHeight w:val="417" w:hRule="atLeast"/>
                <w:jc w:val="center"/>
              </w:trPr>
              <w:tc>
                <w:tcPr>
                  <w:tcW w:w="206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exact"/>
                    <w:rPr>
                      <w:rFonts w:ascii="宋体" w:hAnsi="宋体" w:cs="宋体"/>
                      <w:color w:val="auto"/>
                      <w:szCs w:val="21"/>
                      <w:highlight w:val="none"/>
                    </w:rPr>
                  </w:pPr>
                  <w:r>
                    <w:rPr>
                      <w:rFonts w:hint="eastAsia" w:ascii="宋体" w:hAnsi="宋体" w:cs="宋体"/>
                      <w:color w:val="auto"/>
                      <w:szCs w:val="21"/>
                      <w:highlight w:val="none"/>
                    </w:rPr>
                    <w:t>500～1000万元</w:t>
                  </w:r>
                </w:p>
              </w:tc>
              <w:tc>
                <w:tcPr>
                  <w:tcW w:w="117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0.8%</w:t>
                  </w:r>
                </w:p>
              </w:tc>
              <w:tc>
                <w:tcPr>
                  <w:tcW w:w="133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0.45%</w:t>
                  </w:r>
                </w:p>
              </w:tc>
              <w:tc>
                <w:tcPr>
                  <w:tcW w:w="110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0.55%</w:t>
                  </w:r>
                </w:p>
              </w:tc>
            </w:tr>
            <w:tr>
              <w:tblPrEx>
                <w:tblCellMar>
                  <w:top w:w="0" w:type="dxa"/>
                  <w:left w:w="0" w:type="dxa"/>
                  <w:bottom w:w="0" w:type="dxa"/>
                  <w:right w:w="0" w:type="dxa"/>
                </w:tblCellMar>
              </w:tblPrEx>
              <w:trPr>
                <w:trHeight w:val="417" w:hRule="atLeast"/>
                <w:jc w:val="center"/>
              </w:trPr>
              <w:tc>
                <w:tcPr>
                  <w:tcW w:w="206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exact"/>
                    <w:rPr>
                      <w:rFonts w:ascii="宋体" w:hAnsi="宋体" w:cs="宋体"/>
                      <w:color w:val="auto"/>
                      <w:szCs w:val="21"/>
                      <w:highlight w:val="none"/>
                    </w:rPr>
                  </w:pPr>
                  <w:r>
                    <w:rPr>
                      <w:rFonts w:hint="eastAsia" w:ascii="宋体" w:hAnsi="宋体" w:cs="宋体"/>
                      <w:color w:val="auto"/>
                      <w:szCs w:val="21"/>
                      <w:highlight w:val="none"/>
                    </w:rPr>
                    <w:t>1000～5000万元</w:t>
                  </w:r>
                </w:p>
              </w:tc>
              <w:tc>
                <w:tcPr>
                  <w:tcW w:w="117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0.5%</w:t>
                  </w:r>
                </w:p>
              </w:tc>
              <w:tc>
                <w:tcPr>
                  <w:tcW w:w="133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0.25%</w:t>
                  </w:r>
                </w:p>
              </w:tc>
              <w:tc>
                <w:tcPr>
                  <w:tcW w:w="110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0.35%</w:t>
                  </w:r>
                </w:p>
              </w:tc>
            </w:tr>
          </w:tbl>
          <w:p>
            <w:pPr>
              <w:pStyle w:val="27"/>
              <w:spacing w:line="360" w:lineRule="exact"/>
              <w:ind w:left="315" w:hanging="315" w:hangingChars="150"/>
              <w:rPr>
                <w:rFonts w:hAnsi="宋体" w:cs="宋体"/>
                <w:color w:val="auto"/>
                <w:kern w:val="2"/>
                <w:sz w:val="21"/>
                <w:szCs w:val="21"/>
                <w:highlight w:val="none"/>
              </w:rPr>
            </w:pPr>
            <w:r>
              <w:rPr>
                <w:rFonts w:hint="eastAsia" w:hAnsi="宋体" w:cs="宋体"/>
                <w:color w:val="auto"/>
                <w:kern w:val="2"/>
                <w:sz w:val="21"/>
                <w:szCs w:val="21"/>
                <w:highlight w:val="none"/>
              </w:rPr>
              <w:t>注：招标代理服务收费按差额定率累进法计算。</w:t>
            </w:r>
          </w:p>
          <w:p>
            <w:pPr>
              <w:pStyle w:val="27"/>
              <w:spacing w:line="360" w:lineRule="exact"/>
              <w:rPr>
                <w:rFonts w:hAnsi="宋体" w:cs="宋体"/>
                <w:color w:val="auto"/>
                <w:kern w:val="2"/>
                <w:sz w:val="21"/>
                <w:szCs w:val="21"/>
                <w:highlight w:val="none"/>
              </w:rPr>
            </w:pPr>
            <w:r>
              <w:rPr>
                <w:rFonts w:hint="eastAsia" w:hAnsi="宋体" w:cs="宋体"/>
                <w:color w:val="auto"/>
                <w:kern w:val="2"/>
                <w:sz w:val="21"/>
                <w:szCs w:val="21"/>
                <w:highlight w:val="none"/>
              </w:rPr>
              <w:t>3、签订合同前，中标人应向广西科文招标有限公司一次付清代理服务费，否则，采购代理机构将视之为违约，上报</w:t>
            </w:r>
            <w:r>
              <w:rPr>
                <w:rFonts w:hAnsi="宋体" w:cs="宋体"/>
                <w:color w:val="auto"/>
                <w:kern w:val="2"/>
                <w:sz w:val="21"/>
                <w:szCs w:val="21"/>
                <w:highlight w:val="none"/>
              </w:rPr>
              <w:t>财政监管部门</w:t>
            </w:r>
            <w:r>
              <w:rPr>
                <w:rFonts w:hint="eastAsia" w:hAnsi="宋体" w:cs="宋体"/>
                <w:color w:val="auto"/>
                <w:kern w:val="2"/>
                <w:sz w:val="21"/>
                <w:szCs w:val="21"/>
                <w:highlight w:val="none"/>
              </w:rPr>
              <w:t>取消该中标决定。</w:t>
            </w:r>
          </w:p>
          <w:p>
            <w:pPr>
              <w:pStyle w:val="27"/>
              <w:spacing w:line="360" w:lineRule="exact"/>
              <w:rPr>
                <w:rFonts w:hAnsi="宋体" w:cs="宋体"/>
                <w:color w:val="auto"/>
                <w:kern w:val="2"/>
                <w:sz w:val="21"/>
                <w:szCs w:val="21"/>
                <w:highlight w:val="none"/>
              </w:rPr>
            </w:pPr>
            <w:r>
              <w:rPr>
                <w:rFonts w:hint="eastAsia" w:hAnsi="宋体" w:cs="宋体"/>
                <w:color w:val="auto"/>
                <w:kern w:val="2"/>
                <w:sz w:val="21"/>
                <w:szCs w:val="21"/>
                <w:highlight w:val="none"/>
              </w:rPr>
              <w:t>开户名称：广西科文招标有限公司</w:t>
            </w:r>
          </w:p>
          <w:p>
            <w:pPr>
              <w:pStyle w:val="27"/>
              <w:spacing w:line="360" w:lineRule="exact"/>
              <w:rPr>
                <w:rFonts w:hAnsi="宋体" w:cs="宋体"/>
                <w:color w:val="auto"/>
                <w:kern w:val="2"/>
                <w:sz w:val="21"/>
                <w:szCs w:val="21"/>
                <w:highlight w:val="none"/>
              </w:rPr>
            </w:pPr>
            <w:r>
              <w:rPr>
                <w:rFonts w:hint="eastAsia" w:hAnsi="宋体" w:cs="宋体"/>
                <w:color w:val="auto"/>
                <w:kern w:val="2"/>
                <w:sz w:val="21"/>
                <w:szCs w:val="21"/>
                <w:highlight w:val="none"/>
              </w:rPr>
              <w:t>开户银行：广西北部湾银行营业部</w:t>
            </w:r>
          </w:p>
          <w:p>
            <w:pPr>
              <w:pStyle w:val="27"/>
              <w:spacing w:line="360" w:lineRule="exact"/>
              <w:ind w:left="315" w:hanging="315" w:hangingChars="150"/>
              <w:rPr>
                <w:rFonts w:hAnsi="宋体" w:cs="宋体"/>
                <w:color w:val="auto"/>
                <w:kern w:val="2"/>
                <w:sz w:val="21"/>
                <w:szCs w:val="21"/>
                <w:highlight w:val="none"/>
              </w:rPr>
            </w:pPr>
            <w:r>
              <w:rPr>
                <w:rFonts w:hint="eastAsia" w:hAnsi="宋体" w:cs="宋体"/>
                <w:color w:val="auto"/>
                <w:kern w:val="2"/>
                <w:sz w:val="21"/>
                <w:szCs w:val="21"/>
                <w:highlight w:val="none"/>
              </w:rPr>
              <w:t>银行账号：0101012090615689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Align w:val="center"/>
          </w:tcPr>
          <w:p>
            <w:pPr>
              <w:pStyle w:val="27"/>
              <w:adjustRightInd w:val="0"/>
              <w:spacing w:line="360" w:lineRule="exact"/>
              <w:jc w:val="center"/>
              <w:rPr>
                <w:rFonts w:hAnsi="宋体" w:cs="宋体"/>
                <w:color w:val="auto"/>
                <w:kern w:val="2"/>
                <w:sz w:val="21"/>
                <w:szCs w:val="21"/>
                <w:highlight w:val="none"/>
              </w:rPr>
            </w:pPr>
            <w:r>
              <w:rPr>
                <w:rFonts w:hint="eastAsia" w:hAnsi="宋体" w:cs="宋体"/>
                <w:color w:val="auto"/>
                <w:kern w:val="2"/>
                <w:sz w:val="21"/>
                <w:szCs w:val="21"/>
                <w:highlight w:val="none"/>
              </w:rPr>
              <w:t>12.1</w:t>
            </w:r>
          </w:p>
        </w:tc>
        <w:tc>
          <w:tcPr>
            <w:tcW w:w="2206" w:type="dxa"/>
            <w:vAlign w:val="center"/>
          </w:tcPr>
          <w:p>
            <w:pPr>
              <w:pStyle w:val="27"/>
              <w:spacing w:line="360" w:lineRule="exact"/>
              <w:jc w:val="center"/>
              <w:rPr>
                <w:rFonts w:hAnsi="宋体" w:cs="宋体"/>
                <w:color w:val="auto"/>
                <w:kern w:val="2"/>
                <w:sz w:val="21"/>
                <w:szCs w:val="21"/>
                <w:highlight w:val="none"/>
              </w:rPr>
            </w:pPr>
            <w:r>
              <w:rPr>
                <w:rFonts w:hint="eastAsia" w:hAnsi="宋体" w:cs="宋体"/>
                <w:color w:val="auto"/>
                <w:kern w:val="2"/>
                <w:sz w:val="21"/>
                <w:szCs w:val="21"/>
                <w:highlight w:val="none"/>
              </w:rPr>
              <w:t>投标有效期</w:t>
            </w:r>
          </w:p>
        </w:tc>
        <w:tc>
          <w:tcPr>
            <w:tcW w:w="6301" w:type="dxa"/>
            <w:vAlign w:val="center"/>
          </w:tcPr>
          <w:p>
            <w:pPr>
              <w:pStyle w:val="27"/>
              <w:spacing w:line="360" w:lineRule="exact"/>
              <w:rPr>
                <w:rFonts w:hAnsi="宋体" w:cs="宋体"/>
                <w:color w:val="auto"/>
                <w:kern w:val="2"/>
                <w:sz w:val="21"/>
                <w:szCs w:val="21"/>
                <w:highlight w:val="none"/>
              </w:rPr>
            </w:pPr>
            <w:r>
              <w:rPr>
                <w:rFonts w:hint="eastAsia" w:hAnsi="宋体" w:cs="宋体"/>
                <w:color w:val="auto"/>
                <w:kern w:val="2"/>
                <w:sz w:val="21"/>
                <w:szCs w:val="21"/>
                <w:highlight w:val="none"/>
              </w:rPr>
              <w:t>自投标截止时间起90天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79" w:type="dxa"/>
            <w:vAlign w:val="center"/>
          </w:tcPr>
          <w:p>
            <w:pPr>
              <w:pStyle w:val="27"/>
              <w:adjustRightInd w:val="0"/>
              <w:spacing w:line="360" w:lineRule="exact"/>
              <w:jc w:val="center"/>
              <w:rPr>
                <w:rFonts w:hAnsi="宋体" w:cs="宋体"/>
                <w:color w:val="auto"/>
                <w:kern w:val="2"/>
                <w:sz w:val="21"/>
                <w:szCs w:val="21"/>
                <w:highlight w:val="none"/>
              </w:rPr>
            </w:pPr>
            <w:r>
              <w:rPr>
                <w:rFonts w:hint="eastAsia" w:hAnsi="宋体" w:cs="宋体"/>
                <w:color w:val="auto"/>
                <w:kern w:val="2"/>
                <w:sz w:val="21"/>
                <w:szCs w:val="21"/>
                <w:highlight w:val="none"/>
              </w:rPr>
              <w:t>13.1</w:t>
            </w:r>
          </w:p>
        </w:tc>
        <w:tc>
          <w:tcPr>
            <w:tcW w:w="2206" w:type="dxa"/>
            <w:vAlign w:val="center"/>
          </w:tcPr>
          <w:p>
            <w:pPr>
              <w:pStyle w:val="27"/>
              <w:spacing w:line="360" w:lineRule="exact"/>
              <w:jc w:val="center"/>
              <w:rPr>
                <w:rFonts w:hAnsi="宋体" w:cs="宋体"/>
                <w:color w:val="auto"/>
                <w:kern w:val="2"/>
                <w:sz w:val="21"/>
                <w:szCs w:val="21"/>
                <w:highlight w:val="none"/>
              </w:rPr>
            </w:pPr>
            <w:r>
              <w:rPr>
                <w:rFonts w:hint="eastAsia" w:hAnsi="宋体" w:cs="宋体"/>
                <w:color w:val="auto"/>
                <w:kern w:val="2"/>
                <w:sz w:val="21"/>
                <w:szCs w:val="21"/>
                <w:highlight w:val="none"/>
              </w:rPr>
              <w:t>投标保证金金额</w:t>
            </w:r>
          </w:p>
        </w:tc>
        <w:tc>
          <w:tcPr>
            <w:tcW w:w="6301" w:type="dxa"/>
            <w:vAlign w:val="center"/>
          </w:tcPr>
          <w:p>
            <w:pPr>
              <w:spacing w:line="360" w:lineRule="exact"/>
              <w:rPr>
                <w:rFonts w:ascii="宋体" w:hAnsi="宋体" w:cs="宋体"/>
                <w:color w:val="auto"/>
                <w:szCs w:val="21"/>
                <w:highlight w:val="none"/>
              </w:rPr>
            </w:pPr>
            <w:r>
              <w:rPr>
                <w:rFonts w:hint="eastAsia" w:ascii="宋体" w:hAnsi="宋体" w:cs="Arial"/>
                <w:b/>
                <w:color w:val="auto"/>
                <w:kern w:val="1"/>
                <w:szCs w:val="21"/>
                <w:highlight w:val="none"/>
              </w:rPr>
              <w:t>根据《南宁市财政局关于推进政府采购“放管服”工作和深化改革有关内容的通知》（南财采[2019]27号）规定，不需要提交。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79" w:type="dxa"/>
            <w:vAlign w:val="center"/>
          </w:tcPr>
          <w:p>
            <w:pPr>
              <w:adjustRightIn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13.2.1</w:t>
            </w:r>
          </w:p>
        </w:tc>
        <w:tc>
          <w:tcPr>
            <w:tcW w:w="2206" w:type="dxa"/>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投标保证金账户</w:t>
            </w:r>
          </w:p>
        </w:tc>
        <w:tc>
          <w:tcPr>
            <w:tcW w:w="6301" w:type="dxa"/>
            <w:vAlign w:val="center"/>
          </w:tcPr>
          <w:p>
            <w:pPr>
              <w:pStyle w:val="27"/>
              <w:spacing w:line="360" w:lineRule="exact"/>
              <w:rPr>
                <w:rFonts w:hAnsi="宋体" w:cs="宋体"/>
                <w:b/>
                <w:color w:val="auto"/>
                <w:kern w:val="2"/>
                <w:sz w:val="21"/>
                <w:szCs w:val="21"/>
                <w:highlight w:val="none"/>
              </w:rPr>
            </w:pPr>
            <w:r>
              <w:rPr>
                <w:rFonts w:hint="eastAsia" w:hAnsi="宋体" w:cs="宋体"/>
                <w:b/>
                <w:color w:val="auto"/>
                <w:kern w:val="2"/>
                <w:sz w:val="21"/>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079" w:type="dxa"/>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13.3</w:t>
            </w:r>
          </w:p>
        </w:tc>
        <w:tc>
          <w:tcPr>
            <w:tcW w:w="2206" w:type="dxa"/>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未中标人投标保证金的退付</w:t>
            </w:r>
          </w:p>
        </w:tc>
        <w:tc>
          <w:tcPr>
            <w:tcW w:w="6301" w:type="dxa"/>
            <w:vAlign w:val="center"/>
          </w:tcPr>
          <w:p>
            <w:pPr>
              <w:spacing w:line="360" w:lineRule="exact"/>
              <w:rPr>
                <w:rFonts w:ascii="宋体" w:hAnsi="宋体" w:cs="宋体"/>
                <w:color w:val="auto"/>
                <w:szCs w:val="21"/>
                <w:highlight w:val="none"/>
              </w:rPr>
            </w:pPr>
            <w:r>
              <w:rPr>
                <w:rFonts w:hint="eastAsia" w:ascii="宋体" w:hAnsi="宋体" w:cs="宋体"/>
                <w:color w:val="auto"/>
                <w:szCs w:val="21"/>
                <w:highlight w:val="none"/>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Align w:val="center"/>
          </w:tcPr>
          <w:p>
            <w:pPr>
              <w:pStyle w:val="27"/>
              <w:adjustRightInd w:val="0"/>
              <w:spacing w:line="360" w:lineRule="exact"/>
              <w:jc w:val="center"/>
              <w:rPr>
                <w:rFonts w:hAnsi="宋体" w:cs="宋体"/>
                <w:color w:val="auto"/>
                <w:kern w:val="2"/>
                <w:sz w:val="21"/>
                <w:szCs w:val="21"/>
                <w:highlight w:val="none"/>
              </w:rPr>
            </w:pPr>
            <w:r>
              <w:rPr>
                <w:rFonts w:hint="eastAsia" w:hAnsi="宋体" w:cs="宋体"/>
                <w:color w:val="auto"/>
                <w:kern w:val="2"/>
                <w:sz w:val="21"/>
                <w:szCs w:val="21"/>
                <w:highlight w:val="none"/>
              </w:rPr>
              <w:t>15.1</w:t>
            </w:r>
          </w:p>
        </w:tc>
        <w:tc>
          <w:tcPr>
            <w:tcW w:w="2206" w:type="dxa"/>
            <w:vAlign w:val="center"/>
          </w:tcPr>
          <w:p>
            <w:pPr>
              <w:pStyle w:val="27"/>
              <w:spacing w:line="360" w:lineRule="exact"/>
              <w:jc w:val="center"/>
              <w:rPr>
                <w:rFonts w:hAnsi="宋体" w:cs="宋体"/>
                <w:color w:val="auto"/>
                <w:kern w:val="2"/>
                <w:sz w:val="21"/>
                <w:szCs w:val="21"/>
                <w:highlight w:val="none"/>
              </w:rPr>
            </w:pPr>
            <w:r>
              <w:rPr>
                <w:rFonts w:hint="eastAsia" w:hAnsi="宋体" w:cs="宋体"/>
                <w:color w:val="auto"/>
                <w:kern w:val="2"/>
                <w:sz w:val="21"/>
                <w:szCs w:val="21"/>
                <w:highlight w:val="none"/>
              </w:rPr>
              <w:t>投标截止时间</w:t>
            </w:r>
          </w:p>
          <w:p>
            <w:pPr>
              <w:pStyle w:val="27"/>
              <w:spacing w:line="360" w:lineRule="exact"/>
              <w:jc w:val="center"/>
              <w:rPr>
                <w:rFonts w:hAnsi="宋体" w:cs="宋体"/>
                <w:color w:val="auto"/>
                <w:kern w:val="2"/>
                <w:sz w:val="21"/>
                <w:szCs w:val="21"/>
                <w:highlight w:val="none"/>
              </w:rPr>
            </w:pPr>
            <w:r>
              <w:rPr>
                <w:rFonts w:hint="eastAsia" w:hAnsi="宋体" w:cs="宋体"/>
                <w:color w:val="auto"/>
                <w:kern w:val="2"/>
                <w:sz w:val="21"/>
                <w:szCs w:val="21"/>
                <w:highlight w:val="none"/>
              </w:rPr>
              <w:t>（开标时间）</w:t>
            </w:r>
          </w:p>
        </w:tc>
        <w:tc>
          <w:tcPr>
            <w:tcW w:w="6301" w:type="dxa"/>
            <w:vAlign w:val="center"/>
          </w:tcPr>
          <w:p>
            <w:pPr>
              <w:pStyle w:val="27"/>
              <w:spacing w:line="360" w:lineRule="exact"/>
              <w:rPr>
                <w:rFonts w:hAnsi="宋体" w:cs="宋体"/>
                <w:color w:val="auto"/>
                <w:sz w:val="21"/>
                <w:szCs w:val="21"/>
                <w:highlight w:val="none"/>
              </w:rPr>
            </w:pPr>
            <w:r>
              <w:rPr>
                <w:rFonts w:hint="eastAsia" w:hAnsi="宋体" w:cs="宋体"/>
                <w:color w:val="auto"/>
                <w:sz w:val="21"/>
                <w:szCs w:val="21"/>
                <w:highlight w:val="none"/>
              </w:rPr>
              <w:t>投标截止时间：具体详见招标公告。</w:t>
            </w:r>
          </w:p>
          <w:p>
            <w:pPr>
              <w:pStyle w:val="27"/>
              <w:spacing w:line="360" w:lineRule="exact"/>
              <w:rPr>
                <w:rFonts w:hAnsi="宋体" w:cs="Courier New"/>
                <w:b/>
                <w:color w:val="auto"/>
                <w:sz w:val="21"/>
                <w:szCs w:val="21"/>
                <w:highlight w:val="none"/>
              </w:rPr>
            </w:pPr>
            <w:r>
              <w:rPr>
                <w:rFonts w:hAnsi="宋体" w:cs="Courier New"/>
                <w:b/>
                <w:color w:val="auto"/>
                <w:sz w:val="21"/>
                <w:szCs w:val="21"/>
                <w:highlight w:val="none"/>
              </w:rPr>
              <w:t>注：投标人的法定代表人（或其委托代理人）凭个人有效身份证明原件后递交投标文件，到截标时间止，投标人法定代表人未能出示有效身份证明原件（含营业执照及身份证明）[或委托代理人未能出示有效身份证原件（含授权委托书及身份证）</w:t>
            </w:r>
            <w:r>
              <w:rPr>
                <w:rFonts w:hint="eastAsia" w:hAnsi="宋体" w:cs="Courier New"/>
                <w:b/>
                <w:color w:val="auto"/>
                <w:sz w:val="21"/>
                <w:szCs w:val="21"/>
                <w:highlight w:val="none"/>
              </w:rPr>
              <w:t>、营业执照</w:t>
            </w:r>
            <w:r>
              <w:rPr>
                <w:rFonts w:hAnsi="宋体" w:cs="Courier New"/>
                <w:b/>
                <w:color w:val="auto"/>
                <w:sz w:val="21"/>
                <w:szCs w:val="21"/>
                <w:highlight w:val="none"/>
              </w:rPr>
              <w:t>]的，其投标文件不予接收。</w:t>
            </w:r>
          </w:p>
          <w:p>
            <w:pPr>
              <w:pStyle w:val="27"/>
              <w:spacing w:line="360" w:lineRule="exact"/>
              <w:rPr>
                <w:rFonts w:hAnsi="宋体" w:cs="宋体"/>
                <w:color w:val="auto"/>
                <w:spacing w:val="6"/>
                <w:kern w:val="48"/>
                <w:sz w:val="21"/>
                <w:szCs w:val="21"/>
                <w:highlight w:val="none"/>
              </w:rPr>
            </w:pPr>
            <w:r>
              <w:rPr>
                <w:rFonts w:hint="eastAsia" w:hAnsi="宋体" w:cs="Arial"/>
                <w:b/>
                <w:color w:val="auto"/>
                <w:kern w:val="1"/>
                <w:sz w:val="21"/>
                <w:szCs w:val="21"/>
                <w:highlight w:val="none"/>
              </w:rPr>
              <w:t>采购代理机构须在采购项目开标会现场登陆开标系统并输入供应商全称、社会统一信用代码、联系电话等信息，完成投标签到，供应商自行提前准备准确的信息材料（如：有效的营业执照复印件），如因供应商提供信息不准确导致信息错误的，供应商后果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Align w:val="center"/>
          </w:tcPr>
          <w:p>
            <w:pPr>
              <w:pStyle w:val="27"/>
              <w:adjustRightInd w:val="0"/>
              <w:spacing w:line="360" w:lineRule="exact"/>
              <w:jc w:val="center"/>
              <w:rPr>
                <w:rFonts w:hAnsi="宋体" w:cs="宋体"/>
                <w:color w:val="auto"/>
                <w:kern w:val="2"/>
                <w:sz w:val="21"/>
                <w:szCs w:val="21"/>
                <w:highlight w:val="none"/>
              </w:rPr>
            </w:pPr>
            <w:r>
              <w:rPr>
                <w:rFonts w:hint="eastAsia" w:hAnsi="宋体" w:cs="宋体"/>
                <w:color w:val="auto"/>
                <w:kern w:val="2"/>
                <w:sz w:val="21"/>
                <w:szCs w:val="21"/>
                <w:highlight w:val="none"/>
              </w:rPr>
              <w:t>15.2</w:t>
            </w:r>
          </w:p>
        </w:tc>
        <w:tc>
          <w:tcPr>
            <w:tcW w:w="2206" w:type="dxa"/>
            <w:vAlign w:val="center"/>
          </w:tcPr>
          <w:p>
            <w:pPr>
              <w:pStyle w:val="27"/>
              <w:spacing w:line="360" w:lineRule="exact"/>
              <w:jc w:val="center"/>
              <w:rPr>
                <w:rFonts w:hAnsi="宋体" w:cs="宋体"/>
                <w:color w:val="auto"/>
                <w:kern w:val="2"/>
                <w:sz w:val="21"/>
                <w:szCs w:val="21"/>
                <w:highlight w:val="none"/>
              </w:rPr>
            </w:pPr>
            <w:r>
              <w:rPr>
                <w:rFonts w:hint="eastAsia" w:hAnsi="宋体" w:cs="宋体"/>
                <w:color w:val="auto"/>
                <w:kern w:val="2"/>
                <w:sz w:val="21"/>
                <w:szCs w:val="21"/>
                <w:highlight w:val="none"/>
              </w:rPr>
              <w:t>递交投标文件地点</w:t>
            </w:r>
          </w:p>
        </w:tc>
        <w:tc>
          <w:tcPr>
            <w:tcW w:w="6301" w:type="dxa"/>
            <w:vAlign w:val="center"/>
          </w:tcPr>
          <w:p>
            <w:pPr>
              <w:spacing w:line="360" w:lineRule="exact"/>
              <w:rPr>
                <w:rFonts w:ascii="宋体" w:hAnsi="宋体" w:cs="宋体"/>
                <w:color w:val="auto"/>
                <w:szCs w:val="21"/>
                <w:highlight w:val="none"/>
              </w:rPr>
            </w:pPr>
            <w:r>
              <w:rPr>
                <w:rFonts w:hint="eastAsia" w:ascii="宋体" w:hAnsi="宋体" w:cs="宋体"/>
                <w:color w:val="auto"/>
                <w:szCs w:val="21"/>
                <w:highlight w:val="none"/>
              </w:rPr>
              <w:t>南宁市良庆区玉洞大道33号9楼（市青少年活动中心旁）（具体详见9楼电子显示屏安排），南宁市公共资源交易中心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Align w:val="center"/>
          </w:tcPr>
          <w:p>
            <w:pPr>
              <w:pStyle w:val="27"/>
              <w:adjustRightInd w:val="0"/>
              <w:spacing w:line="360" w:lineRule="exact"/>
              <w:jc w:val="center"/>
              <w:rPr>
                <w:rFonts w:hAnsi="宋体" w:cs="宋体"/>
                <w:color w:val="auto"/>
                <w:kern w:val="2"/>
                <w:sz w:val="21"/>
                <w:szCs w:val="21"/>
                <w:highlight w:val="none"/>
              </w:rPr>
            </w:pPr>
            <w:r>
              <w:rPr>
                <w:rFonts w:hint="eastAsia" w:hAnsi="宋体" w:cs="宋体"/>
                <w:color w:val="auto"/>
                <w:kern w:val="2"/>
                <w:sz w:val="21"/>
                <w:szCs w:val="21"/>
                <w:highlight w:val="none"/>
              </w:rPr>
              <w:t>16.1</w:t>
            </w:r>
          </w:p>
        </w:tc>
        <w:tc>
          <w:tcPr>
            <w:tcW w:w="2206" w:type="dxa"/>
            <w:vAlign w:val="center"/>
          </w:tcPr>
          <w:p>
            <w:pPr>
              <w:pStyle w:val="27"/>
              <w:spacing w:line="360" w:lineRule="exact"/>
              <w:jc w:val="center"/>
              <w:rPr>
                <w:rFonts w:hAnsi="宋体" w:cs="宋体"/>
                <w:color w:val="auto"/>
                <w:kern w:val="2"/>
                <w:sz w:val="21"/>
                <w:szCs w:val="21"/>
                <w:highlight w:val="none"/>
              </w:rPr>
            </w:pPr>
            <w:r>
              <w:rPr>
                <w:rFonts w:hint="eastAsia" w:hAnsi="宋体" w:cs="宋体"/>
                <w:color w:val="auto"/>
                <w:kern w:val="2"/>
                <w:sz w:val="21"/>
                <w:szCs w:val="21"/>
                <w:highlight w:val="none"/>
              </w:rPr>
              <w:t>开标地点</w:t>
            </w:r>
          </w:p>
        </w:tc>
        <w:tc>
          <w:tcPr>
            <w:tcW w:w="6301" w:type="dxa"/>
            <w:vAlign w:val="center"/>
          </w:tcPr>
          <w:p>
            <w:pPr>
              <w:spacing w:line="360" w:lineRule="exact"/>
              <w:rPr>
                <w:rFonts w:ascii="宋体" w:hAnsi="宋体" w:cs="宋体"/>
                <w:color w:val="auto"/>
                <w:szCs w:val="21"/>
                <w:highlight w:val="none"/>
              </w:rPr>
            </w:pPr>
            <w:r>
              <w:rPr>
                <w:rFonts w:hint="eastAsia" w:ascii="宋体" w:hAnsi="宋体" w:cs="宋体"/>
                <w:color w:val="auto"/>
                <w:szCs w:val="21"/>
                <w:highlight w:val="none"/>
              </w:rPr>
              <w:t>与递交投标文件地点相同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79" w:type="dxa"/>
            <w:vAlign w:val="center"/>
          </w:tcPr>
          <w:p>
            <w:pPr>
              <w:pStyle w:val="27"/>
              <w:adjustRightInd w:val="0"/>
              <w:spacing w:line="360" w:lineRule="exact"/>
              <w:jc w:val="center"/>
              <w:rPr>
                <w:rFonts w:hAnsi="宋体" w:cs="宋体"/>
                <w:color w:val="auto"/>
                <w:kern w:val="2"/>
                <w:sz w:val="21"/>
                <w:szCs w:val="21"/>
                <w:highlight w:val="none"/>
              </w:rPr>
            </w:pPr>
            <w:r>
              <w:rPr>
                <w:rFonts w:hint="eastAsia" w:hAnsi="宋体" w:cs="宋体"/>
                <w:color w:val="auto"/>
                <w:kern w:val="2"/>
                <w:sz w:val="21"/>
                <w:szCs w:val="21"/>
                <w:highlight w:val="none"/>
              </w:rPr>
              <w:t>17.3</w:t>
            </w:r>
          </w:p>
        </w:tc>
        <w:tc>
          <w:tcPr>
            <w:tcW w:w="2206" w:type="dxa"/>
            <w:vAlign w:val="center"/>
          </w:tcPr>
          <w:p>
            <w:pPr>
              <w:pStyle w:val="27"/>
              <w:spacing w:line="360" w:lineRule="exact"/>
              <w:jc w:val="center"/>
              <w:rPr>
                <w:rFonts w:hAnsi="宋体" w:cs="宋体"/>
                <w:color w:val="auto"/>
                <w:kern w:val="2"/>
                <w:sz w:val="21"/>
                <w:szCs w:val="21"/>
                <w:highlight w:val="none"/>
              </w:rPr>
            </w:pPr>
            <w:r>
              <w:rPr>
                <w:rFonts w:hint="eastAsia" w:hAnsi="宋体" w:cs="宋体"/>
                <w:color w:val="auto"/>
                <w:kern w:val="2"/>
                <w:sz w:val="21"/>
                <w:szCs w:val="21"/>
                <w:highlight w:val="none"/>
              </w:rPr>
              <w:t>评标方法</w:t>
            </w:r>
          </w:p>
        </w:tc>
        <w:tc>
          <w:tcPr>
            <w:tcW w:w="6301" w:type="dxa"/>
            <w:vAlign w:val="center"/>
          </w:tcPr>
          <w:p>
            <w:pPr>
              <w:spacing w:line="360" w:lineRule="exact"/>
              <w:rPr>
                <w:rFonts w:ascii="宋体" w:hAnsi="宋体" w:cs="宋体"/>
                <w:color w:val="auto"/>
                <w:szCs w:val="21"/>
                <w:highlight w:val="none"/>
              </w:rPr>
            </w:pPr>
            <w:r>
              <w:rPr>
                <w:rFonts w:hint="eastAsia" w:ascii="宋体" w:hAnsi="宋体" w:cs="宋体"/>
                <w:color w:val="auto"/>
                <w:szCs w:val="21"/>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079" w:type="dxa"/>
            <w:vAlign w:val="center"/>
          </w:tcPr>
          <w:p>
            <w:pPr>
              <w:pStyle w:val="27"/>
              <w:adjustRightInd w:val="0"/>
              <w:spacing w:line="360" w:lineRule="exact"/>
              <w:jc w:val="center"/>
              <w:rPr>
                <w:rFonts w:hAnsi="宋体" w:cs="宋体"/>
                <w:color w:val="auto"/>
                <w:kern w:val="2"/>
                <w:sz w:val="21"/>
                <w:szCs w:val="21"/>
                <w:highlight w:val="none"/>
              </w:rPr>
            </w:pPr>
            <w:r>
              <w:rPr>
                <w:rFonts w:hint="eastAsia" w:hAnsi="宋体" w:cs="宋体"/>
                <w:color w:val="auto"/>
                <w:kern w:val="2"/>
                <w:sz w:val="21"/>
                <w:szCs w:val="21"/>
                <w:highlight w:val="none"/>
              </w:rPr>
              <w:t>23.1</w:t>
            </w:r>
          </w:p>
        </w:tc>
        <w:tc>
          <w:tcPr>
            <w:tcW w:w="2206" w:type="dxa"/>
            <w:vAlign w:val="center"/>
          </w:tcPr>
          <w:p>
            <w:pPr>
              <w:pStyle w:val="27"/>
              <w:spacing w:line="360" w:lineRule="exact"/>
              <w:jc w:val="center"/>
              <w:rPr>
                <w:rFonts w:hAnsi="宋体" w:cs="宋体"/>
                <w:color w:val="auto"/>
                <w:kern w:val="2"/>
                <w:sz w:val="21"/>
                <w:szCs w:val="21"/>
                <w:highlight w:val="none"/>
              </w:rPr>
            </w:pPr>
            <w:r>
              <w:rPr>
                <w:rFonts w:hint="eastAsia" w:hAnsi="宋体" w:cs="宋体"/>
                <w:color w:val="auto"/>
                <w:kern w:val="2"/>
                <w:sz w:val="21"/>
                <w:szCs w:val="21"/>
                <w:highlight w:val="none"/>
              </w:rPr>
              <w:t>中标通知书的发放</w:t>
            </w:r>
          </w:p>
        </w:tc>
        <w:tc>
          <w:tcPr>
            <w:tcW w:w="6301" w:type="dxa"/>
            <w:vAlign w:val="center"/>
          </w:tcPr>
          <w:p>
            <w:pPr>
              <w:spacing w:line="360" w:lineRule="exact"/>
              <w:rPr>
                <w:rFonts w:ascii="宋体" w:hAnsi="宋体" w:cs="宋体"/>
                <w:color w:val="auto"/>
                <w:szCs w:val="21"/>
                <w:highlight w:val="none"/>
              </w:rPr>
            </w:pPr>
            <w:r>
              <w:rPr>
                <w:rFonts w:hint="eastAsia" w:ascii="宋体" w:hAnsi="宋体" w:cs="宋体"/>
                <w:color w:val="auto"/>
                <w:szCs w:val="21"/>
                <w:highlight w:val="none"/>
              </w:rPr>
              <w:t>广西科文招标有限公司在采购人确定中标结果后二个工作日内在规定的政府采购信息发布媒体上发布中标结果公告，发布中标公告的同时由采购代理机构向中标供应商发出中标通知书。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79" w:type="dxa"/>
            <w:vAlign w:val="center"/>
          </w:tcPr>
          <w:p>
            <w:pPr>
              <w:pStyle w:val="27"/>
              <w:adjustRightInd w:val="0"/>
              <w:spacing w:line="360" w:lineRule="exact"/>
              <w:jc w:val="center"/>
              <w:rPr>
                <w:rFonts w:hAnsi="宋体" w:cs="宋体"/>
                <w:color w:val="auto"/>
                <w:kern w:val="2"/>
                <w:sz w:val="21"/>
                <w:szCs w:val="21"/>
                <w:highlight w:val="none"/>
              </w:rPr>
            </w:pPr>
            <w:r>
              <w:rPr>
                <w:rFonts w:hint="eastAsia" w:hAnsi="宋体" w:cs="宋体"/>
                <w:color w:val="auto"/>
                <w:kern w:val="2"/>
                <w:sz w:val="21"/>
                <w:szCs w:val="21"/>
                <w:highlight w:val="none"/>
              </w:rPr>
              <w:t>28.1</w:t>
            </w:r>
          </w:p>
        </w:tc>
        <w:tc>
          <w:tcPr>
            <w:tcW w:w="2206" w:type="dxa"/>
            <w:vAlign w:val="center"/>
          </w:tcPr>
          <w:p>
            <w:pPr>
              <w:autoSpaceDE w:val="0"/>
              <w:autoSpaceDN w:val="0"/>
              <w:adjustRightIn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需要补充的其他内容</w:t>
            </w:r>
          </w:p>
        </w:tc>
        <w:tc>
          <w:tcPr>
            <w:tcW w:w="6301" w:type="dxa"/>
            <w:vAlign w:val="center"/>
          </w:tcPr>
          <w:p>
            <w:pPr>
              <w:pStyle w:val="27"/>
              <w:spacing w:line="360" w:lineRule="exact"/>
              <w:rPr>
                <w:rFonts w:hAnsi="宋体" w:cs="宋体"/>
                <w:color w:val="auto"/>
                <w:kern w:val="2"/>
                <w:sz w:val="21"/>
                <w:szCs w:val="21"/>
                <w:highlight w:val="none"/>
              </w:rPr>
            </w:pPr>
            <w:r>
              <w:rPr>
                <w:rFonts w:hint="eastAsia" w:hAnsi="宋体" w:cs="宋体"/>
                <w:color w:val="auto"/>
                <w:kern w:val="2"/>
                <w:sz w:val="21"/>
                <w:szCs w:val="21"/>
                <w:highlight w:val="none"/>
              </w:rPr>
              <w:t>1、投标报价不能超过本项目的公布采购预算价，超出采购预算价的投标报价视为无效投标。</w:t>
            </w:r>
          </w:p>
          <w:p>
            <w:pPr>
              <w:pStyle w:val="27"/>
              <w:spacing w:line="360" w:lineRule="exact"/>
              <w:rPr>
                <w:rFonts w:hAnsi="宋体" w:cs="宋体"/>
                <w:color w:val="auto"/>
                <w:kern w:val="2"/>
                <w:sz w:val="21"/>
                <w:szCs w:val="21"/>
                <w:highlight w:val="none"/>
              </w:rPr>
            </w:pPr>
            <w:r>
              <w:rPr>
                <w:rFonts w:hint="eastAsia" w:hAnsi="宋体" w:cs="宋体"/>
                <w:color w:val="auto"/>
                <w:kern w:val="2"/>
                <w:sz w:val="21"/>
                <w:szCs w:val="21"/>
                <w:highlight w:val="none"/>
              </w:rPr>
              <w:t>2、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p>
            <w:pPr>
              <w:pStyle w:val="27"/>
              <w:spacing w:line="360" w:lineRule="exact"/>
              <w:rPr>
                <w:rFonts w:hAnsi="宋体"/>
                <w:color w:val="auto"/>
                <w:sz w:val="21"/>
                <w:szCs w:val="21"/>
                <w:highlight w:val="none"/>
              </w:rPr>
            </w:pPr>
            <w:r>
              <w:rPr>
                <w:rFonts w:hint="eastAsia" w:hAnsi="宋体" w:cs="宋体"/>
                <w:color w:val="auto"/>
                <w:kern w:val="2"/>
                <w:sz w:val="21"/>
                <w:szCs w:val="21"/>
                <w:highlight w:val="none"/>
              </w:rPr>
              <w:t>3、本招标文件中描述投标人的“签字”是指投标人的法定代表人或被授权人亲自在招标文件规定签署处亲笔写上个人的名字的行为，私章、签字章、印鉴、影印等其它形式均不能代替亲笔签字。4、为帮助中小微企业解决资金周转或融资困难问题，南宁市政府采购试行政府采购信用融资制度，为中小企业参与政府采购活动提供金融服务。中标供应商凭政府采购合同申请政府采购信用融资，具体办理要求与办理方式，详见南宁市公共资源交易中心网“政府采购信用融资”专栏。</w:t>
            </w:r>
          </w:p>
        </w:tc>
      </w:tr>
    </w:tbl>
    <w:p>
      <w:pPr>
        <w:pStyle w:val="27"/>
        <w:jc w:val="center"/>
        <w:rPr>
          <w:rFonts w:hAnsi="宋体"/>
          <w:b/>
          <w:color w:val="auto"/>
          <w:sz w:val="28"/>
          <w:szCs w:val="28"/>
          <w:highlight w:val="none"/>
        </w:rPr>
      </w:pPr>
      <w:r>
        <w:rPr>
          <w:rFonts w:hAnsi="宋体"/>
          <w:color w:val="auto"/>
          <w:sz w:val="28"/>
          <w:szCs w:val="28"/>
          <w:highlight w:val="none"/>
        </w:rPr>
        <w:br w:type="page"/>
      </w:r>
      <w:bookmarkStart w:id="57" w:name="_Toc531285730"/>
      <w:r>
        <w:rPr>
          <w:rFonts w:hint="eastAsia" w:ascii="Times New Roman" w:hAnsi="Times New Roman"/>
          <w:b/>
          <w:color w:val="auto"/>
          <w:sz w:val="30"/>
          <w:szCs w:val="30"/>
          <w:highlight w:val="none"/>
        </w:rPr>
        <w:t>一    总  则</w:t>
      </w:r>
      <w:bookmarkEnd w:id="57"/>
    </w:p>
    <w:p>
      <w:pPr>
        <w:pStyle w:val="27"/>
        <w:spacing w:line="440" w:lineRule="exact"/>
        <w:ind w:left="242" w:hanging="242" w:hangingChars="101"/>
        <w:jc w:val="left"/>
        <w:rPr>
          <w:rFonts w:hAnsi="宋体"/>
          <w:bCs/>
          <w:color w:val="auto"/>
          <w:sz w:val="24"/>
          <w:szCs w:val="24"/>
          <w:highlight w:val="none"/>
        </w:rPr>
      </w:pPr>
      <w:r>
        <w:rPr>
          <w:rFonts w:hint="eastAsia" w:hAnsi="宋体"/>
          <w:bCs/>
          <w:color w:val="auto"/>
          <w:sz w:val="24"/>
          <w:szCs w:val="24"/>
          <w:highlight w:val="none"/>
        </w:rPr>
        <w:t>1. 项目概况</w:t>
      </w:r>
    </w:p>
    <w:p>
      <w:pPr>
        <w:pStyle w:val="27"/>
        <w:spacing w:line="440" w:lineRule="exact"/>
        <w:ind w:left="2" w:firstLine="358"/>
        <w:jc w:val="left"/>
        <w:rPr>
          <w:rFonts w:hAnsi="宋体"/>
          <w:bCs/>
          <w:color w:val="auto"/>
          <w:sz w:val="21"/>
          <w:szCs w:val="21"/>
          <w:highlight w:val="none"/>
        </w:rPr>
      </w:pPr>
      <w:r>
        <w:rPr>
          <w:rFonts w:hint="eastAsia" w:hAnsi="宋体"/>
          <w:bCs/>
          <w:color w:val="auto"/>
          <w:sz w:val="21"/>
          <w:szCs w:val="21"/>
          <w:highlight w:val="none"/>
        </w:rPr>
        <w:t>1.1  采购人：见投标人须知前附表。</w:t>
      </w:r>
    </w:p>
    <w:p>
      <w:pPr>
        <w:pStyle w:val="27"/>
        <w:spacing w:line="440" w:lineRule="exact"/>
        <w:ind w:left="2" w:firstLine="358"/>
        <w:jc w:val="left"/>
        <w:rPr>
          <w:rFonts w:ascii="文鼎CS楷体" w:eastAsia="文鼎CS楷体"/>
          <w:color w:val="auto"/>
          <w:sz w:val="21"/>
          <w:szCs w:val="21"/>
          <w:highlight w:val="none"/>
        </w:rPr>
      </w:pPr>
      <w:r>
        <w:rPr>
          <w:rFonts w:hint="eastAsia" w:hAnsi="宋体"/>
          <w:bCs/>
          <w:color w:val="auto"/>
          <w:sz w:val="21"/>
          <w:szCs w:val="21"/>
          <w:highlight w:val="none"/>
        </w:rPr>
        <w:t>1.2  采购代理机构：见投标人须知前附表。</w:t>
      </w:r>
    </w:p>
    <w:p>
      <w:pPr>
        <w:pStyle w:val="27"/>
        <w:spacing w:line="440" w:lineRule="exact"/>
        <w:ind w:left="2" w:firstLine="358"/>
        <w:jc w:val="left"/>
        <w:rPr>
          <w:rFonts w:ascii="文鼎CS楷体" w:eastAsia="文鼎CS楷体"/>
          <w:color w:val="auto"/>
          <w:sz w:val="21"/>
          <w:szCs w:val="21"/>
          <w:highlight w:val="none"/>
        </w:rPr>
      </w:pPr>
      <w:r>
        <w:rPr>
          <w:rFonts w:hint="eastAsia" w:ascii="文鼎CS楷体" w:eastAsia="文鼎CS楷体"/>
          <w:color w:val="auto"/>
          <w:sz w:val="21"/>
          <w:szCs w:val="21"/>
          <w:highlight w:val="none"/>
        </w:rPr>
        <w:t>1.3  项目名称：</w:t>
      </w:r>
      <w:r>
        <w:rPr>
          <w:rFonts w:hint="eastAsia" w:hAnsi="宋体"/>
          <w:bCs/>
          <w:color w:val="auto"/>
          <w:sz w:val="21"/>
          <w:szCs w:val="21"/>
          <w:highlight w:val="none"/>
        </w:rPr>
        <w:t>见投标人须知前附表。</w:t>
      </w:r>
    </w:p>
    <w:p>
      <w:pPr>
        <w:pStyle w:val="27"/>
        <w:spacing w:line="440" w:lineRule="exact"/>
        <w:ind w:left="2" w:firstLine="358"/>
        <w:jc w:val="left"/>
        <w:rPr>
          <w:rFonts w:hAnsi="宋体"/>
          <w:bCs/>
          <w:color w:val="auto"/>
          <w:sz w:val="21"/>
          <w:szCs w:val="21"/>
          <w:highlight w:val="none"/>
        </w:rPr>
      </w:pPr>
      <w:r>
        <w:rPr>
          <w:rFonts w:hint="eastAsia" w:ascii="文鼎CS楷体" w:eastAsia="文鼎CS楷体"/>
          <w:color w:val="auto"/>
          <w:sz w:val="21"/>
          <w:szCs w:val="21"/>
          <w:highlight w:val="none"/>
        </w:rPr>
        <w:t>1.4  项目编号：</w:t>
      </w:r>
      <w:r>
        <w:rPr>
          <w:rFonts w:hint="eastAsia" w:hAnsi="宋体"/>
          <w:bCs/>
          <w:color w:val="auto"/>
          <w:sz w:val="21"/>
          <w:szCs w:val="21"/>
          <w:highlight w:val="none"/>
        </w:rPr>
        <w:t>见投标人须知前附表。</w:t>
      </w:r>
    </w:p>
    <w:p>
      <w:pPr>
        <w:pStyle w:val="27"/>
        <w:spacing w:line="440" w:lineRule="exact"/>
        <w:ind w:left="2" w:firstLine="358"/>
        <w:jc w:val="left"/>
        <w:rPr>
          <w:rFonts w:hAnsi="宋体"/>
          <w:bCs/>
          <w:color w:val="auto"/>
          <w:sz w:val="21"/>
          <w:szCs w:val="21"/>
          <w:highlight w:val="none"/>
        </w:rPr>
      </w:pPr>
      <w:r>
        <w:rPr>
          <w:rFonts w:hint="eastAsia" w:hAnsi="宋体"/>
          <w:bCs/>
          <w:color w:val="auto"/>
          <w:sz w:val="21"/>
          <w:szCs w:val="21"/>
          <w:highlight w:val="none"/>
        </w:rPr>
        <w:t>1.5  采购预算：见投标人须知前附表。</w:t>
      </w:r>
    </w:p>
    <w:p>
      <w:pPr>
        <w:pStyle w:val="27"/>
        <w:spacing w:line="440" w:lineRule="exact"/>
        <w:ind w:left="2" w:firstLine="358"/>
        <w:jc w:val="left"/>
        <w:rPr>
          <w:rFonts w:hAnsi="宋体"/>
          <w:bCs/>
          <w:color w:val="auto"/>
          <w:sz w:val="21"/>
          <w:szCs w:val="21"/>
          <w:highlight w:val="none"/>
        </w:rPr>
      </w:pPr>
      <w:r>
        <w:rPr>
          <w:rFonts w:hint="eastAsia" w:hAnsi="宋体"/>
          <w:bCs/>
          <w:color w:val="auto"/>
          <w:sz w:val="21"/>
          <w:szCs w:val="21"/>
          <w:highlight w:val="none"/>
        </w:rPr>
        <w:t>1.6  资金来源：政府财政性资金</w:t>
      </w:r>
    </w:p>
    <w:p>
      <w:pPr>
        <w:pStyle w:val="27"/>
        <w:spacing w:line="440" w:lineRule="exact"/>
        <w:ind w:left="2" w:firstLine="358"/>
        <w:jc w:val="left"/>
        <w:rPr>
          <w:rFonts w:hAnsi="宋体"/>
          <w:bCs/>
          <w:color w:val="auto"/>
          <w:sz w:val="21"/>
          <w:szCs w:val="21"/>
          <w:highlight w:val="none"/>
        </w:rPr>
      </w:pPr>
      <w:r>
        <w:rPr>
          <w:rFonts w:hint="eastAsia" w:hAnsi="宋体"/>
          <w:bCs/>
          <w:color w:val="auto"/>
          <w:sz w:val="21"/>
          <w:szCs w:val="21"/>
          <w:highlight w:val="none"/>
        </w:rPr>
        <w:t xml:space="preserve">1.7  </w:t>
      </w:r>
      <w:r>
        <w:rPr>
          <w:rFonts w:hint="eastAsia" w:hAnsi="宋体"/>
          <w:color w:val="auto"/>
          <w:sz w:val="21"/>
          <w:szCs w:val="21"/>
          <w:highlight w:val="none"/>
        </w:rPr>
        <w:t>获取招标文件的时间、地点、方式及招标文件售价：</w:t>
      </w:r>
      <w:r>
        <w:rPr>
          <w:rFonts w:hint="eastAsia" w:hAnsi="宋体"/>
          <w:bCs/>
          <w:color w:val="auto"/>
          <w:sz w:val="21"/>
          <w:szCs w:val="21"/>
          <w:highlight w:val="none"/>
        </w:rPr>
        <w:t>见投标人须知前附表。</w:t>
      </w:r>
    </w:p>
    <w:p>
      <w:pPr>
        <w:pStyle w:val="27"/>
        <w:spacing w:line="440" w:lineRule="exact"/>
        <w:ind w:left="2" w:firstLine="358"/>
        <w:jc w:val="left"/>
        <w:rPr>
          <w:rFonts w:hAnsi="宋体"/>
          <w:bCs/>
          <w:color w:val="auto"/>
          <w:sz w:val="21"/>
          <w:szCs w:val="21"/>
          <w:highlight w:val="none"/>
        </w:rPr>
      </w:pPr>
      <w:r>
        <w:rPr>
          <w:rFonts w:hAnsi="宋体"/>
          <w:bCs/>
          <w:color w:val="auto"/>
          <w:sz w:val="21"/>
          <w:szCs w:val="21"/>
          <w:highlight w:val="none"/>
        </w:rPr>
        <w:t xml:space="preserve">1.8  </w:t>
      </w:r>
      <w:r>
        <w:rPr>
          <w:rFonts w:hint="eastAsia" w:hAnsi="宋体"/>
          <w:bCs/>
          <w:color w:val="auto"/>
          <w:sz w:val="21"/>
          <w:szCs w:val="21"/>
          <w:highlight w:val="none"/>
        </w:rPr>
        <w:t>预留采购份额：见投标人须知前附表。</w:t>
      </w:r>
    </w:p>
    <w:p>
      <w:pPr>
        <w:pStyle w:val="27"/>
        <w:spacing w:line="440" w:lineRule="exact"/>
        <w:jc w:val="left"/>
        <w:rPr>
          <w:rFonts w:hAnsi="宋体"/>
          <w:bCs/>
          <w:color w:val="auto"/>
          <w:sz w:val="24"/>
          <w:szCs w:val="24"/>
          <w:highlight w:val="none"/>
        </w:rPr>
      </w:pPr>
      <w:r>
        <w:rPr>
          <w:rFonts w:hint="eastAsia" w:hAnsi="宋体"/>
          <w:bCs/>
          <w:color w:val="auto"/>
          <w:sz w:val="24"/>
          <w:szCs w:val="24"/>
          <w:highlight w:val="none"/>
        </w:rPr>
        <w:t>2.  政府采购信息发布媒体：</w:t>
      </w:r>
    </w:p>
    <w:p>
      <w:pPr>
        <w:pStyle w:val="27"/>
        <w:spacing w:line="440" w:lineRule="exact"/>
        <w:ind w:firstLine="359" w:firstLineChars="171"/>
        <w:jc w:val="left"/>
        <w:rPr>
          <w:rFonts w:hAnsi="宋体"/>
          <w:bCs/>
          <w:color w:val="auto"/>
          <w:sz w:val="21"/>
          <w:szCs w:val="21"/>
          <w:highlight w:val="none"/>
        </w:rPr>
      </w:pPr>
      <w:r>
        <w:rPr>
          <w:rFonts w:hint="eastAsia" w:hAnsi="宋体"/>
          <w:bCs/>
          <w:color w:val="auto"/>
          <w:sz w:val="21"/>
          <w:szCs w:val="21"/>
          <w:highlight w:val="none"/>
        </w:rPr>
        <w:t>2.1  与本项目相关的政府采购业务信息（包括公开招标公告、中标公告及其更正事项等）将在以下媒体上发布：</w:t>
      </w:r>
      <w:r>
        <w:rPr>
          <w:rFonts w:hint="eastAsia"/>
          <w:color w:val="auto"/>
          <w:spacing w:val="6"/>
          <w:kern w:val="48"/>
          <w:sz w:val="21"/>
          <w:szCs w:val="21"/>
          <w:highlight w:val="none"/>
        </w:rPr>
        <w:t>中国政府采购网（www.ccgp.gov.cn）、广西政府采购网（</w:t>
      </w:r>
      <w:r>
        <w:rPr>
          <w:color w:val="auto"/>
          <w:spacing w:val="6"/>
          <w:kern w:val="48"/>
          <w:sz w:val="21"/>
          <w:szCs w:val="21"/>
          <w:highlight w:val="none"/>
        </w:rPr>
        <w:t>zfcg.gxzf.gov.cn</w:t>
      </w:r>
      <w:r>
        <w:rPr>
          <w:rFonts w:hint="eastAsia"/>
          <w:color w:val="auto"/>
          <w:spacing w:val="6"/>
          <w:kern w:val="48"/>
          <w:sz w:val="21"/>
          <w:szCs w:val="21"/>
          <w:highlight w:val="none"/>
        </w:rPr>
        <w:t>）、南宁市公共资源交易中心网（www.nnggzy.org.cn）</w:t>
      </w:r>
      <w:r>
        <w:rPr>
          <w:rFonts w:hint="eastAsia"/>
          <w:bCs/>
          <w:color w:val="auto"/>
          <w:sz w:val="21"/>
          <w:szCs w:val="21"/>
          <w:highlight w:val="none"/>
        </w:rPr>
        <w:t>。</w:t>
      </w:r>
    </w:p>
    <w:p>
      <w:pPr>
        <w:pStyle w:val="27"/>
        <w:spacing w:line="440" w:lineRule="exact"/>
        <w:ind w:left="242" w:hanging="242" w:hangingChars="101"/>
        <w:jc w:val="left"/>
        <w:rPr>
          <w:rFonts w:hAnsi="宋体"/>
          <w:bCs/>
          <w:color w:val="auto"/>
          <w:sz w:val="24"/>
          <w:szCs w:val="24"/>
          <w:highlight w:val="none"/>
        </w:rPr>
      </w:pPr>
      <w:r>
        <w:rPr>
          <w:rFonts w:hint="eastAsia" w:hAnsi="宋体"/>
          <w:bCs/>
          <w:color w:val="auto"/>
          <w:sz w:val="24"/>
          <w:szCs w:val="24"/>
          <w:highlight w:val="none"/>
        </w:rPr>
        <w:t>3. 投标人资格要求：</w:t>
      </w:r>
    </w:p>
    <w:p>
      <w:pPr>
        <w:pStyle w:val="27"/>
        <w:spacing w:line="440" w:lineRule="exact"/>
        <w:ind w:firstLine="360"/>
        <w:rPr>
          <w:rFonts w:hAnsi="宋体"/>
          <w:bCs/>
          <w:color w:val="auto"/>
          <w:sz w:val="21"/>
          <w:szCs w:val="21"/>
          <w:highlight w:val="none"/>
        </w:rPr>
      </w:pPr>
      <w:r>
        <w:rPr>
          <w:rFonts w:hint="eastAsia" w:hAnsi="宋体"/>
          <w:bCs/>
          <w:color w:val="auto"/>
          <w:sz w:val="21"/>
          <w:szCs w:val="21"/>
          <w:highlight w:val="none"/>
        </w:rPr>
        <w:t>3.1  投标人应</w:t>
      </w:r>
      <w:r>
        <w:rPr>
          <w:rFonts w:hint="eastAsia"/>
          <w:color w:val="auto"/>
          <w:sz w:val="21"/>
          <w:szCs w:val="21"/>
          <w:highlight w:val="none"/>
        </w:rPr>
        <w:t>符合《中华人民共和国政府采购法》第二十二条规定的</w:t>
      </w:r>
      <w:r>
        <w:rPr>
          <w:rFonts w:hint="eastAsia" w:hAnsi="宋体"/>
          <w:bCs/>
          <w:color w:val="auto"/>
          <w:sz w:val="21"/>
          <w:szCs w:val="21"/>
          <w:highlight w:val="none"/>
        </w:rPr>
        <w:t>下列</w:t>
      </w:r>
      <w:r>
        <w:rPr>
          <w:rFonts w:hint="eastAsia"/>
          <w:color w:val="auto"/>
          <w:sz w:val="21"/>
          <w:szCs w:val="21"/>
          <w:highlight w:val="none"/>
        </w:rPr>
        <w:t>投标人资格条件</w:t>
      </w:r>
      <w:r>
        <w:rPr>
          <w:rFonts w:hint="eastAsia" w:hAnsi="宋体"/>
          <w:bCs/>
          <w:color w:val="auto"/>
          <w:sz w:val="21"/>
          <w:szCs w:val="21"/>
          <w:highlight w:val="none"/>
        </w:rPr>
        <w:t>：</w:t>
      </w:r>
    </w:p>
    <w:p>
      <w:pPr>
        <w:pStyle w:val="27"/>
        <w:spacing w:line="440" w:lineRule="exact"/>
        <w:ind w:firstLine="720"/>
        <w:rPr>
          <w:rFonts w:hAnsi="宋体"/>
          <w:bCs/>
          <w:color w:val="auto"/>
          <w:sz w:val="21"/>
          <w:szCs w:val="21"/>
          <w:highlight w:val="none"/>
        </w:rPr>
      </w:pPr>
      <w:r>
        <w:rPr>
          <w:rFonts w:hint="eastAsia" w:hAnsi="宋体"/>
          <w:bCs/>
          <w:color w:val="auto"/>
          <w:sz w:val="21"/>
          <w:szCs w:val="21"/>
          <w:highlight w:val="none"/>
        </w:rPr>
        <w:t>（1）具有独立承担民事责任的能力；</w:t>
      </w:r>
    </w:p>
    <w:p>
      <w:pPr>
        <w:pStyle w:val="27"/>
        <w:spacing w:line="440" w:lineRule="exact"/>
        <w:ind w:firstLine="720"/>
        <w:rPr>
          <w:rFonts w:hAnsi="宋体"/>
          <w:bCs/>
          <w:color w:val="auto"/>
          <w:sz w:val="21"/>
          <w:szCs w:val="21"/>
          <w:highlight w:val="none"/>
        </w:rPr>
      </w:pPr>
      <w:r>
        <w:rPr>
          <w:rFonts w:hint="eastAsia" w:hAnsi="宋体"/>
          <w:bCs/>
          <w:color w:val="auto"/>
          <w:sz w:val="21"/>
          <w:szCs w:val="21"/>
          <w:highlight w:val="none"/>
        </w:rPr>
        <w:t>（2）具有良好的商业信誉和健全的财务会计制度；</w:t>
      </w:r>
    </w:p>
    <w:p>
      <w:pPr>
        <w:pStyle w:val="27"/>
        <w:spacing w:line="440" w:lineRule="exact"/>
        <w:ind w:firstLine="720"/>
        <w:rPr>
          <w:rFonts w:hAnsi="宋体"/>
          <w:bCs/>
          <w:color w:val="auto"/>
          <w:sz w:val="21"/>
          <w:szCs w:val="21"/>
          <w:highlight w:val="none"/>
        </w:rPr>
      </w:pPr>
      <w:r>
        <w:rPr>
          <w:rFonts w:hint="eastAsia" w:hAnsi="宋体"/>
          <w:bCs/>
          <w:color w:val="auto"/>
          <w:sz w:val="21"/>
          <w:szCs w:val="21"/>
          <w:highlight w:val="none"/>
        </w:rPr>
        <w:t>（3）具有履行合同所必需的设备和专业技术能力；</w:t>
      </w:r>
    </w:p>
    <w:p>
      <w:pPr>
        <w:pStyle w:val="27"/>
        <w:spacing w:line="440" w:lineRule="exact"/>
        <w:ind w:firstLine="720"/>
        <w:rPr>
          <w:rFonts w:hAnsi="宋体"/>
          <w:bCs/>
          <w:color w:val="auto"/>
          <w:sz w:val="21"/>
          <w:szCs w:val="21"/>
          <w:highlight w:val="none"/>
        </w:rPr>
      </w:pPr>
      <w:r>
        <w:rPr>
          <w:rFonts w:hint="eastAsia" w:hAnsi="宋体"/>
          <w:bCs/>
          <w:color w:val="auto"/>
          <w:sz w:val="21"/>
          <w:szCs w:val="21"/>
          <w:highlight w:val="none"/>
        </w:rPr>
        <w:t>（4）有依法缴纳税收和社会保障资金的良好记录；</w:t>
      </w:r>
    </w:p>
    <w:p>
      <w:pPr>
        <w:pStyle w:val="27"/>
        <w:spacing w:line="440" w:lineRule="exact"/>
        <w:ind w:firstLine="720"/>
        <w:rPr>
          <w:rFonts w:hAnsi="宋体"/>
          <w:bCs/>
          <w:color w:val="auto"/>
          <w:sz w:val="21"/>
          <w:szCs w:val="21"/>
          <w:highlight w:val="none"/>
        </w:rPr>
      </w:pPr>
      <w:r>
        <w:rPr>
          <w:rFonts w:hint="eastAsia" w:hAnsi="宋体"/>
          <w:bCs/>
          <w:color w:val="auto"/>
          <w:sz w:val="21"/>
          <w:szCs w:val="21"/>
          <w:highlight w:val="none"/>
        </w:rPr>
        <w:t>（5）参加政府采购活动前三年内，在经营活动中没有重大违法记录；</w:t>
      </w:r>
    </w:p>
    <w:p>
      <w:pPr>
        <w:pStyle w:val="27"/>
        <w:spacing w:line="440" w:lineRule="exact"/>
        <w:ind w:firstLine="720"/>
        <w:rPr>
          <w:rFonts w:hAnsi="宋体"/>
          <w:bCs/>
          <w:color w:val="auto"/>
          <w:sz w:val="21"/>
          <w:szCs w:val="21"/>
          <w:highlight w:val="none"/>
        </w:rPr>
      </w:pPr>
      <w:r>
        <w:rPr>
          <w:rFonts w:hint="eastAsia" w:hAnsi="宋体"/>
          <w:bCs/>
          <w:color w:val="auto"/>
          <w:sz w:val="21"/>
          <w:szCs w:val="21"/>
          <w:highlight w:val="none"/>
        </w:rPr>
        <w:t>（6）法律、行政法规规定的其他条件。</w:t>
      </w:r>
    </w:p>
    <w:p>
      <w:pPr>
        <w:pStyle w:val="27"/>
        <w:spacing w:line="440" w:lineRule="exact"/>
        <w:ind w:firstLine="360"/>
        <w:rPr>
          <w:rFonts w:hAnsi="宋体"/>
          <w:bCs/>
          <w:color w:val="auto"/>
          <w:sz w:val="21"/>
          <w:szCs w:val="21"/>
          <w:highlight w:val="none"/>
        </w:rPr>
      </w:pPr>
      <w:r>
        <w:rPr>
          <w:rFonts w:hint="eastAsia" w:hAnsi="宋体"/>
          <w:bCs/>
          <w:color w:val="auto"/>
          <w:sz w:val="21"/>
          <w:szCs w:val="21"/>
          <w:highlight w:val="none"/>
        </w:rPr>
        <w:t>3.2  针对本项目，投标人应具备的特定条件：见投标人须知前附表。</w:t>
      </w:r>
    </w:p>
    <w:p>
      <w:pPr>
        <w:pStyle w:val="27"/>
        <w:spacing w:line="440" w:lineRule="exact"/>
        <w:ind w:firstLine="360"/>
        <w:rPr>
          <w:rFonts w:hAnsi="宋体"/>
          <w:bCs/>
          <w:color w:val="auto"/>
          <w:sz w:val="21"/>
          <w:szCs w:val="21"/>
          <w:highlight w:val="none"/>
        </w:rPr>
      </w:pPr>
      <w:r>
        <w:rPr>
          <w:rFonts w:hint="eastAsia" w:hAnsi="宋体"/>
          <w:bCs/>
          <w:color w:val="auto"/>
          <w:sz w:val="21"/>
          <w:szCs w:val="21"/>
          <w:highlight w:val="none"/>
        </w:rPr>
        <w:t>3.3  投标人须知前附表规定接受联合体投标的，两个以上供应商可以组成一个投标联合体，</w:t>
      </w:r>
      <w:r>
        <w:rPr>
          <w:rFonts w:hint="eastAsia" w:hAnsi="宋体"/>
          <w:color w:val="auto"/>
          <w:sz w:val="21"/>
          <w:szCs w:val="21"/>
          <w:highlight w:val="none"/>
        </w:rPr>
        <w:t>以一个投标人的身份共同参加投标</w:t>
      </w:r>
      <w:r>
        <w:rPr>
          <w:rFonts w:hint="eastAsia" w:hAnsi="宋体"/>
          <w:bCs/>
          <w:color w:val="auto"/>
          <w:sz w:val="21"/>
          <w:szCs w:val="21"/>
          <w:highlight w:val="none"/>
        </w:rPr>
        <w:t>。以联合体形式参加投标的，联合体各方均应当符合本章第3.1项的要求，至少应当有一方符合本章第3.2项的要求；联合体各方应签订共同投标协议，明确联合体各方承担的工作和相应的责任，并将共同投标协议连同投标文件一并提交采购代理机构；由同一专业的单位组成的联合体，按照资质等级最低的单位确定资质等级；联合体各方不得再以自己名义单独或组成新的联合体参加同一项目同一</w:t>
      </w:r>
      <w:r>
        <w:rPr>
          <w:rFonts w:hint="eastAsia" w:hAnsi="宋体"/>
          <w:bCs/>
          <w:color w:val="auto"/>
          <w:sz w:val="21"/>
          <w:szCs w:val="21"/>
          <w:highlight w:val="none"/>
          <w:lang w:eastAsia="zh-CN"/>
        </w:rPr>
        <w:t>标段</w:t>
      </w:r>
      <w:r>
        <w:rPr>
          <w:rFonts w:hint="eastAsia" w:hAnsi="宋体"/>
          <w:bCs/>
          <w:color w:val="auto"/>
          <w:sz w:val="21"/>
          <w:szCs w:val="21"/>
          <w:highlight w:val="none"/>
        </w:rPr>
        <w:t>投标，否则与之相关的投标文件作废；投标联合体的业绩和信誉按联合体主体方（或牵头方）计算。</w:t>
      </w:r>
    </w:p>
    <w:p>
      <w:pPr>
        <w:pStyle w:val="27"/>
        <w:spacing w:line="440" w:lineRule="exact"/>
        <w:ind w:firstLine="360"/>
        <w:rPr>
          <w:rFonts w:hAnsi="宋体"/>
          <w:color w:val="auto"/>
          <w:sz w:val="21"/>
          <w:szCs w:val="21"/>
          <w:highlight w:val="none"/>
        </w:rPr>
      </w:pPr>
      <w:r>
        <w:rPr>
          <w:rFonts w:hint="eastAsia" w:hAnsi="宋体"/>
          <w:bCs/>
          <w:color w:val="auto"/>
          <w:sz w:val="21"/>
          <w:szCs w:val="21"/>
          <w:highlight w:val="none"/>
        </w:rPr>
        <w:t xml:space="preserve">3.4  </w:t>
      </w:r>
      <w:r>
        <w:rPr>
          <w:rFonts w:hint="eastAsia" w:hAnsi="宋体"/>
          <w:color w:val="auto"/>
          <w:sz w:val="21"/>
          <w:szCs w:val="21"/>
          <w:highlight w:val="none"/>
        </w:rPr>
        <w:t xml:space="preserve">投标人不得直接或间接地与为本次采购的项目内容进行设计、编制规范和其他文件的咨询公司、采购代理机构或其附属机构有任何关联。 </w:t>
      </w:r>
    </w:p>
    <w:p>
      <w:pPr>
        <w:snapToGrid w:val="0"/>
        <w:spacing w:line="400" w:lineRule="exact"/>
        <w:ind w:firstLine="411" w:firstLineChars="196"/>
        <w:jc w:val="left"/>
        <w:rPr>
          <w:rFonts w:ascii="宋体" w:hAnsi="宋体"/>
          <w:b/>
          <w:color w:val="auto"/>
          <w:szCs w:val="21"/>
          <w:highlight w:val="none"/>
        </w:rPr>
      </w:pPr>
      <w:bookmarkStart w:id="58" w:name="_Toc254970673"/>
      <w:bookmarkStart w:id="59" w:name="_Toc254970532"/>
      <w:r>
        <w:rPr>
          <w:rFonts w:hint="eastAsia" w:ascii="宋体" w:hAnsi="宋体"/>
          <w:color w:val="auto"/>
          <w:szCs w:val="21"/>
          <w:highlight w:val="none"/>
        </w:rPr>
        <w:t>★3.5</w:t>
      </w:r>
      <w:r>
        <w:rPr>
          <w:rFonts w:hint="eastAsia" w:ascii="宋体" w:hAnsi="宋体"/>
          <w:b/>
          <w:color w:val="auto"/>
          <w:szCs w:val="21"/>
          <w:highlight w:val="none"/>
        </w:rPr>
        <w:t>特别说明：</w:t>
      </w:r>
      <w:bookmarkEnd w:id="58"/>
      <w:bookmarkEnd w:id="59"/>
    </w:p>
    <w:p>
      <w:pPr>
        <w:pStyle w:val="27"/>
        <w:snapToGrid w:val="0"/>
        <w:spacing w:line="400" w:lineRule="exact"/>
        <w:ind w:firstLine="420" w:firstLineChars="200"/>
        <w:rPr>
          <w:rFonts w:hAnsi="宋体"/>
          <w:color w:val="auto"/>
          <w:sz w:val="21"/>
          <w:szCs w:val="21"/>
          <w:highlight w:val="none"/>
        </w:rPr>
      </w:pPr>
      <w:r>
        <w:rPr>
          <w:rFonts w:hint="eastAsia" w:hAnsi="宋体"/>
          <w:color w:val="auto"/>
          <w:sz w:val="21"/>
          <w:szCs w:val="21"/>
          <w:highlight w:val="none"/>
        </w:rPr>
        <w:t>（1）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27"/>
        <w:snapToGrid w:val="0"/>
        <w:spacing w:line="400" w:lineRule="exact"/>
        <w:ind w:firstLine="420" w:firstLineChars="200"/>
        <w:rPr>
          <w:rFonts w:hAnsi="宋体"/>
          <w:color w:val="auto"/>
          <w:sz w:val="21"/>
          <w:szCs w:val="21"/>
          <w:highlight w:val="none"/>
        </w:rPr>
      </w:pPr>
      <w:r>
        <w:rPr>
          <w:rFonts w:hint="eastAsia" w:hAnsi="宋体"/>
          <w:color w:val="auto"/>
          <w:sz w:val="21"/>
          <w:szCs w:val="21"/>
          <w:highlight w:val="none"/>
        </w:rPr>
        <w:t>非单一产品采购项目，多家投标人提供的核心产品品牌相同的，按前款规定处理。核心产品的名称见本招标文件第二章“货物需求一览表”。</w:t>
      </w:r>
    </w:p>
    <w:p>
      <w:pPr>
        <w:pStyle w:val="27"/>
        <w:snapToGrid w:val="0"/>
        <w:spacing w:line="400" w:lineRule="exact"/>
        <w:ind w:firstLine="420" w:firstLineChars="200"/>
        <w:rPr>
          <w:rFonts w:hAnsi="宋体"/>
          <w:color w:val="auto"/>
          <w:sz w:val="21"/>
          <w:szCs w:val="21"/>
          <w:highlight w:val="none"/>
        </w:rPr>
      </w:pPr>
      <w:r>
        <w:rPr>
          <w:rFonts w:hint="eastAsia" w:hAnsi="宋体"/>
          <w:color w:val="auto"/>
          <w:sz w:val="21"/>
          <w:szCs w:val="21"/>
          <w:highlight w:val="none"/>
        </w:rPr>
        <w:t>（2）有下列情形之一的视为投标人相互串通投标，投标文件将被视为无效：</w:t>
      </w:r>
    </w:p>
    <w:p>
      <w:pPr>
        <w:pStyle w:val="27"/>
        <w:snapToGrid w:val="0"/>
        <w:spacing w:line="400" w:lineRule="exact"/>
        <w:ind w:firstLine="630" w:firstLineChars="300"/>
        <w:rPr>
          <w:rFonts w:hAnsi="宋体"/>
          <w:color w:val="auto"/>
          <w:sz w:val="21"/>
          <w:szCs w:val="21"/>
          <w:highlight w:val="none"/>
        </w:rPr>
      </w:pPr>
      <w:r>
        <w:rPr>
          <w:rFonts w:hint="eastAsia" w:hAnsi="宋体"/>
          <w:color w:val="auto"/>
          <w:sz w:val="21"/>
          <w:szCs w:val="21"/>
          <w:highlight w:val="none"/>
        </w:rPr>
        <w:t>1）不同投标人的投标文件由同一单位或者个人编制；或不同投标人报名的IP地址一致的；</w:t>
      </w:r>
    </w:p>
    <w:p>
      <w:pPr>
        <w:pStyle w:val="27"/>
        <w:snapToGrid w:val="0"/>
        <w:spacing w:line="400" w:lineRule="exact"/>
        <w:ind w:firstLine="630" w:firstLineChars="300"/>
        <w:rPr>
          <w:rFonts w:hAnsi="宋体"/>
          <w:color w:val="auto"/>
          <w:sz w:val="21"/>
          <w:szCs w:val="21"/>
          <w:highlight w:val="none"/>
        </w:rPr>
      </w:pPr>
      <w:r>
        <w:rPr>
          <w:rFonts w:hint="eastAsia" w:hAnsi="宋体"/>
          <w:color w:val="auto"/>
          <w:sz w:val="21"/>
          <w:szCs w:val="21"/>
          <w:highlight w:val="none"/>
        </w:rPr>
        <w:t>2）不同投标人委托同一单位或者个人办理投标事宜；</w:t>
      </w:r>
    </w:p>
    <w:p>
      <w:pPr>
        <w:pStyle w:val="27"/>
        <w:snapToGrid w:val="0"/>
        <w:spacing w:line="400" w:lineRule="exact"/>
        <w:ind w:firstLine="630" w:firstLineChars="300"/>
        <w:rPr>
          <w:rFonts w:hAnsi="宋体"/>
          <w:color w:val="auto"/>
          <w:sz w:val="21"/>
          <w:szCs w:val="21"/>
          <w:highlight w:val="none"/>
        </w:rPr>
      </w:pPr>
      <w:r>
        <w:rPr>
          <w:rFonts w:hint="eastAsia" w:hAnsi="宋体"/>
          <w:color w:val="auto"/>
          <w:sz w:val="21"/>
          <w:szCs w:val="21"/>
          <w:highlight w:val="none"/>
        </w:rPr>
        <w:t>3）不同的投标人的投标文件载明的项目管理员为同一个人；</w:t>
      </w:r>
    </w:p>
    <w:p>
      <w:pPr>
        <w:pStyle w:val="27"/>
        <w:snapToGrid w:val="0"/>
        <w:spacing w:line="400" w:lineRule="exact"/>
        <w:ind w:firstLine="630" w:firstLineChars="300"/>
        <w:rPr>
          <w:rFonts w:hAnsi="宋体"/>
          <w:color w:val="auto"/>
          <w:sz w:val="21"/>
          <w:szCs w:val="21"/>
          <w:highlight w:val="none"/>
        </w:rPr>
      </w:pPr>
      <w:r>
        <w:rPr>
          <w:rFonts w:hint="eastAsia" w:hAnsi="宋体"/>
          <w:color w:val="auto"/>
          <w:sz w:val="21"/>
          <w:szCs w:val="21"/>
          <w:highlight w:val="none"/>
        </w:rPr>
        <w:t>4）不同投标人的投标文件异常一致或投标报价呈规律性差异；</w:t>
      </w:r>
    </w:p>
    <w:p>
      <w:pPr>
        <w:pStyle w:val="27"/>
        <w:snapToGrid w:val="0"/>
        <w:spacing w:line="400" w:lineRule="exact"/>
        <w:ind w:firstLine="630" w:firstLineChars="300"/>
        <w:rPr>
          <w:rFonts w:hAnsi="宋体"/>
          <w:color w:val="auto"/>
          <w:sz w:val="21"/>
          <w:szCs w:val="21"/>
          <w:highlight w:val="none"/>
        </w:rPr>
      </w:pPr>
      <w:r>
        <w:rPr>
          <w:rFonts w:hint="eastAsia" w:hAnsi="宋体"/>
          <w:color w:val="auto"/>
          <w:sz w:val="21"/>
          <w:szCs w:val="21"/>
          <w:highlight w:val="none"/>
        </w:rPr>
        <w:t>5）不同投标人的投标文件相互混装；</w:t>
      </w:r>
    </w:p>
    <w:p>
      <w:pPr>
        <w:pStyle w:val="27"/>
        <w:snapToGrid w:val="0"/>
        <w:spacing w:line="400" w:lineRule="exact"/>
        <w:ind w:firstLine="420" w:firstLineChars="200"/>
        <w:rPr>
          <w:rFonts w:hAnsi="宋体"/>
          <w:color w:val="auto"/>
          <w:sz w:val="21"/>
          <w:szCs w:val="21"/>
          <w:highlight w:val="none"/>
        </w:rPr>
      </w:pPr>
      <w:r>
        <w:rPr>
          <w:rFonts w:hint="eastAsia" w:hAnsi="宋体"/>
          <w:color w:val="auto"/>
          <w:sz w:val="21"/>
          <w:szCs w:val="21"/>
          <w:highlight w:val="none"/>
        </w:rPr>
        <w:t>（3）供应商有下列情形之一的，属于恶意串通行为：</w:t>
      </w:r>
    </w:p>
    <w:p>
      <w:pPr>
        <w:pStyle w:val="27"/>
        <w:snapToGrid w:val="0"/>
        <w:spacing w:line="400" w:lineRule="exact"/>
        <w:ind w:firstLine="630" w:firstLineChars="300"/>
        <w:rPr>
          <w:rFonts w:hAnsi="宋体"/>
          <w:color w:val="auto"/>
          <w:sz w:val="21"/>
          <w:szCs w:val="21"/>
          <w:highlight w:val="none"/>
        </w:rPr>
      </w:pPr>
      <w:r>
        <w:rPr>
          <w:rFonts w:hint="eastAsia" w:hAnsi="宋体"/>
          <w:color w:val="auto"/>
          <w:sz w:val="21"/>
          <w:szCs w:val="21"/>
          <w:highlight w:val="none"/>
        </w:rPr>
        <w:t>1）供应商直接或者间接从采购人或者采购代理机构处获得其他供应商的相关信息并修改其投标文件或者响应文件：</w:t>
      </w:r>
    </w:p>
    <w:p>
      <w:pPr>
        <w:pStyle w:val="27"/>
        <w:snapToGrid w:val="0"/>
        <w:spacing w:line="400" w:lineRule="exact"/>
        <w:ind w:firstLine="630" w:firstLineChars="300"/>
        <w:rPr>
          <w:rFonts w:hAnsi="宋体"/>
          <w:color w:val="auto"/>
          <w:sz w:val="21"/>
          <w:szCs w:val="21"/>
          <w:highlight w:val="none"/>
        </w:rPr>
      </w:pPr>
      <w:r>
        <w:rPr>
          <w:rFonts w:hint="eastAsia" w:hAnsi="宋体"/>
          <w:color w:val="auto"/>
          <w:sz w:val="21"/>
          <w:szCs w:val="21"/>
          <w:highlight w:val="none"/>
        </w:rPr>
        <w:t>2）供应商按照采购人或者采购代理机构的授意撤换、修改投标文件或者响应文件；</w:t>
      </w:r>
    </w:p>
    <w:p>
      <w:pPr>
        <w:pStyle w:val="27"/>
        <w:snapToGrid w:val="0"/>
        <w:spacing w:line="400" w:lineRule="exact"/>
        <w:ind w:firstLine="630" w:firstLineChars="300"/>
        <w:rPr>
          <w:rFonts w:hAnsi="宋体"/>
          <w:color w:val="auto"/>
          <w:sz w:val="21"/>
          <w:szCs w:val="21"/>
          <w:highlight w:val="none"/>
        </w:rPr>
      </w:pPr>
      <w:r>
        <w:rPr>
          <w:rFonts w:hint="eastAsia" w:hAnsi="宋体"/>
          <w:color w:val="auto"/>
          <w:sz w:val="21"/>
          <w:szCs w:val="21"/>
          <w:highlight w:val="none"/>
        </w:rPr>
        <w:t>3）供应商之间协商报价、技术方案等投标文件或者响应文件的实质性内容；</w:t>
      </w:r>
    </w:p>
    <w:p>
      <w:pPr>
        <w:pStyle w:val="27"/>
        <w:snapToGrid w:val="0"/>
        <w:spacing w:line="400" w:lineRule="exact"/>
        <w:ind w:firstLine="630" w:firstLineChars="300"/>
        <w:rPr>
          <w:rFonts w:hAnsi="宋体"/>
          <w:color w:val="auto"/>
          <w:sz w:val="21"/>
          <w:szCs w:val="21"/>
          <w:highlight w:val="none"/>
        </w:rPr>
      </w:pPr>
      <w:r>
        <w:rPr>
          <w:rFonts w:hint="eastAsia" w:hAnsi="宋体"/>
          <w:color w:val="auto"/>
          <w:sz w:val="21"/>
          <w:szCs w:val="21"/>
          <w:highlight w:val="none"/>
        </w:rPr>
        <w:t>4）属于同一集团、协会、商会等组织成员的供应商按照该组织要求协同参加政府采购活动；</w:t>
      </w:r>
    </w:p>
    <w:p>
      <w:pPr>
        <w:pStyle w:val="27"/>
        <w:snapToGrid w:val="0"/>
        <w:spacing w:line="400" w:lineRule="exact"/>
        <w:ind w:firstLine="630" w:firstLineChars="300"/>
        <w:rPr>
          <w:rFonts w:hAnsi="宋体"/>
          <w:color w:val="auto"/>
          <w:sz w:val="21"/>
          <w:szCs w:val="21"/>
          <w:highlight w:val="none"/>
        </w:rPr>
      </w:pPr>
      <w:r>
        <w:rPr>
          <w:rFonts w:hint="eastAsia" w:hAnsi="宋体"/>
          <w:color w:val="auto"/>
          <w:sz w:val="21"/>
          <w:szCs w:val="21"/>
          <w:highlight w:val="none"/>
        </w:rPr>
        <w:t>5）供应商之间事先约定一致抬高或者压低投标报价，或者在招标项目中事先约定轮流以高价位或者低价位中标，或者事先约定由某一特定供应商中标，然后再参加投标；</w:t>
      </w:r>
    </w:p>
    <w:p>
      <w:pPr>
        <w:pStyle w:val="27"/>
        <w:snapToGrid w:val="0"/>
        <w:spacing w:line="400" w:lineRule="exact"/>
        <w:ind w:firstLine="630" w:firstLineChars="300"/>
        <w:rPr>
          <w:rFonts w:hAnsi="宋体"/>
          <w:color w:val="auto"/>
          <w:sz w:val="21"/>
          <w:szCs w:val="21"/>
          <w:highlight w:val="none"/>
        </w:rPr>
      </w:pPr>
      <w:r>
        <w:rPr>
          <w:rFonts w:hint="eastAsia" w:hAnsi="宋体"/>
          <w:color w:val="auto"/>
          <w:sz w:val="21"/>
          <w:szCs w:val="21"/>
          <w:highlight w:val="none"/>
        </w:rPr>
        <w:t>6）供应商之间商定部分供应商放弃参加政府采购活动或者放弃中标；</w:t>
      </w:r>
    </w:p>
    <w:p>
      <w:pPr>
        <w:pStyle w:val="27"/>
        <w:snapToGrid w:val="0"/>
        <w:spacing w:line="400" w:lineRule="exact"/>
        <w:ind w:firstLine="630" w:firstLineChars="300"/>
        <w:rPr>
          <w:rFonts w:hAnsi="宋体"/>
          <w:color w:val="auto"/>
          <w:sz w:val="21"/>
          <w:szCs w:val="21"/>
          <w:highlight w:val="none"/>
        </w:rPr>
      </w:pPr>
      <w:r>
        <w:rPr>
          <w:rFonts w:hint="eastAsia" w:hAnsi="宋体"/>
          <w:color w:val="auto"/>
          <w:sz w:val="21"/>
          <w:szCs w:val="21"/>
          <w:highlight w:val="none"/>
        </w:rPr>
        <w:t>7）供应商与采购人或者采购代理机构之间、供应商相互之间，为谋求特定供应商中标或者排斥其他供应商的其他串通行为。</w:t>
      </w:r>
    </w:p>
    <w:p>
      <w:pPr>
        <w:pStyle w:val="27"/>
        <w:snapToGrid w:val="0"/>
        <w:spacing w:line="400" w:lineRule="exact"/>
        <w:ind w:firstLine="420" w:firstLineChars="200"/>
        <w:rPr>
          <w:rFonts w:hAnsi="宋体"/>
          <w:color w:val="auto"/>
          <w:sz w:val="21"/>
          <w:szCs w:val="21"/>
          <w:highlight w:val="none"/>
        </w:rPr>
      </w:pPr>
      <w:r>
        <w:rPr>
          <w:rFonts w:hint="eastAsia" w:hAnsi="宋体"/>
          <w:color w:val="auto"/>
          <w:sz w:val="21"/>
          <w:szCs w:val="21"/>
          <w:highlight w:val="none"/>
        </w:rPr>
        <w:t>（4）关联供应商不得参加同一合同项下政府采购活动，否则投标文件将被视为无效：</w:t>
      </w:r>
    </w:p>
    <w:p>
      <w:pPr>
        <w:pStyle w:val="27"/>
        <w:snapToGrid w:val="0"/>
        <w:spacing w:line="400" w:lineRule="exact"/>
        <w:ind w:firstLine="630" w:firstLineChars="300"/>
        <w:rPr>
          <w:rFonts w:hAnsi="宋体"/>
          <w:color w:val="auto"/>
          <w:sz w:val="21"/>
          <w:szCs w:val="21"/>
          <w:highlight w:val="none"/>
        </w:rPr>
      </w:pPr>
      <w:r>
        <w:rPr>
          <w:rFonts w:hint="eastAsia" w:hAnsi="宋体"/>
          <w:color w:val="auto"/>
          <w:sz w:val="21"/>
          <w:szCs w:val="21"/>
          <w:highlight w:val="none"/>
        </w:rPr>
        <w:t>1）单位负责人为同一人或者存在直接控股、管理关系的不同的供应商，不得参加同一合同项下的政府采购活动；</w:t>
      </w:r>
    </w:p>
    <w:p>
      <w:pPr>
        <w:pStyle w:val="27"/>
        <w:snapToGrid w:val="0"/>
        <w:spacing w:line="400" w:lineRule="exact"/>
        <w:ind w:firstLine="630" w:firstLineChars="300"/>
        <w:rPr>
          <w:rFonts w:hAnsi="宋体"/>
          <w:color w:val="auto"/>
          <w:sz w:val="21"/>
          <w:szCs w:val="21"/>
          <w:highlight w:val="none"/>
        </w:rPr>
      </w:pPr>
      <w:r>
        <w:rPr>
          <w:rFonts w:hint="eastAsia" w:hAnsi="宋体"/>
          <w:color w:val="auto"/>
          <w:sz w:val="21"/>
          <w:szCs w:val="21"/>
          <w:highlight w:val="none"/>
        </w:rPr>
        <w:t>2）生产厂商授权给供应商后自己不得参加同一合同项下的政府采购活动；生产厂商对同一品牌同一型号的货物，仅能委托一个代理商参加投标。</w:t>
      </w:r>
    </w:p>
    <w:p>
      <w:pPr>
        <w:pStyle w:val="27"/>
        <w:snapToGrid w:val="0"/>
        <w:spacing w:line="400" w:lineRule="exact"/>
        <w:ind w:firstLine="420" w:firstLineChars="200"/>
        <w:rPr>
          <w:rFonts w:hAnsi="宋体"/>
          <w:color w:val="auto"/>
          <w:sz w:val="21"/>
          <w:szCs w:val="21"/>
          <w:highlight w:val="none"/>
        </w:rPr>
      </w:pPr>
      <w:r>
        <w:rPr>
          <w:rFonts w:hint="eastAsia" w:hAnsi="宋体"/>
          <w:color w:val="auto"/>
          <w:sz w:val="21"/>
          <w:szCs w:val="21"/>
          <w:highlight w:val="none"/>
        </w:rPr>
        <w:t>（5）投标人投标所使用的资格、信誉、荣誉、业绩与企业认证必须为本法人（本负责人）所拥有。投标人投标所使用的采购项目实施人员必须为本法人（本负责人）员工（或必须为本法人（本负责人）或控股公司正式员工）。</w:t>
      </w:r>
    </w:p>
    <w:p>
      <w:pPr>
        <w:pStyle w:val="27"/>
        <w:snapToGrid w:val="0"/>
        <w:spacing w:line="400" w:lineRule="exact"/>
        <w:ind w:firstLine="420" w:firstLineChars="200"/>
        <w:rPr>
          <w:rFonts w:hAnsi="宋体"/>
          <w:color w:val="auto"/>
          <w:sz w:val="21"/>
          <w:szCs w:val="21"/>
          <w:highlight w:val="none"/>
        </w:rPr>
      </w:pPr>
      <w:r>
        <w:rPr>
          <w:rFonts w:hint="eastAsia" w:hAnsi="宋体"/>
          <w:color w:val="auto"/>
          <w:sz w:val="21"/>
          <w:szCs w:val="21"/>
          <w:highlight w:val="none"/>
        </w:rPr>
        <w:t>（6）投标人应仔细阅读招标文件的所有内容，按照招标文件的要求提交投标文件，并对所提供的全部资料的真实性承担法律责任。</w:t>
      </w:r>
    </w:p>
    <w:p>
      <w:pPr>
        <w:pStyle w:val="27"/>
        <w:snapToGrid w:val="0"/>
        <w:spacing w:line="400" w:lineRule="exact"/>
        <w:ind w:firstLine="420" w:firstLineChars="200"/>
        <w:rPr>
          <w:rFonts w:hAnsi="宋体"/>
          <w:b/>
          <w:color w:val="auto"/>
          <w:sz w:val="21"/>
          <w:szCs w:val="21"/>
          <w:highlight w:val="none"/>
        </w:rPr>
      </w:pPr>
      <w:r>
        <w:rPr>
          <w:rFonts w:hint="eastAsia" w:hAnsi="宋体"/>
          <w:color w:val="auto"/>
          <w:sz w:val="21"/>
          <w:szCs w:val="21"/>
          <w:highlight w:val="none"/>
        </w:rPr>
        <w:t>（7）投标人在投标活动中提供任何虚假材料，其投标无效，并报监管部门查处；中标后发现的，中标供应商须依照《中华人民共和国消费者权益保护法》第49条之规定双倍赔偿采购人，且民事赔偿并不免除违法投标人的行政与刑事责任。</w:t>
      </w:r>
    </w:p>
    <w:p>
      <w:pPr>
        <w:pStyle w:val="27"/>
        <w:spacing w:line="440" w:lineRule="exact"/>
        <w:ind w:left="242" w:hanging="242" w:hangingChars="101"/>
        <w:jc w:val="left"/>
        <w:rPr>
          <w:rFonts w:hAnsi="宋体"/>
          <w:bCs/>
          <w:color w:val="auto"/>
          <w:sz w:val="24"/>
          <w:szCs w:val="24"/>
          <w:highlight w:val="none"/>
        </w:rPr>
      </w:pPr>
      <w:r>
        <w:rPr>
          <w:rFonts w:hint="eastAsia" w:hAnsi="宋体"/>
          <w:bCs/>
          <w:color w:val="auto"/>
          <w:sz w:val="24"/>
          <w:szCs w:val="24"/>
          <w:highlight w:val="none"/>
        </w:rPr>
        <w:t>4. 质疑</w:t>
      </w:r>
    </w:p>
    <w:p>
      <w:pPr>
        <w:pStyle w:val="27"/>
        <w:spacing w:line="440" w:lineRule="exact"/>
        <w:ind w:left="2" w:firstLine="360"/>
        <w:jc w:val="left"/>
        <w:rPr>
          <w:rFonts w:hAnsi="宋体"/>
          <w:bCs/>
          <w:color w:val="auto"/>
          <w:sz w:val="21"/>
          <w:szCs w:val="21"/>
          <w:highlight w:val="none"/>
        </w:rPr>
      </w:pPr>
      <w:r>
        <w:rPr>
          <w:rFonts w:hint="eastAsia" w:hAnsi="宋体"/>
          <w:bCs/>
          <w:color w:val="auto"/>
          <w:sz w:val="21"/>
          <w:szCs w:val="21"/>
          <w:highlight w:val="none"/>
        </w:rPr>
        <w:t>4.1  投标人认为公开招标文件使自己的权益受到损害的，应当在公开招标文件发售</w:t>
      </w:r>
      <w:r>
        <w:rPr>
          <w:rFonts w:hint="eastAsia" w:hAnsi="宋体"/>
          <w:color w:val="auto"/>
          <w:sz w:val="21"/>
          <w:szCs w:val="21"/>
          <w:highlight w:val="none"/>
        </w:rPr>
        <w:t>之日起七个工作日内</w:t>
      </w:r>
      <w:r>
        <w:rPr>
          <w:rFonts w:hint="eastAsia" w:hAnsi="宋体"/>
          <w:bCs/>
          <w:color w:val="auto"/>
          <w:sz w:val="21"/>
          <w:szCs w:val="21"/>
          <w:highlight w:val="none"/>
        </w:rPr>
        <w:t>以书面形式向采购人委托的采购代理机构质疑；质疑提交截止时间后，采购代理机构不再受理对公开招标文件的质疑。投标人认为</w:t>
      </w:r>
      <w:r>
        <w:rPr>
          <w:rFonts w:hint="eastAsia" w:hAnsi="宋体"/>
          <w:color w:val="auto"/>
          <w:sz w:val="21"/>
          <w:szCs w:val="21"/>
          <w:highlight w:val="none"/>
        </w:rPr>
        <w:t>采购过程和中标、成交结果使自己的权益受到损害的，可</w:t>
      </w:r>
      <w:r>
        <w:rPr>
          <w:rFonts w:hint="eastAsia" w:hAnsi="宋体"/>
          <w:bCs/>
          <w:color w:val="auto"/>
          <w:sz w:val="21"/>
          <w:szCs w:val="21"/>
          <w:highlight w:val="none"/>
        </w:rPr>
        <w:t>以</w:t>
      </w:r>
      <w:r>
        <w:rPr>
          <w:rFonts w:hint="eastAsia" w:hAnsi="宋体"/>
          <w:color w:val="auto"/>
          <w:sz w:val="21"/>
          <w:szCs w:val="21"/>
          <w:highlight w:val="none"/>
        </w:rPr>
        <w:t>在知道或者应知其权益受到损害之日起七个工作日内，以书面形式向采购人委托的采购代理机构质疑。</w:t>
      </w:r>
    </w:p>
    <w:p>
      <w:pPr>
        <w:pStyle w:val="27"/>
        <w:spacing w:line="440" w:lineRule="exact"/>
        <w:ind w:left="2" w:firstLine="360"/>
        <w:jc w:val="left"/>
        <w:rPr>
          <w:rFonts w:hAnsi="宋体"/>
          <w:bCs/>
          <w:color w:val="auto"/>
          <w:sz w:val="21"/>
          <w:szCs w:val="21"/>
          <w:highlight w:val="none"/>
        </w:rPr>
      </w:pPr>
      <w:r>
        <w:rPr>
          <w:rFonts w:hint="eastAsia" w:hAnsi="宋体"/>
          <w:bCs/>
          <w:color w:val="auto"/>
          <w:sz w:val="21"/>
          <w:szCs w:val="21"/>
          <w:highlight w:val="none"/>
        </w:rPr>
        <w:t>4.2  供应商质疑实行实名制，其质疑应当有具体的质疑事项及事实根据，不得进行虚假、恶意质疑。</w:t>
      </w:r>
    </w:p>
    <w:p>
      <w:pPr>
        <w:pStyle w:val="27"/>
        <w:spacing w:line="440" w:lineRule="exact"/>
        <w:ind w:left="2" w:firstLine="360"/>
        <w:jc w:val="left"/>
        <w:rPr>
          <w:bCs/>
          <w:color w:val="auto"/>
          <w:sz w:val="21"/>
          <w:szCs w:val="21"/>
          <w:highlight w:val="none"/>
        </w:rPr>
      </w:pPr>
      <w:r>
        <w:rPr>
          <w:rFonts w:hint="eastAsia"/>
          <w:bCs/>
          <w:color w:val="auto"/>
          <w:sz w:val="21"/>
          <w:szCs w:val="21"/>
          <w:highlight w:val="none"/>
        </w:rPr>
        <w:t>4.3  供应商质疑时，应当提交质疑书原件，质疑书应当包括下列主要内容：</w:t>
      </w:r>
    </w:p>
    <w:p>
      <w:pPr>
        <w:pStyle w:val="27"/>
        <w:spacing w:line="440" w:lineRule="exact"/>
        <w:ind w:left="2" w:firstLine="718"/>
        <w:jc w:val="left"/>
        <w:rPr>
          <w:rFonts w:hAnsi="宋体"/>
          <w:color w:val="auto"/>
          <w:sz w:val="21"/>
          <w:szCs w:val="21"/>
          <w:highlight w:val="none"/>
        </w:rPr>
      </w:pPr>
      <w:r>
        <w:rPr>
          <w:rFonts w:hint="eastAsia"/>
          <w:color w:val="auto"/>
          <w:sz w:val="21"/>
          <w:szCs w:val="21"/>
          <w:highlight w:val="none"/>
        </w:rPr>
        <w:t>（1）</w:t>
      </w:r>
      <w:r>
        <w:rPr>
          <w:rFonts w:hint="eastAsia" w:hAnsi="宋体"/>
          <w:color w:val="auto"/>
          <w:sz w:val="21"/>
          <w:szCs w:val="21"/>
          <w:highlight w:val="none"/>
        </w:rPr>
        <w:t>质疑供应商和被质疑的采购人或采购人委托的采购代理机构名称、地址、电话、邮编等；</w:t>
      </w:r>
    </w:p>
    <w:p>
      <w:pPr>
        <w:pStyle w:val="27"/>
        <w:spacing w:line="440" w:lineRule="exact"/>
        <w:ind w:left="2" w:firstLine="718"/>
        <w:jc w:val="left"/>
        <w:rPr>
          <w:rFonts w:hAnsi="宋体"/>
          <w:color w:val="auto"/>
          <w:sz w:val="21"/>
          <w:szCs w:val="21"/>
          <w:highlight w:val="none"/>
        </w:rPr>
      </w:pPr>
      <w:r>
        <w:rPr>
          <w:rFonts w:hint="eastAsia" w:hAnsi="宋体"/>
          <w:color w:val="auto"/>
          <w:sz w:val="21"/>
          <w:szCs w:val="21"/>
          <w:highlight w:val="none"/>
        </w:rPr>
        <w:t>（2）质疑项目的名称、编号；</w:t>
      </w:r>
    </w:p>
    <w:p>
      <w:pPr>
        <w:pStyle w:val="27"/>
        <w:spacing w:line="440" w:lineRule="exact"/>
        <w:ind w:left="2" w:firstLine="718"/>
        <w:jc w:val="left"/>
        <w:rPr>
          <w:rFonts w:hAnsi="宋体"/>
          <w:color w:val="auto"/>
          <w:sz w:val="21"/>
          <w:szCs w:val="21"/>
          <w:highlight w:val="none"/>
        </w:rPr>
      </w:pPr>
      <w:r>
        <w:rPr>
          <w:rFonts w:hint="eastAsia" w:hAnsi="宋体"/>
          <w:color w:val="auto"/>
          <w:sz w:val="21"/>
          <w:szCs w:val="21"/>
          <w:highlight w:val="none"/>
        </w:rPr>
        <w:t>（3）权益受到损害的事实和理由；</w:t>
      </w:r>
    </w:p>
    <w:p>
      <w:pPr>
        <w:pStyle w:val="27"/>
        <w:spacing w:line="440" w:lineRule="exact"/>
        <w:ind w:left="2" w:firstLine="718"/>
        <w:jc w:val="left"/>
        <w:rPr>
          <w:rFonts w:hAnsi="宋体"/>
          <w:color w:val="auto"/>
          <w:sz w:val="21"/>
          <w:szCs w:val="21"/>
          <w:highlight w:val="none"/>
        </w:rPr>
      </w:pPr>
      <w:r>
        <w:rPr>
          <w:rFonts w:hint="eastAsia" w:hAnsi="宋体"/>
          <w:color w:val="auto"/>
          <w:sz w:val="21"/>
          <w:szCs w:val="21"/>
          <w:highlight w:val="none"/>
        </w:rPr>
        <w:t>（4）相关证明材料；</w:t>
      </w:r>
    </w:p>
    <w:p>
      <w:pPr>
        <w:pStyle w:val="27"/>
        <w:spacing w:line="440" w:lineRule="exact"/>
        <w:ind w:left="2" w:firstLine="718"/>
        <w:jc w:val="left"/>
        <w:rPr>
          <w:rFonts w:hAnsi="宋体"/>
          <w:color w:val="auto"/>
          <w:sz w:val="21"/>
          <w:szCs w:val="21"/>
          <w:highlight w:val="none"/>
        </w:rPr>
      </w:pPr>
      <w:r>
        <w:rPr>
          <w:rFonts w:hint="eastAsia" w:hAnsi="宋体"/>
          <w:color w:val="auto"/>
          <w:sz w:val="21"/>
          <w:szCs w:val="21"/>
          <w:highlight w:val="none"/>
        </w:rPr>
        <w:t>（5）提起质疑的日期。</w:t>
      </w:r>
    </w:p>
    <w:p>
      <w:pPr>
        <w:pStyle w:val="27"/>
        <w:spacing w:line="440" w:lineRule="exact"/>
        <w:ind w:left="2" w:firstLine="718"/>
        <w:jc w:val="left"/>
        <w:rPr>
          <w:rFonts w:hAnsi="宋体"/>
          <w:color w:val="auto"/>
          <w:sz w:val="21"/>
          <w:szCs w:val="21"/>
          <w:highlight w:val="none"/>
        </w:rPr>
      </w:pPr>
      <w:r>
        <w:rPr>
          <w:rFonts w:hint="eastAsia" w:hAnsi="宋体"/>
          <w:color w:val="auto"/>
          <w:sz w:val="21"/>
          <w:szCs w:val="21"/>
          <w:highlight w:val="none"/>
        </w:rPr>
        <w:t>（6）附件材料：营业执照副本内页复印件（要求证件有效并清晰反映企业法人经营范围）；近期连续三个月依法缴纳税收和在职职工社会保障资金证明材料（复印件，原件备查）。</w:t>
      </w:r>
    </w:p>
    <w:p>
      <w:pPr>
        <w:pStyle w:val="27"/>
        <w:spacing w:line="440" w:lineRule="exact"/>
        <w:rPr>
          <w:rFonts w:hAnsi="宋体"/>
          <w:color w:val="auto"/>
          <w:sz w:val="21"/>
          <w:szCs w:val="21"/>
          <w:highlight w:val="none"/>
        </w:rPr>
      </w:pPr>
      <w:r>
        <w:rPr>
          <w:rFonts w:hint="eastAsia" w:hAnsi="宋体"/>
          <w:color w:val="auto"/>
          <w:sz w:val="21"/>
          <w:szCs w:val="21"/>
          <w:highlight w:val="none"/>
        </w:rPr>
        <w:t xml:space="preserve">    质疑书应当署名。质疑供应商为自然人的，应当由本人签字；质疑供应商为法人或者其他组织的，应当由法定代表人或者主要负责人签字盖章并加盖公章。</w:t>
      </w:r>
    </w:p>
    <w:p>
      <w:pPr>
        <w:pStyle w:val="27"/>
        <w:spacing w:line="440" w:lineRule="exact"/>
        <w:ind w:left="2" w:firstLine="360"/>
        <w:rPr>
          <w:rFonts w:hAnsi="宋体"/>
          <w:bCs/>
          <w:color w:val="auto"/>
          <w:sz w:val="21"/>
          <w:szCs w:val="21"/>
          <w:highlight w:val="none"/>
        </w:rPr>
      </w:pPr>
      <w:r>
        <w:rPr>
          <w:rFonts w:hint="eastAsia" w:hAnsi="宋体"/>
          <w:bCs/>
          <w:color w:val="auto"/>
          <w:sz w:val="21"/>
          <w:szCs w:val="21"/>
          <w:highlight w:val="none"/>
        </w:rPr>
        <w:t>4.4  质疑供应商可以委托代理人办理质疑事务。委托代理人应为质疑供应商的正式员工并熟悉相关业务情况。代理人办理质疑事务时，除提交质疑书外，还应当提交质疑供应商的授权委托书，授权委托书应当载明委托代理的具体权限和事项；提交委托代理人身份证明复印件和近期三个月社保缴费证明复印件。</w:t>
      </w:r>
    </w:p>
    <w:p>
      <w:pPr>
        <w:pStyle w:val="27"/>
        <w:spacing w:line="440" w:lineRule="exact"/>
        <w:ind w:left="2" w:firstLine="360"/>
        <w:rPr>
          <w:rFonts w:hAnsi="宋体"/>
          <w:bCs/>
          <w:color w:val="auto"/>
          <w:sz w:val="21"/>
          <w:szCs w:val="21"/>
          <w:highlight w:val="none"/>
        </w:rPr>
      </w:pPr>
      <w:r>
        <w:rPr>
          <w:rFonts w:hint="eastAsia" w:hAnsi="宋体"/>
          <w:bCs/>
          <w:color w:val="auto"/>
          <w:sz w:val="21"/>
          <w:szCs w:val="21"/>
          <w:highlight w:val="none"/>
        </w:rPr>
        <w:t>4.5  质疑供应商提起质疑应当符合下列条件：</w:t>
      </w:r>
    </w:p>
    <w:p>
      <w:pPr>
        <w:spacing w:line="440" w:lineRule="exact"/>
        <w:ind w:firstLine="720"/>
        <w:rPr>
          <w:rFonts w:ascii="宋体" w:hAnsi="宋体"/>
          <w:bCs/>
          <w:color w:val="auto"/>
          <w:kern w:val="0"/>
          <w:szCs w:val="21"/>
          <w:highlight w:val="none"/>
        </w:rPr>
      </w:pPr>
      <w:r>
        <w:rPr>
          <w:rFonts w:hint="eastAsia" w:ascii="宋体" w:hAnsi="宋体"/>
          <w:bCs/>
          <w:color w:val="auto"/>
          <w:kern w:val="0"/>
          <w:szCs w:val="21"/>
          <w:highlight w:val="none"/>
        </w:rPr>
        <w:t>（1）质疑供应商是参与所质疑政府采购活动的供应商；</w:t>
      </w:r>
    </w:p>
    <w:p>
      <w:pPr>
        <w:spacing w:line="440" w:lineRule="exact"/>
        <w:ind w:firstLine="720"/>
        <w:rPr>
          <w:rFonts w:ascii="宋体" w:hAnsi="宋体"/>
          <w:bCs/>
          <w:color w:val="auto"/>
          <w:kern w:val="0"/>
          <w:szCs w:val="21"/>
          <w:highlight w:val="none"/>
        </w:rPr>
      </w:pPr>
      <w:r>
        <w:rPr>
          <w:rFonts w:hint="eastAsia" w:ascii="宋体" w:hAnsi="宋体"/>
          <w:bCs/>
          <w:color w:val="auto"/>
          <w:kern w:val="0"/>
          <w:szCs w:val="21"/>
          <w:highlight w:val="none"/>
        </w:rPr>
        <w:t>（2）质疑书内容符合本章第4.3项的规定；</w:t>
      </w:r>
    </w:p>
    <w:p>
      <w:pPr>
        <w:spacing w:line="440" w:lineRule="exact"/>
        <w:ind w:firstLine="720"/>
        <w:rPr>
          <w:rFonts w:ascii="宋体" w:hAnsi="宋体"/>
          <w:bCs/>
          <w:color w:val="auto"/>
          <w:kern w:val="0"/>
          <w:szCs w:val="21"/>
          <w:highlight w:val="none"/>
        </w:rPr>
      </w:pPr>
      <w:r>
        <w:rPr>
          <w:rFonts w:hint="eastAsia" w:ascii="宋体" w:hAnsi="宋体"/>
          <w:bCs/>
          <w:color w:val="auto"/>
          <w:kern w:val="0"/>
          <w:szCs w:val="21"/>
          <w:highlight w:val="none"/>
        </w:rPr>
        <w:t>（3）在质疑有效期限内提起质疑；</w:t>
      </w:r>
    </w:p>
    <w:p>
      <w:pPr>
        <w:spacing w:line="440" w:lineRule="exact"/>
        <w:ind w:firstLine="720"/>
        <w:rPr>
          <w:rFonts w:ascii="宋体" w:hAnsi="宋体"/>
          <w:bCs/>
          <w:color w:val="auto"/>
          <w:kern w:val="0"/>
          <w:szCs w:val="21"/>
          <w:highlight w:val="none"/>
        </w:rPr>
      </w:pPr>
      <w:r>
        <w:rPr>
          <w:rFonts w:hint="eastAsia" w:ascii="宋体" w:hAnsi="宋体"/>
          <w:bCs/>
          <w:color w:val="auto"/>
          <w:kern w:val="0"/>
          <w:szCs w:val="21"/>
          <w:highlight w:val="none"/>
        </w:rPr>
        <w:t>（4）属于所质疑的采购人或采购人委托的采购代理机构组织的采购活动；</w:t>
      </w:r>
    </w:p>
    <w:p>
      <w:pPr>
        <w:spacing w:line="440" w:lineRule="exact"/>
        <w:ind w:firstLine="720"/>
        <w:rPr>
          <w:rFonts w:ascii="宋体" w:hAnsi="宋体"/>
          <w:bCs/>
          <w:color w:val="auto"/>
          <w:kern w:val="0"/>
          <w:szCs w:val="21"/>
          <w:highlight w:val="none"/>
        </w:rPr>
      </w:pPr>
      <w:r>
        <w:rPr>
          <w:rFonts w:hint="eastAsia" w:ascii="宋体" w:hAnsi="宋体"/>
          <w:bCs/>
          <w:color w:val="auto"/>
          <w:kern w:val="0"/>
          <w:szCs w:val="21"/>
          <w:highlight w:val="none"/>
        </w:rPr>
        <w:t>（5）同一质疑事项未经采购人或采购人委托的采购代理机构质疑处理；</w:t>
      </w:r>
    </w:p>
    <w:p>
      <w:pPr>
        <w:spacing w:line="440" w:lineRule="exact"/>
        <w:ind w:firstLine="720"/>
        <w:rPr>
          <w:rFonts w:ascii="宋体" w:hAnsi="宋体"/>
          <w:bCs/>
          <w:color w:val="auto"/>
          <w:kern w:val="0"/>
          <w:szCs w:val="21"/>
          <w:highlight w:val="none"/>
        </w:rPr>
      </w:pPr>
      <w:r>
        <w:rPr>
          <w:rFonts w:hint="eastAsia" w:ascii="宋体" w:hAnsi="宋体"/>
          <w:bCs/>
          <w:color w:val="auto"/>
          <w:kern w:val="0"/>
          <w:szCs w:val="21"/>
          <w:highlight w:val="none"/>
        </w:rPr>
        <w:t>（6）财政部门规定的其他条件。</w:t>
      </w:r>
    </w:p>
    <w:p>
      <w:pPr>
        <w:spacing w:line="440" w:lineRule="exact"/>
        <w:ind w:firstLine="360"/>
        <w:rPr>
          <w:rFonts w:ascii="宋体" w:hAnsi="宋体"/>
          <w:color w:val="auto"/>
          <w:szCs w:val="21"/>
          <w:highlight w:val="none"/>
        </w:rPr>
      </w:pPr>
      <w:r>
        <w:rPr>
          <w:rFonts w:hint="eastAsia" w:ascii="宋体" w:hAnsi="宋体"/>
          <w:bCs/>
          <w:color w:val="auto"/>
          <w:kern w:val="0"/>
          <w:szCs w:val="21"/>
          <w:highlight w:val="none"/>
        </w:rPr>
        <w:t>4.6  采购人或采购人委托的采购代理机构自受理质疑之日起七个工作日内，对质疑事项作出答复，并以书面形式通知质疑供应商及其他有关供应商。</w:t>
      </w:r>
    </w:p>
    <w:p>
      <w:pPr>
        <w:pStyle w:val="27"/>
        <w:spacing w:line="440" w:lineRule="exact"/>
        <w:ind w:left="242" w:hanging="242" w:hangingChars="101"/>
        <w:jc w:val="left"/>
        <w:rPr>
          <w:rFonts w:hAnsi="宋体"/>
          <w:bCs/>
          <w:color w:val="auto"/>
          <w:sz w:val="24"/>
          <w:szCs w:val="24"/>
          <w:highlight w:val="none"/>
        </w:rPr>
      </w:pPr>
      <w:r>
        <w:rPr>
          <w:rFonts w:hint="eastAsia" w:hAnsi="宋体"/>
          <w:bCs/>
          <w:color w:val="auto"/>
          <w:sz w:val="24"/>
          <w:szCs w:val="24"/>
          <w:highlight w:val="none"/>
        </w:rPr>
        <w:t>5.  投诉</w:t>
      </w:r>
    </w:p>
    <w:p>
      <w:pPr>
        <w:pStyle w:val="27"/>
        <w:spacing w:line="440" w:lineRule="exact"/>
        <w:ind w:left="2" w:firstLine="357" w:firstLineChars="170"/>
        <w:jc w:val="left"/>
        <w:rPr>
          <w:rFonts w:hAnsi="宋体"/>
          <w:bCs/>
          <w:color w:val="auto"/>
          <w:sz w:val="21"/>
          <w:szCs w:val="21"/>
          <w:highlight w:val="none"/>
        </w:rPr>
      </w:pPr>
      <w:r>
        <w:rPr>
          <w:rFonts w:hint="eastAsia" w:hAnsi="宋体"/>
          <w:bCs/>
          <w:color w:val="auto"/>
          <w:sz w:val="21"/>
          <w:szCs w:val="21"/>
          <w:highlight w:val="none"/>
        </w:rPr>
        <w:t>5.1  供应商认为招标文件、采购过程、中标和成交结果使自己的合法权益受到损害的，应当首先依法向采购人或采购人委托的</w:t>
      </w:r>
      <w:r>
        <w:rPr>
          <w:rFonts w:hint="eastAsia" w:hAnsi="宋体"/>
          <w:color w:val="auto"/>
          <w:sz w:val="21"/>
          <w:szCs w:val="21"/>
          <w:highlight w:val="none"/>
        </w:rPr>
        <w:t>采购代理机构</w:t>
      </w:r>
      <w:r>
        <w:rPr>
          <w:rFonts w:hint="eastAsia" w:hAnsi="宋体"/>
          <w:bCs/>
          <w:color w:val="auto"/>
          <w:sz w:val="21"/>
          <w:szCs w:val="21"/>
          <w:highlight w:val="none"/>
        </w:rPr>
        <w:t>提出质疑。对采购人、</w:t>
      </w:r>
      <w:r>
        <w:rPr>
          <w:rFonts w:hint="eastAsia" w:hAnsi="宋体"/>
          <w:color w:val="auto"/>
          <w:sz w:val="21"/>
          <w:szCs w:val="21"/>
          <w:highlight w:val="none"/>
        </w:rPr>
        <w:t>采购代理机构</w:t>
      </w:r>
      <w:r>
        <w:rPr>
          <w:rFonts w:hint="eastAsia" w:hAnsi="宋体"/>
          <w:bCs/>
          <w:color w:val="auto"/>
          <w:sz w:val="21"/>
          <w:szCs w:val="21"/>
          <w:highlight w:val="none"/>
        </w:rPr>
        <w:t>的答复不满意，或者采购人、</w:t>
      </w:r>
      <w:r>
        <w:rPr>
          <w:rFonts w:hint="eastAsia" w:hAnsi="宋体"/>
          <w:color w:val="auto"/>
          <w:sz w:val="21"/>
          <w:szCs w:val="21"/>
          <w:highlight w:val="none"/>
        </w:rPr>
        <w:t>采购代理机构</w:t>
      </w:r>
      <w:r>
        <w:rPr>
          <w:rFonts w:hint="eastAsia" w:hAnsi="宋体"/>
          <w:bCs/>
          <w:color w:val="auto"/>
          <w:sz w:val="21"/>
          <w:szCs w:val="21"/>
          <w:highlight w:val="none"/>
        </w:rPr>
        <w:t>未在规定期限内做出答复的，供应商可以在答复期满后十五个工作日内向横县政府采购监督管理部门提起投诉。</w:t>
      </w:r>
    </w:p>
    <w:p>
      <w:pPr>
        <w:pStyle w:val="27"/>
        <w:spacing w:line="440" w:lineRule="exact"/>
        <w:ind w:left="2" w:firstLine="357" w:firstLineChars="170"/>
        <w:jc w:val="left"/>
        <w:rPr>
          <w:color w:val="auto"/>
          <w:sz w:val="21"/>
          <w:szCs w:val="21"/>
          <w:highlight w:val="none"/>
        </w:rPr>
      </w:pPr>
      <w:r>
        <w:rPr>
          <w:rFonts w:hint="eastAsia"/>
          <w:color w:val="auto"/>
          <w:sz w:val="21"/>
          <w:szCs w:val="21"/>
          <w:highlight w:val="none"/>
        </w:rPr>
        <w:t>5.2  投诉人投诉时，应当提交投诉书，并按照被投诉采购人、</w:t>
      </w:r>
      <w:r>
        <w:rPr>
          <w:rFonts w:hint="eastAsia" w:hAnsi="宋体"/>
          <w:color w:val="auto"/>
          <w:sz w:val="21"/>
          <w:szCs w:val="21"/>
          <w:highlight w:val="none"/>
        </w:rPr>
        <w:t>采购代理机构</w:t>
      </w:r>
      <w:r>
        <w:rPr>
          <w:rFonts w:hint="eastAsia"/>
          <w:color w:val="auto"/>
          <w:sz w:val="21"/>
          <w:szCs w:val="21"/>
          <w:highlight w:val="none"/>
        </w:rPr>
        <w:t>和与投诉事项有关的供应商数量提供投诉书的副本。投诉书应当包括下列主要内容（如材料中有外文资料应同时附上对应的中文译本）：</w:t>
      </w:r>
    </w:p>
    <w:p>
      <w:pPr>
        <w:pStyle w:val="27"/>
        <w:spacing w:line="440" w:lineRule="exact"/>
        <w:ind w:left="2" w:firstLine="716" w:firstLineChars="341"/>
        <w:jc w:val="left"/>
        <w:rPr>
          <w:color w:val="auto"/>
          <w:sz w:val="21"/>
          <w:szCs w:val="21"/>
          <w:highlight w:val="none"/>
        </w:rPr>
      </w:pPr>
      <w:r>
        <w:rPr>
          <w:rFonts w:hint="eastAsia" w:hAnsi="宋体"/>
          <w:color w:val="auto"/>
          <w:sz w:val="21"/>
          <w:szCs w:val="21"/>
          <w:highlight w:val="none"/>
        </w:rPr>
        <w:t xml:space="preserve">（1）投诉人和被投诉人的名称、地址、电话等； </w:t>
      </w:r>
    </w:p>
    <w:p>
      <w:pPr>
        <w:pStyle w:val="27"/>
        <w:spacing w:line="440" w:lineRule="exact"/>
        <w:ind w:left="2" w:firstLine="716" w:firstLineChars="341"/>
        <w:jc w:val="left"/>
        <w:rPr>
          <w:color w:val="auto"/>
          <w:sz w:val="21"/>
          <w:szCs w:val="21"/>
          <w:highlight w:val="none"/>
        </w:rPr>
      </w:pPr>
      <w:r>
        <w:rPr>
          <w:rFonts w:hint="eastAsia" w:hAnsi="宋体"/>
          <w:color w:val="auto"/>
          <w:sz w:val="21"/>
          <w:szCs w:val="21"/>
          <w:highlight w:val="none"/>
        </w:rPr>
        <w:t>（2）具体的投诉事项及事实依据；</w:t>
      </w:r>
    </w:p>
    <w:p>
      <w:pPr>
        <w:pStyle w:val="27"/>
        <w:spacing w:line="440" w:lineRule="exact"/>
        <w:ind w:left="2" w:firstLine="716" w:firstLineChars="341"/>
        <w:jc w:val="left"/>
        <w:rPr>
          <w:color w:val="auto"/>
          <w:sz w:val="21"/>
          <w:szCs w:val="21"/>
          <w:highlight w:val="none"/>
        </w:rPr>
      </w:pPr>
      <w:r>
        <w:rPr>
          <w:rFonts w:hint="eastAsia" w:hAnsi="宋体"/>
          <w:color w:val="auto"/>
          <w:sz w:val="21"/>
          <w:szCs w:val="21"/>
          <w:highlight w:val="none"/>
        </w:rPr>
        <w:t xml:space="preserve">（3）质疑和质疑答复情况及相关证明材料； </w:t>
      </w:r>
    </w:p>
    <w:p>
      <w:pPr>
        <w:pStyle w:val="27"/>
        <w:spacing w:line="440" w:lineRule="exact"/>
        <w:ind w:left="2" w:firstLine="716" w:firstLineChars="341"/>
        <w:jc w:val="left"/>
        <w:rPr>
          <w:color w:val="auto"/>
          <w:sz w:val="21"/>
          <w:szCs w:val="21"/>
          <w:highlight w:val="none"/>
        </w:rPr>
      </w:pPr>
      <w:r>
        <w:rPr>
          <w:rFonts w:hint="eastAsia" w:hAnsi="宋体"/>
          <w:color w:val="auto"/>
          <w:sz w:val="21"/>
          <w:szCs w:val="21"/>
          <w:highlight w:val="none"/>
        </w:rPr>
        <w:t>（4）提起投诉的日期。</w:t>
      </w:r>
    </w:p>
    <w:p>
      <w:pPr>
        <w:pStyle w:val="27"/>
        <w:spacing w:line="440" w:lineRule="exact"/>
        <w:rPr>
          <w:rFonts w:hAnsi="宋体"/>
          <w:color w:val="auto"/>
          <w:sz w:val="21"/>
          <w:szCs w:val="21"/>
          <w:highlight w:val="none"/>
        </w:rPr>
      </w:pPr>
      <w:r>
        <w:rPr>
          <w:rFonts w:hint="eastAsia" w:hAnsi="宋体"/>
          <w:color w:val="auto"/>
          <w:sz w:val="21"/>
          <w:szCs w:val="21"/>
          <w:highlight w:val="none"/>
        </w:rPr>
        <w:t xml:space="preserve">    投诉书应当署名。投诉人为自然人的，应当由本人签字；投诉人为法人或者其他组织的，应当由法定代表人或者主要负责人签字盖章并加盖公章。</w:t>
      </w:r>
    </w:p>
    <w:p>
      <w:pPr>
        <w:pStyle w:val="27"/>
        <w:spacing w:line="440" w:lineRule="exact"/>
        <w:ind w:firstLine="359" w:firstLineChars="171"/>
        <w:rPr>
          <w:color w:val="auto"/>
          <w:sz w:val="21"/>
          <w:szCs w:val="21"/>
          <w:highlight w:val="none"/>
        </w:rPr>
      </w:pPr>
      <w:r>
        <w:rPr>
          <w:rFonts w:hint="eastAsia"/>
          <w:color w:val="auto"/>
          <w:sz w:val="21"/>
          <w:szCs w:val="21"/>
          <w:highlight w:val="none"/>
        </w:rPr>
        <w:t>5.3  投诉人可以委托代理人办理投诉事务。代理人办理投诉事务时，除提交投诉书外，还应当提交投诉人的授权委托书，授权委托书应当载明委托代理的具体权限和事项。</w:t>
      </w:r>
    </w:p>
    <w:p>
      <w:pPr>
        <w:pStyle w:val="27"/>
        <w:spacing w:line="440" w:lineRule="exact"/>
        <w:ind w:firstLine="359" w:firstLineChars="171"/>
        <w:rPr>
          <w:rFonts w:hAnsi="宋体"/>
          <w:color w:val="auto"/>
          <w:sz w:val="21"/>
          <w:szCs w:val="21"/>
          <w:highlight w:val="none"/>
        </w:rPr>
      </w:pPr>
      <w:r>
        <w:rPr>
          <w:rFonts w:hint="eastAsia"/>
          <w:color w:val="auto"/>
          <w:sz w:val="21"/>
          <w:szCs w:val="21"/>
          <w:highlight w:val="none"/>
        </w:rPr>
        <w:t>5.4  投诉人提起投诉应当符合下列条件：</w:t>
      </w:r>
    </w:p>
    <w:p>
      <w:pPr>
        <w:spacing w:line="440" w:lineRule="exact"/>
        <w:ind w:firstLine="720"/>
        <w:rPr>
          <w:rFonts w:ascii="宋体" w:hAnsi="宋体"/>
          <w:color w:val="auto"/>
          <w:szCs w:val="21"/>
          <w:highlight w:val="none"/>
        </w:rPr>
      </w:pPr>
      <w:r>
        <w:rPr>
          <w:rFonts w:hint="eastAsia" w:ascii="宋体" w:hAnsi="宋体"/>
          <w:color w:val="auto"/>
          <w:szCs w:val="21"/>
          <w:highlight w:val="none"/>
        </w:rPr>
        <w:t>（1）投诉人是参与所投诉政府采购活动的供应商；</w:t>
      </w:r>
    </w:p>
    <w:p>
      <w:pPr>
        <w:spacing w:line="440" w:lineRule="exact"/>
        <w:ind w:firstLine="720"/>
        <w:rPr>
          <w:rFonts w:ascii="宋体" w:hAnsi="宋体"/>
          <w:color w:val="auto"/>
          <w:szCs w:val="21"/>
          <w:highlight w:val="none"/>
        </w:rPr>
      </w:pPr>
      <w:r>
        <w:rPr>
          <w:rFonts w:hint="eastAsia" w:ascii="宋体" w:hAnsi="宋体"/>
          <w:color w:val="auto"/>
          <w:szCs w:val="21"/>
          <w:highlight w:val="none"/>
        </w:rPr>
        <w:t>（2）提起投诉前已依法进行质疑；</w:t>
      </w:r>
    </w:p>
    <w:p>
      <w:pPr>
        <w:spacing w:line="440" w:lineRule="exact"/>
        <w:ind w:firstLine="720"/>
        <w:rPr>
          <w:rFonts w:ascii="宋体" w:hAnsi="宋体"/>
          <w:color w:val="auto"/>
          <w:szCs w:val="21"/>
          <w:highlight w:val="none"/>
        </w:rPr>
      </w:pPr>
      <w:r>
        <w:rPr>
          <w:rFonts w:hint="eastAsia" w:ascii="宋体" w:hAnsi="宋体"/>
          <w:color w:val="auto"/>
          <w:szCs w:val="21"/>
          <w:highlight w:val="none"/>
        </w:rPr>
        <w:t>（3）投诉书内容符合本章第5.2项的规定；</w:t>
      </w:r>
    </w:p>
    <w:p>
      <w:pPr>
        <w:spacing w:line="440" w:lineRule="exact"/>
        <w:ind w:firstLine="720"/>
        <w:rPr>
          <w:rFonts w:ascii="宋体" w:hAnsi="宋体"/>
          <w:color w:val="auto"/>
          <w:szCs w:val="21"/>
          <w:highlight w:val="none"/>
        </w:rPr>
      </w:pPr>
      <w:r>
        <w:rPr>
          <w:rFonts w:hint="eastAsia" w:ascii="宋体" w:hAnsi="宋体"/>
          <w:color w:val="auto"/>
          <w:szCs w:val="21"/>
          <w:highlight w:val="none"/>
        </w:rPr>
        <w:t>（4）在投诉有效期限内提起投诉；</w:t>
      </w:r>
    </w:p>
    <w:p>
      <w:pPr>
        <w:spacing w:line="440" w:lineRule="exact"/>
        <w:ind w:firstLine="720"/>
        <w:rPr>
          <w:rFonts w:ascii="宋体" w:hAnsi="宋体"/>
          <w:color w:val="auto"/>
          <w:szCs w:val="21"/>
          <w:highlight w:val="none"/>
        </w:rPr>
      </w:pPr>
      <w:r>
        <w:rPr>
          <w:rFonts w:hint="eastAsia" w:ascii="宋体" w:hAnsi="宋体"/>
          <w:color w:val="auto"/>
          <w:szCs w:val="21"/>
          <w:highlight w:val="none"/>
        </w:rPr>
        <w:t>（5）属于横县政府采购监督管理部门管辖；</w:t>
      </w:r>
    </w:p>
    <w:p>
      <w:pPr>
        <w:spacing w:line="440" w:lineRule="exact"/>
        <w:ind w:firstLine="720"/>
        <w:rPr>
          <w:rFonts w:ascii="宋体" w:hAnsi="宋体"/>
          <w:color w:val="auto"/>
          <w:szCs w:val="21"/>
          <w:highlight w:val="none"/>
        </w:rPr>
      </w:pPr>
      <w:r>
        <w:rPr>
          <w:rFonts w:hint="eastAsia" w:ascii="宋体" w:hAnsi="宋体"/>
          <w:color w:val="auto"/>
          <w:szCs w:val="21"/>
          <w:highlight w:val="none"/>
        </w:rPr>
        <w:t>（6）同一投诉事项未经</w:t>
      </w:r>
      <w:r>
        <w:rPr>
          <w:rFonts w:hint="eastAsia" w:ascii="宋体" w:hAnsi="宋体"/>
          <w:bCs/>
          <w:color w:val="auto"/>
          <w:szCs w:val="21"/>
          <w:highlight w:val="none"/>
        </w:rPr>
        <w:t>横县政府采购监督管理部门</w:t>
      </w:r>
      <w:r>
        <w:rPr>
          <w:rFonts w:hint="eastAsia" w:ascii="宋体" w:hAnsi="宋体"/>
          <w:color w:val="auto"/>
          <w:szCs w:val="21"/>
          <w:highlight w:val="none"/>
        </w:rPr>
        <w:t>投诉处理；</w:t>
      </w:r>
    </w:p>
    <w:p>
      <w:pPr>
        <w:spacing w:line="440" w:lineRule="exact"/>
        <w:ind w:firstLine="720"/>
        <w:rPr>
          <w:rFonts w:ascii="宋体"/>
          <w:color w:val="auto"/>
          <w:szCs w:val="21"/>
          <w:highlight w:val="none"/>
        </w:rPr>
      </w:pPr>
      <w:r>
        <w:rPr>
          <w:rFonts w:hint="eastAsia" w:ascii="宋体"/>
          <w:color w:val="auto"/>
          <w:szCs w:val="21"/>
          <w:highlight w:val="none"/>
        </w:rPr>
        <w:t>（7）国务院财政部门规定的其他条件。</w:t>
      </w:r>
    </w:p>
    <w:p>
      <w:pPr>
        <w:spacing w:line="440" w:lineRule="exact"/>
        <w:ind w:firstLine="360"/>
        <w:rPr>
          <w:rFonts w:ascii="宋体" w:hAnsi="Courier New"/>
          <w:color w:val="auto"/>
          <w:kern w:val="0"/>
          <w:szCs w:val="21"/>
          <w:highlight w:val="none"/>
        </w:rPr>
      </w:pPr>
      <w:r>
        <w:rPr>
          <w:rFonts w:hint="eastAsia" w:ascii="宋体" w:hAnsi="Courier New"/>
          <w:color w:val="auto"/>
          <w:kern w:val="0"/>
          <w:szCs w:val="21"/>
          <w:highlight w:val="none"/>
        </w:rPr>
        <w:t>5.5  横县政府采购监督管理部门自受理投诉之日起三十个工作日内，对投诉事项作出处理决定，并以书面形式通知投诉人、被投诉人及其他与投诉处理结果有利害关系的政府采购当事人。</w:t>
      </w:r>
    </w:p>
    <w:p>
      <w:pPr>
        <w:spacing w:line="440" w:lineRule="exact"/>
        <w:ind w:firstLine="360"/>
        <w:rPr>
          <w:rFonts w:ascii="宋体" w:hAnsi="Courier New"/>
          <w:color w:val="auto"/>
          <w:kern w:val="0"/>
          <w:szCs w:val="21"/>
          <w:highlight w:val="none"/>
        </w:rPr>
      </w:pPr>
      <w:r>
        <w:rPr>
          <w:rFonts w:hint="eastAsia" w:ascii="宋体" w:hAnsi="Courier New"/>
          <w:color w:val="auto"/>
          <w:kern w:val="0"/>
          <w:szCs w:val="21"/>
          <w:highlight w:val="none"/>
        </w:rPr>
        <w:t>5.6  横县政府采购监督管理部门在处理投诉事项期间，可以视具体情况暂停采购活动。</w:t>
      </w:r>
    </w:p>
    <w:p>
      <w:pPr>
        <w:pStyle w:val="27"/>
        <w:spacing w:line="440" w:lineRule="exact"/>
        <w:rPr>
          <w:rFonts w:hAnsi="宋体"/>
          <w:bCs/>
          <w:color w:val="auto"/>
          <w:highlight w:val="none"/>
        </w:rPr>
      </w:pPr>
    </w:p>
    <w:p>
      <w:pPr>
        <w:pStyle w:val="27"/>
        <w:jc w:val="center"/>
        <w:rPr>
          <w:rFonts w:ascii="Times New Roman" w:hAnsi="Times New Roman"/>
          <w:b/>
          <w:color w:val="auto"/>
          <w:sz w:val="30"/>
          <w:szCs w:val="30"/>
          <w:highlight w:val="none"/>
        </w:rPr>
      </w:pPr>
      <w:bookmarkStart w:id="60" w:name="_Toc531285731"/>
      <w:r>
        <w:rPr>
          <w:rFonts w:hint="eastAsia" w:ascii="Times New Roman" w:hAnsi="Times New Roman"/>
          <w:b/>
          <w:color w:val="auto"/>
          <w:sz w:val="30"/>
          <w:szCs w:val="30"/>
          <w:highlight w:val="none"/>
        </w:rPr>
        <w:t>二    公开招标文件</w:t>
      </w:r>
      <w:bookmarkEnd w:id="60"/>
    </w:p>
    <w:p>
      <w:pPr>
        <w:pStyle w:val="27"/>
        <w:spacing w:line="440" w:lineRule="exact"/>
        <w:rPr>
          <w:rFonts w:hAnsi="宋体"/>
          <w:bCs/>
          <w:color w:val="auto"/>
          <w:highlight w:val="none"/>
        </w:rPr>
      </w:pPr>
      <w:r>
        <w:rPr>
          <w:rFonts w:hint="eastAsia" w:hAnsi="宋体"/>
          <w:bCs/>
          <w:color w:val="auto"/>
          <w:sz w:val="24"/>
          <w:highlight w:val="none"/>
        </w:rPr>
        <w:t>6.  公开招标文件的组成</w:t>
      </w:r>
    </w:p>
    <w:p>
      <w:pPr>
        <w:pStyle w:val="27"/>
        <w:spacing w:line="440" w:lineRule="exact"/>
        <w:ind w:firstLine="359" w:firstLineChars="171"/>
        <w:rPr>
          <w:rFonts w:hAnsi="宋体"/>
          <w:color w:val="auto"/>
          <w:sz w:val="21"/>
          <w:szCs w:val="21"/>
          <w:highlight w:val="none"/>
        </w:rPr>
      </w:pPr>
      <w:r>
        <w:rPr>
          <w:rFonts w:hint="eastAsia" w:hAnsi="宋体"/>
          <w:color w:val="auto"/>
          <w:sz w:val="21"/>
          <w:szCs w:val="21"/>
          <w:highlight w:val="none"/>
        </w:rPr>
        <w:t>6.1  本</w:t>
      </w:r>
      <w:r>
        <w:rPr>
          <w:rFonts w:hint="eastAsia" w:hAnsi="宋体"/>
          <w:bCs/>
          <w:color w:val="auto"/>
          <w:sz w:val="21"/>
          <w:szCs w:val="21"/>
          <w:highlight w:val="none"/>
        </w:rPr>
        <w:t>公开招标</w:t>
      </w:r>
      <w:r>
        <w:rPr>
          <w:rFonts w:hint="eastAsia" w:hAnsi="宋体"/>
          <w:color w:val="auto"/>
          <w:sz w:val="21"/>
          <w:szCs w:val="21"/>
          <w:highlight w:val="none"/>
        </w:rPr>
        <w:t>文件包括六个章节，各章的内容如下：</w:t>
      </w:r>
    </w:p>
    <w:p>
      <w:pPr>
        <w:pStyle w:val="27"/>
        <w:spacing w:line="440" w:lineRule="exact"/>
        <w:ind w:firstLine="718" w:firstLineChars="342"/>
        <w:rPr>
          <w:rFonts w:hAnsi="宋体"/>
          <w:color w:val="auto"/>
          <w:sz w:val="21"/>
          <w:szCs w:val="21"/>
          <w:highlight w:val="none"/>
        </w:rPr>
      </w:pPr>
      <w:r>
        <w:rPr>
          <w:rFonts w:hint="eastAsia" w:hAnsi="宋体"/>
          <w:color w:val="auto"/>
          <w:sz w:val="21"/>
          <w:szCs w:val="21"/>
          <w:highlight w:val="none"/>
        </w:rPr>
        <w:t>第一章  公告</w:t>
      </w:r>
    </w:p>
    <w:p>
      <w:pPr>
        <w:pStyle w:val="27"/>
        <w:spacing w:line="440" w:lineRule="exact"/>
        <w:ind w:firstLine="718" w:firstLineChars="342"/>
        <w:rPr>
          <w:rFonts w:hAnsi="宋体"/>
          <w:color w:val="auto"/>
          <w:sz w:val="21"/>
          <w:szCs w:val="21"/>
          <w:highlight w:val="none"/>
        </w:rPr>
      </w:pPr>
      <w:r>
        <w:rPr>
          <w:rFonts w:hint="eastAsia" w:hAnsi="宋体"/>
          <w:color w:val="auto"/>
          <w:sz w:val="21"/>
          <w:szCs w:val="21"/>
          <w:highlight w:val="none"/>
        </w:rPr>
        <w:t>第二章  货物需求一览表</w:t>
      </w:r>
    </w:p>
    <w:p>
      <w:pPr>
        <w:pStyle w:val="27"/>
        <w:spacing w:line="440" w:lineRule="exact"/>
        <w:ind w:firstLine="718" w:firstLineChars="342"/>
        <w:rPr>
          <w:rFonts w:hAnsi="宋体"/>
          <w:color w:val="auto"/>
          <w:sz w:val="21"/>
          <w:szCs w:val="21"/>
          <w:highlight w:val="none"/>
        </w:rPr>
      </w:pPr>
      <w:r>
        <w:rPr>
          <w:rFonts w:hint="eastAsia" w:hAnsi="宋体"/>
          <w:color w:val="auto"/>
          <w:sz w:val="21"/>
          <w:szCs w:val="21"/>
          <w:highlight w:val="none"/>
        </w:rPr>
        <w:t>第三章  评标方法</w:t>
      </w:r>
    </w:p>
    <w:p>
      <w:pPr>
        <w:pStyle w:val="27"/>
        <w:spacing w:line="440" w:lineRule="exact"/>
        <w:ind w:firstLine="718" w:firstLineChars="342"/>
        <w:rPr>
          <w:rFonts w:hAnsi="宋体"/>
          <w:color w:val="auto"/>
          <w:sz w:val="21"/>
          <w:szCs w:val="21"/>
          <w:highlight w:val="none"/>
        </w:rPr>
      </w:pPr>
      <w:r>
        <w:rPr>
          <w:rFonts w:hint="eastAsia" w:hAnsi="宋体"/>
          <w:color w:val="auto"/>
          <w:sz w:val="21"/>
          <w:szCs w:val="21"/>
          <w:highlight w:val="none"/>
        </w:rPr>
        <w:t>第四章  投标人须知</w:t>
      </w:r>
    </w:p>
    <w:p>
      <w:pPr>
        <w:pStyle w:val="27"/>
        <w:spacing w:line="440" w:lineRule="exact"/>
        <w:ind w:firstLine="718" w:firstLineChars="342"/>
        <w:rPr>
          <w:rFonts w:hAnsi="宋体"/>
          <w:color w:val="auto"/>
          <w:sz w:val="21"/>
          <w:szCs w:val="21"/>
          <w:highlight w:val="none"/>
        </w:rPr>
      </w:pPr>
      <w:r>
        <w:rPr>
          <w:rFonts w:hint="eastAsia" w:hAnsi="宋体"/>
          <w:color w:val="auto"/>
          <w:sz w:val="21"/>
          <w:szCs w:val="21"/>
          <w:highlight w:val="none"/>
        </w:rPr>
        <w:t>第五章  投标文件格式</w:t>
      </w:r>
    </w:p>
    <w:p>
      <w:pPr>
        <w:pStyle w:val="27"/>
        <w:spacing w:line="440" w:lineRule="exact"/>
        <w:ind w:firstLine="718" w:firstLineChars="342"/>
        <w:rPr>
          <w:rFonts w:hAnsi="宋体"/>
          <w:color w:val="auto"/>
          <w:sz w:val="21"/>
          <w:szCs w:val="21"/>
          <w:highlight w:val="none"/>
        </w:rPr>
      </w:pPr>
      <w:r>
        <w:rPr>
          <w:rFonts w:hint="eastAsia" w:hAnsi="宋体"/>
          <w:color w:val="auto"/>
          <w:sz w:val="21"/>
          <w:szCs w:val="21"/>
          <w:highlight w:val="none"/>
        </w:rPr>
        <w:t>第六章  合同条款及格式</w:t>
      </w:r>
    </w:p>
    <w:p>
      <w:pPr>
        <w:pStyle w:val="27"/>
        <w:spacing w:line="440" w:lineRule="exact"/>
        <w:ind w:firstLine="359" w:firstLineChars="171"/>
        <w:rPr>
          <w:rFonts w:hAnsi="宋体"/>
          <w:color w:val="auto"/>
          <w:sz w:val="21"/>
          <w:szCs w:val="21"/>
          <w:highlight w:val="none"/>
        </w:rPr>
      </w:pPr>
      <w:r>
        <w:rPr>
          <w:rFonts w:hint="eastAsia" w:hAnsi="宋体"/>
          <w:color w:val="auto"/>
          <w:sz w:val="21"/>
          <w:szCs w:val="21"/>
          <w:highlight w:val="none"/>
        </w:rPr>
        <w:t>6.2根据本章第7.1项的规定对公开招标文件所做的澄清、修改，构成招标文件的组成部分。当公开招标文件与招标文件的澄清和修改就同一内容的表述不一致时，以最后发出的书面文件为准。</w:t>
      </w:r>
    </w:p>
    <w:p>
      <w:pPr>
        <w:pStyle w:val="27"/>
        <w:spacing w:line="440" w:lineRule="exact"/>
        <w:rPr>
          <w:rFonts w:hAnsi="宋体"/>
          <w:bCs/>
          <w:color w:val="auto"/>
          <w:sz w:val="24"/>
          <w:highlight w:val="none"/>
        </w:rPr>
      </w:pPr>
      <w:r>
        <w:rPr>
          <w:rFonts w:hint="eastAsia" w:hAnsi="宋体"/>
          <w:bCs/>
          <w:color w:val="auto"/>
          <w:sz w:val="24"/>
          <w:highlight w:val="none"/>
        </w:rPr>
        <w:t>7.  招标文件的澄清和修改</w:t>
      </w:r>
    </w:p>
    <w:p>
      <w:pPr>
        <w:pStyle w:val="27"/>
        <w:spacing w:after="165" w:line="440" w:lineRule="exact"/>
        <w:ind w:left="2" w:firstLine="480"/>
        <w:rPr>
          <w:rFonts w:hAnsi="宋体"/>
          <w:color w:val="auto"/>
          <w:sz w:val="21"/>
          <w:szCs w:val="21"/>
          <w:highlight w:val="none"/>
        </w:rPr>
      </w:pPr>
      <w:r>
        <w:rPr>
          <w:rFonts w:hint="eastAsia" w:hAnsi="宋体"/>
          <w:color w:val="auto"/>
          <w:sz w:val="21"/>
          <w:szCs w:val="21"/>
          <w:highlight w:val="none"/>
        </w:rPr>
        <w:t>7.1  投标人应认真审阅本公开招标文件，如有疑问，或发现其中有误或有要求不合理的，应在投标人须知前附表规定的</w:t>
      </w:r>
      <w:r>
        <w:rPr>
          <w:rFonts w:hint="eastAsia" w:cs="宋体"/>
          <w:color w:val="auto"/>
          <w:sz w:val="21"/>
          <w:szCs w:val="21"/>
          <w:highlight w:val="none"/>
        </w:rPr>
        <w:t>投标人要求澄清的截止时间</w:t>
      </w:r>
      <w:r>
        <w:rPr>
          <w:rFonts w:hint="eastAsia" w:hAnsi="宋体"/>
          <w:color w:val="auto"/>
          <w:sz w:val="21"/>
          <w:szCs w:val="21"/>
          <w:highlight w:val="none"/>
        </w:rPr>
        <w:t>前以书面形式要求采购人或采购代理机构对招标文件予以澄清；否则，由此产生的后果由投标人自行负责。</w:t>
      </w:r>
    </w:p>
    <w:p>
      <w:pPr>
        <w:pStyle w:val="27"/>
        <w:spacing w:after="165" w:line="440" w:lineRule="exact"/>
        <w:ind w:left="2" w:firstLine="480"/>
        <w:rPr>
          <w:rFonts w:hAnsi="宋体"/>
          <w:color w:val="auto"/>
          <w:sz w:val="21"/>
          <w:szCs w:val="21"/>
          <w:highlight w:val="none"/>
        </w:rPr>
      </w:pPr>
      <w:r>
        <w:rPr>
          <w:rFonts w:hint="eastAsia" w:hAnsi="宋体"/>
          <w:color w:val="auto"/>
          <w:sz w:val="21"/>
          <w:szCs w:val="21"/>
          <w:highlight w:val="none"/>
        </w:rPr>
        <w:t>7.2  采购人或采购代理机构必须在投标截止时间十五日前，以书面形式答复投标人要求澄清的问题，并将不包含问题来源的澄清通知所有招标文件收受人，除书面澄清以外的其他澄清方式及澄清内容均无效；</w:t>
      </w:r>
      <w:r>
        <w:rPr>
          <w:rFonts w:hint="eastAsia" w:cs="宋体"/>
          <w:color w:val="auto"/>
          <w:sz w:val="21"/>
          <w:szCs w:val="21"/>
          <w:highlight w:val="none"/>
        </w:rPr>
        <w:t>同时，采购代理机构</w:t>
      </w:r>
      <w:r>
        <w:rPr>
          <w:rFonts w:hint="eastAsia"/>
          <w:color w:val="auto"/>
          <w:sz w:val="21"/>
          <w:szCs w:val="21"/>
          <w:highlight w:val="none"/>
        </w:rPr>
        <w:t>在</w:t>
      </w:r>
      <w:r>
        <w:rPr>
          <w:rFonts w:hint="eastAsia" w:cs="宋体"/>
          <w:color w:val="auto"/>
          <w:sz w:val="21"/>
          <w:szCs w:val="21"/>
          <w:highlight w:val="none"/>
        </w:rPr>
        <w:t>本章第2.1项规定的政府采购信息发布媒体上</w:t>
      </w:r>
      <w:r>
        <w:rPr>
          <w:rFonts w:hint="eastAsia"/>
          <w:color w:val="auto"/>
          <w:sz w:val="21"/>
          <w:szCs w:val="21"/>
          <w:highlight w:val="none"/>
        </w:rPr>
        <w:t>发布更正公告。如果澄清发出的时间距投标截止时间不足十五日，则相应延长投标截止时间。</w:t>
      </w:r>
    </w:p>
    <w:p>
      <w:pPr>
        <w:pStyle w:val="27"/>
        <w:spacing w:after="165" w:line="440" w:lineRule="exact"/>
        <w:ind w:left="2" w:firstLine="480"/>
        <w:rPr>
          <w:color w:val="auto"/>
          <w:sz w:val="21"/>
          <w:szCs w:val="21"/>
          <w:highlight w:val="none"/>
        </w:rPr>
      </w:pPr>
      <w:r>
        <w:rPr>
          <w:rFonts w:hint="eastAsia" w:hAnsi="宋体"/>
          <w:color w:val="auto"/>
          <w:sz w:val="21"/>
          <w:szCs w:val="21"/>
          <w:highlight w:val="none"/>
        </w:rPr>
        <w:t>7.3  采购人或采购代理机构</w:t>
      </w:r>
      <w:r>
        <w:rPr>
          <w:rFonts w:hint="eastAsia"/>
          <w:color w:val="auto"/>
          <w:sz w:val="21"/>
          <w:szCs w:val="21"/>
          <w:highlight w:val="none"/>
        </w:rPr>
        <w:t>对已发出的招标文件进行必要修改的，应在投标截止时间十五日前，以书面形式通知所有招标文件收受人；同时，采购代理机构在</w:t>
      </w:r>
      <w:r>
        <w:rPr>
          <w:rFonts w:hint="eastAsia" w:cs="宋体"/>
          <w:color w:val="auto"/>
          <w:sz w:val="21"/>
          <w:szCs w:val="21"/>
          <w:highlight w:val="none"/>
        </w:rPr>
        <w:t>本章第2.1项规定的政府采购信息发布媒体上</w:t>
      </w:r>
      <w:r>
        <w:rPr>
          <w:rFonts w:hint="eastAsia"/>
          <w:color w:val="auto"/>
          <w:sz w:val="21"/>
          <w:szCs w:val="21"/>
          <w:highlight w:val="none"/>
        </w:rPr>
        <w:t>发布更正公告。如果修改招标文件的时间距投标截止时间不足十五日，则相应延长投标截止时间。</w:t>
      </w:r>
    </w:p>
    <w:p>
      <w:pPr>
        <w:pStyle w:val="27"/>
        <w:spacing w:line="440" w:lineRule="exact"/>
        <w:ind w:left="2" w:firstLine="360"/>
        <w:rPr>
          <w:color w:val="auto"/>
          <w:sz w:val="21"/>
          <w:szCs w:val="21"/>
          <w:highlight w:val="none"/>
        </w:rPr>
      </w:pPr>
      <w:r>
        <w:rPr>
          <w:rFonts w:hint="eastAsia" w:hAnsi="宋体"/>
          <w:color w:val="auto"/>
          <w:sz w:val="21"/>
          <w:szCs w:val="21"/>
          <w:highlight w:val="none"/>
        </w:rPr>
        <w:t xml:space="preserve">7.4  </w:t>
      </w:r>
      <w:r>
        <w:rPr>
          <w:rFonts w:hint="eastAsia"/>
          <w:color w:val="auto"/>
          <w:sz w:val="21"/>
          <w:szCs w:val="21"/>
          <w:highlight w:val="none"/>
        </w:rPr>
        <w:t>采购人和采购代理机构可以视采购具体情况，延长投标截止时间和开标时间，但至少应当在投标截止时间三日前，将变更时间书面通知所有招标文件收受人。</w:t>
      </w:r>
      <w:r>
        <w:rPr>
          <w:rFonts w:hint="eastAsia" w:cs="宋体"/>
          <w:color w:val="auto"/>
          <w:sz w:val="21"/>
          <w:szCs w:val="21"/>
          <w:highlight w:val="none"/>
        </w:rPr>
        <w:t>同时，采购代理机构</w:t>
      </w:r>
      <w:r>
        <w:rPr>
          <w:rFonts w:hint="eastAsia"/>
          <w:color w:val="auto"/>
          <w:sz w:val="21"/>
          <w:szCs w:val="21"/>
          <w:highlight w:val="none"/>
        </w:rPr>
        <w:t>在</w:t>
      </w:r>
      <w:r>
        <w:rPr>
          <w:rFonts w:hint="eastAsia" w:cs="宋体"/>
          <w:color w:val="auto"/>
          <w:sz w:val="21"/>
          <w:szCs w:val="21"/>
          <w:highlight w:val="none"/>
        </w:rPr>
        <w:t>本章第2.1项规定的政府采购信息发布媒体上</w:t>
      </w:r>
      <w:r>
        <w:rPr>
          <w:rFonts w:hint="eastAsia"/>
          <w:color w:val="auto"/>
          <w:sz w:val="21"/>
          <w:szCs w:val="21"/>
          <w:highlight w:val="none"/>
        </w:rPr>
        <w:t>发布变更公告。</w:t>
      </w:r>
    </w:p>
    <w:p>
      <w:pPr>
        <w:pStyle w:val="27"/>
        <w:spacing w:line="440" w:lineRule="exact"/>
        <w:ind w:left="2" w:firstLine="360"/>
        <w:rPr>
          <w:rFonts w:hAnsi="宋体"/>
          <w:b/>
          <w:bCs/>
          <w:color w:val="auto"/>
          <w:highlight w:val="none"/>
        </w:rPr>
      </w:pPr>
    </w:p>
    <w:p>
      <w:pPr>
        <w:pStyle w:val="27"/>
        <w:jc w:val="center"/>
        <w:rPr>
          <w:rFonts w:ascii="Times New Roman" w:hAnsi="Times New Roman"/>
          <w:b/>
          <w:color w:val="auto"/>
          <w:sz w:val="30"/>
          <w:szCs w:val="30"/>
          <w:highlight w:val="none"/>
        </w:rPr>
      </w:pPr>
      <w:bookmarkStart w:id="61" w:name="_Toc531285732"/>
      <w:r>
        <w:rPr>
          <w:rFonts w:hint="eastAsia" w:ascii="Times New Roman" w:hAnsi="Times New Roman"/>
          <w:b/>
          <w:color w:val="auto"/>
          <w:sz w:val="30"/>
          <w:szCs w:val="30"/>
          <w:highlight w:val="none"/>
        </w:rPr>
        <w:t>三    投标文件</w:t>
      </w:r>
      <w:bookmarkEnd w:id="61"/>
    </w:p>
    <w:p>
      <w:pPr>
        <w:pStyle w:val="27"/>
        <w:spacing w:line="440" w:lineRule="exact"/>
        <w:rPr>
          <w:rFonts w:hAnsi="宋体"/>
          <w:bCs/>
          <w:color w:val="auto"/>
          <w:sz w:val="24"/>
          <w:highlight w:val="none"/>
        </w:rPr>
      </w:pPr>
      <w:r>
        <w:rPr>
          <w:rFonts w:hint="eastAsia" w:hAnsi="宋体"/>
          <w:bCs/>
          <w:color w:val="auto"/>
          <w:sz w:val="24"/>
          <w:highlight w:val="none"/>
        </w:rPr>
        <w:t>8.  投标文件的编制</w:t>
      </w:r>
    </w:p>
    <w:p>
      <w:pPr>
        <w:pStyle w:val="27"/>
        <w:spacing w:line="440" w:lineRule="exact"/>
        <w:ind w:left="2" w:firstLine="360"/>
        <w:rPr>
          <w:rFonts w:hAnsi="宋体"/>
          <w:color w:val="auto"/>
          <w:sz w:val="21"/>
          <w:szCs w:val="21"/>
          <w:highlight w:val="none"/>
        </w:rPr>
      </w:pPr>
      <w:r>
        <w:rPr>
          <w:rFonts w:hint="eastAsia" w:hAnsi="宋体"/>
          <w:color w:val="auto"/>
          <w:sz w:val="21"/>
          <w:szCs w:val="21"/>
          <w:highlight w:val="none"/>
        </w:rPr>
        <w:t>8.1  投标人应仔细阅读招标文件，在充分了解招标的内容、技术参数要求和商务条款以及实质性要求和条件后，编写投标文件。</w:t>
      </w:r>
    </w:p>
    <w:p>
      <w:pPr>
        <w:pStyle w:val="27"/>
        <w:spacing w:line="440" w:lineRule="exact"/>
        <w:ind w:left="2" w:firstLine="360"/>
        <w:rPr>
          <w:rFonts w:hAnsi="宋体"/>
          <w:color w:val="auto"/>
          <w:sz w:val="21"/>
          <w:szCs w:val="21"/>
          <w:highlight w:val="none"/>
        </w:rPr>
      </w:pPr>
      <w:r>
        <w:rPr>
          <w:rFonts w:hint="eastAsia" w:hAnsi="宋体"/>
          <w:color w:val="auto"/>
          <w:sz w:val="21"/>
          <w:szCs w:val="21"/>
          <w:highlight w:val="none"/>
        </w:rPr>
        <w:t>8.2  对招标文件的实质性要求和条件作出响应是指投标人必须对招标文件中标注为实质性要求和条件的技术参数要求、商务条款及其它内容</w:t>
      </w:r>
      <w:r>
        <w:rPr>
          <w:rFonts w:hint="eastAsia"/>
          <w:b/>
          <w:color w:val="auto"/>
          <w:sz w:val="21"/>
          <w:szCs w:val="21"/>
          <w:highlight w:val="none"/>
        </w:rPr>
        <w:t>作出满足或者优于原要求和条件的承诺</w:t>
      </w:r>
      <w:r>
        <w:rPr>
          <w:rFonts w:hint="eastAsia"/>
          <w:color w:val="auto"/>
          <w:sz w:val="21"/>
          <w:szCs w:val="21"/>
          <w:highlight w:val="none"/>
        </w:rPr>
        <w:t>。</w:t>
      </w:r>
    </w:p>
    <w:p>
      <w:pPr>
        <w:pStyle w:val="27"/>
        <w:spacing w:line="440" w:lineRule="exact"/>
        <w:ind w:left="2" w:firstLine="360"/>
        <w:rPr>
          <w:color w:val="auto"/>
          <w:sz w:val="21"/>
          <w:szCs w:val="21"/>
          <w:highlight w:val="none"/>
        </w:rPr>
      </w:pPr>
      <w:r>
        <w:rPr>
          <w:rFonts w:hint="eastAsia" w:hAnsi="宋体"/>
          <w:color w:val="auto"/>
          <w:sz w:val="21"/>
          <w:szCs w:val="21"/>
          <w:highlight w:val="none"/>
        </w:rPr>
        <w:t xml:space="preserve">8.3  </w:t>
      </w:r>
      <w:r>
        <w:rPr>
          <w:rFonts w:hint="eastAsia"/>
          <w:color w:val="auto"/>
          <w:sz w:val="21"/>
          <w:szCs w:val="21"/>
          <w:highlight w:val="none"/>
        </w:rPr>
        <w:t>招标文件中标注★号的内容为实质性要求和条件。货物需求一览表中未标注★号的内容在评标时不得作为判定投标无效的依据（超出规定偏离项范围除外）。</w:t>
      </w:r>
    </w:p>
    <w:p>
      <w:pPr>
        <w:pStyle w:val="27"/>
        <w:spacing w:line="440" w:lineRule="exact"/>
        <w:ind w:left="2" w:firstLine="360"/>
        <w:rPr>
          <w:rFonts w:hAnsi="宋体"/>
          <w:color w:val="auto"/>
          <w:sz w:val="21"/>
          <w:szCs w:val="21"/>
          <w:highlight w:val="none"/>
        </w:rPr>
      </w:pPr>
      <w:r>
        <w:rPr>
          <w:rFonts w:hint="eastAsia" w:hAnsi="宋体"/>
          <w:color w:val="auto"/>
          <w:sz w:val="21"/>
          <w:szCs w:val="21"/>
          <w:highlight w:val="none"/>
        </w:rPr>
        <w:t>8.4  投标文件应用不褪色的材料书写或打印，保证其清楚、工整，相关材料的复印件应清晰可辨认。投标文件字迹潦草、表达不清、模糊无法辨认而导致非唯一理解是投标人的风险，很可能导致该投标无效。</w:t>
      </w:r>
    </w:p>
    <w:p>
      <w:pPr>
        <w:pStyle w:val="27"/>
        <w:spacing w:line="440" w:lineRule="exact"/>
        <w:ind w:left="2" w:firstLine="360"/>
        <w:rPr>
          <w:rFonts w:hAnsi="宋体"/>
          <w:color w:val="auto"/>
          <w:sz w:val="21"/>
          <w:szCs w:val="21"/>
          <w:highlight w:val="none"/>
        </w:rPr>
      </w:pPr>
      <w:r>
        <w:rPr>
          <w:rFonts w:hint="eastAsia" w:hAnsi="宋体"/>
          <w:color w:val="auto"/>
          <w:sz w:val="21"/>
          <w:szCs w:val="21"/>
          <w:highlight w:val="none"/>
        </w:rPr>
        <w:t>8.5  第五章“投标文件格式”中规定了投标文件格式的，应按相应格式要求编写。</w:t>
      </w:r>
    </w:p>
    <w:p>
      <w:pPr>
        <w:pStyle w:val="27"/>
        <w:spacing w:line="440" w:lineRule="exact"/>
        <w:ind w:left="2" w:firstLine="360"/>
        <w:rPr>
          <w:rFonts w:hAnsi="宋体"/>
          <w:color w:val="auto"/>
          <w:sz w:val="21"/>
          <w:szCs w:val="21"/>
          <w:highlight w:val="none"/>
        </w:rPr>
      </w:pPr>
      <w:r>
        <w:rPr>
          <w:rFonts w:hint="eastAsia" w:hAnsi="宋体"/>
          <w:color w:val="auto"/>
          <w:sz w:val="21"/>
          <w:szCs w:val="21"/>
          <w:highlight w:val="none"/>
        </w:rPr>
        <w:t>8.6  投标文件应由投标人的法定代表人或其委托代理人在凡规定签章处逐一签字或盖章并加盖单位公章。投标文件应尽量避免涂改、行间插字或删除。如果出现上述情况，改动之处应加盖单位公章或由投标人的法定代表人或其委托代理人签字或盖章确认。</w:t>
      </w:r>
    </w:p>
    <w:p>
      <w:pPr>
        <w:pStyle w:val="27"/>
        <w:spacing w:line="440" w:lineRule="exact"/>
        <w:ind w:left="2" w:firstLine="360"/>
        <w:rPr>
          <w:color w:val="auto"/>
          <w:sz w:val="21"/>
          <w:szCs w:val="21"/>
          <w:highlight w:val="none"/>
        </w:rPr>
      </w:pPr>
      <w:r>
        <w:rPr>
          <w:rFonts w:hint="eastAsia" w:hAnsi="宋体"/>
          <w:color w:val="auto"/>
          <w:sz w:val="21"/>
          <w:szCs w:val="21"/>
          <w:highlight w:val="none"/>
        </w:rPr>
        <w:t xml:space="preserve">8.7  </w:t>
      </w:r>
      <w:r>
        <w:rPr>
          <w:rFonts w:hint="eastAsia"/>
          <w:color w:val="auto"/>
          <w:sz w:val="21"/>
          <w:szCs w:val="21"/>
          <w:highlight w:val="none"/>
        </w:rPr>
        <w:t>投标文件应编制目录，且页码清晰准确。</w:t>
      </w:r>
    </w:p>
    <w:p>
      <w:pPr>
        <w:pStyle w:val="27"/>
        <w:spacing w:line="440" w:lineRule="exact"/>
        <w:ind w:left="2" w:firstLine="360"/>
        <w:rPr>
          <w:color w:val="auto"/>
          <w:sz w:val="21"/>
          <w:szCs w:val="21"/>
          <w:highlight w:val="none"/>
        </w:rPr>
      </w:pPr>
      <w:r>
        <w:rPr>
          <w:rFonts w:hint="eastAsia" w:hAnsi="宋体"/>
          <w:color w:val="auto"/>
          <w:sz w:val="21"/>
          <w:szCs w:val="21"/>
          <w:highlight w:val="none"/>
        </w:rPr>
        <w:t>8.8  投标文件的</w:t>
      </w:r>
      <w:r>
        <w:rPr>
          <w:rFonts w:hint="eastAsia"/>
          <w:color w:val="auto"/>
          <w:sz w:val="21"/>
          <w:szCs w:val="21"/>
          <w:highlight w:val="none"/>
        </w:rPr>
        <w:t>正本和副本应分别装订成册，封面上应清楚地标记“正本”或“副本”字样，并标明项目名称、项目编号、投标人名称等内容。副本可以采用正本的复印件，当副本和正本不一致时，以正本为准。投标人应准备报价文件正本、技术文件正本、商务文件正本各一份，副本份数见投标人须知前附表。</w:t>
      </w:r>
    </w:p>
    <w:p>
      <w:pPr>
        <w:pStyle w:val="27"/>
        <w:spacing w:line="440" w:lineRule="exact"/>
        <w:rPr>
          <w:rFonts w:hAnsi="宋体"/>
          <w:bCs/>
          <w:color w:val="auto"/>
          <w:sz w:val="24"/>
          <w:highlight w:val="none"/>
        </w:rPr>
      </w:pPr>
      <w:r>
        <w:rPr>
          <w:rFonts w:hint="eastAsia" w:hAnsi="宋体"/>
          <w:bCs/>
          <w:color w:val="auto"/>
          <w:sz w:val="24"/>
          <w:highlight w:val="none"/>
        </w:rPr>
        <w:t>9.  投标语言文字及计量单位</w:t>
      </w:r>
    </w:p>
    <w:p>
      <w:pPr>
        <w:pStyle w:val="27"/>
        <w:spacing w:line="440" w:lineRule="exact"/>
        <w:ind w:firstLine="360"/>
        <w:rPr>
          <w:rFonts w:hAnsi="宋体"/>
          <w:color w:val="auto"/>
          <w:sz w:val="21"/>
          <w:szCs w:val="21"/>
          <w:highlight w:val="none"/>
        </w:rPr>
      </w:pPr>
      <w:r>
        <w:rPr>
          <w:rFonts w:hint="eastAsia" w:hAnsi="宋体"/>
          <w:color w:val="auto"/>
          <w:sz w:val="21"/>
          <w:szCs w:val="21"/>
          <w:highlight w:val="none"/>
        </w:rPr>
        <w:t>9.1  投标人的投标文件以及投标人与采购人、采购代理机构就有关投标的所有往来函电统一使用中文（特别规定除外）。</w:t>
      </w:r>
    </w:p>
    <w:p>
      <w:pPr>
        <w:pStyle w:val="27"/>
        <w:spacing w:line="440" w:lineRule="exact"/>
        <w:ind w:firstLine="360"/>
        <w:rPr>
          <w:rFonts w:hAnsi="宋体"/>
          <w:color w:val="auto"/>
          <w:sz w:val="21"/>
          <w:szCs w:val="21"/>
          <w:highlight w:val="none"/>
        </w:rPr>
      </w:pPr>
      <w:r>
        <w:rPr>
          <w:rFonts w:hint="eastAsia" w:hAnsi="宋体"/>
          <w:color w:val="auto"/>
          <w:sz w:val="21"/>
          <w:szCs w:val="21"/>
          <w:highlight w:val="none"/>
        </w:rPr>
        <w:t>9.2  对不同文字文本投标文件的解释发生异议的，以中文文本为准。</w:t>
      </w:r>
    </w:p>
    <w:p>
      <w:pPr>
        <w:pStyle w:val="27"/>
        <w:spacing w:line="440" w:lineRule="exact"/>
        <w:ind w:firstLine="360"/>
        <w:rPr>
          <w:rFonts w:hAnsi="宋体"/>
          <w:color w:val="auto"/>
          <w:sz w:val="21"/>
          <w:szCs w:val="21"/>
          <w:highlight w:val="none"/>
        </w:rPr>
      </w:pPr>
      <w:r>
        <w:rPr>
          <w:rFonts w:hint="eastAsia" w:hAnsi="宋体"/>
          <w:color w:val="auto"/>
          <w:sz w:val="21"/>
          <w:szCs w:val="21"/>
          <w:highlight w:val="none"/>
        </w:rPr>
        <w:t>9.3  投标文件使用的计量单位除招标文件中有特殊规定外，一律使用中华人民共和国法定计量单位。</w:t>
      </w:r>
    </w:p>
    <w:p>
      <w:pPr>
        <w:pStyle w:val="27"/>
        <w:spacing w:line="440" w:lineRule="exact"/>
        <w:rPr>
          <w:rFonts w:hAnsi="宋体"/>
          <w:bCs/>
          <w:color w:val="auto"/>
          <w:sz w:val="24"/>
          <w:highlight w:val="none"/>
        </w:rPr>
      </w:pPr>
      <w:r>
        <w:rPr>
          <w:rFonts w:hint="eastAsia" w:hAnsi="宋体"/>
          <w:bCs/>
          <w:color w:val="auto"/>
          <w:sz w:val="24"/>
          <w:highlight w:val="none"/>
        </w:rPr>
        <w:t>10.  投标文件的组成</w:t>
      </w:r>
    </w:p>
    <w:p>
      <w:pPr>
        <w:pStyle w:val="27"/>
        <w:spacing w:line="440" w:lineRule="exact"/>
        <w:ind w:firstLine="360"/>
        <w:rPr>
          <w:rFonts w:hAnsi="宋体"/>
          <w:color w:val="auto"/>
          <w:sz w:val="21"/>
          <w:szCs w:val="21"/>
          <w:highlight w:val="none"/>
        </w:rPr>
      </w:pPr>
      <w:r>
        <w:rPr>
          <w:rFonts w:hint="eastAsia" w:hAnsi="宋体"/>
          <w:color w:val="auto"/>
          <w:sz w:val="21"/>
          <w:szCs w:val="21"/>
          <w:highlight w:val="none"/>
        </w:rPr>
        <w:t>10.1  投标人需编制的投标文件包括报价文件，资格文件，商务、技术文件三部分，投标人应按下列说明编写和提交。应递交的有关文件如未特别注明为原件的，可提交复印件。</w:t>
      </w:r>
    </w:p>
    <w:p>
      <w:pPr>
        <w:pStyle w:val="27"/>
        <w:spacing w:line="440" w:lineRule="exact"/>
        <w:ind w:firstLine="360"/>
        <w:rPr>
          <w:rFonts w:hAnsi="宋体"/>
          <w:color w:val="auto"/>
          <w:sz w:val="21"/>
          <w:szCs w:val="21"/>
          <w:highlight w:val="none"/>
        </w:rPr>
      </w:pPr>
      <w:r>
        <w:rPr>
          <w:rFonts w:hint="eastAsia" w:hAnsi="宋体"/>
          <w:color w:val="auto"/>
          <w:sz w:val="21"/>
          <w:szCs w:val="21"/>
          <w:highlight w:val="none"/>
        </w:rPr>
        <w:t>10.1.1  报价文件组成要求，包括：</w:t>
      </w:r>
    </w:p>
    <w:p>
      <w:pPr>
        <w:pStyle w:val="27"/>
        <w:spacing w:line="440" w:lineRule="exact"/>
        <w:ind w:firstLine="720"/>
        <w:rPr>
          <w:rFonts w:hAnsi="宋体"/>
          <w:color w:val="auto"/>
          <w:sz w:val="21"/>
          <w:szCs w:val="21"/>
          <w:highlight w:val="none"/>
        </w:rPr>
      </w:pPr>
      <w:r>
        <w:rPr>
          <w:rFonts w:hint="eastAsia" w:hAnsi="宋体"/>
          <w:color w:val="auto"/>
          <w:sz w:val="21"/>
          <w:szCs w:val="21"/>
          <w:highlight w:val="none"/>
        </w:rPr>
        <w:t>（1）投标函：按第五章“投标文件格式”提供的“投标函（格式）”的要求填写；</w:t>
      </w:r>
    </w:p>
    <w:p>
      <w:pPr>
        <w:pStyle w:val="27"/>
        <w:spacing w:line="440" w:lineRule="exact"/>
        <w:ind w:firstLine="720"/>
        <w:rPr>
          <w:rFonts w:hAnsi="宋体"/>
          <w:color w:val="auto"/>
          <w:sz w:val="21"/>
          <w:szCs w:val="21"/>
          <w:highlight w:val="none"/>
        </w:rPr>
      </w:pPr>
      <w:r>
        <w:rPr>
          <w:rFonts w:hint="eastAsia" w:hAnsi="宋体"/>
          <w:color w:val="auto"/>
          <w:sz w:val="21"/>
          <w:szCs w:val="21"/>
          <w:highlight w:val="none"/>
        </w:rPr>
        <w:t>（2）投标报价表：按第五章“投标文件格式”提供的“投标报价表（格式）”的要求填写。</w:t>
      </w:r>
    </w:p>
    <w:p>
      <w:pPr>
        <w:pStyle w:val="27"/>
        <w:spacing w:line="440" w:lineRule="exact"/>
        <w:ind w:firstLine="720"/>
        <w:rPr>
          <w:rFonts w:hAnsi="宋体"/>
          <w:color w:val="auto"/>
          <w:sz w:val="21"/>
          <w:szCs w:val="21"/>
          <w:highlight w:val="none"/>
        </w:rPr>
      </w:pPr>
      <w:r>
        <w:rPr>
          <w:rFonts w:hint="eastAsia" w:hAnsi="宋体"/>
          <w:color w:val="auto"/>
          <w:sz w:val="21"/>
          <w:szCs w:val="21"/>
          <w:highlight w:val="none"/>
        </w:rPr>
        <w:t>（3）中小企业声明函：按第五章“投标文件格式”提供的“中小企业声明函（格式）”的要求填写；</w:t>
      </w:r>
    </w:p>
    <w:p>
      <w:pPr>
        <w:pStyle w:val="27"/>
        <w:spacing w:line="440" w:lineRule="exact"/>
        <w:ind w:firstLine="720"/>
        <w:rPr>
          <w:rFonts w:hAnsi="宋体"/>
          <w:color w:val="auto"/>
          <w:sz w:val="21"/>
          <w:szCs w:val="21"/>
          <w:highlight w:val="none"/>
        </w:rPr>
      </w:pPr>
      <w:r>
        <w:rPr>
          <w:rFonts w:hint="eastAsia" w:hAnsi="宋体"/>
          <w:color w:val="auto"/>
          <w:sz w:val="21"/>
          <w:szCs w:val="21"/>
          <w:highlight w:val="none"/>
        </w:rPr>
        <w:t>（4）残疾人福利性单位声明函：按第五章“投标文件格式”提供的“残疾人福利性单位声明函（格式）”的要求填写</w:t>
      </w:r>
    </w:p>
    <w:p>
      <w:pPr>
        <w:pStyle w:val="27"/>
        <w:spacing w:line="440" w:lineRule="exact"/>
        <w:ind w:firstLine="720"/>
        <w:rPr>
          <w:rFonts w:hAnsi="宋体"/>
          <w:color w:val="auto"/>
          <w:sz w:val="21"/>
          <w:szCs w:val="21"/>
          <w:highlight w:val="none"/>
        </w:rPr>
      </w:pPr>
      <w:r>
        <w:rPr>
          <w:rFonts w:hint="eastAsia" w:hAnsi="宋体"/>
          <w:color w:val="auto"/>
          <w:sz w:val="21"/>
          <w:szCs w:val="21"/>
          <w:highlight w:val="none"/>
        </w:rPr>
        <w:t>（5）广西工业产品声明函：按第五章“投标文件格式”提供的“广西工业产品声明函（格式）”的要求填写。</w:t>
      </w:r>
    </w:p>
    <w:p>
      <w:pPr>
        <w:pStyle w:val="27"/>
        <w:spacing w:line="440" w:lineRule="exact"/>
        <w:ind w:firstLine="720"/>
        <w:rPr>
          <w:rFonts w:hAnsi="宋体"/>
          <w:color w:val="auto"/>
          <w:sz w:val="21"/>
          <w:szCs w:val="21"/>
          <w:highlight w:val="none"/>
        </w:rPr>
      </w:pPr>
      <w:r>
        <w:rPr>
          <w:rFonts w:hint="eastAsia" w:hAnsi="宋体" w:cs="宋体"/>
          <w:bCs/>
          <w:color w:val="auto"/>
          <w:sz w:val="21"/>
          <w:szCs w:val="21"/>
          <w:highlight w:val="none"/>
        </w:rPr>
        <w:t>（6）监狱企业的证明文件（格式自拟）。</w:t>
      </w:r>
    </w:p>
    <w:p>
      <w:pPr>
        <w:pStyle w:val="27"/>
        <w:spacing w:line="440" w:lineRule="exact"/>
        <w:ind w:firstLine="720"/>
        <w:rPr>
          <w:rFonts w:hAnsi="宋体"/>
          <w:color w:val="auto"/>
          <w:sz w:val="21"/>
          <w:szCs w:val="21"/>
          <w:highlight w:val="none"/>
        </w:rPr>
      </w:pPr>
      <w:r>
        <w:rPr>
          <w:rFonts w:hint="eastAsia" w:hAnsi="宋体"/>
          <w:b/>
          <w:color w:val="auto"/>
          <w:sz w:val="21"/>
          <w:szCs w:val="21"/>
          <w:highlight w:val="none"/>
        </w:rPr>
        <w:t>其中，报价文件组成要求的第（</w:t>
      </w:r>
      <w:r>
        <w:rPr>
          <w:rFonts w:hAnsi="宋体"/>
          <w:b/>
          <w:color w:val="auto"/>
          <w:sz w:val="21"/>
          <w:szCs w:val="21"/>
          <w:highlight w:val="none"/>
        </w:rPr>
        <w:t>1</w:t>
      </w:r>
      <w:r>
        <w:rPr>
          <w:rFonts w:hint="eastAsia" w:hAnsi="宋体"/>
          <w:b/>
          <w:color w:val="auto"/>
          <w:sz w:val="21"/>
          <w:szCs w:val="21"/>
          <w:highlight w:val="none"/>
        </w:rPr>
        <w:t>）～（</w:t>
      </w:r>
      <w:r>
        <w:rPr>
          <w:rFonts w:hAnsi="宋体"/>
          <w:b/>
          <w:color w:val="auto"/>
          <w:sz w:val="21"/>
          <w:szCs w:val="21"/>
          <w:highlight w:val="none"/>
        </w:rPr>
        <w:t>2</w:t>
      </w:r>
      <w:r>
        <w:rPr>
          <w:rFonts w:hint="eastAsia" w:hAnsi="宋体"/>
          <w:b/>
          <w:color w:val="auto"/>
          <w:sz w:val="21"/>
          <w:szCs w:val="21"/>
          <w:highlight w:val="none"/>
        </w:rPr>
        <w:t>）项必须提交；第（</w:t>
      </w:r>
      <w:r>
        <w:rPr>
          <w:rFonts w:hAnsi="宋体"/>
          <w:b/>
          <w:color w:val="auto"/>
          <w:sz w:val="21"/>
          <w:szCs w:val="21"/>
          <w:highlight w:val="none"/>
        </w:rPr>
        <w:t>3</w:t>
      </w:r>
      <w:r>
        <w:rPr>
          <w:rFonts w:hint="eastAsia" w:hAnsi="宋体"/>
          <w:b/>
          <w:color w:val="auto"/>
          <w:sz w:val="21"/>
          <w:szCs w:val="21"/>
          <w:highlight w:val="none"/>
        </w:rPr>
        <w:t>）～（6）项如有请提交。</w:t>
      </w:r>
    </w:p>
    <w:p>
      <w:pPr>
        <w:pStyle w:val="27"/>
        <w:spacing w:line="440" w:lineRule="exact"/>
        <w:ind w:firstLine="360"/>
        <w:rPr>
          <w:rFonts w:hAnsi="宋体"/>
          <w:b/>
          <w:bCs/>
          <w:color w:val="auto"/>
          <w:sz w:val="21"/>
          <w:szCs w:val="21"/>
          <w:highlight w:val="none"/>
        </w:rPr>
      </w:pPr>
      <w:r>
        <w:rPr>
          <w:rFonts w:hint="eastAsia" w:hAnsi="宋体"/>
          <w:color w:val="auto"/>
          <w:sz w:val="21"/>
          <w:szCs w:val="21"/>
          <w:highlight w:val="none"/>
        </w:rPr>
        <w:t>10.1.2  技术文件组成要求，包括：</w:t>
      </w:r>
    </w:p>
    <w:p>
      <w:pPr>
        <w:pStyle w:val="27"/>
        <w:spacing w:line="440" w:lineRule="exact"/>
        <w:ind w:firstLine="720"/>
        <w:rPr>
          <w:rFonts w:hAnsi="宋体"/>
          <w:color w:val="auto"/>
          <w:sz w:val="21"/>
          <w:szCs w:val="21"/>
          <w:highlight w:val="none"/>
        </w:rPr>
      </w:pPr>
      <w:r>
        <w:rPr>
          <w:rFonts w:hint="eastAsia" w:hAnsi="宋体"/>
          <w:color w:val="auto"/>
          <w:sz w:val="21"/>
          <w:szCs w:val="21"/>
          <w:highlight w:val="none"/>
        </w:rPr>
        <w:t>（1）投标产品技术资料表：按第五章“投标文件格式”提供的“投标产品技术资料表（格式）”的要求填写；</w:t>
      </w:r>
    </w:p>
    <w:p>
      <w:pPr>
        <w:pStyle w:val="27"/>
        <w:spacing w:line="440" w:lineRule="exact"/>
        <w:ind w:firstLine="720"/>
        <w:rPr>
          <w:rFonts w:hAnsi="宋体"/>
          <w:b/>
          <w:bCs/>
          <w:color w:val="auto"/>
          <w:sz w:val="21"/>
          <w:szCs w:val="21"/>
          <w:highlight w:val="none"/>
        </w:rPr>
      </w:pPr>
      <w:r>
        <w:rPr>
          <w:rFonts w:hint="eastAsia" w:hAnsi="宋体"/>
          <w:color w:val="auto"/>
          <w:sz w:val="21"/>
          <w:szCs w:val="21"/>
          <w:highlight w:val="none"/>
        </w:rPr>
        <w:t>（2）招标文件第二章货物需求一览表中规定必须提供的技术证明文件；</w:t>
      </w:r>
    </w:p>
    <w:p>
      <w:pPr>
        <w:pStyle w:val="27"/>
        <w:spacing w:line="440" w:lineRule="exact"/>
        <w:ind w:firstLine="720"/>
        <w:rPr>
          <w:rFonts w:hAnsi="宋体"/>
          <w:b/>
          <w:bCs/>
          <w:color w:val="auto"/>
          <w:sz w:val="21"/>
          <w:szCs w:val="21"/>
          <w:highlight w:val="none"/>
        </w:rPr>
      </w:pPr>
      <w:r>
        <w:rPr>
          <w:rFonts w:hint="eastAsia" w:hAnsi="宋体"/>
          <w:color w:val="auto"/>
          <w:sz w:val="21"/>
          <w:szCs w:val="21"/>
          <w:highlight w:val="none"/>
        </w:rPr>
        <w:t>（3）其它：针对本项目所投标货物的主要技术指标、参数及性能的详细说明，相关的图纸、图片，产品技术资料彩页（技术指标要求对应印证投标文件技术参数承诺的符合性及有效性）、产品有效检测和鉴定证明复印件，等等（格式略）。</w:t>
      </w:r>
    </w:p>
    <w:p>
      <w:pPr>
        <w:pStyle w:val="27"/>
        <w:spacing w:line="440" w:lineRule="exact"/>
        <w:ind w:firstLine="420"/>
        <w:rPr>
          <w:rFonts w:hAnsi="宋体"/>
          <w:b/>
          <w:color w:val="auto"/>
          <w:sz w:val="21"/>
          <w:szCs w:val="21"/>
          <w:highlight w:val="none"/>
        </w:rPr>
      </w:pPr>
      <w:r>
        <w:rPr>
          <w:rFonts w:hint="eastAsia" w:hAnsi="宋体"/>
          <w:b/>
          <w:color w:val="auto"/>
          <w:sz w:val="21"/>
          <w:szCs w:val="21"/>
          <w:highlight w:val="none"/>
        </w:rPr>
        <w:t>其中，技术文件组成要求的第（1）、（2）项必须提交；技术文件要求的第（3）项如有请提交。</w:t>
      </w:r>
    </w:p>
    <w:p>
      <w:pPr>
        <w:pStyle w:val="27"/>
        <w:spacing w:line="440" w:lineRule="exact"/>
        <w:ind w:firstLine="360"/>
        <w:rPr>
          <w:rFonts w:hAnsi="宋体"/>
          <w:color w:val="auto"/>
          <w:sz w:val="21"/>
          <w:szCs w:val="21"/>
          <w:highlight w:val="none"/>
        </w:rPr>
      </w:pPr>
      <w:r>
        <w:rPr>
          <w:rFonts w:hint="eastAsia" w:hAnsi="宋体"/>
          <w:color w:val="auto"/>
          <w:sz w:val="21"/>
          <w:szCs w:val="21"/>
          <w:highlight w:val="none"/>
        </w:rPr>
        <w:t>10.1.3  商务文件组成要求，包括：</w:t>
      </w:r>
    </w:p>
    <w:p>
      <w:pPr>
        <w:pStyle w:val="27"/>
        <w:spacing w:line="400" w:lineRule="exact"/>
        <w:ind w:firstLine="720"/>
        <w:rPr>
          <w:rFonts w:hAnsi="宋体"/>
          <w:color w:val="auto"/>
          <w:sz w:val="21"/>
          <w:szCs w:val="21"/>
          <w:highlight w:val="none"/>
        </w:rPr>
      </w:pPr>
      <w:r>
        <w:rPr>
          <w:rFonts w:hint="eastAsia" w:hAnsi="宋体"/>
          <w:color w:val="auto"/>
          <w:sz w:val="21"/>
          <w:szCs w:val="21"/>
          <w:highlight w:val="none"/>
        </w:rPr>
        <w:t>（1）法定代表人身份证明书：按第五章“投标文件格式”提供的“法定代表人身份证明书（格式）”的要求填写；</w:t>
      </w:r>
    </w:p>
    <w:p>
      <w:pPr>
        <w:pStyle w:val="27"/>
        <w:spacing w:line="400" w:lineRule="exact"/>
        <w:ind w:firstLine="720"/>
        <w:rPr>
          <w:rFonts w:hAnsi="宋体"/>
          <w:color w:val="auto"/>
          <w:sz w:val="21"/>
          <w:szCs w:val="21"/>
          <w:highlight w:val="none"/>
        </w:rPr>
      </w:pPr>
      <w:r>
        <w:rPr>
          <w:rFonts w:hint="eastAsia" w:hAnsi="宋体"/>
          <w:color w:val="auto"/>
          <w:sz w:val="21"/>
          <w:szCs w:val="21"/>
          <w:highlight w:val="none"/>
        </w:rPr>
        <w:t>（2）法定代表人身份证明复印件：如使用第二代身份证应提交正、反面复印件，如法定代表人非中国国籍应提交护照复印件，要求证件有效并与营业执照</w:t>
      </w:r>
      <w:r>
        <w:rPr>
          <w:rFonts w:hint="eastAsia"/>
          <w:color w:val="auto"/>
          <w:sz w:val="21"/>
          <w:szCs w:val="21"/>
          <w:highlight w:val="none"/>
        </w:rPr>
        <w:t>或事业单位法人证</w:t>
      </w:r>
      <w:r>
        <w:rPr>
          <w:rFonts w:hint="eastAsia" w:hAnsi="宋体"/>
          <w:color w:val="auto"/>
          <w:sz w:val="21"/>
          <w:szCs w:val="21"/>
          <w:highlight w:val="none"/>
        </w:rPr>
        <w:t>中的法定代表人相符；</w:t>
      </w:r>
    </w:p>
    <w:p>
      <w:pPr>
        <w:pStyle w:val="27"/>
        <w:spacing w:line="400" w:lineRule="exact"/>
        <w:ind w:firstLine="720"/>
        <w:rPr>
          <w:rFonts w:hAnsi="宋体"/>
          <w:color w:val="auto"/>
          <w:sz w:val="21"/>
          <w:szCs w:val="21"/>
          <w:highlight w:val="none"/>
        </w:rPr>
      </w:pPr>
      <w:r>
        <w:rPr>
          <w:rFonts w:hint="eastAsia" w:hAnsi="宋体"/>
          <w:color w:val="auto"/>
          <w:sz w:val="21"/>
          <w:szCs w:val="21"/>
          <w:highlight w:val="none"/>
        </w:rPr>
        <w:t>（3）售后服务承诺书：按第五章“投标文件格式”提供的“售后服务承诺书（格式）” 的要求填写；</w:t>
      </w:r>
    </w:p>
    <w:p>
      <w:pPr>
        <w:pStyle w:val="27"/>
        <w:spacing w:line="400" w:lineRule="exact"/>
        <w:ind w:firstLine="720"/>
        <w:rPr>
          <w:rFonts w:hAnsi="宋体"/>
          <w:color w:val="auto"/>
          <w:sz w:val="21"/>
          <w:szCs w:val="21"/>
          <w:highlight w:val="none"/>
        </w:rPr>
      </w:pPr>
      <w:r>
        <w:rPr>
          <w:rFonts w:hint="eastAsia" w:hAnsi="宋体"/>
          <w:color w:val="auto"/>
          <w:sz w:val="21"/>
          <w:szCs w:val="21"/>
          <w:highlight w:val="none"/>
        </w:rPr>
        <w:t>（4）商务条款偏离表：按第五章“投标文件格式”提供的“商务条款偏离表（格式）” 的要求填写；</w:t>
      </w:r>
    </w:p>
    <w:p>
      <w:pPr>
        <w:pStyle w:val="27"/>
        <w:spacing w:line="400" w:lineRule="exact"/>
        <w:ind w:firstLine="720"/>
        <w:rPr>
          <w:rFonts w:hAnsi="宋体"/>
          <w:color w:val="auto"/>
          <w:sz w:val="21"/>
          <w:szCs w:val="21"/>
          <w:highlight w:val="none"/>
        </w:rPr>
      </w:pPr>
      <w:r>
        <w:rPr>
          <w:rFonts w:hint="eastAsia" w:hAnsi="宋体"/>
          <w:color w:val="auto"/>
          <w:sz w:val="21"/>
          <w:szCs w:val="21"/>
          <w:highlight w:val="none"/>
        </w:rPr>
        <w:t>（5）法定代表人授权委托书：按第五章“投标文件格式”提供的“法定代表人授权委托书（格式）”的要求填写；</w:t>
      </w:r>
    </w:p>
    <w:p>
      <w:pPr>
        <w:pStyle w:val="27"/>
        <w:spacing w:line="400" w:lineRule="exact"/>
        <w:ind w:firstLine="720"/>
        <w:rPr>
          <w:rFonts w:hAnsi="宋体"/>
          <w:color w:val="auto"/>
          <w:sz w:val="21"/>
          <w:szCs w:val="21"/>
          <w:highlight w:val="none"/>
        </w:rPr>
      </w:pPr>
      <w:r>
        <w:rPr>
          <w:rFonts w:hint="eastAsia"/>
          <w:color w:val="auto"/>
          <w:sz w:val="21"/>
          <w:szCs w:val="21"/>
          <w:highlight w:val="none"/>
        </w:rPr>
        <w:t>（6）委托代理人身份证明复印件和社保缴费证复印件：如使用第二代身份证应提交正、反面复印件，如委托代理人非中国国籍应提交护照复印件，要求证件有效并与法定代表人授权委托书中的委托代理人相符；</w:t>
      </w:r>
    </w:p>
    <w:p>
      <w:pPr>
        <w:pStyle w:val="27"/>
        <w:spacing w:line="400" w:lineRule="exact"/>
        <w:ind w:firstLine="720"/>
        <w:rPr>
          <w:rFonts w:hAnsi="宋体"/>
          <w:color w:val="auto"/>
          <w:sz w:val="21"/>
          <w:szCs w:val="21"/>
          <w:highlight w:val="none"/>
        </w:rPr>
      </w:pPr>
      <w:r>
        <w:rPr>
          <w:rFonts w:hint="eastAsia" w:hAnsi="宋体"/>
          <w:color w:val="auto"/>
          <w:sz w:val="21"/>
          <w:szCs w:val="21"/>
          <w:highlight w:val="none"/>
        </w:rPr>
        <w:t>（7）招标文件第二章货物需求一览表中要求提供的其他商务证明材料；</w:t>
      </w:r>
    </w:p>
    <w:p>
      <w:pPr>
        <w:pStyle w:val="27"/>
        <w:spacing w:line="400" w:lineRule="exact"/>
        <w:ind w:firstLine="720"/>
        <w:rPr>
          <w:rFonts w:hAnsi="宋体"/>
          <w:color w:val="auto"/>
          <w:sz w:val="21"/>
          <w:szCs w:val="21"/>
          <w:highlight w:val="none"/>
        </w:rPr>
      </w:pPr>
      <w:r>
        <w:rPr>
          <w:rFonts w:hint="eastAsia" w:hAnsi="宋体"/>
          <w:color w:val="auto"/>
          <w:sz w:val="21"/>
          <w:szCs w:val="21"/>
          <w:highlight w:val="none"/>
        </w:rPr>
        <w:t>（8）其它：投标人通过国家或国际认证资格证书复印件、银行出具的投标人资信证明或信用等级证明复印件、投标人近三年同类货物销售的实际业绩证明（附中标通知书复印件或合同复印件）、投标货物近三年的质量获奖荣誉证书复印件、投标货物的环保产品认证证书复印件或生产厂家的环保体系认证证书复印件、投标产品的国家节能产品认证证书复印件、投标人近三年发生的诉讼及仲裁情况说明（附法院或仲裁机构作出的判决、裁决等有关法律文书复印件），现场考察确认表等等。</w:t>
      </w:r>
    </w:p>
    <w:p>
      <w:pPr>
        <w:pStyle w:val="27"/>
        <w:spacing w:line="440" w:lineRule="exact"/>
        <w:ind w:firstLine="720"/>
        <w:rPr>
          <w:rFonts w:hAnsi="宋体"/>
          <w:color w:val="auto"/>
          <w:sz w:val="21"/>
          <w:szCs w:val="21"/>
          <w:highlight w:val="none"/>
        </w:rPr>
      </w:pPr>
      <w:r>
        <w:rPr>
          <w:rFonts w:hint="eastAsia" w:hAnsi="宋体"/>
          <w:b/>
          <w:color w:val="auto"/>
          <w:sz w:val="21"/>
          <w:szCs w:val="21"/>
          <w:highlight w:val="none"/>
        </w:rPr>
        <w:t>商务文件中的第（1）～（4）项必须提交；第（5）、（6）项在委托代理时必须提交；第（7）、（8）项如有请提交。</w:t>
      </w:r>
    </w:p>
    <w:p>
      <w:pPr>
        <w:pStyle w:val="27"/>
        <w:spacing w:line="440" w:lineRule="exact"/>
        <w:ind w:firstLine="360"/>
        <w:rPr>
          <w:rFonts w:hAnsi="宋体"/>
          <w:color w:val="auto"/>
          <w:sz w:val="21"/>
          <w:szCs w:val="21"/>
          <w:highlight w:val="none"/>
        </w:rPr>
      </w:pPr>
      <w:r>
        <w:rPr>
          <w:rFonts w:hint="eastAsia" w:hAnsi="宋体"/>
          <w:color w:val="auto"/>
          <w:sz w:val="21"/>
          <w:szCs w:val="21"/>
          <w:highlight w:val="none"/>
        </w:rPr>
        <w:t>10.1.4  资格文件组成要求，包括：</w:t>
      </w:r>
    </w:p>
    <w:p>
      <w:pPr>
        <w:pStyle w:val="27"/>
        <w:spacing w:line="400" w:lineRule="exact"/>
        <w:ind w:firstLine="720"/>
        <w:rPr>
          <w:rFonts w:hAnsi="宋体" w:cs="宋体"/>
          <w:color w:val="auto"/>
          <w:spacing w:val="6"/>
          <w:kern w:val="48"/>
          <w:sz w:val="21"/>
          <w:szCs w:val="21"/>
          <w:highlight w:val="none"/>
        </w:rPr>
      </w:pPr>
      <w:r>
        <w:rPr>
          <w:rFonts w:hint="eastAsia" w:hAnsi="宋体" w:cs="宋体"/>
          <w:color w:val="auto"/>
          <w:spacing w:val="6"/>
          <w:kern w:val="48"/>
          <w:sz w:val="21"/>
          <w:szCs w:val="21"/>
          <w:highlight w:val="none"/>
        </w:rPr>
        <w:t>（1）信用声明函：按第五章“投标文件格式”提供的“</w:t>
      </w:r>
      <w:r>
        <w:rPr>
          <w:rFonts w:hint="eastAsia" w:hAnsi="宋体" w:cs="宋体"/>
          <w:b/>
          <w:color w:val="auto"/>
          <w:spacing w:val="6"/>
          <w:kern w:val="48"/>
          <w:sz w:val="21"/>
          <w:szCs w:val="21"/>
          <w:highlight w:val="none"/>
        </w:rPr>
        <w:t>信用声明函（格式）</w:t>
      </w:r>
      <w:r>
        <w:rPr>
          <w:rFonts w:hint="eastAsia" w:hAnsi="宋体" w:cs="宋体"/>
          <w:color w:val="auto"/>
          <w:spacing w:val="6"/>
          <w:kern w:val="48"/>
          <w:sz w:val="21"/>
          <w:szCs w:val="21"/>
          <w:highlight w:val="none"/>
        </w:rPr>
        <w:t>”的要求填写。对列入</w:t>
      </w:r>
      <w:r>
        <w:rPr>
          <w:rFonts w:hint="eastAsia" w:hAnsi="宋体" w:cs="宋体"/>
          <w:b/>
          <w:color w:val="auto"/>
          <w:spacing w:val="6"/>
          <w:kern w:val="48"/>
          <w:sz w:val="21"/>
          <w:szCs w:val="21"/>
          <w:highlight w:val="none"/>
        </w:rPr>
        <w:t>失信被执行人、重大税收违法案件当事人名单、政府采购严重违法失信行为记录名单</w:t>
      </w:r>
      <w:r>
        <w:rPr>
          <w:rFonts w:hint="eastAsia" w:hAnsi="宋体" w:cs="宋体"/>
          <w:color w:val="auto"/>
          <w:spacing w:val="6"/>
          <w:kern w:val="48"/>
          <w:sz w:val="21"/>
          <w:szCs w:val="21"/>
          <w:highlight w:val="none"/>
        </w:rPr>
        <w:t>的投标人，将被拒绝参与本项目政府采购活动。</w:t>
      </w:r>
    </w:p>
    <w:p>
      <w:pPr>
        <w:pStyle w:val="27"/>
        <w:spacing w:line="400" w:lineRule="exact"/>
        <w:ind w:firstLine="720"/>
        <w:rPr>
          <w:rFonts w:hAnsi="宋体" w:cs="宋体"/>
          <w:color w:val="auto"/>
          <w:sz w:val="21"/>
          <w:szCs w:val="21"/>
          <w:highlight w:val="none"/>
        </w:rPr>
      </w:pPr>
      <w:r>
        <w:rPr>
          <w:rFonts w:hint="eastAsia" w:hAnsi="宋体" w:cs="宋体"/>
          <w:color w:val="auto"/>
          <w:spacing w:val="6"/>
          <w:kern w:val="48"/>
          <w:sz w:val="21"/>
          <w:szCs w:val="21"/>
          <w:highlight w:val="none"/>
        </w:rPr>
        <w:t>（2）根据</w:t>
      </w:r>
      <w:r>
        <w:rPr>
          <w:rFonts w:hint="eastAsia" w:hAnsi="宋体" w:cs="宋体"/>
          <w:color w:val="auto"/>
          <w:sz w:val="21"/>
          <w:szCs w:val="21"/>
          <w:highlight w:val="none"/>
        </w:rPr>
        <w:t>本章第3.2项规定的投标人应具备的特定条件提供，包括营业执照副本或事业单位法人证复印件和其他特定条件的证明文件复印件（如有）；</w:t>
      </w:r>
    </w:p>
    <w:p>
      <w:pPr>
        <w:pStyle w:val="27"/>
        <w:spacing w:line="400" w:lineRule="exact"/>
        <w:ind w:firstLine="720"/>
        <w:rPr>
          <w:rFonts w:hAnsi="宋体" w:cs="宋体"/>
          <w:color w:val="auto"/>
          <w:sz w:val="21"/>
          <w:szCs w:val="21"/>
          <w:highlight w:val="none"/>
        </w:rPr>
      </w:pPr>
      <w:r>
        <w:rPr>
          <w:rFonts w:hint="eastAsia" w:hAnsi="宋体" w:cs="宋体"/>
          <w:color w:val="auto"/>
          <w:sz w:val="21"/>
          <w:szCs w:val="21"/>
          <w:highlight w:val="none"/>
        </w:rPr>
        <w:t>（3）法定代表人身份证复印件：如使用第二代身份证应提交正、反面复印件，如法定代表人非中国国籍应提交护照复印件，要求证件有效并与营业执照或事业单位法人证中的法定代表人相符</w:t>
      </w:r>
    </w:p>
    <w:p>
      <w:pPr>
        <w:widowControl/>
        <w:spacing w:line="400" w:lineRule="exact"/>
        <w:ind w:firstLine="735" w:firstLineChars="350"/>
        <w:jc w:val="left"/>
        <w:rPr>
          <w:rFonts w:ascii="宋体" w:hAnsi="宋体" w:cs="宋体"/>
          <w:color w:val="auto"/>
          <w:kern w:val="0"/>
          <w:szCs w:val="21"/>
          <w:highlight w:val="none"/>
        </w:rPr>
      </w:pPr>
      <w:r>
        <w:rPr>
          <w:rFonts w:hint="eastAsia" w:ascii="宋体" w:hAnsi="宋体" w:cs="宋体"/>
          <w:color w:val="auto"/>
          <w:kern w:val="0"/>
          <w:szCs w:val="21"/>
          <w:highlight w:val="none"/>
        </w:rPr>
        <w:t>（4）投标人在投标截止时间近半年任意连续三个月依法缴纳税收的凭证复印件（如税务机关开具的完税证、银行缴税付款凭证或缴款回单等，如为非税务机关开具的凭证或回单的，应清晰反映：付款人名称、帐号，征收机关名称，缴款金额，税种名称，所属时期等内容）。无纳税记录的，应提供投标人所在地税务部门出具的依法纳税或依法免税证明（复印件，格式自拟，原件备查）；</w:t>
      </w:r>
    </w:p>
    <w:p>
      <w:pPr>
        <w:pStyle w:val="27"/>
        <w:spacing w:line="400" w:lineRule="exact"/>
        <w:ind w:firstLine="720"/>
        <w:rPr>
          <w:rFonts w:hAnsi="宋体" w:cs="宋体"/>
          <w:color w:val="auto"/>
          <w:sz w:val="21"/>
          <w:szCs w:val="21"/>
          <w:highlight w:val="none"/>
        </w:rPr>
      </w:pPr>
      <w:r>
        <w:rPr>
          <w:rFonts w:hint="eastAsia" w:hAnsi="宋体" w:cs="宋体"/>
          <w:color w:val="auto"/>
          <w:sz w:val="21"/>
          <w:szCs w:val="21"/>
          <w:highlight w:val="none"/>
        </w:rPr>
        <w:t>（5）投标人在投标截止时间近半年任意连续三个月依法缴纳社会保障资金的凭证复印件（如社保部门开具的证明、收款收据等，或银行缴款凭证、回单等，如为非社保部门开具的凭证或回单的，应清晰反映：缴款单位名称、社保单位名称、保险名称、缴款金额等内容）。无缴费记录的，应提供投标人所在地社保部门出具的依法缴纳或依法免缴社保费证明（复印件，格式自拟，原件备查）；</w:t>
      </w:r>
    </w:p>
    <w:p>
      <w:pPr>
        <w:widowControl/>
        <w:spacing w:line="400" w:lineRule="exact"/>
        <w:ind w:firstLine="735" w:firstLineChars="350"/>
        <w:jc w:val="left"/>
        <w:rPr>
          <w:rFonts w:ascii="宋体" w:hAnsi="宋体" w:cs="宋体"/>
          <w:color w:val="auto"/>
          <w:kern w:val="0"/>
          <w:szCs w:val="21"/>
          <w:highlight w:val="none"/>
        </w:rPr>
      </w:pPr>
      <w:r>
        <w:rPr>
          <w:rFonts w:hint="eastAsia" w:ascii="宋体" w:hAnsi="宋体" w:cs="宋体"/>
          <w:color w:val="auto"/>
          <w:kern w:val="0"/>
          <w:szCs w:val="21"/>
          <w:highlight w:val="none"/>
        </w:rPr>
        <w:t>（6）财务状况报告复印件：包括</w:t>
      </w:r>
      <w:r>
        <w:rPr>
          <w:rFonts w:hint="eastAsia" w:ascii="宋体" w:hAnsi="宋体"/>
          <w:b/>
          <w:color w:val="auto"/>
          <w:szCs w:val="21"/>
          <w:highlight w:val="none"/>
        </w:rPr>
        <w:t>①可以是经会计师事务所审计的财务报告，或是本公司出具的财务报表；②新近成立不足半年的公司可根据其成立的时间提交财务报表；③公司出具的财务报表至少包含资产负债表、利润表、现金流量表等；</w:t>
      </w:r>
    </w:p>
    <w:p>
      <w:pPr>
        <w:pStyle w:val="27"/>
        <w:spacing w:line="440" w:lineRule="exact"/>
        <w:ind w:firstLine="420"/>
        <w:rPr>
          <w:rFonts w:hAnsi="宋体"/>
          <w:color w:val="auto"/>
          <w:sz w:val="21"/>
          <w:szCs w:val="21"/>
          <w:highlight w:val="none"/>
        </w:rPr>
      </w:pPr>
      <w:r>
        <w:rPr>
          <w:rFonts w:hint="eastAsia" w:hAnsi="宋体" w:cs="宋体"/>
          <w:b/>
          <w:color w:val="auto"/>
          <w:sz w:val="21"/>
          <w:szCs w:val="21"/>
          <w:highlight w:val="none"/>
        </w:rPr>
        <w:t>资格文件中的第（1）～（6）项必须提交。</w:t>
      </w:r>
    </w:p>
    <w:p>
      <w:pPr>
        <w:pStyle w:val="27"/>
        <w:spacing w:line="440" w:lineRule="exact"/>
        <w:ind w:firstLine="360"/>
        <w:rPr>
          <w:rFonts w:hAnsi="宋体"/>
          <w:color w:val="auto"/>
          <w:sz w:val="21"/>
          <w:szCs w:val="21"/>
          <w:highlight w:val="none"/>
        </w:rPr>
      </w:pPr>
      <w:r>
        <w:rPr>
          <w:rFonts w:hint="eastAsia" w:hAnsi="宋体"/>
          <w:color w:val="auto"/>
          <w:sz w:val="21"/>
          <w:szCs w:val="21"/>
          <w:highlight w:val="none"/>
        </w:rPr>
        <w:t>10.2  投标人应编制目录，按上述顺序将报价文件，资格文件，商务、技术文件</w:t>
      </w:r>
      <w:r>
        <w:rPr>
          <w:rFonts w:hint="eastAsia" w:hAnsi="宋体"/>
          <w:b/>
          <w:color w:val="auto"/>
          <w:sz w:val="21"/>
          <w:szCs w:val="21"/>
          <w:highlight w:val="none"/>
        </w:rPr>
        <w:t>单独装订成册</w:t>
      </w:r>
      <w:r>
        <w:rPr>
          <w:rFonts w:hint="eastAsia" w:hAnsi="宋体"/>
          <w:color w:val="auto"/>
          <w:sz w:val="21"/>
          <w:szCs w:val="21"/>
          <w:highlight w:val="none"/>
        </w:rPr>
        <w:t>。</w:t>
      </w:r>
      <w:r>
        <w:rPr>
          <w:rFonts w:hint="eastAsia" w:hAnsi="宋体"/>
          <w:b/>
          <w:color w:val="auto"/>
          <w:sz w:val="21"/>
          <w:szCs w:val="21"/>
          <w:highlight w:val="none"/>
        </w:rPr>
        <w:t>特别注意投标报价不得出现在技术文件和商务文件中。</w:t>
      </w:r>
    </w:p>
    <w:p>
      <w:pPr>
        <w:pStyle w:val="27"/>
        <w:spacing w:line="440" w:lineRule="exact"/>
        <w:ind w:firstLine="360"/>
        <w:rPr>
          <w:rFonts w:hAnsi="宋体"/>
          <w:bCs/>
          <w:color w:val="auto"/>
          <w:sz w:val="24"/>
          <w:highlight w:val="none"/>
        </w:rPr>
      </w:pPr>
      <w:r>
        <w:rPr>
          <w:rFonts w:hint="eastAsia" w:hAnsi="宋体"/>
          <w:bCs/>
          <w:color w:val="auto"/>
          <w:sz w:val="24"/>
          <w:highlight w:val="none"/>
        </w:rPr>
        <w:t>11.  投标报价</w:t>
      </w:r>
    </w:p>
    <w:p>
      <w:pPr>
        <w:pStyle w:val="27"/>
        <w:spacing w:line="440" w:lineRule="exact"/>
        <w:ind w:firstLine="360"/>
        <w:rPr>
          <w:rFonts w:hAnsi="宋体"/>
          <w:color w:val="auto"/>
          <w:highlight w:val="none"/>
        </w:rPr>
      </w:pPr>
      <w:r>
        <w:rPr>
          <w:rFonts w:hint="eastAsia" w:hAnsi="宋体"/>
          <w:color w:val="auto"/>
          <w:highlight w:val="none"/>
        </w:rPr>
        <w:t>11.1  投标人应以人民币报价。</w:t>
      </w:r>
    </w:p>
    <w:p>
      <w:pPr>
        <w:pStyle w:val="27"/>
        <w:spacing w:line="440" w:lineRule="exact"/>
        <w:ind w:firstLine="360"/>
        <w:rPr>
          <w:rFonts w:hAnsi="宋体"/>
          <w:color w:val="auto"/>
          <w:sz w:val="21"/>
          <w:szCs w:val="21"/>
          <w:highlight w:val="none"/>
        </w:rPr>
      </w:pPr>
      <w:r>
        <w:rPr>
          <w:rFonts w:hint="eastAsia" w:hAnsi="宋体"/>
          <w:color w:val="auto"/>
          <w:sz w:val="21"/>
          <w:szCs w:val="21"/>
          <w:highlight w:val="none"/>
        </w:rPr>
        <w:t>11.2  投标人须就第二章“货物需求一览表”中</w:t>
      </w:r>
      <w:r>
        <w:rPr>
          <w:rFonts w:hint="eastAsia" w:hAnsi="宋体"/>
          <w:b/>
          <w:color w:val="auto"/>
          <w:sz w:val="21"/>
          <w:szCs w:val="21"/>
          <w:highlight w:val="none"/>
        </w:rPr>
        <w:t>的所有货物和服务内容报出完整且唯一报价，附带有条件的报价将不予接受。</w:t>
      </w:r>
    </w:p>
    <w:p>
      <w:pPr>
        <w:pStyle w:val="27"/>
        <w:spacing w:line="440" w:lineRule="exact"/>
        <w:ind w:firstLine="360"/>
        <w:rPr>
          <w:color w:val="auto"/>
          <w:sz w:val="21"/>
          <w:szCs w:val="21"/>
          <w:highlight w:val="none"/>
        </w:rPr>
      </w:pPr>
      <w:r>
        <w:rPr>
          <w:rFonts w:hint="eastAsia" w:hAnsi="宋体"/>
          <w:color w:val="auto"/>
          <w:sz w:val="21"/>
          <w:szCs w:val="21"/>
          <w:highlight w:val="none"/>
        </w:rPr>
        <w:t>11.3  投标报价为采购人指定地点的现场交货价，其组成部分详见第二章“货物需求一览表”。</w:t>
      </w:r>
      <w:r>
        <w:rPr>
          <w:rFonts w:hint="eastAsia"/>
          <w:color w:val="auto"/>
          <w:sz w:val="21"/>
          <w:szCs w:val="21"/>
          <w:highlight w:val="none"/>
        </w:rPr>
        <w:t>采购人</w:t>
      </w:r>
      <w:r>
        <w:rPr>
          <w:color w:val="auto"/>
          <w:sz w:val="21"/>
          <w:szCs w:val="21"/>
          <w:highlight w:val="none"/>
        </w:rPr>
        <w:t>不再</w:t>
      </w:r>
      <w:r>
        <w:rPr>
          <w:rFonts w:hint="eastAsia"/>
          <w:color w:val="auto"/>
          <w:sz w:val="21"/>
          <w:szCs w:val="21"/>
          <w:highlight w:val="none"/>
        </w:rPr>
        <w:t>向中标供应商</w:t>
      </w:r>
      <w:r>
        <w:rPr>
          <w:color w:val="auto"/>
          <w:sz w:val="21"/>
          <w:szCs w:val="21"/>
          <w:highlight w:val="none"/>
        </w:rPr>
        <w:t>支付</w:t>
      </w:r>
      <w:r>
        <w:rPr>
          <w:rFonts w:hint="eastAsia"/>
          <w:color w:val="auto"/>
          <w:sz w:val="21"/>
          <w:szCs w:val="21"/>
          <w:highlight w:val="none"/>
        </w:rPr>
        <w:t>其投标</w:t>
      </w:r>
      <w:r>
        <w:rPr>
          <w:color w:val="auto"/>
          <w:sz w:val="21"/>
          <w:szCs w:val="21"/>
          <w:highlight w:val="none"/>
        </w:rPr>
        <w:t>报价之外的任何费用。</w:t>
      </w:r>
    </w:p>
    <w:p>
      <w:pPr>
        <w:pStyle w:val="27"/>
        <w:spacing w:line="440" w:lineRule="exact"/>
        <w:ind w:firstLine="360"/>
        <w:rPr>
          <w:color w:val="auto"/>
          <w:sz w:val="21"/>
          <w:szCs w:val="21"/>
          <w:highlight w:val="none"/>
        </w:rPr>
      </w:pPr>
      <w:r>
        <w:rPr>
          <w:rFonts w:hint="eastAsia"/>
          <w:color w:val="auto"/>
          <w:sz w:val="21"/>
          <w:szCs w:val="21"/>
          <w:highlight w:val="none"/>
        </w:rPr>
        <w:t>11.4  本项目的采购代理服务费按物价部门核准的收费标准执行，见投标人须知前附表。</w:t>
      </w:r>
    </w:p>
    <w:p>
      <w:pPr>
        <w:pStyle w:val="27"/>
        <w:spacing w:line="440" w:lineRule="exact"/>
        <w:ind w:firstLine="360"/>
        <w:rPr>
          <w:color w:val="auto"/>
          <w:sz w:val="21"/>
          <w:szCs w:val="21"/>
          <w:highlight w:val="none"/>
        </w:rPr>
      </w:pPr>
      <w:r>
        <w:rPr>
          <w:rFonts w:hint="eastAsia"/>
          <w:color w:val="auto"/>
          <w:sz w:val="21"/>
          <w:szCs w:val="21"/>
          <w:highlight w:val="none"/>
        </w:rPr>
        <w:t>11.5  不论投标结果如何，投标人均应自行承担与编制和递交投标文件有关的全部费用。</w:t>
      </w:r>
    </w:p>
    <w:p>
      <w:pPr>
        <w:pStyle w:val="27"/>
        <w:spacing w:line="440" w:lineRule="exact"/>
        <w:rPr>
          <w:rFonts w:hAnsi="宋体"/>
          <w:bCs/>
          <w:color w:val="auto"/>
          <w:sz w:val="24"/>
          <w:highlight w:val="none"/>
        </w:rPr>
      </w:pPr>
      <w:r>
        <w:rPr>
          <w:rFonts w:hint="eastAsia" w:hAnsi="宋体"/>
          <w:bCs/>
          <w:color w:val="auto"/>
          <w:sz w:val="24"/>
          <w:highlight w:val="none"/>
        </w:rPr>
        <w:t>12.  投标有效期</w:t>
      </w:r>
    </w:p>
    <w:p>
      <w:pPr>
        <w:pStyle w:val="27"/>
        <w:spacing w:line="440" w:lineRule="exact"/>
        <w:ind w:firstLine="360"/>
        <w:rPr>
          <w:rFonts w:hAnsi="宋体"/>
          <w:bCs/>
          <w:color w:val="auto"/>
          <w:sz w:val="24"/>
          <w:highlight w:val="none"/>
        </w:rPr>
      </w:pPr>
      <w:r>
        <w:rPr>
          <w:rFonts w:hint="eastAsia" w:hAnsi="宋体"/>
          <w:color w:val="auto"/>
          <w:highlight w:val="none"/>
        </w:rPr>
        <w:t>12.1  在投标人须知前附表规定的投标有效期内，投标人不得要求撤销或修改其投标文件。</w:t>
      </w:r>
    </w:p>
    <w:p>
      <w:pPr>
        <w:pStyle w:val="27"/>
        <w:spacing w:line="440" w:lineRule="exact"/>
        <w:ind w:firstLine="360"/>
        <w:rPr>
          <w:rFonts w:hAnsi="宋体"/>
          <w:color w:val="auto"/>
          <w:sz w:val="21"/>
          <w:szCs w:val="21"/>
          <w:highlight w:val="none"/>
        </w:rPr>
      </w:pPr>
      <w:r>
        <w:rPr>
          <w:rFonts w:hint="eastAsia" w:hAnsi="宋体"/>
          <w:color w:val="auto"/>
          <w:sz w:val="21"/>
          <w:szCs w:val="21"/>
          <w:highlight w:val="none"/>
        </w:rPr>
        <w:t>12.2  在特殊情况下，采购人或采购代理机构可与投标人协商延长投标有效期，这种要求与答复均应使用书面形式。投标人同意延长的，应相应延长其投标保证金的有效期，但不得要求或被允许修改或撤销其投标文件；投标人拒绝延长的，其投标在超过原有效期后失效，其投标保证金不会被没收。</w:t>
      </w:r>
    </w:p>
    <w:p>
      <w:pPr>
        <w:pStyle w:val="27"/>
        <w:spacing w:line="440" w:lineRule="exact"/>
        <w:rPr>
          <w:rFonts w:hAnsi="宋体"/>
          <w:bCs/>
          <w:color w:val="auto"/>
          <w:sz w:val="24"/>
          <w:highlight w:val="none"/>
        </w:rPr>
      </w:pPr>
      <w:r>
        <w:rPr>
          <w:rFonts w:hint="eastAsia" w:hAnsi="宋体"/>
          <w:bCs/>
          <w:color w:val="auto"/>
          <w:sz w:val="24"/>
          <w:highlight w:val="none"/>
        </w:rPr>
        <w:t>13.  投标保证金：</w:t>
      </w:r>
    </w:p>
    <w:p>
      <w:pPr>
        <w:pStyle w:val="27"/>
        <w:tabs>
          <w:tab w:val="left" w:pos="0"/>
        </w:tabs>
        <w:spacing w:line="440" w:lineRule="exact"/>
        <w:ind w:firstLine="359" w:firstLineChars="171"/>
        <w:rPr>
          <w:rFonts w:hAnsi="宋体"/>
          <w:color w:val="auto"/>
          <w:sz w:val="21"/>
          <w:szCs w:val="21"/>
          <w:highlight w:val="none"/>
        </w:rPr>
      </w:pPr>
      <w:r>
        <w:rPr>
          <w:rFonts w:hint="eastAsia" w:hAnsi="宋体"/>
          <w:color w:val="auto"/>
          <w:sz w:val="21"/>
          <w:szCs w:val="21"/>
          <w:highlight w:val="none"/>
        </w:rPr>
        <w:t xml:space="preserve">13.1  </w:t>
      </w:r>
      <w:r>
        <w:rPr>
          <w:rFonts w:hint="eastAsia" w:hAnsi="宋体"/>
          <w:b/>
          <w:color w:val="auto"/>
          <w:sz w:val="21"/>
          <w:szCs w:val="21"/>
          <w:highlight w:val="none"/>
        </w:rPr>
        <w:t>根据南财采[2019]27号文的规定，本项目无需缴纳投标保证金。</w:t>
      </w:r>
    </w:p>
    <w:p>
      <w:pPr>
        <w:pStyle w:val="27"/>
        <w:spacing w:line="440" w:lineRule="exact"/>
        <w:jc w:val="center"/>
        <w:rPr>
          <w:rFonts w:hAnsi="宋体"/>
          <w:b/>
          <w:bCs/>
          <w:color w:val="auto"/>
          <w:highlight w:val="none"/>
        </w:rPr>
      </w:pPr>
    </w:p>
    <w:p>
      <w:pPr>
        <w:pStyle w:val="27"/>
        <w:jc w:val="center"/>
        <w:rPr>
          <w:rFonts w:ascii="Times New Roman" w:hAnsi="Times New Roman"/>
          <w:b/>
          <w:color w:val="auto"/>
          <w:sz w:val="30"/>
          <w:szCs w:val="30"/>
          <w:highlight w:val="none"/>
        </w:rPr>
      </w:pPr>
      <w:bookmarkStart w:id="62" w:name="_Toc531285733"/>
      <w:r>
        <w:rPr>
          <w:rFonts w:hint="eastAsia" w:ascii="Times New Roman" w:hAnsi="Times New Roman"/>
          <w:b/>
          <w:color w:val="auto"/>
          <w:sz w:val="30"/>
          <w:szCs w:val="30"/>
          <w:highlight w:val="none"/>
        </w:rPr>
        <w:t>四    投标</w:t>
      </w:r>
      <w:bookmarkEnd w:id="62"/>
    </w:p>
    <w:p>
      <w:pPr>
        <w:pStyle w:val="27"/>
        <w:spacing w:line="440" w:lineRule="exact"/>
        <w:rPr>
          <w:rFonts w:hAnsi="宋体"/>
          <w:bCs/>
          <w:color w:val="auto"/>
          <w:sz w:val="24"/>
          <w:highlight w:val="none"/>
        </w:rPr>
      </w:pPr>
      <w:r>
        <w:rPr>
          <w:rFonts w:hint="eastAsia" w:hAnsi="宋体"/>
          <w:bCs/>
          <w:color w:val="auto"/>
          <w:sz w:val="24"/>
          <w:highlight w:val="none"/>
        </w:rPr>
        <w:t>14.  投标文件的密封</w:t>
      </w:r>
    </w:p>
    <w:p>
      <w:pPr>
        <w:pStyle w:val="27"/>
        <w:spacing w:line="440" w:lineRule="exact"/>
        <w:ind w:firstLine="359" w:firstLineChars="171"/>
        <w:rPr>
          <w:rFonts w:hAnsi="宋体"/>
          <w:color w:val="auto"/>
          <w:sz w:val="21"/>
          <w:szCs w:val="21"/>
          <w:highlight w:val="none"/>
        </w:rPr>
      </w:pPr>
      <w:r>
        <w:rPr>
          <w:rFonts w:hint="eastAsia" w:hAnsi="宋体"/>
          <w:color w:val="auto"/>
          <w:sz w:val="21"/>
          <w:szCs w:val="21"/>
          <w:highlight w:val="none"/>
        </w:rPr>
        <w:t>14.1  投标人应将投标正、副本文件进行密封包装。</w:t>
      </w:r>
    </w:p>
    <w:p>
      <w:pPr>
        <w:pStyle w:val="27"/>
        <w:spacing w:line="440" w:lineRule="exact"/>
        <w:ind w:firstLine="359" w:firstLineChars="171"/>
        <w:rPr>
          <w:rFonts w:hAnsi="宋体"/>
          <w:color w:val="auto"/>
          <w:sz w:val="21"/>
          <w:szCs w:val="21"/>
          <w:highlight w:val="none"/>
        </w:rPr>
      </w:pPr>
      <w:r>
        <w:rPr>
          <w:rFonts w:hint="eastAsia" w:hAnsi="宋体"/>
          <w:color w:val="auto"/>
          <w:sz w:val="21"/>
          <w:szCs w:val="21"/>
          <w:highlight w:val="none"/>
        </w:rPr>
        <w:t>14.2  投标人投标截止时间：见投标人须知前附表。</w:t>
      </w:r>
    </w:p>
    <w:p>
      <w:pPr>
        <w:pStyle w:val="27"/>
        <w:spacing w:line="440" w:lineRule="exact"/>
        <w:ind w:firstLine="359" w:firstLineChars="171"/>
        <w:rPr>
          <w:rFonts w:hAnsi="宋体"/>
          <w:color w:val="auto"/>
          <w:sz w:val="21"/>
          <w:szCs w:val="21"/>
          <w:highlight w:val="none"/>
        </w:rPr>
      </w:pPr>
      <w:r>
        <w:rPr>
          <w:rFonts w:hint="eastAsia" w:hAnsi="宋体"/>
          <w:color w:val="auto"/>
          <w:sz w:val="21"/>
          <w:szCs w:val="21"/>
          <w:highlight w:val="none"/>
        </w:rPr>
        <w:t>14.3  投标人在投标截止时间之前，可以对已提交的投标文件进行修改或撤回，并书面通知采购人；投标截止时间后，投标人不得撤回、修改投标文件。修改后重新递交的投标文件应当按本招标文件的要求签署、盖章和密封。</w:t>
      </w:r>
    </w:p>
    <w:p>
      <w:pPr>
        <w:pStyle w:val="27"/>
        <w:spacing w:line="440" w:lineRule="exact"/>
        <w:ind w:firstLine="360"/>
        <w:rPr>
          <w:rFonts w:hAnsi="宋体"/>
          <w:color w:val="auto"/>
          <w:sz w:val="21"/>
          <w:szCs w:val="21"/>
          <w:highlight w:val="none"/>
        </w:rPr>
      </w:pPr>
      <w:r>
        <w:rPr>
          <w:rFonts w:hint="eastAsia" w:hAnsi="宋体"/>
          <w:color w:val="auto"/>
          <w:sz w:val="21"/>
          <w:szCs w:val="21"/>
          <w:highlight w:val="none"/>
        </w:rPr>
        <w:t>14.4  投标人递交投标文件地点：见投标人须知前附表。</w:t>
      </w:r>
    </w:p>
    <w:p>
      <w:pPr>
        <w:pStyle w:val="27"/>
        <w:spacing w:line="440" w:lineRule="exact"/>
        <w:ind w:firstLine="360"/>
        <w:rPr>
          <w:rFonts w:hAnsi="宋体"/>
          <w:color w:val="auto"/>
          <w:sz w:val="21"/>
          <w:szCs w:val="21"/>
          <w:highlight w:val="none"/>
        </w:rPr>
      </w:pPr>
      <w:r>
        <w:rPr>
          <w:rFonts w:hint="eastAsia" w:hAnsi="宋体"/>
          <w:color w:val="auto"/>
          <w:sz w:val="21"/>
          <w:szCs w:val="21"/>
          <w:highlight w:val="none"/>
        </w:rPr>
        <w:t>14.5  投标人递交投标样品截止时间：见投标人须知前附表。</w:t>
      </w:r>
    </w:p>
    <w:p>
      <w:pPr>
        <w:pStyle w:val="27"/>
        <w:spacing w:line="440" w:lineRule="exact"/>
        <w:ind w:firstLine="360"/>
        <w:rPr>
          <w:rFonts w:hAnsi="宋体"/>
          <w:color w:val="auto"/>
          <w:sz w:val="21"/>
          <w:szCs w:val="21"/>
          <w:highlight w:val="none"/>
        </w:rPr>
      </w:pPr>
      <w:r>
        <w:rPr>
          <w:rFonts w:hint="eastAsia" w:hAnsi="宋体"/>
          <w:color w:val="auto"/>
          <w:sz w:val="21"/>
          <w:szCs w:val="21"/>
          <w:highlight w:val="none"/>
        </w:rPr>
        <w:t>14.6  投标人递交投标样品地点：见投标人须知前附表。</w:t>
      </w:r>
    </w:p>
    <w:p>
      <w:pPr>
        <w:pStyle w:val="27"/>
        <w:spacing w:line="440" w:lineRule="exact"/>
        <w:ind w:firstLine="360"/>
        <w:rPr>
          <w:rFonts w:hAnsi="宋体"/>
          <w:b/>
          <w:color w:val="auto"/>
          <w:sz w:val="21"/>
          <w:szCs w:val="21"/>
          <w:highlight w:val="none"/>
        </w:rPr>
      </w:pPr>
      <w:r>
        <w:rPr>
          <w:rFonts w:hint="eastAsia" w:hAnsi="宋体"/>
          <w:color w:val="auto"/>
          <w:sz w:val="21"/>
          <w:szCs w:val="21"/>
          <w:highlight w:val="none"/>
        </w:rPr>
        <w:t>14.7 其他要求：</w:t>
      </w:r>
      <w:r>
        <w:rPr>
          <w:rFonts w:hint="eastAsia" w:hAnsi="宋体"/>
          <w:b/>
          <w:color w:val="auto"/>
          <w:sz w:val="21"/>
          <w:szCs w:val="21"/>
          <w:highlight w:val="none"/>
        </w:rPr>
        <w:t>投标人应在递交投标文件的同时单独递交加盖公章的营业执照复印件一份（不密封）。</w:t>
      </w:r>
    </w:p>
    <w:p>
      <w:pPr>
        <w:pStyle w:val="27"/>
        <w:spacing w:line="440" w:lineRule="exact"/>
        <w:rPr>
          <w:rFonts w:hAnsi="宋体"/>
          <w:bCs/>
          <w:color w:val="auto"/>
          <w:sz w:val="24"/>
          <w:highlight w:val="none"/>
        </w:rPr>
      </w:pPr>
      <w:r>
        <w:rPr>
          <w:rFonts w:hint="eastAsia" w:hAnsi="宋体"/>
          <w:bCs/>
          <w:color w:val="auto"/>
          <w:sz w:val="24"/>
          <w:highlight w:val="none"/>
        </w:rPr>
        <w:t>15.  投标文件的递交</w:t>
      </w:r>
    </w:p>
    <w:p>
      <w:pPr>
        <w:pStyle w:val="27"/>
        <w:spacing w:line="440" w:lineRule="exact"/>
        <w:ind w:firstLine="360"/>
        <w:rPr>
          <w:rFonts w:hAnsi="宋体"/>
          <w:color w:val="auto"/>
          <w:sz w:val="21"/>
          <w:szCs w:val="21"/>
          <w:highlight w:val="none"/>
        </w:rPr>
      </w:pPr>
      <w:r>
        <w:rPr>
          <w:rFonts w:hint="eastAsia" w:hAnsi="宋体"/>
          <w:color w:val="auto"/>
          <w:sz w:val="21"/>
          <w:szCs w:val="21"/>
          <w:highlight w:val="none"/>
        </w:rPr>
        <w:t>15.1  投标人投标截止时间：见投标人须知前附表。</w:t>
      </w:r>
    </w:p>
    <w:p>
      <w:pPr>
        <w:pStyle w:val="27"/>
        <w:spacing w:line="440" w:lineRule="exact"/>
        <w:ind w:firstLine="360"/>
        <w:rPr>
          <w:rFonts w:hAnsi="宋体"/>
          <w:color w:val="auto"/>
          <w:sz w:val="21"/>
          <w:szCs w:val="21"/>
          <w:highlight w:val="none"/>
        </w:rPr>
      </w:pPr>
      <w:r>
        <w:rPr>
          <w:rFonts w:hint="eastAsia" w:hAnsi="宋体"/>
          <w:color w:val="auto"/>
          <w:sz w:val="21"/>
          <w:szCs w:val="21"/>
          <w:highlight w:val="none"/>
        </w:rPr>
        <w:t>15.2  投标人递交投标文件地点：见投标人须知前附表。</w:t>
      </w:r>
    </w:p>
    <w:p>
      <w:pPr>
        <w:pStyle w:val="27"/>
        <w:spacing w:line="440" w:lineRule="exact"/>
        <w:jc w:val="center"/>
        <w:rPr>
          <w:rFonts w:hAnsi="宋体"/>
          <w:color w:val="auto"/>
          <w:highlight w:val="none"/>
        </w:rPr>
      </w:pPr>
    </w:p>
    <w:p>
      <w:pPr>
        <w:pStyle w:val="27"/>
        <w:jc w:val="center"/>
        <w:rPr>
          <w:rFonts w:ascii="Times New Roman" w:hAnsi="Times New Roman"/>
          <w:b/>
          <w:color w:val="auto"/>
          <w:sz w:val="30"/>
          <w:szCs w:val="30"/>
          <w:highlight w:val="none"/>
        </w:rPr>
      </w:pPr>
      <w:bookmarkStart w:id="63" w:name="_Toc531285734"/>
      <w:r>
        <w:rPr>
          <w:rFonts w:hint="eastAsia" w:ascii="Times New Roman" w:hAnsi="Times New Roman"/>
          <w:b/>
          <w:color w:val="auto"/>
          <w:sz w:val="30"/>
          <w:szCs w:val="30"/>
          <w:highlight w:val="none"/>
        </w:rPr>
        <w:t>五    开标与评标</w:t>
      </w:r>
      <w:bookmarkEnd w:id="63"/>
    </w:p>
    <w:p>
      <w:pPr>
        <w:pStyle w:val="27"/>
        <w:spacing w:line="440" w:lineRule="exact"/>
        <w:rPr>
          <w:rFonts w:hAnsi="宋体"/>
          <w:bCs/>
          <w:color w:val="auto"/>
          <w:sz w:val="24"/>
          <w:highlight w:val="none"/>
        </w:rPr>
      </w:pPr>
      <w:r>
        <w:rPr>
          <w:rFonts w:hint="eastAsia" w:hAnsi="宋体"/>
          <w:bCs/>
          <w:color w:val="auto"/>
          <w:sz w:val="24"/>
          <w:highlight w:val="none"/>
        </w:rPr>
        <w:t>16.  开标</w:t>
      </w:r>
    </w:p>
    <w:p>
      <w:pPr>
        <w:pStyle w:val="27"/>
        <w:spacing w:line="440" w:lineRule="exact"/>
        <w:ind w:firstLine="359" w:firstLineChars="171"/>
        <w:rPr>
          <w:rFonts w:hAnsi="宋体"/>
          <w:b/>
          <w:color w:val="auto"/>
          <w:sz w:val="21"/>
          <w:szCs w:val="21"/>
          <w:highlight w:val="none"/>
        </w:rPr>
      </w:pPr>
      <w:r>
        <w:rPr>
          <w:rFonts w:hint="eastAsia" w:hAnsi="宋体"/>
          <w:color w:val="auto"/>
          <w:sz w:val="21"/>
          <w:szCs w:val="21"/>
          <w:highlight w:val="none"/>
        </w:rPr>
        <w:t>16.1  采购代理机构将在本章第15.1项规定的投标截止时间（即开标时间）和投标人须知前附表规定的地点公开开标，投标人的法定代表人或其委托代理人应准时参加并签到。如未按时签到，由此产生的后果由投标人自行负责。</w:t>
      </w:r>
    </w:p>
    <w:p>
      <w:pPr>
        <w:pStyle w:val="27"/>
        <w:spacing w:line="440" w:lineRule="exact"/>
        <w:ind w:firstLine="359" w:firstLineChars="171"/>
        <w:rPr>
          <w:rFonts w:hAnsi="宋体"/>
          <w:color w:val="auto"/>
          <w:sz w:val="21"/>
          <w:szCs w:val="21"/>
          <w:highlight w:val="none"/>
        </w:rPr>
      </w:pPr>
      <w:r>
        <w:rPr>
          <w:rFonts w:hint="eastAsia" w:hAnsi="宋体"/>
          <w:color w:val="auto"/>
          <w:sz w:val="21"/>
          <w:szCs w:val="21"/>
          <w:highlight w:val="none"/>
        </w:rPr>
        <w:t>16.2  开标程序：</w:t>
      </w:r>
    </w:p>
    <w:p>
      <w:pPr>
        <w:pStyle w:val="27"/>
        <w:spacing w:line="440" w:lineRule="exact"/>
        <w:ind w:firstLine="720"/>
        <w:rPr>
          <w:rFonts w:hAnsi="宋体"/>
          <w:color w:val="auto"/>
          <w:sz w:val="21"/>
          <w:szCs w:val="21"/>
          <w:highlight w:val="none"/>
        </w:rPr>
      </w:pPr>
      <w:r>
        <w:rPr>
          <w:rFonts w:hint="eastAsia" w:hAnsi="宋体"/>
          <w:color w:val="auto"/>
          <w:sz w:val="21"/>
          <w:szCs w:val="21"/>
          <w:highlight w:val="none"/>
        </w:rPr>
        <w:t>（1）开标会由采购代理机构主持，主持人宣布开标会议开始。</w:t>
      </w:r>
    </w:p>
    <w:p>
      <w:pPr>
        <w:pStyle w:val="27"/>
        <w:spacing w:line="440" w:lineRule="exact"/>
        <w:ind w:firstLine="720"/>
        <w:rPr>
          <w:rFonts w:hAnsi="宋体"/>
          <w:color w:val="auto"/>
          <w:sz w:val="21"/>
          <w:szCs w:val="21"/>
          <w:highlight w:val="none"/>
        </w:rPr>
      </w:pPr>
      <w:r>
        <w:rPr>
          <w:rFonts w:hint="eastAsia" w:hAnsi="宋体"/>
          <w:color w:val="auto"/>
          <w:sz w:val="21"/>
          <w:szCs w:val="21"/>
          <w:highlight w:val="none"/>
        </w:rPr>
        <w:t>（2）公布在投标截止时间前递交投标文件的投标人名称，并点名确认投标人是否派人到场；投标人未参加开标的，视同认可开标结果。投标人不足3家的，不得开标。</w:t>
      </w:r>
    </w:p>
    <w:p>
      <w:pPr>
        <w:pStyle w:val="27"/>
        <w:spacing w:line="440" w:lineRule="exact"/>
        <w:ind w:firstLine="720"/>
        <w:rPr>
          <w:rFonts w:hAnsi="宋体"/>
          <w:color w:val="auto"/>
          <w:sz w:val="21"/>
          <w:szCs w:val="21"/>
          <w:highlight w:val="none"/>
        </w:rPr>
      </w:pPr>
      <w:r>
        <w:rPr>
          <w:rFonts w:hint="eastAsia" w:hAnsi="宋体"/>
          <w:color w:val="auto"/>
          <w:sz w:val="21"/>
          <w:szCs w:val="21"/>
          <w:highlight w:val="none"/>
        </w:rPr>
        <w:t>（3）宣布开标人、唱标人、记录人、监标人（由第三方监督单位担任）等有关人员；投标人认为采购人、采购代理机构相关工作人员有需要回避的情形的，应当场提出询问或者回避申请。采购人、采购代理机构对投标人代表提出的询问或者回避申请及时处理。</w:t>
      </w:r>
    </w:p>
    <w:p>
      <w:pPr>
        <w:pStyle w:val="27"/>
        <w:spacing w:line="440" w:lineRule="exact"/>
        <w:ind w:firstLine="720"/>
        <w:rPr>
          <w:rFonts w:hAnsi="宋体"/>
          <w:color w:val="auto"/>
          <w:sz w:val="21"/>
          <w:szCs w:val="21"/>
          <w:highlight w:val="none"/>
        </w:rPr>
      </w:pPr>
      <w:r>
        <w:rPr>
          <w:rFonts w:hint="eastAsia" w:hAnsi="宋体"/>
          <w:color w:val="auto"/>
          <w:sz w:val="21"/>
          <w:szCs w:val="21"/>
          <w:highlight w:val="none"/>
        </w:rPr>
        <w:t>（4）由投标人或者其推选的代表按本章第14.1项的规定交叉检查投标文件的密封情况，并签字确认；</w:t>
      </w:r>
    </w:p>
    <w:p>
      <w:pPr>
        <w:pStyle w:val="27"/>
        <w:spacing w:line="440" w:lineRule="exact"/>
        <w:ind w:firstLine="720"/>
        <w:rPr>
          <w:rFonts w:hAnsi="宋体"/>
          <w:color w:val="auto"/>
          <w:sz w:val="21"/>
          <w:szCs w:val="21"/>
          <w:highlight w:val="none"/>
        </w:rPr>
      </w:pPr>
      <w:r>
        <w:rPr>
          <w:rFonts w:hint="eastAsia" w:hAnsi="宋体"/>
          <w:color w:val="auto"/>
          <w:sz w:val="21"/>
          <w:szCs w:val="21"/>
          <w:highlight w:val="none"/>
        </w:rPr>
        <w:t>（5）按各投标人递交投标文件时间的先后顺序当众拆封投标文件，由唱标人宣读投标人名称、</w:t>
      </w:r>
      <w:r>
        <w:rPr>
          <w:rFonts w:hint="eastAsia" w:hAnsi="宋体"/>
          <w:color w:val="auto"/>
          <w:sz w:val="21"/>
          <w:szCs w:val="21"/>
          <w:highlight w:val="none"/>
          <w:lang w:eastAsia="zh-CN"/>
        </w:rPr>
        <w:t>标段</w:t>
      </w:r>
      <w:r>
        <w:rPr>
          <w:rFonts w:hint="eastAsia" w:hAnsi="宋体"/>
          <w:color w:val="auto"/>
          <w:sz w:val="21"/>
          <w:szCs w:val="21"/>
          <w:highlight w:val="none"/>
        </w:rPr>
        <w:t>名称、投标文件正副本数量、投标报价、交付时间等以及采购代理机构认为有必要宣读的其他内容，记录人负责做开标记录；</w:t>
      </w:r>
    </w:p>
    <w:p>
      <w:pPr>
        <w:pStyle w:val="27"/>
        <w:spacing w:line="440" w:lineRule="exact"/>
        <w:ind w:firstLine="720"/>
        <w:rPr>
          <w:rFonts w:hAnsi="宋体"/>
          <w:color w:val="auto"/>
          <w:sz w:val="21"/>
          <w:szCs w:val="21"/>
          <w:highlight w:val="none"/>
        </w:rPr>
      </w:pPr>
      <w:r>
        <w:rPr>
          <w:rFonts w:hint="eastAsia" w:hAnsi="宋体"/>
          <w:color w:val="auto"/>
          <w:sz w:val="21"/>
          <w:szCs w:val="21"/>
          <w:highlight w:val="none"/>
        </w:rPr>
        <w:t>（6）相关人员在开标记录上签字确认，签字确认后随采购文件一并存档。</w:t>
      </w:r>
    </w:p>
    <w:p>
      <w:pPr>
        <w:pStyle w:val="27"/>
        <w:spacing w:line="440" w:lineRule="exact"/>
        <w:ind w:firstLine="720"/>
        <w:rPr>
          <w:rFonts w:hAnsi="宋体"/>
          <w:color w:val="auto"/>
          <w:sz w:val="21"/>
          <w:szCs w:val="21"/>
          <w:highlight w:val="none"/>
        </w:rPr>
      </w:pPr>
      <w:r>
        <w:rPr>
          <w:rFonts w:hint="eastAsia" w:hAnsi="宋体"/>
          <w:color w:val="auto"/>
          <w:sz w:val="21"/>
          <w:szCs w:val="21"/>
          <w:highlight w:val="none"/>
        </w:rPr>
        <w:t>（7）宣布评标期间的有关事项；</w:t>
      </w:r>
    </w:p>
    <w:p>
      <w:pPr>
        <w:pStyle w:val="27"/>
        <w:spacing w:line="440" w:lineRule="exact"/>
        <w:ind w:firstLine="720"/>
        <w:rPr>
          <w:rFonts w:hAnsi="宋体"/>
          <w:color w:val="auto"/>
          <w:sz w:val="21"/>
          <w:szCs w:val="21"/>
          <w:highlight w:val="none"/>
        </w:rPr>
      </w:pPr>
      <w:r>
        <w:rPr>
          <w:rFonts w:hint="eastAsia" w:hAnsi="宋体"/>
          <w:color w:val="auto"/>
          <w:sz w:val="21"/>
          <w:szCs w:val="21"/>
          <w:highlight w:val="none"/>
        </w:rPr>
        <w:t>（8）开标结束。</w:t>
      </w:r>
    </w:p>
    <w:p>
      <w:pPr>
        <w:pStyle w:val="27"/>
        <w:spacing w:line="440" w:lineRule="exact"/>
        <w:ind w:firstLine="359" w:firstLineChars="171"/>
        <w:rPr>
          <w:rFonts w:hAnsi="宋体"/>
          <w:color w:val="auto"/>
          <w:sz w:val="21"/>
          <w:szCs w:val="21"/>
          <w:highlight w:val="none"/>
        </w:rPr>
      </w:pPr>
      <w:r>
        <w:rPr>
          <w:rFonts w:hint="eastAsia" w:hAnsi="宋体"/>
          <w:color w:val="auto"/>
          <w:sz w:val="21"/>
          <w:szCs w:val="21"/>
          <w:highlight w:val="none"/>
        </w:rPr>
        <w:t>16.3资格审查：</w:t>
      </w:r>
    </w:p>
    <w:p>
      <w:pPr>
        <w:pStyle w:val="27"/>
        <w:spacing w:line="440" w:lineRule="exact"/>
        <w:ind w:firstLine="720"/>
        <w:rPr>
          <w:rFonts w:hAnsi="宋体"/>
          <w:color w:val="auto"/>
          <w:sz w:val="21"/>
          <w:szCs w:val="21"/>
          <w:highlight w:val="none"/>
        </w:rPr>
      </w:pPr>
      <w:r>
        <w:rPr>
          <w:rFonts w:hint="eastAsia" w:hAnsi="宋体"/>
          <w:color w:val="auto"/>
          <w:sz w:val="21"/>
          <w:szCs w:val="21"/>
          <w:highlight w:val="none"/>
        </w:rPr>
        <w:t>公开招标采购项目开标结束后，采购人或者采购代理机构依法对投标人的资格进行审查。合格投标人不足3家的，不得评标。</w:t>
      </w:r>
    </w:p>
    <w:p>
      <w:pPr>
        <w:pStyle w:val="27"/>
        <w:spacing w:line="440" w:lineRule="exact"/>
        <w:rPr>
          <w:rFonts w:hAnsi="宋体"/>
          <w:bCs/>
          <w:color w:val="auto"/>
          <w:sz w:val="24"/>
          <w:highlight w:val="none"/>
        </w:rPr>
      </w:pPr>
      <w:r>
        <w:rPr>
          <w:rFonts w:hint="eastAsia" w:hAnsi="宋体"/>
          <w:bCs/>
          <w:color w:val="auto"/>
          <w:sz w:val="24"/>
          <w:highlight w:val="none"/>
        </w:rPr>
        <w:t>17.  评标</w:t>
      </w:r>
    </w:p>
    <w:p>
      <w:pPr>
        <w:pStyle w:val="27"/>
        <w:spacing w:line="440" w:lineRule="exact"/>
        <w:ind w:firstLine="360"/>
        <w:rPr>
          <w:rFonts w:hAnsi="宋体"/>
          <w:color w:val="auto"/>
          <w:sz w:val="21"/>
          <w:szCs w:val="21"/>
          <w:highlight w:val="none"/>
        </w:rPr>
      </w:pPr>
      <w:r>
        <w:rPr>
          <w:rFonts w:hint="eastAsia" w:hAnsi="宋体"/>
          <w:color w:val="auto"/>
          <w:sz w:val="21"/>
          <w:szCs w:val="21"/>
          <w:highlight w:val="none"/>
        </w:rPr>
        <w:t>17.1  评标委员会由采购人代表和评审专家组成</w:t>
      </w:r>
      <w:r>
        <w:rPr>
          <w:rFonts w:hint="eastAsia" w:hAnsi="宋体"/>
          <w:bCs/>
          <w:color w:val="auto"/>
          <w:sz w:val="21"/>
          <w:szCs w:val="21"/>
          <w:highlight w:val="none"/>
        </w:rPr>
        <w:t>。采购人或采购代理机构根据本项目的特点，从财政部门设立的政府采购评审专家库中，通过随机方式抽取专家，</w:t>
      </w:r>
      <w:r>
        <w:rPr>
          <w:rFonts w:hint="eastAsia" w:hAnsi="宋体"/>
          <w:color w:val="auto"/>
          <w:sz w:val="21"/>
          <w:szCs w:val="21"/>
          <w:highlight w:val="none"/>
        </w:rPr>
        <w:t>成员人数应当为5人以上单数，其中评审专家不得少于成员总数的三分之二。采购项目符合下列情形之一的，评标委员会成员人数应当为7人以上单数：1.采购预算金额在1000万元以上；2.技术复杂；3.社会影响较大。</w:t>
      </w:r>
    </w:p>
    <w:p>
      <w:pPr>
        <w:pStyle w:val="27"/>
        <w:spacing w:line="440" w:lineRule="exact"/>
        <w:ind w:firstLine="360"/>
        <w:rPr>
          <w:rFonts w:hAnsi="宋体"/>
          <w:color w:val="auto"/>
          <w:sz w:val="21"/>
          <w:szCs w:val="21"/>
          <w:highlight w:val="none"/>
        </w:rPr>
      </w:pPr>
      <w:r>
        <w:rPr>
          <w:rFonts w:hint="eastAsia"/>
          <w:color w:val="auto"/>
          <w:sz w:val="21"/>
          <w:szCs w:val="21"/>
          <w:highlight w:val="none"/>
        </w:rPr>
        <w:t>17.2  评标原则：评标活动遵循公平、公正、科学和择优的原则。</w:t>
      </w:r>
    </w:p>
    <w:p>
      <w:pPr>
        <w:pStyle w:val="27"/>
        <w:spacing w:line="440" w:lineRule="exact"/>
        <w:ind w:firstLine="360"/>
        <w:rPr>
          <w:rFonts w:hAnsi="宋体"/>
          <w:color w:val="auto"/>
          <w:sz w:val="21"/>
          <w:szCs w:val="21"/>
          <w:highlight w:val="none"/>
        </w:rPr>
      </w:pPr>
      <w:r>
        <w:rPr>
          <w:rFonts w:hint="eastAsia" w:hAnsi="宋体"/>
          <w:color w:val="auto"/>
          <w:sz w:val="21"/>
          <w:szCs w:val="21"/>
          <w:highlight w:val="none"/>
        </w:rPr>
        <w:t>17.3  评标方法：</w:t>
      </w:r>
      <w:r>
        <w:rPr>
          <w:rFonts w:hint="eastAsia"/>
          <w:color w:val="auto"/>
          <w:sz w:val="21"/>
          <w:szCs w:val="21"/>
          <w:highlight w:val="none"/>
        </w:rPr>
        <w:t>评标委员会按照</w:t>
      </w:r>
      <w:r>
        <w:rPr>
          <w:rFonts w:hint="eastAsia" w:hAnsi="宋体"/>
          <w:color w:val="auto"/>
          <w:sz w:val="21"/>
          <w:szCs w:val="21"/>
          <w:highlight w:val="none"/>
        </w:rPr>
        <w:t>投标人须知前附表和</w:t>
      </w:r>
      <w:r>
        <w:rPr>
          <w:rFonts w:hint="eastAsia"/>
          <w:color w:val="auto"/>
          <w:sz w:val="21"/>
          <w:szCs w:val="21"/>
          <w:highlight w:val="none"/>
        </w:rPr>
        <w:t>第三章“评标方法”规定的方法、评审因素和标准对投标文件进行评审。在评标中，不得改变第三章“评标办法”规定的方法、评审因素和标准；第三章“评标办法”没有规定的方法、评审因素和标准，不作为评标依据。</w:t>
      </w:r>
    </w:p>
    <w:p>
      <w:pPr>
        <w:pStyle w:val="27"/>
        <w:spacing w:line="440" w:lineRule="exact"/>
        <w:ind w:firstLine="360"/>
        <w:rPr>
          <w:rFonts w:hAnsi="宋体"/>
          <w:bCs/>
          <w:color w:val="auto"/>
          <w:sz w:val="21"/>
          <w:szCs w:val="21"/>
          <w:highlight w:val="none"/>
        </w:rPr>
      </w:pPr>
      <w:r>
        <w:rPr>
          <w:rFonts w:hint="eastAsia" w:hAnsi="宋体"/>
          <w:color w:val="auto"/>
          <w:sz w:val="21"/>
          <w:szCs w:val="21"/>
          <w:highlight w:val="none"/>
        </w:rPr>
        <w:t xml:space="preserve">17.4  </w:t>
      </w:r>
      <w:r>
        <w:rPr>
          <w:rFonts w:hint="eastAsia" w:hAnsi="宋体"/>
          <w:bCs/>
          <w:color w:val="auto"/>
          <w:sz w:val="21"/>
          <w:szCs w:val="21"/>
          <w:highlight w:val="none"/>
        </w:rPr>
        <w:t>评标程序：</w:t>
      </w:r>
    </w:p>
    <w:p>
      <w:pPr>
        <w:pStyle w:val="27"/>
        <w:spacing w:line="440" w:lineRule="exact"/>
        <w:ind w:firstLine="360"/>
        <w:rPr>
          <w:rFonts w:hAnsi="宋体"/>
          <w:bCs/>
          <w:color w:val="auto"/>
          <w:sz w:val="21"/>
          <w:szCs w:val="21"/>
          <w:highlight w:val="none"/>
        </w:rPr>
      </w:pPr>
      <w:r>
        <w:rPr>
          <w:rFonts w:hint="eastAsia" w:hAnsi="宋体"/>
          <w:bCs/>
          <w:color w:val="auto"/>
          <w:sz w:val="21"/>
          <w:szCs w:val="21"/>
          <w:highlight w:val="none"/>
        </w:rPr>
        <w:t>17.4.1  采购代理机构项目负责人宣读评标现场纪律要求，集中管理通讯工具，询问在场人员是否申请回避；</w:t>
      </w:r>
    </w:p>
    <w:p>
      <w:pPr>
        <w:pStyle w:val="27"/>
        <w:spacing w:line="440" w:lineRule="exact"/>
        <w:ind w:firstLine="360"/>
        <w:rPr>
          <w:rFonts w:hAnsi="宋体"/>
          <w:bCs/>
          <w:color w:val="auto"/>
          <w:sz w:val="21"/>
          <w:szCs w:val="21"/>
          <w:highlight w:val="none"/>
        </w:rPr>
      </w:pPr>
      <w:r>
        <w:rPr>
          <w:rFonts w:hint="eastAsia" w:hAnsi="宋体"/>
          <w:bCs/>
          <w:color w:val="auto"/>
          <w:sz w:val="21"/>
          <w:szCs w:val="21"/>
          <w:highlight w:val="none"/>
        </w:rPr>
        <w:t>17.4.2  采购代理机构项目负责人介绍项目概况及评标委员会组成情况（但不得发表影响评审的倾向性、歧视性言论），推选评标组长（原则上采购人不得担任评标组长）；</w:t>
      </w:r>
    </w:p>
    <w:p>
      <w:pPr>
        <w:pStyle w:val="27"/>
        <w:spacing w:line="440" w:lineRule="exact"/>
        <w:ind w:firstLine="360"/>
        <w:rPr>
          <w:rFonts w:hAnsi="宋体"/>
          <w:bCs/>
          <w:color w:val="auto"/>
          <w:sz w:val="21"/>
          <w:szCs w:val="21"/>
          <w:highlight w:val="none"/>
        </w:rPr>
      </w:pPr>
      <w:r>
        <w:rPr>
          <w:rFonts w:hint="eastAsia" w:hAnsi="宋体"/>
          <w:bCs/>
          <w:color w:val="auto"/>
          <w:sz w:val="21"/>
          <w:szCs w:val="21"/>
          <w:highlight w:val="none"/>
        </w:rPr>
        <w:t>17.4.3  评标委员会按分工开展评标工作：</w:t>
      </w:r>
    </w:p>
    <w:p>
      <w:pPr>
        <w:pStyle w:val="27"/>
        <w:spacing w:line="440" w:lineRule="exact"/>
        <w:ind w:firstLine="720"/>
        <w:rPr>
          <w:rFonts w:hAnsi="宋体"/>
          <w:color w:val="auto"/>
          <w:sz w:val="21"/>
          <w:szCs w:val="21"/>
          <w:highlight w:val="none"/>
        </w:rPr>
      </w:pPr>
      <w:r>
        <w:rPr>
          <w:rFonts w:hint="eastAsia" w:hAnsi="宋体"/>
          <w:color w:val="auto"/>
          <w:sz w:val="21"/>
          <w:szCs w:val="21"/>
          <w:highlight w:val="none"/>
        </w:rPr>
        <w:t>（1）投标文件初审。初审为符合性检查。</w:t>
      </w:r>
    </w:p>
    <w:p>
      <w:pPr>
        <w:pStyle w:val="27"/>
        <w:spacing w:line="440" w:lineRule="exact"/>
        <w:ind w:firstLine="720"/>
        <w:rPr>
          <w:rFonts w:hAnsi="宋体"/>
          <w:color w:val="auto"/>
          <w:sz w:val="21"/>
          <w:szCs w:val="21"/>
          <w:highlight w:val="none"/>
        </w:rPr>
      </w:pPr>
      <w:r>
        <w:rPr>
          <w:rFonts w:hint="eastAsia" w:hAnsi="宋体"/>
          <w:color w:val="auto"/>
          <w:sz w:val="21"/>
          <w:szCs w:val="21"/>
          <w:highlight w:val="none"/>
        </w:rPr>
        <w:t>符合性检查：依据招标文件的规定，从投标文件的有效性、完整性和对招标文件的响应程度进行审查，以确定是否对招标文件的实质性要求和条件作出响应。</w:t>
      </w:r>
    </w:p>
    <w:p>
      <w:pPr>
        <w:pStyle w:val="27"/>
        <w:numPr>
          <w:ilvl w:val="0"/>
          <w:numId w:val="19"/>
        </w:numPr>
        <w:spacing w:line="440" w:lineRule="exact"/>
        <w:ind w:firstLine="720"/>
        <w:rPr>
          <w:rFonts w:hAnsi="宋体"/>
          <w:color w:val="auto"/>
          <w:sz w:val="21"/>
          <w:szCs w:val="21"/>
          <w:highlight w:val="none"/>
        </w:rPr>
      </w:pPr>
      <w:r>
        <w:rPr>
          <w:rFonts w:hint="eastAsia" w:hAnsi="宋体"/>
          <w:color w:val="auto"/>
          <w:sz w:val="21"/>
          <w:szCs w:val="21"/>
          <w:highlight w:val="none"/>
        </w:rPr>
        <w:t>澄清有关问题。评标委员会将根据投标人的投标文件进行审查、核对，如有疑问，要求投标人对投标文件有关事项作出澄清、说明或者补正，投标人要向评标委员会澄清有关问题，并最终以书面形式进行答复。投标人代表未到场或者拒绝澄清或者澄清的内容改变了投标文件的实质性内容的，评标委员会有权视该投标文件无效；</w:t>
      </w:r>
    </w:p>
    <w:p>
      <w:pPr>
        <w:pStyle w:val="27"/>
        <w:spacing w:line="440" w:lineRule="exact"/>
        <w:ind w:firstLine="843" w:firstLineChars="400"/>
        <w:rPr>
          <w:rFonts w:hAnsi="宋体"/>
          <w:color w:val="auto"/>
          <w:sz w:val="21"/>
          <w:szCs w:val="21"/>
          <w:highlight w:val="none"/>
        </w:rPr>
      </w:pPr>
      <w:r>
        <w:rPr>
          <w:rFonts w:hint="eastAsia" w:hAnsi="宋体"/>
          <w:b/>
          <w:bCs/>
          <w:color w:val="auto"/>
          <w:sz w:val="21"/>
          <w:szCs w:val="21"/>
          <w:highlight w:val="none"/>
        </w:rPr>
        <w:t>澄清、说明或者补正的形式：</w:t>
      </w:r>
      <w:r>
        <w:rPr>
          <w:rFonts w:hint="eastAsia" w:hAnsi="宋体"/>
          <w:color w:val="auto"/>
          <w:sz w:val="21"/>
          <w:szCs w:val="21"/>
          <w:highlight w:val="none"/>
        </w:rPr>
        <w:t>对于投标文件中含义不明确、同类问题表述不一致或者有明显文字和计算错误的内容，评标委员会应当以书面形式要求投标人作出必要的澄清、说明或者补正。投标人的澄清、说明或者补正应当采用书面形式，并加盖公章，或者由法定代表人或其授权的代表签字。投标人的澄清、说明或者补正不得超出投标文件的范围或者改变投标文件的实质性内容。</w:t>
      </w:r>
    </w:p>
    <w:p>
      <w:pPr>
        <w:pStyle w:val="27"/>
        <w:spacing w:line="440" w:lineRule="exact"/>
        <w:ind w:firstLine="720"/>
        <w:rPr>
          <w:rFonts w:hAnsi="宋体"/>
          <w:color w:val="auto"/>
          <w:sz w:val="21"/>
          <w:szCs w:val="21"/>
          <w:highlight w:val="none"/>
        </w:rPr>
      </w:pPr>
      <w:r>
        <w:rPr>
          <w:rFonts w:hint="eastAsia" w:hAnsi="宋体"/>
          <w:color w:val="auto"/>
          <w:sz w:val="21"/>
          <w:szCs w:val="21"/>
          <w:highlight w:val="none"/>
        </w:rPr>
        <w:t>（3）比较与评价。按招标文件中规定的评标方法和标准，对资格性检查和符合性检查合格的投标文件进行商务和技术评估，综合比较与评价。</w:t>
      </w:r>
    </w:p>
    <w:p>
      <w:pPr>
        <w:pStyle w:val="27"/>
        <w:spacing w:line="440" w:lineRule="exact"/>
        <w:ind w:firstLine="720"/>
        <w:rPr>
          <w:rFonts w:hAnsi="宋体"/>
          <w:color w:val="auto"/>
          <w:sz w:val="21"/>
          <w:szCs w:val="21"/>
          <w:highlight w:val="none"/>
        </w:rPr>
      </w:pPr>
      <w:r>
        <w:rPr>
          <w:rFonts w:hint="eastAsia" w:hAnsi="宋体"/>
          <w:color w:val="auto"/>
          <w:sz w:val="21"/>
          <w:szCs w:val="21"/>
          <w:highlight w:val="none"/>
        </w:rPr>
        <w:t>（4）</w:t>
      </w:r>
      <w:r>
        <w:rPr>
          <w:rFonts w:hAnsi="宋体"/>
          <w:color w:val="auto"/>
          <w:sz w:val="21"/>
          <w:szCs w:val="21"/>
          <w:highlight w:val="none"/>
        </w:rPr>
        <w:t>编写评标报告</w:t>
      </w:r>
      <w:r>
        <w:rPr>
          <w:rFonts w:hint="eastAsia" w:hAnsi="宋体"/>
          <w:color w:val="auto"/>
          <w:sz w:val="21"/>
          <w:szCs w:val="21"/>
          <w:highlight w:val="none"/>
        </w:rPr>
        <w:t>，并确定中标候选供应商或中标供应商名单。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pStyle w:val="27"/>
        <w:spacing w:line="440" w:lineRule="exact"/>
        <w:ind w:firstLine="360"/>
        <w:rPr>
          <w:rFonts w:hAnsi="宋体"/>
          <w:bCs/>
          <w:color w:val="auto"/>
          <w:sz w:val="21"/>
          <w:szCs w:val="21"/>
          <w:highlight w:val="none"/>
        </w:rPr>
      </w:pPr>
      <w:r>
        <w:rPr>
          <w:rFonts w:hint="eastAsia" w:hAnsi="宋体"/>
          <w:color w:val="auto"/>
          <w:sz w:val="21"/>
          <w:szCs w:val="21"/>
          <w:highlight w:val="none"/>
        </w:rPr>
        <w:t>17.4.4  整个现场评标过程中，采购代理机构应严格按照招标文件既定的程序组织评委评审，针对评委作出的评分、评标结论现场认真进行核对和复核，如有错漏，应及时请当事评委进行校正</w:t>
      </w:r>
      <w:r>
        <w:rPr>
          <w:rFonts w:hAnsi="宋体"/>
          <w:color w:val="auto"/>
          <w:sz w:val="21"/>
          <w:szCs w:val="21"/>
          <w:highlight w:val="none"/>
        </w:rPr>
        <w:t>。</w:t>
      </w:r>
    </w:p>
    <w:p>
      <w:pPr>
        <w:pStyle w:val="27"/>
        <w:spacing w:line="440" w:lineRule="exact"/>
        <w:ind w:firstLine="359" w:firstLineChars="171"/>
        <w:rPr>
          <w:rFonts w:hAnsi="宋体"/>
          <w:color w:val="auto"/>
          <w:sz w:val="21"/>
          <w:szCs w:val="21"/>
          <w:highlight w:val="none"/>
        </w:rPr>
      </w:pPr>
      <w:r>
        <w:rPr>
          <w:rFonts w:hint="eastAsia" w:hAnsi="宋体"/>
          <w:color w:val="auto"/>
          <w:sz w:val="21"/>
          <w:szCs w:val="21"/>
          <w:highlight w:val="none"/>
        </w:rPr>
        <w:t>17.5  在确定中标供应商前，采购人或采购代理机构不得与投标供应商就投标价格、投标方案等实质性内容进行谈判。</w:t>
      </w:r>
    </w:p>
    <w:p>
      <w:pPr>
        <w:pStyle w:val="27"/>
        <w:spacing w:line="440" w:lineRule="exact"/>
        <w:ind w:firstLine="359" w:firstLineChars="171"/>
        <w:rPr>
          <w:rFonts w:hAnsi="宋体"/>
          <w:color w:val="auto"/>
          <w:sz w:val="21"/>
          <w:szCs w:val="21"/>
          <w:highlight w:val="none"/>
        </w:rPr>
      </w:pPr>
      <w:r>
        <w:rPr>
          <w:rFonts w:hint="eastAsia" w:hAnsi="宋体"/>
          <w:color w:val="auto"/>
          <w:sz w:val="21"/>
          <w:szCs w:val="21"/>
          <w:highlight w:val="none"/>
        </w:rPr>
        <w:t>17.6  评标过程的保密。评标在严格保密的情况下进行，任何单位和个人不得非法干预、影响评标办法的确定，以及评标过程和结果。评标委员会成员和参与评标的有关工作人员不得透露对投标文件的评审和比较、中标候选人的推荐情况以及与评标有关的其他情况。</w:t>
      </w:r>
    </w:p>
    <w:p>
      <w:pPr>
        <w:pStyle w:val="27"/>
        <w:spacing w:line="440" w:lineRule="exact"/>
        <w:rPr>
          <w:bCs/>
          <w:color w:val="auto"/>
          <w:sz w:val="24"/>
          <w:highlight w:val="none"/>
        </w:rPr>
      </w:pPr>
      <w:r>
        <w:rPr>
          <w:rFonts w:hint="eastAsia"/>
          <w:bCs/>
          <w:color w:val="auto"/>
          <w:sz w:val="24"/>
          <w:highlight w:val="none"/>
        </w:rPr>
        <w:t>18.  投标文件的修正</w:t>
      </w:r>
    </w:p>
    <w:p>
      <w:pPr>
        <w:pStyle w:val="27"/>
        <w:spacing w:line="440" w:lineRule="exact"/>
        <w:ind w:firstLine="359" w:firstLineChars="171"/>
        <w:rPr>
          <w:rFonts w:hAnsi="宋体"/>
          <w:color w:val="auto"/>
          <w:sz w:val="21"/>
          <w:szCs w:val="21"/>
          <w:highlight w:val="none"/>
        </w:rPr>
      </w:pPr>
      <w:r>
        <w:rPr>
          <w:rFonts w:hint="eastAsia" w:hAnsi="宋体"/>
          <w:color w:val="auto"/>
          <w:sz w:val="21"/>
          <w:szCs w:val="21"/>
          <w:highlight w:val="none"/>
        </w:rPr>
        <w:t>18.1  如果出现计算或表达上的错误，修正的原则如下：</w:t>
      </w:r>
    </w:p>
    <w:p>
      <w:pPr>
        <w:pStyle w:val="27"/>
        <w:spacing w:line="440" w:lineRule="exact"/>
        <w:ind w:firstLine="720"/>
        <w:rPr>
          <w:color w:val="auto"/>
          <w:sz w:val="21"/>
          <w:szCs w:val="21"/>
          <w:highlight w:val="none"/>
        </w:rPr>
      </w:pPr>
      <w:r>
        <w:rPr>
          <w:rFonts w:hint="eastAsia"/>
          <w:color w:val="auto"/>
          <w:sz w:val="21"/>
          <w:szCs w:val="21"/>
          <w:highlight w:val="none"/>
        </w:rPr>
        <w:t>（1）投标文件中开标一览表（报价表）内容与投标文件中相应内容不一致的，以开标一览表（报价表）为准；</w:t>
      </w:r>
    </w:p>
    <w:p>
      <w:pPr>
        <w:pStyle w:val="27"/>
        <w:spacing w:line="440" w:lineRule="exact"/>
        <w:ind w:firstLine="720"/>
        <w:rPr>
          <w:color w:val="auto"/>
          <w:sz w:val="21"/>
          <w:szCs w:val="21"/>
          <w:highlight w:val="none"/>
        </w:rPr>
      </w:pPr>
      <w:r>
        <w:rPr>
          <w:rFonts w:hint="eastAsia" w:hAnsi="宋体"/>
          <w:color w:val="auto"/>
          <w:sz w:val="21"/>
          <w:szCs w:val="21"/>
          <w:highlight w:val="none"/>
        </w:rPr>
        <w:t>（2）</w:t>
      </w:r>
      <w:r>
        <w:rPr>
          <w:rFonts w:hint="eastAsia"/>
          <w:color w:val="auto"/>
          <w:sz w:val="21"/>
          <w:szCs w:val="21"/>
          <w:highlight w:val="none"/>
        </w:rPr>
        <w:t>大写金额和小写金额不一致的，以大写金额为准；</w:t>
      </w:r>
    </w:p>
    <w:p>
      <w:pPr>
        <w:pStyle w:val="27"/>
        <w:spacing w:line="440" w:lineRule="exact"/>
        <w:ind w:firstLine="720"/>
        <w:rPr>
          <w:color w:val="auto"/>
          <w:sz w:val="21"/>
          <w:szCs w:val="21"/>
          <w:highlight w:val="none"/>
        </w:rPr>
      </w:pPr>
      <w:r>
        <w:rPr>
          <w:rFonts w:hint="eastAsia" w:hAnsi="宋体"/>
          <w:color w:val="auto"/>
          <w:sz w:val="21"/>
          <w:szCs w:val="21"/>
          <w:highlight w:val="none"/>
        </w:rPr>
        <w:t>（3）</w:t>
      </w:r>
      <w:r>
        <w:rPr>
          <w:rFonts w:hint="eastAsia"/>
          <w:color w:val="auto"/>
          <w:sz w:val="21"/>
          <w:szCs w:val="21"/>
          <w:highlight w:val="none"/>
        </w:rPr>
        <w:t>单价金额小数点或者百分比有明显错位的，以开标一览表的总价为准，并修改单价；</w:t>
      </w:r>
    </w:p>
    <w:p>
      <w:pPr>
        <w:pStyle w:val="27"/>
        <w:spacing w:line="440" w:lineRule="exact"/>
        <w:ind w:firstLine="720"/>
        <w:rPr>
          <w:color w:val="auto"/>
          <w:sz w:val="21"/>
          <w:szCs w:val="21"/>
          <w:highlight w:val="none"/>
        </w:rPr>
      </w:pPr>
      <w:r>
        <w:rPr>
          <w:rFonts w:hint="eastAsia" w:hAnsi="宋体"/>
          <w:color w:val="auto"/>
          <w:sz w:val="21"/>
          <w:szCs w:val="21"/>
          <w:highlight w:val="none"/>
        </w:rPr>
        <w:t>（4）</w:t>
      </w:r>
      <w:r>
        <w:rPr>
          <w:rFonts w:hint="eastAsia"/>
          <w:color w:val="auto"/>
          <w:sz w:val="21"/>
          <w:szCs w:val="21"/>
          <w:highlight w:val="none"/>
        </w:rPr>
        <w:t>总价金额与按单价汇总金额不一致的，以单价金额计算结果为准。</w:t>
      </w:r>
    </w:p>
    <w:p>
      <w:pPr>
        <w:pStyle w:val="27"/>
        <w:spacing w:line="440" w:lineRule="exact"/>
        <w:ind w:firstLine="720"/>
        <w:rPr>
          <w:color w:val="auto"/>
          <w:sz w:val="21"/>
          <w:szCs w:val="21"/>
          <w:highlight w:val="none"/>
        </w:rPr>
      </w:pPr>
      <w:r>
        <w:rPr>
          <w:rFonts w:hint="eastAsia" w:hAnsi="宋体"/>
          <w:color w:val="auto"/>
          <w:sz w:val="21"/>
          <w:szCs w:val="21"/>
          <w:highlight w:val="none"/>
        </w:rPr>
        <w:t>（5）</w:t>
      </w:r>
      <w:r>
        <w:rPr>
          <w:rFonts w:hint="eastAsia"/>
          <w:color w:val="auto"/>
          <w:sz w:val="21"/>
          <w:szCs w:val="21"/>
          <w:highlight w:val="none"/>
        </w:rPr>
        <w:t>对不同文字文本投标文件的解释发生异议的，以中文文本为准。</w:t>
      </w:r>
    </w:p>
    <w:p>
      <w:pPr>
        <w:pStyle w:val="27"/>
        <w:spacing w:line="440" w:lineRule="exact"/>
        <w:ind w:firstLine="360"/>
        <w:rPr>
          <w:rFonts w:hAnsi="宋体"/>
          <w:color w:val="auto"/>
          <w:sz w:val="21"/>
          <w:szCs w:val="21"/>
          <w:highlight w:val="none"/>
        </w:rPr>
      </w:pPr>
      <w:r>
        <w:rPr>
          <w:rFonts w:hint="eastAsia" w:hAnsi="宋体"/>
          <w:color w:val="auto"/>
          <w:sz w:val="21"/>
          <w:szCs w:val="21"/>
          <w:highlight w:val="none"/>
        </w:rPr>
        <w:t>18.2  同时出现两种以上不一致的，按照18.1款规定的顺序修正。修正后的报价加盖公章，或者由法定代表人或其授权的代表签字确认后产生约束力，投标人不确认的，其投标无效。</w:t>
      </w:r>
    </w:p>
    <w:p>
      <w:pPr>
        <w:pStyle w:val="27"/>
        <w:spacing w:line="440" w:lineRule="exact"/>
        <w:rPr>
          <w:rFonts w:hAnsi="宋体"/>
          <w:b/>
          <w:bCs/>
          <w:color w:val="auto"/>
          <w:sz w:val="24"/>
          <w:highlight w:val="none"/>
        </w:rPr>
      </w:pPr>
      <w:r>
        <w:rPr>
          <w:rFonts w:hint="eastAsia" w:hAnsi="宋体"/>
          <w:b/>
          <w:bCs/>
          <w:color w:val="auto"/>
          <w:sz w:val="24"/>
          <w:highlight w:val="none"/>
        </w:rPr>
        <w:t>19.  拒绝接收</w:t>
      </w:r>
    </w:p>
    <w:p>
      <w:pPr>
        <w:spacing w:line="440" w:lineRule="exact"/>
        <w:ind w:firstLine="720"/>
        <w:rPr>
          <w:rFonts w:ascii="宋体" w:hAnsi="宋体"/>
          <w:color w:val="auto"/>
          <w:szCs w:val="21"/>
          <w:highlight w:val="none"/>
        </w:rPr>
      </w:pPr>
      <w:r>
        <w:rPr>
          <w:rFonts w:hint="eastAsia" w:ascii="宋体" w:hAnsi="Courier New"/>
          <w:color w:val="auto"/>
          <w:szCs w:val="21"/>
          <w:highlight w:val="none"/>
        </w:rPr>
        <w:t xml:space="preserve">19.1  </w:t>
      </w:r>
      <w:r>
        <w:rPr>
          <w:rFonts w:hint="eastAsia" w:ascii="宋体" w:hAnsi="宋体"/>
          <w:color w:val="auto"/>
          <w:szCs w:val="21"/>
          <w:highlight w:val="none"/>
        </w:rPr>
        <w:t>投标人</w:t>
      </w:r>
      <w:r>
        <w:rPr>
          <w:rFonts w:hint="eastAsia" w:ascii="宋体" w:hAnsi="Courier New"/>
          <w:color w:val="auto"/>
          <w:szCs w:val="21"/>
          <w:highlight w:val="none"/>
        </w:rPr>
        <w:t>未在本章第14.2项规定的时间之前将投标文件送达至本章第14.4项指定地点的</w:t>
      </w:r>
      <w:r>
        <w:rPr>
          <w:rFonts w:hint="eastAsia" w:ascii="宋体" w:hAnsi="宋体"/>
          <w:color w:val="auto"/>
          <w:szCs w:val="21"/>
          <w:highlight w:val="none"/>
        </w:rPr>
        <w:t>，采购代理机构应当拒绝接收该投标人的投标文件。</w:t>
      </w:r>
    </w:p>
    <w:p>
      <w:pPr>
        <w:spacing w:line="440" w:lineRule="exact"/>
        <w:ind w:firstLine="720"/>
        <w:rPr>
          <w:rFonts w:ascii="宋体" w:hAnsi="宋体"/>
          <w:color w:val="auto"/>
          <w:szCs w:val="21"/>
          <w:highlight w:val="none"/>
        </w:rPr>
      </w:pPr>
      <w:r>
        <w:rPr>
          <w:rFonts w:hint="eastAsia" w:ascii="宋体" w:hAnsi="Courier New"/>
          <w:color w:val="auto"/>
          <w:szCs w:val="21"/>
          <w:highlight w:val="none"/>
        </w:rPr>
        <w:t xml:space="preserve">19.2  </w:t>
      </w:r>
      <w:r>
        <w:rPr>
          <w:rFonts w:hint="eastAsia" w:ascii="宋体" w:hAnsi="宋体"/>
          <w:color w:val="auto"/>
          <w:szCs w:val="21"/>
          <w:highlight w:val="none"/>
        </w:rPr>
        <w:t>投标人</w:t>
      </w:r>
      <w:r>
        <w:rPr>
          <w:rFonts w:hint="eastAsia" w:ascii="宋体" w:hAnsi="Courier New"/>
          <w:color w:val="auto"/>
          <w:szCs w:val="21"/>
          <w:highlight w:val="none"/>
        </w:rPr>
        <w:t>未在本章第14.5项规定的</w:t>
      </w:r>
      <w:r>
        <w:rPr>
          <w:rFonts w:hint="eastAsia" w:ascii="宋体" w:hAnsi="宋体"/>
          <w:color w:val="auto"/>
          <w:szCs w:val="21"/>
          <w:highlight w:val="none"/>
        </w:rPr>
        <w:t>时间</w:t>
      </w:r>
      <w:r>
        <w:rPr>
          <w:rFonts w:hint="eastAsia" w:ascii="宋体" w:hAnsi="Courier New"/>
          <w:color w:val="auto"/>
          <w:szCs w:val="21"/>
          <w:highlight w:val="none"/>
        </w:rPr>
        <w:t>之前将投标样品送达至本章第14.6项指定地点的</w:t>
      </w:r>
      <w:r>
        <w:rPr>
          <w:rFonts w:hint="eastAsia" w:ascii="宋体" w:hAnsi="宋体"/>
          <w:color w:val="auto"/>
          <w:szCs w:val="21"/>
          <w:highlight w:val="none"/>
        </w:rPr>
        <w:t>，采购代理机构应当拒绝接收该投标人的投标样品。</w:t>
      </w:r>
    </w:p>
    <w:p>
      <w:pPr>
        <w:pStyle w:val="27"/>
        <w:spacing w:line="440" w:lineRule="exact"/>
        <w:rPr>
          <w:rFonts w:hAnsi="宋体"/>
          <w:b/>
          <w:bCs/>
          <w:color w:val="auto"/>
          <w:sz w:val="24"/>
          <w:highlight w:val="none"/>
        </w:rPr>
      </w:pPr>
      <w:r>
        <w:rPr>
          <w:rFonts w:hint="eastAsia" w:hAnsi="宋体"/>
          <w:b/>
          <w:bCs/>
          <w:color w:val="auto"/>
          <w:sz w:val="24"/>
          <w:highlight w:val="none"/>
        </w:rPr>
        <w:t>20.  无效投标</w:t>
      </w:r>
    </w:p>
    <w:p>
      <w:pPr>
        <w:pStyle w:val="27"/>
        <w:spacing w:line="440" w:lineRule="exact"/>
        <w:ind w:firstLine="359" w:firstLineChars="171"/>
        <w:rPr>
          <w:rFonts w:hAnsi="宋体"/>
          <w:color w:val="auto"/>
          <w:sz w:val="21"/>
          <w:szCs w:val="21"/>
          <w:highlight w:val="none"/>
        </w:rPr>
      </w:pPr>
      <w:r>
        <w:rPr>
          <w:rFonts w:hint="eastAsia" w:hAnsi="宋体"/>
          <w:color w:val="auto"/>
          <w:sz w:val="21"/>
          <w:szCs w:val="21"/>
          <w:highlight w:val="none"/>
        </w:rPr>
        <w:t>20.1  属下列情形之一的，投标人的投标无效：</w:t>
      </w:r>
    </w:p>
    <w:p>
      <w:pPr>
        <w:spacing w:line="440" w:lineRule="exact"/>
        <w:ind w:firstLine="718" w:firstLineChars="342"/>
        <w:rPr>
          <w:rFonts w:ascii="宋体" w:hAnsi="宋体"/>
          <w:color w:val="auto"/>
          <w:szCs w:val="21"/>
          <w:highlight w:val="none"/>
        </w:rPr>
      </w:pPr>
      <w:r>
        <w:rPr>
          <w:rFonts w:hint="eastAsia" w:ascii="宋体" w:hAnsi="宋体"/>
          <w:color w:val="auto"/>
          <w:szCs w:val="21"/>
          <w:highlight w:val="none"/>
        </w:rPr>
        <w:t>（1）投标人不具备本章第3项规定的投标人资格要求的；</w:t>
      </w:r>
    </w:p>
    <w:p>
      <w:pPr>
        <w:spacing w:line="440" w:lineRule="exact"/>
        <w:ind w:firstLine="718" w:firstLineChars="342"/>
        <w:rPr>
          <w:rFonts w:ascii="宋体" w:hAnsi="宋体"/>
          <w:color w:val="auto"/>
          <w:szCs w:val="21"/>
          <w:highlight w:val="none"/>
        </w:rPr>
      </w:pPr>
      <w:r>
        <w:rPr>
          <w:rFonts w:hint="eastAsia" w:ascii="宋体" w:hAnsi="宋体"/>
          <w:color w:val="auto"/>
          <w:szCs w:val="21"/>
          <w:highlight w:val="none"/>
        </w:rPr>
        <w:t xml:space="preserve">（2）投标文件未按本章第8.8项的规定标识或未按规定的正、副本数量递交的； </w:t>
      </w:r>
    </w:p>
    <w:p>
      <w:pPr>
        <w:spacing w:line="440" w:lineRule="exact"/>
        <w:ind w:firstLine="718" w:firstLineChars="342"/>
        <w:rPr>
          <w:rFonts w:ascii="宋体" w:hAnsi="宋体"/>
          <w:color w:val="auto"/>
          <w:szCs w:val="21"/>
          <w:highlight w:val="none"/>
        </w:rPr>
      </w:pPr>
      <w:r>
        <w:rPr>
          <w:rFonts w:hint="eastAsia" w:ascii="宋体" w:hAnsi="宋体"/>
          <w:color w:val="auto"/>
          <w:szCs w:val="21"/>
          <w:highlight w:val="none"/>
        </w:rPr>
        <w:t>（3）</w:t>
      </w:r>
      <w:r>
        <w:rPr>
          <w:rFonts w:ascii="宋体" w:hAnsi="Courier New"/>
          <w:color w:val="auto"/>
          <w:szCs w:val="21"/>
          <w:highlight w:val="none"/>
        </w:rPr>
        <w:t>投标文件未按本章第10.1项的规定提交的（包括缺少应提交的文件或不按要求签字盖章）</w:t>
      </w:r>
      <w:r>
        <w:rPr>
          <w:rFonts w:hint="eastAsia" w:ascii="宋体" w:hAnsi="宋体"/>
          <w:color w:val="auto"/>
          <w:szCs w:val="21"/>
          <w:highlight w:val="none"/>
        </w:rPr>
        <w:t>；</w:t>
      </w:r>
    </w:p>
    <w:p>
      <w:pPr>
        <w:spacing w:line="440" w:lineRule="exact"/>
        <w:ind w:firstLine="718" w:firstLineChars="342"/>
        <w:rPr>
          <w:rFonts w:ascii="宋体" w:hAnsi="宋体"/>
          <w:color w:val="auto"/>
          <w:szCs w:val="21"/>
          <w:highlight w:val="none"/>
        </w:rPr>
      </w:pPr>
      <w:r>
        <w:rPr>
          <w:rFonts w:hint="eastAsia" w:ascii="宋体" w:hAnsi="宋体"/>
          <w:color w:val="auto"/>
          <w:szCs w:val="21"/>
          <w:highlight w:val="none"/>
        </w:rPr>
        <w:t>（4）投标报价不符合本章第11项规定的或超过采购预算的；</w:t>
      </w:r>
    </w:p>
    <w:p>
      <w:pPr>
        <w:spacing w:line="440" w:lineRule="exact"/>
        <w:ind w:firstLine="718" w:firstLineChars="342"/>
        <w:rPr>
          <w:rFonts w:ascii="宋体" w:hAnsi="宋体"/>
          <w:color w:val="auto"/>
          <w:szCs w:val="21"/>
          <w:highlight w:val="none"/>
        </w:rPr>
      </w:pPr>
      <w:r>
        <w:rPr>
          <w:rFonts w:hint="eastAsia" w:ascii="宋体" w:hAnsi="宋体"/>
          <w:color w:val="auto"/>
          <w:szCs w:val="21"/>
          <w:highlight w:val="none"/>
        </w:rPr>
        <w:t>（5）投标文件不符合本章第14.1项规定的；</w:t>
      </w:r>
    </w:p>
    <w:p>
      <w:pPr>
        <w:spacing w:line="440" w:lineRule="exact"/>
        <w:ind w:firstLine="718" w:firstLineChars="342"/>
        <w:rPr>
          <w:rFonts w:ascii="宋体" w:hAnsi="宋体"/>
          <w:color w:val="auto"/>
          <w:szCs w:val="21"/>
          <w:highlight w:val="none"/>
        </w:rPr>
      </w:pPr>
      <w:r>
        <w:rPr>
          <w:rFonts w:hint="eastAsia" w:ascii="宋体" w:hAnsi="宋体"/>
          <w:color w:val="auto"/>
          <w:szCs w:val="21"/>
          <w:highlight w:val="none"/>
        </w:rPr>
        <w:t>（6）投标人出现本章第17.4.3.1项所述的投标文件将被视为无效的情形的；</w:t>
      </w:r>
    </w:p>
    <w:p>
      <w:pPr>
        <w:spacing w:line="440" w:lineRule="exact"/>
        <w:ind w:firstLine="718" w:firstLineChars="342"/>
        <w:rPr>
          <w:rFonts w:ascii="宋体" w:hAnsi="宋体"/>
          <w:color w:val="auto"/>
          <w:szCs w:val="21"/>
          <w:highlight w:val="none"/>
        </w:rPr>
      </w:pPr>
      <w:r>
        <w:rPr>
          <w:rFonts w:hint="eastAsia" w:ascii="宋体" w:hAnsi="宋体"/>
          <w:color w:val="auto"/>
          <w:szCs w:val="21"/>
          <w:highlight w:val="none"/>
        </w:rPr>
        <w:t>（7）投标人出现本章第18.2项所述情形的；</w:t>
      </w:r>
    </w:p>
    <w:p>
      <w:pPr>
        <w:spacing w:line="440" w:lineRule="exact"/>
        <w:ind w:firstLine="718" w:firstLineChars="342"/>
        <w:rPr>
          <w:rFonts w:ascii="宋体" w:hAnsi="宋体"/>
          <w:color w:val="auto"/>
          <w:szCs w:val="21"/>
          <w:highlight w:val="none"/>
        </w:rPr>
      </w:pPr>
      <w:r>
        <w:rPr>
          <w:rFonts w:hint="eastAsia" w:ascii="宋体" w:hAnsi="宋体"/>
          <w:color w:val="auto"/>
          <w:szCs w:val="21"/>
          <w:highlight w:val="none"/>
        </w:rPr>
        <w:t>（8）投标文件未对招标文件提出的要求和条件作出实质性响应的；</w:t>
      </w:r>
    </w:p>
    <w:p>
      <w:pPr>
        <w:spacing w:line="440" w:lineRule="exact"/>
        <w:ind w:firstLine="718" w:firstLineChars="342"/>
        <w:rPr>
          <w:rFonts w:ascii="宋体" w:hAnsi="宋体"/>
          <w:color w:val="auto"/>
          <w:szCs w:val="21"/>
          <w:highlight w:val="none"/>
        </w:rPr>
      </w:pPr>
      <w:r>
        <w:rPr>
          <w:rFonts w:hint="eastAsia" w:ascii="宋体" w:hAnsi="宋体"/>
          <w:color w:val="auto"/>
          <w:szCs w:val="21"/>
          <w:highlight w:val="none"/>
        </w:rPr>
        <w:t>（9）投标文件附有采购需求以外的条件使评标委员会认为不能接受的；</w:t>
      </w:r>
    </w:p>
    <w:p>
      <w:pPr>
        <w:spacing w:line="440" w:lineRule="exact"/>
        <w:ind w:firstLine="718" w:firstLineChars="342"/>
        <w:rPr>
          <w:rFonts w:ascii="宋体" w:hAnsi="宋体"/>
          <w:color w:val="auto"/>
          <w:szCs w:val="21"/>
          <w:highlight w:val="none"/>
        </w:rPr>
      </w:pPr>
      <w:r>
        <w:rPr>
          <w:rFonts w:hint="eastAsia" w:ascii="宋体" w:hAnsi="宋体"/>
          <w:color w:val="auto"/>
          <w:szCs w:val="21"/>
          <w:highlight w:val="none"/>
        </w:rPr>
        <w:t>（10）投标人在投标过程中提供虚假材料的；</w:t>
      </w:r>
    </w:p>
    <w:p>
      <w:pPr>
        <w:spacing w:line="440" w:lineRule="exact"/>
        <w:ind w:firstLine="718" w:firstLineChars="342"/>
        <w:rPr>
          <w:rFonts w:ascii="宋体" w:hAnsi="宋体"/>
          <w:color w:val="auto"/>
          <w:szCs w:val="21"/>
          <w:highlight w:val="none"/>
        </w:rPr>
      </w:pPr>
      <w:r>
        <w:rPr>
          <w:rFonts w:hint="eastAsia" w:ascii="宋体" w:hAnsi="宋体"/>
          <w:color w:val="auto"/>
          <w:szCs w:val="21"/>
          <w:highlight w:val="none"/>
        </w:rPr>
        <w:t>（11）投标文件含有违反国家法律、法规的内容；</w:t>
      </w:r>
    </w:p>
    <w:p>
      <w:pPr>
        <w:spacing w:line="440" w:lineRule="exact"/>
        <w:ind w:firstLine="718" w:firstLineChars="342"/>
        <w:rPr>
          <w:rFonts w:ascii="宋体" w:hAnsi="宋体"/>
          <w:color w:val="auto"/>
          <w:szCs w:val="21"/>
          <w:highlight w:val="none"/>
        </w:rPr>
      </w:pPr>
      <w:r>
        <w:rPr>
          <w:rFonts w:hint="eastAsia" w:ascii="宋体" w:hAnsi="宋体"/>
          <w:color w:val="auto"/>
          <w:szCs w:val="21"/>
          <w:highlight w:val="none"/>
        </w:rPr>
        <w:t>（12）未满足货物需求一览表中标注★号的内容为实质性条款内容的；</w:t>
      </w:r>
    </w:p>
    <w:p>
      <w:pPr>
        <w:spacing w:line="440" w:lineRule="exact"/>
        <w:ind w:firstLine="718" w:firstLineChars="342"/>
        <w:rPr>
          <w:rFonts w:ascii="宋体" w:hAnsi="宋体"/>
          <w:color w:val="auto"/>
          <w:szCs w:val="21"/>
          <w:highlight w:val="none"/>
        </w:rPr>
      </w:pPr>
      <w:r>
        <w:rPr>
          <w:rFonts w:hint="eastAsia" w:ascii="宋体" w:hAnsi="宋体"/>
          <w:color w:val="auto"/>
          <w:szCs w:val="21"/>
          <w:highlight w:val="none"/>
        </w:rPr>
        <w:t>（13）允许偏离的技术、性能指标或者辅助功能项目经评标委员会认定发生负偏离达5项（含）以上的（按</w:t>
      </w:r>
      <w:r>
        <w:rPr>
          <w:rFonts w:hint="eastAsia" w:ascii="宋体" w:hAnsi="宋体"/>
          <w:color w:val="auto"/>
          <w:szCs w:val="21"/>
          <w:highlight w:val="none"/>
          <w:lang w:eastAsia="zh-CN"/>
        </w:rPr>
        <w:t>标段</w:t>
      </w:r>
      <w:r>
        <w:rPr>
          <w:rFonts w:hint="eastAsia" w:ascii="宋体" w:hAnsi="宋体"/>
          <w:color w:val="auto"/>
          <w:szCs w:val="21"/>
          <w:highlight w:val="none"/>
        </w:rPr>
        <w:t>独立统计）；</w:t>
      </w:r>
    </w:p>
    <w:p>
      <w:pPr>
        <w:pStyle w:val="27"/>
        <w:spacing w:line="440" w:lineRule="exact"/>
        <w:rPr>
          <w:rFonts w:hAnsi="宋体"/>
          <w:b/>
          <w:bCs/>
          <w:color w:val="auto"/>
          <w:sz w:val="24"/>
          <w:highlight w:val="none"/>
        </w:rPr>
      </w:pPr>
      <w:r>
        <w:rPr>
          <w:rFonts w:hint="eastAsia" w:hAnsi="宋体"/>
          <w:b/>
          <w:bCs/>
          <w:color w:val="auto"/>
          <w:sz w:val="24"/>
          <w:highlight w:val="none"/>
        </w:rPr>
        <w:t>21.  废标</w:t>
      </w:r>
    </w:p>
    <w:p>
      <w:pPr>
        <w:pStyle w:val="27"/>
        <w:spacing w:line="440" w:lineRule="exact"/>
        <w:ind w:firstLine="359" w:firstLineChars="171"/>
        <w:rPr>
          <w:rFonts w:hAnsi="宋体"/>
          <w:color w:val="auto"/>
          <w:sz w:val="21"/>
          <w:szCs w:val="21"/>
          <w:highlight w:val="none"/>
        </w:rPr>
      </w:pPr>
      <w:r>
        <w:rPr>
          <w:rFonts w:hint="eastAsia" w:hAnsi="宋体"/>
          <w:color w:val="auto"/>
          <w:sz w:val="21"/>
          <w:szCs w:val="21"/>
          <w:highlight w:val="none"/>
        </w:rPr>
        <w:t>21.1  在招标过程中，出现下列情形之一的，予以废标：</w:t>
      </w:r>
    </w:p>
    <w:p>
      <w:pPr>
        <w:pStyle w:val="27"/>
        <w:spacing w:line="440" w:lineRule="exact"/>
        <w:ind w:firstLine="720"/>
        <w:rPr>
          <w:rFonts w:hAnsi="宋体"/>
          <w:color w:val="auto"/>
          <w:sz w:val="21"/>
          <w:szCs w:val="21"/>
          <w:highlight w:val="none"/>
        </w:rPr>
      </w:pPr>
      <w:r>
        <w:rPr>
          <w:rFonts w:hint="eastAsia" w:hAnsi="宋体"/>
          <w:color w:val="auto"/>
          <w:sz w:val="21"/>
          <w:szCs w:val="21"/>
          <w:highlight w:val="none"/>
        </w:rPr>
        <w:t>（1）符合专业条件的供应商或者对招标文件作实质响应的供应商不足三家的；</w:t>
      </w:r>
    </w:p>
    <w:p>
      <w:pPr>
        <w:pStyle w:val="27"/>
        <w:spacing w:line="440" w:lineRule="exact"/>
        <w:ind w:firstLine="720"/>
        <w:rPr>
          <w:rFonts w:hAnsi="宋体"/>
          <w:bCs/>
          <w:color w:val="auto"/>
          <w:sz w:val="21"/>
          <w:szCs w:val="21"/>
          <w:highlight w:val="none"/>
        </w:rPr>
      </w:pPr>
      <w:r>
        <w:rPr>
          <w:rFonts w:hint="eastAsia" w:hAnsi="宋体"/>
          <w:color w:val="auto"/>
          <w:sz w:val="21"/>
          <w:szCs w:val="21"/>
          <w:highlight w:val="none"/>
        </w:rPr>
        <w:t>（2）出现影响采购公正的违法、违规行为的；</w:t>
      </w:r>
    </w:p>
    <w:p>
      <w:pPr>
        <w:pStyle w:val="27"/>
        <w:spacing w:line="440" w:lineRule="exact"/>
        <w:ind w:firstLine="720"/>
        <w:rPr>
          <w:rFonts w:hAnsi="宋体"/>
          <w:color w:val="auto"/>
          <w:sz w:val="21"/>
          <w:szCs w:val="21"/>
          <w:highlight w:val="none"/>
        </w:rPr>
      </w:pPr>
      <w:r>
        <w:rPr>
          <w:rFonts w:hint="eastAsia" w:hAnsi="宋体"/>
          <w:color w:val="auto"/>
          <w:sz w:val="21"/>
          <w:szCs w:val="21"/>
          <w:highlight w:val="none"/>
        </w:rPr>
        <w:t>（3）投标人的报价均超过招标文件规定的预算金额或者最高限价的；</w:t>
      </w:r>
    </w:p>
    <w:p>
      <w:pPr>
        <w:pStyle w:val="27"/>
        <w:spacing w:line="440" w:lineRule="exact"/>
        <w:ind w:firstLine="720"/>
        <w:rPr>
          <w:rFonts w:hAnsi="宋体"/>
          <w:color w:val="auto"/>
          <w:sz w:val="21"/>
          <w:szCs w:val="21"/>
          <w:highlight w:val="none"/>
        </w:rPr>
      </w:pPr>
      <w:r>
        <w:rPr>
          <w:rFonts w:hint="eastAsia" w:hAnsi="宋体"/>
          <w:color w:val="auto"/>
          <w:sz w:val="21"/>
          <w:szCs w:val="21"/>
          <w:highlight w:val="none"/>
        </w:rPr>
        <w:t>（4）因重大变故，采购任务取消的。</w:t>
      </w:r>
    </w:p>
    <w:p>
      <w:pPr>
        <w:pStyle w:val="27"/>
        <w:spacing w:line="440" w:lineRule="exact"/>
        <w:ind w:firstLine="411" w:firstLineChars="196"/>
        <w:rPr>
          <w:rFonts w:hAnsi="宋体"/>
          <w:color w:val="auto"/>
          <w:sz w:val="21"/>
          <w:szCs w:val="21"/>
          <w:highlight w:val="none"/>
        </w:rPr>
      </w:pPr>
      <w:r>
        <w:rPr>
          <w:rFonts w:hint="eastAsia" w:hAnsi="宋体"/>
          <w:color w:val="auto"/>
          <w:sz w:val="21"/>
          <w:szCs w:val="21"/>
          <w:highlight w:val="none"/>
        </w:rPr>
        <w:t>21.2  废标后，采购代理机构将在本章第2.1项规定的政府采购信息发布媒体上公告废标理由，不再另行通知。</w:t>
      </w:r>
    </w:p>
    <w:p>
      <w:pPr>
        <w:pStyle w:val="27"/>
        <w:spacing w:line="440" w:lineRule="exact"/>
        <w:jc w:val="center"/>
        <w:rPr>
          <w:rFonts w:hAnsi="宋体"/>
          <w:b/>
          <w:bCs/>
          <w:color w:val="auto"/>
          <w:highlight w:val="none"/>
        </w:rPr>
      </w:pPr>
    </w:p>
    <w:p>
      <w:pPr>
        <w:pStyle w:val="27"/>
        <w:jc w:val="center"/>
        <w:rPr>
          <w:rFonts w:ascii="Times New Roman" w:hAnsi="Times New Roman"/>
          <w:b/>
          <w:color w:val="auto"/>
          <w:sz w:val="30"/>
          <w:szCs w:val="30"/>
          <w:highlight w:val="none"/>
        </w:rPr>
      </w:pPr>
      <w:bookmarkStart w:id="64" w:name="_Toc531285735"/>
      <w:r>
        <w:rPr>
          <w:rFonts w:hint="eastAsia" w:ascii="Times New Roman" w:hAnsi="Times New Roman"/>
          <w:b/>
          <w:color w:val="auto"/>
          <w:sz w:val="30"/>
          <w:szCs w:val="30"/>
          <w:highlight w:val="none"/>
        </w:rPr>
        <w:t>六    合同授予</w:t>
      </w:r>
      <w:bookmarkEnd w:id="64"/>
    </w:p>
    <w:p>
      <w:pPr>
        <w:pStyle w:val="27"/>
        <w:spacing w:line="440" w:lineRule="exact"/>
        <w:rPr>
          <w:rFonts w:hAnsi="宋体"/>
          <w:bCs/>
          <w:color w:val="auto"/>
          <w:sz w:val="24"/>
          <w:highlight w:val="none"/>
        </w:rPr>
      </w:pPr>
      <w:r>
        <w:rPr>
          <w:rFonts w:hint="eastAsia" w:hAnsi="宋体"/>
          <w:bCs/>
          <w:color w:val="auto"/>
          <w:sz w:val="24"/>
          <w:highlight w:val="none"/>
        </w:rPr>
        <w:t>22.  中标供应商的确定</w:t>
      </w:r>
    </w:p>
    <w:p>
      <w:pPr>
        <w:spacing w:line="440" w:lineRule="exact"/>
        <w:ind w:firstLine="420"/>
        <w:rPr>
          <w:rFonts w:ascii="宋体" w:hAnsi="宋体"/>
          <w:color w:val="auto"/>
          <w:szCs w:val="20"/>
          <w:highlight w:val="none"/>
        </w:rPr>
      </w:pPr>
      <w:r>
        <w:rPr>
          <w:rFonts w:hint="eastAsia" w:ascii="宋体" w:hAnsi="宋体"/>
          <w:color w:val="auto"/>
          <w:szCs w:val="20"/>
          <w:highlight w:val="none"/>
        </w:rPr>
        <w:t>22.1  采购代理机构应当在评标结束后2个工作日内将评标报告送采购人。采购人应当自收到评标报告之日起5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spacing w:line="440" w:lineRule="exact"/>
        <w:ind w:firstLine="420"/>
        <w:rPr>
          <w:rFonts w:ascii="宋体" w:hAnsi="宋体"/>
          <w:color w:val="auto"/>
          <w:szCs w:val="20"/>
          <w:highlight w:val="none"/>
        </w:rPr>
      </w:pPr>
      <w:r>
        <w:rPr>
          <w:rFonts w:hint="eastAsia" w:ascii="宋体" w:hAnsi="宋体"/>
          <w:color w:val="auto"/>
          <w:szCs w:val="20"/>
          <w:highlight w:val="none"/>
        </w:rPr>
        <w:t>22.2  采购人在收到评标报告5个工作日内未按评标报告推荐的中标候选人顺序确定中标人，又不能说明合法理由的，视同按评标报告推荐的顺序确定排名第一的中标候选人为中标人。</w:t>
      </w:r>
    </w:p>
    <w:p>
      <w:pPr>
        <w:pStyle w:val="27"/>
        <w:spacing w:line="440" w:lineRule="exact"/>
        <w:rPr>
          <w:rFonts w:hAnsi="宋体"/>
          <w:bCs/>
          <w:color w:val="auto"/>
          <w:sz w:val="24"/>
          <w:highlight w:val="none"/>
        </w:rPr>
      </w:pPr>
      <w:r>
        <w:rPr>
          <w:rFonts w:hint="eastAsia" w:hAnsi="宋体"/>
          <w:bCs/>
          <w:color w:val="auto"/>
          <w:sz w:val="24"/>
          <w:highlight w:val="none"/>
        </w:rPr>
        <w:t>23.  中标通知书</w:t>
      </w:r>
    </w:p>
    <w:p>
      <w:pPr>
        <w:pStyle w:val="27"/>
        <w:spacing w:line="440" w:lineRule="exact"/>
        <w:ind w:firstLine="360"/>
        <w:rPr>
          <w:rFonts w:cs="宋体"/>
          <w:color w:val="auto"/>
          <w:sz w:val="21"/>
          <w:szCs w:val="21"/>
          <w:highlight w:val="none"/>
        </w:rPr>
      </w:pPr>
      <w:r>
        <w:rPr>
          <w:rFonts w:hint="eastAsia" w:hAnsi="宋体"/>
          <w:color w:val="auto"/>
          <w:sz w:val="21"/>
          <w:szCs w:val="21"/>
          <w:highlight w:val="none"/>
        </w:rPr>
        <w:t xml:space="preserve">23.1  </w:t>
      </w:r>
      <w:r>
        <w:rPr>
          <w:rFonts w:hint="eastAsia" w:cs="宋体"/>
          <w:color w:val="auto"/>
          <w:sz w:val="21"/>
          <w:szCs w:val="21"/>
          <w:highlight w:val="none"/>
        </w:rPr>
        <w:t>评标结束并经采购人确认评标结果后，评标结果由采购代理机构在本章第2.1项规定的政府采购信息发布媒体发布公告，公告期限为一个工作日，质疑期为中标公告期限届满之日起七个工作日，发布中标公告的同时由采购代理机构向中标供应商发出中标通知书。</w:t>
      </w:r>
    </w:p>
    <w:p>
      <w:pPr>
        <w:pStyle w:val="27"/>
        <w:spacing w:line="440" w:lineRule="exact"/>
        <w:ind w:firstLine="360"/>
        <w:rPr>
          <w:rFonts w:cs="宋体"/>
          <w:color w:val="auto"/>
          <w:sz w:val="21"/>
          <w:szCs w:val="21"/>
          <w:highlight w:val="none"/>
        </w:rPr>
      </w:pPr>
      <w:r>
        <w:rPr>
          <w:rFonts w:hint="eastAsia" w:cs="宋体"/>
          <w:color w:val="auto"/>
          <w:sz w:val="21"/>
          <w:szCs w:val="21"/>
          <w:highlight w:val="none"/>
        </w:rPr>
        <w:t>23.2  中标通知书对采购人和中标供应商具有同等法律效力。中标通知书发出后，采购人改变中标结果，或者中标供应商放弃中标，应当承担相应的法律责任。</w:t>
      </w:r>
    </w:p>
    <w:p>
      <w:pPr>
        <w:pStyle w:val="27"/>
        <w:spacing w:line="440" w:lineRule="exact"/>
        <w:rPr>
          <w:rFonts w:hAnsi="宋体"/>
          <w:bCs/>
          <w:color w:val="auto"/>
          <w:sz w:val="24"/>
          <w:highlight w:val="none"/>
        </w:rPr>
      </w:pPr>
      <w:r>
        <w:rPr>
          <w:rFonts w:hint="eastAsia" w:hAnsi="宋体"/>
          <w:bCs/>
          <w:color w:val="auto"/>
          <w:sz w:val="24"/>
          <w:highlight w:val="none"/>
        </w:rPr>
        <w:t>24.  投标文件及投标样品的退回</w:t>
      </w:r>
    </w:p>
    <w:p>
      <w:pPr>
        <w:pStyle w:val="27"/>
        <w:spacing w:line="440" w:lineRule="exact"/>
        <w:ind w:firstLine="360"/>
        <w:rPr>
          <w:rFonts w:hAnsi="宋体"/>
          <w:color w:val="auto"/>
          <w:sz w:val="21"/>
          <w:szCs w:val="21"/>
          <w:highlight w:val="none"/>
        </w:rPr>
      </w:pPr>
      <w:r>
        <w:rPr>
          <w:rFonts w:hint="eastAsia" w:hAnsi="宋体"/>
          <w:color w:val="auto"/>
          <w:sz w:val="21"/>
          <w:szCs w:val="21"/>
          <w:highlight w:val="none"/>
        </w:rPr>
        <w:t>24.1  采购人及采购代理机构无义务向未中标供应商解释其未中标原因和退回投标文件。</w:t>
      </w:r>
    </w:p>
    <w:p>
      <w:pPr>
        <w:pStyle w:val="27"/>
        <w:spacing w:line="440" w:lineRule="exact"/>
        <w:ind w:firstLine="360"/>
        <w:rPr>
          <w:rFonts w:hAnsi="宋体"/>
          <w:color w:val="auto"/>
          <w:sz w:val="21"/>
          <w:szCs w:val="21"/>
          <w:highlight w:val="none"/>
        </w:rPr>
      </w:pPr>
      <w:r>
        <w:rPr>
          <w:rFonts w:hint="eastAsia" w:hAnsi="宋体"/>
          <w:color w:val="auto"/>
          <w:sz w:val="21"/>
          <w:szCs w:val="21"/>
          <w:highlight w:val="none"/>
        </w:rPr>
        <w:t>24.2  中标供应商的投标样品由采购人保管，做为验收的依据，验收后由采购人退回。未中标供应商的投标样品由供应商在中标结果公布后两个工作日内领回，否则按无主物品处理。</w:t>
      </w:r>
    </w:p>
    <w:p>
      <w:pPr>
        <w:pStyle w:val="27"/>
        <w:spacing w:line="440" w:lineRule="exact"/>
        <w:rPr>
          <w:rFonts w:hAnsi="宋体"/>
          <w:bCs/>
          <w:color w:val="auto"/>
          <w:sz w:val="24"/>
          <w:highlight w:val="none"/>
        </w:rPr>
      </w:pPr>
      <w:r>
        <w:rPr>
          <w:rFonts w:hint="eastAsia" w:hAnsi="宋体"/>
          <w:bCs/>
          <w:color w:val="auto"/>
          <w:sz w:val="24"/>
          <w:highlight w:val="none"/>
        </w:rPr>
        <w:t>25.   签订合同</w:t>
      </w:r>
    </w:p>
    <w:p>
      <w:pPr>
        <w:pStyle w:val="27"/>
        <w:spacing w:line="440" w:lineRule="exact"/>
        <w:ind w:firstLine="360"/>
        <w:rPr>
          <w:rFonts w:hAnsi="宋体"/>
          <w:color w:val="auto"/>
          <w:sz w:val="21"/>
          <w:szCs w:val="21"/>
          <w:highlight w:val="none"/>
        </w:rPr>
      </w:pPr>
      <w:r>
        <w:rPr>
          <w:rFonts w:hint="eastAsia" w:hAnsi="宋体"/>
          <w:color w:val="auto"/>
          <w:sz w:val="21"/>
          <w:szCs w:val="21"/>
          <w:highlight w:val="none"/>
        </w:rPr>
        <w:t>25.1 政府采购合同签订应遵照《南宁市政府采购项目合同签订管理暂行办法》（南政采发[2009]9号）的有关要求。</w:t>
      </w:r>
    </w:p>
    <w:p>
      <w:pPr>
        <w:pStyle w:val="27"/>
        <w:spacing w:line="440" w:lineRule="exact"/>
        <w:ind w:firstLine="360"/>
        <w:rPr>
          <w:rFonts w:hAnsi="宋体"/>
          <w:color w:val="auto"/>
          <w:sz w:val="21"/>
          <w:szCs w:val="21"/>
          <w:highlight w:val="none"/>
        </w:rPr>
      </w:pPr>
      <w:r>
        <w:rPr>
          <w:rFonts w:hint="eastAsia" w:hAnsi="宋体"/>
          <w:color w:val="auto"/>
          <w:sz w:val="21"/>
          <w:szCs w:val="21"/>
          <w:highlight w:val="none"/>
        </w:rPr>
        <w:t>25.2采购人和中标供应商应当在第二章“货物需求一览表”中商务条款要求载明的合同签订期内，根据《南宁市政府采购项目合同签订管理暂行办法》要求按第六章“合同条款及格式”订立书面合同。联合体投标的，联合体各方应当共同与采购人签订采购合同，就采购合同约定的事项对采购人承担连带责任。</w:t>
      </w:r>
    </w:p>
    <w:p>
      <w:pPr>
        <w:pStyle w:val="27"/>
        <w:spacing w:line="440" w:lineRule="exact"/>
        <w:ind w:firstLine="420"/>
        <w:rPr>
          <w:rFonts w:cs="宋体"/>
          <w:color w:val="auto"/>
          <w:sz w:val="21"/>
          <w:szCs w:val="21"/>
          <w:highlight w:val="none"/>
        </w:rPr>
      </w:pPr>
      <w:r>
        <w:rPr>
          <w:rFonts w:hint="eastAsia" w:cs="宋体"/>
          <w:color w:val="auto"/>
          <w:sz w:val="21"/>
          <w:szCs w:val="21"/>
          <w:highlight w:val="none"/>
        </w:rPr>
        <w:t>25.3政府采购合同签订应当采用政府采购合同格式文本，合同应内容完整、盖章齐全；项目合同的各要素和内容应与招标文件、中标供应商的承诺、中标通知书等的内容一致；合同附件齐全；多页合同每页应顺序标出页码并盖骑缝章。</w:t>
      </w:r>
    </w:p>
    <w:p>
      <w:pPr>
        <w:pStyle w:val="27"/>
        <w:spacing w:line="440" w:lineRule="exact"/>
        <w:ind w:firstLine="360"/>
        <w:rPr>
          <w:rFonts w:hAnsi="宋体"/>
          <w:color w:val="auto"/>
          <w:sz w:val="21"/>
          <w:szCs w:val="21"/>
          <w:highlight w:val="none"/>
        </w:rPr>
      </w:pPr>
      <w:r>
        <w:rPr>
          <w:rFonts w:hint="eastAsia" w:cs="宋体"/>
          <w:color w:val="auto"/>
          <w:sz w:val="21"/>
          <w:szCs w:val="21"/>
          <w:highlight w:val="none"/>
        </w:rPr>
        <w:t>25.4政府采购合同自签订之日起七个工作日内，由中标供应商将合同（副本一份）送采购代理机构存档，并将合同（副本一份）送横县政府采购监督管理部门备案。</w:t>
      </w:r>
    </w:p>
    <w:p>
      <w:pPr>
        <w:pStyle w:val="27"/>
        <w:spacing w:line="440" w:lineRule="exact"/>
        <w:ind w:firstLine="360"/>
        <w:rPr>
          <w:rFonts w:hAnsi="宋体"/>
          <w:color w:val="auto"/>
          <w:sz w:val="21"/>
          <w:szCs w:val="21"/>
          <w:highlight w:val="none"/>
        </w:rPr>
      </w:pPr>
      <w:r>
        <w:rPr>
          <w:rFonts w:hint="eastAsia" w:hAnsi="宋体"/>
          <w:color w:val="auto"/>
          <w:sz w:val="21"/>
          <w:szCs w:val="21"/>
          <w:highlight w:val="none"/>
        </w:rPr>
        <w:t>25.5  中标通知书发出后，中标供应商有本章第13.5项第（3）至（6）项情形之一的，中标无效，采购代理机构不予退还其交纳的投标保证金，采购人可追究中标供应商</w:t>
      </w:r>
      <w:r>
        <w:rPr>
          <w:rFonts w:hint="eastAsia" w:cs="宋体"/>
          <w:color w:val="auto"/>
          <w:sz w:val="21"/>
          <w:szCs w:val="21"/>
          <w:highlight w:val="none"/>
        </w:rPr>
        <w:t>承担相应的法律责任</w:t>
      </w:r>
      <w:r>
        <w:rPr>
          <w:rFonts w:hint="eastAsia" w:hAnsi="宋体"/>
          <w:color w:val="auto"/>
          <w:sz w:val="21"/>
          <w:szCs w:val="21"/>
          <w:highlight w:val="none"/>
        </w:rPr>
        <w:t>。如采购人无正当理由拒签合同的，采购代理机构向中标供应商退还投标保证金；采购人给中标供应商造成损失的，中标供应商可追究采购人承担相应的法律责任。</w:t>
      </w:r>
    </w:p>
    <w:p>
      <w:pPr>
        <w:pStyle w:val="27"/>
        <w:spacing w:line="440" w:lineRule="exact"/>
        <w:ind w:firstLine="360"/>
        <w:rPr>
          <w:rFonts w:hAnsi="宋体"/>
          <w:color w:val="auto"/>
          <w:sz w:val="21"/>
          <w:szCs w:val="21"/>
          <w:highlight w:val="none"/>
        </w:rPr>
      </w:pPr>
      <w:r>
        <w:rPr>
          <w:rFonts w:hint="eastAsia" w:hAnsi="宋体"/>
          <w:color w:val="auto"/>
          <w:sz w:val="21"/>
          <w:szCs w:val="21"/>
          <w:highlight w:val="none"/>
        </w:rPr>
        <w:t>25.6  采购人在签订合同之前有权要求中标供应商提供本项目招标文件要求的资料原件进行核查，中标供应商不得拒绝。如中标供应商拒绝提供，则自行承担由此产生的后果。</w:t>
      </w:r>
    </w:p>
    <w:p>
      <w:pPr>
        <w:pStyle w:val="27"/>
        <w:spacing w:line="440" w:lineRule="exact"/>
        <w:ind w:firstLine="360"/>
        <w:rPr>
          <w:rFonts w:cs="宋体"/>
          <w:color w:val="auto"/>
          <w:sz w:val="21"/>
          <w:szCs w:val="21"/>
          <w:highlight w:val="none"/>
        </w:rPr>
      </w:pPr>
      <w:r>
        <w:rPr>
          <w:rFonts w:hint="eastAsia" w:hAnsi="宋体"/>
          <w:color w:val="auto"/>
          <w:sz w:val="21"/>
          <w:szCs w:val="21"/>
          <w:highlight w:val="none"/>
        </w:rPr>
        <w:t>25.7  中标供应商因不可抗力或者自身原因不能履行政府采购合同的，如仍在投标有效期内，采购人可以与排位在中标供应商之后第一位的中标候选供应商签订政府采购合同，以此类推。</w:t>
      </w:r>
    </w:p>
    <w:p>
      <w:pPr>
        <w:pStyle w:val="27"/>
        <w:spacing w:line="440" w:lineRule="exact"/>
        <w:rPr>
          <w:rFonts w:hAnsi="宋体"/>
          <w:bCs/>
          <w:color w:val="auto"/>
          <w:sz w:val="24"/>
          <w:highlight w:val="none"/>
        </w:rPr>
      </w:pPr>
      <w:r>
        <w:rPr>
          <w:rFonts w:hint="eastAsia" w:hAnsi="宋体"/>
          <w:bCs/>
          <w:color w:val="auto"/>
          <w:sz w:val="24"/>
          <w:highlight w:val="none"/>
        </w:rPr>
        <w:t>26.  履约保证金及质量保证金：无</w:t>
      </w:r>
    </w:p>
    <w:p>
      <w:pPr>
        <w:pStyle w:val="27"/>
        <w:jc w:val="center"/>
        <w:rPr>
          <w:rFonts w:ascii="Times New Roman" w:hAnsi="Times New Roman"/>
          <w:b/>
          <w:color w:val="auto"/>
          <w:sz w:val="30"/>
          <w:szCs w:val="30"/>
          <w:highlight w:val="none"/>
        </w:rPr>
      </w:pPr>
      <w:bookmarkStart w:id="65" w:name="_Toc531285736"/>
    </w:p>
    <w:p>
      <w:pPr>
        <w:pStyle w:val="27"/>
        <w:jc w:val="center"/>
        <w:rPr>
          <w:rFonts w:ascii="Times New Roman" w:hAnsi="Times New Roman"/>
          <w:b/>
          <w:color w:val="auto"/>
          <w:sz w:val="30"/>
          <w:szCs w:val="30"/>
          <w:highlight w:val="none"/>
        </w:rPr>
      </w:pPr>
      <w:r>
        <w:rPr>
          <w:rFonts w:hint="eastAsia" w:ascii="Times New Roman" w:hAnsi="Times New Roman"/>
          <w:b/>
          <w:color w:val="auto"/>
          <w:sz w:val="30"/>
          <w:szCs w:val="30"/>
          <w:highlight w:val="none"/>
        </w:rPr>
        <w:t>七    其他事项</w:t>
      </w:r>
      <w:bookmarkEnd w:id="65"/>
    </w:p>
    <w:p>
      <w:pPr>
        <w:pStyle w:val="27"/>
        <w:spacing w:line="440" w:lineRule="exact"/>
        <w:rPr>
          <w:rFonts w:hAnsi="宋体"/>
          <w:bCs/>
          <w:color w:val="auto"/>
          <w:sz w:val="24"/>
          <w:highlight w:val="none"/>
        </w:rPr>
      </w:pPr>
      <w:r>
        <w:rPr>
          <w:rFonts w:hint="eastAsia" w:hAnsi="宋体"/>
          <w:bCs/>
          <w:color w:val="auto"/>
          <w:sz w:val="24"/>
          <w:highlight w:val="none"/>
        </w:rPr>
        <w:t>27.  解释权</w:t>
      </w:r>
    </w:p>
    <w:p>
      <w:pPr>
        <w:pStyle w:val="27"/>
        <w:spacing w:line="440" w:lineRule="exact"/>
        <w:ind w:firstLine="360"/>
        <w:jc w:val="left"/>
        <w:rPr>
          <w:rFonts w:hAnsi="宋体"/>
          <w:color w:val="auto"/>
          <w:sz w:val="21"/>
          <w:szCs w:val="21"/>
          <w:highlight w:val="none"/>
        </w:rPr>
      </w:pPr>
      <w:r>
        <w:rPr>
          <w:rFonts w:hint="eastAsia" w:hAnsi="宋体"/>
          <w:color w:val="auto"/>
          <w:sz w:val="21"/>
          <w:szCs w:val="21"/>
          <w:highlight w:val="none"/>
        </w:rPr>
        <w:t>27.1  本招标文件根据《中华人民共和国政府采购法》、《政府采购货物和服务招标投标管理办法》及相关法律法规编制，解释权属采购代理机构。</w:t>
      </w:r>
    </w:p>
    <w:p>
      <w:pPr>
        <w:pStyle w:val="27"/>
        <w:spacing w:line="440" w:lineRule="exact"/>
        <w:jc w:val="left"/>
        <w:rPr>
          <w:rFonts w:hAnsi="宋体"/>
          <w:color w:val="auto"/>
          <w:sz w:val="24"/>
          <w:highlight w:val="none"/>
        </w:rPr>
      </w:pPr>
      <w:r>
        <w:rPr>
          <w:rFonts w:hint="eastAsia" w:hAnsi="宋体"/>
          <w:color w:val="auto"/>
          <w:sz w:val="24"/>
          <w:highlight w:val="none"/>
        </w:rPr>
        <w:t>28.  需要补充的其他内容</w:t>
      </w:r>
    </w:p>
    <w:p>
      <w:pPr>
        <w:pStyle w:val="27"/>
        <w:spacing w:line="440" w:lineRule="exact"/>
        <w:ind w:firstLine="360"/>
        <w:jc w:val="left"/>
        <w:rPr>
          <w:rFonts w:hAnsi="宋体"/>
          <w:color w:val="auto"/>
          <w:sz w:val="21"/>
          <w:szCs w:val="21"/>
          <w:highlight w:val="none"/>
        </w:rPr>
      </w:pPr>
      <w:r>
        <w:rPr>
          <w:rFonts w:hint="eastAsia" w:hAnsi="宋体"/>
          <w:color w:val="auto"/>
          <w:sz w:val="21"/>
          <w:szCs w:val="21"/>
          <w:highlight w:val="none"/>
        </w:rPr>
        <w:t>28.1  需要补充的其他内容：见投标人须知前附表。</w:t>
      </w:r>
    </w:p>
    <w:p>
      <w:pPr>
        <w:pStyle w:val="27"/>
        <w:spacing w:line="400" w:lineRule="exact"/>
        <w:jc w:val="center"/>
        <w:outlineLvl w:val="0"/>
        <w:rPr>
          <w:rFonts w:hAnsi="宋体"/>
          <w:color w:val="auto"/>
          <w:highlight w:val="none"/>
        </w:rPr>
      </w:pPr>
      <w:r>
        <w:rPr>
          <w:rFonts w:hAnsi="宋体"/>
          <w:color w:val="auto"/>
          <w:highlight w:val="none"/>
        </w:rPr>
        <w:br w:type="page"/>
      </w:r>
      <w:bookmarkStart w:id="66" w:name="_Toc213206175"/>
      <w:bookmarkStart w:id="67" w:name="_Toc213325924"/>
      <w:bookmarkStart w:id="68" w:name="_Toc43563145"/>
      <w:r>
        <w:rPr>
          <w:rFonts w:hint="eastAsia" w:ascii="Times New Roman" w:hAnsi="Times New Roman"/>
          <w:b/>
          <w:color w:val="auto"/>
          <w:sz w:val="36"/>
          <w:highlight w:val="none"/>
        </w:rPr>
        <w:t>第五章  投标文件格式</w:t>
      </w:r>
      <w:bookmarkEnd w:id="66"/>
      <w:bookmarkEnd w:id="67"/>
      <w:bookmarkEnd w:id="68"/>
      <w:bookmarkStart w:id="69" w:name="_Toc139966427"/>
      <w:bookmarkStart w:id="70" w:name="_Toc139967211"/>
    </w:p>
    <w:p>
      <w:pPr>
        <w:pStyle w:val="27"/>
        <w:spacing w:line="500" w:lineRule="exact"/>
        <w:rPr>
          <w:rFonts w:ascii="Times New Roman" w:hAnsi="Times New Roman"/>
          <w:b/>
          <w:color w:val="auto"/>
          <w:highlight w:val="none"/>
        </w:rPr>
      </w:pPr>
      <w:r>
        <w:rPr>
          <w:rFonts w:hint="eastAsia" w:ascii="Times New Roman" w:hAnsi="Times New Roman"/>
          <w:b/>
          <w:color w:val="auto"/>
          <w:highlight w:val="none"/>
        </w:rPr>
        <w:t>格式1：</w:t>
      </w:r>
    </w:p>
    <w:p>
      <w:pPr>
        <w:pStyle w:val="27"/>
        <w:spacing w:line="500" w:lineRule="exact"/>
        <w:jc w:val="center"/>
        <w:rPr>
          <w:rFonts w:ascii="Times New Roman" w:hAnsi="Times New Roman"/>
          <w:b/>
          <w:bCs/>
          <w:color w:val="auto"/>
          <w:sz w:val="30"/>
          <w:szCs w:val="30"/>
          <w:highlight w:val="none"/>
        </w:rPr>
      </w:pPr>
      <w:r>
        <w:rPr>
          <w:rFonts w:hint="eastAsia" w:ascii="Times New Roman" w:hAnsi="Times New Roman"/>
          <w:b/>
          <w:bCs/>
          <w:color w:val="auto"/>
          <w:sz w:val="30"/>
          <w:szCs w:val="30"/>
          <w:highlight w:val="none"/>
        </w:rPr>
        <w:t>投标函（格式）</w:t>
      </w:r>
    </w:p>
    <w:p>
      <w:pPr>
        <w:pStyle w:val="27"/>
        <w:spacing w:line="500" w:lineRule="exact"/>
        <w:rPr>
          <w:rFonts w:ascii="Times New Roman" w:hAnsi="Times New Roman"/>
          <w:color w:val="auto"/>
          <w:sz w:val="32"/>
          <w:highlight w:val="none"/>
        </w:rPr>
      </w:pPr>
    </w:p>
    <w:p>
      <w:pPr>
        <w:pStyle w:val="27"/>
        <w:spacing w:line="360" w:lineRule="exact"/>
        <w:ind w:firstLine="435"/>
        <w:rPr>
          <w:rFonts w:ascii="Times New Roman" w:hAnsi="Times New Roman"/>
          <w:color w:val="auto"/>
          <w:sz w:val="21"/>
          <w:szCs w:val="21"/>
          <w:highlight w:val="none"/>
        </w:rPr>
      </w:pPr>
      <w:r>
        <w:rPr>
          <w:rFonts w:hint="eastAsia" w:ascii="Times New Roman" w:hAnsi="Times New Roman"/>
          <w:color w:val="auto"/>
          <w:sz w:val="21"/>
          <w:szCs w:val="21"/>
          <w:highlight w:val="none"/>
        </w:rPr>
        <w:t>致：</w:t>
      </w:r>
      <w:r>
        <w:rPr>
          <w:rFonts w:hint="eastAsia"/>
          <w:color w:val="auto"/>
          <w:sz w:val="21"/>
          <w:szCs w:val="21"/>
          <w:highlight w:val="none"/>
        </w:rPr>
        <w:t>（采购代理机构名称）</w:t>
      </w:r>
    </w:p>
    <w:p>
      <w:pPr>
        <w:pStyle w:val="27"/>
        <w:spacing w:line="360" w:lineRule="exact"/>
        <w:ind w:firstLine="435"/>
        <w:rPr>
          <w:rFonts w:ascii="Times New Roman" w:hAnsi="Times New Roman"/>
          <w:color w:val="auto"/>
          <w:sz w:val="21"/>
          <w:szCs w:val="21"/>
          <w:highlight w:val="none"/>
        </w:rPr>
      </w:pPr>
    </w:p>
    <w:p>
      <w:pPr>
        <w:pStyle w:val="27"/>
        <w:spacing w:line="360" w:lineRule="exact"/>
        <w:ind w:firstLine="482"/>
        <w:rPr>
          <w:color w:val="auto"/>
          <w:sz w:val="21"/>
          <w:szCs w:val="21"/>
          <w:highlight w:val="none"/>
        </w:rPr>
      </w:pPr>
      <w:r>
        <w:rPr>
          <w:rFonts w:hint="eastAsia"/>
          <w:color w:val="auto"/>
          <w:sz w:val="21"/>
          <w:szCs w:val="21"/>
          <w:highlight w:val="none"/>
        </w:rPr>
        <w:t>我方已仔细阅读了贵方组织的</w:t>
      </w:r>
      <w:r>
        <w:rPr>
          <w:rFonts w:hint="eastAsia"/>
          <w:color w:val="auto"/>
          <w:sz w:val="21"/>
          <w:szCs w:val="21"/>
          <w:highlight w:val="none"/>
          <w:u w:val="single"/>
        </w:rPr>
        <w:t xml:space="preserve">        （项目名称）       </w:t>
      </w:r>
      <w:r>
        <w:rPr>
          <w:rFonts w:hint="eastAsia"/>
          <w:color w:val="auto"/>
          <w:sz w:val="21"/>
          <w:szCs w:val="21"/>
          <w:highlight w:val="none"/>
        </w:rPr>
        <w:t>项目（项目编号</w:t>
      </w:r>
      <w:r>
        <w:rPr>
          <w:rFonts w:hint="eastAsia"/>
          <w:color w:val="auto"/>
          <w:sz w:val="21"/>
          <w:szCs w:val="21"/>
          <w:highlight w:val="none"/>
          <w:u w:val="single"/>
        </w:rPr>
        <w:t xml:space="preserve">：        </w:t>
      </w:r>
      <w:r>
        <w:rPr>
          <w:rFonts w:hint="eastAsia"/>
          <w:color w:val="auto"/>
          <w:sz w:val="21"/>
          <w:szCs w:val="21"/>
          <w:highlight w:val="none"/>
        </w:rPr>
        <w:t xml:space="preserve">）的招标文件的全部内容，现正式递交下述文件参加贵方组织的本次政府采购活动： </w:t>
      </w:r>
    </w:p>
    <w:p>
      <w:pPr>
        <w:pStyle w:val="27"/>
        <w:spacing w:line="360" w:lineRule="exact"/>
        <w:ind w:firstLine="482"/>
        <w:rPr>
          <w:color w:val="auto"/>
          <w:sz w:val="21"/>
          <w:szCs w:val="21"/>
          <w:highlight w:val="none"/>
        </w:rPr>
      </w:pPr>
      <w:r>
        <w:rPr>
          <w:rFonts w:hint="eastAsia"/>
          <w:color w:val="auto"/>
          <w:sz w:val="21"/>
          <w:szCs w:val="21"/>
          <w:highlight w:val="none"/>
        </w:rPr>
        <w:t>一、报价文件正本一份，副本份（包含按投标人须知第10.1.1项要求提交的全部文件）；</w:t>
      </w:r>
    </w:p>
    <w:p>
      <w:pPr>
        <w:pStyle w:val="27"/>
        <w:spacing w:line="360" w:lineRule="exact"/>
        <w:ind w:firstLine="482"/>
        <w:rPr>
          <w:color w:val="auto"/>
          <w:sz w:val="21"/>
          <w:szCs w:val="21"/>
          <w:highlight w:val="none"/>
        </w:rPr>
      </w:pPr>
      <w:r>
        <w:rPr>
          <w:rFonts w:hint="eastAsia"/>
          <w:color w:val="auto"/>
          <w:sz w:val="21"/>
          <w:szCs w:val="21"/>
          <w:highlight w:val="none"/>
        </w:rPr>
        <w:t>二、资格文件正本一份，副本份（包含按投标人须知第10.1.4项要求提交的全部文件）</w:t>
      </w:r>
    </w:p>
    <w:p>
      <w:pPr>
        <w:pStyle w:val="27"/>
        <w:spacing w:line="360" w:lineRule="exact"/>
        <w:ind w:firstLine="482"/>
        <w:rPr>
          <w:rFonts w:ascii="Times New Roman" w:hAnsi="Times New Roman"/>
          <w:color w:val="auto"/>
          <w:sz w:val="21"/>
          <w:szCs w:val="21"/>
          <w:highlight w:val="none"/>
        </w:rPr>
      </w:pPr>
      <w:r>
        <w:rPr>
          <w:rFonts w:hint="eastAsia" w:hAnsi="宋体"/>
          <w:color w:val="auto"/>
          <w:sz w:val="21"/>
          <w:szCs w:val="21"/>
          <w:highlight w:val="none"/>
        </w:rPr>
        <w:t>三、</w:t>
      </w:r>
      <w:r>
        <w:rPr>
          <w:rFonts w:hint="eastAsia"/>
          <w:color w:val="auto"/>
          <w:sz w:val="21"/>
          <w:szCs w:val="21"/>
          <w:highlight w:val="none"/>
        </w:rPr>
        <w:t>商务、</w:t>
      </w:r>
      <w:r>
        <w:rPr>
          <w:rFonts w:hint="eastAsia" w:hAnsi="宋体"/>
          <w:color w:val="auto"/>
          <w:sz w:val="21"/>
          <w:szCs w:val="21"/>
          <w:highlight w:val="none"/>
        </w:rPr>
        <w:t>技术</w:t>
      </w:r>
      <w:r>
        <w:rPr>
          <w:rFonts w:hint="eastAsia"/>
          <w:color w:val="auto"/>
          <w:sz w:val="21"/>
          <w:szCs w:val="21"/>
          <w:highlight w:val="none"/>
        </w:rPr>
        <w:t>文件正本一份，副本份（包含按投标人须知第10.1.2、10.1.3项要求提交的全部文件）。</w:t>
      </w:r>
    </w:p>
    <w:p>
      <w:pPr>
        <w:pStyle w:val="27"/>
        <w:spacing w:line="360" w:lineRule="exact"/>
        <w:ind w:firstLine="482"/>
        <w:rPr>
          <w:rFonts w:ascii="Times New Roman" w:hAnsi="Times New Roman"/>
          <w:color w:val="auto"/>
          <w:sz w:val="21"/>
          <w:szCs w:val="21"/>
          <w:highlight w:val="none"/>
        </w:rPr>
      </w:pPr>
      <w:r>
        <w:rPr>
          <w:rFonts w:hint="eastAsia"/>
          <w:color w:val="auto"/>
          <w:sz w:val="21"/>
          <w:szCs w:val="21"/>
          <w:highlight w:val="none"/>
        </w:rPr>
        <w:t>据此函，签字人兹宣布：</w:t>
      </w:r>
    </w:p>
    <w:p>
      <w:pPr>
        <w:pStyle w:val="27"/>
        <w:spacing w:line="360" w:lineRule="exact"/>
        <w:ind w:firstLine="482"/>
        <w:rPr>
          <w:rFonts w:ascii="Times New Roman" w:hAnsi="Times New Roman"/>
          <w:color w:val="auto"/>
          <w:sz w:val="21"/>
          <w:szCs w:val="21"/>
          <w:highlight w:val="none"/>
        </w:rPr>
      </w:pPr>
      <w:r>
        <w:rPr>
          <w:rFonts w:hint="eastAsia"/>
          <w:color w:val="auto"/>
          <w:sz w:val="21"/>
          <w:szCs w:val="21"/>
          <w:highlight w:val="none"/>
        </w:rPr>
        <w:t>1、</w:t>
      </w:r>
      <w:r>
        <w:rPr>
          <w:rFonts w:hint="eastAsia"/>
          <w:b/>
          <w:color w:val="auto"/>
          <w:sz w:val="21"/>
          <w:szCs w:val="21"/>
          <w:highlight w:val="none"/>
          <w:u w:val="single"/>
        </w:rPr>
        <w:t xml:space="preserve">  / </w:t>
      </w:r>
      <w:r>
        <w:rPr>
          <w:rFonts w:hint="eastAsia"/>
          <w:b/>
          <w:color w:val="auto"/>
          <w:sz w:val="21"/>
          <w:szCs w:val="21"/>
          <w:highlight w:val="none"/>
          <w:u w:val="single"/>
          <w:lang w:eastAsia="zh-CN"/>
        </w:rPr>
        <w:t>标段</w:t>
      </w:r>
      <w:r>
        <w:rPr>
          <w:rFonts w:hint="eastAsia"/>
          <w:color w:val="auto"/>
          <w:sz w:val="21"/>
          <w:szCs w:val="21"/>
          <w:highlight w:val="none"/>
        </w:rPr>
        <w:t>我方愿意以（大写）人民币（￥)的投标总报价，交付时间：，提供本项目招标文件第二章“货物需求一览表”中的采购内容。</w:t>
      </w:r>
    </w:p>
    <w:p>
      <w:pPr>
        <w:pStyle w:val="27"/>
        <w:spacing w:line="360" w:lineRule="exact"/>
        <w:ind w:firstLine="482"/>
        <w:rPr>
          <w:color w:val="auto"/>
          <w:sz w:val="21"/>
          <w:szCs w:val="21"/>
          <w:highlight w:val="none"/>
        </w:rPr>
      </w:pPr>
      <w:r>
        <w:rPr>
          <w:rFonts w:hint="eastAsia"/>
          <w:color w:val="auto"/>
          <w:sz w:val="21"/>
          <w:szCs w:val="21"/>
          <w:highlight w:val="none"/>
        </w:rPr>
        <w:t>2、我方同意自本项目招标文件“投标人须知”第15.1项规定的投标截止时间（开标时间）起遵循</w:t>
      </w:r>
      <w:r>
        <w:rPr>
          <w:rFonts w:hint="eastAsia" w:hAnsi="宋体"/>
          <w:color w:val="auto"/>
          <w:sz w:val="21"/>
          <w:szCs w:val="21"/>
          <w:highlight w:val="none"/>
        </w:rPr>
        <w:t>本投标函</w:t>
      </w:r>
      <w:r>
        <w:rPr>
          <w:rFonts w:hint="eastAsia"/>
          <w:color w:val="auto"/>
          <w:sz w:val="21"/>
          <w:szCs w:val="21"/>
          <w:highlight w:val="none"/>
        </w:rPr>
        <w:t>，并承诺在“投标人须知”第12.1项规定的投标有效期内不修改、撤销投标文件。</w:t>
      </w:r>
    </w:p>
    <w:p>
      <w:pPr>
        <w:pStyle w:val="27"/>
        <w:spacing w:line="360" w:lineRule="exact"/>
        <w:ind w:firstLine="482"/>
        <w:rPr>
          <w:color w:val="auto"/>
          <w:sz w:val="21"/>
          <w:szCs w:val="21"/>
          <w:highlight w:val="none"/>
        </w:rPr>
      </w:pPr>
      <w:r>
        <w:rPr>
          <w:rFonts w:hint="eastAsia"/>
          <w:color w:val="auto"/>
          <w:sz w:val="21"/>
          <w:szCs w:val="21"/>
          <w:highlight w:val="none"/>
        </w:rPr>
        <w:t>3、我方在此声明，所递交的投标文件及有关资料内容完整、真实和准确。</w:t>
      </w:r>
    </w:p>
    <w:p>
      <w:pPr>
        <w:pStyle w:val="27"/>
        <w:spacing w:line="360" w:lineRule="exact"/>
        <w:ind w:firstLine="482"/>
        <w:rPr>
          <w:color w:val="auto"/>
          <w:sz w:val="21"/>
          <w:szCs w:val="21"/>
          <w:highlight w:val="none"/>
        </w:rPr>
      </w:pPr>
      <w:r>
        <w:rPr>
          <w:rFonts w:hint="eastAsia"/>
          <w:color w:val="auto"/>
          <w:sz w:val="21"/>
          <w:szCs w:val="21"/>
          <w:highlight w:val="none"/>
        </w:rPr>
        <w:t>4、我方承诺已经具备《中华人民共和国政府采购法》中规定的参加政府采购活动的供应商应当具备的条件：</w:t>
      </w:r>
    </w:p>
    <w:p>
      <w:pPr>
        <w:pStyle w:val="27"/>
        <w:numPr>
          <w:ilvl w:val="0"/>
          <w:numId w:val="20"/>
        </w:numPr>
        <w:spacing w:line="360" w:lineRule="exact"/>
        <w:rPr>
          <w:color w:val="auto"/>
          <w:sz w:val="21"/>
          <w:szCs w:val="21"/>
          <w:highlight w:val="none"/>
        </w:rPr>
      </w:pPr>
      <w:r>
        <w:rPr>
          <w:rFonts w:hint="eastAsia"/>
          <w:color w:val="auto"/>
          <w:sz w:val="21"/>
          <w:szCs w:val="21"/>
          <w:highlight w:val="none"/>
        </w:rPr>
        <w:t>具有独立承担民事责任的能力；</w:t>
      </w:r>
    </w:p>
    <w:p>
      <w:pPr>
        <w:pStyle w:val="27"/>
        <w:numPr>
          <w:ilvl w:val="0"/>
          <w:numId w:val="20"/>
        </w:numPr>
        <w:spacing w:line="360" w:lineRule="exact"/>
        <w:rPr>
          <w:color w:val="auto"/>
          <w:sz w:val="21"/>
          <w:szCs w:val="21"/>
          <w:highlight w:val="none"/>
        </w:rPr>
      </w:pPr>
      <w:r>
        <w:rPr>
          <w:rFonts w:hint="eastAsia"/>
          <w:color w:val="auto"/>
          <w:sz w:val="21"/>
          <w:szCs w:val="21"/>
          <w:highlight w:val="none"/>
        </w:rPr>
        <w:t>具有良好的商业信誉和健全的财务会计制度；</w:t>
      </w:r>
    </w:p>
    <w:p>
      <w:pPr>
        <w:pStyle w:val="27"/>
        <w:numPr>
          <w:ilvl w:val="0"/>
          <w:numId w:val="20"/>
        </w:numPr>
        <w:spacing w:line="360" w:lineRule="exact"/>
        <w:rPr>
          <w:color w:val="auto"/>
          <w:sz w:val="21"/>
          <w:szCs w:val="21"/>
          <w:highlight w:val="none"/>
        </w:rPr>
      </w:pPr>
      <w:r>
        <w:rPr>
          <w:rFonts w:hint="eastAsia"/>
          <w:color w:val="auto"/>
          <w:sz w:val="21"/>
          <w:szCs w:val="21"/>
          <w:highlight w:val="none"/>
        </w:rPr>
        <w:t>具有履行合同所必需的设备和专业技术能力；</w:t>
      </w:r>
    </w:p>
    <w:p>
      <w:pPr>
        <w:pStyle w:val="27"/>
        <w:numPr>
          <w:ilvl w:val="0"/>
          <w:numId w:val="20"/>
        </w:numPr>
        <w:spacing w:line="360" w:lineRule="exact"/>
        <w:rPr>
          <w:color w:val="auto"/>
          <w:sz w:val="21"/>
          <w:szCs w:val="21"/>
          <w:highlight w:val="none"/>
        </w:rPr>
      </w:pPr>
      <w:r>
        <w:rPr>
          <w:rFonts w:hint="eastAsia"/>
          <w:color w:val="auto"/>
          <w:sz w:val="21"/>
          <w:szCs w:val="21"/>
          <w:highlight w:val="none"/>
        </w:rPr>
        <w:t>有依法缴纳税收和社会保障资金的良好记录；</w:t>
      </w:r>
    </w:p>
    <w:p>
      <w:pPr>
        <w:pStyle w:val="27"/>
        <w:numPr>
          <w:ilvl w:val="0"/>
          <w:numId w:val="20"/>
        </w:numPr>
        <w:spacing w:line="360" w:lineRule="exact"/>
        <w:rPr>
          <w:color w:val="auto"/>
          <w:sz w:val="21"/>
          <w:szCs w:val="21"/>
          <w:highlight w:val="none"/>
        </w:rPr>
      </w:pPr>
      <w:r>
        <w:rPr>
          <w:rFonts w:hint="eastAsia"/>
          <w:color w:val="auto"/>
          <w:sz w:val="21"/>
          <w:szCs w:val="21"/>
          <w:highlight w:val="none"/>
        </w:rPr>
        <w:t>参加政府采购活动前三年内，在经营活动中没有重大违法记录；</w:t>
      </w:r>
    </w:p>
    <w:p>
      <w:pPr>
        <w:pStyle w:val="27"/>
        <w:numPr>
          <w:ilvl w:val="0"/>
          <w:numId w:val="20"/>
        </w:numPr>
        <w:spacing w:line="360" w:lineRule="exact"/>
        <w:rPr>
          <w:color w:val="auto"/>
          <w:sz w:val="21"/>
          <w:szCs w:val="21"/>
          <w:highlight w:val="none"/>
        </w:rPr>
      </w:pPr>
      <w:r>
        <w:rPr>
          <w:rFonts w:hint="eastAsia"/>
          <w:color w:val="auto"/>
          <w:sz w:val="21"/>
          <w:szCs w:val="21"/>
          <w:highlight w:val="none"/>
        </w:rPr>
        <w:t>法律、行政法规规定的其他条件。</w:t>
      </w:r>
    </w:p>
    <w:p>
      <w:pPr>
        <w:pStyle w:val="27"/>
        <w:spacing w:line="360" w:lineRule="exact"/>
        <w:ind w:firstLine="482"/>
        <w:rPr>
          <w:color w:val="auto"/>
          <w:sz w:val="21"/>
          <w:szCs w:val="21"/>
          <w:highlight w:val="none"/>
        </w:rPr>
      </w:pPr>
      <w:r>
        <w:rPr>
          <w:rFonts w:hint="eastAsia"/>
          <w:color w:val="auto"/>
          <w:sz w:val="21"/>
          <w:szCs w:val="21"/>
          <w:highlight w:val="none"/>
        </w:rPr>
        <w:t>5、如本项目采购内容涉及须符合国家强制规定的，我方承诺我方本次投标（包括资格条件和所投产品）均符合国家有关强制规定。</w:t>
      </w:r>
    </w:p>
    <w:p>
      <w:pPr>
        <w:pStyle w:val="27"/>
        <w:spacing w:line="360" w:lineRule="exact"/>
        <w:ind w:firstLine="482"/>
        <w:rPr>
          <w:color w:val="auto"/>
          <w:sz w:val="21"/>
          <w:szCs w:val="21"/>
          <w:highlight w:val="none"/>
        </w:rPr>
      </w:pPr>
      <w:r>
        <w:rPr>
          <w:rFonts w:hint="eastAsia"/>
          <w:color w:val="auto"/>
          <w:sz w:val="21"/>
          <w:szCs w:val="21"/>
          <w:highlight w:val="none"/>
        </w:rPr>
        <w:t>6、如我方中标，我方承诺在收到中标通知书后，在中标通知书规定的期限内，</w:t>
      </w:r>
      <w:r>
        <w:rPr>
          <w:rFonts w:hint="eastAsia" w:hAnsi="宋体"/>
          <w:color w:val="auto"/>
          <w:sz w:val="21"/>
          <w:szCs w:val="21"/>
          <w:highlight w:val="none"/>
        </w:rPr>
        <w:t>根据招标文件、我方的投标文件及有关澄清承诺书的要求按第六章“合同条款及格式”与采购人订立书面合同，并按照合同约定</w:t>
      </w:r>
      <w:r>
        <w:rPr>
          <w:rFonts w:hint="eastAsia"/>
          <w:color w:val="auto"/>
          <w:sz w:val="21"/>
          <w:szCs w:val="21"/>
          <w:highlight w:val="none"/>
        </w:rPr>
        <w:t>承担完成合同的责任和义务。</w:t>
      </w:r>
    </w:p>
    <w:p>
      <w:pPr>
        <w:pStyle w:val="27"/>
        <w:spacing w:line="360" w:lineRule="exact"/>
        <w:ind w:firstLine="482"/>
        <w:rPr>
          <w:color w:val="auto"/>
          <w:sz w:val="21"/>
          <w:szCs w:val="21"/>
          <w:highlight w:val="none"/>
        </w:rPr>
      </w:pPr>
      <w:r>
        <w:rPr>
          <w:rFonts w:hint="eastAsia"/>
          <w:color w:val="auto"/>
          <w:sz w:val="21"/>
          <w:szCs w:val="21"/>
          <w:highlight w:val="none"/>
        </w:rPr>
        <w:t>7、我方已详细审核招标文件，我方知道必须放弃提出含糊不清或误解问题的权利。</w:t>
      </w:r>
    </w:p>
    <w:p>
      <w:pPr>
        <w:pStyle w:val="27"/>
        <w:spacing w:line="360" w:lineRule="exact"/>
        <w:ind w:firstLine="482"/>
        <w:rPr>
          <w:color w:val="auto"/>
          <w:sz w:val="21"/>
          <w:szCs w:val="21"/>
          <w:highlight w:val="none"/>
        </w:rPr>
      </w:pPr>
      <w:r>
        <w:rPr>
          <w:rFonts w:hint="eastAsia"/>
          <w:color w:val="auto"/>
          <w:sz w:val="21"/>
          <w:szCs w:val="21"/>
          <w:highlight w:val="none"/>
        </w:rPr>
        <w:t>8、如我方有本项目招标文件第四章“投标人须知”第13.5项所述的情形之一的，贵方有权不予退回我方交纳的投标保证金。</w:t>
      </w:r>
    </w:p>
    <w:p>
      <w:pPr>
        <w:pStyle w:val="27"/>
        <w:spacing w:line="360" w:lineRule="exact"/>
        <w:ind w:firstLine="482"/>
        <w:rPr>
          <w:color w:val="auto"/>
          <w:sz w:val="21"/>
          <w:szCs w:val="21"/>
          <w:highlight w:val="none"/>
        </w:rPr>
      </w:pPr>
      <w:r>
        <w:rPr>
          <w:rFonts w:hint="eastAsia"/>
          <w:color w:val="auto"/>
          <w:sz w:val="21"/>
          <w:szCs w:val="21"/>
          <w:highlight w:val="none"/>
        </w:rPr>
        <w:t>9、我方同意应贵方要求提供与本投标有关的任何数据或资料。若贵方需要，我方愿意提供我方作出的一切承诺的证明材料。</w:t>
      </w:r>
    </w:p>
    <w:p>
      <w:pPr>
        <w:pStyle w:val="27"/>
        <w:spacing w:line="360" w:lineRule="exact"/>
        <w:ind w:firstLine="482"/>
        <w:rPr>
          <w:color w:val="auto"/>
          <w:sz w:val="21"/>
          <w:szCs w:val="21"/>
          <w:highlight w:val="none"/>
        </w:rPr>
      </w:pPr>
      <w:r>
        <w:rPr>
          <w:rFonts w:hint="eastAsia"/>
          <w:color w:val="auto"/>
          <w:sz w:val="21"/>
          <w:szCs w:val="21"/>
          <w:highlight w:val="none"/>
        </w:rPr>
        <w:t>10、我方完全理解贵方不一定接受投标报价最低的投标人为中标供应商的行为。</w:t>
      </w:r>
    </w:p>
    <w:p>
      <w:pPr>
        <w:pStyle w:val="27"/>
        <w:spacing w:line="360" w:lineRule="exact"/>
        <w:ind w:firstLine="482"/>
        <w:rPr>
          <w:color w:val="auto"/>
          <w:sz w:val="21"/>
          <w:szCs w:val="21"/>
          <w:highlight w:val="none"/>
        </w:rPr>
      </w:pPr>
      <w:r>
        <w:rPr>
          <w:rFonts w:hint="eastAsia"/>
          <w:color w:val="auto"/>
          <w:sz w:val="21"/>
          <w:szCs w:val="21"/>
          <w:highlight w:val="none"/>
        </w:rPr>
        <w:t>11、我方将严格遵守《中华人民共和国政府采购法》第七十七条的规定，即供应商有下列情形之一的，处以采购金额千分之五以上千分之十</w:t>
      </w:r>
      <w:r>
        <w:rPr>
          <w:rFonts w:hint="eastAsia" w:hAnsi="宋体"/>
          <w:color w:val="auto"/>
          <w:sz w:val="21"/>
          <w:szCs w:val="21"/>
          <w:highlight w:val="none"/>
        </w:rPr>
        <w:t>以下的罚款，列入不良行为记录名单，在一至三年内禁止参加政府采购活动，有违法所得的，并处没收违法所得，情节严重的，由工商行政管理机关吊销营业执照；构成犯罪的，依法追究刑事责任：</w:t>
      </w:r>
    </w:p>
    <w:p>
      <w:pPr>
        <w:pStyle w:val="27"/>
        <w:numPr>
          <w:ilvl w:val="0"/>
          <w:numId w:val="18"/>
        </w:numPr>
        <w:spacing w:line="360" w:lineRule="exact"/>
        <w:rPr>
          <w:rFonts w:hAnsi="宋体"/>
          <w:color w:val="auto"/>
          <w:sz w:val="21"/>
          <w:szCs w:val="21"/>
          <w:highlight w:val="none"/>
        </w:rPr>
      </w:pPr>
      <w:r>
        <w:rPr>
          <w:rFonts w:hint="eastAsia" w:hAnsi="宋体"/>
          <w:color w:val="auto"/>
          <w:sz w:val="21"/>
          <w:szCs w:val="21"/>
          <w:highlight w:val="none"/>
        </w:rPr>
        <w:t>提供虚假材料谋取中标、成交的；</w:t>
      </w:r>
    </w:p>
    <w:p>
      <w:pPr>
        <w:pStyle w:val="27"/>
        <w:numPr>
          <w:ilvl w:val="0"/>
          <w:numId w:val="18"/>
        </w:numPr>
        <w:spacing w:line="360" w:lineRule="exact"/>
        <w:rPr>
          <w:rFonts w:hAnsi="宋体"/>
          <w:color w:val="auto"/>
          <w:sz w:val="21"/>
          <w:szCs w:val="21"/>
          <w:highlight w:val="none"/>
        </w:rPr>
      </w:pPr>
      <w:r>
        <w:rPr>
          <w:rFonts w:hint="eastAsia" w:hAnsi="宋体"/>
          <w:color w:val="auto"/>
          <w:sz w:val="21"/>
          <w:szCs w:val="21"/>
          <w:highlight w:val="none"/>
        </w:rPr>
        <w:t>采取不正当手段诋毁、排挤其他供应商的；</w:t>
      </w:r>
    </w:p>
    <w:p>
      <w:pPr>
        <w:pStyle w:val="27"/>
        <w:numPr>
          <w:ilvl w:val="0"/>
          <w:numId w:val="18"/>
        </w:numPr>
        <w:spacing w:line="360" w:lineRule="exact"/>
        <w:rPr>
          <w:color w:val="auto"/>
          <w:sz w:val="21"/>
          <w:szCs w:val="21"/>
          <w:highlight w:val="none"/>
        </w:rPr>
      </w:pPr>
      <w:r>
        <w:rPr>
          <w:rFonts w:hint="eastAsia" w:hAnsi="宋体"/>
          <w:color w:val="auto"/>
          <w:sz w:val="21"/>
          <w:szCs w:val="21"/>
          <w:highlight w:val="none"/>
        </w:rPr>
        <w:t>与采购人、其他供应商或者采购代理机构恶意串通的；</w:t>
      </w:r>
    </w:p>
    <w:p>
      <w:pPr>
        <w:pStyle w:val="27"/>
        <w:numPr>
          <w:ilvl w:val="0"/>
          <w:numId w:val="18"/>
        </w:numPr>
        <w:spacing w:line="360" w:lineRule="exact"/>
        <w:rPr>
          <w:color w:val="auto"/>
          <w:sz w:val="21"/>
          <w:szCs w:val="21"/>
          <w:highlight w:val="none"/>
        </w:rPr>
      </w:pPr>
      <w:r>
        <w:rPr>
          <w:rFonts w:hint="eastAsia" w:hAnsi="宋体"/>
          <w:color w:val="auto"/>
          <w:sz w:val="21"/>
          <w:szCs w:val="21"/>
          <w:highlight w:val="none"/>
        </w:rPr>
        <w:t>向采购人、采购代理机构行贿或者提供其他不正当利益的；</w:t>
      </w:r>
    </w:p>
    <w:p>
      <w:pPr>
        <w:pStyle w:val="27"/>
        <w:numPr>
          <w:ilvl w:val="0"/>
          <w:numId w:val="18"/>
        </w:numPr>
        <w:spacing w:line="360" w:lineRule="exact"/>
        <w:rPr>
          <w:color w:val="auto"/>
          <w:sz w:val="21"/>
          <w:szCs w:val="21"/>
          <w:highlight w:val="none"/>
        </w:rPr>
      </w:pPr>
      <w:r>
        <w:rPr>
          <w:rFonts w:hint="eastAsia" w:hAnsi="宋体"/>
          <w:color w:val="auto"/>
          <w:sz w:val="21"/>
          <w:szCs w:val="21"/>
          <w:highlight w:val="none"/>
        </w:rPr>
        <w:t>在招标采购过程中与采购人进行协商谈判的；</w:t>
      </w:r>
    </w:p>
    <w:p>
      <w:pPr>
        <w:pStyle w:val="27"/>
        <w:spacing w:line="360" w:lineRule="exact"/>
        <w:ind w:firstLine="420" w:firstLineChars="200"/>
        <w:rPr>
          <w:rFonts w:hAnsi="宋体"/>
          <w:color w:val="auto"/>
          <w:sz w:val="21"/>
          <w:szCs w:val="21"/>
          <w:highlight w:val="none"/>
        </w:rPr>
      </w:pPr>
      <w:r>
        <w:rPr>
          <w:rFonts w:hint="eastAsia" w:hAnsi="宋体"/>
          <w:color w:val="auto"/>
          <w:sz w:val="21"/>
          <w:szCs w:val="21"/>
          <w:highlight w:val="none"/>
        </w:rPr>
        <w:t>（6）  拒绝有关部门监督检查或提供虚假情况的。</w:t>
      </w:r>
    </w:p>
    <w:p>
      <w:pPr>
        <w:pStyle w:val="27"/>
        <w:spacing w:line="360" w:lineRule="exact"/>
        <w:ind w:firstLine="482"/>
        <w:rPr>
          <w:color w:val="auto"/>
          <w:sz w:val="21"/>
          <w:szCs w:val="21"/>
          <w:highlight w:val="none"/>
        </w:rPr>
      </w:pPr>
      <w:r>
        <w:rPr>
          <w:rFonts w:hint="eastAsia"/>
          <w:color w:val="auto"/>
          <w:sz w:val="21"/>
          <w:szCs w:val="21"/>
          <w:highlight w:val="none"/>
        </w:rPr>
        <w:t>12、</w:t>
      </w:r>
      <w:r>
        <w:rPr>
          <w:rFonts w:hint="eastAsia" w:hAnsi="宋体"/>
          <w:color w:val="auto"/>
          <w:sz w:val="21"/>
          <w:szCs w:val="21"/>
          <w:highlight w:val="none"/>
        </w:rPr>
        <w:t>我方及由本人担任法定代表人的其他机构最近三年内被通报或者被处罚的违法行为有</w:t>
      </w:r>
      <w:r>
        <w:rPr>
          <w:rFonts w:hint="eastAsia"/>
          <w:color w:val="auto"/>
          <w:sz w:val="21"/>
          <w:szCs w:val="21"/>
          <w:highlight w:val="none"/>
        </w:rPr>
        <w:t>：</w:t>
      </w:r>
      <w:r>
        <w:rPr>
          <w:rFonts w:hint="eastAsia"/>
          <w:color w:val="auto"/>
          <w:sz w:val="21"/>
          <w:szCs w:val="21"/>
          <w:highlight w:val="none"/>
          <w:u w:val="single"/>
        </w:rPr>
        <w:t>______________________________________________________________________________________</w:t>
      </w:r>
      <w:r>
        <w:rPr>
          <w:rFonts w:hint="eastAsia"/>
          <w:color w:val="auto"/>
          <w:sz w:val="21"/>
          <w:szCs w:val="21"/>
          <w:highlight w:val="none"/>
        </w:rPr>
        <w:t>。</w:t>
      </w:r>
    </w:p>
    <w:p>
      <w:pPr>
        <w:pStyle w:val="27"/>
        <w:spacing w:line="360" w:lineRule="exact"/>
        <w:ind w:left="420"/>
        <w:rPr>
          <w:color w:val="auto"/>
          <w:sz w:val="21"/>
          <w:szCs w:val="21"/>
          <w:highlight w:val="none"/>
        </w:rPr>
      </w:pPr>
      <w:r>
        <w:rPr>
          <w:rFonts w:hint="eastAsia"/>
          <w:color w:val="auto"/>
          <w:sz w:val="21"/>
          <w:szCs w:val="21"/>
          <w:highlight w:val="none"/>
        </w:rPr>
        <w:t>13、以上事项如有虚假或隐瞒，我方愿意承担一切后果，并不再寻求任何旨在减轻或免除法律责任的辩解。</w:t>
      </w:r>
    </w:p>
    <w:p>
      <w:pPr>
        <w:pStyle w:val="27"/>
        <w:spacing w:line="360" w:lineRule="exact"/>
        <w:ind w:firstLine="420"/>
        <w:rPr>
          <w:color w:val="auto"/>
          <w:sz w:val="21"/>
          <w:szCs w:val="21"/>
          <w:highlight w:val="none"/>
          <w:u w:val="single"/>
        </w:rPr>
      </w:pPr>
      <w:r>
        <w:rPr>
          <w:rFonts w:hint="eastAsia"/>
          <w:color w:val="auto"/>
          <w:sz w:val="21"/>
          <w:szCs w:val="21"/>
          <w:highlight w:val="none"/>
        </w:rPr>
        <w:t>投标人：（盖单位公章）</w:t>
      </w:r>
    </w:p>
    <w:p>
      <w:pPr>
        <w:pStyle w:val="27"/>
        <w:spacing w:line="360" w:lineRule="exact"/>
        <w:ind w:firstLine="420"/>
        <w:rPr>
          <w:color w:val="auto"/>
          <w:sz w:val="21"/>
          <w:szCs w:val="21"/>
          <w:highlight w:val="none"/>
        </w:rPr>
      </w:pPr>
      <w:r>
        <w:rPr>
          <w:rFonts w:hint="eastAsia" w:ascii="Times New Roman" w:hAnsi="Times New Roman"/>
          <w:color w:val="auto"/>
          <w:sz w:val="21"/>
          <w:szCs w:val="21"/>
          <w:highlight w:val="none"/>
        </w:rPr>
        <w:t>法定代表人或其委托代理人：（签字或盖章）</w:t>
      </w:r>
    </w:p>
    <w:p>
      <w:pPr>
        <w:pStyle w:val="27"/>
        <w:spacing w:line="360" w:lineRule="exact"/>
        <w:ind w:firstLine="420"/>
        <w:rPr>
          <w:color w:val="auto"/>
          <w:sz w:val="21"/>
          <w:szCs w:val="21"/>
          <w:highlight w:val="none"/>
        </w:rPr>
      </w:pPr>
      <w:r>
        <w:rPr>
          <w:rFonts w:hint="eastAsia"/>
          <w:color w:val="auto"/>
          <w:sz w:val="21"/>
          <w:szCs w:val="21"/>
          <w:highlight w:val="none"/>
        </w:rPr>
        <w:t>地址：</w:t>
      </w:r>
    </w:p>
    <w:p>
      <w:pPr>
        <w:pStyle w:val="27"/>
        <w:spacing w:line="360" w:lineRule="exact"/>
        <w:ind w:firstLine="420"/>
        <w:rPr>
          <w:color w:val="auto"/>
          <w:sz w:val="21"/>
          <w:szCs w:val="21"/>
          <w:highlight w:val="none"/>
          <w:u w:val="single"/>
        </w:rPr>
      </w:pPr>
      <w:r>
        <w:rPr>
          <w:rFonts w:hint="eastAsia"/>
          <w:color w:val="auto"/>
          <w:sz w:val="21"/>
          <w:szCs w:val="21"/>
          <w:highlight w:val="none"/>
        </w:rPr>
        <w:t>电话：</w:t>
      </w:r>
      <w:r>
        <w:rPr>
          <w:rFonts w:hint="eastAsia"/>
          <w:color w:val="auto"/>
          <w:sz w:val="21"/>
          <w:szCs w:val="21"/>
          <w:highlight w:val="none"/>
          <w:u w:val="single"/>
        </w:rPr>
        <w:t xml:space="preserve">                                      　　　　　　　　　</w:t>
      </w:r>
    </w:p>
    <w:p>
      <w:pPr>
        <w:pStyle w:val="27"/>
        <w:spacing w:line="360" w:lineRule="exact"/>
        <w:ind w:firstLine="420"/>
        <w:rPr>
          <w:color w:val="auto"/>
          <w:sz w:val="21"/>
          <w:szCs w:val="21"/>
          <w:highlight w:val="none"/>
        </w:rPr>
      </w:pPr>
      <w:r>
        <w:rPr>
          <w:rFonts w:hint="eastAsia"/>
          <w:color w:val="auto"/>
          <w:sz w:val="21"/>
          <w:szCs w:val="21"/>
          <w:highlight w:val="none"/>
        </w:rPr>
        <w:t>传真：</w:t>
      </w:r>
      <w:r>
        <w:rPr>
          <w:rFonts w:hint="eastAsia"/>
          <w:color w:val="auto"/>
          <w:sz w:val="21"/>
          <w:szCs w:val="21"/>
          <w:highlight w:val="none"/>
          <w:u w:val="single"/>
        </w:rPr>
        <w:t>　　　　　　　　　　　　　　　　　　　　　　　　　　　　</w:t>
      </w:r>
    </w:p>
    <w:p>
      <w:pPr>
        <w:pStyle w:val="27"/>
        <w:spacing w:line="360" w:lineRule="exact"/>
        <w:ind w:firstLine="420"/>
        <w:rPr>
          <w:color w:val="auto"/>
          <w:sz w:val="21"/>
          <w:szCs w:val="21"/>
          <w:highlight w:val="none"/>
          <w:u w:val="single"/>
        </w:rPr>
      </w:pPr>
      <w:r>
        <w:rPr>
          <w:rFonts w:hint="eastAsia"/>
          <w:color w:val="auto"/>
          <w:sz w:val="21"/>
          <w:szCs w:val="21"/>
          <w:highlight w:val="none"/>
        </w:rPr>
        <w:t>邮政编码：</w:t>
      </w:r>
    </w:p>
    <w:p>
      <w:pPr>
        <w:pStyle w:val="27"/>
        <w:spacing w:line="360" w:lineRule="exact"/>
        <w:ind w:firstLine="420"/>
        <w:rPr>
          <w:color w:val="auto"/>
          <w:sz w:val="21"/>
          <w:szCs w:val="21"/>
          <w:highlight w:val="none"/>
          <w:u w:val="single"/>
        </w:rPr>
      </w:pPr>
      <w:r>
        <w:rPr>
          <w:rFonts w:hint="eastAsia"/>
          <w:color w:val="auto"/>
          <w:sz w:val="21"/>
          <w:szCs w:val="21"/>
          <w:highlight w:val="none"/>
        </w:rPr>
        <w:t>开户名称：</w:t>
      </w:r>
    </w:p>
    <w:p>
      <w:pPr>
        <w:pStyle w:val="27"/>
        <w:spacing w:line="360" w:lineRule="exact"/>
        <w:ind w:firstLine="420"/>
        <w:rPr>
          <w:color w:val="auto"/>
          <w:sz w:val="21"/>
          <w:szCs w:val="21"/>
          <w:highlight w:val="none"/>
          <w:u w:val="single"/>
        </w:rPr>
      </w:pPr>
      <w:r>
        <w:rPr>
          <w:rFonts w:hint="eastAsia"/>
          <w:color w:val="auto"/>
          <w:sz w:val="21"/>
          <w:szCs w:val="21"/>
          <w:highlight w:val="none"/>
        </w:rPr>
        <w:t>开户银行：</w:t>
      </w:r>
    </w:p>
    <w:p>
      <w:pPr>
        <w:pStyle w:val="27"/>
        <w:spacing w:line="360" w:lineRule="exact"/>
        <w:ind w:firstLine="420"/>
        <w:rPr>
          <w:color w:val="auto"/>
          <w:sz w:val="21"/>
          <w:szCs w:val="21"/>
          <w:highlight w:val="none"/>
          <w:u w:val="single"/>
        </w:rPr>
      </w:pPr>
      <w:r>
        <w:rPr>
          <w:rFonts w:hint="eastAsia"/>
          <w:color w:val="auto"/>
          <w:sz w:val="21"/>
          <w:szCs w:val="21"/>
          <w:highlight w:val="none"/>
        </w:rPr>
        <w:t>银行账号：</w:t>
      </w:r>
    </w:p>
    <w:p>
      <w:pPr>
        <w:pStyle w:val="27"/>
        <w:spacing w:line="360" w:lineRule="exact"/>
        <w:ind w:firstLine="420"/>
        <w:rPr>
          <w:color w:val="auto"/>
          <w:highlight w:val="none"/>
          <w:u w:val="single"/>
        </w:rPr>
      </w:pPr>
      <w:r>
        <w:rPr>
          <w:rFonts w:hint="eastAsia"/>
          <w:bCs/>
          <w:color w:val="auto"/>
          <w:sz w:val="21"/>
          <w:szCs w:val="21"/>
          <w:highlight w:val="none"/>
        </w:rPr>
        <w:t>年月日</w:t>
      </w:r>
      <w:r>
        <w:rPr>
          <w:rFonts w:ascii="黑体" w:eastAsia="黑体"/>
          <w:b/>
          <w:bCs/>
          <w:color w:val="auto"/>
          <w:highlight w:val="none"/>
        </w:rPr>
        <w:br w:type="page"/>
      </w:r>
      <w:r>
        <w:rPr>
          <w:rFonts w:hint="eastAsia" w:ascii="Times New Roman" w:hAnsi="Times New Roman"/>
          <w:b/>
          <w:color w:val="auto"/>
          <w:highlight w:val="none"/>
        </w:rPr>
        <w:t>格式2：</w:t>
      </w:r>
    </w:p>
    <w:p>
      <w:pPr>
        <w:pStyle w:val="27"/>
        <w:spacing w:line="500" w:lineRule="exact"/>
        <w:jc w:val="center"/>
        <w:rPr>
          <w:rFonts w:ascii="Times New Roman" w:hAnsi="Times New Roman"/>
          <w:b/>
          <w:color w:val="auto"/>
          <w:sz w:val="30"/>
          <w:szCs w:val="30"/>
          <w:highlight w:val="none"/>
        </w:rPr>
      </w:pPr>
      <w:r>
        <w:rPr>
          <w:rFonts w:hint="eastAsia" w:ascii="Times New Roman" w:hAnsi="Times New Roman"/>
          <w:b/>
          <w:color w:val="auto"/>
          <w:sz w:val="30"/>
          <w:szCs w:val="30"/>
          <w:highlight w:val="none"/>
        </w:rPr>
        <w:t>投标报价表（格式）</w:t>
      </w:r>
    </w:p>
    <w:p>
      <w:pPr>
        <w:pStyle w:val="27"/>
        <w:rPr>
          <w:rFonts w:ascii="Times New Roman" w:hAnsi="Times New Roman"/>
          <w:b/>
          <w:color w:val="auto"/>
          <w:sz w:val="24"/>
          <w:highlight w:val="none"/>
        </w:rPr>
      </w:pP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1310"/>
        <w:gridCol w:w="992"/>
        <w:gridCol w:w="2835"/>
        <w:gridCol w:w="1512"/>
        <w:gridCol w:w="1648"/>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trPr>
        <w:tc>
          <w:tcPr>
            <w:tcW w:w="7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序号</w:t>
            </w:r>
          </w:p>
        </w:tc>
        <w:tc>
          <w:tcPr>
            <w:tcW w:w="13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货物名称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数量</w:t>
            </w:r>
            <w:r>
              <w:rPr>
                <w:rFonts w:hint="eastAsia" w:ascii="宋体" w:hAnsi="宋体" w:cs="宋体"/>
                <w:color w:val="auto"/>
                <w:szCs w:val="21"/>
                <w:highlight w:val="none"/>
              </w:rPr>
              <w:t>①</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品牌、</w:t>
            </w:r>
            <w:r>
              <w:rPr>
                <w:rFonts w:hint="eastAsia" w:ascii="宋体" w:hAnsi="宋体"/>
                <w:color w:val="auto"/>
                <w:szCs w:val="21"/>
                <w:highlight w:val="none"/>
              </w:rPr>
              <w:t>规格型号；</w:t>
            </w:r>
          </w:p>
          <w:p>
            <w:pPr>
              <w:jc w:val="center"/>
              <w:rPr>
                <w:rFonts w:ascii="宋体" w:hAnsi="宋体"/>
                <w:color w:val="auto"/>
                <w:szCs w:val="21"/>
                <w:highlight w:val="none"/>
              </w:rPr>
            </w:pPr>
            <w:r>
              <w:rPr>
                <w:rFonts w:ascii="宋体" w:hAnsi="宋体"/>
                <w:color w:val="auto"/>
                <w:szCs w:val="21"/>
                <w:highlight w:val="none"/>
              </w:rPr>
              <w:t>生产厂家及国别</w:t>
            </w: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单价(元)</w:t>
            </w:r>
            <w:r>
              <w:rPr>
                <w:rFonts w:hint="eastAsia" w:ascii="宋体" w:hAnsi="宋体" w:cs="宋体"/>
                <w:color w:val="auto"/>
                <w:szCs w:val="21"/>
                <w:highlight w:val="none"/>
              </w:rPr>
              <w:t>②</w:t>
            </w:r>
          </w:p>
        </w:tc>
        <w:tc>
          <w:tcPr>
            <w:tcW w:w="16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单项合价（元）</w:t>
            </w:r>
          </w:p>
          <w:p>
            <w:pPr>
              <w:jc w:val="center"/>
              <w:rPr>
                <w:rFonts w:ascii="宋体" w:hAnsi="宋体"/>
                <w:color w:val="auto"/>
                <w:szCs w:val="21"/>
                <w:highlight w:val="none"/>
              </w:rPr>
            </w:pPr>
            <w:r>
              <w:rPr>
                <w:rFonts w:hint="eastAsia" w:ascii="宋体" w:hAnsi="宋体" w:cs="宋体"/>
                <w:color w:val="auto"/>
                <w:szCs w:val="21"/>
                <w:highlight w:val="none"/>
              </w:rPr>
              <w:t>③</w:t>
            </w:r>
            <w:r>
              <w:rPr>
                <w:rFonts w:ascii="宋体" w:hAnsi="宋体"/>
                <w:color w:val="auto"/>
                <w:szCs w:val="21"/>
                <w:highlight w:val="none"/>
              </w:rPr>
              <w:t>＝</w:t>
            </w:r>
            <w:r>
              <w:rPr>
                <w:rFonts w:hint="eastAsia" w:ascii="宋体" w:hAnsi="宋体" w:cs="宋体"/>
                <w:color w:val="auto"/>
                <w:szCs w:val="21"/>
                <w:highlight w:val="none"/>
              </w:rPr>
              <w:t>①</w:t>
            </w:r>
            <w:r>
              <w:rPr>
                <w:rFonts w:ascii="宋体" w:hAnsi="宋体"/>
                <w:color w:val="auto"/>
                <w:szCs w:val="21"/>
                <w:highlight w:val="none"/>
              </w:rPr>
              <w:t>×</w:t>
            </w:r>
            <w:r>
              <w:rPr>
                <w:rFonts w:hint="eastAsia" w:ascii="宋体" w:hAnsi="宋体" w:cs="宋体"/>
                <w:color w:val="auto"/>
                <w:szCs w:val="21"/>
                <w:highlight w:val="none"/>
              </w:rPr>
              <w:t>②</w:t>
            </w:r>
          </w:p>
        </w:tc>
        <w:tc>
          <w:tcPr>
            <w:tcW w:w="10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trPr>
        <w:tc>
          <w:tcPr>
            <w:tcW w:w="78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szCs w:val="22"/>
                <w:highlight w:val="none"/>
              </w:rPr>
            </w:pPr>
          </w:p>
        </w:tc>
        <w:tc>
          <w:tcPr>
            <w:tcW w:w="13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szCs w:val="22"/>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szCs w:val="22"/>
                <w:highlight w:val="none"/>
              </w:rPr>
            </w:pPr>
          </w:p>
        </w:tc>
        <w:tc>
          <w:tcPr>
            <w:tcW w:w="283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szCs w:val="22"/>
                <w:highlight w:val="none"/>
              </w:rPr>
            </w:pPr>
          </w:p>
        </w:tc>
        <w:tc>
          <w:tcPr>
            <w:tcW w:w="151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szCs w:val="22"/>
                <w:highlight w:val="none"/>
              </w:rPr>
            </w:pPr>
          </w:p>
        </w:tc>
        <w:tc>
          <w:tcPr>
            <w:tcW w:w="164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szCs w:val="22"/>
                <w:highlight w:val="none"/>
              </w:rPr>
            </w:pPr>
          </w:p>
        </w:tc>
        <w:tc>
          <w:tcPr>
            <w:tcW w:w="104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trPr>
        <w:tc>
          <w:tcPr>
            <w:tcW w:w="78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szCs w:val="22"/>
                <w:highlight w:val="none"/>
              </w:rPr>
            </w:pPr>
          </w:p>
        </w:tc>
        <w:tc>
          <w:tcPr>
            <w:tcW w:w="13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szCs w:val="22"/>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szCs w:val="22"/>
                <w:highlight w:val="none"/>
              </w:rPr>
            </w:pPr>
          </w:p>
        </w:tc>
        <w:tc>
          <w:tcPr>
            <w:tcW w:w="283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szCs w:val="22"/>
                <w:highlight w:val="none"/>
              </w:rPr>
            </w:pPr>
          </w:p>
        </w:tc>
        <w:tc>
          <w:tcPr>
            <w:tcW w:w="151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szCs w:val="22"/>
                <w:highlight w:val="none"/>
              </w:rPr>
            </w:pPr>
          </w:p>
        </w:tc>
        <w:tc>
          <w:tcPr>
            <w:tcW w:w="164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szCs w:val="22"/>
                <w:highlight w:val="none"/>
              </w:rPr>
            </w:pPr>
          </w:p>
        </w:tc>
        <w:tc>
          <w:tcPr>
            <w:tcW w:w="104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trPr>
        <w:tc>
          <w:tcPr>
            <w:tcW w:w="78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szCs w:val="22"/>
                <w:highlight w:val="none"/>
              </w:rPr>
            </w:pPr>
            <w:r>
              <w:rPr>
                <w:rFonts w:ascii="宋体" w:hAnsi="宋体"/>
                <w:color w:val="auto"/>
                <w:sz w:val="22"/>
                <w:szCs w:val="22"/>
                <w:highlight w:val="none"/>
              </w:rPr>
              <w:t>...</w:t>
            </w:r>
          </w:p>
        </w:tc>
        <w:tc>
          <w:tcPr>
            <w:tcW w:w="13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szCs w:val="22"/>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szCs w:val="22"/>
                <w:highlight w:val="none"/>
              </w:rPr>
            </w:pPr>
          </w:p>
        </w:tc>
        <w:tc>
          <w:tcPr>
            <w:tcW w:w="283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szCs w:val="22"/>
                <w:highlight w:val="none"/>
              </w:rPr>
            </w:pPr>
          </w:p>
        </w:tc>
        <w:tc>
          <w:tcPr>
            <w:tcW w:w="151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szCs w:val="22"/>
                <w:highlight w:val="none"/>
              </w:rPr>
            </w:pPr>
          </w:p>
        </w:tc>
        <w:tc>
          <w:tcPr>
            <w:tcW w:w="164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szCs w:val="22"/>
                <w:highlight w:val="none"/>
              </w:rPr>
            </w:pPr>
          </w:p>
        </w:tc>
        <w:tc>
          <w:tcPr>
            <w:tcW w:w="104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trPr>
        <w:tc>
          <w:tcPr>
            <w:tcW w:w="10120"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szCs w:val="22"/>
                <w:highlight w:val="none"/>
              </w:rPr>
            </w:pPr>
            <w:r>
              <w:rPr>
                <w:rFonts w:hint="eastAsia" w:ascii="宋体" w:hAnsi="宋体"/>
                <w:color w:val="auto"/>
                <w:sz w:val="22"/>
                <w:szCs w:val="22"/>
                <w:highlight w:val="none"/>
                <w:u w:val="single"/>
              </w:rPr>
              <w:t xml:space="preserve">   /  </w:t>
            </w:r>
            <w:r>
              <w:rPr>
                <w:rFonts w:hint="eastAsia" w:ascii="宋体" w:hAnsi="宋体"/>
                <w:color w:val="auto"/>
                <w:sz w:val="22"/>
                <w:szCs w:val="22"/>
                <w:highlight w:val="none"/>
                <w:u w:val="single"/>
                <w:lang w:eastAsia="zh-CN"/>
              </w:rPr>
              <w:t>标段</w:t>
            </w:r>
            <w:r>
              <w:rPr>
                <w:rFonts w:ascii="宋体" w:hAnsi="宋体"/>
                <w:color w:val="auto"/>
                <w:sz w:val="22"/>
                <w:szCs w:val="22"/>
                <w:highlight w:val="none"/>
              </w:rPr>
              <w:t>报价合计（包含装卸、运输等所有费用）：（大写）人民币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5" w:hRule="atLeast"/>
        </w:trPr>
        <w:tc>
          <w:tcPr>
            <w:tcW w:w="10120" w:type="dxa"/>
            <w:gridSpan w:val="7"/>
            <w:tcBorders>
              <w:top w:val="single" w:color="auto" w:sz="4" w:space="0"/>
              <w:left w:val="single" w:color="auto" w:sz="4" w:space="0"/>
              <w:bottom w:val="single" w:color="auto" w:sz="4" w:space="0"/>
              <w:right w:val="single" w:color="auto" w:sz="4" w:space="0"/>
            </w:tcBorders>
            <w:vAlign w:val="center"/>
          </w:tcPr>
          <w:p>
            <w:pPr>
              <w:ind w:firstLine="220" w:firstLineChars="100"/>
              <w:rPr>
                <w:rFonts w:ascii="宋体" w:hAnsi="宋体"/>
                <w:color w:val="auto"/>
                <w:sz w:val="22"/>
                <w:szCs w:val="22"/>
                <w:highlight w:val="none"/>
              </w:rPr>
            </w:pPr>
            <w:r>
              <w:rPr>
                <w:rFonts w:ascii="宋体" w:hAnsi="宋体"/>
                <w:color w:val="auto"/>
                <w:sz w:val="22"/>
                <w:szCs w:val="22"/>
                <w:highlight w:val="none"/>
              </w:rPr>
              <w:t>投标货物中，属于小微企业生产的产品总值为</w:t>
            </w:r>
            <w:r>
              <w:rPr>
                <w:rFonts w:ascii="宋体" w:hAnsi="宋体"/>
                <w:color w:val="auto"/>
                <w:sz w:val="22"/>
                <w:szCs w:val="22"/>
                <w:highlight w:val="none"/>
                <w:u w:val="single"/>
              </w:rPr>
              <w:t xml:space="preserve">￥      </w:t>
            </w:r>
            <w:r>
              <w:rPr>
                <w:rFonts w:ascii="宋体" w:hAnsi="宋体"/>
                <w:color w:val="auto"/>
                <w:sz w:val="22"/>
                <w:szCs w:val="22"/>
                <w:highlight w:val="none"/>
              </w:rPr>
              <w:t>元，占本投标报价的比例为</w:t>
            </w:r>
            <w:r>
              <w:rPr>
                <w:rFonts w:ascii="宋体" w:hAnsi="宋体"/>
                <w:color w:val="auto"/>
                <w:sz w:val="22"/>
                <w:szCs w:val="22"/>
                <w:highlight w:val="none"/>
                <w:u w:val="single"/>
              </w:rPr>
              <w:t xml:space="preserve">  %</w:t>
            </w:r>
            <w:r>
              <w:rPr>
                <w:rFonts w:ascii="宋体" w:hAnsi="宋体"/>
                <w:color w:val="auto"/>
                <w:sz w:val="22"/>
                <w:szCs w:val="22"/>
                <w:highlight w:val="none"/>
              </w:rPr>
              <w:t>；属于优先采购节能产品总值为￥</w:t>
            </w:r>
            <w:r>
              <w:rPr>
                <w:rFonts w:ascii="宋体" w:hAnsi="宋体"/>
                <w:color w:val="auto"/>
                <w:sz w:val="22"/>
                <w:szCs w:val="22"/>
                <w:highlight w:val="none"/>
                <w:u w:val="single"/>
              </w:rPr>
              <w:t xml:space="preserve">      元</w:t>
            </w:r>
            <w:r>
              <w:rPr>
                <w:rFonts w:ascii="宋体" w:hAnsi="宋体"/>
                <w:color w:val="auto"/>
                <w:sz w:val="22"/>
                <w:szCs w:val="22"/>
                <w:highlight w:val="none"/>
              </w:rPr>
              <w:t>，占本投标报价的比例为</w:t>
            </w:r>
            <w:r>
              <w:rPr>
                <w:rFonts w:ascii="宋体" w:hAnsi="宋体"/>
                <w:color w:val="auto"/>
                <w:sz w:val="22"/>
                <w:szCs w:val="22"/>
                <w:highlight w:val="none"/>
                <w:u w:val="single"/>
              </w:rPr>
              <w:t xml:space="preserve">      %</w:t>
            </w:r>
            <w:r>
              <w:rPr>
                <w:rFonts w:ascii="宋体" w:hAnsi="宋体"/>
                <w:color w:val="auto"/>
                <w:sz w:val="22"/>
                <w:szCs w:val="22"/>
                <w:highlight w:val="none"/>
              </w:rPr>
              <w:t>；属于优先采购环境标志产品总值为</w:t>
            </w:r>
            <w:r>
              <w:rPr>
                <w:rFonts w:ascii="宋体" w:hAnsi="宋体"/>
                <w:color w:val="auto"/>
                <w:sz w:val="22"/>
                <w:szCs w:val="22"/>
                <w:highlight w:val="none"/>
                <w:u w:val="single"/>
              </w:rPr>
              <w:t>￥      元</w:t>
            </w:r>
            <w:r>
              <w:rPr>
                <w:rFonts w:ascii="宋体" w:hAnsi="宋体"/>
                <w:color w:val="auto"/>
                <w:sz w:val="22"/>
                <w:szCs w:val="22"/>
                <w:highlight w:val="none"/>
              </w:rPr>
              <w:t>，占本投标报价的比例为</w:t>
            </w:r>
            <w:r>
              <w:rPr>
                <w:rFonts w:ascii="宋体" w:hAnsi="宋体"/>
                <w:color w:val="auto"/>
                <w:sz w:val="22"/>
                <w:szCs w:val="22"/>
                <w:highlight w:val="none"/>
                <w:u w:val="single"/>
              </w:rPr>
              <w:t>%</w:t>
            </w:r>
            <w:r>
              <w:rPr>
                <w:rFonts w:ascii="宋体" w:hAnsi="宋体"/>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trPr>
        <w:tc>
          <w:tcPr>
            <w:tcW w:w="10120"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szCs w:val="22"/>
                <w:highlight w:val="none"/>
              </w:rPr>
            </w:pPr>
            <w:r>
              <w:rPr>
                <w:rFonts w:ascii="宋体" w:hAnsi="宋体"/>
                <w:color w:val="auto"/>
                <w:sz w:val="22"/>
                <w:szCs w:val="22"/>
                <w:highlight w:val="none"/>
              </w:rPr>
              <w:t>投标人（盖单位公章）：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atLeast"/>
        </w:trPr>
        <w:tc>
          <w:tcPr>
            <w:tcW w:w="10120"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szCs w:val="22"/>
                <w:highlight w:val="none"/>
              </w:rPr>
            </w:pPr>
            <w:r>
              <w:rPr>
                <w:rFonts w:ascii="宋体" w:hAnsi="宋体"/>
                <w:color w:val="auto"/>
                <w:sz w:val="22"/>
                <w:szCs w:val="22"/>
                <w:highlight w:val="none"/>
              </w:rPr>
              <w:t>法定代表人或其委托代理人（签字或盖章）：</w:t>
            </w:r>
          </w:p>
        </w:tc>
      </w:tr>
    </w:tbl>
    <w:p>
      <w:pPr>
        <w:pStyle w:val="27"/>
        <w:spacing w:line="500" w:lineRule="exact"/>
        <w:ind w:firstLine="210" w:firstLineChars="100"/>
        <w:rPr>
          <w:rFonts w:hAnsi="宋体" w:cs="宋体"/>
          <w:color w:val="auto"/>
          <w:sz w:val="21"/>
          <w:szCs w:val="21"/>
          <w:highlight w:val="none"/>
        </w:rPr>
      </w:pPr>
      <w:r>
        <w:rPr>
          <w:rFonts w:hint="eastAsia" w:hAnsi="宋体" w:cs="宋体"/>
          <w:color w:val="auto"/>
          <w:sz w:val="21"/>
          <w:szCs w:val="21"/>
          <w:highlight w:val="none"/>
        </w:rPr>
        <w:t>注：表格内容均需按要求填写并盖章，不得留空（备注除外），</w:t>
      </w:r>
      <w:r>
        <w:rPr>
          <w:rFonts w:hint="eastAsia" w:hAnsi="宋体" w:cs="宋体"/>
          <w:bCs/>
          <w:color w:val="auto"/>
          <w:sz w:val="21"/>
          <w:szCs w:val="21"/>
          <w:highlight w:val="none"/>
        </w:rPr>
        <w:t>否则按投标无效处理</w:t>
      </w:r>
      <w:r>
        <w:rPr>
          <w:rFonts w:hint="eastAsia" w:hAnsi="宋体" w:cs="宋体"/>
          <w:color w:val="auto"/>
          <w:sz w:val="21"/>
          <w:szCs w:val="21"/>
          <w:highlight w:val="none"/>
        </w:rPr>
        <w:t>。</w:t>
      </w:r>
    </w:p>
    <w:p>
      <w:pPr>
        <w:pStyle w:val="27"/>
        <w:spacing w:line="500" w:lineRule="exact"/>
        <w:rPr>
          <w:color w:val="auto"/>
          <w:highlight w:val="none"/>
        </w:rPr>
      </w:pPr>
    </w:p>
    <w:p>
      <w:pPr>
        <w:pStyle w:val="27"/>
        <w:rPr>
          <w:color w:val="auto"/>
          <w:highlight w:val="none"/>
        </w:rPr>
      </w:pPr>
      <w:r>
        <w:rPr>
          <w:color w:val="auto"/>
          <w:highlight w:val="none"/>
        </w:rPr>
        <w:br w:type="page"/>
      </w:r>
      <w:r>
        <w:rPr>
          <w:rFonts w:hint="eastAsia" w:ascii="Times New Roman" w:hAnsi="Times New Roman"/>
          <w:b/>
          <w:color w:val="auto"/>
          <w:highlight w:val="none"/>
        </w:rPr>
        <w:t>格式3：</w:t>
      </w:r>
    </w:p>
    <w:p>
      <w:pPr>
        <w:pStyle w:val="27"/>
        <w:jc w:val="center"/>
        <w:rPr>
          <w:color w:val="auto"/>
          <w:highlight w:val="none"/>
        </w:rPr>
      </w:pPr>
    </w:p>
    <w:p>
      <w:pPr>
        <w:pStyle w:val="27"/>
        <w:jc w:val="center"/>
        <w:rPr>
          <w:rFonts w:ascii="Times New Roman" w:hAnsi="Times New Roman"/>
          <w:b/>
          <w:color w:val="auto"/>
          <w:sz w:val="30"/>
          <w:szCs w:val="30"/>
          <w:highlight w:val="none"/>
        </w:rPr>
      </w:pPr>
      <w:r>
        <w:rPr>
          <w:rFonts w:hint="eastAsia" w:ascii="Times New Roman" w:hAnsi="Times New Roman"/>
          <w:b/>
          <w:color w:val="auto"/>
          <w:sz w:val="30"/>
          <w:szCs w:val="30"/>
          <w:highlight w:val="none"/>
        </w:rPr>
        <w:t>中小企业声明函（格式）</w:t>
      </w:r>
    </w:p>
    <w:p>
      <w:pPr>
        <w:shd w:val="clear" w:color="auto" w:fill="FFFFFF"/>
        <w:spacing w:after="240" w:line="360" w:lineRule="atLeast"/>
        <w:ind w:firstLine="480"/>
        <w:jc w:val="center"/>
        <w:rPr>
          <w:rFonts w:ascii="仿宋" w:hAnsi="仿宋" w:eastAsia="仿宋" w:cs="宋体"/>
          <w:color w:val="auto"/>
          <w:kern w:val="0"/>
          <w:sz w:val="24"/>
          <w:highlight w:val="none"/>
        </w:rPr>
      </w:pPr>
      <w:r>
        <w:rPr>
          <w:rFonts w:hint="eastAsia" w:ascii="宋体" w:hAnsi="宋体" w:eastAsia="仿宋" w:cs="宋体"/>
          <w:color w:val="auto"/>
          <w:kern w:val="0"/>
          <w:sz w:val="24"/>
          <w:highlight w:val="none"/>
        </w:rPr>
        <w:t> </w:t>
      </w:r>
    </w:p>
    <w:p>
      <w:pPr>
        <w:widowControl/>
        <w:shd w:val="clear" w:color="auto" w:fill="FFFFFF"/>
        <w:spacing w:after="240" w:line="360" w:lineRule="atLeast"/>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本公司郑重声明，根据《政府采购促进中小企业发展暂行办法》（财库[2011]181号）的规定，本公司为______（请填写：中型、小型、微型）企业。即，本公司同时满足以下条件：</w:t>
      </w:r>
    </w:p>
    <w:p>
      <w:pPr>
        <w:widowControl/>
        <w:shd w:val="clear" w:color="auto" w:fill="FFFFFF"/>
        <w:spacing w:after="240" w:line="360" w:lineRule="atLeast"/>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1.根据《工业和信息化部、国家统计局、国家发展和改革委员会、财政部关于印发中小企业划型标准规定的通知》（工信部联企业[2011]300号）规定的划分标准，本公司为______（请填写：中型、小型、微型）企业。</w:t>
      </w:r>
    </w:p>
    <w:p>
      <w:pPr>
        <w:widowControl/>
        <w:shd w:val="clear" w:color="auto" w:fill="FFFFFF"/>
        <w:spacing w:after="240" w:line="360" w:lineRule="atLeast"/>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widowControl/>
        <w:shd w:val="clear" w:color="auto" w:fill="FFFFFF"/>
        <w:spacing w:after="240" w:line="360" w:lineRule="atLeast"/>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本公司对上述声明的真实性负责。如有虚假，将依法承担相应责任。</w:t>
      </w:r>
    </w:p>
    <w:p>
      <w:pPr>
        <w:widowControl/>
        <w:shd w:val="clear" w:color="auto" w:fill="FFFFFF"/>
        <w:spacing w:after="240" w:line="360" w:lineRule="atLeast"/>
        <w:ind w:firstLine="480"/>
        <w:jc w:val="left"/>
        <w:rPr>
          <w:rFonts w:hAnsi="宋体" w:cs="宋体"/>
          <w:color w:val="auto"/>
          <w:sz w:val="24"/>
          <w:highlight w:val="none"/>
        </w:rPr>
      </w:pPr>
    </w:p>
    <w:p>
      <w:pPr>
        <w:widowControl/>
        <w:shd w:val="clear" w:color="auto" w:fill="FFFFFF"/>
        <w:spacing w:after="240" w:line="360" w:lineRule="atLeast"/>
        <w:ind w:firstLine="480"/>
        <w:jc w:val="left"/>
        <w:rPr>
          <w:rFonts w:hAnsi="宋体" w:cs="宋体"/>
          <w:color w:val="auto"/>
          <w:sz w:val="24"/>
          <w:highlight w:val="none"/>
        </w:rPr>
      </w:pPr>
      <w:r>
        <w:rPr>
          <w:rFonts w:hint="eastAsia" w:hAnsi="宋体" w:cs="宋体"/>
          <w:color w:val="auto"/>
          <w:sz w:val="24"/>
          <w:highlight w:val="none"/>
        </w:rPr>
        <w:t>企业名称(盖章)：</w:t>
      </w:r>
    </w:p>
    <w:p>
      <w:pPr>
        <w:widowControl/>
        <w:shd w:val="clear" w:color="auto" w:fill="FFFFFF"/>
        <w:spacing w:after="240" w:line="360" w:lineRule="atLeast"/>
        <w:ind w:firstLine="480"/>
        <w:jc w:val="left"/>
        <w:rPr>
          <w:rFonts w:ascii="宋体" w:hAnsi="宋体" w:cs="宋体"/>
          <w:color w:val="auto"/>
          <w:kern w:val="0"/>
          <w:sz w:val="24"/>
          <w:highlight w:val="none"/>
        </w:rPr>
      </w:pPr>
      <w:r>
        <w:rPr>
          <w:rFonts w:hint="eastAsia" w:ascii="宋体" w:hAnsi="宋体" w:cs="宋体"/>
          <w:color w:val="auto"/>
          <w:sz w:val="24"/>
          <w:highlight w:val="none"/>
        </w:rPr>
        <w:t>日 期：</w:t>
      </w:r>
    </w:p>
    <w:p>
      <w:pPr>
        <w:snapToGrid w:val="0"/>
        <w:spacing w:before="50" w:afterLines="50" w:line="400" w:lineRule="exact"/>
        <w:ind w:firstLine="422" w:firstLineChars="200"/>
        <w:jc w:val="left"/>
        <w:rPr>
          <w:rFonts w:ascii="仿宋_GB2312" w:hAnsi="宋体" w:eastAsia="仿宋_GB2312"/>
          <w:b/>
          <w:color w:val="auto"/>
          <w:szCs w:val="21"/>
          <w:highlight w:val="none"/>
        </w:rPr>
      </w:pPr>
    </w:p>
    <w:p>
      <w:pPr>
        <w:snapToGrid w:val="0"/>
        <w:spacing w:before="50" w:afterLines="50" w:line="400" w:lineRule="exact"/>
        <w:ind w:firstLine="422" w:firstLineChars="200"/>
        <w:jc w:val="left"/>
        <w:rPr>
          <w:rFonts w:ascii="仿宋_GB2312" w:hAnsi="宋体" w:eastAsia="仿宋_GB2312"/>
          <w:b/>
          <w:color w:val="auto"/>
          <w:szCs w:val="21"/>
          <w:highlight w:val="none"/>
        </w:rPr>
      </w:pPr>
      <w:r>
        <w:rPr>
          <w:rFonts w:hint="eastAsia" w:ascii="仿宋_GB2312" w:hAnsi="宋体" w:eastAsia="仿宋_GB2312"/>
          <w:b/>
          <w:color w:val="auto"/>
          <w:szCs w:val="21"/>
          <w:highlight w:val="none"/>
        </w:rPr>
        <w:t>备注：享受政府采购支持政策的中小企业（含中型、小型、微型企业，下同）应当同时符合以下条件：</w:t>
      </w:r>
    </w:p>
    <w:p>
      <w:pPr>
        <w:snapToGrid w:val="0"/>
        <w:spacing w:before="50" w:afterLines="50" w:line="400" w:lineRule="exact"/>
        <w:ind w:firstLine="422" w:firstLineChars="200"/>
        <w:jc w:val="left"/>
        <w:rPr>
          <w:rFonts w:ascii="仿宋_GB2312" w:hAnsi="宋体" w:eastAsia="仿宋_GB2312"/>
          <w:b/>
          <w:color w:val="auto"/>
          <w:szCs w:val="21"/>
          <w:highlight w:val="none"/>
        </w:rPr>
      </w:pPr>
      <w:r>
        <w:rPr>
          <w:rFonts w:hint="eastAsia" w:ascii="仿宋_GB2312" w:hAnsi="宋体" w:eastAsia="仿宋_GB2312"/>
          <w:b/>
          <w:color w:val="auto"/>
          <w:szCs w:val="21"/>
          <w:highlight w:val="none"/>
        </w:rPr>
        <w:t>（一）符合中小企业划分标准；</w:t>
      </w:r>
    </w:p>
    <w:p>
      <w:pPr>
        <w:snapToGrid w:val="0"/>
        <w:spacing w:before="50" w:afterLines="50" w:line="400" w:lineRule="exact"/>
        <w:ind w:firstLine="422" w:firstLineChars="200"/>
        <w:jc w:val="left"/>
        <w:rPr>
          <w:rFonts w:ascii="仿宋_GB2312" w:hAnsi="宋体" w:eastAsia="仿宋_GB2312"/>
          <w:b/>
          <w:color w:val="auto"/>
          <w:szCs w:val="21"/>
          <w:highlight w:val="none"/>
        </w:rPr>
      </w:pPr>
      <w:r>
        <w:rPr>
          <w:rFonts w:hint="eastAsia" w:ascii="仿宋_GB2312" w:hAnsi="宋体" w:eastAsia="仿宋_GB2312"/>
          <w:b/>
          <w:color w:val="auto"/>
          <w:szCs w:val="21"/>
          <w:highlight w:val="none"/>
        </w:rPr>
        <w:t>（二）提供本企业制造的货物、承担的工程或者服务，或者提供其他中小企业制造的货物。本项所称货物不包括使用大型企业注册商标的货物。</w:t>
      </w:r>
    </w:p>
    <w:p>
      <w:pPr>
        <w:snapToGrid w:val="0"/>
        <w:spacing w:before="50" w:afterLines="50" w:line="400" w:lineRule="exact"/>
        <w:ind w:firstLine="422" w:firstLineChars="200"/>
        <w:jc w:val="left"/>
        <w:rPr>
          <w:rFonts w:ascii="仿宋_GB2312" w:hAnsi="宋体" w:eastAsia="仿宋_GB2312"/>
          <w:b/>
          <w:color w:val="auto"/>
          <w:szCs w:val="21"/>
          <w:highlight w:val="none"/>
        </w:rPr>
      </w:pPr>
      <w:r>
        <w:rPr>
          <w:rFonts w:hint="eastAsia" w:ascii="仿宋_GB2312" w:hAnsi="宋体" w:eastAsia="仿宋_GB2312"/>
          <w:b/>
          <w:color w:val="auto"/>
          <w:szCs w:val="21"/>
          <w:highlight w:val="none"/>
        </w:rPr>
        <w:t>中小企业划分标准，是指国务院有关部门根据企业从业人员、营业收入、资产总额等指标制定的中小企业划型标准。</w:t>
      </w:r>
    </w:p>
    <w:p>
      <w:pPr>
        <w:spacing w:line="460" w:lineRule="exact"/>
        <w:rPr>
          <w:rFonts w:ascii="宋体" w:hAnsi="宋体" w:cs="宋体"/>
          <w:color w:val="auto"/>
          <w:sz w:val="24"/>
          <w:highlight w:val="none"/>
        </w:rPr>
      </w:pPr>
      <w:r>
        <w:rPr>
          <w:rFonts w:hint="eastAsia" w:ascii="仿宋_GB2312" w:hAnsi="宋体" w:eastAsia="仿宋_GB2312"/>
          <w:b/>
          <w:color w:val="auto"/>
          <w:szCs w:val="21"/>
          <w:highlight w:val="none"/>
        </w:rPr>
        <w:t>小型、微型企业提供中型企业制造的货物的，视同为中型企业。</w:t>
      </w:r>
    </w:p>
    <w:p>
      <w:pPr>
        <w:snapToGrid w:val="0"/>
        <w:spacing w:before="50" w:afterLines="50" w:line="400" w:lineRule="exact"/>
        <w:jc w:val="left"/>
        <w:rPr>
          <w:b/>
          <w:color w:val="auto"/>
          <w:highlight w:val="none"/>
        </w:rPr>
      </w:pPr>
      <w:r>
        <w:rPr>
          <w:rFonts w:hint="eastAsia"/>
          <w:color w:val="auto"/>
          <w:highlight w:val="none"/>
        </w:rPr>
        <w:br w:type="page"/>
      </w:r>
      <w:r>
        <w:rPr>
          <w:rFonts w:hint="eastAsia"/>
          <w:b/>
          <w:color w:val="auto"/>
          <w:highlight w:val="none"/>
        </w:rPr>
        <w:t>格式4：</w:t>
      </w:r>
    </w:p>
    <w:p>
      <w:pPr>
        <w:snapToGrid w:val="0"/>
        <w:spacing w:before="50" w:afterLines="50" w:line="400" w:lineRule="exact"/>
        <w:jc w:val="center"/>
        <w:rPr>
          <w:rFonts w:ascii="仿宋" w:hAnsi="仿宋" w:eastAsia="仿宋"/>
          <w:b/>
          <w:color w:val="auto"/>
          <w:sz w:val="24"/>
          <w:highlight w:val="none"/>
        </w:rPr>
      </w:pPr>
      <w:r>
        <w:rPr>
          <w:rFonts w:hint="eastAsia" w:ascii="宋体" w:hAnsi="宋体"/>
          <w:b/>
          <w:color w:val="auto"/>
          <w:sz w:val="30"/>
          <w:szCs w:val="30"/>
          <w:highlight w:val="none"/>
        </w:rPr>
        <w:t>残疾人福利性单位声明函（格式）</w:t>
      </w:r>
    </w:p>
    <w:p>
      <w:pPr>
        <w:spacing w:line="588" w:lineRule="exact"/>
        <w:rPr>
          <w:rFonts w:ascii="仿宋_GB2312" w:eastAsia="仿宋_GB2312"/>
          <w:color w:val="auto"/>
          <w:spacing w:val="6"/>
          <w:sz w:val="24"/>
          <w:highlight w:val="none"/>
        </w:rPr>
      </w:pPr>
    </w:p>
    <w:p>
      <w:pPr>
        <w:spacing w:line="588" w:lineRule="exact"/>
        <w:ind w:firstLine="504" w:firstLineChars="200"/>
        <w:rPr>
          <w:rFonts w:ascii="宋体" w:hAnsi="宋体" w:cs="宋体"/>
          <w:color w:val="auto"/>
          <w:spacing w:val="6"/>
          <w:sz w:val="24"/>
          <w:highlight w:val="none"/>
        </w:rPr>
      </w:pPr>
      <w:r>
        <w:rPr>
          <w:rFonts w:hint="eastAsia" w:ascii="宋体" w:hAnsi="宋体" w:cs="宋体"/>
          <w:color w:val="auto"/>
          <w:spacing w:val="6"/>
          <w:sz w:val="24"/>
          <w:highlight w:val="none"/>
        </w:rPr>
        <w:t>本单位郑重声明，根据《财政部 民政部 中国残疾人联合会关于促进残疾人就业政府采购政策的通知》（财库</w:t>
      </w:r>
      <w:r>
        <w:rPr>
          <w:rFonts w:hint="eastAsia" w:ascii="宋体" w:hAnsi="宋体" w:cs="宋体"/>
          <w:color w:val="auto"/>
          <w:sz w:val="24"/>
          <w:highlight w:val="none"/>
        </w:rPr>
        <w:t>〔2017〕 141</w:t>
      </w:r>
      <w:r>
        <w:rPr>
          <w:rFonts w:hint="eastAsia" w:ascii="宋体" w:hAnsi="宋体" w:cs="宋体"/>
          <w:color w:val="auto"/>
          <w:spacing w:val="6"/>
          <w:sz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cs="宋体"/>
          <w:color w:val="auto"/>
          <w:spacing w:val="6"/>
          <w:sz w:val="24"/>
          <w:highlight w:val="none"/>
        </w:rPr>
      </w:pPr>
      <w:r>
        <w:rPr>
          <w:rFonts w:hint="eastAsia" w:ascii="宋体" w:hAnsi="宋体" w:cs="宋体"/>
          <w:color w:val="auto"/>
          <w:spacing w:val="6"/>
          <w:sz w:val="24"/>
          <w:highlight w:val="none"/>
        </w:rPr>
        <w:t>本单位对上述声明的真实性负责。如有虚假，将依法承担相应责任。</w:t>
      </w:r>
    </w:p>
    <w:p>
      <w:pPr>
        <w:spacing w:line="588" w:lineRule="exact"/>
        <w:ind w:firstLine="504" w:firstLineChars="200"/>
        <w:rPr>
          <w:rFonts w:ascii="宋体" w:hAnsi="宋体" w:cs="宋体"/>
          <w:color w:val="auto"/>
          <w:spacing w:val="6"/>
          <w:sz w:val="24"/>
          <w:highlight w:val="none"/>
        </w:rPr>
      </w:pPr>
    </w:p>
    <w:p>
      <w:pPr>
        <w:pStyle w:val="27"/>
        <w:spacing w:line="600" w:lineRule="exact"/>
        <w:rPr>
          <w:rFonts w:ascii="Times New Roman" w:hAnsi="Times New Roman"/>
          <w:color w:val="auto"/>
          <w:sz w:val="24"/>
          <w:szCs w:val="24"/>
          <w:highlight w:val="none"/>
        </w:rPr>
      </w:pPr>
      <w:r>
        <w:rPr>
          <w:rFonts w:hint="eastAsia" w:ascii="Times New Roman" w:hAnsi="Times New Roman"/>
          <w:color w:val="auto"/>
          <w:sz w:val="24"/>
          <w:szCs w:val="24"/>
          <w:highlight w:val="none"/>
        </w:rPr>
        <w:t>企业名称(盖章)：</w:t>
      </w:r>
    </w:p>
    <w:p>
      <w:pPr>
        <w:pStyle w:val="27"/>
        <w:spacing w:line="600" w:lineRule="exact"/>
        <w:rPr>
          <w:rFonts w:ascii="Times New Roman" w:hAnsi="Times New Roman"/>
          <w:color w:val="auto"/>
          <w:sz w:val="24"/>
          <w:szCs w:val="24"/>
          <w:highlight w:val="none"/>
        </w:rPr>
      </w:pPr>
      <w:r>
        <w:rPr>
          <w:rFonts w:hint="eastAsia" w:ascii="Times New Roman" w:hAnsi="Times New Roman"/>
          <w:color w:val="auto"/>
          <w:sz w:val="24"/>
          <w:szCs w:val="24"/>
          <w:highlight w:val="none"/>
        </w:rPr>
        <w:t>日 期：</w:t>
      </w:r>
    </w:p>
    <w:p>
      <w:pPr>
        <w:pStyle w:val="27"/>
        <w:spacing w:line="360" w:lineRule="auto"/>
        <w:rPr>
          <w:color w:val="auto"/>
          <w:highlight w:val="none"/>
        </w:rPr>
      </w:pPr>
    </w:p>
    <w:p>
      <w:pPr>
        <w:tabs>
          <w:tab w:val="left" w:pos="4860"/>
        </w:tabs>
        <w:spacing w:line="360" w:lineRule="exact"/>
        <w:ind w:right="1560"/>
        <w:rPr>
          <w:rFonts w:ascii="宋体" w:hAnsi="宋体" w:cs="宋体"/>
          <w:color w:val="auto"/>
          <w:spacing w:val="6"/>
          <w:sz w:val="22"/>
          <w:szCs w:val="22"/>
          <w:highlight w:val="none"/>
        </w:rPr>
      </w:pPr>
      <w:r>
        <w:rPr>
          <w:rFonts w:hint="eastAsia" w:ascii="宋体" w:hAnsi="宋体" w:cs="宋体"/>
          <w:color w:val="auto"/>
          <w:sz w:val="22"/>
          <w:szCs w:val="22"/>
          <w:highlight w:val="none"/>
        </w:rPr>
        <w:t>备注：</w:t>
      </w:r>
    </w:p>
    <w:p>
      <w:pPr>
        <w:widowControl/>
        <w:shd w:val="clear" w:color="auto" w:fill="FFFFFF"/>
        <w:spacing w:line="360" w:lineRule="exact"/>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享受政府采购支持政策的残疾人福利性单位应当同时满足以下条件：</w:t>
      </w:r>
    </w:p>
    <w:p>
      <w:pPr>
        <w:widowControl/>
        <w:shd w:val="clear" w:color="auto" w:fill="FFFFFF"/>
        <w:spacing w:line="360" w:lineRule="exact"/>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（一）安置的残疾人占本单位在职职工人数的比例不低于25%（含25%），并且安置的残疾人人数不少于10人（含10人）；</w:t>
      </w:r>
    </w:p>
    <w:p>
      <w:pPr>
        <w:widowControl/>
        <w:shd w:val="clear" w:color="auto" w:fill="FFFFFF"/>
        <w:spacing w:line="360" w:lineRule="exact"/>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（二）依法与安置的每位残疾人签订了一年以上（含一年）的劳动合同或服务协议；</w:t>
      </w:r>
    </w:p>
    <w:p>
      <w:pPr>
        <w:widowControl/>
        <w:shd w:val="clear" w:color="auto" w:fill="FFFFFF"/>
        <w:spacing w:line="360" w:lineRule="exact"/>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（三）为安置的每位残疾人按月足额缴纳了基本养老保险、基本医疗保险、失业保险、工伤保险和生育保险等社会保险费；</w:t>
      </w:r>
    </w:p>
    <w:p>
      <w:pPr>
        <w:widowControl/>
        <w:shd w:val="clear" w:color="auto" w:fill="FFFFFF"/>
        <w:spacing w:line="360" w:lineRule="exact"/>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（四）通过银行等金融机构向安置的每位残疾人，按月支付了不低于单位所在区县适用的经省级人民政府批准的月最低工资标准的工资；</w:t>
      </w:r>
    </w:p>
    <w:p>
      <w:pPr>
        <w:widowControl/>
        <w:shd w:val="clear" w:color="auto" w:fill="FFFFFF"/>
        <w:spacing w:line="360" w:lineRule="exact"/>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（五）提供本单位制造的货物、承担的工程或者服务（以下简称产品），或者提供其他残疾人福利性单位制造的货物（不包括使用非残疾人福利性单位注册商标的货物）。</w:t>
      </w:r>
    </w:p>
    <w:p>
      <w:pPr>
        <w:pStyle w:val="27"/>
        <w:spacing w:line="360" w:lineRule="exact"/>
        <w:rPr>
          <w:rFonts w:ascii="Times New Roman" w:hAnsi="Times New Roman"/>
          <w:color w:val="auto"/>
          <w:szCs w:val="21"/>
          <w:highlight w:val="none"/>
        </w:rPr>
      </w:pPr>
      <w:r>
        <w:rPr>
          <w:rFonts w:hint="eastAsia" w:hAnsi="宋体" w:cs="宋体"/>
          <w:color w:val="auto"/>
          <w:sz w:val="22"/>
          <w:szCs w:val="18"/>
          <w:highlight w:val="none"/>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r>
        <w:rPr>
          <w:rFonts w:hint="eastAsia" w:ascii="Times New Roman" w:hAnsi="Times New Roman"/>
          <w:b/>
          <w:color w:val="auto"/>
          <w:highlight w:val="none"/>
        </w:rPr>
        <w:br w:type="page"/>
      </w:r>
      <w:r>
        <w:rPr>
          <w:rFonts w:hint="eastAsia" w:ascii="Times New Roman" w:hAnsi="Times New Roman"/>
          <w:b/>
          <w:color w:val="auto"/>
          <w:highlight w:val="none"/>
        </w:rPr>
        <w:t>格式5：</w:t>
      </w:r>
    </w:p>
    <w:p>
      <w:pPr>
        <w:pStyle w:val="27"/>
        <w:spacing w:line="500" w:lineRule="exact"/>
        <w:jc w:val="center"/>
        <w:rPr>
          <w:rFonts w:ascii="Times New Roman" w:hAnsi="Times New Roman"/>
          <w:b/>
          <w:bCs/>
          <w:color w:val="auto"/>
          <w:sz w:val="30"/>
          <w:szCs w:val="30"/>
          <w:highlight w:val="none"/>
        </w:rPr>
      </w:pPr>
      <w:r>
        <w:rPr>
          <w:rFonts w:hint="eastAsia" w:hAnsi="宋体"/>
          <w:b/>
          <w:color w:val="auto"/>
          <w:sz w:val="30"/>
          <w:szCs w:val="30"/>
          <w:highlight w:val="none"/>
        </w:rPr>
        <w:t>广西工业产品声明函</w:t>
      </w:r>
      <w:r>
        <w:rPr>
          <w:rFonts w:hint="eastAsia" w:ascii="Times New Roman" w:hAnsi="Times New Roman"/>
          <w:b/>
          <w:bCs/>
          <w:color w:val="auto"/>
          <w:sz w:val="30"/>
          <w:szCs w:val="30"/>
          <w:highlight w:val="none"/>
        </w:rPr>
        <w:t>（格式）</w:t>
      </w:r>
    </w:p>
    <w:p>
      <w:pPr>
        <w:pStyle w:val="27"/>
        <w:rPr>
          <w:rFonts w:ascii="Times New Roman" w:hAnsi="Times New Roman"/>
          <w:b/>
          <w:color w:val="auto"/>
          <w:sz w:val="24"/>
          <w:highlight w:val="none"/>
        </w:rPr>
      </w:pPr>
    </w:p>
    <w:p>
      <w:pPr>
        <w:widowControl/>
        <w:spacing w:line="360" w:lineRule="auto"/>
        <w:rPr>
          <w:rFonts w:ascii="ˎ̥,Verdana" w:hAnsi="ˎ̥,Verdana" w:cs="宋体"/>
          <w:color w:val="auto"/>
          <w:kern w:val="0"/>
          <w:sz w:val="23"/>
          <w:szCs w:val="23"/>
          <w:highlight w:val="none"/>
        </w:rPr>
      </w:pPr>
    </w:p>
    <w:p>
      <w:pPr>
        <w:widowControl/>
        <w:spacing w:line="360" w:lineRule="auto"/>
        <w:jc w:val="left"/>
        <w:rPr>
          <w:rFonts w:ascii="ˎ̥,Verdana" w:hAnsi="ˎ̥,Verdana" w:cs="宋体"/>
          <w:color w:val="auto"/>
          <w:kern w:val="0"/>
          <w:sz w:val="23"/>
          <w:szCs w:val="23"/>
          <w:highlight w:val="none"/>
        </w:rPr>
      </w:pPr>
      <w:r>
        <w:rPr>
          <w:rFonts w:ascii="ˎ̥,Verdana" w:hAnsi="ˎ̥,Verdana" w:cs="宋体"/>
          <w:color w:val="auto"/>
          <w:kern w:val="0"/>
          <w:sz w:val="23"/>
          <w:szCs w:val="23"/>
          <w:highlight w:val="none"/>
        </w:rPr>
        <w:t>　　本公司郑重声明</w:t>
      </w:r>
      <w:r>
        <w:rPr>
          <w:rFonts w:hint="eastAsia" w:ascii="ˎ̥,Verdana" w:hAnsi="ˎ̥,Verdana" w:cs="宋体"/>
          <w:color w:val="auto"/>
          <w:kern w:val="0"/>
          <w:sz w:val="23"/>
          <w:szCs w:val="23"/>
          <w:highlight w:val="none"/>
        </w:rPr>
        <w:t>，</w:t>
      </w:r>
      <w:r>
        <w:rPr>
          <w:rFonts w:ascii="ˎ̥,Verdana" w:hAnsi="ˎ̥,Verdana" w:cs="宋体"/>
          <w:color w:val="auto"/>
          <w:kern w:val="0"/>
          <w:sz w:val="23"/>
          <w:szCs w:val="23"/>
          <w:highlight w:val="none"/>
        </w:rPr>
        <w:t>根据《招标采购促进广西工业产品产销对接实施细则》的规定</w:t>
      </w:r>
      <w:r>
        <w:rPr>
          <w:rFonts w:hint="eastAsia" w:ascii="ˎ̥,Verdana" w:hAnsi="ˎ̥,Verdana" w:cs="宋体"/>
          <w:color w:val="auto"/>
          <w:kern w:val="0"/>
          <w:sz w:val="23"/>
          <w:szCs w:val="23"/>
          <w:highlight w:val="none"/>
        </w:rPr>
        <w:t>，</w:t>
      </w:r>
      <w:r>
        <w:rPr>
          <w:rFonts w:ascii="ˎ̥,Verdana" w:hAnsi="ˎ̥,Verdana" w:cs="宋体"/>
          <w:color w:val="auto"/>
          <w:kern w:val="0"/>
          <w:sz w:val="23"/>
          <w:szCs w:val="23"/>
          <w:highlight w:val="none"/>
        </w:rPr>
        <w:t>本公司在本次投标/投标中或者工程项目中提供的下述产品为广西工业产品</w:t>
      </w:r>
      <w:r>
        <w:rPr>
          <w:rFonts w:hint="eastAsia" w:ascii="ˎ̥,Verdana" w:hAnsi="ˎ̥,Verdana" w:cs="宋体"/>
          <w:color w:val="auto"/>
          <w:kern w:val="0"/>
          <w:sz w:val="23"/>
          <w:szCs w:val="23"/>
          <w:highlight w:val="none"/>
        </w:rPr>
        <w:t>，</w:t>
      </w:r>
      <w:r>
        <w:rPr>
          <w:rFonts w:ascii="ˎ̥,Verdana" w:hAnsi="ˎ̥,Verdana" w:cs="宋体"/>
          <w:color w:val="auto"/>
          <w:kern w:val="0"/>
          <w:sz w:val="23"/>
          <w:szCs w:val="23"/>
          <w:highlight w:val="none"/>
        </w:rPr>
        <w:t>详情如下</w:t>
      </w:r>
      <w:r>
        <w:rPr>
          <w:rFonts w:hint="eastAsia" w:ascii="ˎ̥,Verdana" w:hAnsi="ˎ̥,Verdana" w:cs="宋体"/>
          <w:color w:val="auto"/>
          <w:kern w:val="0"/>
          <w:sz w:val="23"/>
          <w:szCs w:val="23"/>
          <w:highlight w:val="none"/>
        </w:rPr>
        <w:t>：</w:t>
      </w:r>
    </w:p>
    <w:tbl>
      <w:tblPr>
        <w:tblStyle w:val="51"/>
        <w:tblW w:w="0" w:type="auto"/>
        <w:jc w:val="center"/>
        <w:tblLayout w:type="fixed"/>
        <w:tblCellMar>
          <w:top w:w="0" w:type="dxa"/>
          <w:left w:w="0" w:type="dxa"/>
          <w:bottom w:w="0" w:type="dxa"/>
          <w:right w:w="0" w:type="dxa"/>
        </w:tblCellMar>
      </w:tblPr>
      <w:tblGrid>
        <w:gridCol w:w="845"/>
        <w:gridCol w:w="1910"/>
        <w:gridCol w:w="1522"/>
        <w:gridCol w:w="935"/>
        <w:gridCol w:w="2137"/>
        <w:gridCol w:w="1073"/>
        <w:gridCol w:w="762"/>
      </w:tblGrid>
      <w:tr>
        <w:tblPrEx>
          <w:tblCellMar>
            <w:top w:w="0" w:type="dxa"/>
            <w:left w:w="0" w:type="dxa"/>
            <w:bottom w:w="0" w:type="dxa"/>
            <w:right w:w="0" w:type="dxa"/>
          </w:tblCellMar>
        </w:tblPrEx>
        <w:trPr>
          <w:trHeight w:val="454" w:hRule="atLeast"/>
          <w:jc w:val="center"/>
        </w:trPr>
        <w:tc>
          <w:tcPr>
            <w:tcW w:w="845" w:type="dxa"/>
            <w:tcBorders>
              <w:top w:val="single" w:color="auto" w:sz="12" w:space="0"/>
              <w:left w:val="single" w:color="auto" w:sz="12" w:space="0"/>
              <w:bottom w:val="single" w:color="auto" w:sz="8" w:space="0"/>
              <w:right w:val="single" w:color="auto" w:sz="8" w:space="0"/>
            </w:tcBorders>
            <w:tcMar>
              <w:top w:w="0" w:type="dxa"/>
              <w:left w:w="57" w:type="dxa"/>
              <w:bottom w:w="0" w:type="dxa"/>
              <w:right w:w="57" w:type="dxa"/>
            </w:tcMar>
            <w:vAlign w:val="center"/>
          </w:tcPr>
          <w:p>
            <w:pPr>
              <w:widowControl/>
              <w:snapToGrid w:val="0"/>
              <w:spacing w:line="360" w:lineRule="auto"/>
              <w:jc w:val="center"/>
              <w:rPr>
                <w:rFonts w:ascii="宋体" w:hAnsi="宋体" w:cs="宋体"/>
                <w:color w:val="auto"/>
                <w:kern w:val="0"/>
                <w:sz w:val="24"/>
                <w:highlight w:val="none"/>
              </w:rPr>
            </w:pPr>
            <w:r>
              <w:rPr>
                <w:rFonts w:hint="eastAsia" w:ascii="方正黑体_GBK" w:hAnsi="宋体" w:eastAsia="方正黑体_GBK" w:cs="宋体"/>
                <w:color w:val="auto"/>
                <w:kern w:val="0"/>
                <w:sz w:val="24"/>
                <w:highlight w:val="none"/>
              </w:rPr>
              <w:t>序号</w:t>
            </w:r>
          </w:p>
        </w:tc>
        <w:tc>
          <w:tcPr>
            <w:tcW w:w="1910"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snapToGrid w:val="0"/>
              <w:spacing w:line="360" w:lineRule="auto"/>
              <w:jc w:val="center"/>
              <w:rPr>
                <w:rFonts w:ascii="宋体" w:hAnsi="宋体" w:cs="宋体"/>
                <w:color w:val="auto"/>
                <w:kern w:val="0"/>
                <w:sz w:val="24"/>
                <w:highlight w:val="none"/>
              </w:rPr>
            </w:pPr>
            <w:r>
              <w:rPr>
                <w:rFonts w:hint="eastAsia" w:ascii="方正黑体_GBK" w:hAnsi="宋体" w:eastAsia="方正黑体_GBK" w:cs="宋体"/>
                <w:color w:val="auto"/>
                <w:kern w:val="0"/>
                <w:sz w:val="24"/>
                <w:highlight w:val="none"/>
              </w:rPr>
              <w:t>产品名称</w:t>
            </w:r>
          </w:p>
        </w:tc>
        <w:tc>
          <w:tcPr>
            <w:tcW w:w="1522"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snapToGrid w:val="0"/>
              <w:spacing w:line="360" w:lineRule="auto"/>
              <w:jc w:val="center"/>
              <w:rPr>
                <w:rFonts w:ascii="宋体" w:hAnsi="宋体" w:cs="宋体"/>
                <w:color w:val="auto"/>
                <w:kern w:val="0"/>
                <w:sz w:val="24"/>
                <w:highlight w:val="none"/>
              </w:rPr>
            </w:pPr>
            <w:r>
              <w:rPr>
                <w:rFonts w:hint="eastAsia" w:ascii="方正黑体_GBK" w:hAnsi="宋体" w:eastAsia="方正黑体_GBK" w:cs="宋体"/>
                <w:color w:val="auto"/>
                <w:kern w:val="0"/>
                <w:sz w:val="24"/>
                <w:highlight w:val="none"/>
              </w:rPr>
              <w:t>型号和规格</w:t>
            </w:r>
          </w:p>
        </w:tc>
        <w:tc>
          <w:tcPr>
            <w:tcW w:w="935"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snapToGrid w:val="0"/>
              <w:spacing w:line="360" w:lineRule="auto"/>
              <w:jc w:val="center"/>
              <w:rPr>
                <w:rFonts w:ascii="宋体" w:hAnsi="宋体" w:cs="宋体"/>
                <w:color w:val="auto"/>
                <w:kern w:val="0"/>
                <w:sz w:val="24"/>
                <w:highlight w:val="none"/>
              </w:rPr>
            </w:pPr>
            <w:r>
              <w:rPr>
                <w:rFonts w:hint="eastAsia" w:ascii="方正黑体_GBK" w:hAnsi="宋体" w:eastAsia="方正黑体_GBK" w:cs="宋体"/>
                <w:color w:val="auto"/>
                <w:kern w:val="0"/>
                <w:sz w:val="24"/>
                <w:highlight w:val="none"/>
              </w:rPr>
              <w:t>数量</w:t>
            </w:r>
          </w:p>
        </w:tc>
        <w:tc>
          <w:tcPr>
            <w:tcW w:w="2137"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snapToGrid w:val="0"/>
              <w:spacing w:line="360" w:lineRule="auto"/>
              <w:jc w:val="center"/>
              <w:rPr>
                <w:rFonts w:ascii="宋体" w:hAnsi="宋体" w:cs="宋体"/>
                <w:color w:val="auto"/>
                <w:kern w:val="0"/>
                <w:sz w:val="24"/>
                <w:highlight w:val="none"/>
              </w:rPr>
            </w:pPr>
            <w:r>
              <w:rPr>
                <w:rFonts w:hint="eastAsia" w:ascii="方正黑体_GBK" w:hAnsi="宋体" w:eastAsia="方正黑体_GBK" w:cs="宋体"/>
                <w:color w:val="auto"/>
                <w:kern w:val="0"/>
                <w:sz w:val="24"/>
                <w:highlight w:val="none"/>
              </w:rPr>
              <w:t>制造厂商及原产地</w:t>
            </w:r>
          </w:p>
        </w:tc>
        <w:tc>
          <w:tcPr>
            <w:tcW w:w="1073"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snapToGrid w:val="0"/>
              <w:spacing w:line="360" w:lineRule="auto"/>
              <w:jc w:val="center"/>
              <w:rPr>
                <w:rFonts w:ascii="宋体" w:hAnsi="宋体" w:cs="宋体"/>
                <w:color w:val="auto"/>
                <w:kern w:val="0"/>
                <w:sz w:val="24"/>
                <w:highlight w:val="none"/>
              </w:rPr>
            </w:pPr>
            <w:r>
              <w:rPr>
                <w:rFonts w:hint="eastAsia" w:ascii="方正黑体_GBK" w:hAnsi="宋体" w:eastAsia="方正黑体_GBK" w:cs="宋体"/>
                <w:color w:val="auto"/>
                <w:kern w:val="0"/>
                <w:sz w:val="24"/>
                <w:highlight w:val="none"/>
              </w:rPr>
              <w:t>投标价</w:t>
            </w:r>
          </w:p>
        </w:tc>
        <w:tc>
          <w:tcPr>
            <w:tcW w:w="762" w:type="dxa"/>
            <w:tcBorders>
              <w:top w:val="single" w:color="auto" w:sz="12" w:space="0"/>
              <w:left w:val="nil"/>
              <w:bottom w:val="single" w:color="auto" w:sz="8" w:space="0"/>
              <w:right w:val="single" w:color="auto" w:sz="12" w:space="0"/>
            </w:tcBorders>
            <w:tcMar>
              <w:top w:w="0" w:type="dxa"/>
              <w:left w:w="57" w:type="dxa"/>
              <w:bottom w:w="0" w:type="dxa"/>
              <w:right w:w="57" w:type="dxa"/>
            </w:tcMar>
            <w:vAlign w:val="center"/>
          </w:tcPr>
          <w:p>
            <w:pPr>
              <w:widowControl/>
              <w:snapToGrid w:val="0"/>
              <w:spacing w:line="360" w:lineRule="auto"/>
              <w:jc w:val="center"/>
              <w:rPr>
                <w:rFonts w:ascii="宋体" w:hAnsi="宋体" w:cs="宋体"/>
                <w:color w:val="auto"/>
                <w:kern w:val="0"/>
                <w:sz w:val="24"/>
                <w:highlight w:val="none"/>
              </w:rPr>
            </w:pPr>
            <w:r>
              <w:rPr>
                <w:rFonts w:hint="eastAsia" w:ascii="方正黑体_GBK" w:hAnsi="宋体" w:eastAsia="方正黑体_GBK" w:cs="宋体"/>
                <w:color w:val="auto"/>
                <w:kern w:val="0"/>
                <w:sz w:val="24"/>
                <w:highlight w:val="none"/>
              </w:rPr>
              <w:t>备注</w:t>
            </w:r>
          </w:p>
        </w:tc>
      </w:tr>
      <w:tr>
        <w:tblPrEx>
          <w:tblCellMar>
            <w:top w:w="0" w:type="dxa"/>
            <w:left w:w="0" w:type="dxa"/>
            <w:bottom w:w="0" w:type="dxa"/>
            <w:right w:w="0" w:type="dxa"/>
          </w:tblCellMar>
        </w:tblPrEx>
        <w:trPr>
          <w:trHeight w:val="454" w:hRule="atLeast"/>
          <w:jc w:val="center"/>
        </w:trPr>
        <w:tc>
          <w:tcPr>
            <w:tcW w:w="845" w:type="dxa"/>
            <w:tcBorders>
              <w:top w:val="nil"/>
              <w:left w:val="single" w:color="auto" w:sz="12" w:space="0"/>
              <w:bottom w:val="single" w:color="auto" w:sz="8" w:space="0"/>
              <w:right w:val="single" w:color="auto" w:sz="8" w:space="0"/>
            </w:tcBorders>
            <w:tcMar>
              <w:top w:w="0" w:type="dxa"/>
              <w:left w:w="57" w:type="dxa"/>
              <w:bottom w:w="0" w:type="dxa"/>
              <w:right w:w="57" w:type="dxa"/>
            </w:tcMar>
            <w:vAlign w:val="center"/>
          </w:tcPr>
          <w:p>
            <w:pPr>
              <w:widowControl/>
              <w:snapToGrid w:val="0"/>
              <w:spacing w:line="360" w:lineRule="auto"/>
              <w:jc w:val="center"/>
              <w:rPr>
                <w:rFonts w:ascii="宋体" w:hAnsi="宋体" w:cs="宋体"/>
                <w:color w:val="auto"/>
                <w:kern w:val="0"/>
                <w:sz w:val="24"/>
                <w:highlight w:val="none"/>
              </w:rPr>
            </w:pPr>
            <w:r>
              <w:rPr>
                <w:rFonts w:ascii="宋体" w:hAnsi="宋体" w:cs="宋体"/>
                <w:color w:val="auto"/>
                <w:kern w:val="0"/>
                <w:sz w:val="24"/>
                <w:highlight w:val="none"/>
              </w:rPr>
              <w:t>1</w:t>
            </w:r>
          </w:p>
        </w:tc>
        <w:tc>
          <w:tcPr>
            <w:tcW w:w="191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60" w:lineRule="auto"/>
              <w:jc w:val="left"/>
              <w:rPr>
                <w:rFonts w:ascii="ˎ̥,Verdana" w:hAnsi="ˎ̥,Verdana" w:cs="宋体"/>
                <w:color w:val="auto"/>
                <w:kern w:val="0"/>
                <w:sz w:val="14"/>
                <w:szCs w:val="14"/>
                <w:highlight w:val="none"/>
              </w:rPr>
            </w:pPr>
          </w:p>
        </w:tc>
        <w:tc>
          <w:tcPr>
            <w:tcW w:w="152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60" w:lineRule="auto"/>
              <w:jc w:val="left"/>
              <w:rPr>
                <w:rFonts w:ascii="ˎ̥,Verdana" w:hAnsi="ˎ̥,Verdana" w:cs="宋体"/>
                <w:color w:val="auto"/>
                <w:kern w:val="0"/>
                <w:sz w:val="14"/>
                <w:szCs w:val="14"/>
                <w:highlight w:val="none"/>
              </w:rPr>
            </w:pPr>
          </w:p>
        </w:tc>
        <w:tc>
          <w:tcPr>
            <w:tcW w:w="9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60" w:lineRule="auto"/>
              <w:jc w:val="left"/>
              <w:rPr>
                <w:rFonts w:ascii="ˎ̥,Verdana" w:hAnsi="ˎ̥,Verdana" w:cs="宋体"/>
                <w:color w:val="auto"/>
                <w:kern w:val="0"/>
                <w:sz w:val="14"/>
                <w:szCs w:val="14"/>
                <w:highlight w:val="none"/>
              </w:rPr>
            </w:pPr>
          </w:p>
        </w:tc>
        <w:tc>
          <w:tcPr>
            <w:tcW w:w="213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60" w:lineRule="auto"/>
              <w:jc w:val="left"/>
              <w:rPr>
                <w:rFonts w:ascii="ˎ̥,Verdana" w:hAnsi="ˎ̥,Verdana" w:cs="宋体"/>
                <w:color w:val="auto"/>
                <w:kern w:val="0"/>
                <w:sz w:val="14"/>
                <w:szCs w:val="14"/>
                <w:highlight w:val="none"/>
              </w:rPr>
            </w:pPr>
          </w:p>
        </w:tc>
        <w:tc>
          <w:tcPr>
            <w:tcW w:w="107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60" w:lineRule="auto"/>
              <w:jc w:val="left"/>
              <w:rPr>
                <w:rFonts w:ascii="ˎ̥,Verdana" w:hAnsi="ˎ̥,Verdana" w:cs="宋体"/>
                <w:color w:val="auto"/>
                <w:kern w:val="0"/>
                <w:sz w:val="14"/>
                <w:szCs w:val="14"/>
                <w:highlight w:val="none"/>
              </w:rPr>
            </w:pPr>
          </w:p>
        </w:tc>
        <w:tc>
          <w:tcPr>
            <w:tcW w:w="762" w:type="dxa"/>
            <w:tcBorders>
              <w:top w:val="nil"/>
              <w:left w:val="nil"/>
              <w:bottom w:val="single" w:color="auto" w:sz="8" w:space="0"/>
              <w:right w:val="single" w:color="auto" w:sz="12" w:space="0"/>
            </w:tcBorders>
            <w:tcMar>
              <w:top w:w="0" w:type="dxa"/>
              <w:left w:w="57" w:type="dxa"/>
              <w:bottom w:w="0" w:type="dxa"/>
              <w:right w:w="57" w:type="dxa"/>
            </w:tcMar>
            <w:vAlign w:val="center"/>
          </w:tcPr>
          <w:p>
            <w:pPr>
              <w:widowControl/>
              <w:spacing w:line="360" w:lineRule="auto"/>
              <w:jc w:val="left"/>
              <w:rPr>
                <w:rFonts w:ascii="ˎ̥,Verdana" w:hAnsi="ˎ̥,Verdana" w:cs="宋体"/>
                <w:color w:val="auto"/>
                <w:kern w:val="0"/>
                <w:sz w:val="14"/>
                <w:szCs w:val="14"/>
                <w:highlight w:val="none"/>
              </w:rPr>
            </w:pPr>
          </w:p>
        </w:tc>
      </w:tr>
      <w:tr>
        <w:tblPrEx>
          <w:tblCellMar>
            <w:top w:w="0" w:type="dxa"/>
            <w:left w:w="0" w:type="dxa"/>
            <w:bottom w:w="0" w:type="dxa"/>
            <w:right w:w="0" w:type="dxa"/>
          </w:tblCellMar>
        </w:tblPrEx>
        <w:trPr>
          <w:trHeight w:val="454" w:hRule="atLeast"/>
          <w:jc w:val="center"/>
        </w:trPr>
        <w:tc>
          <w:tcPr>
            <w:tcW w:w="845" w:type="dxa"/>
            <w:tcBorders>
              <w:top w:val="nil"/>
              <w:left w:val="single" w:color="auto" w:sz="12" w:space="0"/>
              <w:bottom w:val="single" w:color="auto" w:sz="8" w:space="0"/>
              <w:right w:val="single" w:color="auto" w:sz="8" w:space="0"/>
            </w:tcBorders>
            <w:tcMar>
              <w:top w:w="0" w:type="dxa"/>
              <w:left w:w="57" w:type="dxa"/>
              <w:bottom w:w="0" w:type="dxa"/>
              <w:right w:w="57" w:type="dxa"/>
            </w:tcMar>
            <w:vAlign w:val="center"/>
          </w:tcPr>
          <w:p>
            <w:pPr>
              <w:widowControl/>
              <w:snapToGrid w:val="0"/>
              <w:spacing w:line="360" w:lineRule="auto"/>
              <w:jc w:val="center"/>
              <w:rPr>
                <w:rFonts w:ascii="宋体" w:hAnsi="宋体" w:cs="宋体"/>
                <w:color w:val="auto"/>
                <w:kern w:val="0"/>
                <w:sz w:val="24"/>
                <w:highlight w:val="none"/>
              </w:rPr>
            </w:pPr>
            <w:r>
              <w:rPr>
                <w:rFonts w:ascii="宋体" w:hAnsi="宋体" w:cs="宋体"/>
                <w:color w:val="auto"/>
                <w:kern w:val="0"/>
                <w:sz w:val="24"/>
                <w:highlight w:val="none"/>
              </w:rPr>
              <w:t>2</w:t>
            </w:r>
          </w:p>
        </w:tc>
        <w:tc>
          <w:tcPr>
            <w:tcW w:w="191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60" w:lineRule="auto"/>
              <w:jc w:val="left"/>
              <w:rPr>
                <w:rFonts w:ascii="ˎ̥,Verdana" w:hAnsi="ˎ̥,Verdana" w:cs="宋体"/>
                <w:color w:val="auto"/>
                <w:kern w:val="0"/>
                <w:sz w:val="14"/>
                <w:szCs w:val="14"/>
                <w:highlight w:val="none"/>
              </w:rPr>
            </w:pPr>
          </w:p>
        </w:tc>
        <w:tc>
          <w:tcPr>
            <w:tcW w:w="152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60" w:lineRule="auto"/>
              <w:jc w:val="left"/>
              <w:rPr>
                <w:rFonts w:ascii="ˎ̥,Verdana" w:hAnsi="ˎ̥,Verdana" w:cs="宋体"/>
                <w:color w:val="auto"/>
                <w:kern w:val="0"/>
                <w:sz w:val="14"/>
                <w:szCs w:val="14"/>
                <w:highlight w:val="none"/>
              </w:rPr>
            </w:pPr>
          </w:p>
        </w:tc>
        <w:tc>
          <w:tcPr>
            <w:tcW w:w="9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60" w:lineRule="auto"/>
              <w:jc w:val="left"/>
              <w:rPr>
                <w:rFonts w:ascii="ˎ̥,Verdana" w:hAnsi="ˎ̥,Verdana" w:cs="宋体"/>
                <w:color w:val="auto"/>
                <w:kern w:val="0"/>
                <w:sz w:val="14"/>
                <w:szCs w:val="14"/>
                <w:highlight w:val="none"/>
              </w:rPr>
            </w:pPr>
          </w:p>
        </w:tc>
        <w:tc>
          <w:tcPr>
            <w:tcW w:w="213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60" w:lineRule="auto"/>
              <w:jc w:val="left"/>
              <w:rPr>
                <w:rFonts w:ascii="ˎ̥,Verdana" w:hAnsi="ˎ̥,Verdana" w:cs="宋体"/>
                <w:color w:val="auto"/>
                <w:kern w:val="0"/>
                <w:sz w:val="14"/>
                <w:szCs w:val="14"/>
                <w:highlight w:val="none"/>
              </w:rPr>
            </w:pPr>
          </w:p>
        </w:tc>
        <w:tc>
          <w:tcPr>
            <w:tcW w:w="107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60" w:lineRule="auto"/>
              <w:jc w:val="left"/>
              <w:rPr>
                <w:rFonts w:ascii="ˎ̥,Verdana" w:hAnsi="ˎ̥,Verdana" w:cs="宋体"/>
                <w:color w:val="auto"/>
                <w:kern w:val="0"/>
                <w:sz w:val="14"/>
                <w:szCs w:val="14"/>
                <w:highlight w:val="none"/>
              </w:rPr>
            </w:pPr>
          </w:p>
        </w:tc>
        <w:tc>
          <w:tcPr>
            <w:tcW w:w="762" w:type="dxa"/>
            <w:tcBorders>
              <w:top w:val="nil"/>
              <w:left w:val="nil"/>
              <w:bottom w:val="single" w:color="auto" w:sz="8" w:space="0"/>
              <w:right w:val="single" w:color="auto" w:sz="12" w:space="0"/>
            </w:tcBorders>
            <w:tcMar>
              <w:top w:w="0" w:type="dxa"/>
              <w:left w:w="57" w:type="dxa"/>
              <w:bottom w:w="0" w:type="dxa"/>
              <w:right w:w="57" w:type="dxa"/>
            </w:tcMar>
            <w:vAlign w:val="center"/>
          </w:tcPr>
          <w:p>
            <w:pPr>
              <w:widowControl/>
              <w:spacing w:line="360" w:lineRule="auto"/>
              <w:jc w:val="left"/>
              <w:rPr>
                <w:rFonts w:ascii="ˎ̥,Verdana" w:hAnsi="ˎ̥,Verdana" w:cs="宋体"/>
                <w:color w:val="auto"/>
                <w:kern w:val="0"/>
                <w:sz w:val="14"/>
                <w:szCs w:val="14"/>
                <w:highlight w:val="none"/>
              </w:rPr>
            </w:pPr>
          </w:p>
        </w:tc>
      </w:tr>
      <w:tr>
        <w:tblPrEx>
          <w:tblCellMar>
            <w:top w:w="0" w:type="dxa"/>
            <w:left w:w="0" w:type="dxa"/>
            <w:bottom w:w="0" w:type="dxa"/>
            <w:right w:w="0" w:type="dxa"/>
          </w:tblCellMar>
        </w:tblPrEx>
        <w:trPr>
          <w:trHeight w:val="454" w:hRule="atLeast"/>
          <w:jc w:val="center"/>
        </w:trPr>
        <w:tc>
          <w:tcPr>
            <w:tcW w:w="845" w:type="dxa"/>
            <w:tcBorders>
              <w:top w:val="nil"/>
              <w:left w:val="single" w:color="auto" w:sz="12" w:space="0"/>
              <w:bottom w:val="single" w:color="auto" w:sz="8" w:space="0"/>
              <w:right w:val="single" w:color="auto" w:sz="8" w:space="0"/>
            </w:tcBorders>
            <w:tcMar>
              <w:top w:w="0" w:type="dxa"/>
              <w:left w:w="57" w:type="dxa"/>
              <w:bottom w:w="0" w:type="dxa"/>
              <w:right w:w="57" w:type="dxa"/>
            </w:tcMar>
            <w:vAlign w:val="center"/>
          </w:tcPr>
          <w:p>
            <w:pPr>
              <w:widowControl/>
              <w:snapToGrid w:val="0"/>
              <w:spacing w:line="360" w:lineRule="auto"/>
              <w:jc w:val="center"/>
              <w:rPr>
                <w:rFonts w:ascii="宋体" w:hAnsi="宋体" w:cs="宋体"/>
                <w:color w:val="auto"/>
                <w:kern w:val="0"/>
                <w:sz w:val="24"/>
                <w:highlight w:val="none"/>
              </w:rPr>
            </w:pPr>
            <w:r>
              <w:rPr>
                <w:rFonts w:hint="eastAsia" w:ascii="方正书宋_GBK" w:hAnsi="宋体" w:eastAsia="方正书宋_GBK" w:cs="宋体"/>
                <w:color w:val="auto"/>
                <w:kern w:val="0"/>
                <w:sz w:val="24"/>
                <w:highlight w:val="none"/>
              </w:rPr>
              <w:t>……</w:t>
            </w:r>
          </w:p>
        </w:tc>
        <w:tc>
          <w:tcPr>
            <w:tcW w:w="191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60" w:lineRule="auto"/>
              <w:jc w:val="left"/>
              <w:rPr>
                <w:rFonts w:ascii="ˎ̥,Verdana" w:hAnsi="ˎ̥,Verdana" w:cs="宋体"/>
                <w:color w:val="auto"/>
                <w:kern w:val="0"/>
                <w:sz w:val="14"/>
                <w:szCs w:val="14"/>
                <w:highlight w:val="none"/>
              </w:rPr>
            </w:pPr>
          </w:p>
        </w:tc>
        <w:tc>
          <w:tcPr>
            <w:tcW w:w="152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60" w:lineRule="auto"/>
              <w:jc w:val="left"/>
              <w:rPr>
                <w:rFonts w:ascii="ˎ̥,Verdana" w:hAnsi="ˎ̥,Verdana" w:cs="宋体"/>
                <w:color w:val="auto"/>
                <w:kern w:val="0"/>
                <w:sz w:val="14"/>
                <w:szCs w:val="14"/>
                <w:highlight w:val="none"/>
              </w:rPr>
            </w:pPr>
          </w:p>
        </w:tc>
        <w:tc>
          <w:tcPr>
            <w:tcW w:w="9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60" w:lineRule="auto"/>
              <w:jc w:val="left"/>
              <w:rPr>
                <w:rFonts w:ascii="ˎ̥,Verdana" w:hAnsi="ˎ̥,Verdana" w:cs="宋体"/>
                <w:color w:val="auto"/>
                <w:kern w:val="0"/>
                <w:sz w:val="14"/>
                <w:szCs w:val="14"/>
                <w:highlight w:val="none"/>
              </w:rPr>
            </w:pPr>
          </w:p>
        </w:tc>
        <w:tc>
          <w:tcPr>
            <w:tcW w:w="213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60" w:lineRule="auto"/>
              <w:jc w:val="left"/>
              <w:rPr>
                <w:rFonts w:ascii="ˎ̥,Verdana" w:hAnsi="ˎ̥,Verdana" w:cs="宋体"/>
                <w:color w:val="auto"/>
                <w:kern w:val="0"/>
                <w:sz w:val="14"/>
                <w:szCs w:val="14"/>
                <w:highlight w:val="none"/>
              </w:rPr>
            </w:pPr>
          </w:p>
        </w:tc>
        <w:tc>
          <w:tcPr>
            <w:tcW w:w="107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60" w:lineRule="auto"/>
              <w:jc w:val="left"/>
              <w:rPr>
                <w:rFonts w:ascii="ˎ̥,Verdana" w:hAnsi="ˎ̥,Verdana" w:cs="宋体"/>
                <w:color w:val="auto"/>
                <w:kern w:val="0"/>
                <w:sz w:val="14"/>
                <w:szCs w:val="14"/>
                <w:highlight w:val="none"/>
              </w:rPr>
            </w:pPr>
          </w:p>
        </w:tc>
        <w:tc>
          <w:tcPr>
            <w:tcW w:w="762" w:type="dxa"/>
            <w:tcBorders>
              <w:top w:val="nil"/>
              <w:left w:val="nil"/>
              <w:bottom w:val="single" w:color="auto" w:sz="8" w:space="0"/>
              <w:right w:val="single" w:color="auto" w:sz="12" w:space="0"/>
            </w:tcBorders>
            <w:tcMar>
              <w:top w:w="0" w:type="dxa"/>
              <w:left w:w="57" w:type="dxa"/>
              <w:bottom w:w="0" w:type="dxa"/>
              <w:right w:w="57" w:type="dxa"/>
            </w:tcMar>
            <w:vAlign w:val="center"/>
          </w:tcPr>
          <w:p>
            <w:pPr>
              <w:widowControl/>
              <w:spacing w:line="360" w:lineRule="auto"/>
              <w:jc w:val="left"/>
              <w:rPr>
                <w:rFonts w:ascii="ˎ̥,Verdana" w:hAnsi="ˎ̥,Verdana" w:cs="宋体"/>
                <w:color w:val="auto"/>
                <w:kern w:val="0"/>
                <w:sz w:val="14"/>
                <w:szCs w:val="14"/>
                <w:highlight w:val="none"/>
              </w:rPr>
            </w:pPr>
          </w:p>
        </w:tc>
      </w:tr>
      <w:tr>
        <w:tblPrEx>
          <w:tblCellMar>
            <w:top w:w="0" w:type="dxa"/>
            <w:left w:w="0" w:type="dxa"/>
            <w:bottom w:w="0" w:type="dxa"/>
            <w:right w:w="0" w:type="dxa"/>
          </w:tblCellMar>
        </w:tblPrEx>
        <w:trPr>
          <w:trHeight w:val="454" w:hRule="atLeast"/>
          <w:jc w:val="center"/>
        </w:trPr>
        <w:tc>
          <w:tcPr>
            <w:tcW w:w="845" w:type="dxa"/>
            <w:tcBorders>
              <w:top w:val="nil"/>
              <w:left w:val="single" w:color="auto" w:sz="12" w:space="0"/>
              <w:bottom w:val="single" w:color="auto" w:sz="12" w:space="0"/>
              <w:right w:val="single" w:color="auto" w:sz="8" w:space="0"/>
            </w:tcBorders>
            <w:vAlign w:val="center"/>
          </w:tcPr>
          <w:p>
            <w:pPr>
              <w:widowControl/>
              <w:spacing w:line="360" w:lineRule="auto"/>
              <w:jc w:val="left"/>
              <w:rPr>
                <w:rFonts w:ascii="ˎ̥,Verdana" w:hAnsi="ˎ̥,Verdana" w:cs="宋体"/>
                <w:color w:val="auto"/>
                <w:kern w:val="0"/>
                <w:sz w:val="14"/>
                <w:szCs w:val="14"/>
                <w:highlight w:val="none"/>
              </w:rPr>
            </w:pPr>
          </w:p>
        </w:tc>
        <w:tc>
          <w:tcPr>
            <w:tcW w:w="1910" w:type="dxa"/>
            <w:tcBorders>
              <w:top w:val="nil"/>
              <w:left w:val="nil"/>
              <w:bottom w:val="single" w:color="auto" w:sz="12" w:space="0"/>
              <w:right w:val="single" w:color="auto" w:sz="8" w:space="0"/>
            </w:tcBorders>
            <w:vAlign w:val="center"/>
          </w:tcPr>
          <w:p>
            <w:pPr>
              <w:widowControl/>
              <w:snapToGrid w:val="0"/>
              <w:spacing w:line="360" w:lineRule="auto"/>
              <w:jc w:val="center"/>
              <w:rPr>
                <w:rFonts w:ascii="宋体" w:hAnsi="宋体" w:cs="宋体"/>
                <w:color w:val="auto"/>
                <w:kern w:val="0"/>
                <w:sz w:val="24"/>
                <w:highlight w:val="none"/>
              </w:rPr>
            </w:pPr>
            <w:r>
              <w:rPr>
                <w:rFonts w:hint="eastAsia" w:ascii="方正书宋_GBK" w:hAnsi="宋体" w:eastAsia="方正书宋_GBK" w:cs="宋体"/>
                <w:color w:val="auto"/>
                <w:kern w:val="0"/>
                <w:sz w:val="24"/>
                <w:highlight w:val="none"/>
              </w:rPr>
              <w:t>广西工业产品</w:t>
            </w:r>
          </w:p>
          <w:p>
            <w:pPr>
              <w:widowControl/>
              <w:snapToGrid w:val="0"/>
              <w:spacing w:line="360" w:lineRule="auto"/>
              <w:jc w:val="center"/>
              <w:rPr>
                <w:rFonts w:ascii="宋体" w:hAnsi="宋体" w:cs="宋体"/>
                <w:color w:val="auto"/>
                <w:kern w:val="0"/>
                <w:sz w:val="24"/>
                <w:highlight w:val="none"/>
              </w:rPr>
            </w:pPr>
            <w:r>
              <w:rPr>
                <w:rFonts w:hint="eastAsia" w:ascii="方正书宋_GBK" w:hAnsi="宋体" w:eastAsia="方正书宋_GBK" w:cs="宋体"/>
                <w:color w:val="auto"/>
                <w:kern w:val="0"/>
                <w:sz w:val="24"/>
                <w:highlight w:val="none"/>
              </w:rPr>
              <w:t>合计价格：</w:t>
            </w:r>
          </w:p>
        </w:tc>
        <w:tc>
          <w:tcPr>
            <w:tcW w:w="2457" w:type="dxa"/>
            <w:gridSpan w:val="2"/>
            <w:tcBorders>
              <w:top w:val="nil"/>
              <w:left w:val="nil"/>
              <w:bottom w:val="single" w:color="auto" w:sz="12" w:space="0"/>
              <w:right w:val="single" w:color="auto" w:sz="8" w:space="0"/>
            </w:tcBorders>
            <w:vAlign w:val="center"/>
          </w:tcPr>
          <w:p>
            <w:pPr>
              <w:widowControl/>
              <w:spacing w:line="360" w:lineRule="auto"/>
              <w:jc w:val="left"/>
              <w:rPr>
                <w:rFonts w:ascii="ˎ̥,Verdana" w:hAnsi="ˎ̥,Verdana" w:cs="宋体"/>
                <w:color w:val="auto"/>
                <w:kern w:val="0"/>
                <w:sz w:val="14"/>
                <w:szCs w:val="14"/>
                <w:highlight w:val="none"/>
              </w:rPr>
            </w:pPr>
          </w:p>
        </w:tc>
        <w:tc>
          <w:tcPr>
            <w:tcW w:w="2137" w:type="dxa"/>
            <w:tcBorders>
              <w:top w:val="nil"/>
              <w:left w:val="nil"/>
              <w:bottom w:val="single" w:color="auto" w:sz="12" w:space="0"/>
              <w:right w:val="single" w:color="auto" w:sz="8" w:space="0"/>
            </w:tcBorders>
            <w:tcMar>
              <w:top w:w="0" w:type="dxa"/>
              <w:left w:w="57" w:type="dxa"/>
              <w:bottom w:w="0" w:type="dxa"/>
              <w:right w:w="57" w:type="dxa"/>
            </w:tcMar>
            <w:vAlign w:val="center"/>
          </w:tcPr>
          <w:p>
            <w:pPr>
              <w:widowControl/>
              <w:snapToGrid w:val="0"/>
              <w:spacing w:line="360" w:lineRule="auto"/>
              <w:jc w:val="center"/>
              <w:rPr>
                <w:rFonts w:ascii="宋体" w:hAnsi="宋体" w:cs="宋体"/>
                <w:color w:val="auto"/>
                <w:kern w:val="0"/>
                <w:sz w:val="24"/>
                <w:highlight w:val="none"/>
              </w:rPr>
            </w:pPr>
            <w:r>
              <w:rPr>
                <w:rFonts w:hint="eastAsia" w:ascii="方正书宋_GBK" w:hAnsi="宋体" w:eastAsia="方正书宋_GBK" w:cs="宋体"/>
                <w:color w:val="auto"/>
                <w:kern w:val="0"/>
                <w:sz w:val="24"/>
                <w:highlight w:val="none"/>
              </w:rPr>
              <w:t>占投标总价比例：</w:t>
            </w:r>
          </w:p>
        </w:tc>
        <w:tc>
          <w:tcPr>
            <w:tcW w:w="1835" w:type="dxa"/>
            <w:gridSpan w:val="2"/>
            <w:tcBorders>
              <w:top w:val="nil"/>
              <w:left w:val="nil"/>
              <w:bottom w:val="single" w:color="auto" w:sz="12" w:space="0"/>
              <w:right w:val="single" w:color="auto" w:sz="12" w:space="0"/>
            </w:tcBorders>
            <w:tcMar>
              <w:top w:w="0" w:type="dxa"/>
              <w:left w:w="57" w:type="dxa"/>
              <w:bottom w:w="0" w:type="dxa"/>
              <w:right w:w="57" w:type="dxa"/>
            </w:tcMar>
            <w:vAlign w:val="center"/>
          </w:tcPr>
          <w:p>
            <w:pPr>
              <w:widowControl/>
              <w:spacing w:line="360" w:lineRule="auto"/>
              <w:jc w:val="left"/>
              <w:rPr>
                <w:rFonts w:ascii="ˎ̥,Verdana" w:hAnsi="ˎ̥,Verdana" w:cs="宋体"/>
                <w:color w:val="auto"/>
                <w:kern w:val="0"/>
                <w:sz w:val="14"/>
                <w:szCs w:val="14"/>
                <w:highlight w:val="none"/>
              </w:rPr>
            </w:pPr>
          </w:p>
        </w:tc>
      </w:tr>
    </w:tbl>
    <w:p>
      <w:pPr>
        <w:widowControl/>
        <w:spacing w:line="360" w:lineRule="auto"/>
        <w:ind w:firstLine="719" w:firstLineChars="313"/>
        <w:jc w:val="left"/>
        <w:rPr>
          <w:rFonts w:ascii="ˎ̥,Verdana" w:hAnsi="ˎ̥,Verdana" w:cs="宋体"/>
          <w:color w:val="auto"/>
          <w:kern w:val="0"/>
          <w:sz w:val="23"/>
          <w:szCs w:val="23"/>
          <w:highlight w:val="none"/>
        </w:rPr>
      </w:pPr>
      <w:r>
        <w:rPr>
          <w:rFonts w:ascii="ˎ̥,Verdana" w:hAnsi="ˎ̥,Verdana" w:cs="宋体"/>
          <w:color w:val="auto"/>
          <w:kern w:val="0"/>
          <w:sz w:val="23"/>
          <w:szCs w:val="23"/>
          <w:highlight w:val="none"/>
        </w:rPr>
        <w:t>本公司对上述声明的真实性负责。如有虚假，将依法承担相应责任。</w:t>
      </w:r>
    </w:p>
    <w:p>
      <w:pPr>
        <w:pStyle w:val="27"/>
        <w:spacing w:line="600" w:lineRule="exact"/>
        <w:rPr>
          <w:rFonts w:ascii="Times New Roman" w:hAnsi="Times New Roman"/>
          <w:color w:val="auto"/>
          <w:highlight w:val="none"/>
        </w:rPr>
      </w:pPr>
    </w:p>
    <w:p>
      <w:pPr>
        <w:pStyle w:val="27"/>
        <w:spacing w:line="600" w:lineRule="exact"/>
        <w:rPr>
          <w:rFonts w:ascii="Times New Roman" w:hAnsi="Times New Roman"/>
          <w:color w:val="auto"/>
          <w:sz w:val="24"/>
          <w:szCs w:val="24"/>
          <w:highlight w:val="none"/>
        </w:rPr>
      </w:pPr>
      <w:r>
        <w:rPr>
          <w:rFonts w:hint="eastAsia" w:ascii="Times New Roman" w:hAnsi="Times New Roman"/>
          <w:color w:val="auto"/>
          <w:sz w:val="24"/>
          <w:szCs w:val="24"/>
          <w:highlight w:val="none"/>
        </w:rPr>
        <w:t>企业名称(盖章)：</w:t>
      </w:r>
    </w:p>
    <w:p>
      <w:pPr>
        <w:pStyle w:val="27"/>
        <w:spacing w:line="600" w:lineRule="exact"/>
        <w:rPr>
          <w:rFonts w:ascii="Times New Roman" w:hAnsi="Times New Roman"/>
          <w:color w:val="auto"/>
          <w:sz w:val="24"/>
          <w:szCs w:val="24"/>
          <w:highlight w:val="none"/>
        </w:rPr>
      </w:pPr>
      <w:r>
        <w:rPr>
          <w:rFonts w:hint="eastAsia" w:ascii="Times New Roman" w:hAnsi="Times New Roman"/>
          <w:color w:val="auto"/>
          <w:sz w:val="24"/>
          <w:szCs w:val="24"/>
          <w:highlight w:val="none"/>
        </w:rPr>
        <w:t>日 期：</w:t>
      </w:r>
    </w:p>
    <w:p>
      <w:pPr>
        <w:pStyle w:val="27"/>
        <w:spacing w:line="600" w:lineRule="exact"/>
        <w:rPr>
          <w:rFonts w:ascii="Times New Roman" w:hAnsi="Times New Roman"/>
          <w:color w:val="auto"/>
          <w:highlight w:val="none"/>
        </w:rPr>
      </w:pPr>
    </w:p>
    <w:p>
      <w:pPr>
        <w:pStyle w:val="27"/>
        <w:spacing w:line="500" w:lineRule="exact"/>
        <w:rPr>
          <w:rFonts w:ascii="Times New Roman" w:hAnsi="Times New Roman"/>
          <w:color w:val="auto"/>
          <w:highlight w:val="none"/>
          <w:u w:val="single"/>
        </w:rPr>
      </w:pPr>
    </w:p>
    <w:p>
      <w:pPr>
        <w:pStyle w:val="27"/>
        <w:spacing w:line="500" w:lineRule="exact"/>
        <w:rPr>
          <w:rFonts w:ascii="Times New Roman" w:hAnsi="Times New Roman"/>
          <w:color w:val="auto"/>
          <w:szCs w:val="21"/>
          <w:highlight w:val="none"/>
        </w:rPr>
      </w:pPr>
      <w:r>
        <w:rPr>
          <w:rFonts w:ascii="Times New Roman" w:hAnsi="Times New Roman"/>
          <w:color w:val="auto"/>
          <w:highlight w:val="none"/>
          <w:u w:val="single"/>
        </w:rPr>
        <w:br w:type="page"/>
      </w:r>
      <w:r>
        <w:rPr>
          <w:rFonts w:hint="eastAsia" w:ascii="Times New Roman" w:hAnsi="Times New Roman"/>
          <w:b/>
          <w:color w:val="auto"/>
          <w:highlight w:val="none"/>
        </w:rPr>
        <w:t>格式6：</w:t>
      </w:r>
    </w:p>
    <w:p>
      <w:pPr>
        <w:pStyle w:val="27"/>
        <w:spacing w:line="500" w:lineRule="exact"/>
        <w:jc w:val="center"/>
        <w:rPr>
          <w:rFonts w:ascii="Times New Roman" w:hAnsi="Times New Roman"/>
          <w:b/>
          <w:bCs/>
          <w:color w:val="auto"/>
          <w:sz w:val="30"/>
          <w:szCs w:val="30"/>
          <w:highlight w:val="none"/>
        </w:rPr>
      </w:pPr>
      <w:r>
        <w:rPr>
          <w:rFonts w:hint="eastAsia" w:ascii="Times New Roman" w:hAnsi="Times New Roman"/>
          <w:b/>
          <w:bCs/>
          <w:color w:val="auto"/>
          <w:sz w:val="30"/>
          <w:szCs w:val="30"/>
          <w:highlight w:val="none"/>
        </w:rPr>
        <w:t>投标产品技术资料表（格式）</w:t>
      </w:r>
    </w:p>
    <w:p>
      <w:pPr>
        <w:pStyle w:val="27"/>
        <w:ind w:firstLine="200" w:firstLineChars="100"/>
        <w:rPr>
          <w:rFonts w:ascii="Times New Roman" w:hAnsi="Times New Roman"/>
          <w:color w:val="auto"/>
          <w:highlight w:val="none"/>
        </w:rPr>
      </w:pPr>
    </w:p>
    <w:p>
      <w:pPr>
        <w:pStyle w:val="27"/>
        <w:rPr>
          <w:rFonts w:ascii="Times New Roman" w:hAnsi="Times New Roman"/>
          <w:color w:val="auto"/>
          <w:highlight w:val="none"/>
        </w:rPr>
      </w:pPr>
      <w:r>
        <w:rPr>
          <w:rFonts w:hint="eastAsia" w:ascii="Times New Roman" w:hAnsi="Times New Roman"/>
          <w:color w:val="auto"/>
          <w:highlight w:val="none"/>
        </w:rPr>
        <w:t>　　请根据所投产品的实际技术参数，</w:t>
      </w:r>
      <w:r>
        <w:rPr>
          <w:rFonts w:hint="eastAsia" w:ascii="Times New Roman" w:hAnsi="Times New Roman"/>
          <w:b/>
          <w:color w:val="auto"/>
          <w:sz w:val="28"/>
          <w:szCs w:val="28"/>
          <w:highlight w:val="none"/>
        </w:rPr>
        <w:t>逐条对应</w:t>
      </w:r>
      <w:r>
        <w:rPr>
          <w:rFonts w:hint="eastAsia" w:ascii="Times New Roman" w:hAnsi="Times New Roman"/>
          <w:color w:val="auto"/>
          <w:highlight w:val="none"/>
        </w:rPr>
        <w:t>本项目招标文件第二章“货物需求一览表”中的“一、项目要求及技术需求”认真填写该表。“偏离说明”一栏选择“正偏离”、“负偏离”或“无偏离”进行填写。</w:t>
      </w:r>
    </w:p>
    <w:p>
      <w:pPr>
        <w:pStyle w:val="27"/>
        <w:rPr>
          <w:rFonts w:ascii="Times New Roman" w:hAnsi="Times New Roman"/>
          <w:color w:val="auto"/>
          <w:highlight w:val="none"/>
          <w:u w:val="thick"/>
        </w:rPr>
      </w:pPr>
    </w:p>
    <w:tbl>
      <w:tblPr>
        <w:tblStyle w:val="51"/>
        <w:tblpPr w:leftFromText="180" w:rightFromText="180" w:vertAnchor="text" w:horzAnchor="page" w:tblpX="1237" w:tblpY="15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729"/>
        <w:gridCol w:w="540"/>
        <w:gridCol w:w="2340"/>
        <w:gridCol w:w="1080"/>
        <w:gridCol w:w="540"/>
        <w:gridCol w:w="1260"/>
        <w:gridCol w:w="187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531"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项号</w:t>
            </w:r>
          </w:p>
        </w:tc>
        <w:tc>
          <w:tcPr>
            <w:tcW w:w="3609"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招标文件需求</w:t>
            </w:r>
          </w:p>
        </w:tc>
        <w:tc>
          <w:tcPr>
            <w:tcW w:w="4757"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投标文件承诺</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5" w:hRule="atLeast"/>
        </w:trPr>
        <w:tc>
          <w:tcPr>
            <w:tcW w:w="531"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p>
        </w:tc>
        <w:tc>
          <w:tcPr>
            <w:tcW w:w="729"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货物名称</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数量</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技术需求</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投标产品名称</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数量</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ascii="宋体" w:hAnsi="宋体"/>
                <w:color w:val="auto"/>
                <w:kern w:val="0"/>
                <w:highlight w:val="none"/>
              </w:rPr>
              <w:t>品牌、规格型号、厂家、配置</w:t>
            </w:r>
          </w:p>
        </w:tc>
        <w:tc>
          <w:tcPr>
            <w:tcW w:w="1877"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技术参数</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531" w:type="dxa"/>
            <w:tcBorders>
              <w:top w:val="single" w:color="auto" w:sz="4" w:space="0"/>
              <w:left w:val="single" w:color="auto" w:sz="4" w:space="0"/>
              <w:right w:val="single" w:color="auto" w:sz="4" w:space="0"/>
            </w:tcBorders>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1</w:t>
            </w:r>
          </w:p>
        </w:tc>
        <w:tc>
          <w:tcPr>
            <w:tcW w:w="729" w:type="dxa"/>
            <w:tcBorders>
              <w:top w:val="single" w:color="auto" w:sz="4" w:space="0"/>
              <w:left w:val="single" w:color="auto" w:sz="4" w:space="0"/>
              <w:right w:val="single" w:color="auto" w:sz="4" w:space="0"/>
            </w:tcBorders>
            <w:vAlign w:val="center"/>
          </w:tcPr>
          <w:p>
            <w:pPr>
              <w:pStyle w:val="27"/>
              <w:spacing w:line="360" w:lineRule="exact"/>
              <w:jc w:val="center"/>
              <w:rPr>
                <w:rFonts w:hAnsi="宋体"/>
                <w:color w:val="auto"/>
                <w:sz w:val="21"/>
                <w:szCs w:val="21"/>
                <w:highlight w:val="none"/>
              </w:rPr>
            </w:pPr>
          </w:p>
        </w:tc>
        <w:tc>
          <w:tcPr>
            <w:tcW w:w="540" w:type="dxa"/>
            <w:tcBorders>
              <w:top w:val="single" w:color="auto" w:sz="4" w:space="0"/>
              <w:left w:val="single" w:color="auto" w:sz="4" w:space="0"/>
              <w:right w:val="single" w:color="auto" w:sz="4" w:space="0"/>
            </w:tcBorders>
            <w:vAlign w:val="center"/>
          </w:tcPr>
          <w:p>
            <w:pPr>
              <w:pStyle w:val="27"/>
              <w:spacing w:line="360" w:lineRule="exact"/>
              <w:rPr>
                <w:rFonts w:hAnsi="宋体"/>
                <w:color w:val="auto"/>
                <w:sz w:val="21"/>
                <w:szCs w:val="21"/>
                <w:highlight w:val="none"/>
              </w:rPr>
            </w:pPr>
          </w:p>
        </w:tc>
        <w:tc>
          <w:tcPr>
            <w:tcW w:w="2340" w:type="dxa"/>
            <w:tcBorders>
              <w:top w:val="single" w:color="auto" w:sz="4" w:space="0"/>
              <w:left w:val="single" w:color="auto" w:sz="4" w:space="0"/>
              <w:right w:val="single" w:color="auto" w:sz="4" w:space="0"/>
            </w:tcBorders>
            <w:vAlign w:val="center"/>
          </w:tcPr>
          <w:p>
            <w:pPr>
              <w:spacing w:line="360" w:lineRule="exact"/>
              <w:rPr>
                <w:rFonts w:ascii="宋体" w:hAnsi="宋体"/>
                <w:color w:val="auto"/>
                <w:szCs w:val="21"/>
                <w:highlight w:val="none"/>
              </w:rPr>
            </w:pPr>
          </w:p>
          <w:p>
            <w:pPr>
              <w:spacing w:line="360" w:lineRule="exact"/>
              <w:rPr>
                <w:rFonts w:ascii="宋体" w:hAnsi="宋体"/>
                <w:color w:val="auto"/>
                <w:szCs w:val="21"/>
                <w:highlight w:val="none"/>
              </w:rPr>
            </w:pPr>
            <w:r>
              <w:rPr>
                <w:rFonts w:hint="eastAsia" w:ascii="宋体" w:hAnsi="宋体"/>
                <w:color w:val="auto"/>
                <w:szCs w:val="21"/>
                <w:highlight w:val="none"/>
              </w:rPr>
              <w:t>1  ……</w:t>
            </w:r>
          </w:p>
          <w:p>
            <w:pPr>
              <w:spacing w:line="360" w:lineRule="exact"/>
              <w:rPr>
                <w:rFonts w:ascii="宋体" w:hAnsi="宋体"/>
                <w:color w:val="auto"/>
                <w:szCs w:val="21"/>
                <w:highlight w:val="none"/>
              </w:rPr>
            </w:pPr>
            <w:r>
              <w:rPr>
                <w:rFonts w:hint="eastAsia" w:ascii="宋体" w:hAnsi="宋体"/>
                <w:color w:val="auto"/>
                <w:szCs w:val="21"/>
                <w:highlight w:val="none"/>
              </w:rPr>
              <w:t>2  ……</w:t>
            </w:r>
          </w:p>
          <w:p>
            <w:pPr>
              <w:spacing w:line="360" w:lineRule="exact"/>
              <w:rPr>
                <w:rFonts w:ascii="宋体" w:hAnsi="宋体"/>
                <w:color w:val="auto"/>
                <w:szCs w:val="21"/>
                <w:highlight w:val="none"/>
              </w:rPr>
            </w:pPr>
            <w:r>
              <w:rPr>
                <w:rFonts w:hint="eastAsia" w:ascii="宋体" w:hAnsi="宋体"/>
                <w:color w:val="auto"/>
                <w:szCs w:val="21"/>
                <w:highlight w:val="none"/>
              </w:rPr>
              <w:t>3  ……</w:t>
            </w:r>
          </w:p>
          <w:p>
            <w:pPr>
              <w:pStyle w:val="27"/>
              <w:spacing w:line="360" w:lineRule="exact"/>
              <w:rPr>
                <w:rFonts w:hAnsi="宋体"/>
                <w:color w:val="auto"/>
                <w:sz w:val="21"/>
                <w:szCs w:val="21"/>
                <w:highlight w:val="none"/>
              </w:rPr>
            </w:pPr>
            <w:r>
              <w:rPr>
                <w:rFonts w:hint="eastAsia" w:hAnsi="宋体"/>
                <w:color w:val="auto"/>
                <w:sz w:val="21"/>
                <w:szCs w:val="21"/>
                <w:highlight w:val="none"/>
              </w:rPr>
              <w:t>……</w:t>
            </w:r>
          </w:p>
        </w:tc>
        <w:tc>
          <w:tcPr>
            <w:tcW w:w="1080" w:type="dxa"/>
            <w:tcBorders>
              <w:top w:val="single" w:color="auto" w:sz="4" w:space="0"/>
              <w:left w:val="single" w:color="auto" w:sz="4" w:space="0"/>
              <w:right w:val="single" w:color="auto" w:sz="4" w:space="0"/>
            </w:tcBorders>
            <w:vAlign w:val="center"/>
          </w:tcPr>
          <w:p>
            <w:pPr>
              <w:spacing w:line="360" w:lineRule="exact"/>
              <w:jc w:val="center"/>
              <w:rPr>
                <w:rFonts w:ascii="宋体" w:hAnsi="宋体"/>
                <w:color w:val="auto"/>
                <w:szCs w:val="21"/>
                <w:highlight w:val="none"/>
              </w:rPr>
            </w:pPr>
          </w:p>
        </w:tc>
        <w:tc>
          <w:tcPr>
            <w:tcW w:w="540" w:type="dxa"/>
            <w:tcBorders>
              <w:top w:val="single" w:color="auto" w:sz="4" w:space="0"/>
              <w:left w:val="single" w:color="auto" w:sz="4" w:space="0"/>
              <w:right w:val="single" w:color="auto" w:sz="4" w:space="0"/>
            </w:tcBorders>
            <w:vAlign w:val="center"/>
          </w:tcPr>
          <w:p>
            <w:pPr>
              <w:spacing w:line="360" w:lineRule="exact"/>
              <w:jc w:val="center"/>
              <w:rPr>
                <w:rFonts w:ascii="宋体" w:hAnsi="宋体"/>
                <w:color w:val="auto"/>
                <w:szCs w:val="21"/>
                <w:highlight w:val="none"/>
              </w:rPr>
            </w:pPr>
          </w:p>
        </w:tc>
        <w:tc>
          <w:tcPr>
            <w:tcW w:w="1260" w:type="dxa"/>
            <w:tcBorders>
              <w:top w:val="single" w:color="auto" w:sz="4" w:space="0"/>
              <w:left w:val="single" w:color="auto" w:sz="4" w:space="0"/>
              <w:right w:val="single" w:color="auto" w:sz="4" w:space="0"/>
            </w:tcBorders>
            <w:vAlign w:val="center"/>
          </w:tcPr>
          <w:p>
            <w:pPr>
              <w:spacing w:line="360" w:lineRule="exact"/>
              <w:jc w:val="center"/>
              <w:rPr>
                <w:rFonts w:ascii="宋体" w:hAnsi="宋体"/>
                <w:color w:val="auto"/>
                <w:szCs w:val="21"/>
                <w:highlight w:val="none"/>
              </w:rPr>
            </w:pPr>
          </w:p>
        </w:tc>
        <w:tc>
          <w:tcPr>
            <w:tcW w:w="1877" w:type="dxa"/>
            <w:tcBorders>
              <w:top w:val="single" w:color="auto" w:sz="4" w:space="0"/>
              <w:left w:val="single" w:color="auto" w:sz="4" w:space="0"/>
              <w:right w:val="single" w:color="auto" w:sz="4" w:space="0"/>
            </w:tcBorders>
            <w:vAlign w:val="center"/>
          </w:tcPr>
          <w:p>
            <w:pPr>
              <w:spacing w:line="360" w:lineRule="exact"/>
              <w:rPr>
                <w:rFonts w:ascii="宋体" w:hAnsi="宋体"/>
                <w:color w:val="auto"/>
                <w:szCs w:val="21"/>
                <w:highlight w:val="none"/>
              </w:rPr>
            </w:pPr>
          </w:p>
          <w:p>
            <w:pPr>
              <w:spacing w:line="360" w:lineRule="exact"/>
              <w:rPr>
                <w:rFonts w:ascii="宋体" w:hAnsi="宋体"/>
                <w:color w:val="auto"/>
                <w:szCs w:val="21"/>
                <w:highlight w:val="none"/>
              </w:rPr>
            </w:pPr>
            <w:r>
              <w:rPr>
                <w:rFonts w:hint="eastAsia" w:ascii="宋体" w:hAnsi="宋体"/>
                <w:color w:val="auto"/>
                <w:szCs w:val="21"/>
                <w:highlight w:val="none"/>
              </w:rPr>
              <w:t>1  ……</w:t>
            </w:r>
          </w:p>
          <w:p>
            <w:pPr>
              <w:spacing w:line="360" w:lineRule="exact"/>
              <w:rPr>
                <w:rFonts w:ascii="宋体" w:hAnsi="宋体"/>
                <w:color w:val="auto"/>
                <w:szCs w:val="21"/>
                <w:highlight w:val="none"/>
              </w:rPr>
            </w:pPr>
            <w:r>
              <w:rPr>
                <w:rFonts w:hint="eastAsia" w:ascii="宋体" w:hAnsi="宋体"/>
                <w:color w:val="auto"/>
                <w:szCs w:val="21"/>
                <w:highlight w:val="none"/>
              </w:rPr>
              <w:t>2  ……</w:t>
            </w:r>
          </w:p>
          <w:p>
            <w:pPr>
              <w:spacing w:line="360" w:lineRule="exact"/>
              <w:rPr>
                <w:rFonts w:ascii="宋体" w:hAnsi="宋体"/>
                <w:color w:val="auto"/>
                <w:szCs w:val="21"/>
                <w:highlight w:val="none"/>
              </w:rPr>
            </w:pPr>
            <w:r>
              <w:rPr>
                <w:rFonts w:hint="eastAsia" w:ascii="宋体" w:hAnsi="宋体"/>
                <w:color w:val="auto"/>
                <w:szCs w:val="21"/>
                <w:highlight w:val="none"/>
              </w:rPr>
              <w:t>3  ……</w:t>
            </w:r>
          </w:p>
          <w:p>
            <w:pPr>
              <w:pStyle w:val="27"/>
              <w:spacing w:line="360" w:lineRule="exact"/>
              <w:rPr>
                <w:rFonts w:hAnsi="宋体"/>
                <w:color w:val="auto"/>
                <w:sz w:val="21"/>
                <w:szCs w:val="21"/>
                <w:highlight w:val="none"/>
              </w:rPr>
            </w:pPr>
            <w:r>
              <w:rPr>
                <w:rFonts w:hint="eastAsia" w:hAnsi="宋体"/>
                <w:color w:val="auto"/>
                <w:sz w:val="21"/>
                <w:szCs w:val="21"/>
                <w:highlight w:val="none"/>
              </w:rPr>
              <w:t>……</w:t>
            </w:r>
          </w:p>
        </w:tc>
        <w:tc>
          <w:tcPr>
            <w:tcW w:w="1134" w:type="dxa"/>
            <w:tcBorders>
              <w:top w:val="single" w:color="auto" w:sz="4" w:space="0"/>
              <w:left w:val="single" w:color="auto" w:sz="4" w:space="0"/>
              <w:right w:val="single" w:color="auto" w:sz="4" w:space="0"/>
            </w:tcBorders>
            <w:vAlign w:val="center"/>
          </w:tcPr>
          <w:p>
            <w:pPr>
              <w:pStyle w:val="27"/>
              <w:spacing w:line="360" w:lineRule="exact"/>
              <w:jc w:val="center"/>
              <w:rPr>
                <w:rFonts w:hAnsi="宋体"/>
                <w:color w:val="auto"/>
                <w:sz w:val="21"/>
                <w:szCs w:val="21"/>
                <w:highlight w:val="none"/>
              </w:rPr>
            </w:pPr>
            <w:r>
              <w:rPr>
                <w:rFonts w:hint="eastAsia" w:hAnsi="宋体"/>
                <w:color w:val="auto"/>
                <w:sz w:val="21"/>
                <w:szCs w:val="21"/>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3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2</w:t>
            </w:r>
          </w:p>
        </w:tc>
        <w:tc>
          <w:tcPr>
            <w:tcW w:w="729" w:type="dxa"/>
            <w:tcBorders>
              <w:top w:val="single" w:color="auto" w:sz="4" w:space="0"/>
              <w:left w:val="single" w:color="auto" w:sz="4" w:space="0"/>
              <w:bottom w:val="single" w:color="auto" w:sz="4" w:space="0"/>
              <w:right w:val="single" w:color="auto" w:sz="4" w:space="0"/>
            </w:tcBorders>
            <w:vAlign w:val="center"/>
          </w:tcPr>
          <w:p>
            <w:pPr>
              <w:pStyle w:val="27"/>
              <w:spacing w:line="360" w:lineRule="exact"/>
              <w:jc w:val="center"/>
              <w:rPr>
                <w:rFonts w:hAnsi="宋体"/>
                <w:color w:val="auto"/>
                <w:sz w:val="21"/>
                <w:szCs w:val="21"/>
                <w:highlight w:val="none"/>
              </w:rPr>
            </w:pPr>
          </w:p>
        </w:tc>
        <w:tc>
          <w:tcPr>
            <w:tcW w:w="540" w:type="dxa"/>
            <w:tcBorders>
              <w:top w:val="single" w:color="auto" w:sz="4" w:space="0"/>
              <w:left w:val="single" w:color="auto" w:sz="4" w:space="0"/>
              <w:bottom w:val="single" w:color="auto" w:sz="4" w:space="0"/>
              <w:right w:val="single" w:color="auto" w:sz="4" w:space="0"/>
            </w:tcBorders>
            <w:vAlign w:val="center"/>
          </w:tcPr>
          <w:p>
            <w:pPr>
              <w:pStyle w:val="27"/>
              <w:spacing w:line="360" w:lineRule="exact"/>
              <w:rPr>
                <w:rFonts w:hAnsi="宋体"/>
                <w:color w:val="auto"/>
                <w:sz w:val="21"/>
                <w:szCs w:val="21"/>
                <w:highlight w:val="none"/>
              </w:rPr>
            </w:pPr>
          </w:p>
        </w:tc>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Cs w:val="21"/>
                <w:highlight w:val="none"/>
              </w:rPr>
            </w:pPr>
          </w:p>
          <w:p>
            <w:pPr>
              <w:spacing w:line="360" w:lineRule="exact"/>
              <w:rPr>
                <w:rFonts w:ascii="宋体" w:hAnsi="宋体"/>
                <w:color w:val="auto"/>
                <w:szCs w:val="21"/>
                <w:highlight w:val="none"/>
              </w:rPr>
            </w:pPr>
            <w:r>
              <w:rPr>
                <w:rFonts w:hint="eastAsia" w:ascii="宋体" w:hAnsi="宋体"/>
                <w:color w:val="auto"/>
                <w:szCs w:val="21"/>
                <w:highlight w:val="none"/>
              </w:rPr>
              <w:t>1  ……</w:t>
            </w:r>
          </w:p>
          <w:p>
            <w:pPr>
              <w:spacing w:line="360" w:lineRule="exact"/>
              <w:rPr>
                <w:rFonts w:ascii="宋体" w:hAnsi="宋体"/>
                <w:color w:val="auto"/>
                <w:szCs w:val="21"/>
                <w:highlight w:val="none"/>
              </w:rPr>
            </w:pPr>
            <w:r>
              <w:rPr>
                <w:rFonts w:hint="eastAsia" w:ascii="宋体" w:hAnsi="宋体"/>
                <w:color w:val="auto"/>
                <w:szCs w:val="21"/>
                <w:highlight w:val="none"/>
              </w:rPr>
              <w:t>2  ……</w:t>
            </w:r>
          </w:p>
          <w:p>
            <w:pPr>
              <w:spacing w:line="360" w:lineRule="exact"/>
              <w:rPr>
                <w:rFonts w:ascii="宋体" w:hAnsi="宋体"/>
                <w:color w:val="auto"/>
                <w:szCs w:val="21"/>
                <w:highlight w:val="none"/>
              </w:rPr>
            </w:pPr>
            <w:r>
              <w:rPr>
                <w:rFonts w:hint="eastAsia" w:ascii="宋体" w:hAnsi="宋体"/>
                <w:color w:val="auto"/>
                <w:szCs w:val="21"/>
                <w:highlight w:val="none"/>
              </w:rPr>
              <w:t>3  ……</w:t>
            </w:r>
          </w:p>
          <w:p>
            <w:pPr>
              <w:pStyle w:val="27"/>
              <w:spacing w:line="360" w:lineRule="exact"/>
              <w:rPr>
                <w:rFonts w:hAnsi="宋体"/>
                <w:color w:val="auto"/>
                <w:sz w:val="21"/>
                <w:szCs w:val="21"/>
                <w:highlight w:val="none"/>
              </w:rPr>
            </w:pPr>
            <w:r>
              <w:rPr>
                <w:rFonts w:hint="eastAsia" w:hAnsi="宋体"/>
                <w:color w:val="auto"/>
                <w:sz w:val="21"/>
                <w:szCs w:val="21"/>
                <w:highlight w:val="none"/>
              </w:rPr>
              <w:t>……</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auto"/>
                <w:szCs w:val="21"/>
                <w:highlight w:val="none"/>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auto"/>
                <w:szCs w:val="21"/>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auto"/>
                <w:szCs w:val="21"/>
                <w:highlight w:val="none"/>
              </w:rPr>
            </w:pPr>
          </w:p>
        </w:tc>
        <w:tc>
          <w:tcPr>
            <w:tcW w:w="187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Cs w:val="21"/>
                <w:highlight w:val="none"/>
              </w:rPr>
            </w:pPr>
          </w:p>
          <w:p>
            <w:pPr>
              <w:spacing w:line="360" w:lineRule="exact"/>
              <w:rPr>
                <w:rFonts w:ascii="宋体" w:hAnsi="宋体"/>
                <w:color w:val="auto"/>
                <w:szCs w:val="21"/>
                <w:highlight w:val="none"/>
              </w:rPr>
            </w:pPr>
            <w:r>
              <w:rPr>
                <w:rFonts w:hint="eastAsia" w:ascii="宋体" w:hAnsi="宋体"/>
                <w:color w:val="auto"/>
                <w:szCs w:val="21"/>
                <w:highlight w:val="none"/>
              </w:rPr>
              <w:t>1  ……</w:t>
            </w:r>
          </w:p>
          <w:p>
            <w:pPr>
              <w:spacing w:line="360" w:lineRule="exact"/>
              <w:rPr>
                <w:rFonts w:ascii="宋体" w:hAnsi="宋体"/>
                <w:color w:val="auto"/>
                <w:szCs w:val="21"/>
                <w:highlight w:val="none"/>
              </w:rPr>
            </w:pPr>
            <w:r>
              <w:rPr>
                <w:rFonts w:hint="eastAsia" w:ascii="宋体" w:hAnsi="宋体"/>
                <w:color w:val="auto"/>
                <w:szCs w:val="21"/>
                <w:highlight w:val="none"/>
              </w:rPr>
              <w:t>2  ……</w:t>
            </w:r>
          </w:p>
          <w:p>
            <w:pPr>
              <w:spacing w:line="360" w:lineRule="exact"/>
              <w:rPr>
                <w:rFonts w:ascii="宋体" w:hAnsi="宋体"/>
                <w:color w:val="auto"/>
                <w:szCs w:val="21"/>
                <w:highlight w:val="none"/>
              </w:rPr>
            </w:pPr>
            <w:r>
              <w:rPr>
                <w:rFonts w:hint="eastAsia" w:ascii="宋体" w:hAnsi="宋体"/>
                <w:color w:val="auto"/>
                <w:szCs w:val="21"/>
                <w:highlight w:val="none"/>
              </w:rPr>
              <w:t>3  ……</w:t>
            </w:r>
          </w:p>
          <w:p>
            <w:pPr>
              <w:pStyle w:val="27"/>
              <w:spacing w:line="360" w:lineRule="exact"/>
              <w:rPr>
                <w:rFonts w:hAnsi="宋体"/>
                <w:color w:val="auto"/>
                <w:sz w:val="21"/>
                <w:szCs w:val="21"/>
                <w:highlight w:val="none"/>
              </w:rPr>
            </w:pPr>
            <w:r>
              <w:rPr>
                <w:rFonts w:hint="eastAsia" w:hAnsi="宋体"/>
                <w:color w:val="auto"/>
                <w:sz w:val="21"/>
                <w:szCs w:val="21"/>
                <w:highlight w:val="none"/>
              </w:rPr>
              <w:t>……</w:t>
            </w:r>
          </w:p>
        </w:tc>
        <w:tc>
          <w:tcPr>
            <w:tcW w:w="1134" w:type="dxa"/>
            <w:tcBorders>
              <w:top w:val="single" w:color="auto" w:sz="4" w:space="0"/>
              <w:left w:val="single" w:color="auto" w:sz="4" w:space="0"/>
              <w:bottom w:val="single" w:color="auto" w:sz="4" w:space="0"/>
              <w:right w:val="single" w:color="auto" w:sz="4" w:space="0"/>
            </w:tcBorders>
            <w:vAlign w:val="center"/>
          </w:tcPr>
          <w:p>
            <w:pPr>
              <w:pStyle w:val="27"/>
              <w:spacing w:line="360" w:lineRule="exact"/>
              <w:jc w:val="center"/>
              <w:rPr>
                <w:rFonts w:hAnsi="宋体"/>
                <w:color w:val="auto"/>
                <w:sz w:val="21"/>
                <w:szCs w:val="21"/>
                <w:highlight w:val="none"/>
              </w:rPr>
            </w:pPr>
            <w:r>
              <w:rPr>
                <w:rFonts w:hint="eastAsia" w:hAnsi="宋体"/>
                <w:color w:val="auto"/>
                <w:sz w:val="21"/>
                <w:szCs w:val="21"/>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31"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ascii="宋体" w:hAnsi="宋体"/>
                <w:color w:val="auto"/>
                <w:highlight w:val="none"/>
              </w:rPr>
              <w:t>...</w:t>
            </w:r>
          </w:p>
        </w:tc>
        <w:tc>
          <w:tcPr>
            <w:tcW w:w="729"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p>
        </w:tc>
        <w:tc>
          <w:tcPr>
            <w:tcW w:w="1877"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31"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p>
        </w:tc>
        <w:tc>
          <w:tcPr>
            <w:tcW w:w="729"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p>
        </w:tc>
        <w:tc>
          <w:tcPr>
            <w:tcW w:w="1877"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031" w:type="dxa"/>
            <w:gridSpan w:val="9"/>
            <w:tcBorders>
              <w:top w:val="single" w:color="auto" w:sz="4" w:space="0"/>
              <w:left w:val="single" w:color="auto" w:sz="4" w:space="0"/>
              <w:bottom w:val="single" w:color="auto" w:sz="4" w:space="0"/>
              <w:right w:val="single" w:color="auto" w:sz="4" w:space="0"/>
            </w:tcBorders>
            <w:vAlign w:val="center"/>
          </w:tcPr>
          <w:p>
            <w:pPr>
              <w:pStyle w:val="27"/>
              <w:rPr>
                <w:rFonts w:hAnsi="宋体"/>
                <w:color w:val="auto"/>
                <w:sz w:val="21"/>
                <w:szCs w:val="21"/>
                <w:highlight w:val="none"/>
              </w:rPr>
            </w:pPr>
            <w:r>
              <w:rPr>
                <w:rFonts w:hint="eastAsia" w:hAnsi="宋体"/>
                <w:color w:val="auto"/>
                <w:sz w:val="21"/>
                <w:szCs w:val="21"/>
                <w:highlight w:val="none"/>
                <w:u w:val="single"/>
              </w:rPr>
              <w:t>　/　</w:t>
            </w:r>
            <w:r>
              <w:rPr>
                <w:rFonts w:hint="eastAsia" w:hAnsi="宋体"/>
                <w:color w:val="auto"/>
                <w:sz w:val="21"/>
                <w:szCs w:val="21"/>
                <w:highlight w:val="none"/>
                <w:lang w:eastAsia="zh-CN"/>
              </w:rPr>
              <w:t>标段</w:t>
            </w:r>
            <w:r>
              <w:rPr>
                <w:rFonts w:hint="eastAsia" w:hAnsi="宋体"/>
                <w:color w:val="auto"/>
                <w:sz w:val="21"/>
                <w:szCs w:val="21"/>
                <w:highlight w:val="none"/>
              </w:rPr>
              <w:t>（有</w:t>
            </w:r>
            <w:r>
              <w:rPr>
                <w:rFonts w:hint="eastAsia" w:hAnsi="宋体"/>
                <w:color w:val="auto"/>
                <w:sz w:val="21"/>
                <w:szCs w:val="21"/>
                <w:highlight w:val="none"/>
                <w:lang w:eastAsia="zh-CN"/>
              </w:rPr>
              <w:t>标段</w:t>
            </w:r>
            <w:r>
              <w:rPr>
                <w:rFonts w:hint="eastAsia" w:hAnsi="宋体"/>
                <w:color w:val="auto"/>
                <w:sz w:val="21"/>
                <w:szCs w:val="21"/>
                <w:highlight w:val="none"/>
              </w:rPr>
              <w:t>时填写）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031" w:type="dxa"/>
            <w:gridSpan w:val="9"/>
            <w:tcBorders>
              <w:top w:val="single" w:color="auto" w:sz="4" w:space="0"/>
              <w:left w:val="single" w:color="auto" w:sz="4" w:space="0"/>
              <w:bottom w:val="single" w:color="auto" w:sz="4" w:space="0"/>
              <w:right w:val="single" w:color="auto" w:sz="4" w:space="0"/>
            </w:tcBorders>
            <w:vAlign w:val="center"/>
          </w:tcPr>
          <w:p>
            <w:pPr>
              <w:pStyle w:val="27"/>
              <w:spacing w:line="600" w:lineRule="exact"/>
              <w:rPr>
                <w:rFonts w:hAnsi="宋体"/>
                <w:color w:val="auto"/>
                <w:sz w:val="21"/>
                <w:szCs w:val="21"/>
                <w:highlight w:val="none"/>
              </w:rPr>
            </w:pPr>
            <w:r>
              <w:rPr>
                <w:rFonts w:hint="eastAsia" w:hAnsi="宋体"/>
                <w:color w:val="auto"/>
                <w:sz w:val="21"/>
                <w:szCs w:val="21"/>
                <w:highlight w:val="none"/>
              </w:rPr>
              <w:t>投标人（盖单位公章）：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031" w:type="dxa"/>
            <w:gridSpan w:val="9"/>
            <w:tcBorders>
              <w:top w:val="single" w:color="auto" w:sz="4" w:space="0"/>
              <w:left w:val="single" w:color="auto" w:sz="4" w:space="0"/>
              <w:bottom w:val="single" w:color="auto" w:sz="4" w:space="0"/>
              <w:right w:val="single" w:color="auto" w:sz="4" w:space="0"/>
            </w:tcBorders>
            <w:vAlign w:val="center"/>
          </w:tcPr>
          <w:p>
            <w:pPr>
              <w:pStyle w:val="27"/>
              <w:spacing w:line="600" w:lineRule="exact"/>
              <w:rPr>
                <w:rFonts w:hAnsi="宋体"/>
                <w:color w:val="auto"/>
                <w:sz w:val="21"/>
                <w:szCs w:val="21"/>
                <w:highlight w:val="none"/>
              </w:rPr>
            </w:pPr>
            <w:r>
              <w:rPr>
                <w:rFonts w:hint="eastAsia" w:hAnsi="宋体"/>
                <w:color w:val="auto"/>
                <w:sz w:val="21"/>
                <w:szCs w:val="21"/>
                <w:highlight w:val="none"/>
              </w:rPr>
              <w:t>法定代表人或其委托代理人（签字或盖章）：</w:t>
            </w:r>
          </w:p>
        </w:tc>
      </w:tr>
    </w:tbl>
    <w:p>
      <w:pPr>
        <w:pStyle w:val="27"/>
        <w:spacing w:line="360" w:lineRule="exact"/>
        <w:ind w:firstLine="210" w:firstLineChars="100"/>
        <w:rPr>
          <w:rFonts w:hAnsi="宋体" w:cs="宋体"/>
          <w:color w:val="auto"/>
          <w:sz w:val="21"/>
          <w:szCs w:val="21"/>
          <w:highlight w:val="none"/>
        </w:rPr>
      </w:pPr>
    </w:p>
    <w:p>
      <w:pPr>
        <w:pStyle w:val="27"/>
        <w:spacing w:line="360" w:lineRule="exact"/>
        <w:ind w:firstLine="210" w:firstLineChars="100"/>
        <w:rPr>
          <w:rFonts w:hAnsi="宋体" w:cs="宋体"/>
          <w:color w:val="auto"/>
          <w:sz w:val="21"/>
          <w:szCs w:val="21"/>
          <w:highlight w:val="none"/>
        </w:rPr>
      </w:pPr>
      <w:r>
        <w:rPr>
          <w:rFonts w:hAnsi="宋体" w:cs="宋体"/>
          <w:color w:val="auto"/>
          <w:sz w:val="21"/>
          <w:szCs w:val="21"/>
          <w:highlight w:val="none"/>
        </w:rPr>
        <w:t>说明：</w:t>
      </w:r>
      <w:r>
        <w:rPr>
          <w:rFonts w:hint="eastAsia" w:hAnsi="宋体" w:cs="宋体"/>
          <w:color w:val="auto"/>
          <w:sz w:val="21"/>
          <w:szCs w:val="21"/>
          <w:highlight w:val="none"/>
        </w:rPr>
        <w:t>⑴</w:t>
      </w:r>
      <w:r>
        <w:rPr>
          <w:rFonts w:hAnsi="宋体" w:cs="宋体"/>
          <w:color w:val="auto"/>
          <w:sz w:val="21"/>
          <w:szCs w:val="21"/>
          <w:highlight w:val="none"/>
        </w:rPr>
        <w:t>投标人必须按以上格式加盖单位公章并签名，无签字、盖单位公章的投标无效。</w:t>
      </w:r>
      <w:r>
        <w:rPr>
          <w:rFonts w:hint="eastAsia" w:hAnsi="宋体" w:cs="宋体"/>
          <w:color w:val="auto"/>
          <w:sz w:val="21"/>
          <w:szCs w:val="21"/>
          <w:highlight w:val="none"/>
        </w:rPr>
        <w:t>。</w:t>
      </w:r>
    </w:p>
    <w:p>
      <w:pPr>
        <w:pStyle w:val="27"/>
        <w:spacing w:line="360" w:lineRule="exact"/>
        <w:rPr>
          <w:rFonts w:hAnsi="宋体" w:cs="宋体"/>
          <w:color w:val="auto"/>
          <w:sz w:val="21"/>
          <w:szCs w:val="21"/>
          <w:highlight w:val="none"/>
        </w:rPr>
      </w:pPr>
      <w:r>
        <w:rPr>
          <w:rFonts w:hint="eastAsia" w:hAnsi="宋体" w:cs="宋体"/>
          <w:color w:val="auto"/>
          <w:sz w:val="21"/>
          <w:szCs w:val="21"/>
          <w:highlight w:val="none"/>
        </w:rPr>
        <w:t>⑵当投标文件技术参数或商务内容低于招标文件要求时，投标人应当如实写明“负偏离”，否则视为虚假应标。</w:t>
      </w:r>
    </w:p>
    <w:p>
      <w:pPr>
        <w:pStyle w:val="27"/>
        <w:spacing w:line="360" w:lineRule="exact"/>
        <w:rPr>
          <w:rFonts w:hAnsi="宋体" w:cs="宋体"/>
          <w:color w:val="auto"/>
          <w:sz w:val="21"/>
          <w:szCs w:val="21"/>
          <w:highlight w:val="none"/>
        </w:rPr>
      </w:pPr>
    </w:p>
    <w:p>
      <w:pPr>
        <w:pStyle w:val="27"/>
        <w:spacing w:line="360" w:lineRule="exact"/>
        <w:rPr>
          <w:rFonts w:ascii="Times New Roman" w:hAnsi="Times New Roman"/>
          <w:color w:val="auto"/>
          <w:highlight w:val="none"/>
        </w:rPr>
      </w:pPr>
      <w:r>
        <w:rPr>
          <w:color w:val="auto"/>
          <w:highlight w:val="none"/>
        </w:rPr>
        <w:br w:type="page"/>
      </w:r>
      <w:r>
        <w:rPr>
          <w:rFonts w:hint="eastAsia" w:ascii="Times New Roman" w:hAnsi="Times New Roman"/>
          <w:b/>
          <w:color w:val="auto"/>
          <w:highlight w:val="none"/>
        </w:rPr>
        <w:t>格式7：</w:t>
      </w:r>
    </w:p>
    <w:p>
      <w:pPr>
        <w:pStyle w:val="27"/>
        <w:spacing w:line="500" w:lineRule="exact"/>
        <w:jc w:val="center"/>
        <w:rPr>
          <w:rFonts w:ascii="Times New Roman" w:hAnsi="Times New Roman"/>
          <w:b/>
          <w:bCs/>
          <w:color w:val="auto"/>
          <w:sz w:val="30"/>
          <w:szCs w:val="30"/>
          <w:highlight w:val="none"/>
        </w:rPr>
      </w:pPr>
      <w:r>
        <w:rPr>
          <w:rFonts w:hint="eastAsia" w:ascii="Times New Roman" w:hAnsi="Times New Roman"/>
          <w:b/>
          <w:bCs/>
          <w:color w:val="auto"/>
          <w:sz w:val="30"/>
          <w:szCs w:val="30"/>
          <w:highlight w:val="none"/>
        </w:rPr>
        <w:t>售后服务承诺书（格式）</w:t>
      </w:r>
    </w:p>
    <w:p>
      <w:pPr>
        <w:pStyle w:val="27"/>
        <w:jc w:val="center"/>
        <w:rPr>
          <w:color w:val="auto"/>
          <w:highlight w:val="none"/>
        </w:rPr>
      </w:pPr>
    </w:p>
    <w:p>
      <w:pPr>
        <w:pStyle w:val="27"/>
        <w:jc w:val="center"/>
        <w:rPr>
          <w:color w:val="auto"/>
          <w:highlight w:val="none"/>
        </w:rPr>
      </w:pPr>
      <w:r>
        <w:rPr>
          <w:rFonts w:hint="eastAsia"/>
          <w:color w:val="auto"/>
          <w:highlight w:val="none"/>
        </w:rPr>
        <w:t>(由投标人按本项目招标文件第二章“货物需求一览表”中“二、商务要求表”的售后服务要求自行填写。)</w:t>
      </w:r>
    </w:p>
    <w:p>
      <w:pPr>
        <w:pStyle w:val="27"/>
        <w:rPr>
          <w:color w:val="auto"/>
          <w:highlight w:val="none"/>
        </w:rPr>
      </w:pPr>
    </w:p>
    <w:p>
      <w:pPr>
        <w:pStyle w:val="27"/>
        <w:rPr>
          <w:color w:val="auto"/>
          <w:highlight w:val="none"/>
        </w:rPr>
      </w:pPr>
    </w:p>
    <w:p>
      <w:pPr>
        <w:pStyle w:val="27"/>
        <w:rPr>
          <w:color w:val="auto"/>
          <w:highlight w:val="none"/>
        </w:rPr>
      </w:pPr>
    </w:p>
    <w:p>
      <w:pPr>
        <w:pStyle w:val="27"/>
        <w:rPr>
          <w:color w:val="auto"/>
          <w:highlight w:val="none"/>
        </w:rPr>
      </w:pPr>
    </w:p>
    <w:p>
      <w:pPr>
        <w:pStyle w:val="27"/>
        <w:rPr>
          <w:color w:val="auto"/>
          <w:highlight w:val="none"/>
        </w:rPr>
      </w:pPr>
    </w:p>
    <w:p>
      <w:pPr>
        <w:pStyle w:val="27"/>
        <w:rPr>
          <w:color w:val="auto"/>
          <w:highlight w:val="none"/>
        </w:rPr>
      </w:pPr>
    </w:p>
    <w:p>
      <w:pPr>
        <w:pStyle w:val="27"/>
        <w:rPr>
          <w:color w:val="auto"/>
          <w:highlight w:val="none"/>
        </w:rPr>
      </w:pPr>
    </w:p>
    <w:p>
      <w:pPr>
        <w:pStyle w:val="27"/>
        <w:rPr>
          <w:color w:val="auto"/>
          <w:highlight w:val="none"/>
        </w:rPr>
      </w:pPr>
    </w:p>
    <w:p>
      <w:pPr>
        <w:pStyle w:val="27"/>
        <w:rPr>
          <w:color w:val="auto"/>
          <w:highlight w:val="none"/>
        </w:rPr>
      </w:pPr>
    </w:p>
    <w:p>
      <w:pPr>
        <w:pStyle w:val="27"/>
        <w:rPr>
          <w:color w:val="auto"/>
          <w:highlight w:val="none"/>
        </w:rPr>
      </w:pPr>
    </w:p>
    <w:p>
      <w:pPr>
        <w:pStyle w:val="27"/>
        <w:rPr>
          <w:color w:val="auto"/>
          <w:highlight w:val="none"/>
        </w:rPr>
      </w:pPr>
    </w:p>
    <w:p>
      <w:pPr>
        <w:pStyle w:val="27"/>
        <w:rPr>
          <w:color w:val="auto"/>
          <w:highlight w:val="none"/>
        </w:rPr>
      </w:pPr>
    </w:p>
    <w:p>
      <w:pPr>
        <w:pStyle w:val="27"/>
        <w:rPr>
          <w:color w:val="auto"/>
          <w:highlight w:val="none"/>
        </w:rPr>
      </w:pPr>
    </w:p>
    <w:p>
      <w:pPr>
        <w:pStyle w:val="27"/>
        <w:rPr>
          <w:color w:val="auto"/>
          <w:highlight w:val="none"/>
        </w:rPr>
      </w:pPr>
    </w:p>
    <w:p>
      <w:pPr>
        <w:pStyle w:val="27"/>
        <w:rPr>
          <w:color w:val="auto"/>
          <w:highlight w:val="none"/>
        </w:rPr>
      </w:pPr>
    </w:p>
    <w:p>
      <w:pPr>
        <w:pStyle w:val="27"/>
        <w:rPr>
          <w:color w:val="auto"/>
          <w:highlight w:val="none"/>
        </w:rPr>
      </w:pPr>
    </w:p>
    <w:p>
      <w:pPr>
        <w:pStyle w:val="27"/>
        <w:rPr>
          <w:color w:val="auto"/>
          <w:highlight w:val="none"/>
        </w:rPr>
      </w:pPr>
    </w:p>
    <w:p>
      <w:pPr>
        <w:pStyle w:val="27"/>
        <w:rPr>
          <w:color w:val="auto"/>
          <w:highlight w:val="none"/>
        </w:rPr>
      </w:pPr>
    </w:p>
    <w:p>
      <w:pPr>
        <w:pStyle w:val="27"/>
        <w:rPr>
          <w:color w:val="auto"/>
          <w:highlight w:val="none"/>
        </w:rPr>
      </w:pPr>
    </w:p>
    <w:p>
      <w:pPr>
        <w:pStyle w:val="27"/>
        <w:rPr>
          <w:color w:val="auto"/>
          <w:highlight w:val="none"/>
        </w:rPr>
      </w:pPr>
    </w:p>
    <w:p>
      <w:pPr>
        <w:pStyle w:val="27"/>
        <w:rPr>
          <w:color w:val="auto"/>
          <w:highlight w:val="none"/>
        </w:rPr>
      </w:pPr>
    </w:p>
    <w:p>
      <w:pPr>
        <w:pStyle w:val="27"/>
        <w:rPr>
          <w:color w:val="auto"/>
          <w:highlight w:val="none"/>
        </w:rPr>
      </w:pPr>
    </w:p>
    <w:p>
      <w:pPr>
        <w:pStyle w:val="27"/>
        <w:rPr>
          <w:color w:val="auto"/>
          <w:highlight w:val="none"/>
        </w:rPr>
      </w:pPr>
    </w:p>
    <w:p>
      <w:pPr>
        <w:pStyle w:val="27"/>
        <w:rPr>
          <w:color w:val="auto"/>
          <w:highlight w:val="none"/>
        </w:rPr>
      </w:pPr>
    </w:p>
    <w:p>
      <w:pPr>
        <w:pStyle w:val="27"/>
        <w:rPr>
          <w:color w:val="auto"/>
          <w:highlight w:val="none"/>
        </w:rPr>
      </w:pPr>
    </w:p>
    <w:p>
      <w:pPr>
        <w:pStyle w:val="27"/>
        <w:rPr>
          <w:color w:val="auto"/>
          <w:highlight w:val="none"/>
        </w:rPr>
      </w:pPr>
    </w:p>
    <w:p>
      <w:pPr>
        <w:pStyle w:val="27"/>
        <w:spacing w:line="600" w:lineRule="exact"/>
        <w:rPr>
          <w:rFonts w:ascii="Times New Roman" w:hAnsi="Times New Roman"/>
          <w:color w:val="auto"/>
          <w:highlight w:val="none"/>
          <w:u w:val="single"/>
        </w:rPr>
      </w:pPr>
      <w:r>
        <w:rPr>
          <w:rFonts w:hint="eastAsia" w:ascii="Times New Roman" w:hAnsi="Times New Roman"/>
          <w:color w:val="auto"/>
          <w:highlight w:val="none"/>
        </w:rPr>
        <w:t>投标人（盖单位公章）：</w:t>
      </w:r>
    </w:p>
    <w:p>
      <w:pPr>
        <w:pStyle w:val="27"/>
        <w:spacing w:line="600" w:lineRule="exact"/>
        <w:rPr>
          <w:rFonts w:ascii="Times New Roman" w:hAnsi="Times New Roman"/>
          <w:color w:val="auto"/>
          <w:highlight w:val="none"/>
          <w:u w:val="single"/>
        </w:rPr>
      </w:pPr>
    </w:p>
    <w:p>
      <w:pPr>
        <w:pStyle w:val="27"/>
        <w:spacing w:line="600" w:lineRule="exact"/>
        <w:rPr>
          <w:rFonts w:ascii="Times New Roman" w:hAnsi="Times New Roman"/>
          <w:color w:val="auto"/>
          <w:highlight w:val="none"/>
          <w:u w:val="single"/>
        </w:rPr>
      </w:pPr>
      <w:r>
        <w:rPr>
          <w:rFonts w:hint="eastAsia" w:ascii="Times New Roman" w:hAnsi="Times New Roman"/>
          <w:color w:val="auto"/>
          <w:highlight w:val="none"/>
        </w:rPr>
        <w:t>法定代表人或其委托代理人（签字或盖章）：</w:t>
      </w:r>
    </w:p>
    <w:p>
      <w:pPr>
        <w:pStyle w:val="27"/>
        <w:spacing w:line="600" w:lineRule="exact"/>
        <w:rPr>
          <w:rFonts w:hAnsi="宋体" w:cs="宋体"/>
          <w:color w:val="auto"/>
          <w:szCs w:val="21"/>
          <w:highlight w:val="none"/>
        </w:rPr>
      </w:pPr>
    </w:p>
    <w:p>
      <w:pPr>
        <w:pStyle w:val="27"/>
        <w:spacing w:line="600" w:lineRule="exact"/>
        <w:rPr>
          <w:rFonts w:ascii="Times New Roman" w:hAnsi="Times New Roman"/>
          <w:color w:val="auto"/>
          <w:highlight w:val="none"/>
        </w:rPr>
      </w:pPr>
      <w:r>
        <w:rPr>
          <w:rFonts w:hAnsi="宋体" w:cs="宋体"/>
          <w:color w:val="auto"/>
          <w:szCs w:val="21"/>
          <w:highlight w:val="none"/>
        </w:rPr>
        <w:t>说明：投标人必须按以上格式加盖单位公章并签名，无签字、盖单位公章的投标无效。</w:t>
      </w:r>
      <w:r>
        <w:rPr>
          <w:b/>
          <w:bCs/>
          <w:color w:val="auto"/>
          <w:sz w:val="30"/>
          <w:highlight w:val="none"/>
        </w:rPr>
        <w:br w:type="page"/>
      </w:r>
      <w:r>
        <w:rPr>
          <w:rFonts w:hint="eastAsia" w:ascii="Times New Roman" w:hAnsi="Times New Roman"/>
          <w:b/>
          <w:color w:val="auto"/>
          <w:highlight w:val="none"/>
        </w:rPr>
        <w:t>格式8：</w:t>
      </w:r>
    </w:p>
    <w:p>
      <w:pPr>
        <w:pStyle w:val="27"/>
        <w:spacing w:line="500" w:lineRule="exact"/>
        <w:jc w:val="center"/>
        <w:rPr>
          <w:rFonts w:ascii="Times New Roman" w:hAnsi="Times New Roman"/>
          <w:b/>
          <w:bCs/>
          <w:color w:val="auto"/>
          <w:sz w:val="30"/>
          <w:szCs w:val="30"/>
          <w:highlight w:val="none"/>
        </w:rPr>
      </w:pPr>
      <w:r>
        <w:rPr>
          <w:rFonts w:hint="eastAsia" w:ascii="Times New Roman" w:hAnsi="Times New Roman"/>
          <w:b/>
          <w:bCs/>
          <w:color w:val="auto"/>
          <w:sz w:val="30"/>
          <w:szCs w:val="30"/>
          <w:highlight w:val="none"/>
        </w:rPr>
        <w:t>商务条款偏离表（格式）</w:t>
      </w:r>
    </w:p>
    <w:p>
      <w:pPr>
        <w:pStyle w:val="27"/>
        <w:spacing w:line="400" w:lineRule="exact"/>
        <w:rPr>
          <w:rFonts w:ascii="Times New Roman" w:hAnsi="Times New Roman"/>
          <w:color w:val="auto"/>
          <w:highlight w:val="none"/>
          <w:u w:val="thick"/>
        </w:rPr>
      </w:pPr>
    </w:p>
    <w:p>
      <w:pPr>
        <w:pStyle w:val="27"/>
        <w:rPr>
          <w:rFonts w:ascii="Times New Roman" w:hAnsi="Times New Roman"/>
          <w:color w:val="auto"/>
          <w:highlight w:val="none"/>
        </w:rPr>
      </w:pPr>
      <w:r>
        <w:rPr>
          <w:rFonts w:hint="eastAsia" w:ascii="Times New Roman" w:hAnsi="Times New Roman"/>
          <w:color w:val="auto"/>
          <w:highlight w:val="none"/>
        </w:rPr>
        <w:t>　　请</w:t>
      </w:r>
      <w:r>
        <w:rPr>
          <w:rFonts w:hint="eastAsia" w:ascii="Times New Roman" w:hAnsi="Times New Roman"/>
          <w:b/>
          <w:color w:val="auto"/>
          <w:sz w:val="28"/>
          <w:szCs w:val="28"/>
          <w:highlight w:val="none"/>
        </w:rPr>
        <w:t>逐条对应</w:t>
      </w:r>
      <w:r>
        <w:rPr>
          <w:rFonts w:hint="eastAsia" w:ascii="Times New Roman" w:hAnsi="Times New Roman"/>
          <w:color w:val="auto"/>
          <w:highlight w:val="none"/>
        </w:rPr>
        <w:t>本项目招标文件第二章“货物需求一览表”中“二、商务要求表”的要求，认真填写该表。“偏离说明”一栏选择“正偏离”、“负偏离”或“无偏离”进行填写。</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4071"/>
        <w:gridCol w:w="3372"/>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pStyle w:val="27"/>
              <w:spacing w:line="600" w:lineRule="exact"/>
              <w:jc w:val="center"/>
              <w:rPr>
                <w:rFonts w:ascii="Times New Roman" w:hAnsi="Times New Roman"/>
                <w:color w:val="auto"/>
                <w:kern w:val="2"/>
                <w:sz w:val="21"/>
                <w:szCs w:val="24"/>
                <w:highlight w:val="none"/>
              </w:rPr>
            </w:pPr>
            <w:r>
              <w:rPr>
                <w:rFonts w:hint="eastAsia" w:ascii="Times New Roman" w:hAnsi="Times New Roman"/>
                <w:color w:val="auto"/>
                <w:kern w:val="2"/>
                <w:sz w:val="21"/>
                <w:szCs w:val="24"/>
                <w:highlight w:val="none"/>
              </w:rPr>
              <w:t>项号</w:t>
            </w:r>
          </w:p>
        </w:tc>
        <w:tc>
          <w:tcPr>
            <w:tcW w:w="4071" w:type="dxa"/>
            <w:vAlign w:val="center"/>
          </w:tcPr>
          <w:p>
            <w:pPr>
              <w:pStyle w:val="27"/>
              <w:spacing w:line="600" w:lineRule="exact"/>
              <w:jc w:val="center"/>
              <w:rPr>
                <w:rFonts w:ascii="Times New Roman" w:hAnsi="Times New Roman"/>
                <w:color w:val="auto"/>
                <w:kern w:val="2"/>
                <w:sz w:val="21"/>
                <w:szCs w:val="24"/>
                <w:highlight w:val="none"/>
              </w:rPr>
            </w:pPr>
            <w:r>
              <w:rPr>
                <w:rFonts w:hint="eastAsia" w:ascii="Times New Roman" w:hAnsi="Times New Roman"/>
                <w:color w:val="auto"/>
                <w:kern w:val="2"/>
                <w:sz w:val="21"/>
                <w:szCs w:val="24"/>
                <w:highlight w:val="none"/>
              </w:rPr>
              <w:t>招标文件的商务需求</w:t>
            </w:r>
          </w:p>
        </w:tc>
        <w:tc>
          <w:tcPr>
            <w:tcW w:w="3372" w:type="dxa"/>
            <w:vAlign w:val="center"/>
          </w:tcPr>
          <w:p>
            <w:pPr>
              <w:pStyle w:val="27"/>
              <w:spacing w:line="600" w:lineRule="exact"/>
              <w:jc w:val="center"/>
              <w:rPr>
                <w:rFonts w:ascii="Times New Roman" w:hAnsi="Times New Roman"/>
                <w:color w:val="auto"/>
                <w:kern w:val="2"/>
                <w:sz w:val="21"/>
                <w:szCs w:val="24"/>
                <w:highlight w:val="none"/>
              </w:rPr>
            </w:pPr>
            <w:r>
              <w:rPr>
                <w:rFonts w:hint="eastAsia" w:ascii="Times New Roman" w:hAnsi="Times New Roman"/>
                <w:color w:val="auto"/>
                <w:kern w:val="2"/>
                <w:sz w:val="21"/>
                <w:szCs w:val="24"/>
                <w:highlight w:val="none"/>
              </w:rPr>
              <w:t>投标文件承诺的商务条款</w:t>
            </w:r>
          </w:p>
        </w:tc>
        <w:tc>
          <w:tcPr>
            <w:tcW w:w="1668" w:type="dxa"/>
            <w:vAlign w:val="center"/>
          </w:tcPr>
          <w:p>
            <w:pPr>
              <w:pStyle w:val="27"/>
              <w:spacing w:line="600" w:lineRule="exact"/>
              <w:jc w:val="center"/>
              <w:rPr>
                <w:rFonts w:ascii="Times New Roman" w:hAnsi="Times New Roman"/>
                <w:color w:val="auto"/>
                <w:kern w:val="2"/>
                <w:sz w:val="21"/>
                <w:szCs w:val="24"/>
                <w:highlight w:val="none"/>
              </w:rPr>
            </w:pPr>
            <w:r>
              <w:rPr>
                <w:rFonts w:hint="eastAsia" w:ascii="Times New Roman" w:hAnsi="Times New Roman"/>
                <w:color w:val="auto"/>
                <w:kern w:val="2"/>
                <w:sz w:val="21"/>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Pr>
          <w:p>
            <w:pPr>
              <w:pStyle w:val="27"/>
              <w:spacing w:line="360" w:lineRule="exact"/>
              <w:ind w:firstLine="105" w:firstLineChars="50"/>
              <w:rPr>
                <w:rFonts w:hAnsi="宋体"/>
                <w:color w:val="auto"/>
                <w:sz w:val="21"/>
                <w:szCs w:val="21"/>
                <w:highlight w:val="none"/>
              </w:rPr>
            </w:pPr>
            <w:r>
              <w:rPr>
                <w:rFonts w:hint="eastAsia" w:hAnsi="宋体"/>
                <w:color w:val="auto"/>
                <w:sz w:val="21"/>
                <w:szCs w:val="21"/>
                <w:highlight w:val="none"/>
              </w:rPr>
              <w:t>一</w:t>
            </w:r>
          </w:p>
        </w:tc>
        <w:tc>
          <w:tcPr>
            <w:tcW w:w="4071" w:type="dxa"/>
          </w:tcPr>
          <w:p>
            <w:pPr>
              <w:spacing w:line="360" w:lineRule="exact"/>
              <w:rPr>
                <w:rFonts w:ascii="宋体" w:hAnsi="宋体"/>
                <w:color w:val="auto"/>
                <w:szCs w:val="21"/>
                <w:highlight w:val="none"/>
              </w:rPr>
            </w:pPr>
            <w:r>
              <w:rPr>
                <w:rFonts w:hint="eastAsia" w:ascii="宋体" w:hAnsi="宋体"/>
                <w:color w:val="auto"/>
                <w:szCs w:val="21"/>
                <w:highlight w:val="none"/>
              </w:rPr>
              <w:t>1  ……</w:t>
            </w:r>
          </w:p>
          <w:p>
            <w:pPr>
              <w:spacing w:line="360" w:lineRule="exact"/>
              <w:rPr>
                <w:rFonts w:ascii="宋体" w:hAnsi="宋体"/>
                <w:color w:val="auto"/>
                <w:szCs w:val="21"/>
                <w:highlight w:val="none"/>
              </w:rPr>
            </w:pPr>
            <w:r>
              <w:rPr>
                <w:rFonts w:hint="eastAsia" w:ascii="宋体" w:hAnsi="宋体"/>
                <w:color w:val="auto"/>
                <w:szCs w:val="21"/>
                <w:highlight w:val="none"/>
              </w:rPr>
              <w:t>2  ……</w:t>
            </w:r>
          </w:p>
          <w:p>
            <w:pPr>
              <w:spacing w:line="360" w:lineRule="exact"/>
              <w:rPr>
                <w:rFonts w:ascii="宋体" w:hAnsi="宋体"/>
                <w:color w:val="auto"/>
                <w:szCs w:val="21"/>
                <w:highlight w:val="none"/>
              </w:rPr>
            </w:pPr>
            <w:r>
              <w:rPr>
                <w:rFonts w:hint="eastAsia" w:ascii="宋体" w:hAnsi="宋体"/>
                <w:color w:val="auto"/>
                <w:szCs w:val="21"/>
                <w:highlight w:val="none"/>
              </w:rPr>
              <w:t>3  ……</w:t>
            </w:r>
          </w:p>
          <w:p>
            <w:pPr>
              <w:pStyle w:val="27"/>
              <w:spacing w:line="360" w:lineRule="exact"/>
              <w:rPr>
                <w:rFonts w:hAnsi="宋体"/>
                <w:color w:val="auto"/>
                <w:sz w:val="21"/>
                <w:szCs w:val="21"/>
                <w:highlight w:val="none"/>
              </w:rPr>
            </w:pPr>
            <w:r>
              <w:rPr>
                <w:rFonts w:hint="eastAsia" w:hAnsi="宋体"/>
                <w:color w:val="auto"/>
                <w:sz w:val="21"/>
                <w:szCs w:val="21"/>
                <w:highlight w:val="none"/>
              </w:rPr>
              <w:t>……</w:t>
            </w:r>
          </w:p>
        </w:tc>
        <w:tc>
          <w:tcPr>
            <w:tcW w:w="3372" w:type="dxa"/>
          </w:tcPr>
          <w:p>
            <w:pPr>
              <w:spacing w:line="360" w:lineRule="exact"/>
              <w:rPr>
                <w:rFonts w:ascii="宋体" w:hAnsi="宋体"/>
                <w:color w:val="auto"/>
                <w:szCs w:val="21"/>
                <w:highlight w:val="none"/>
              </w:rPr>
            </w:pPr>
            <w:r>
              <w:rPr>
                <w:rFonts w:hint="eastAsia" w:ascii="宋体" w:hAnsi="宋体"/>
                <w:color w:val="auto"/>
                <w:szCs w:val="21"/>
                <w:highlight w:val="none"/>
              </w:rPr>
              <w:t>1  ……</w:t>
            </w:r>
          </w:p>
          <w:p>
            <w:pPr>
              <w:spacing w:line="360" w:lineRule="exact"/>
              <w:rPr>
                <w:rFonts w:ascii="宋体" w:hAnsi="宋体"/>
                <w:color w:val="auto"/>
                <w:szCs w:val="21"/>
                <w:highlight w:val="none"/>
              </w:rPr>
            </w:pPr>
            <w:r>
              <w:rPr>
                <w:rFonts w:hint="eastAsia" w:ascii="宋体" w:hAnsi="宋体"/>
                <w:color w:val="auto"/>
                <w:szCs w:val="21"/>
                <w:highlight w:val="none"/>
              </w:rPr>
              <w:t>2  ……</w:t>
            </w:r>
          </w:p>
          <w:p>
            <w:pPr>
              <w:spacing w:line="360" w:lineRule="exact"/>
              <w:rPr>
                <w:rFonts w:ascii="宋体" w:hAnsi="宋体"/>
                <w:color w:val="auto"/>
                <w:szCs w:val="21"/>
                <w:highlight w:val="none"/>
              </w:rPr>
            </w:pPr>
            <w:r>
              <w:rPr>
                <w:rFonts w:hint="eastAsia" w:ascii="宋体" w:hAnsi="宋体"/>
                <w:color w:val="auto"/>
                <w:szCs w:val="21"/>
                <w:highlight w:val="none"/>
              </w:rPr>
              <w:t>3  ……</w:t>
            </w:r>
          </w:p>
          <w:p>
            <w:pPr>
              <w:pStyle w:val="27"/>
              <w:spacing w:line="360" w:lineRule="exact"/>
              <w:rPr>
                <w:rFonts w:hAnsi="宋体"/>
                <w:color w:val="auto"/>
                <w:sz w:val="21"/>
                <w:szCs w:val="21"/>
                <w:highlight w:val="none"/>
              </w:rPr>
            </w:pPr>
            <w:r>
              <w:rPr>
                <w:rFonts w:hint="eastAsia" w:hAnsi="宋体"/>
                <w:color w:val="auto"/>
                <w:sz w:val="21"/>
                <w:szCs w:val="21"/>
                <w:highlight w:val="none"/>
              </w:rPr>
              <w:t>……</w:t>
            </w:r>
          </w:p>
        </w:tc>
        <w:tc>
          <w:tcPr>
            <w:tcW w:w="1668" w:type="dxa"/>
            <w:vAlign w:val="center"/>
          </w:tcPr>
          <w:p>
            <w:pPr>
              <w:pStyle w:val="27"/>
              <w:spacing w:line="360" w:lineRule="exact"/>
              <w:jc w:val="center"/>
              <w:rPr>
                <w:rFonts w:hAnsi="宋体"/>
                <w:color w:val="auto"/>
                <w:sz w:val="21"/>
                <w:szCs w:val="21"/>
                <w:highlight w:val="none"/>
              </w:rPr>
            </w:pPr>
            <w:r>
              <w:rPr>
                <w:rFonts w:hint="eastAsia"/>
                <w:color w:val="auto"/>
                <w:sz w:val="21"/>
                <w:szCs w:val="21"/>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Pr>
          <w:p>
            <w:pPr>
              <w:pStyle w:val="27"/>
              <w:spacing w:line="360" w:lineRule="exact"/>
              <w:ind w:firstLine="105" w:firstLineChars="50"/>
              <w:rPr>
                <w:rFonts w:hAnsi="宋体"/>
                <w:color w:val="auto"/>
                <w:sz w:val="21"/>
                <w:szCs w:val="21"/>
                <w:highlight w:val="none"/>
              </w:rPr>
            </w:pPr>
            <w:r>
              <w:rPr>
                <w:rFonts w:hint="eastAsia" w:hAnsi="宋体"/>
                <w:color w:val="auto"/>
                <w:sz w:val="21"/>
                <w:szCs w:val="21"/>
                <w:highlight w:val="none"/>
              </w:rPr>
              <w:t>二</w:t>
            </w:r>
          </w:p>
        </w:tc>
        <w:tc>
          <w:tcPr>
            <w:tcW w:w="4071" w:type="dxa"/>
          </w:tcPr>
          <w:p>
            <w:pPr>
              <w:spacing w:line="360" w:lineRule="exact"/>
              <w:rPr>
                <w:rFonts w:ascii="宋体" w:hAnsi="宋体"/>
                <w:color w:val="auto"/>
                <w:szCs w:val="21"/>
                <w:highlight w:val="none"/>
              </w:rPr>
            </w:pPr>
            <w:r>
              <w:rPr>
                <w:rFonts w:hint="eastAsia" w:ascii="宋体" w:hAnsi="宋体"/>
                <w:color w:val="auto"/>
                <w:szCs w:val="21"/>
                <w:highlight w:val="none"/>
              </w:rPr>
              <w:t>1  ……</w:t>
            </w:r>
          </w:p>
          <w:p>
            <w:pPr>
              <w:spacing w:line="360" w:lineRule="exact"/>
              <w:rPr>
                <w:rFonts w:ascii="宋体" w:hAnsi="宋体"/>
                <w:color w:val="auto"/>
                <w:szCs w:val="21"/>
                <w:highlight w:val="none"/>
              </w:rPr>
            </w:pPr>
            <w:r>
              <w:rPr>
                <w:rFonts w:hint="eastAsia" w:ascii="宋体" w:hAnsi="宋体"/>
                <w:color w:val="auto"/>
                <w:szCs w:val="21"/>
                <w:highlight w:val="none"/>
              </w:rPr>
              <w:t>2  ……</w:t>
            </w:r>
          </w:p>
          <w:p>
            <w:pPr>
              <w:spacing w:line="360" w:lineRule="exact"/>
              <w:rPr>
                <w:rFonts w:ascii="宋体" w:hAnsi="宋体"/>
                <w:color w:val="auto"/>
                <w:szCs w:val="21"/>
                <w:highlight w:val="none"/>
              </w:rPr>
            </w:pPr>
            <w:r>
              <w:rPr>
                <w:rFonts w:hint="eastAsia" w:ascii="宋体" w:hAnsi="宋体"/>
                <w:color w:val="auto"/>
                <w:szCs w:val="21"/>
                <w:highlight w:val="none"/>
              </w:rPr>
              <w:t>3  ……</w:t>
            </w:r>
          </w:p>
          <w:p>
            <w:pPr>
              <w:pStyle w:val="27"/>
              <w:spacing w:line="360" w:lineRule="exact"/>
              <w:rPr>
                <w:rFonts w:hAnsi="宋体"/>
                <w:color w:val="auto"/>
                <w:sz w:val="21"/>
                <w:szCs w:val="21"/>
                <w:highlight w:val="none"/>
              </w:rPr>
            </w:pPr>
            <w:r>
              <w:rPr>
                <w:rFonts w:hint="eastAsia" w:hAnsi="宋体"/>
                <w:color w:val="auto"/>
                <w:sz w:val="21"/>
                <w:szCs w:val="21"/>
                <w:highlight w:val="none"/>
              </w:rPr>
              <w:t>……</w:t>
            </w:r>
          </w:p>
        </w:tc>
        <w:tc>
          <w:tcPr>
            <w:tcW w:w="3372" w:type="dxa"/>
          </w:tcPr>
          <w:p>
            <w:pPr>
              <w:spacing w:line="360" w:lineRule="exact"/>
              <w:rPr>
                <w:rFonts w:ascii="宋体" w:hAnsi="宋体"/>
                <w:color w:val="auto"/>
                <w:szCs w:val="21"/>
                <w:highlight w:val="none"/>
              </w:rPr>
            </w:pPr>
            <w:r>
              <w:rPr>
                <w:rFonts w:hint="eastAsia" w:ascii="宋体" w:hAnsi="宋体"/>
                <w:color w:val="auto"/>
                <w:szCs w:val="21"/>
                <w:highlight w:val="none"/>
              </w:rPr>
              <w:t>1  ……</w:t>
            </w:r>
          </w:p>
          <w:p>
            <w:pPr>
              <w:spacing w:line="360" w:lineRule="exact"/>
              <w:rPr>
                <w:rFonts w:ascii="宋体" w:hAnsi="宋体"/>
                <w:color w:val="auto"/>
                <w:szCs w:val="21"/>
                <w:highlight w:val="none"/>
              </w:rPr>
            </w:pPr>
            <w:r>
              <w:rPr>
                <w:rFonts w:hint="eastAsia" w:ascii="宋体" w:hAnsi="宋体"/>
                <w:color w:val="auto"/>
                <w:szCs w:val="21"/>
                <w:highlight w:val="none"/>
              </w:rPr>
              <w:t>2  ……</w:t>
            </w:r>
          </w:p>
          <w:p>
            <w:pPr>
              <w:spacing w:line="360" w:lineRule="exact"/>
              <w:rPr>
                <w:rFonts w:ascii="宋体" w:hAnsi="宋体"/>
                <w:color w:val="auto"/>
                <w:szCs w:val="21"/>
                <w:highlight w:val="none"/>
              </w:rPr>
            </w:pPr>
            <w:r>
              <w:rPr>
                <w:rFonts w:hint="eastAsia" w:ascii="宋体" w:hAnsi="宋体"/>
                <w:color w:val="auto"/>
                <w:szCs w:val="21"/>
                <w:highlight w:val="none"/>
              </w:rPr>
              <w:t>3  ……</w:t>
            </w:r>
          </w:p>
          <w:p>
            <w:pPr>
              <w:pStyle w:val="27"/>
              <w:spacing w:line="360" w:lineRule="exact"/>
              <w:rPr>
                <w:rFonts w:hAnsi="宋体"/>
                <w:color w:val="auto"/>
                <w:sz w:val="21"/>
                <w:szCs w:val="21"/>
                <w:highlight w:val="none"/>
              </w:rPr>
            </w:pPr>
            <w:r>
              <w:rPr>
                <w:rFonts w:hint="eastAsia" w:hAnsi="宋体"/>
                <w:color w:val="auto"/>
                <w:sz w:val="21"/>
                <w:szCs w:val="21"/>
                <w:highlight w:val="none"/>
              </w:rPr>
              <w:t>……</w:t>
            </w:r>
          </w:p>
        </w:tc>
        <w:tc>
          <w:tcPr>
            <w:tcW w:w="1668" w:type="dxa"/>
            <w:vAlign w:val="center"/>
          </w:tcPr>
          <w:p>
            <w:pPr>
              <w:pStyle w:val="27"/>
              <w:spacing w:line="360" w:lineRule="exact"/>
              <w:jc w:val="center"/>
              <w:rPr>
                <w:rFonts w:hAnsi="宋体"/>
                <w:color w:val="auto"/>
                <w:sz w:val="21"/>
                <w:szCs w:val="21"/>
                <w:highlight w:val="none"/>
              </w:rPr>
            </w:pPr>
            <w:r>
              <w:rPr>
                <w:rFonts w:hint="eastAsia"/>
                <w:color w:val="auto"/>
                <w:sz w:val="21"/>
                <w:szCs w:val="21"/>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Pr>
          <w:p>
            <w:pPr>
              <w:pStyle w:val="27"/>
              <w:spacing w:line="600" w:lineRule="exact"/>
              <w:rPr>
                <w:rFonts w:hAnsi="宋体"/>
                <w:color w:val="auto"/>
                <w:szCs w:val="21"/>
                <w:highlight w:val="none"/>
              </w:rPr>
            </w:pPr>
          </w:p>
        </w:tc>
        <w:tc>
          <w:tcPr>
            <w:tcW w:w="4071" w:type="dxa"/>
          </w:tcPr>
          <w:p>
            <w:pPr>
              <w:pStyle w:val="27"/>
              <w:spacing w:line="600" w:lineRule="exact"/>
              <w:rPr>
                <w:rFonts w:hAnsi="宋体"/>
                <w:color w:val="auto"/>
                <w:szCs w:val="21"/>
                <w:highlight w:val="none"/>
              </w:rPr>
            </w:pPr>
          </w:p>
        </w:tc>
        <w:tc>
          <w:tcPr>
            <w:tcW w:w="3372" w:type="dxa"/>
          </w:tcPr>
          <w:p>
            <w:pPr>
              <w:pStyle w:val="27"/>
              <w:spacing w:line="600" w:lineRule="exact"/>
              <w:rPr>
                <w:rFonts w:hAnsi="宋体"/>
                <w:color w:val="auto"/>
                <w:szCs w:val="21"/>
                <w:highlight w:val="none"/>
              </w:rPr>
            </w:pPr>
          </w:p>
        </w:tc>
        <w:tc>
          <w:tcPr>
            <w:tcW w:w="1668" w:type="dxa"/>
            <w:vAlign w:val="center"/>
          </w:tcPr>
          <w:p>
            <w:pPr>
              <w:pStyle w:val="27"/>
              <w:spacing w:line="600" w:lineRule="exact"/>
              <w:jc w:val="center"/>
              <w:rPr>
                <w:rFonts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Pr>
          <w:p>
            <w:pPr>
              <w:pStyle w:val="27"/>
              <w:spacing w:line="600" w:lineRule="exact"/>
              <w:rPr>
                <w:rFonts w:ascii="Times New Roman" w:hAnsi="Times New Roman"/>
                <w:color w:val="auto"/>
                <w:kern w:val="2"/>
                <w:sz w:val="21"/>
                <w:szCs w:val="24"/>
                <w:highlight w:val="none"/>
              </w:rPr>
            </w:pPr>
          </w:p>
        </w:tc>
        <w:tc>
          <w:tcPr>
            <w:tcW w:w="4071" w:type="dxa"/>
          </w:tcPr>
          <w:p>
            <w:pPr>
              <w:pStyle w:val="27"/>
              <w:spacing w:line="600" w:lineRule="exact"/>
              <w:rPr>
                <w:rFonts w:ascii="Times New Roman" w:hAnsi="Times New Roman"/>
                <w:color w:val="auto"/>
                <w:kern w:val="2"/>
                <w:sz w:val="21"/>
                <w:szCs w:val="24"/>
                <w:highlight w:val="none"/>
              </w:rPr>
            </w:pPr>
          </w:p>
        </w:tc>
        <w:tc>
          <w:tcPr>
            <w:tcW w:w="3372" w:type="dxa"/>
          </w:tcPr>
          <w:p>
            <w:pPr>
              <w:pStyle w:val="27"/>
              <w:spacing w:line="600" w:lineRule="exact"/>
              <w:rPr>
                <w:rFonts w:ascii="Times New Roman" w:hAnsi="Times New Roman"/>
                <w:color w:val="auto"/>
                <w:kern w:val="2"/>
                <w:sz w:val="21"/>
                <w:szCs w:val="24"/>
                <w:highlight w:val="none"/>
              </w:rPr>
            </w:pPr>
          </w:p>
        </w:tc>
        <w:tc>
          <w:tcPr>
            <w:tcW w:w="1668" w:type="dxa"/>
          </w:tcPr>
          <w:p>
            <w:pPr>
              <w:pStyle w:val="27"/>
              <w:spacing w:line="600" w:lineRule="exact"/>
              <w:rPr>
                <w:rFonts w:ascii="Times New Roman" w:hAnsi="Times New Roman"/>
                <w:color w:val="auto"/>
                <w:kern w:val="2"/>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vAlign w:val="center"/>
          </w:tcPr>
          <w:p>
            <w:pPr>
              <w:pStyle w:val="27"/>
              <w:spacing w:line="600" w:lineRule="exact"/>
              <w:rPr>
                <w:rFonts w:hAnsi="宋体"/>
                <w:color w:val="auto"/>
                <w:sz w:val="21"/>
                <w:szCs w:val="21"/>
                <w:highlight w:val="none"/>
              </w:rPr>
            </w:pPr>
            <w:r>
              <w:rPr>
                <w:rFonts w:hint="eastAsia" w:hAnsi="宋体"/>
                <w:color w:val="auto"/>
                <w:sz w:val="21"/>
                <w:szCs w:val="21"/>
                <w:highlight w:val="none"/>
                <w:u w:val="single"/>
              </w:rPr>
              <w:t xml:space="preserve">　/ </w:t>
            </w:r>
            <w:r>
              <w:rPr>
                <w:rFonts w:hint="eastAsia" w:hAnsi="宋体"/>
                <w:color w:val="auto"/>
                <w:sz w:val="21"/>
                <w:szCs w:val="21"/>
                <w:highlight w:val="none"/>
                <w:lang w:eastAsia="zh-CN"/>
              </w:rPr>
              <w:t>标段</w:t>
            </w:r>
            <w:r>
              <w:rPr>
                <w:rFonts w:hint="eastAsia" w:hAnsi="宋体"/>
                <w:color w:val="auto"/>
                <w:sz w:val="21"/>
                <w:szCs w:val="21"/>
                <w:highlight w:val="none"/>
              </w:rPr>
              <w:t>（有</w:t>
            </w:r>
            <w:r>
              <w:rPr>
                <w:rFonts w:hint="eastAsia" w:hAnsi="宋体"/>
                <w:color w:val="auto"/>
                <w:sz w:val="21"/>
                <w:szCs w:val="21"/>
                <w:highlight w:val="none"/>
                <w:lang w:eastAsia="zh-CN"/>
              </w:rPr>
              <w:t>标段</w:t>
            </w:r>
            <w:r>
              <w:rPr>
                <w:rFonts w:hint="eastAsia" w:hAnsi="宋体"/>
                <w:color w:val="auto"/>
                <w:sz w:val="21"/>
                <w:szCs w:val="21"/>
                <w:highlight w:val="none"/>
              </w:rPr>
              <w:t>时填写）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vAlign w:val="center"/>
          </w:tcPr>
          <w:p>
            <w:pPr>
              <w:pStyle w:val="27"/>
              <w:spacing w:line="600" w:lineRule="exact"/>
              <w:rPr>
                <w:rFonts w:hAnsi="宋体"/>
                <w:color w:val="auto"/>
                <w:sz w:val="21"/>
                <w:szCs w:val="21"/>
                <w:highlight w:val="none"/>
              </w:rPr>
            </w:pPr>
            <w:r>
              <w:rPr>
                <w:rFonts w:hint="eastAsia" w:hAnsi="宋体"/>
                <w:color w:val="auto"/>
                <w:sz w:val="21"/>
                <w:szCs w:val="21"/>
                <w:highlight w:val="none"/>
              </w:rPr>
              <w:t>投标人（盖单位公章）：</w:t>
            </w:r>
            <w:r>
              <w:rPr>
                <w:rFonts w:hint="eastAsia" w:hAnsi="宋体"/>
                <w:color w:val="auto"/>
                <w:sz w:val="21"/>
                <w:szCs w:val="21"/>
                <w:highlight w:val="none"/>
                <w:u w:val="singl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vAlign w:val="center"/>
          </w:tcPr>
          <w:p>
            <w:pPr>
              <w:pStyle w:val="27"/>
              <w:spacing w:line="600" w:lineRule="exact"/>
              <w:rPr>
                <w:rFonts w:hAnsi="宋体"/>
                <w:color w:val="auto"/>
                <w:sz w:val="21"/>
                <w:szCs w:val="21"/>
                <w:highlight w:val="none"/>
              </w:rPr>
            </w:pPr>
            <w:r>
              <w:rPr>
                <w:rFonts w:hint="eastAsia" w:hAnsi="宋体"/>
                <w:color w:val="auto"/>
                <w:sz w:val="21"/>
                <w:szCs w:val="21"/>
                <w:highlight w:val="none"/>
              </w:rPr>
              <w:t>法定代表人或其委托代理人（签字或盖章）：</w:t>
            </w:r>
            <w:r>
              <w:rPr>
                <w:rFonts w:hint="eastAsia" w:hAnsi="宋体"/>
                <w:color w:val="auto"/>
                <w:sz w:val="21"/>
                <w:szCs w:val="21"/>
                <w:highlight w:val="none"/>
                <w:u w:val="single"/>
              </w:rPr>
              <w:t>　　　　　　　　　　　　　　　　　　　　　　　　　　</w:t>
            </w:r>
          </w:p>
        </w:tc>
      </w:tr>
    </w:tbl>
    <w:p>
      <w:pPr>
        <w:pStyle w:val="27"/>
        <w:spacing w:line="600" w:lineRule="exact"/>
        <w:rPr>
          <w:rFonts w:hAnsi="宋体" w:cs="宋体"/>
          <w:color w:val="auto"/>
          <w:szCs w:val="21"/>
          <w:highlight w:val="none"/>
        </w:rPr>
      </w:pPr>
      <w:r>
        <w:rPr>
          <w:rFonts w:hAnsi="宋体" w:cs="宋体"/>
          <w:color w:val="auto"/>
          <w:szCs w:val="21"/>
          <w:highlight w:val="none"/>
        </w:rPr>
        <w:t>说明：</w:t>
      </w:r>
      <w:r>
        <w:rPr>
          <w:rFonts w:hint="eastAsia" w:hAnsi="宋体" w:cs="宋体"/>
          <w:color w:val="auto"/>
          <w:szCs w:val="21"/>
          <w:highlight w:val="none"/>
        </w:rPr>
        <w:t>⑴</w:t>
      </w:r>
      <w:r>
        <w:rPr>
          <w:rFonts w:hAnsi="宋体" w:cs="宋体"/>
          <w:color w:val="auto"/>
          <w:szCs w:val="21"/>
          <w:highlight w:val="none"/>
        </w:rPr>
        <w:t>投标人必须按以上格式加盖单位公章并签名，无签字、盖单位公章的投标无效。</w:t>
      </w:r>
    </w:p>
    <w:p>
      <w:pPr>
        <w:pStyle w:val="27"/>
        <w:spacing w:line="600" w:lineRule="exact"/>
        <w:rPr>
          <w:rFonts w:ascii="Times New Roman" w:hAnsi="Times New Roman"/>
          <w:color w:val="auto"/>
          <w:highlight w:val="none"/>
        </w:rPr>
      </w:pPr>
      <w:r>
        <w:rPr>
          <w:rFonts w:hint="eastAsia" w:hAnsi="宋体" w:cs="宋体"/>
          <w:color w:val="auto"/>
          <w:szCs w:val="21"/>
          <w:highlight w:val="none"/>
        </w:rPr>
        <w:t>⑵当投标文件技术参数或商务内容低于招标文件要求时，投标人应当如实写明“负偏离”，否则视为虚假应标。</w:t>
      </w:r>
      <w:r>
        <w:rPr>
          <w:b/>
          <w:color w:val="auto"/>
          <w:sz w:val="32"/>
          <w:highlight w:val="none"/>
        </w:rPr>
        <w:br w:type="page"/>
      </w:r>
      <w:r>
        <w:rPr>
          <w:rFonts w:hint="eastAsia" w:ascii="Times New Roman" w:hAnsi="Times New Roman"/>
          <w:b/>
          <w:color w:val="auto"/>
          <w:highlight w:val="none"/>
        </w:rPr>
        <w:t>格式9：</w:t>
      </w:r>
    </w:p>
    <w:p>
      <w:pPr>
        <w:pStyle w:val="27"/>
        <w:spacing w:line="500" w:lineRule="exact"/>
        <w:jc w:val="center"/>
        <w:rPr>
          <w:rFonts w:ascii="Times New Roman" w:hAnsi="Times New Roman"/>
          <w:b/>
          <w:bCs/>
          <w:color w:val="auto"/>
          <w:sz w:val="30"/>
          <w:szCs w:val="30"/>
          <w:highlight w:val="none"/>
        </w:rPr>
      </w:pPr>
      <w:r>
        <w:rPr>
          <w:rFonts w:hint="eastAsia" w:ascii="Times New Roman" w:hAnsi="Times New Roman"/>
          <w:b/>
          <w:bCs/>
          <w:color w:val="auto"/>
          <w:sz w:val="30"/>
          <w:szCs w:val="30"/>
          <w:highlight w:val="none"/>
        </w:rPr>
        <w:t>法定代表人授权委托书（格式）</w:t>
      </w:r>
    </w:p>
    <w:p>
      <w:pPr>
        <w:pStyle w:val="27"/>
        <w:spacing w:line="500" w:lineRule="exact"/>
        <w:ind w:firstLine="400" w:firstLineChars="200"/>
        <w:rPr>
          <w:rFonts w:ascii="Times New Roman" w:hAnsi="Times New Roman"/>
          <w:color w:val="auto"/>
          <w:highlight w:val="none"/>
          <w:u w:val="single"/>
        </w:rPr>
      </w:pPr>
    </w:p>
    <w:p>
      <w:pPr>
        <w:pStyle w:val="27"/>
        <w:spacing w:line="360" w:lineRule="auto"/>
        <w:ind w:firstLine="435"/>
        <w:rPr>
          <w:rFonts w:ascii="Times New Roman" w:hAnsi="Times New Roman"/>
          <w:color w:val="auto"/>
          <w:sz w:val="21"/>
          <w:szCs w:val="21"/>
          <w:highlight w:val="none"/>
        </w:rPr>
      </w:pPr>
      <w:r>
        <w:rPr>
          <w:rFonts w:hint="eastAsia" w:ascii="Times New Roman" w:hAnsi="Times New Roman"/>
          <w:color w:val="auto"/>
          <w:sz w:val="21"/>
          <w:szCs w:val="21"/>
          <w:highlight w:val="none"/>
        </w:rPr>
        <w:t>致：（采购代理机构名称）</w:t>
      </w:r>
    </w:p>
    <w:p>
      <w:pPr>
        <w:pStyle w:val="27"/>
        <w:spacing w:line="360" w:lineRule="auto"/>
        <w:ind w:firstLine="435"/>
        <w:rPr>
          <w:rFonts w:ascii="Times New Roman" w:hAnsi="Times New Roman"/>
          <w:color w:val="auto"/>
          <w:sz w:val="21"/>
          <w:szCs w:val="21"/>
          <w:highlight w:val="none"/>
        </w:rPr>
      </w:pPr>
    </w:p>
    <w:p>
      <w:pPr>
        <w:pStyle w:val="27"/>
        <w:spacing w:line="360" w:lineRule="auto"/>
        <w:ind w:firstLine="435"/>
        <w:rPr>
          <w:rFonts w:ascii="Times New Roman" w:hAnsi="Times New Roman"/>
          <w:color w:val="auto"/>
          <w:sz w:val="21"/>
          <w:szCs w:val="21"/>
          <w:highlight w:val="none"/>
        </w:rPr>
      </w:pPr>
      <w:r>
        <w:rPr>
          <w:rFonts w:hint="eastAsia" w:ascii="Times New Roman" w:hAnsi="Times New Roman"/>
          <w:color w:val="auto"/>
          <w:sz w:val="21"/>
          <w:szCs w:val="21"/>
          <w:highlight w:val="none"/>
        </w:rPr>
        <w:t>本人</w:t>
      </w:r>
      <w:r>
        <w:rPr>
          <w:rFonts w:hint="eastAsia" w:ascii="Times New Roman" w:hAnsi="Times New Roman"/>
          <w:color w:val="auto"/>
          <w:sz w:val="21"/>
          <w:szCs w:val="21"/>
          <w:highlight w:val="none"/>
          <w:u w:val="single"/>
        </w:rPr>
        <w:t xml:space="preserve">    （姓名）    </w:t>
      </w:r>
      <w:r>
        <w:rPr>
          <w:rFonts w:hint="eastAsia" w:ascii="Times New Roman" w:hAnsi="Times New Roman"/>
          <w:color w:val="auto"/>
          <w:sz w:val="21"/>
          <w:szCs w:val="21"/>
          <w:highlight w:val="none"/>
        </w:rPr>
        <w:t>系</w:t>
      </w:r>
      <w:r>
        <w:rPr>
          <w:rFonts w:hint="eastAsia" w:ascii="Times New Roman" w:hAnsi="Times New Roman"/>
          <w:color w:val="auto"/>
          <w:sz w:val="21"/>
          <w:szCs w:val="21"/>
          <w:highlight w:val="none"/>
          <w:u w:val="single"/>
        </w:rPr>
        <w:t xml:space="preserve">     （投标人名称）     </w:t>
      </w:r>
      <w:r>
        <w:rPr>
          <w:rFonts w:hint="eastAsia" w:ascii="Times New Roman" w:hAnsi="Times New Roman"/>
          <w:color w:val="auto"/>
          <w:sz w:val="21"/>
          <w:szCs w:val="21"/>
          <w:highlight w:val="none"/>
        </w:rPr>
        <w:t>的法定代表人，现授权我单位在职正式员工</w:t>
      </w:r>
      <w:r>
        <w:rPr>
          <w:rFonts w:hint="eastAsia" w:ascii="Times New Roman" w:hAnsi="Times New Roman"/>
          <w:color w:val="auto"/>
          <w:sz w:val="21"/>
          <w:szCs w:val="21"/>
          <w:highlight w:val="none"/>
          <w:u w:val="single"/>
        </w:rPr>
        <w:t xml:space="preserve">    （姓名和职务）    </w:t>
      </w:r>
      <w:r>
        <w:rPr>
          <w:rFonts w:hint="eastAsia" w:ascii="Times New Roman" w:hAnsi="Times New Roman"/>
          <w:color w:val="auto"/>
          <w:sz w:val="21"/>
          <w:szCs w:val="21"/>
          <w:highlight w:val="none"/>
        </w:rPr>
        <w:t>为我方代理人。代理人根据授权，以我方名义签署、澄清、说明、补正、递交、撤回、修改贵方组织的</w:t>
      </w:r>
      <w:r>
        <w:rPr>
          <w:rFonts w:hint="eastAsia" w:ascii="Times New Roman" w:hAnsi="Times New Roman"/>
          <w:color w:val="auto"/>
          <w:sz w:val="21"/>
          <w:szCs w:val="21"/>
          <w:highlight w:val="none"/>
          <w:u w:val="single"/>
        </w:rPr>
        <w:t xml:space="preserve">   （项目名称）     </w:t>
      </w:r>
      <w:r>
        <w:rPr>
          <w:rFonts w:hint="eastAsia" w:ascii="Times New Roman" w:hAnsi="Times New Roman"/>
          <w:color w:val="auto"/>
          <w:sz w:val="21"/>
          <w:szCs w:val="21"/>
          <w:highlight w:val="none"/>
        </w:rPr>
        <w:t>（项目编号：）项目的投标文件、签订合同和处理一切有关事宜，其法律后果由我方承担。</w:t>
      </w:r>
    </w:p>
    <w:p>
      <w:pPr>
        <w:pStyle w:val="27"/>
        <w:spacing w:line="360" w:lineRule="auto"/>
        <w:ind w:firstLine="435"/>
        <w:rPr>
          <w:rFonts w:ascii="Times New Roman" w:hAnsi="Times New Roman"/>
          <w:color w:val="auto"/>
          <w:sz w:val="21"/>
          <w:szCs w:val="21"/>
          <w:highlight w:val="none"/>
        </w:rPr>
      </w:pPr>
      <w:r>
        <w:rPr>
          <w:rFonts w:hint="eastAsia" w:ascii="Times New Roman" w:hAnsi="Times New Roman"/>
          <w:color w:val="auto"/>
          <w:sz w:val="21"/>
          <w:szCs w:val="21"/>
          <w:highlight w:val="none"/>
        </w:rPr>
        <w:t>本授权书于年月日签字生效，委托期限：。</w:t>
      </w:r>
    </w:p>
    <w:p>
      <w:pPr>
        <w:pStyle w:val="27"/>
        <w:spacing w:line="360" w:lineRule="auto"/>
        <w:ind w:firstLine="420"/>
        <w:rPr>
          <w:rFonts w:ascii="Times New Roman" w:hAnsi="Times New Roman"/>
          <w:color w:val="auto"/>
          <w:sz w:val="21"/>
          <w:szCs w:val="21"/>
          <w:highlight w:val="none"/>
        </w:rPr>
      </w:pPr>
      <w:r>
        <w:rPr>
          <w:rFonts w:hint="eastAsia" w:ascii="Times New Roman" w:hAnsi="Times New Roman"/>
          <w:color w:val="auto"/>
          <w:sz w:val="21"/>
          <w:szCs w:val="21"/>
          <w:highlight w:val="none"/>
        </w:rPr>
        <w:t>代理人无转委托权。</w:t>
      </w:r>
    </w:p>
    <w:p>
      <w:pPr>
        <w:pStyle w:val="27"/>
        <w:spacing w:line="360" w:lineRule="auto"/>
        <w:ind w:firstLine="420"/>
        <w:rPr>
          <w:rFonts w:ascii="Times New Roman" w:hAnsi="Times New Roman"/>
          <w:color w:val="auto"/>
          <w:sz w:val="21"/>
          <w:szCs w:val="21"/>
          <w:highlight w:val="none"/>
        </w:rPr>
      </w:pPr>
    </w:p>
    <w:p>
      <w:pPr>
        <w:pStyle w:val="27"/>
        <w:spacing w:line="360" w:lineRule="auto"/>
        <w:ind w:firstLine="420"/>
        <w:rPr>
          <w:rFonts w:ascii="Times New Roman" w:hAnsi="Times New Roman"/>
          <w:color w:val="auto"/>
          <w:sz w:val="21"/>
          <w:szCs w:val="21"/>
          <w:highlight w:val="none"/>
          <w:u w:val="single"/>
        </w:rPr>
      </w:pPr>
      <w:r>
        <w:rPr>
          <w:rFonts w:hint="eastAsia" w:ascii="Times New Roman" w:hAnsi="Times New Roman"/>
          <w:color w:val="auto"/>
          <w:sz w:val="21"/>
          <w:szCs w:val="21"/>
          <w:highlight w:val="none"/>
        </w:rPr>
        <w:t>投标人（盖单位公章）：</w:t>
      </w:r>
    </w:p>
    <w:p>
      <w:pPr>
        <w:pStyle w:val="27"/>
        <w:spacing w:line="360" w:lineRule="auto"/>
        <w:ind w:firstLine="420"/>
        <w:rPr>
          <w:rFonts w:ascii="Times New Roman" w:hAnsi="Times New Roman"/>
          <w:color w:val="auto"/>
          <w:sz w:val="21"/>
          <w:szCs w:val="21"/>
          <w:highlight w:val="none"/>
          <w:u w:val="single"/>
        </w:rPr>
      </w:pPr>
      <w:r>
        <w:rPr>
          <w:rFonts w:hint="eastAsia" w:ascii="Times New Roman" w:hAnsi="Times New Roman"/>
          <w:color w:val="auto"/>
          <w:sz w:val="21"/>
          <w:szCs w:val="21"/>
          <w:highlight w:val="none"/>
        </w:rPr>
        <w:t>法定代表人（签字或盖章）：</w:t>
      </w:r>
    </w:p>
    <w:p>
      <w:pPr>
        <w:pStyle w:val="27"/>
        <w:spacing w:line="360" w:lineRule="auto"/>
        <w:ind w:firstLine="420"/>
        <w:rPr>
          <w:rFonts w:ascii="Times New Roman" w:hAnsi="Times New Roman"/>
          <w:color w:val="auto"/>
          <w:sz w:val="21"/>
          <w:szCs w:val="21"/>
          <w:highlight w:val="none"/>
          <w:u w:val="single"/>
        </w:rPr>
      </w:pPr>
      <w:r>
        <w:rPr>
          <w:rFonts w:hint="eastAsia" w:ascii="Times New Roman" w:hAnsi="Times New Roman"/>
          <w:color w:val="auto"/>
          <w:sz w:val="21"/>
          <w:szCs w:val="21"/>
          <w:highlight w:val="none"/>
        </w:rPr>
        <w:t>法定代表人身份证号码：</w:t>
      </w:r>
    </w:p>
    <w:p>
      <w:pPr>
        <w:pStyle w:val="27"/>
        <w:spacing w:line="360" w:lineRule="auto"/>
        <w:ind w:firstLine="420" w:firstLineChars="200"/>
        <w:rPr>
          <w:rFonts w:ascii="Times New Roman" w:hAnsi="Times New Roman"/>
          <w:color w:val="auto"/>
          <w:sz w:val="21"/>
          <w:szCs w:val="21"/>
          <w:highlight w:val="none"/>
        </w:rPr>
      </w:pPr>
    </w:p>
    <w:p>
      <w:pPr>
        <w:pStyle w:val="27"/>
        <w:spacing w:line="360" w:lineRule="auto"/>
        <w:ind w:firstLine="420" w:firstLineChars="200"/>
        <w:rPr>
          <w:rFonts w:ascii="Times New Roman" w:hAnsi="Times New Roman"/>
          <w:color w:val="auto"/>
          <w:sz w:val="21"/>
          <w:szCs w:val="21"/>
          <w:highlight w:val="none"/>
        </w:rPr>
      </w:pPr>
      <w:r>
        <w:rPr>
          <w:rFonts w:hint="eastAsia" w:ascii="Times New Roman" w:hAnsi="Times New Roman"/>
          <w:color w:val="auto"/>
          <w:sz w:val="21"/>
          <w:szCs w:val="21"/>
          <w:highlight w:val="none"/>
        </w:rPr>
        <w:t>委托代理人（签字或盖章）：</w:t>
      </w:r>
    </w:p>
    <w:p>
      <w:pPr>
        <w:pStyle w:val="27"/>
        <w:spacing w:line="360" w:lineRule="auto"/>
        <w:ind w:firstLine="420"/>
        <w:rPr>
          <w:rFonts w:ascii="Times New Roman" w:hAnsi="Times New Roman"/>
          <w:color w:val="auto"/>
          <w:sz w:val="21"/>
          <w:szCs w:val="21"/>
          <w:highlight w:val="none"/>
          <w:u w:val="single"/>
        </w:rPr>
      </w:pPr>
      <w:r>
        <w:rPr>
          <w:rFonts w:hint="eastAsia" w:ascii="Times New Roman" w:hAnsi="Times New Roman"/>
          <w:color w:val="auto"/>
          <w:sz w:val="21"/>
          <w:szCs w:val="21"/>
          <w:highlight w:val="none"/>
        </w:rPr>
        <w:t>委托代理人身份证号码：</w:t>
      </w:r>
    </w:p>
    <w:p>
      <w:pPr>
        <w:pStyle w:val="27"/>
        <w:spacing w:line="360" w:lineRule="auto"/>
        <w:rPr>
          <w:rFonts w:ascii="Times New Roman" w:hAnsi="Times New Roman"/>
          <w:color w:val="auto"/>
          <w:sz w:val="21"/>
          <w:szCs w:val="21"/>
          <w:highlight w:val="none"/>
        </w:rPr>
      </w:pPr>
    </w:p>
    <w:p>
      <w:pPr>
        <w:pStyle w:val="2"/>
        <w:ind w:firstLine="354"/>
        <w:rPr>
          <w:b/>
          <w:color w:val="auto"/>
          <w:highlight w:val="none"/>
        </w:rPr>
      </w:pPr>
      <w:r>
        <w:rPr>
          <w:rFonts w:hint="eastAsia"/>
          <w:b/>
          <w:color w:val="auto"/>
          <w:highlight w:val="none"/>
        </w:rPr>
        <w:t>附：委托代理人有效身份证正反双面复印件</w:t>
      </w:r>
    </w:p>
    <w:p>
      <w:pPr>
        <w:pStyle w:val="27"/>
        <w:spacing w:line="360" w:lineRule="auto"/>
        <w:ind w:firstLine="600" w:firstLineChars="300"/>
        <w:rPr>
          <w:bCs/>
          <w:color w:val="auto"/>
          <w:szCs w:val="21"/>
          <w:highlight w:val="none"/>
        </w:rPr>
      </w:pPr>
      <w:r>
        <w:rPr>
          <w:rFonts w:ascii="Times New Roman" w:hAnsi="Times New Roman"/>
          <w:color w:val="auto"/>
          <w:highlight w:val="none"/>
        </w:rPr>
        <w:br w:type="page"/>
      </w:r>
    </w:p>
    <w:p>
      <w:pPr>
        <w:spacing w:line="360" w:lineRule="auto"/>
        <w:rPr>
          <w:rFonts w:ascii="宋体" w:hAnsi="宋体"/>
          <w:b/>
          <w:color w:val="auto"/>
          <w:kern w:val="1"/>
          <w:szCs w:val="20"/>
          <w:highlight w:val="none"/>
        </w:rPr>
      </w:pPr>
      <w:r>
        <w:rPr>
          <w:rFonts w:hint="eastAsia" w:ascii="宋体" w:hAnsi="宋体" w:cs="宋体"/>
          <w:b/>
          <w:color w:val="auto"/>
          <w:kern w:val="1"/>
          <w:szCs w:val="20"/>
          <w:highlight w:val="none"/>
        </w:rPr>
        <w:t>格式</w:t>
      </w:r>
      <w:r>
        <w:rPr>
          <w:rFonts w:hint="eastAsia" w:ascii="宋体" w:hAnsi="宋体"/>
          <w:b/>
          <w:color w:val="auto"/>
          <w:kern w:val="1"/>
          <w:szCs w:val="20"/>
          <w:highlight w:val="none"/>
        </w:rPr>
        <w:t>10：</w:t>
      </w:r>
    </w:p>
    <w:p>
      <w:pPr>
        <w:pStyle w:val="27"/>
        <w:jc w:val="center"/>
        <w:rPr>
          <w:rFonts w:ascii="Times New Roman" w:hAnsi="Times New Roman"/>
          <w:b/>
          <w:color w:val="auto"/>
          <w:sz w:val="30"/>
          <w:szCs w:val="30"/>
          <w:highlight w:val="none"/>
        </w:rPr>
      </w:pPr>
      <w:r>
        <w:rPr>
          <w:rFonts w:hint="eastAsia" w:ascii="Times New Roman" w:hAnsi="Times New Roman"/>
          <w:b/>
          <w:color w:val="auto"/>
          <w:sz w:val="30"/>
          <w:szCs w:val="30"/>
          <w:highlight w:val="none"/>
        </w:rPr>
        <w:t>信用声明函（格式）</w:t>
      </w:r>
    </w:p>
    <w:p>
      <w:pPr>
        <w:tabs>
          <w:tab w:val="left" w:pos="7200"/>
        </w:tabs>
        <w:spacing w:line="440" w:lineRule="exact"/>
        <w:rPr>
          <w:rFonts w:hAnsi="宋体"/>
          <w:color w:val="auto"/>
          <w:szCs w:val="21"/>
          <w:highlight w:val="none"/>
        </w:rPr>
      </w:pPr>
      <w:r>
        <w:rPr>
          <w:rFonts w:hint="eastAsia" w:hAnsi="宋体"/>
          <w:color w:val="auto"/>
          <w:szCs w:val="21"/>
          <w:highlight w:val="none"/>
        </w:rPr>
        <w:t>致：（采购代理机构名称）</w:t>
      </w:r>
    </w:p>
    <w:p>
      <w:pPr>
        <w:tabs>
          <w:tab w:val="left" w:pos="7200"/>
        </w:tabs>
        <w:spacing w:line="440" w:lineRule="exact"/>
        <w:ind w:firstLine="420" w:firstLineChars="200"/>
        <w:rPr>
          <w:rFonts w:hAnsi="宋体"/>
          <w:color w:val="auto"/>
          <w:szCs w:val="21"/>
          <w:highlight w:val="none"/>
        </w:rPr>
      </w:pPr>
      <w:r>
        <w:rPr>
          <w:rFonts w:hint="eastAsia" w:hAnsi="宋体"/>
          <w:color w:val="auto"/>
          <w:szCs w:val="21"/>
          <w:highlight w:val="none"/>
        </w:rPr>
        <w:t>我方愿意参加贵方组织的(项目名称)（项目编号：）项目的投标，为便于贵方公正、择优地确定中标人及其投标服务成果和服务，我方就本次投标有关事项郑重声明如下：</w:t>
      </w:r>
    </w:p>
    <w:p>
      <w:pPr>
        <w:tabs>
          <w:tab w:val="left" w:pos="7200"/>
        </w:tabs>
        <w:spacing w:line="440" w:lineRule="exact"/>
        <w:ind w:firstLine="420" w:firstLineChars="200"/>
        <w:rPr>
          <w:rFonts w:hAnsi="宋体"/>
          <w:color w:val="auto"/>
          <w:szCs w:val="21"/>
          <w:highlight w:val="none"/>
        </w:rPr>
      </w:pPr>
      <w:r>
        <w:rPr>
          <w:rFonts w:hint="eastAsia" w:hAnsi="宋体"/>
          <w:color w:val="auto"/>
          <w:szCs w:val="21"/>
          <w:highlight w:val="none"/>
        </w:rPr>
        <w:t>1、我方承诺已经具备《中华人民共和国政府采购法》中规定的参加政府采购活动的供应商应当具备的条件：</w:t>
      </w:r>
    </w:p>
    <w:p>
      <w:pPr>
        <w:tabs>
          <w:tab w:val="left" w:pos="7200"/>
        </w:tabs>
        <w:spacing w:line="440" w:lineRule="exact"/>
        <w:ind w:firstLine="420" w:firstLineChars="200"/>
        <w:rPr>
          <w:rFonts w:hAnsi="宋体"/>
          <w:color w:val="auto"/>
          <w:szCs w:val="21"/>
          <w:highlight w:val="none"/>
        </w:rPr>
      </w:pPr>
      <w:r>
        <w:rPr>
          <w:rFonts w:hint="eastAsia" w:hAnsi="宋体"/>
          <w:color w:val="auto"/>
          <w:szCs w:val="21"/>
          <w:highlight w:val="none"/>
        </w:rPr>
        <w:t>（1）具有独立承担民事责任的能力；</w:t>
      </w:r>
    </w:p>
    <w:p>
      <w:pPr>
        <w:tabs>
          <w:tab w:val="left" w:pos="7200"/>
        </w:tabs>
        <w:spacing w:line="440" w:lineRule="exact"/>
        <w:ind w:firstLine="420" w:firstLineChars="200"/>
        <w:rPr>
          <w:rFonts w:hAnsi="宋体"/>
          <w:color w:val="auto"/>
          <w:szCs w:val="21"/>
          <w:highlight w:val="none"/>
        </w:rPr>
      </w:pPr>
      <w:r>
        <w:rPr>
          <w:rFonts w:hint="eastAsia" w:hAnsi="宋体"/>
          <w:color w:val="auto"/>
          <w:szCs w:val="21"/>
          <w:highlight w:val="none"/>
        </w:rPr>
        <w:t>（2）具有良好的商业信誉和健全的财务会计制度；</w:t>
      </w:r>
    </w:p>
    <w:p>
      <w:pPr>
        <w:tabs>
          <w:tab w:val="left" w:pos="7200"/>
        </w:tabs>
        <w:spacing w:line="440" w:lineRule="exact"/>
        <w:ind w:firstLine="420" w:firstLineChars="200"/>
        <w:rPr>
          <w:rFonts w:hAnsi="宋体"/>
          <w:color w:val="auto"/>
          <w:szCs w:val="21"/>
          <w:highlight w:val="none"/>
        </w:rPr>
      </w:pPr>
      <w:r>
        <w:rPr>
          <w:rFonts w:hint="eastAsia" w:hAnsi="宋体"/>
          <w:color w:val="auto"/>
          <w:szCs w:val="21"/>
          <w:highlight w:val="none"/>
        </w:rPr>
        <w:t>（3）具有履行合同所必需的设备和专业技术能力；</w:t>
      </w:r>
    </w:p>
    <w:p>
      <w:pPr>
        <w:tabs>
          <w:tab w:val="left" w:pos="7200"/>
        </w:tabs>
        <w:spacing w:line="440" w:lineRule="exact"/>
        <w:ind w:firstLine="420" w:firstLineChars="200"/>
        <w:rPr>
          <w:rFonts w:hAnsi="宋体"/>
          <w:color w:val="auto"/>
          <w:szCs w:val="21"/>
          <w:highlight w:val="none"/>
        </w:rPr>
      </w:pPr>
      <w:r>
        <w:rPr>
          <w:rFonts w:hint="eastAsia" w:hAnsi="宋体"/>
          <w:color w:val="auto"/>
          <w:szCs w:val="21"/>
          <w:highlight w:val="none"/>
        </w:rPr>
        <w:t>（4）有依法缴纳税收和社会保障资金的良好记录；</w:t>
      </w:r>
    </w:p>
    <w:p>
      <w:pPr>
        <w:tabs>
          <w:tab w:val="left" w:pos="7200"/>
        </w:tabs>
        <w:spacing w:line="440" w:lineRule="exact"/>
        <w:ind w:firstLine="420" w:firstLineChars="200"/>
        <w:rPr>
          <w:rFonts w:hAnsi="宋体"/>
          <w:color w:val="auto"/>
          <w:szCs w:val="21"/>
          <w:highlight w:val="none"/>
        </w:rPr>
      </w:pPr>
      <w:r>
        <w:rPr>
          <w:rFonts w:hint="eastAsia" w:hAnsi="宋体"/>
          <w:color w:val="auto"/>
          <w:szCs w:val="21"/>
          <w:highlight w:val="none"/>
        </w:rPr>
        <w:t>（5）参加政府采购活动前三年内，在经营活动中没有重大违法记录；</w:t>
      </w:r>
    </w:p>
    <w:p>
      <w:pPr>
        <w:tabs>
          <w:tab w:val="left" w:pos="7200"/>
        </w:tabs>
        <w:spacing w:line="440" w:lineRule="exact"/>
        <w:ind w:firstLine="420" w:firstLineChars="200"/>
        <w:rPr>
          <w:rFonts w:hAnsi="宋体"/>
          <w:color w:val="auto"/>
          <w:szCs w:val="21"/>
          <w:highlight w:val="none"/>
        </w:rPr>
      </w:pPr>
      <w:r>
        <w:rPr>
          <w:rFonts w:hint="eastAsia" w:hAnsi="宋体"/>
          <w:color w:val="auto"/>
          <w:szCs w:val="21"/>
          <w:highlight w:val="none"/>
        </w:rPr>
        <w:t>（6）法律、行政法规规定的其他条件。</w:t>
      </w:r>
    </w:p>
    <w:p>
      <w:pPr>
        <w:tabs>
          <w:tab w:val="left" w:pos="7200"/>
        </w:tabs>
        <w:spacing w:line="440" w:lineRule="exact"/>
        <w:ind w:firstLine="420" w:firstLineChars="200"/>
        <w:rPr>
          <w:rFonts w:hAnsi="宋体"/>
          <w:color w:val="auto"/>
          <w:szCs w:val="21"/>
          <w:highlight w:val="none"/>
        </w:rPr>
      </w:pPr>
      <w:r>
        <w:rPr>
          <w:rFonts w:hint="eastAsia" w:hAnsi="宋体"/>
          <w:color w:val="auto"/>
          <w:szCs w:val="21"/>
          <w:highlight w:val="none"/>
        </w:rPr>
        <w:t>2、经查询，在“信用中国”和“中国政府采购网”网站我方未被列入失信被执行人、重大税收违法案件当事人名单、政府采购严重违法失信行为记录名单。</w:t>
      </w:r>
    </w:p>
    <w:p>
      <w:pPr>
        <w:tabs>
          <w:tab w:val="left" w:pos="7200"/>
        </w:tabs>
        <w:spacing w:line="440" w:lineRule="exact"/>
        <w:ind w:firstLine="420" w:firstLineChars="200"/>
        <w:rPr>
          <w:rFonts w:hAnsi="宋体"/>
          <w:b/>
          <w:color w:val="auto"/>
          <w:szCs w:val="21"/>
          <w:highlight w:val="none"/>
        </w:rPr>
      </w:pPr>
      <w:r>
        <w:rPr>
          <w:rFonts w:hint="eastAsia" w:hAnsi="宋体"/>
          <w:color w:val="auto"/>
          <w:szCs w:val="21"/>
          <w:highlight w:val="none"/>
        </w:rPr>
        <w:t>以上事项如有虚假或隐瞒，我方愿意承担一切后果，并不再寻求任何旨在减轻或免除法律责任的辩解。</w:t>
      </w:r>
    </w:p>
    <w:p>
      <w:pPr>
        <w:pStyle w:val="27"/>
        <w:spacing w:line="600" w:lineRule="exact"/>
        <w:rPr>
          <w:rFonts w:ascii="Times New Roman" w:hAnsi="Times New Roman"/>
          <w:color w:val="auto"/>
          <w:sz w:val="21"/>
          <w:szCs w:val="21"/>
          <w:highlight w:val="none"/>
          <w:u w:val="single"/>
        </w:rPr>
      </w:pPr>
      <w:r>
        <w:rPr>
          <w:rFonts w:hint="eastAsia" w:ascii="Times New Roman" w:hAnsi="Times New Roman"/>
          <w:color w:val="auto"/>
          <w:sz w:val="21"/>
          <w:szCs w:val="21"/>
          <w:highlight w:val="none"/>
        </w:rPr>
        <w:t>投标人（盖单位公章）：</w:t>
      </w:r>
    </w:p>
    <w:p>
      <w:pPr>
        <w:spacing w:line="360" w:lineRule="auto"/>
        <w:ind w:firstLine="3255" w:firstLineChars="1550"/>
        <w:rPr>
          <w:rFonts w:ascii="宋体" w:hAnsi="宋体"/>
          <w:b/>
          <w:color w:val="auto"/>
          <w:kern w:val="1"/>
          <w:sz w:val="22"/>
          <w:szCs w:val="22"/>
          <w:highlight w:val="none"/>
        </w:rPr>
      </w:pPr>
      <w:r>
        <w:rPr>
          <w:rFonts w:hint="eastAsia"/>
          <w:color w:val="auto"/>
          <w:szCs w:val="21"/>
          <w:highlight w:val="none"/>
        </w:rPr>
        <w:t>法定代表人或其委托代理人（签字或盖章）：</w:t>
      </w:r>
    </w:p>
    <w:p>
      <w:pPr>
        <w:snapToGrid w:val="0"/>
        <w:spacing w:line="440" w:lineRule="exact"/>
        <w:ind w:left="210" w:leftChars="100" w:firstLine="210" w:firstLineChars="100"/>
        <w:rPr>
          <w:rFonts w:hAnsi="Courier New"/>
          <w:color w:val="auto"/>
          <w:highlight w:val="none"/>
        </w:rPr>
      </w:pPr>
    </w:p>
    <w:p>
      <w:pPr>
        <w:snapToGrid w:val="0"/>
        <w:spacing w:line="440" w:lineRule="exact"/>
        <w:ind w:left="210" w:leftChars="100" w:firstLine="210" w:firstLineChars="100"/>
        <w:rPr>
          <w:rFonts w:hAnsi="Courier New"/>
          <w:color w:val="auto"/>
          <w:highlight w:val="none"/>
        </w:rPr>
      </w:pPr>
      <w:r>
        <w:rPr>
          <w:rFonts w:hint="eastAsia" w:hAnsi="Courier New"/>
          <w:color w:val="auto"/>
          <w:highlight w:val="none"/>
        </w:rPr>
        <w:t>说明：</w:t>
      </w:r>
      <w:r>
        <w:rPr>
          <w:b/>
          <w:color w:val="auto"/>
          <w:highlight w:val="none"/>
        </w:rPr>
        <w:t>由采购人或采购代理机构在对投标人资格审查时进行信用查询</w:t>
      </w:r>
    </w:p>
    <w:p>
      <w:pPr>
        <w:spacing w:line="440" w:lineRule="exact"/>
        <w:ind w:firstLine="420" w:firstLineChars="200"/>
        <w:jc w:val="left"/>
        <w:rPr>
          <w:rFonts w:hAnsi="Courier New"/>
          <w:color w:val="auto"/>
          <w:highlight w:val="none"/>
        </w:rPr>
      </w:pPr>
      <w:r>
        <w:rPr>
          <w:rFonts w:hAnsi="Courier New"/>
          <w:color w:val="auto"/>
          <w:highlight w:val="none"/>
        </w:rPr>
        <w:t>查询渠道：信用中国”网站(www.creditchina.gov.cn) 、中国政府采购网(www.ccgp.gov.cn)</w:t>
      </w:r>
    </w:p>
    <w:p>
      <w:pPr>
        <w:spacing w:line="440" w:lineRule="exact"/>
        <w:ind w:firstLine="422" w:firstLineChars="200"/>
        <w:jc w:val="left"/>
        <w:rPr>
          <w:rFonts w:hAnsi="Courier New"/>
          <w:b/>
          <w:color w:val="auto"/>
          <w:highlight w:val="none"/>
        </w:rPr>
      </w:pPr>
      <w:r>
        <w:rPr>
          <w:rFonts w:hAnsi="Courier New"/>
          <w:b/>
          <w:color w:val="auto"/>
          <w:highlight w:val="none"/>
        </w:rPr>
        <w:t>查询起止时间：投标截止时间</w:t>
      </w:r>
      <w:r>
        <w:rPr>
          <w:rFonts w:hint="eastAsia" w:hAnsi="Courier New"/>
          <w:b/>
          <w:color w:val="auto"/>
          <w:highlight w:val="none"/>
        </w:rPr>
        <w:t>当天</w:t>
      </w:r>
    </w:p>
    <w:p>
      <w:pPr>
        <w:spacing w:line="440" w:lineRule="exact"/>
        <w:ind w:firstLine="420" w:firstLineChars="200"/>
        <w:jc w:val="left"/>
        <w:rPr>
          <w:rFonts w:hAnsi="Courier New"/>
          <w:color w:val="auto"/>
          <w:highlight w:val="none"/>
        </w:rPr>
      </w:pPr>
      <w:r>
        <w:rPr>
          <w:rFonts w:hAnsi="Courier New"/>
          <w:color w:val="auto"/>
          <w:highlight w:val="none"/>
        </w:rPr>
        <w:t>查询记录和证据留存方式：在查询网站中直接打印查询记录，打印材料作为评审资料保存。</w:t>
      </w:r>
    </w:p>
    <w:p>
      <w:pPr>
        <w:spacing w:line="440" w:lineRule="exact"/>
        <w:ind w:firstLine="420" w:firstLineChars="200"/>
        <w:jc w:val="left"/>
        <w:rPr>
          <w:rFonts w:hAnsi="Courier New"/>
          <w:color w:val="auto"/>
          <w:highlight w:val="none"/>
        </w:rPr>
      </w:pPr>
      <w:r>
        <w:rPr>
          <w:rFonts w:hint="eastAsia" w:hAnsi="Courier New"/>
          <w:color w:val="auto"/>
          <w:highlight w:val="none"/>
        </w:rPr>
        <w:t>★</w:t>
      </w:r>
      <w:r>
        <w:rPr>
          <w:rFonts w:hAnsi="Courier New"/>
          <w:color w:val="auto"/>
          <w:highlight w:val="none"/>
        </w:rPr>
        <w:t>信用信息使用规则：对在“信用中国”网站(www.creditchina.gov.cn)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资格审查不通过，不得参与政府采购活动。</w:t>
      </w:r>
    </w:p>
    <w:p>
      <w:pPr>
        <w:spacing w:line="440" w:lineRule="exact"/>
        <w:ind w:firstLine="420" w:firstLineChars="200"/>
        <w:jc w:val="left"/>
        <w:rPr>
          <w:rFonts w:hAnsi="Courier New"/>
          <w:color w:val="auto"/>
          <w:highlight w:val="none"/>
        </w:rPr>
      </w:pPr>
    </w:p>
    <w:p>
      <w:pPr>
        <w:pStyle w:val="2"/>
        <w:ind w:firstLine="353"/>
        <w:rPr>
          <w:color w:val="auto"/>
          <w:highlight w:val="none"/>
        </w:rPr>
      </w:pPr>
    </w:p>
    <w:p>
      <w:pPr>
        <w:pStyle w:val="2"/>
        <w:ind w:firstLine="353"/>
        <w:rPr>
          <w:color w:val="auto"/>
          <w:highlight w:val="none"/>
        </w:rPr>
      </w:pPr>
    </w:p>
    <w:p>
      <w:pPr>
        <w:rPr>
          <w:rFonts w:ascii="宋体" w:hAnsi="宋体"/>
          <w:color w:val="auto"/>
          <w:highlight w:val="none"/>
        </w:rPr>
      </w:pPr>
    </w:p>
    <w:p>
      <w:pPr>
        <w:spacing w:line="360" w:lineRule="auto"/>
        <w:rPr>
          <w:rFonts w:ascii="宋体" w:hAnsi="宋体"/>
          <w:b/>
          <w:color w:val="auto"/>
          <w:kern w:val="1"/>
          <w:szCs w:val="20"/>
          <w:highlight w:val="none"/>
        </w:rPr>
      </w:pPr>
      <w:r>
        <w:rPr>
          <w:rFonts w:hint="eastAsia" w:ascii="宋体" w:hAnsi="宋体" w:cs="宋体"/>
          <w:b/>
          <w:color w:val="auto"/>
          <w:kern w:val="1"/>
          <w:szCs w:val="20"/>
          <w:highlight w:val="none"/>
        </w:rPr>
        <w:t>格式</w:t>
      </w:r>
      <w:r>
        <w:rPr>
          <w:rFonts w:hint="eastAsia" w:ascii="宋体" w:hAnsi="宋体"/>
          <w:b/>
          <w:color w:val="auto"/>
          <w:kern w:val="1"/>
          <w:szCs w:val="20"/>
          <w:highlight w:val="none"/>
        </w:rPr>
        <w:t>11：</w:t>
      </w:r>
    </w:p>
    <w:p>
      <w:pPr>
        <w:pStyle w:val="27"/>
        <w:spacing w:line="440" w:lineRule="exact"/>
        <w:jc w:val="center"/>
        <w:rPr>
          <w:rFonts w:hAnsi="宋体"/>
          <w:b/>
          <w:color w:val="auto"/>
          <w:sz w:val="32"/>
          <w:szCs w:val="32"/>
          <w:highlight w:val="none"/>
        </w:rPr>
      </w:pPr>
    </w:p>
    <w:p>
      <w:pPr>
        <w:pStyle w:val="27"/>
        <w:spacing w:line="440" w:lineRule="exact"/>
        <w:jc w:val="center"/>
        <w:rPr>
          <w:rFonts w:hAnsi="宋体"/>
          <w:b/>
          <w:color w:val="auto"/>
          <w:sz w:val="32"/>
          <w:szCs w:val="32"/>
          <w:highlight w:val="none"/>
        </w:rPr>
      </w:pPr>
      <w:r>
        <w:rPr>
          <w:rFonts w:hint="eastAsia" w:hAnsi="宋体"/>
          <w:b/>
          <w:color w:val="auto"/>
          <w:sz w:val="32"/>
          <w:szCs w:val="32"/>
          <w:highlight w:val="none"/>
        </w:rPr>
        <w:t>法定代表人身份证明书（格式）</w:t>
      </w:r>
    </w:p>
    <w:p>
      <w:pPr>
        <w:pStyle w:val="27"/>
        <w:spacing w:line="460" w:lineRule="exact"/>
        <w:ind w:firstLine="619" w:firstLineChars="257"/>
        <w:jc w:val="center"/>
        <w:rPr>
          <w:rFonts w:hAnsi="宋体"/>
          <w:b/>
          <w:color w:val="auto"/>
          <w:sz w:val="24"/>
          <w:szCs w:val="24"/>
          <w:highlight w:val="none"/>
        </w:rPr>
      </w:pPr>
    </w:p>
    <w:p>
      <w:pPr>
        <w:spacing w:line="500" w:lineRule="exact"/>
        <w:ind w:firstLine="480" w:firstLineChars="200"/>
        <w:rPr>
          <w:rFonts w:ascii="宋体" w:hAnsi="宋体"/>
          <w:color w:val="auto"/>
          <w:sz w:val="24"/>
          <w:highlight w:val="none"/>
          <w:u w:val="single"/>
        </w:rPr>
      </w:pPr>
      <w:r>
        <w:rPr>
          <w:rFonts w:hint="eastAsia" w:ascii="宋体" w:hAnsi="宋体"/>
          <w:color w:val="auto"/>
          <w:sz w:val="24"/>
          <w:highlight w:val="none"/>
        </w:rPr>
        <w:t>投 标 人：</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单位性质：</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地    址：</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成立时间：</w:t>
      </w:r>
      <w:r>
        <w:rPr>
          <w:rFonts w:hint="eastAsia" w:ascii="宋体" w:hAnsi="宋体"/>
          <w:color w:val="auto"/>
          <w:sz w:val="24"/>
          <w:highlight w:val="none"/>
          <w:u w:val="single"/>
        </w:rPr>
        <w:t xml:space="preserve">      年   月   日</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经营期限：</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姓    名：           性    别：</w:t>
      </w:r>
    </w:p>
    <w:p>
      <w:pPr>
        <w:spacing w:line="500" w:lineRule="exact"/>
        <w:ind w:firstLine="480" w:firstLineChars="200"/>
        <w:rPr>
          <w:rFonts w:ascii="宋体" w:hAnsi="宋体"/>
          <w:b/>
          <w:color w:val="auto"/>
          <w:sz w:val="24"/>
          <w:highlight w:val="none"/>
          <w:u w:val="single"/>
        </w:rPr>
      </w:pPr>
      <w:r>
        <w:rPr>
          <w:rFonts w:hint="eastAsia" w:ascii="宋体" w:hAnsi="宋体"/>
          <w:color w:val="auto"/>
          <w:sz w:val="24"/>
          <w:highlight w:val="none"/>
        </w:rPr>
        <w:t>年    龄：           职    务：</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身份证号码：系</w:t>
      </w:r>
      <w:r>
        <w:rPr>
          <w:rFonts w:hint="eastAsia" w:ascii="宋体" w:hAnsi="宋体"/>
          <w:color w:val="auto"/>
          <w:sz w:val="24"/>
          <w:highlight w:val="none"/>
          <w:u w:val="single"/>
        </w:rPr>
        <w:t>（投标供应商名称）</w:t>
      </w:r>
      <w:r>
        <w:rPr>
          <w:rFonts w:hint="eastAsia" w:ascii="宋体" w:hAnsi="宋体"/>
          <w:color w:val="auto"/>
          <w:sz w:val="24"/>
          <w:highlight w:val="none"/>
        </w:rPr>
        <w:t>的法定代表人。</w:t>
      </w:r>
    </w:p>
    <w:p>
      <w:pPr>
        <w:pStyle w:val="27"/>
        <w:spacing w:line="460" w:lineRule="exact"/>
        <w:ind w:firstLine="616" w:firstLineChars="257"/>
        <w:rPr>
          <w:rFonts w:hAnsi="宋体"/>
          <w:color w:val="auto"/>
          <w:sz w:val="24"/>
          <w:szCs w:val="24"/>
          <w:highlight w:val="none"/>
        </w:rPr>
      </w:pPr>
      <w:r>
        <w:rPr>
          <w:rFonts w:hint="eastAsia" w:hAnsi="宋体"/>
          <w:color w:val="auto"/>
          <w:sz w:val="24"/>
          <w:szCs w:val="24"/>
          <w:highlight w:val="none"/>
        </w:rPr>
        <w:t>特此证明。</w:t>
      </w:r>
    </w:p>
    <w:p>
      <w:pPr>
        <w:pStyle w:val="27"/>
        <w:spacing w:line="460" w:lineRule="exact"/>
        <w:ind w:firstLine="616" w:firstLineChars="257"/>
        <w:rPr>
          <w:rFonts w:hAnsi="宋体"/>
          <w:color w:val="auto"/>
          <w:sz w:val="24"/>
          <w:szCs w:val="24"/>
          <w:highlight w:val="none"/>
        </w:rPr>
      </w:pPr>
    </w:p>
    <w:p>
      <w:pPr>
        <w:pStyle w:val="27"/>
        <w:wordWrap w:val="0"/>
        <w:spacing w:line="460" w:lineRule="exact"/>
        <w:ind w:right="480" w:firstLine="616" w:firstLineChars="257"/>
        <w:rPr>
          <w:rFonts w:hAnsi="宋体"/>
          <w:color w:val="auto"/>
          <w:sz w:val="24"/>
          <w:szCs w:val="24"/>
          <w:highlight w:val="none"/>
        </w:rPr>
      </w:pPr>
    </w:p>
    <w:p>
      <w:pPr>
        <w:pStyle w:val="27"/>
        <w:wordWrap w:val="0"/>
        <w:spacing w:line="460" w:lineRule="exact"/>
        <w:ind w:right="480" w:firstLine="616" w:firstLineChars="257"/>
        <w:rPr>
          <w:rFonts w:hAnsi="宋体"/>
          <w:color w:val="auto"/>
          <w:sz w:val="24"/>
          <w:szCs w:val="24"/>
          <w:highlight w:val="none"/>
          <w:u w:val="single"/>
        </w:rPr>
      </w:pPr>
      <w:r>
        <w:rPr>
          <w:rFonts w:hint="eastAsia" w:hAnsi="宋体"/>
          <w:color w:val="auto"/>
          <w:sz w:val="24"/>
          <w:szCs w:val="24"/>
          <w:highlight w:val="none"/>
        </w:rPr>
        <w:t>投标供应商名称：</w:t>
      </w:r>
      <w:r>
        <w:rPr>
          <w:rFonts w:hint="eastAsia" w:hAnsi="宋体"/>
          <w:color w:val="auto"/>
          <w:sz w:val="24"/>
          <w:szCs w:val="24"/>
          <w:highlight w:val="none"/>
          <w:u w:val="single"/>
        </w:rPr>
        <w:t xml:space="preserve">           （盖单位公章）</w:t>
      </w:r>
    </w:p>
    <w:p>
      <w:pPr>
        <w:pStyle w:val="27"/>
        <w:spacing w:line="460" w:lineRule="exact"/>
        <w:ind w:firstLine="565" w:firstLineChars="257"/>
        <w:rPr>
          <w:rFonts w:hAnsi="宋体"/>
          <w:color w:val="auto"/>
          <w:sz w:val="22"/>
          <w:szCs w:val="22"/>
          <w:highlight w:val="none"/>
        </w:rPr>
      </w:pPr>
    </w:p>
    <w:p>
      <w:pPr>
        <w:pStyle w:val="27"/>
        <w:spacing w:line="460" w:lineRule="exact"/>
        <w:ind w:right="440" w:firstLine="550" w:firstLineChars="250"/>
        <w:rPr>
          <w:rFonts w:hAnsi="宋体"/>
          <w:color w:val="auto"/>
          <w:sz w:val="22"/>
          <w:szCs w:val="22"/>
          <w:highlight w:val="none"/>
        </w:rPr>
      </w:pPr>
      <w:r>
        <w:rPr>
          <w:rFonts w:hint="eastAsia" w:hAnsi="宋体"/>
          <w:color w:val="auto"/>
          <w:sz w:val="22"/>
          <w:szCs w:val="22"/>
          <w:highlight w:val="none"/>
        </w:rPr>
        <w:t>日  期：</w:t>
      </w:r>
      <w:r>
        <w:rPr>
          <w:rFonts w:hint="eastAsia" w:hAnsi="宋体"/>
          <w:color w:val="auto"/>
          <w:sz w:val="22"/>
          <w:szCs w:val="22"/>
          <w:highlight w:val="none"/>
          <w:u w:val="single"/>
        </w:rPr>
        <w:t xml:space="preserve">      年    月    日</w:t>
      </w:r>
    </w:p>
    <w:p>
      <w:pPr>
        <w:pStyle w:val="27"/>
        <w:spacing w:line="460" w:lineRule="exact"/>
        <w:rPr>
          <w:rFonts w:hAnsi="宋体"/>
          <w:color w:val="auto"/>
          <w:sz w:val="22"/>
          <w:szCs w:val="22"/>
          <w:highlight w:val="none"/>
        </w:rPr>
      </w:pPr>
    </w:p>
    <w:p>
      <w:pPr>
        <w:pStyle w:val="2"/>
        <w:ind w:firstLine="354"/>
        <w:rPr>
          <w:b/>
          <w:color w:val="auto"/>
          <w:highlight w:val="none"/>
        </w:rPr>
      </w:pPr>
      <w:r>
        <w:rPr>
          <w:rFonts w:hint="eastAsia"/>
          <w:b/>
          <w:color w:val="auto"/>
          <w:highlight w:val="none"/>
        </w:rPr>
        <w:t>附：法定代表人有效身份证正反双面复印件</w:t>
      </w:r>
    </w:p>
    <w:p>
      <w:pPr>
        <w:pStyle w:val="27"/>
        <w:spacing w:line="360" w:lineRule="auto"/>
        <w:ind w:firstLine="420"/>
        <w:jc w:val="right"/>
        <w:rPr>
          <w:bCs/>
          <w:color w:val="auto"/>
          <w:szCs w:val="21"/>
          <w:highlight w:val="none"/>
        </w:rPr>
      </w:pPr>
    </w:p>
    <w:p>
      <w:pPr>
        <w:pStyle w:val="27"/>
        <w:spacing w:line="360" w:lineRule="auto"/>
        <w:ind w:firstLine="420"/>
        <w:jc w:val="right"/>
        <w:rPr>
          <w:bCs/>
          <w:color w:val="auto"/>
          <w:szCs w:val="21"/>
          <w:highlight w:val="none"/>
        </w:rPr>
      </w:pPr>
    </w:p>
    <w:p>
      <w:pPr>
        <w:pStyle w:val="27"/>
        <w:spacing w:line="360" w:lineRule="auto"/>
        <w:ind w:firstLine="420"/>
        <w:jc w:val="right"/>
        <w:rPr>
          <w:bCs/>
          <w:color w:val="auto"/>
          <w:szCs w:val="21"/>
          <w:highlight w:val="none"/>
        </w:rPr>
      </w:pPr>
    </w:p>
    <w:p>
      <w:pPr>
        <w:pStyle w:val="27"/>
        <w:spacing w:line="360" w:lineRule="auto"/>
        <w:ind w:firstLine="420"/>
        <w:jc w:val="right"/>
        <w:rPr>
          <w:bCs/>
          <w:color w:val="auto"/>
          <w:szCs w:val="21"/>
          <w:highlight w:val="none"/>
        </w:rPr>
      </w:pPr>
    </w:p>
    <w:p>
      <w:pPr>
        <w:pStyle w:val="27"/>
        <w:spacing w:line="360" w:lineRule="auto"/>
        <w:ind w:firstLine="420"/>
        <w:jc w:val="right"/>
        <w:rPr>
          <w:bCs/>
          <w:color w:val="auto"/>
          <w:szCs w:val="21"/>
          <w:highlight w:val="none"/>
        </w:rPr>
      </w:pPr>
    </w:p>
    <w:p>
      <w:pPr>
        <w:pStyle w:val="27"/>
        <w:spacing w:line="360" w:lineRule="auto"/>
        <w:ind w:firstLine="420"/>
        <w:jc w:val="right"/>
        <w:rPr>
          <w:bCs/>
          <w:color w:val="auto"/>
          <w:szCs w:val="21"/>
          <w:highlight w:val="none"/>
        </w:rPr>
      </w:pPr>
    </w:p>
    <w:p>
      <w:pPr>
        <w:pStyle w:val="27"/>
        <w:spacing w:line="360" w:lineRule="auto"/>
        <w:ind w:firstLine="420"/>
        <w:jc w:val="right"/>
        <w:rPr>
          <w:bCs/>
          <w:color w:val="auto"/>
          <w:szCs w:val="21"/>
          <w:highlight w:val="none"/>
        </w:rPr>
      </w:pPr>
    </w:p>
    <w:p>
      <w:pPr>
        <w:pStyle w:val="27"/>
        <w:spacing w:line="360" w:lineRule="auto"/>
        <w:ind w:firstLine="420"/>
        <w:jc w:val="right"/>
        <w:rPr>
          <w:bCs/>
          <w:color w:val="auto"/>
          <w:szCs w:val="21"/>
          <w:highlight w:val="none"/>
        </w:rPr>
      </w:pPr>
    </w:p>
    <w:p>
      <w:pPr>
        <w:pStyle w:val="27"/>
        <w:spacing w:line="360" w:lineRule="auto"/>
        <w:ind w:firstLine="420"/>
        <w:jc w:val="right"/>
        <w:rPr>
          <w:bCs/>
          <w:color w:val="auto"/>
          <w:szCs w:val="21"/>
          <w:highlight w:val="none"/>
        </w:rPr>
      </w:pPr>
    </w:p>
    <w:p>
      <w:pPr>
        <w:pStyle w:val="27"/>
        <w:spacing w:line="360" w:lineRule="auto"/>
        <w:ind w:firstLine="420"/>
        <w:jc w:val="right"/>
        <w:rPr>
          <w:bCs/>
          <w:color w:val="auto"/>
          <w:szCs w:val="21"/>
          <w:highlight w:val="none"/>
        </w:rPr>
      </w:pPr>
    </w:p>
    <w:p>
      <w:pPr>
        <w:pStyle w:val="27"/>
        <w:spacing w:line="360" w:lineRule="auto"/>
        <w:ind w:firstLine="420"/>
        <w:jc w:val="right"/>
        <w:rPr>
          <w:bCs/>
          <w:color w:val="auto"/>
          <w:szCs w:val="21"/>
          <w:highlight w:val="none"/>
        </w:rPr>
      </w:pPr>
    </w:p>
    <w:p>
      <w:pPr>
        <w:pStyle w:val="27"/>
        <w:spacing w:line="600" w:lineRule="exact"/>
        <w:jc w:val="center"/>
        <w:outlineLvl w:val="0"/>
        <w:rPr>
          <w:rFonts w:ascii="Times New Roman" w:hAnsi="Times New Roman"/>
          <w:color w:val="auto"/>
          <w:highlight w:val="none"/>
          <w:u w:val="single"/>
        </w:rPr>
      </w:pPr>
      <w:bookmarkStart w:id="71" w:name="_Toc43563146"/>
      <w:bookmarkStart w:id="72" w:name="_Toc43563084"/>
      <w:bookmarkStart w:id="73" w:name="_Toc22917847"/>
      <w:bookmarkStart w:id="74" w:name="_Toc213325925"/>
      <w:bookmarkStart w:id="75" w:name="_Toc213206176"/>
      <w:r>
        <w:rPr>
          <w:rFonts w:hint="eastAsia" w:ascii="Times New Roman" w:hAnsi="Times New Roman"/>
          <w:b/>
          <w:color w:val="auto"/>
          <w:sz w:val="36"/>
          <w:szCs w:val="36"/>
          <w:highlight w:val="none"/>
        </w:rPr>
        <w:t>第六章  合同条款及格式</w:t>
      </w:r>
      <w:bookmarkEnd w:id="69"/>
      <w:bookmarkEnd w:id="70"/>
      <w:bookmarkEnd w:id="71"/>
      <w:bookmarkEnd w:id="72"/>
      <w:bookmarkEnd w:id="73"/>
      <w:bookmarkEnd w:id="74"/>
      <w:bookmarkEnd w:id="75"/>
    </w:p>
    <w:p>
      <w:pPr>
        <w:spacing w:line="360" w:lineRule="auto"/>
        <w:ind w:firstLine="880" w:firstLineChars="200"/>
        <w:rPr>
          <w:rFonts w:ascii="宋体"/>
          <w:color w:val="auto"/>
          <w:sz w:val="44"/>
          <w:highlight w:val="none"/>
        </w:rPr>
      </w:pPr>
    </w:p>
    <w:p>
      <w:pPr>
        <w:spacing w:line="360" w:lineRule="auto"/>
        <w:ind w:firstLine="880" w:firstLineChars="200"/>
        <w:rPr>
          <w:rFonts w:ascii="宋体"/>
          <w:color w:val="auto"/>
          <w:sz w:val="44"/>
          <w:highlight w:val="none"/>
        </w:rPr>
      </w:pPr>
    </w:p>
    <w:p>
      <w:pPr>
        <w:spacing w:line="360" w:lineRule="auto"/>
        <w:ind w:firstLine="880" w:firstLineChars="200"/>
        <w:rPr>
          <w:rFonts w:ascii="宋体"/>
          <w:color w:val="auto"/>
          <w:sz w:val="44"/>
          <w:highlight w:val="none"/>
        </w:rPr>
      </w:pPr>
    </w:p>
    <w:p>
      <w:pPr>
        <w:spacing w:line="360" w:lineRule="auto"/>
        <w:ind w:firstLine="880" w:firstLineChars="200"/>
        <w:rPr>
          <w:rFonts w:ascii="宋体"/>
          <w:color w:val="auto"/>
          <w:sz w:val="44"/>
          <w:highlight w:val="none"/>
        </w:rPr>
      </w:pPr>
    </w:p>
    <w:p>
      <w:pPr>
        <w:spacing w:line="360" w:lineRule="auto"/>
        <w:jc w:val="center"/>
        <w:rPr>
          <w:rFonts w:ascii="宋体"/>
          <w:b/>
          <w:bCs/>
          <w:color w:val="auto"/>
          <w:sz w:val="52"/>
          <w:highlight w:val="none"/>
        </w:rPr>
      </w:pPr>
      <w:r>
        <w:rPr>
          <w:rFonts w:hint="eastAsia" w:ascii="宋体"/>
          <w:b/>
          <w:bCs/>
          <w:color w:val="auto"/>
          <w:sz w:val="52"/>
          <w:highlight w:val="none"/>
        </w:rPr>
        <w:t>横县政府采购</w:t>
      </w:r>
    </w:p>
    <w:p>
      <w:pPr>
        <w:spacing w:line="360" w:lineRule="auto"/>
        <w:ind w:firstLine="420" w:firstLineChars="200"/>
        <w:rPr>
          <w:rFonts w:ascii="宋体"/>
          <w:color w:val="auto"/>
          <w:highlight w:val="none"/>
        </w:rPr>
      </w:pPr>
    </w:p>
    <w:p>
      <w:pPr>
        <w:spacing w:line="360" w:lineRule="auto"/>
        <w:ind w:firstLine="420" w:firstLineChars="200"/>
        <w:rPr>
          <w:rFonts w:ascii="宋体"/>
          <w:color w:val="auto"/>
          <w:highlight w:val="none"/>
        </w:rPr>
      </w:pPr>
    </w:p>
    <w:p>
      <w:pPr>
        <w:spacing w:line="360" w:lineRule="auto"/>
        <w:jc w:val="center"/>
        <w:rPr>
          <w:rFonts w:ascii="宋体"/>
          <w:b/>
          <w:bCs/>
          <w:color w:val="auto"/>
          <w:sz w:val="44"/>
          <w:highlight w:val="none"/>
        </w:rPr>
      </w:pPr>
      <w:r>
        <w:rPr>
          <w:rFonts w:hint="eastAsia" w:ascii="宋体"/>
          <w:b/>
          <w:bCs/>
          <w:color w:val="auto"/>
          <w:sz w:val="44"/>
          <w:highlight w:val="none"/>
          <w:u w:val="single"/>
        </w:rPr>
        <w:t xml:space="preserve">         （项目名称）         </w:t>
      </w:r>
      <w:r>
        <w:rPr>
          <w:rFonts w:hint="eastAsia" w:ascii="宋体"/>
          <w:b/>
          <w:bCs/>
          <w:color w:val="auto"/>
          <w:sz w:val="44"/>
          <w:highlight w:val="none"/>
        </w:rPr>
        <w:t>合同</w:t>
      </w:r>
    </w:p>
    <w:p>
      <w:pPr>
        <w:spacing w:line="360" w:lineRule="auto"/>
        <w:jc w:val="center"/>
        <w:rPr>
          <w:rFonts w:ascii="宋体"/>
          <w:b/>
          <w:bCs/>
          <w:color w:val="auto"/>
          <w:sz w:val="44"/>
          <w:highlight w:val="none"/>
        </w:rPr>
      </w:pPr>
    </w:p>
    <w:p>
      <w:pPr>
        <w:rPr>
          <w:rFonts w:ascii="宋体" w:hAnsi="宋体"/>
          <w:b/>
          <w:color w:val="auto"/>
          <w:sz w:val="36"/>
          <w:szCs w:val="36"/>
          <w:highlight w:val="none"/>
        </w:rPr>
      </w:pPr>
    </w:p>
    <w:p>
      <w:pPr>
        <w:jc w:val="center"/>
        <w:rPr>
          <w:rFonts w:ascii="宋体" w:hAnsi="宋体"/>
          <w:b/>
          <w:color w:val="auto"/>
          <w:sz w:val="36"/>
          <w:szCs w:val="36"/>
          <w:highlight w:val="none"/>
        </w:rPr>
      </w:pPr>
      <w:r>
        <w:rPr>
          <w:rFonts w:hint="eastAsia" w:ascii="宋体" w:hAnsi="宋体"/>
          <w:b/>
          <w:color w:val="auto"/>
          <w:sz w:val="36"/>
          <w:szCs w:val="36"/>
          <w:highlight w:val="none"/>
        </w:rPr>
        <w:t>合同类别：货物公开采购</w:t>
      </w:r>
    </w:p>
    <w:p>
      <w:pPr>
        <w:ind w:firstLine="2692" w:firstLineChars="745"/>
        <w:rPr>
          <w:rFonts w:ascii="宋体" w:hAnsi="宋体"/>
          <w:b/>
          <w:color w:val="auto"/>
          <w:sz w:val="36"/>
          <w:szCs w:val="36"/>
          <w:highlight w:val="none"/>
          <w:u w:val="single"/>
        </w:rPr>
      </w:pPr>
      <w:r>
        <w:rPr>
          <w:rFonts w:hint="eastAsia" w:ascii="宋体" w:hAnsi="宋体"/>
          <w:b/>
          <w:color w:val="auto"/>
          <w:sz w:val="36"/>
          <w:szCs w:val="36"/>
          <w:highlight w:val="none"/>
        </w:rPr>
        <w:t>项目编号：</w:t>
      </w:r>
    </w:p>
    <w:p>
      <w:pPr>
        <w:rPr>
          <w:rFonts w:ascii="宋体" w:hAnsi="宋体"/>
          <w:b/>
          <w:color w:val="auto"/>
          <w:sz w:val="36"/>
          <w:szCs w:val="36"/>
          <w:highlight w:val="none"/>
          <w:u w:val="single"/>
        </w:rPr>
      </w:pPr>
    </w:p>
    <w:p>
      <w:pPr>
        <w:spacing w:line="360" w:lineRule="auto"/>
        <w:ind w:firstLine="880" w:firstLineChars="200"/>
        <w:rPr>
          <w:rFonts w:ascii="宋体"/>
          <w:color w:val="auto"/>
          <w:sz w:val="44"/>
          <w:highlight w:val="none"/>
        </w:rPr>
      </w:pPr>
    </w:p>
    <w:p>
      <w:pPr>
        <w:spacing w:line="360" w:lineRule="auto"/>
        <w:ind w:firstLine="880" w:firstLineChars="200"/>
        <w:rPr>
          <w:rFonts w:ascii="宋体"/>
          <w:color w:val="auto"/>
          <w:sz w:val="44"/>
          <w:highlight w:val="none"/>
        </w:rPr>
      </w:pPr>
    </w:p>
    <w:p>
      <w:pPr>
        <w:spacing w:line="360" w:lineRule="auto"/>
        <w:rPr>
          <w:rFonts w:ascii="宋体"/>
          <w:color w:val="auto"/>
          <w:sz w:val="44"/>
          <w:highlight w:val="none"/>
        </w:rPr>
      </w:pPr>
    </w:p>
    <w:p>
      <w:pPr>
        <w:tabs>
          <w:tab w:val="left" w:pos="7200"/>
        </w:tabs>
        <w:spacing w:line="360" w:lineRule="auto"/>
        <w:ind w:firstLine="1438" w:firstLineChars="398"/>
        <w:rPr>
          <w:rFonts w:ascii="宋体" w:hAnsi="宋体"/>
          <w:b/>
          <w:color w:val="auto"/>
          <w:sz w:val="36"/>
          <w:szCs w:val="36"/>
          <w:highlight w:val="none"/>
          <w:u w:val="single"/>
        </w:rPr>
      </w:pPr>
      <w:r>
        <w:rPr>
          <w:rFonts w:hint="eastAsia" w:ascii="宋体" w:hAnsi="宋体"/>
          <w:b/>
          <w:color w:val="auto"/>
          <w:sz w:val="36"/>
          <w:szCs w:val="36"/>
          <w:highlight w:val="none"/>
        </w:rPr>
        <w:t xml:space="preserve">     采购人：</w:t>
      </w:r>
    </w:p>
    <w:p>
      <w:pPr>
        <w:tabs>
          <w:tab w:val="left" w:pos="7380"/>
        </w:tabs>
        <w:spacing w:line="360" w:lineRule="auto"/>
        <w:ind w:firstLine="1438" w:firstLineChars="398"/>
        <w:rPr>
          <w:rFonts w:ascii="宋体"/>
          <w:b/>
          <w:bCs/>
          <w:color w:val="auto"/>
          <w:sz w:val="44"/>
          <w:highlight w:val="none"/>
        </w:rPr>
      </w:pPr>
      <w:r>
        <w:rPr>
          <w:rFonts w:hint="eastAsia" w:ascii="宋体" w:hAnsi="宋体"/>
          <w:b/>
          <w:color w:val="auto"/>
          <w:sz w:val="36"/>
          <w:szCs w:val="36"/>
          <w:highlight w:val="none"/>
        </w:rPr>
        <w:t xml:space="preserve">     中标供应商：</w:t>
      </w:r>
    </w:p>
    <w:p>
      <w:pPr>
        <w:spacing w:line="360" w:lineRule="auto"/>
        <w:ind w:firstLine="420" w:firstLineChars="200"/>
        <w:rPr>
          <w:rFonts w:ascii="宋体"/>
          <w:color w:val="auto"/>
          <w:highlight w:val="none"/>
        </w:rPr>
      </w:pPr>
    </w:p>
    <w:p>
      <w:pPr>
        <w:pStyle w:val="2"/>
        <w:ind w:firstLine="353"/>
        <w:rPr>
          <w:color w:val="auto"/>
          <w:highlight w:val="none"/>
        </w:rPr>
      </w:pPr>
    </w:p>
    <w:p>
      <w:pPr>
        <w:jc w:val="center"/>
        <w:rPr>
          <w:b/>
          <w:color w:val="auto"/>
          <w:sz w:val="36"/>
          <w:szCs w:val="36"/>
          <w:highlight w:val="none"/>
        </w:rPr>
      </w:pPr>
      <w:r>
        <w:rPr>
          <w:rFonts w:hint="eastAsia"/>
          <w:b/>
          <w:color w:val="auto"/>
          <w:sz w:val="36"/>
          <w:szCs w:val="36"/>
          <w:highlight w:val="none"/>
        </w:rPr>
        <w:t>目  录</w:t>
      </w:r>
    </w:p>
    <w:p>
      <w:pPr>
        <w:tabs>
          <w:tab w:val="left" w:pos="1170"/>
        </w:tabs>
        <w:spacing w:line="360" w:lineRule="auto"/>
        <w:ind w:left="359" w:leftChars="171" w:firstLine="198" w:firstLineChars="71"/>
        <w:rPr>
          <w:rFonts w:ascii="宋体" w:hAnsi="宋体"/>
          <w:color w:val="auto"/>
          <w:sz w:val="28"/>
          <w:highlight w:val="none"/>
        </w:rPr>
      </w:pPr>
      <w:r>
        <w:rPr>
          <w:rFonts w:ascii="宋体" w:hAnsi="宋体"/>
          <w:color w:val="auto"/>
          <w:sz w:val="28"/>
          <w:highlight w:val="none"/>
        </w:rPr>
        <w:tab/>
      </w:r>
    </w:p>
    <w:p>
      <w:pPr>
        <w:rPr>
          <w:b/>
          <w:color w:val="auto"/>
          <w:sz w:val="30"/>
          <w:szCs w:val="30"/>
          <w:highlight w:val="none"/>
        </w:rPr>
      </w:pPr>
      <w:r>
        <w:rPr>
          <w:rFonts w:hint="eastAsia"/>
          <w:b/>
          <w:color w:val="auto"/>
          <w:sz w:val="30"/>
          <w:szCs w:val="30"/>
          <w:highlight w:val="none"/>
        </w:rPr>
        <w:t>一、横县政府采购合同书</w:t>
      </w:r>
    </w:p>
    <w:p>
      <w:pPr>
        <w:rPr>
          <w:b/>
          <w:color w:val="auto"/>
          <w:sz w:val="30"/>
          <w:szCs w:val="30"/>
          <w:highlight w:val="none"/>
        </w:rPr>
      </w:pPr>
      <w:r>
        <w:rPr>
          <w:rFonts w:hint="eastAsia"/>
          <w:b/>
          <w:color w:val="auto"/>
          <w:sz w:val="30"/>
          <w:szCs w:val="30"/>
          <w:highlight w:val="none"/>
        </w:rPr>
        <w:t>二、合同附件</w:t>
      </w:r>
    </w:p>
    <w:p>
      <w:pPr>
        <w:numPr>
          <w:ilvl w:val="0"/>
          <w:numId w:val="21"/>
        </w:numPr>
        <w:rPr>
          <w:rFonts w:ascii="宋体" w:hAnsi="宋体"/>
          <w:color w:val="auto"/>
          <w:sz w:val="28"/>
          <w:highlight w:val="none"/>
        </w:rPr>
      </w:pPr>
      <w:r>
        <w:rPr>
          <w:rFonts w:hint="eastAsia" w:ascii="宋体" w:hAnsi="宋体"/>
          <w:color w:val="auto"/>
          <w:sz w:val="28"/>
          <w:highlight w:val="none"/>
        </w:rPr>
        <w:t>中标通知书</w:t>
      </w:r>
    </w:p>
    <w:p>
      <w:pPr>
        <w:numPr>
          <w:ilvl w:val="0"/>
          <w:numId w:val="21"/>
        </w:numPr>
        <w:rPr>
          <w:rFonts w:ascii="宋体" w:hAnsi="宋体"/>
          <w:color w:val="auto"/>
          <w:sz w:val="28"/>
          <w:highlight w:val="none"/>
        </w:rPr>
      </w:pPr>
      <w:r>
        <w:rPr>
          <w:rFonts w:hint="eastAsia" w:ascii="宋体" w:hAnsi="宋体"/>
          <w:color w:val="auto"/>
          <w:sz w:val="28"/>
          <w:highlight w:val="none"/>
        </w:rPr>
        <w:t>履约保证金交纳证明</w:t>
      </w:r>
    </w:p>
    <w:p>
      <w:pPr>
        <w:numPr>
          <w:ilvl w:val="0"/>
          <w:numId w:val="21"/>
        </w:numPr>
        <w:rPr>
          <w:rFonts w:ascii="宋体" w:hAnsi="宋体"/>
          <w:color w:val="auto"/>
          <w:sz w:val="28"/>
          <w:highlight w:val="none"/>
        </w:rPr>
      </w:pPr>
      <w:r>
        <w:rPr>
          <w:rFonts w:hint="eastAsia" w:ascii="宋体" w:hAnsi="宋体"/>
          <w:color w:val="auto"/>
          <w:sz w:val="28"/>
          <w:highlight w:val="none"/>
        </w:rPr>
        <w:t>招标文件货物需求一览表</w:t>
      </w:r>
    </w:p>
    <w:p>
      <w:pPr>
        <w:numPr>
          <w:ilvl w:val="0"/>
          <w:numId w:val="21"/>
        </w:numPr>
        <w:rPr>
          <w:rFonts w:ascii="宋体" w:hAnsi="宋体"/>
          <w:color w:val="auto"/>
          <w:sz w:val="28"/>
          <w:highlight w:val="none"/>
        </w:rPr>
      </w:pPr>
      <w:r>
        <w:rPr>
          <w:rFonts w:hint="eastAsia" w:ascii="宋体" w:hAnsi="宋体"/>
          <w:color w:val="auto"/>
          <w:sz w:val="28"/>
          <w:highlight w:val="none"/>
        </w:rPr>
        <w:t>招标文件的澄清和修改</w:t>
      </w:r>
    </w:p>
    <w:p>
      <w:pPr>
        <w:numPr>
          <w:ilvl w:val="0"/>
          <w:numId w:val="21"/>
        </w:numPr>
        <w:rPr>
          <w:rFonts w:ascii="宋体" w:hAnsi="宋体"/>
          <w:color w:val="auto"/>
          <w:sz w:val="28"/>
          <w:highlight w:val="none"/>
        </w:rPr>
      </w:pPr>
      <w:r>
        <w:rPr>
          <w:rFonts w:hint="eastAsia" w:ascii="宋体" w:hAnsi="宋体"/>
          <w:color w:val="auto"/>
          <w:sz w:val="28"/>
          <w:highlight w:val="none"/>
        </w:rPr>
        <w:t>投标函</w:t>
      </w:r>
    </w:p>
    <w:p>
      <w:pPr>
        <w:numPr>
          <w:ilvl w:val="0"/>
          <w:numId w:val="21"/>
        </w:numPr>
        <w:rPr>
          <w:rFonts w:ascii="宋体" w:hAnsi="宋体"/>
          <w:color w:val="auto"/>
          <w:sz w:val="28"/>
          <w:highlight w:val="none"/>
        </w:rPr>
      </w:pPr>
      <w:r>
        <w:rPr>
          <w:rFonts w:hint="eastAsia" w:ascii="宋体" w:hAnsi="宋体"/>
          <w:color w:val="auto"/>
          <w:sz w:val="28"/>
          <w:highlight w:val="none"/>
        </w:rPr>
        <w:t>投标报价表</w:t>
      </w:r>
    </w:p>
    <w:p>
      <w:pPr>
        <w:numPr>
          <w:ilvl w:val="0"/>
          <w:numId w:val="21"/>
        </w:numPr>
        <w:rPr>
          <w:rFonts w:ascii="宋体" w:hAnsi="宋体"/>
          <w:color w:val="auto"/>
          <w:sz w:val="28"/>
          <w:highlight w:val="none"/>
          <w:u w:val="thick"/>
        </w:rPr>
      </w:pPr>
      <w:r>
        <w:rPr>
          <w:rFonts w:hint="eastAsia" w:ascii="宋体" w:hAnsi="宋体"/>
          <w:color w:val="auto"/>
          <w:sz w:val="28"/>
          <w:highlight w:val="none"/>
        </w:rPr>
        <w:t>投标产品技术资料表、商务条款偏离表</w:t>
      </w:r>
    </w:p>
    <w:p>
      <w:pPr>
        <w:numPr>
          <w:ilvl w:val="0"/>
          <w:numId w:val="21"/>
        </w:numPr>
        <w:rPr>
          <w:rFonts w:ascii="宋体" w:hAnsi="宋体"/>
          <w:color w:val="auto"/>
          <w:sz w:val="28"/>
          <w:highlight w:val="none"/>
        </w:rPr>
      </w:pPr>
      <w:r>
        <w:rPr>
          <w:rFonts w:hint="eastAsia" w:ascii="宋体" w:hAnsi="宋体"/>
          <w:color w:val="auto"/>
          <w:sz w:val="28"/>
          <w:highlight w:val="none"/>
        </w:rPr>
        <w:t>中标供应商澄清函</w:t>
      </w:r>
    </w:p>
    <w:p>
      <w:pPr>
        <w:rPr>
          <w:b/>
          <w:color w:val="auto"/>
          <w:sz w:val="30"/>
          <w:szCs w:val="30"/>
          <w:highlight w:val="none"/>
        </w:rPr>
      </w:pPr>
    </w:p>
    <w:p>
      <w:pPr>
        <w:spacing w:line="360" w:lineRule="auto"/>
        <w:jc w:val="center"/>
        <w:rPr>
          <w:rFonts w:ascii="宋体" w:hAnsi="宋体"/>
          <w:b/>
          <w:bCs/>
          <w:color w:val="auto"/>
          <w:sz w:val="28"/>
          <w:highlight w:val="none"/>
        </w:rPr>
      </w:pPr>
    </w:p>
    <w:p>
      <w:pPr>
        <w:spacing w:line="360" w:lineRule="auto"/>
        <w:jc w:val="center"/>
        <w:rPr>
          <w:b/>
          <w:color w:val="auto"/>
          <w:sz w:val="30"/>
          <w:szCs w:val="30"/>
          <w:highlight w:val="none"/>
        </w:rPr>
      </w:pPr>
      <w:r>
        <w:rPr>
          <w:rFonts w:ascii="宋体" w:hAnsi="宋体"/>
          <w:bCs/>
          <w:color w:val="auto"/>
          <w:sz w:val="28"/>
          <w:highlight w:val="none"/>
        </w:rPr>
        <w:br w:type="page"/>
      </w:r>
      <w:r>
        <w:rPr>
          <w:rFonts w:hint="eastAsia"/>
          <w:b/>
          <w:color w:val="auto"/>
          <w:sz w:val="30"/>
          <w:szCs w:val="30"/>
          <w:highlight w:val="none"/>
        </w:rPr>
        <w:t>横县政府采购合同书</w:t>
      </w:r>
    </w:p>
    <w:p>
      <w:pPr>
        <w:pStyle w:val="27"/>
        <w:spacing w:line="360" w:lineRule="auto"/>
        <w:rPr>
          <w:rFonts w:hAnsi="宋体"/>
          <w:bCs/>
          <w:color w:val="auto"/>
          <w:sz w:val="21"/>
          <w:szCs w:val="21"/>
          <w:highlight w:val="none"/>
          <w:u w:val="single"/>
        </w:rPr>
      </w:pPr>
      <w:r>
        <w:rPr>
          <w:rFonts w:hint="eastAsia" w:hAnsi="宋体"/>
          <w:color w:val="auto"/>
          <w:sz w:val="21"/>
          <w:szCs w:val="21"/>
          <w:highlight w:val="none"/>
        </w:rPr>
        <w:t>合同编号：</w:t>
      </w:r>
      <w:r>
        <w:rPr>
          <w:rFonts w:hint="eastAsia" w:hAnsi="宋体"/>
          <w:bCs/>
          <w:color w:val="auto"/>
          <w:sz w:val="21"/>
          <w:szCs w:val="21"/>
          <w:highlight w:val="none"/>
          <w:u w:val="single"/>
        </w:rPr>
        <w:t xml:space="preserve">                                             </w:t>
      </w:r>
    </w:p>
    <w:p>
      <w:pPr>
        <w:pStyle w:val="27"/>
        <w:spacing w:line="360" w:lineRule="auto"/>
        <w:rPr>
          <w:rFonts w:hAnsi="宋体"/>
          <w:color w:val="auto"/>
          <w:sz w:val="21"/>
          <w:szCs w:val="21"/>
          <w:highlight w:val="none"/>
        </w:rPr>
      </w:pPr>
    </w:p>
    <w:p>
      <w:pPr>
        <w:pStyle w:val="27"/>
        <w:spacing w:line="360" w:lineRule="auto"/>
        <w:rPr>
          <w:rFonts w:hAnsi="宋体"/>
          <w:color w:val="auto"/>
          <w:sz w:val="21"/>
          <w:szCs w:val="21"/>
          <w:highlight w:val="none"/>
        </w:rPr>
      </w:pPr>
      <w:r>
        <w:rPr>
          <w:rFonts w:hint="eastAsia" w:hAnsi="宋体"/>
          <w:color w:val="auto"/>
          <w:sz w:val="21"/>
          <w:szCs w:val="21"/>
          <w:highlight w:val="none"/>
        </w:rPr>
        <w:t>项目名称：</w:t>
      </w:r>
      <w:r>
        <w:rPr>
          <w:rFonts w:hint="eastAsia" w:hAnsi="宋体"/>
          <w:bCs/>
          <w:color w:val="auto"/>
          <w:sz w:val="21"/>
          <w:szCs w:val="21"/>
          <w:highlight w:val="none"/>
          <w:u w:val="single"/>
        </w:rPr>
        <w:t xml:space="preserve">                                             </w:t>
      </w:r>
    </w:p>
    <w:p>
      <w:pPr>
        <w:pStyle w:val="27"/>
        <w:spacing w:line="360" w:lineRule="auto"/>
        <w:rPr>
          <w:rFonts w:hAnsi="宋体"/>
          <w:color w:val="auto"/>
          <w:sz w:val="21"/>
          <w:szCs w:val="21"/>
          <w:highlight w:val="none"/>
        </w:rPr>
      </w:pPr>
      <w:r>
        <w:rPr>
          <w:rFonts w:hint="eastAsia" w:hAnsi="宋体"/>
          <w:color w:val="auto"/>
          <w:sz w:val="21"/>
          <w:szCs w:val="21"/>
          <w:highlight w:val="none"/>
        </w:rPr>
        <w:t>项目编号：</w:t>
      </w:r>
      <w:r>
        <w:rPr>
          <w:rFonts w:hint="eastAsia" w:hAnsi="宋体"/>
          <w:bCs/>
          <w:color w:val="auto"/>
          <w:sz w:val="21"/>
          <w:szCs w:val="21"/>
          <w:highlight w:val="none"/>
          <w:u w:val="single"/>
        </w:rPr>
        <w:t xml:space="preserve">                                             </w:t>
      </w:r>
    </w:p>
    <w:p>
      <w:pPr>
        <w:pStyle w:val="27"/>
        <w:spacing w:line="360" w:lineRule="auto"/>
        <w:rPr>
          <w:rFonts w:hAnsi="宋体"/>
          <w:color w:val="auto"/>
          <w:sz w:val="21"/>
          <w:szCs w:val="21"/>
          <w:highlight w:val="none"/>
        </w:rPr>
      </w:pPr>
    </w:p>
    <w:p>
      <w:pPr>
        <w:pStyle w:val="27"/>
        <w:spacing w:line="360" w:lineRule="auto"/>
        <w:rPr>
          <w:rFonts w:hAnsi="宋体"/>
          <w:color w:val="auto"/>
          <w:sz w:val="21"/>
          <w:szCs w:val="21"/>
          <w:highlight w:val="none"/>
        </w:rPr>
      </w:pPr>
      <w:r>
        <w:rPr>
          <w:rFonts w:hint="eastAsia" w:hAnsi="宋体"/>
          <w:color w:val="auto"/>
          <w:sz w:val="21"/>
          <w:szCs w:val="21"/>
          <w:highlight w:val="none"/>
        </w:rPr>
        <w:t>甲方（买方）：</w:t>
      </w:r>
      <w:r>
        <w:rPr>
          <w:rFonts w:hint="eastAsia" w:hAnsi="宋体"/>
          <w:bCs/>
          <w:color w:val="auto"/>
          <w:sz w:val="21"/>
          <w:szCs w:val="21"/>
          <w:highlight w:val="none"/>
          <w:u w:val="single"/>
        </w:rPr>
        <w:t xml:space="preserve">                                             </w:t>
      </w:r>
    </w:p>
    <w:p>
      <w:pPr>
        <w:pStyle w:val="27"/>
        <w:spacing w:line="360" w:lineRule="auto"/>
        <w:rPr>
          <w:rFonts w:hAnsi="宋体"/>
          <w:color w:val="auto"/>
          <w:sz w:val="21"/>
          <w:szCs w:val="21"/>
          <w:highlight w:val="none"/>
        </w:rPr>
      </w:pPr>
      <w:r>
        <w:rPr>
          <w:rFonts w:hint="eastAsia" w:hAnsi="宋体"/>
          <w:color w:val="auto"/>
          <w:sz w:val="21"/>
          <w:szCs w:val="21"/>
          <w:highlight w:val="none"/>
        </w:rPr>
        <w:t>乙方（卖方）：</w:t>
      </w:r>
      <w:r>
        <w:rPr>
          <w:rFonts w:hint="eastAsia" w:hAnsi="宋体"/>
          <w:bCs/>
          <w:color w:val="auto"/>
          <w:sz w:val="21"/>
          <w:szCs w:val="21"/>
          <w:highlight w:val="none"/>
          <w:u w:val="single"/>
        </w:rPr>
        <w:t xml:space="preserve">                                             </w:t>
      </w:r>
    </w:p>
    <w:p>
      <w:pPr>
        <w:pStyle w:val="27"/>
        <w:spacing w:line="360" w:lineRule="auto"/>
        <w:rPr>
          <w:rFonts w:hAnsi="宋体"/>
          <w:b/>
          <w:color w:val="auto"/>
          <w:sz w:val="21"/>
          <w:szCs w:val="21"/>
          <w:highlight w:val="none"/>
        </w:rPr>
      </w:pPr>
    </w:p>
    <w:p>
      <w:pPr>
        <w:pStyle w:val="27"/>
        <w:spacing w:line="360" w:lineRule="auto"/>
        <w:rPr>
          <w:rFonts w:hAnsi="宋体"/>
          <w:b/>
          <w:color w:val="auto"/>
          <w:sz w:val="21"/>
          <w:szCs w:val="21"/>
          <w:highlight w:val="none"/>
        </w:rPr>
      </w:pPr>
      <w:r>
        <w:rPr>
          <w:rFonts w:hint="eastAsia" w:hAnsi="宋体"/>
          <w:color w:val="auto"/>
          <w:sz w:val="21"/>
          <w:szCs w:val="21"/>
          <w:highlight w:val="none"/>
        </w:rPr>
        <w:t xml:space="preserve">    根据   年   月   日横县政府采购项目的采购结果，甲方接受乙方对本项目的投标，甲、乙双方同意签署本合同（以下简称合同）。</w:t>
      </w:r>
    </w:p>
    <w:p>
      <w:pPr>
        <w:pStyle w:val="27"/>
        <w:spacing w:line="360" w:lineRule="auto"/>
        <w:rPr>
          <w:rFonts w:hAnsi="宋体"/>
          <w:b/>
          <w:color w:val="auto"/>
          <w:sz w:val="21"/>
          <w:szCs w:val="21"/>
          <w:highlight w:val="none"/>
        </w:rPr>
      </w:pPr>
    </w:p>
    <w:p>
      <w:pPr>
        <w:pStyle w:val="27"/>
        <w:spacing w:line="360" w:lineRule="auto"/>
        <w:rPr>
          <w:rFonts w:hAnsi="宋体"/>
          <w:b/>
          <w:bCs/>
          <w:color w:val="auto"/>
          <w:sz w:val="21"/>
          <w:szCs w:val="21"/>
          <w:highlight w:val="none"/>
        </w:rPr>
      </w:pPr>
      <w:r>
        <w:rPr>
          <w:rFonts w:hint="eastAsia" w:hAnsi="宋体"/>
          <w:b/>
          <w:bCs/>
          <w:color w:val="auto"/>
          <w:sz w:val="21"/>
          <w:szCs w:val="21"/>
          <w:highlight w:val="none"/>
        </w:rPr>
        <w:t>1.  采购内容</w:t>
      </w:r>
    </w:p>
    <w:p>
      <w:pPr>
        <w:pStyle w:val="27"/>
        <w:tabs>
          <w:tab w:val="left" w:pos="5220"/>
        </w:tabs>
        <w:spacing w:line="360" w:lineRule="auto"/>
        <w:ind w:firstLine="360"/>
        <w:rPr>
          <w:rFonts w:hAnsi="宋体"/>
          <w:color w:val="auto"/>
          <w:sz w:val="21"/>
          <w:szCs w:val="21"/>
          <w:highlight w:val="none"/>
        </w:rPr>
      </w:pPr>
      <w:r>
        <w:rPr>
          <w:rFonts w:hint="eastAsia" w:hAnsi="宋体"/>
          <w:color w:val="auto"/>
          <w:sz w:val="21"/>
          <w:szCs w:val="21"/>
          <w:highlight w:val="none"/>
        </w:rPr>
        <w:t>1.1 货物名称：</w:t>
      </w:r>
      <w:r>
        <w:rPr>
          <w:rFonts w:hint="eastAsia" w:hAnsi="宋体"/>
          <w:color w:val="auto"/>
          <w:sz w:val="21"/>
          <w:szCs w:val="21"/>
          <w:highlight w:val="none"/>
          <w:u w:val="single"/>
        </w:rPr>
        <w:t>详见合同附件中投标报价表</w:t>
      </w:r>
    </w:p>
    <w:p>
      <w:pPr>
        <w:pStyle w:val="408"/>
        <w:spacing w:line="360" w:lineRule="auto"/>
        <w:ind w:firstLine="315" w:firstLineChars="150"/>
        <w:rPr>
          <w:rFonts w:ascii="宋体" w:hAnsi="宋体"/>
          <w:color w:val="auto"/>
          <w:highlight w:val="none"/>
        </w:rPr>
      </w:pPr>
      <w:r>
        <w:rPr>
          <w:rFonts w:hint="eastAsia" w:ascii="宋体" w:hAnsi="宋体"/>
          <w:color w:val="auto"/>
          <w:highlight w:val="none"/>
        </w:rPr>
        <w:t>1.2 数量（单位）：</w:t>
      </w:r>
      <w:r>
        <w:rPr>
          <w:rFonts w:hint="eastAsia" w:ascii="宋体" w:hAnsi="宋体" w:cs="宋体"/>
          <w:color w:val="auto"/>
          <w:highlight w:val="none"/>
          <w:u w:val="single"/>
        </w:rPr>
        <w:t>详见合同附件中投标报价表</w:t>
      </w:r>
    </w:p>
    <w:p>
      <w:pPr>
        <w:pStyle w:val="408"/>
        <w:spacing w:line="360" w:lineRule="auto"/>
        <w:ind w:firstLine="315" w:firstLineChars="150"/>
        <w:rPr>
          <w:rFonts w:ascii="宋体" w:hAnsi="宋体"/>
          <w:color w:val="auto"/>
          <w:highlight w:val="none"/>
        </w:rPr>
      </w:pPr>
      <w:r>
        <w:rPr>
          <w:rFonts w:hint="eastAsia" w:ascii="宋体" w:hAnsi="宋体"/>
          <w:color w:val="auto"/>
          <w:highlight w:val="none"/>
        </w:rPr>
        <w:t>1.3 品牌、厂家、型号、规格、配置：</w:t>
      </w:r>
      <w:r>
        <w:rPr>
          <w:rFonts w:hint="eastAsia" w:ascii="宋体" w:hAnsi="宋体"/>
          <w:color w:val="auto"/>
          <w:highlight w:val="none"/>
          <w:u w:val="single"/>
        </w:rPr>
        <w:t>详见合同附件中投标产品技术资料表（投标产品技术资料表与澄清函不一致的以澄清函为准）</w:t>
      </w:r>
    </w:p>
    <w:p>
      <w:pPr>
        <w:pStyle w:val="408"/>
        <w:spacing w:line="360" w:lineRule="auto"/>
        <w:rPr>
          <w:rFonts w:ascii="宋体" w:hAnsi="宋体"/>
          <w:color w:val="auto"/>
          <w:highlight w:val="none"/>
        </w:rPr>
      </w:pPr>
      <w:r>
        <w:rPr>
          <w:rFonts w:hint="eastAsia" w:ascii="宋体" w:hAnsi="宋体"/>
          <w:color w:val="auto"/>
          <w:highlight w:val="none"/>
        </w:rPr>
        <w:t xml:space="preserve">   1.4 技术参数：</w:t>
      </w:r>
      <w:r>
        <w:rPr>
          <w:rFonts w:hint="eastAsia" w:ascii="宋体" w:hAnsi="宋体"/>
          <w:color w:val="auto"/>
          <w:highlight w:val="none"/>
          <w:u w:val="single"/>
        </w:rPr>
        <w:t>详见合同附件中投标产品技术资料表</w:t>
      </w:r>
    </w:p>
    <w:p>
      <w:pPr>
        <w:pStyle w:val="27"/>
        <w:spacing w:line="360" w:lineRule="auto"/>
        <w:ind w:firstLine="360"/>
        <w:rPr>
          <w:rFonts w:hAnsi="宋体"/>
          <w:b/>
          <w:bCs/>
          <w:color w:val="auto"/>
          <w:sz w:val="21"/>
          <w:szCs w:val="21"/>
          <w:highlight w:val="none"/>
        </w:rPr>
      </w:pPr>
      <w:r>
        <w:rPr>
          <w:rFonts w:hint="eastAsia" w:hAnsi="宋体"/>
          <w:b/>
          <w:bCs/>
          <w:color w:val="auto"/>
          <w:sz w:val="21"/>
          <w:szCs w:val="21"/>
          <w:highlight w:val="none"/>
        </w:rPr>
        <w:t>2.  合同金额</w:t>
      </w:r>
    </w:p>
    <w:p>
      <w:pPr>
        <w:pStyle w:val="27"/>
        <w:spacing w:line="360" w:lineRule="auto"/>
        <w:ind w:left="2" w:firstLine="359" w:firstLineChars="171"/>
        <w:rPr>
          <w:rFonts w:hAnsi="宋体"/>
          <w:color w:val="auto"/>
          <w:sz w:val="21"/>
          <w:szCs w:val="21"/>
          <w:highlight w:val="none"/>
        </w:rPr>
      </w:pPr>
      <w:r>
        <w:rPr>
          <w:rFonts w:hint="eastAsia" w:hAnsi="宋体"/>
          <w:color w:val="auto"/>
          <w:sz w:val="21"/>
          <w:szCs w:val="21"/>
          <w:highlight w:val="none"/>
        </w:rPr>
        <w:t>2.1 本合同金额为（大写）人民币</w:t>
      </w:r>
      <w:r>
        <w:rPr>
          <w:rFonts w:hint="eastAsia" w:hAnsi="宋体"/>
          <w:color w:val="auto"/>
          <w:sz w:val="21"/>
          <w:szCs w:val="21"/>
          <w:highlight w:val="none"/>
          <w:u w:val="single"/>
        </w:rPr>
        <w:t xml:space="preserve">　　　　　　   </w:t>
      </w:r>
      <w:r>
        <w:rPr>
          <w:rFonts w:hint="eastAsia" w:hAnsi="宋体"/>
          <w:color w:val="auto"/>
          <w:sz w:val="21"/>
          <w:szCs w:val="21"/>
          <w:highlight w:val="none"/>
        </w:rPr>
        <w:t>元（￥</w:t>
      </w:r>
      <w:r>
        <w:rPr>
          <w:rFonts w:hint="eastAsia" w:hAnsi="宋体"/>
          <w:color w:val="auto"/>
          <w:sz w:val="21"/>
          <w:szCs w:val="21"/>
          <w:highlight w:val="none"/>
          <w:u w:val="single"/>
        </w:rPr>
        <w:t>　　　　　　</w:t>
      </w:r>
      <w:r>
        <w:rPr>
          <w:rFonts w:hint="eastAsia" w:hAnsi="宋体"/>
          <w:color w:val="auto"/>
          <w:sz w:val="21"/>
          <w:szCs w:val="21"/>
          <w:highlight w:val="none"/>
        </w:rPr>
        <w:t>）。（详见合同附件中投标报价表）</w:t>
      </w:r>
    </w:p>
    <w:p>
      <w:pPr>
        <w:pStyle w:val="27"/>
        <w:tabs>
          <w:tab w:val="left" w:pos="5940"/>
        </w:tabs>
        <w:spacing w:line="360" w:lineRule="auto"/>
        <w:rPr>
          <w:rFonts w:hAnsi="宋体"/>
          <w:b/>
          <w:bCs/>
          <w:color w:val="auto"/>
          <w:sz w:val="21"/>
          <w:szCs w:val="21"/>
          <w:highlight w:val="none"/>
        </w:rPr>
      </w:pPr>
      <w:r>
        <w:rPr>
          <w:rFonts w:hint="eastAsia" w:hAnsi="宋体"/>
          <w:b/>
          <w:bCs/>
          <w:color w:val="auto"/>
          <w:sz w:val="21"/>
          <w:szCs w:val="21"/>
          <w:highlight w:val="none"/>
        </w:rPr>
        <w:t>3.  交货要求</w:t>
      </w:r>
    </w:p>
    <w:p>
      <w:pPr>
        <w:pStyle w:val="27"/>
        <w:tabs>
          <w:tab w:val="left" w:pos="5220"/>
        </w:tabs>
        <w:spacing w:line="360" w:lineRule="auto"/>
        <w:ind w:firstLine="360"/>
        <w:rPr>
          <w:rFonts w:hAnsi="宋体"/>
          <w:bCs/>
          <w:color w:val="auto"/>
          <w:sz w:val="21"/>
          <w:szCs w:val="21"/>
          <w:highlight w:val="none"/>
          <w:u w:val="single"/>
        </w:rPr>
      </w:pPr>
      <w:r>
        <w:rPr>
          <w:rFonts w:hint="eastAsia" w:hAnsi="宋体"/>
          <w:bCs/>
          <w:color w:val="auto"/>
          <w:sz w:val="21"/>
          <w:szCs w:val="21"/>
          <w:highlight w:val="none"/>
        </w:rPr>
        <w:t>3.1 交付时间：</w:t>
      </w:r>
      <w:r>
        <w:rPr>
          <w:rFonts w:hint="eastAsia" w:hAnsi="宋体"/>
          <w:bCs/>
          <w:color w:val="auto"/>
          <w:sz w:val="21"/>
          <w:szCs w:val="21"/>
          <w:highlight w:val="none"/>
          <w:u w:val="single"/>
        </w:rPr>
        <w:t xml:space="preserve">                                             </w:t>
      </w:r>
    </w:p>
    <w:p>
      <w:pPr>
        <w:pStyle w:val="27"/>
        <w:spacing w:line="360" w:lineRule="auto"/>
        <w:ind w:firstLine="360"/>
        <w:rPr>
          <w:rFonts w:hAnsi="宋体"/>
          <w:bCs/>
          <w:color w:val="auto"/>
          <w:sz w:val="21"/>
          <w:szCs w:val="21"/>
          <w:highlight w:val="none"/>
        </w:rPr>
      </w:pPr>
      <w:r>
        <w:rPr>
          <w:rFonts w:hint="eastAsia" w:hAnsi="宋体"/>
          <w:bCs/>
          <w:color w:val="auto"/>
          <w:sz w:val="21"/>
          <w:szCs w:val="21"/>
          <w:highlight w:val="none"/>
        </w:rPr>
        <w:t>3.2 交货地点：</w:t>
      </w:r>
      <w:r>
        <w:rPr>
          <w:rFonts w:hint="eastAsia" w:hAnsi="宋体"/>
          <w:bCs/>
          <w:color w:val="auto"/>
          <w:sz w:val="21"/>
          <w:szCs w:val="21"/>
          <w:highlight w:val="none"/>
          <w:u w:val="single"/>
        </w:rPr>
        <w:t xml:space="preserve">                                             </w:t>
      </w:r>
    </w:p>
    <w:p>
      <w:pPr>
        <w:pStyle w:val="27"/>
        <w:tabs>
          <w:tab w:val="left" w:pos="5220"/>
          <w:tab w:val="left" w:pos="6120"/>
        </w:tabs>
        <w:spacing w:line="360" w:lineRule="auto"/>
        <w:ind w:firstLine="360"/>
        <w:rPr>
          <w:rFonts w:hAnsi="宋体"/>
          <w:bCs/>
          <w:color w:val="auto"/>
          <w:sz w:val="21"/>
          <w:szCs w:val="21"/>
          <w:highlight w:val="none"/>
        </w:rPr>
      </w:pPr>
      <w:r>
        <w:rPr>
          <w:rFonts w:hint="eastAsia" w:hAnsi="宋体"/>
          <w:bCs/>
          <w:color w:val="auto"/>
          <w:sz w:val="21"/>
          <w:szCs w:val="21"/>
          <w:highlight w:val="none"/>
        </w:rPr>
        <w:t>3.3 交货方式：</w:t>
      </w:r>
      <w:r>
        <w:rPr>
          <w:rFonts w:hint="eastAsia" w:hAnsi="宋体"/>
          <w:bCs/>
          <w:color w:val="auto"/>
          <w:sz w:val="21"/>
          <w:szCs w:val="21"/>
          <w:highlight w:val="none"/>
          <w:u w:val="single"/>
        </w:rPr>
        <w:t xml:space="preserve">                                             </w:t>
      </w:r>
    </w:p>
    <w:p>
      <w:pPr>
        <w:pStyle w:val="27"/>
        <w:spacing w:line="360" w:lineRule="auto"/>
        <w:ind w:firstLine="360"/>
        <w:rPr>
          <w:rFonts w:hAnsi="宋体"/>
          <w:b/>
          <w:color w:val="auto"/>
          <w:sz w:val="21"/>
          <w:szCs w:val="21"/>
          <w:highlight w:val="none"/>
        </w:rPr>
      </w:pPr>
      <w:r>
        <w:rPr>
          <w:rFonts w:hint="eastAsia" w:hAnsi="宋体"/>
          <w:bCs/>
          <w:color w:val="auto"/>
          <w:sz w:val="21"/>
          <w:szCs w:val="21"/>
          <w:highlight w:val="none"/>
        </w:rPr>
        <w:t xml:space="preserve">3.4 </w:t>
      </w:r>
      <w:r>
        <w:rPr>
          <w:rFonts w:hint="eastAsia" w:hAnsi="宋体"/>
          <w:color w:val="auto"/>
          <w:sz w:val="21"/>
          <w:szCs w:val="21"/>
          <w:highlight w:val="none"/>
        </w:rPr>
        <w:t>乙方必须按投标文件承诺的技术参数、性能要求、质量标准等向甲方提供全新、完整、未经使用的货物。</w:t>
      </w:r>
    </w:p>
    <w:p>
      <w:pPr>
        <w:pStyle w:val="27"/>
        <w:spacing w:line="360" w:lineRule="auto"/>
        <w:ind w:left="358" w:hanging="358" w:hangingChars="170"/>
        <w:rPr>
          <w:rFonts w:hAnsi="宋体"/>
          <w:b/>
          <w:color w:val="auto"/>
          <w:sz w:val="21"/>
          <w:szCs w:val="21"/>
          <w:highlight w:val="none"/>
        </w:rPr>
      </w:pPr>
      <w:r>
        <w:rPr>
          <w:rFonts w:hint="eastAsia" w:hAnsi="宋体"/>
          <w:b/>
          <w:bCs/>
          <w:color w:val="auto"/>
          <w:sz w:val="21"/>
          <w:szCs w:val="21"/>
          <w:highlight w:val="none"/>
        </w:rPr>
        <w:t>4.  履约保证金：无</w:t>
      </w:r>
    </w:p>
    <w:p>
      <w:pPr>
        <w:pStyle w:val="27"/>
        <w:spacing w:line="360" w:lineRule="auto"/>
        <w:rPr>
          <w:rFonts w:hAnsi="宋体"/>
          <w:b/>
          <w:bCs/>
          <w:color w:val="auto"/>
          <w:sz w:val="21"/>
          <w:szCs w:val="21"/>
          <w:highlight w:val="none"/>
        </w:rPr>
      </w:pPr>
      <w:r>
        <w:rPr>
          <w:rFonts w:hint="eastAsia" w:hAnsi="宋体"/>
          <w:b/>
          <w:bCs/>
          <w:color w:val="auto"/>
          <w:sz w:val="21"/>
          <w:szCs w:val="21"/>
          <w:highlight w:val="none"/>
        </w:rPr>
        <w:t>5.  质量保证及售后服务</w:t>
      </w:r>
    </w:p>
    <w:p>
      <w:pPr>
        <w:pStyle w:val="27"/>
        <w:spacing w:line="360" w:lineRule="auto"/>
        <w:ind w:left="2" w:firstLine="359" w:firstLineChars="171"/>
        <w:rPr>
          <w:rFonts w:hAnsi="宋体"/>
          <w:color w:val="auto"/>
          <w:sz w:val="21"/>
          <w:szCs w:val="21"/>
          <w:highlight w:val="none"/>
        </w:rPr>
      </w:pPr>
      <w:r>
        <w:rPr>
          <w:rFonts w:hint="eastAsia" w:hAnsi="宋体"/>
          <w:color w:val="auto"/>
          <w:sz w:val="21"/>
          <w:szCs w:val="21"/>
          <w:highlight w:val="none"/>
        </w:rPr>
        <w:t>5.1 质量保证期年（自交货验收合格之日起计）。</w:t>
      </w:r>
    </w:p>
    <w:p>
      <w:pPr>
        <w:pStyle w:val="27"/>
        <w:spacing w:line="360" w:lineRule="auto"/>
        <w:ind w:firstLine="359" w:firstLineChars="171"/>
        <w:rPr>
          <w:rFonts w:hAnsi="宋体"/>
          <w:color w:val="auto"/>
          <w:sz w:val="21"/>
          <w:szCs w:val="21"/>
          <w:highlight w:val="none"/>
        </w:rPr>
      </w:pPr>
      <w:r>
        <w:rPr>
          <w:rFonts w:hint="eastAsia" w:hAnsi="宋体"/>
          <w:color w:val="auto"/>
          <w:sz w:val="21"/>
          <w:szCs w:val="21"/>
          <w:highlight w:val="none"/>
        </w:rPr>
        <w:t>5.2 如乙方提供的货物在使用过程中发生质量问题，乙方接到甲方故障通知后应在小时内到达甲方指定现场，按国家及行业标准对故障进行及时处理。</w:t>
      </w:r>
    </w:p>
    <w:p>
      <w:pPr>
        <w:pStyle w:val="27"/>
        <w:spacing w:line="360" w:lineRule="auto"/>
        <w:ind w:firstLine="359" w:firstLineChars="171"/>
        <w:rPr>
          <w:rFonts w:hAnsi="宋体"/>
          <w:color w:val="auto"/>
          <w:sz w:val="21"/>
          <w:szCs w:val="21"/>
          <w:highlight w:val="none"/>
        </w:rPr>
      </w:pPr>
      <w:r>
        <w:rPr>
          <w:rFonts w:hint="eastAsia" w:hAnsi="宋体"/>
          <w:color w:val="auto"/>
          <w:sz w:val="21"/>
          <w:szCs w:val="21"/>
          <w:highlight w:val="none"/>
        </w:rPr>
        <w:t>5.3乙方提供的货物在质量保证期内因货物本身的质量问题发生故障，乙方应负责免费更换。对达不到技术要求者，根据实际情况，经双方协商，可按以下办法处理：</w:t>
      </w:r>
    </w:p>
    <w:p>
      <w:pPr>
        <w:pStyle w:val="27"/>
        <w:spacing w:line="360" w:lineRule="auto"/>
        <w:ind w:firstLine="359" w:firstLineChars="171"/>
        <w:rPr>
          <w:rFonts w:hAnsi="宋体"/>
          <w:color w:val="auto"/>
          <w:sz w:val="21"/>
          <w:szCs w:val="21"/>
          <w:highlight w:val="none"/>
        </w:rPr>
      </w:pPr>
      <w:r>
        <w:rPr>
          <w:rFonts w:hint="eastAsia" w:hAnsi="宋体"/>
          <w:color w:val="auto"/>
          <w:sz w:val="21"/>
          <w:szCs w:val="21"/>
          <w:highlight w:val="none"/>
        </w:rPr>
        <w:t>（1）更换：由乙方承担所发生的全部费用；</w:t>
      </w:r>
    </w:p>
    <w:p>
      <w:pPr>
        <w:pStyle w:val="27"/>
        <w:spacing w:line="360" w:lineRule="auto"/>
        <w:ind w:firstLine="359" w:firstLineChars="171"/>
        <w:rPr>
          <w:rFonts w:hAnsi="宋体"/>
          <w:color w:val="auto"/>
          <w:sz w:val="21"/>
          <w:szCs w:val="21"/>
          <w:highlight w:val="none"/>
        </w:rPr>
      </w:pPr>
      <w:r>
        <w:rPr>
          <w:rFonts w:hint="eastAsia" w:hAnsi="宋体"/>
          <w:color w:val="auto"/>
          <w:sz w:val="21"/>
          <w:szCs w:val="21"/>
          <w:highlight w:val="none"/>
        </w:rPr>
        <w:t>（2）贬值处理：由甲乙双方合议定价；</w:t>
      </w:r>
    </w:p>
    <w:p>
      <w:pPr>
        <w:pStyle w:val="27"/>
        <w:spacing w:line="360" w:lineRule="auto"/>
        <w:ind w:firstLine="359" w:firstLineChars="171"/>
        <w:rPr>
          <w:rFonts w:hAnsi="宋体"/>
          <w:color w:val="auto"/>
          <w:sz w:val="21"/>
          <w:szCs w:val="21"/>
          <w:highlight w:val="none"/>
        </w:rPr>
      </w:pPr>
      <w:r>
        <w:rPr>
          <w:rFonts w:hint="eastAsia" w:hAnsi="宋体"/>
          <w:color w:val="auto"/>
          <w:sz w:val="21"/>
          <w:szCs w:val="21"/>
          <w:highlight w:val="none"/>
        </w:rPr>
        <w:t>（3）退货处理：乙方应退还甲方支付的合同款，同时应承担与该货物相关的直接费用（运输、保险、检验、合同款利息及银行手续费等）。</w:t>
      </w:r>
    </w:p>
    <w:p>
      <w:pPr>
        <w:pStyle w:val="27"/>
        <w:spacing w:line="360" w:lineRule="auto"/>
        <w:ind w:left="2" w:firstLine="360"/>
        <w:rPr>
          <w:rFonts w:hAnsi="宋体"/>
          <w:color w:val="auto"/>
          <w:sz w:val="21"/>
          <w:szCs w:val="21"/>
          <w:highlight w:val="none"/>
        </w:rPr>
      </w:pPr>
      <w:r>
        <w:rPr>
          <w:rFonts w:hint="eastAsia" w:hAnsi="宋体"/>
          <w:color w:val="auto"/>
          <w:sz w:val="21"/>
          <w:szCs w:val="21"/>
          <w:highlight w:val="none"/>
        </w:rPr>
        <w:t>5.4 在质量保证期内，乙方负责处理解决货物出现的质量及安全问题并承担一切费用，所有非故意性损坏以及正常使用范围内造成的损坏均要免费维修，因人为因素出现的故障不在免费保修范围内，但乙方也要积极帮助采购人修理，并提供优惠价格的配件和服务。</w:t>
      </w:r>
    </w:p>
    <w:p>
      <w:pPr>
        <w:pStyle w:val="27"/>
        <w:spacing w:line="360" w:lineRule="auto"/>
        <w:ind w:left="2" w:firstLine="360"/>
        <w:rPr>
          <w:rFonts w:hAnsi="宋体"/>
          <w:color w:val="auto"/>
          <w:sz w:val="21"/>
          <w:szCs w:val="21"/>
          <w:highlight w:val="none"/>
        </w:rPr>
      </w:pPr>
      <w:r>
        <w:rPr>
          <w:rFonts w:hint="eastAsia" w:hAnsi="宋体"/>
          <w:color w:val="auto"/>
          <w:sz w:val="21"/>
          <w:szCs w:val="21"/>
          <w:highlight w:val="none"/>
        </w:rPr>
        <w:t>5.5 超过质量保证期的货物，乙方提供终生维修、保养服务，维修时只收部件成本费。</w:t>
      </w:r>
    </w:p>
    <w:p>
      <w:pPr>
        <w:pStyle w:val="27"/>
        <w:spacing w:line="360" w:lineRule="auto"/>
        <w:ind w:left="2" w:firstLine="360"/>
        <w:rPr>
          <w:rFonts w:hAnsi="宋体"/>
          <w:color w:val="auto"/>
          <w:sz w:val="21"/>
          <w:szCs w:val="21"/>
          <w:highlight w:val="none"/>
        </w:rPr>
      </w:pPr>
      <w:r>
        <w:rPr>
          <w:rFonts w:hint="eastAsia" w:hAnsi="宋体"/>
          <w:color w:val="auto"/>
          <w:sz w:val="21"/>
          <w:szCs w:val="21"/>
          <w:highlight w:val="none"/>
        </w:rPr>
        <w:t>5.6 乙方随时优惠提供备品备件，优惠提供产品更新、改造服务。</w:t>
      </w:r>
    </w:p>
    <w:p>
      <w:pPr>
        <w:pStyle w:val="27"/>
        <w:spacing w:line="360" w:lineRule="auto"/>
        <w:ind w:left="2" w:firstLine="360"/>
        <w:rPr>
          <w:rFonts w:hAnsi="宋体"/>
          <w:color w:val="auto"/>
          <w:sz w:val="21"/>
          <w:szCs w:val="21"/>
          <w:highlight w:val="none"/>
          <w:u w:val="single"/>
        </w:rPr>
      </w:pPr>
      <w:r>
        <w:rPr>
          <w:rFonts w:hint="eastAsia" w:hAnsi="宋体"/>
          <w:color w:val="auto"/>
          <w:sz w:val="21"/>
          <w:szCs w:val="21"/>
          <w:highlight w:val="none"/>
        </w:rPr>
        <w:t>5.9其他售后服务要求：</w:t>
      </w:r>
      <w:r>
        <w:rPr>
          <w:rFonts w:hint="eastAsia" w:hAnsi="宋体"/>
          <w:color w:val="auto"/>
          <w:sz w:val="21"/>
          <w:szCs w:val="21"/>
          <w:highlight w:val="none"/>
          <w:u w:val="single"/>
        </w:rPr>
        <w:t>按投标文件商务条款偏离表及澄清函（商务条款偏离表与澄清函不一致的以澄清函为准）内容执行。</w:t>
      </w:r>
    </w:p>
    <w:p>
      <w:pPr>
        <w:pStyle w:val="27"/>
        <w:spacing w:line="360" w:lineRule="auto"/>
        <w:rPr>
          <w:rFonts w:hAnsi="宋体"/>
          <w:b/>
          <w:bCs/>
          <w:color w:val="auto"/>
          <w:sz w:val="21"/>
          <w:szCs w:val="21"/>
          <w:highlight w:val="none"/>
        </w:rPr>
      </w:pPr>
      <w:r>
        <w:rPr>
          <w:rFonts w:hint="eastAsia" w:hAnsi="宋体"/>
          <w:b/>
          <w:bCs/>
          <w:color w:val="auto"/>
          <w:sz w:val="21"/>
          <w:szCs w:val="21"/>
          <w:highlight w:val="none"/>
        </w:rPr>
        <w:t>6.  合同款支付</w:t>
      </w:r>
    </w:p>
    <w:p>
      <w:pPr>
        <w:pStyle w:val="27"/>
        <w:spacing w:line="360" w:lineRule="auto"/>
        <w:ind w:firstLine="360"/>
        <w:rPr>
          <w:rFonts w:hAnsi="宋体"/>
          <w:bCs/>
          <w:color w:val="auto"/>
          <w:sz w:val="21"/>
          <w:szCs w:val="21"/>
          <w:highlight w:val="none"/>
          <w:u w:val="single"/>
        </w:rPr>
      </w:pPr>
      <w:r>
        <w:rPr>
          <w:rFonts w:hint="eastAsia" w:hAnsi="宋体"/>
          <w:bCs/>
          <w:color w:val="auto"/>
          <w:sz w:val="21"/>
          <w:szCs w:val="21"/>
          <w:highlight w:val="none"/>
        </w:rPr>
        <w:t>6.1 付款方式：</w:t>
      </w:r>
      <w:r>
        <w:rPr>
          <w:rFonts w:hint="eastAsia" w:hAnsi="宋体"/>
          <w:bCs/>
          <w:color w:val="auto"/>
          <w:sz w:val="21"/>
          <w:szCs w:val="21"/>
          <w:highlight w:val="none"/>
          <w:u w:val="single"/>
        </w:rPr>
        <w:t xml:space="preserve">                                             </w:t>
      </w:r>
    </w:p>
    <w:p>
      <w:pPr>
        <w:pStyle w:val="27"/>
        <w:spacing w:line="360" w:lineRule="auto"/>
        <w:ind w:firstLine="360"/>
        <w:rPr>
          <w:rFonts w:hAnsi="宋体"/>
          <w:color w:val="auto"/>
          <w:sz w:val="21"/>
          <w:szCs w:val="21"/>
          <w:highlight w:val="none"/>
        </w:rPr>
      </w:pPr>
      <w:r>
        <w:rPr>
          <w:rFonts w:hint="eastAsia" w:hAnsi="宋体"/>
          <w:color w:val="auto"/>
          <w:sz w:val="21"/>
          <w:szCs w:val="21"/>
          <w:highlight w:val="none"/>
        </w:rPr>
        <w:t>6.2 支付合同款时，由甲方按照合同约定向横县财政局提交《横县政府采购履约验收证明和资金支付申请表》等完整且合格的支付申请材料；横县财政局按财政国库直接支付程序将款项直接支付给供应商。</w:t>
      </w:r>
    </w:p>
    <w:p>
      <w:pPr>
        <w:pStyle w:val="27"/>
        <w:spacing w:line="360" w:lineRule="auto"/>
        <w:ind w:firstLine="360"/>
        <w:rPr>
          <w:rFonts w:hAnsi="宋体"/>
          <w:bCs/>
          <w:color w:val="auto"/>
          <w:sz w:val="21"/>
          <w:szCs w:val="21"/>
          <w:highlight w:val="none"/>
          <w:u w:val="single"/>
        </w:rPr>
      </w:pPr>
      <w:r>
        <w:rPr>
          <w:rFonts w:hint="eastAsia" w:hAnsi="宋体"/>
          <w:color w:val="auto"/>
          <w:sz w:val="21"/>
          <w:szCs w:val="21"/>
          <w:highlight w:val="none"/>
        </w:rPr>
        <w:t>6.3 当采购数量与实际使用数量不一致时，甲方可以在报经横县财政局审核同意后，在不改变合同其他条款的前提下与供应商协商签订补充合同，但所有补充合同的采购金额不得超过原合同采购金额的百分之十。供应商应根据实际使用数量供货，合同的最终结算金额按实际使用数量乘以成交单价进行计算。</w:t>
      </w:r>
    </w:p>
    <w:p>
      <w:pPr>
        <w:pStyle w:val="27"/>
        <w:spacing w:line="360" w:lineRule="auto"/>
        <w:ind w:firstLine="360"/>
        <w:rPr>
          <w:rFonts w:hAnsi="宋体"/>
          <w:bCs/>
          <w:color w:val="auto"/>
          <w:sz w:val="21"/>
          <w:szCs w:val="21"/>
          <w:highlight w:val="none"/>
          <w:u w:val="single"/>
        </w:rPr>
      </w:pPr>
      <w:r>
        <w:rPr>
          <w:rFonts w:hint="eastAsia" w:hAnsi="宋体"/>
          <w:bCs/>
          <w:color w:val="auto"/>
          <w:sz w:val="21"/>
          <w:szCs w:val="21"/>
          <w:highlight w:val="none"/>
        </w:rPr>
        <w:t>6.4</w:t>
      </w:r>
      <w:r>
        <w:rPr>
          <w:rFonts w:hint="eastAsia" w:hAnsi="宋体"/>
          <w:color w:val="auto"/>
          <w:sz w:val="21"/>
          <w:szCs w:val="21"/>
          <w:highlight w:val="none"/>
        </w:rPr>
        <w:t>政府采购监督管理部门在处理投诉事项期间，可以视具体情况书面通知采购人暂停采购活动</w:t>
      </w:r>
      <w:r>
        <w:rPr>
          <w:rFonts w:hint="eastAsia" w:hAnsi="宋体"/>
          <w:bCs/>
          <w:color w:val="auto"/>
          <w:sz w:val="21"/>
          <w:szCs w:val="21"/>
          <w:highlight w:val="none"/>
        </w:rPr>
        <w:t>，并延期支付合同款。</w:t>
      </w:r>
    </w:p>
    <w:p>
      <w:pPr>
        <w:pStyle w:val="27"/>
        <w:spacing w:line="360" w:lineRule="auto"/>
        <w:ind w:left="360" w:hanging="361" w:hangingChars="171"/>
        <w:rPr>
          <w:rFonts w:hAnsi="宋体"/>
          <w:b/>
          <w:color w:val="auto"/>
          <w:sz w:val="21"/>
          <w:szCs w:val="21"/>
          <w:highlight w:val="none"/>
        </w:rPr>
      </w:pPr>
      <w:r>
        <w:rPr>
          <w:rFonts w:hint="eastAsia" w:hAnsi="宋体"/>
          <w:b/>
          <w:bCs/>
          <w:color w:val="auto"/>
          <w:sz w:val="21"/>
          <w:szCs w:val="21"/>
          <w:highlight w:val="none"/>
        </w:rPr>
        <w:t>7.  产权</w:t>
      </w:r>
    </w:p>
    <w:p>
      <w:pPr>
        <w:pStyle w:val="27"/>
        <w:spacing w:line="360" w:lineRule="auto"/>
        <w:ind w:left="2" w:firstLine="359" w:firstLineChars="171"/>
        <w:rPr>
          <w:rFonts w:hAnsi="宋体"/>
          <w:bCs/>
          <w:color w:val="auto"/>
          <w:sz w:val="21"/>
          <w:szCs w:val="21"/>
          <w:highlight w:val="none"/>
        </w:rPr>
      </w:pPr>
      <w:r>
        <w:rPr>
          <w:rFonts w:hint="eastAsia" w:hAnsi="宋体"/>
          <w:color w:val="auto"/>
          <w:sz w:val="21"/>
          <w:szCs w:val="21"/>
          <w:highlight w:val="none"/>
        </w:rPr>
        <w:t>7.1 乙方保证所提供的货物或其任何一部分均不会侵犯任何第三方的专利权、商标权或著作权</w:t>
      </w:r>
      <w:r>
        <w:rPr>
          <w:rFonts w:hint="eastAsia" w:hAnsi="宋体"/>
          <w:bCs/>
          <w:color w:val="auto"/>
          <w:sz w:val="21"/>
          <w:szCs w:val="21"/>
          <w:highlight w:val="none"/>
        </w:rPr>
        <w:t>。</w:t>
      </w:r>
    </w:p>
    <w:p>
      <w:pPr>
        <w:pStyle w:val="27"/>
        <w:spacing w:line="360" w:lineRule="auto"/>
        <w:ind w:left="2" w:firstLine="359" w:firstLineChars="171"/>
        <w:rPr>
          <w:rFonts w:hAnsi="宋体"/>
          <w:b/>
          <w:bCs/>
          <w:color w:val="auto"/>
          <w:sz w:val="21"/>
          <w:szCs w:val="21"/>
          <w:highlight w:val="none"/>
        </w:rPr>
      </w:pPr>
      <w:r>
        <w:rPr>
          <w:rFonts w:hint="eastAsia" w:hAnsi="宋体"/>
          <w:color w:val="auto"/>
          <w:sz w:val="21"/>
          <w:szCs w:val="21"/>
          <w:highlight w:val="none"/>
        </w:rPr>
        <w:t>7.2 乙方保证所交付货物的所有权完全属于乙方且无任何抵押、查封等产权瑕疵。如乙方所交付货物有产权瑕疵的，视为乙方违约，按照本合同第11.3项的约定处理。但在已经全部支付完合同款后才发现有产权瑕疵的，乙方除了支付违约金还应负担甲方由此产生的一切损失。</w:t>
      </w:r>
    </w:p>
    <w:p>
      <w:pPr>
        <w:pStyle w:val="27"/>
        <w:spacing w:line="360" w:lineRule="auto"/>
        <w:rPr>
          <w:rFonts w:hAnsi="宋体"/>
          <w:b/>
          <w:color w:val="auto"/>
          <w:sz w:val="21"/>
          <w:szCs w:val="21"/>
          <w:highlight w:val="none"/>
        </w:rPr>
      </w:pPr>
      <w:r>
        <w:rPr>
          <w:rFonts w:hint="eastAsia" w:hAnsi="宋体"/>
          <w:b/>
          <w:bCs/>
          <w:color w:val="auto"/>
          <w:sz w:val="21"/>
          <w:szCs w:val="21"/>
          <w:highlight w:val="none"/>
        </w:rPr>
        <w:t>8.  技术资料</w:t>
      </w:r>
    </w:p>
    <w:p>
      <w:pPr>
        <w:pStyle w:val="27"/>
        <w:spacing w:line="360" w:lineRule="auto"/>
        <w:ind w:firstLine="360"/>
        <w:rPr>
          <w:rFonts w:hAnsi="宋体"/>
          <w:color w:val="auto"/>
          <w:sz w:val="21"/>
          <w:szCs w:val="21"/>
          <w:highlight w:val="none"/>
        </w:rPr>
      </w:pPr>
      <w:r>
        <w:rPr>
          <w:rFonts w:hint="eastAsia" w:hAnsi="宋体"/>
          <w:color w:val="auto"/>
          <w:sz w:val="21"/>
          <w:szCs w:val="21"/>
          <w:highlight w:val="none"/>
        </w:rPr>
        <w:t>8.1 甲方向乙方提供采购货物的有关技术要求。</w:t>
      </w:r>
    </w:p>
    <w:p>
      <w:pPr>
        <w:pStyle w:val="27"/>
        <w:spacing w:line="360" w:lineRule="auto"/>
        <w:ind w:firstLine="360"/>
        <w:rPr>
          <w:rFonts w:hAnsi="宋体"/>
          <w:color w:val="auto"/>
          <w:sz w:val="21"/>
          <w:szCs w:val="21"/>
          <w:highlight w:val="none"/>
        </w:rPr>
      </w:pPr>
      <w:r>
        <w:rPr>
          <w:rFonts w:hint="eastAsia" w:hAnsi="宋体"/>
          <w:color w:val="auto"/>
          <w:sz w:val="21"/>
          <w:szCs w:val="21"/>
          <w:highlight w:val="none"/>
        </w:rPr>
        <w:t>8.2 乙方应在招标文件规定的时间向甲方提供使用货物的有关技术资料。</w:t>
      </w:r>
    </w:p>
    <w:p>
      <w:pPr>
        <w:pStyle w:val="27"/>
        <w:spacing w:line="360" w:lineRule="auto"/>
        <w:ind w:firstLine="360"/>
        <w:rPr>
          <w:rFonts w:hAnsi="宋体"/>
          <w:color w:val="auto"/>
          <w:sz w:val="21"/>
          <w:szCs w:val="21"/>
          <w:highlight w:val="none"/>
        </w:rPr>
      </w:pPr>
      <w:r>
        <w:rPr>
          <w:rFonts w:hint="eastAsia" w:hAnsi="宋体"/>
          <w:color w:val="auto"/>
          <w:sz w:val="21"/>
          <w:szCs w:val="21"/>
          <w:highlight w:val="none"/>
        </w:rPr>
        <w:t>8.3 没有甲方事先书面同意，乙方不得将甲方提供的有关合同或任何合同条文、规格、计划、图纸、样品或资料提供给与履行本合同无关的其他任何人。即使向与履行本合同有关的人员提供，也应注意保密并限于履行合同的必需范围。</w:t>
      </w:r>
    </w:p>
    <w:p>
      <w:pPr>
        <w:pStyle w:val="27"/>
        <w:spacing w:line="360" w:lineRule="auto"/>
        <w:rPr>
          <w:rFonts w:hAnsi="宋体"/>
          <w:b/>
          <w:bCs/>
          <w:color w:val="auto"/>
          <w:sz w:val="21"/>
          <w:szCs w:val="21"/>
          <w:highlight w:val="none"/>
        </w:rPr>
      </w:pPr>
      <w:r>
        <w:rPr>
          <w:rFonts w:hint="eastAsia" w:hAnsi="宋体"/>
          <w:b/>
          <w:bCs/>
          <w:color w:val="auto"/>
          <w:sz w:val="21"/>
          <w:szCs w:val="21"/>
          <w:highlight w:val="none"/>
        </w:rPr>
        <w:t>9.  货物包装、发运及运输</w:t>
      </w:r>
    </w:p>
    <w:p>
      <w:pPr>
        <w:pStyle w:val="27"/>
        <w:tabs>
          <w:tab w:val="left" w:pos="0"/>
        </w:tabs>
        <w:spacing w:line="360" w:lineRule="auto"/>
        <w:ind w:firstLine="360"/>
        <w:rPr>
          <w:rFonts w:hAnsi="宋体"/>
          <w:color w:val="auto"/>
          <w:sz w:val="21"/>
          <w:szCs w:val="21"/>
          <w:highlight w:val="none"/>
        </w:rPr>
      </w:pPr>
      <w:r>
        <w:rPr>
          <w:rFonts w:hint="eastAsia" w:hAnsi="宋体"/>
          <w:color w:val="auto"/>
          <w:sz w:val="21"/>
          <w:szCs w:val="21"/>
          <w:highlight w:val="none"/>
        </w:rPr>
        <w:t>9.1 乙方应在货物发运前对其进行满足运输距离、防潮、防震、防锈和防破损装卸等要求包装，以保证货物安全运达甲方指定地点。</w:t>
      </w:r>
    </w:p>
    <w:p>
      <w:pPr>
        <w:pStyle w:val="27"/>
        <w:tabs>
          <w:tab w:val="left" w:pos="0"/>
        </w:tabs>
        <w:spacing w:line="360" w:lineRule="auto"/>
        <w:ind w:firstLine="360"/>
        <w:rPr>
          <w:rFonts w:hAnsi="宋体"/>
          <w:color w:val="auto"/>
          <w:sz w:val="21"/>
          <w:szCs w:val="21"/>
          <w:highlight w:val="none"/>
        </w:rPr>
      </w:pPr>
      <w:r>
        <w:rPr>
          <w:rFonts w:hint="eastAsia" w:hAnsi="宋体"/>
          <w:color w:val="auto"/>
          <w:sz w:val="21"/>
          <w:szCs w:val="21"/>
          <w:highlight w:val="none"/>
        </w:rPr>
        <w:t>9.2 使用说明书、质量检验证明书、保修单据、随配附件和工具以及清单一并附于货物内。</w:t>
      </w:r>
    </w:p>
    <w:p>
      <w:pPr>
        <w:pStyle w:val="27"/>
        <w:tabs>
          <w:tab w:val="left" w:pos="0"/>
        </w:tabs>
        <w:spacing w:line="360" w:lineRule="auto"/>
        <w:ind w:firstLine="360"/>
        <w:rPr>
          <w:rFonts w:hAnsi="宋体"/>
          <w:color w:val="auto"/>
          <w:sz w:val="21"/>
          <w:szCs w:val="21"/>
          <w:highlight w:val="none"/>
        </w:rPr>
      </w:pPr>
      <w:r>
        <w:rPr>
          <w:rFonts w:hint="eastAsia" w:hAnsi="宋体"/>
          <w:color w:val="auto"/>
          <w:sz w:val="21"/>
          <w:szCs w:val="21"/>
          <w:highlight w:val="none"/>
        </w:rPr>
        <w:t>9.3 乙方在货物发运手续办理完毕后24小时内或货到甲方48小时前通知甲方，以准备接货。</w:t>
      </w:r>
    </w:p>
    <w:p>
      <w:pPr>
        <w:pStyle w:val="27"/>
        <w:tabs>
          <w:tab w:val="left" w:pos="0"/>
        </w:tabs>
        <w:spacing w:line="360" w:lineRule="auto"/>
        <w:ind w:firstLine="360"/>
        <w:rPr>
          <w:rFonts w:hAnsi="宋体"/>
          <w:color w:val="auto"/>
          <w:sz w:val="21"/>
          <w:szCs w:val="21"/>
          <w:highlight w:val="none"/>
        </w:rPr>
      </w:pPr>
      <w:r>
        <w:rPr>
          <w:rFonts w:hint="eastAsia" w:hAnsi="宋体"/>
          <w:color w:val="auto"/>
          <w:sz w:val="21"/>
          <w:szCs w:val="21"/>
          <w:highlight w:val="none"/>
        </w:rPr>
        <w:t>9.4 货物在交付甲方前发生的风险均由乙方负责。</w:t>
      </w:r>
    </w:p>
    <w:p>
      <w:pPr>
        <w:pStyle w:val="27"/>
        <w:tabs>
          <w:tab w:val="left" w:pos="0"/>
        </w:tabs>
        <w:spacing w:line="360" w:lineRule="auto"/>
        <w:ind w:firstLine="360"/>
        <w:rPr>
          <w:rFonts w:hAnsi="宋体"/>
          <w:color w:val="auto"/>
          <w:sz w:val="21"/>
          <w:szCs w:val="21"/>
          <w:highlight w:val="none"/>
        </w:rPr>
      </w:pPr>
      <w:r>
        <w:rPr>
          <w:rFonts w:hint="eastAsia" w:hAnsi="宋体"/>
          <w:color w:val="auto"/>
          <w:sz w:val="21"/>
          <w:szCs w:val="21"/>
          <w:highlight w:val="none"/>
        </w:rPr>
        <w:t>9.5 货物在规定的交付期限内由乙方送达甲方指定的地点视为交付，乙方同时需通知甲方货物已送达。</w:t>
      </w:r>
    </w:p>
    <w:p>
      <w:pPr>
        <w:pStyle w:val="27"/>
        <w:spacing w:line="360" w:lineRule="auto"/>
        <w:rPr>
          <w:rFonts w:hAnsi="宋体"/>
          <w:b/>
          <w:bCs/>
          <w:color w:val="auto"/>
          <w:sz w:val="21"/>
          <w:szCs w:val="21"/>
          <w:highlight w:val="none"/>
        </w:rPr>
      </w:pPr>
      <w:r>
        <w:rPr>
          <w:rFonts w:hint="eastAsia" w:hAnsi="宋体"/>
          <w:b/>
          <w:bCs/>
          <w:color w:val="auto"/>
          <w:sz w:val="21"/>
          <w:szCs w:val="21"/>
          <w:highlight w:val="none"/>
        </w:rPr>
        <w:t>10.  调试和验收</w:t>
      </w:r>
    </w:p>
    <w:p>
      <w:pPr>
        <w:pStyle w:val="27"/>
        <w:spacing w:line="360" w:lineRule="auto"/>
        <w:ind w:firstLine="359" w:firstLineChars="171"/>
        <w:rPr>
          <w:rFonts w:hAnsi="宋体"/>
          <w:color w:val="auto"/>
          <w:sz w:val="21"/>
          <w:szCs w:val="21"/>
          <w:highlight w:val="none"/>
        </w:rPr>
      </w:pPr>
      <w:r>
        <w:rPr>
          <w:rFonts w:hint="eastAsia" w:hAnsi="宋体"/>
          <w:color w:val="auto"/>
          <w:sz w:val="21"/>
          <w:szCs w:val="21"/>
          <w:highlight w:val="none"/>
        </w:rPr>
        <w:t>10.1 乙方将货物运达约定的交货地点后，甲方应在五个工作日内对乙方提交的货物依据招标文件的要求、投标文件的承诺和国家标准或行业标准进行现场初步验收。对外观、说明书符合要求的，给予签收；对不符合要求或有质量问题的货物不予签收，可立即要求退换，乙方不得拒绝和延误。</w:t>
      </w:r>
    </w:p>
    <w:p>
      <w:pPr>
        <w:pStyle w:val="27"/>
        <w:spacing w:line="360" w:lineRule="auto"/>
        <w:ind w:firstLine="359" w:firstLineChars="171"/>
        <w:rPr>
          <w:rFonts w:hAnsi="宋体"/>
          <w:color w:val="auto"/>
          <w:sz w:val="21"/>
          <w:szCs w:val="21"/>
          <w:highlight w:val="none"/>
        </w:rPr>
      </w:pPr>
      <w:r>
        <w:rPr>
          <w:rFonts w:hint="eastAsia" w:hAnsi="宋体"/>
          <w:color w:val="auto"/>
          <w:sz w:val="21"/>
          <w:szCs w:val="21"/>
          <w:highlight w:val="none"/>
        </w:rPr>
        <w:t>10.2 乙方交货前应对产品作出全面检查和对验收文件进行整理，并列出清单，作为甲方收货验收和使用的技术条件依据，检验的结果应随货物交甲方。</w:t>
      </w:r>
    </w:p>
    <w:p>
      <w:pPr>
        <w:pStyle w:val="27"/>
        <w:spacing w:line="360" w:lineRule="auto"/>
        <w:ind w:firstLine="359" w:firstLineChars="171"/>
        <w:rPr>
          <w:rFonts w:hAnsi="宋体"/>
          <w:color w:val="auto"/>
          <w:sz w:val="21"/>
          <w:szCs w:val="21"/>
          <w:highlight w:val="none"/>
        </w:rPr>
      </w:pPr>
      <w:r>
        <w:rPr>
          <w:rFonts w:hint="eastAsia" w:hAnsi="宋体"/>
          <w:color w:val="auto"/>
          <w:sz w:val="21"/>
          <w:szCs w:val="21"/>
          <w:highlight w:val="none"/>
        </w:rPr>
        <w:t>10.3 甲方对乙方提供的货物在使用前进行调试时，乙方需负责安装并培训甲方的使用操作人员，并协助甲方一起调试，直到符合技术要求，甲方才做最终验收。</w:t>
      </w:r>
    </w:p>
    <w:p>
      <w:pPr>
        <w:pStyle w:val="27"/>
        <w:spacing w:line="360" w:lineRule="auto"/>
        <w:ind w:firstLine="359" w:firstLineChars="171"/>
        <w:rPr>
          <w:rFonts w:hAnsi="宋体"/>
          <w:color w:val="auto"/>
          <w:sz w:val="21"/>
          <w:szCs w:val="21"/>
          <w:highlight w:val="none"/>
        </w:rPr>
      </w:pPr>
      <w:r>
        <w:rPr>
          <w:rFonts w:hint="eastAsia" w:hAnsi="宋体"/>
          <w:color w:val="auto"/>
          <w:sz w:val="21"/>
          <w:szCs w:val="21"/>
          <w:highlight w:val="none"/>
        </w:rPr>
        <w:t>10.4 验收时乙方必须在现场，验收完毕后作出验收结果报告。</w:t>
      </w:r>
    </w:p>
    <w:p>
      <w:pPr>
        <w:pStyle w:val="27"/>
        <w:spacing w:line="360" w:lineRule="auto"/>
        <w:ind w:firstLine="359" w:firstLineChars="171"/>
        <w:rPr>
          <w:rFonts w:hAnsi="宋体"/>
          <w:color w:val="auto"/>
          <w:sz w:val="21"/>
          <w:szCs w:val="21"/>
          <w:highlight w:val="none"/>
        </w:rPr>
      </w:pPr>
      <w:r>
        <w:rPr>
          <w:rFonts w:hint="eastAsia" w:hAnsi="宋体"/>
          <w:color w:val="auto"/>
          <w:sz w:val="21"/>
          <w:szCs w:val="21"/>
          <w:highlight w:val="none"/>
        </w:rPr>
        <w:t>10.5 对技术复杂的货物，甲方可请国家认可的专业检测机构参与验收，并由其出具质量检测报告，相关费用由甲方承担。</w:t>
      </w:r>
    </w:p>
    <w:p>
      <w:pPr>
        <w:pStyle w:val="27"/>
        <w:spacing w:line="360" w:lineRule="auto"/>
        <w:rPr>
          <w:rFonts w:hAnsi="宋体"/>
          <w:b/>
          <w:bCs/>
          <w:color w:val="auto"/>
          <w:sz w:val="21"/>
          <w:szCs w:val="21"/>
          <w:highlight w:val="none"/>
        </w:rPr>
      </w:pPr>
      <w:r>
        <w:rPr>
          <w:rFonts w:hint="eastAsia" w:hAnsi="宋体"/>
          <w:b/>
          <w:bCs/>
          <w:color w:val="auto"/>
          <w:sz w:val="21"/>
          <w:szCs w:val="21"/>
          <w:highlight w:val="none"/>
        </w:rPr>
        <w:t>11.  违约责任</w:t>
      </w:r>
    </w:p>
    <w:p>
      <w:pPr>
        <w:pStyle w:val="27"/>
        <w:spacing w:line="360" w:lineRule="auto"/>
        <w:ind w:left="2" w:firstLine="360"/>
        <w:rPr>
          <w:rFonts w:hAnsi="宋体"/>
          <w:color w:val="auto"/>
          <w:sz w:val="21"/>
          <w:szCs w:val="21"/>
          <w:highlight w:val="none"/>
        </w:rPr>
      </w:pPr>
      <w:r>
        <w:rPr>
          <w:rFonts w:hint="eastAsia" w:hAnsi="宋体"/>
          <w:color w:val="auto"/>
          <w:sz w:val="21"/>
          <w:szCs w:val="21"/>
          <w:highlight w:val="none"/>
        </w:rPr>
        <w:t>11.1 甲方无正当理由拒收货物的，甲方向乙方偿付拒收合同款总值的百分之五违约金。</w:t>
      </w:r>
    </w:p>
    <w:p>
      <w:pPr>
        <w:pStyle w:val="27"/>
        <w:spacing w:line="360" w:lineRule="auto"/>
        <w:ind w:left="2" w:firstLine="360"/>
        <w:rPr>
          <w:rFonts w:hAnsi="宋体"/>
          <w:color w:val="auto"/>
          <w:sz w:val="21"/>
          <w:szCs w:val="21"/>
          <w:highlight w:val="none"/>
        </w:rPr>
      </w:pPr>
      <w:r>
        <w:rPr>
          <w:rFonts w:hint="eastAsia" w:hAnsi="宋体"/>
          <w:color w:val="auto"/>
          <w:sz w:val="21"/>
          <w:szCs w:val="21"/>
          <w:highlight w:val="none"/>
        </w:rPr>
        <w:t>11.2 甲方无故逾期验收或办理合同款支付手续的，甲方应按逾期付款总额每日万分之五向乙方支付违约金。</w:t>
      </w:r>
    </w:p>
    <w:p>
      <w:pPr>
        <w:pStyle w:val="27"/>
        <w:spacing w:line="360" w:lineRule="auto"/>
        <w:ind w:left="2" w:firstLine="360"/>
        <w:rPr>
          <w:rFonts w:hAnsi="宋体"/>
          <w:color w:val="auto"/>
          <w:sz w:val="21"/>
          <w:szCs w:val="21"/>
          <w:highlight w:val="none"/>
        </w:rPr>
      </w:pPr>
      <w:r>
        <w:rPr>
          <w:rFonts w:hint="eastAsia" w:hAnsi="宋体"/>
          <w:color w:val="auto"/>
          <w:sz w:val="21"/>
          <w:szCs w:val="21"/>
          <w:highlight w:val="none"/>
        </w:rPr>
        <w:t>11.3 乙方逾期交付货物的，乙方应按逾期交货总额每日万分之五向甲方支付违约金，由甲方从待付合同款中扣除。乙方逾期超过本合同约定交货日期十个工作日不能交货的，甲方可解除本合同。乙方因逾期交货或因其他违约行为导致甲方解除合同的，乙方应向甲方支付合同总值百分之五的违约金，如造成甲方损失超过违约金的，超出部分由乙方继续承担赔偿责任。</w:t>
      </w:r>
    </w:p>
    <w:p>
      <w:pPr>
        <w:pStyle w:val="27"/>
        <w:spacing w:line="360" w:lineRule="auto"/>
        <w:ind w:left="2" w:firstLine="360"/>
        <w:rPr>
          <w:rFonts w:hAnsi="宋体"/>
          <w:color w:val="auto"/>
          <w:sz w:val="21"/>
          <w:szCs w:val="21"/>
          <w:highlight w:val="none"/>
        </w:rPr>
      </w:pPr>
      <w:r>
        <w:rPr>
          <w:rFonts w:hint="eastAsia" w:hAnsi="宋体"/>
          <w:color w:val="auto"/>
          <w:sz w:val="21"/>
          <w:szCs w:val="21"/>
          <w:highlight w:val="none"/>
        </w:rPr>
        <w:t>11.4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27"/>
        <w:spacing w:line="360" w:lineRule="auto"/>
        <w:rPr>
          <w:rFonts w:hAnsi="宋体"/>
          <w:b/>
          <w:bCs/>
          <w:color w:val="auto"/>
          <w:sz w:val="21"/>
          <w:szCs w:val="21"/>
          <w:highlight w:val="none"/>
        </w:rPr>
      </w:pPr>
      <w:r>
        <w:rPr>
          <w:rFonts w:hint="eastAsia" w:hAnsi="宋体"/>
          <w:b/>
          <w:bCs/>
          <w:color w:val="auto"/>
          <w:sz w:val="21"/>
          <w:szCs w:val="21"/>
          <w:highlight w:val="none"/>
        </w:rPr>
        <w:t>12.  不可抗力事件处理</w:t>
      </w:r>
    </w:p>
    <w:p>
      <w:pPr>
        <w:pStyle w:val="27"/>
        <w:spacing w:line="360" w:lineRule="auto"/>
        <w:ind w:firstLine="359" w:firstLineChars="171"/>
        <w:rPr>
          <w:rFonts w:hAnsi="宋体"/>
          <w:color w:val="auto"/>
          <w:sz w:val="21"/>
          <w:szCs w:val="21"/>
          <w:highlight w:val="none"/>
        </w:rPr>
      </w:pPr>
      <w:r>
        <w:rPr>
          <w:rFonts w:hint="eastAsia" w:hAnsi="宋体"/>
          <w:color w:val="auto"/>
          <w:sz w:val="21"/>
          <w:szCs w:val="21"/>
          <w:highlight w:val="none"/>
        </w:rPr>
        <w:t>12.1 在合同有效期内，任何一方因不可抗力事件导致不能履行合同，则合同履行期可延长，其延长期与不可抗力影响期相同。</w:t>
      </w:r>
    </w:p>
    <w:p>
      <w:pPr>
        <w:pStyle w:val="27"/>
        <w:spacing w:line="360" w:lineRule="auto"/>
        <w:ind w:firstLine="359" w:firstLineChars="171"/>
        <w:rPr>
          <w:rFonts w:hAnsi="宋体"/>
          <w:color w:val="auto"/>
          <w:sz w:val="21"/>
          <w:szCs w:val="21"/>
          <w:highlight w:val="none"/>
        </w:rPr>
      </w:pPr>
      <w:r>
        <w:rPr>
          <w:rFonts w:hint="eastAsia" w:hAnsi="宋体"/>
          <w:color w:val="auto"/>
          <w:sz w:val="21"/>
          <w:szCs w:val="21"/>
          <w:highlight w:val="none"/>
        </w:rPr>
        <w:t>12.2 不可抗力事件发生后，应立即通知对方，并寄送有关权威机构出具的证明。</w:t>
      </w:r>
    </w:p>
    <w:p>
      <w:pPr>
        <w:pStyle w:val="27"/>
        <w:spacing w:line="360" w:lineRule="auto"/>
        <w:ind w:firstLine="359" w:firstLineChars="171"/>
        <w:rPr>
          <w:rFonts w:hAnsi="宋体"/>
          <w:color w:val="auto"/>
          <w:sz w:val="21"/>
          <w:szCs w:val="21"/>
          <w:highlight w:val="none"/>
        </w:rPr>
      </w:pPr>
      <w:r>
        <w:rPr>
          <w:rFonts w:hint="eastAsia" w:hAnsi="宋体"/>
          <w:color w:val="auto"/>
          <w:sz w:val="21"/>
          <w:szCs w:val="21"/>
          <w:highlight w:val="none"/>
        </w:rPr>
        <w:t>12.3 不可抗力事件延续120天以上，双方应通过友好协商，确定是否继续履行合同。</w:t>
      </w:r>
    </w:p>
    <w:p>
      <w:pPr>
        <w:pStyle w:val="27"/>
        <w:spacing w:line="360" w:lineRule="auto"/>
        <w:rPr>
          <w:rFonts w:hAnsi="宋体"/>
          <w:b/>
          <w:bCs/>
          <w:color w:val="auto"/>
          <w:sz w:val="21"/>
          <w:szCs w:val="21"/>
          <w:highlight w:val="none"/>
        </w:rPr>
      </w:pPr>
      <w:r>
        <w:rPr>
          <w:rFonts w:hint="eastAsia" w:hAnsi="宋体"/>
          <w:b/>
          <w:bCs/>
          <w:color w:val="auto"/>
          <w:sz w:val="21"/>
          <w:szCs w:val="21"/>
          <w:highlight w:val="none"/>
        </w:rPr>
        <w:t>13.  诉讼</w:t>
      </w:r>
    </w:p>
    <w:p>
      <w:pPr>
        <w:pStyle w:val="27"/>
        <w:tabs>
          <w:tab w:val="left" w:pos="0"/>
        </w:tabs>
        <w:spacing w:line="360" w:lineRule="auto"/>
        <w:ind w:firstLine="359" w:firstLineChars="171"/>
        <w:rPr>
          <w:rFonts w:hAnsi="宋体"/>
          <w:color w:val="auto"/>
          <w:sz w:val="21"/>
          <w:szCs w:val="21"/>
          <w:highlight w:val="none"/>
        </w:rPr>
      </w:pPr>
      <w:r>
        <w:rPr>
          <w:rFonts w:hint="eastAsia" w:hAnsi="宋体"/>
          <w:color w:val="auto"/>
          <w:sz w:val="21"/>
          <w:szCs w:val="21"/>
          <w:highlight w:val="none"/>
        </w:rPr>
        <w:t>13.1 双方在执行合同中所发生的一切争议，应通过协商解决。如协商不成，可向合同签订地法院起诉，合同签订地在此约定为广西南宁横县。</w:t>
      </w:r>
    </w:p>
    <w:p>
      <w:pPr>
        <w:pStyle w:val="27"/>
        <w:spacing w:line="360" w:lineRule="auto"/>
        <w:rPr>
          <w:rFonts w:hAnsi="宋体"/>
          <w:b/>
          <w:bCs/>
          <w:color w:val="auto"/>
          <w:sz w:val="21"/>
          <w:szCs w:val="21"/>
          <w:highlight w:val="none"/>
        </w:rPr>
      </w:pPr>
      <w:r>
        <w:rPr>
          <w:rFonts w:hint="eastAsia" w:hAnsi="宋体"/>
          <w:b/>
          <w:bCs/>
          <w:color w:val="auto"/>
          <w:sz w:val="21"/>
          <w:szCs w:val="21"/>
          <w:highlight w:val="none"/>
        </w:rPr>
        <w:t>14.  合同生效及其它</w:t>
      </w:r>
    </w:p>
    <w:p>
      <w:pPr>
        <w:pStyle w:val="27"/>
        <w:spacing w:line="360" w:lineRule="auto"/>
        <w:ind w:firstLine="360"/>
        <w:rPr>
          <w:rFonts w:hAnsi="宋体"/>
          <w:color w:val="auto"/>
          <w:sz w:val="21"/>
          <w:szCs w:val="21"/>
          <w:highlight w:val="none"/>
        </w:rPr>
      </w:pPr>
      <w:r>
        <w:rPr>
          <w:rFonts w:hint="eastAsia" w:hAnsi="宋体"/>
          <w:color w:val="auto"/>
          <w:sz w:val="21"/>
          <w:szCs w:val="21"/>
          <w:highlight w:val="none"/>
        </w:rPr>
        <w:t>14.1 合同经双方法定代表人或授权委托代理人签字并加盖单位公章后生效。</w:t>
      </w:r>
    </w:p>
    <w:p>
      <w:pPr>
        <w:pStyle w:val="27"/>
        <w:spacing w:line="360" w:lineRule="auto"/>
        <w:ind w:firstLine="360"/>
        <w:rPr>
          <w:rFonts w:hAnsi="宋体"/>
          <w:color w:val="auto"/>
          <w:sz w:val="21"/>
          <w:szCs w:val="21"/>
          <w:highlight w:val="none"/>
        </w:rPr>
      </w:pPr>
      <w:r>
        <w:rPr>
          <w:rFonts w:hint="eastAsia" w:hAnsi="宋体"/>
          <w:color w:val="auto"/>
          <w:sz w:val="21"/>
          <w:szCs w:val="21"/>
          <w:highlight w:val="none"/>
        </w:rPr>
        <w:t>14.2 合同执行中涉及采购资金和采购内容修改或补充的，须经市财政部门审批，并签书面补充协议报横县政府采购监督管理部门备案，方可作为主合同不可分割的一部分。</w:t>
      </w:r>
    </w:p>
    <w:p>
      <w:pPr>
        <w:pStyle w:val="27"/>
        <w:spacing w:line="360" w:lineRule="auto"/>
        <w:ind w:firstLine="360"/>
        <w:rPr>
          <w:rFonts w:hAnsi="宋体"/>
          <w:color w:val="auto"/>
          <w:sz w:val="21"/>
          <w:szCs w:val="21"/>
          <w:highlight w:val="none"/>
        </w:rPr>
      </w:pPr>
      <w:r>
        <w:rPr>
          <w:rFonts w:hint="eastAsia" w:hAnsi="宋体"/>
          <w:color w:val="auto"/>
          <w:sz w:val="21"/>
          <w:szCs w:val="21"/>
          <w:highlight w:val="none"/>
        </w:rPr>
        <w:t>14.3 下述合同附件为本合同不可分割的部分并与本合同具有同等效力：</w:t>
      </w:r>
    </w:p>
    <w:p>
      <w:pPr>
        <w:pStyle w:val="27"/>
        <w:spacing w:line="360" w:lineRule="auto"/>
        <w:ind w:firstLine="360"/>
        <w:rPr>
          <w:rFonts w:hAnsi="宋体"/>
          <w:color w:val="auto"/>
          <w:sz w:val="21"/>
          <w:szCs w:val="21"/>
          <w:highlight w:val="none"/>
        </w:rPr>
      </w:pPr>
      <w:r>
        <w:rPr>
          <w:rFonts w:hint="eastAsia" w:hAnsi="宋体"/>
          <w:color w:val="auto"/>
          <w:sz w:val="21"/>
          <w:szCs w:val="21"/>
          <w:highlight w:val="none"/>
        </w:rPr>
        <w:t>（1）中标通知书；</w:t>
      </w:r>
    </w:p>
    <w:p>
      <w:pPr>
        <w:pStyle w:val="27"/>
        <w:spacing w:line="360" w:lineRule="auto"/>
        <w:ind w:firstLine="360"/>
        <w:rPr>
          <w:rFonts w:hAnsi="宋体"/>
          <w:color w:val="auto"/>
          <w:sz w:val="21"/>
          <w:szCs w:val="21"/>
          <w:highlight w:val="none"/>
        </w:rPr>
      </w:pPr>
      <w:r>
        <w:rPr>
          <w:rFonts w:hint="eastAsia" w:hAnsi="宋体"/>
          <w:color w:val="auto"/>
          <w:sz w:val="21"/>
          <w:szCs w:val="21"/>
          <w:highlight w:val="none"/>
        </w:rPr>
        <w:t>（2）履约保证金交纳证明；</w:t>
      </w:r>
    </w:p>
    <w:p>
      <w:pPr>
        <w:pStyle w:val="27"/>
        <w:spacing w:line="360" w:lineRule="auto"/>
        <w:ind w:firstLine="360"/>
        <w:rPr>
          <w:rFonts w:hAnsi="宋体"/>
          <w:color w:val="auto"/>
          <w:sz w:val="21"/>
          <w:szCs w:val="21"/>
          <w:highlight w:val="none"/>
        </w:rPr>
      </w:pPr>
      <w:r>
        <w:rPr>
          <w:rFonts w:hint="eastAsia" w:hAnsi="宋体"/>
          <w:color w:val="auto"/>
          <w:sz w:val="21"/>
          <w:szCs w:val="21"/>
          <w:highlight w:val="none"/>
        </w:rPr>
        <w:t>（3）招标文件货物需求一览表；</w:t>
      </w:r>
    </w:p>
    <w:p>
      <w:pPr>
        <w:pStyle w:val="27"/>
        <w:spacing w:line="360" w:lineRule="auto"/>
        <w:ind w:firstLine="360"/>
        <w:rPr>
          <w:rFonts w:hAnsi="宋体"/>
          <w:color w:val="auto"/>
          <w:sz w:val="21"/>
          <w:szCs w:val="21"/>
          <w:highlight w:val="none"/>
        </w:rPr>
      </w:pPr>
      <w:r>
        <w:rPr>
          <w:rFonts w:hint="eastAsia" w:hAnsi="宋体"/>
          <w:color w:val="auto"/>
          <w:sz w:val="21"/>
          <w:szCs w:val="21"/>
          <w:highlight w:val="none"/>
        </w:rPr>
        <w:t>（4）招标文件的澄清和修改；</w:t>
      </w:r>
    </w:p>
    <w:p>
      <w:pPr>
        <w:pStyle w:val="27"/>
        <w:spacing w:line="360" w:lineRule="auto"/>
        <w:ind w:firstLine="360"/>
        <w:rPr>
          <w:rFonts w:hAnsi="宋体"/>
          <w:color w:val="auto"/>
          <w:sz w:val="21"/>
          <w:szCs w:val="21"/>
          <w:highlight w:val="none"/>
        </w:rPr>
      </w:pPr>
      <w:r>
        <w:rPr>
          <w:rFonts w:hint="eastAsia" w:hAnsi="宋体"/>
          <w:color w:val="auto"/>
          <w:sz w:val="21"/>
          <w:szCs w:val="21"/>
          <w:highlight w:val="none"/>
        </w:rPr>
        <w:t>（5）投标报价表；</w:t>
      </w:r>
    </w:p>
    <w:p>
      <w:pPr>
        <w:pStyle w:val="27"/>
        <w:spacing w:line="360" w:lineRule="auto"/>
        <w:ind w:firstLine="360"/>
        <w:rPr>
          <w:rFonts w:hAnsi="宋体"/>
          <w:color w:val="auto"/>
          <w:sz w:val="21"/>
          <w:szCs w:val="21"/>
          <w:highlight w:val="none"/>
        </w:rPr>
      </w:pPr>
      <w:r>
        <w:rPr>
          <w:rFonts w:hint="eastAsia" w:hAnsi="宋体"/>
          <w:color w:val="auto"/>
          <w:sz w:val="21"/>
          <w:szCs w:val="21"/>
          <w:highlight w:val="none"/>
        </w:rPr>
        <w:t>（6）投标产品技术资料表、商务条款偏离表；</w:t>
      </w:r>
    </w:p>
    <w:p>
      <w:pPr>
        <w:pStyle w:val="27"/>
        <w:spacing w:line="360" w:lineRule="auto"/>
        <w:ind w:firstLine="360"/>
        <w:rPr>
          <w:rFonts w:hAnsi="宋体"/>
          <w:color w:val="auto"/>
          <w:sz w:val="21"/>
          <w:szCs w:val="21"/>
          <w:highlight w:val="none"/>
        </w:rPr>
      </w:pPr>
      <w:r>
        <w:rPr>
          <w:rFonts w:hint="eastAsia" w:hAnsi="宋体"/>
          <w:color w:val="auto"/>
          <w:sz w:val="21"/>
          <w:szCs w:val="21"/>
          <w:highlight w:val="none"/>
        </w:rPr>
        <w:t>（7）中标供应商澄清函；</w:t>
      </w:r>
    </w:p>
    <w:p>
      <w:pPr>
        <w:pStyle w:val="27"/>
        <w:spacing w:line="360" w:lineRule="auto"/>
        <w:ind w:firstLine="360"/>
        <w:rPr>
          <w:rFonts w:hAnsi="宋体"/>
          <w:color w:val="auto"/>
          <w:sz w:val="21"/>
          <w:szCs w:val="21"/>
          <w:highlight w:val="none"/>
        </w:rPr>
      </w:pPr>
      <w:r>
        <w:rPr>
          <w:rFonts w:hint="eastAsia" w:hAnsi="宋体"/>
          <w:color w:val="auto"/>
          <w:sz w:val="21"/>
          <w:szCs w:val="21"/>
          <w:highlight w:val="none"/>
        </w:rPr>
        <w:t>（8）其他与本合同相关的资料。</w:t>
      </w:r>
    </w:p>
    <w:p>
      <w:pPr>
        <w:pStyle w:val="27"/>
        <w:spacing w:line="360" w:lineRule="auto"/>
        <w:ind w:firstLine="360"/>
        <w:rPr>
          <w:rFonts w:hAnsi="宋体"/>
          <w:color w:val="auto"/>
          <w:sz w:val="21"/>
          <w:szCs w:val="21"/>
          <w:highlight w:val="none"/>
        </w:rPr>
      </w:pPr>
      <w:r>
        <w:rPr>
          <w:rFonts w:hint="eastAsia" w:hAnsi="宋体"/>
          <w:color w:val="auto"/>
          <w:sz w:val="21"/>
          <w:szCs w:val="21"/>
          <w:highlight w:val="none"/>
        </w:rPr>
        <w:t>14.4 本合同未尽事宜，遵照《中华人民共和国合同法》有关条文执行。</w:t>
      </w:r>
    </w:p>
    <w:p>
      <w:pPr>
        <w:pStyle w:val="27"/>
        <w:spacing w:line="360" w:lineRule="auto"/>
        <w:ind w:firstLine="360"/>
        <w:rPr>
          <w:rFonts w:hAnsi="宋体"/>
          <w:color w:val="auto"/>
          <w:sz w:val="21"/>
          <w:szCs w:val="21"/>
          <w:highlight w:val="none"/>
        </w:rPr>
      </w:pPr>
      <w:r>
        <w:rPr>
          <w:rFonts w:hint="eastAsia" w:hAnsi="宋体"/>
          <w:color w:val="auto"/>
          <w:sz w:val="21"/>
          <w:szCs w:val="21"/>
          <w:highlight w:val="none"/>
        </w:rPr>
        <w:t>14.5本合同一式六份，具有同等法律效力，甲乙双方各执两份，广西科文招标有限公司存一份，并报横县政府采购监督管理部门备案一份。（可根据实际情况增加）</w:t>
      </w:r>
    </w:p>
    <w:p>
      <w:pPr>
        <w:pStyle w:val="27"/>
        <w:spacing w:line="360" w:lineRule="auto"/>
        <w:ind w:firstLine="360"/>
        <w:rPr>
          <w:rFonts w:hAnsi="宋体"/>
          <w:color w:val="auto"/>
          <w:sz w:val="21"/>
          <w:szCs w:val="21"/>
          <w:highlight w:val="none"/>
        </w:rPr>
      </w:pPr>
    </w:p>
    <w:p>
      <w:pPr>
        <w:pStyle w:val="27"/>
        <w:spacing w:line="360" w:lineRule="auto"/>
        <w:rPr>
          <w:rFonts w:hAnsi="宋体"/>
          <w:color w:val="auto"/>
          <w:sz w:val="21"/>
          <w:szCs w:val="21"/>
          <w:highlight w:val="none"/>
        </w:rPr>
      </w:pPr>
    </w:p>
    <w:p>
      <w:pPr>
        <w:pStyle w:val="27"/>
        <w:spacing w:line="360" w:lineRule="auto"/>
        <w:rPr>
          <w:rFonts w:hAnsi="宋体"/>
          <w:color w:val="auto"/>
          <w:sz w:val="21"/>
          <w:szCs w:val="21"/>
          <w:highlight w:val="none"/>
          <w:u w:val="single"/>
        </w:rPr>
      </w:pPr>
      <w:r>
        <w:rPr>
          <w:rFonts w:hint="eastAsia" w:hAnsi="宋体"/>
          <w:color w:val="auto"/>
          <w:sz w:val="21"/>
          <w:szCs w:val="21"/>
          <w:highlight w:val="none"/>
        </w:rPr>
        <w:t>甲方：                                        乙方：</w:t>
      </w:r>
    </w:p>
    <w:p>
      <w:pPr>
        <w:pStyle w:val="27"/>
        <w:spacing w:line="360" w:lineRule="auto"/>
        <w:rPr>
          <w:rFonts w:hAnsi="宋体"/>
          <w:color w:val="auto"/>
          <w:sz w:val="21"/>
          <w:szCs w:val="21"/>
          <w:highlight w:val="none"/>
        </w:rPr>
      </w:pPr>
      <w:r>
        <w:rPr>
          <w:rFonts w:hint="eastAsia" w:hAnsi="宋体"/>
          <w:color w:val="auto"/>
          <w:sz w:val="21"/>
          <w:szCs w:val="21"/>
          <w:highlight w:val="none"/>
        </w:rPr>
        <w:t>地址：                                        地址：</w:t>
      </w:r>
    </w:p>
    <w:p>
      <w:pPr>
        <w:pStyle w:val="27"/>
        <w:spacing w:line="360" w:lineRule="auto"/>
        <w:rPr>
          <w:rFonts w:hAnsi="宋体"/>
          <w:color w:val="auto"/>
          <w:sz w:val="21"/>
          <w:szCs w:val="21"/>
          <w:highlight w:val="none"/>
        </w:rPr>
      </w:pPr>
      <w:r>
        <w:rPr>
          <w:rFonts w:hint="eastAsia" w:hAnsi="宋体"/>
          <w:color w:val="auto"/>
          <w:sz w:val="21"/>
          <w:szCs w:val="21"/>
          <w:highlight w:val="none"/>
        </w:rPr>
        <w:t>法定代表人：                                  法定代表人：</w:t>
      </w:r>
    </w:p>
    <w:p>
      <w:pPr>
        <w:pStyle w:val="27"/>
        <w:spacing w:line="360" w:lineRule="auto"/>
        <w:rPr>
          <w:rFonts w:hAnsi="宋体"/>
          <w:color w:val="auto"/>
          <w:sz w:val="21"/>
          <w:szCs w:val="21"/>
          <w:highlight w:val="none"/>
        </w:rPr>
      </w:pPr>
      <w:r>
        <w:rPr>
          <w:rFonts w:hint="eastAsia" w:hAnsi="宋体"/>
          <w:color w:val="auto"/>
          <w:sz w:val="21"/>
          <w:szCs w:val="21"/>
          <w:highlight w:val="none"/>
        </w:rPr>
        <w:t>委托代理人：                                  委托代理人：</w:t>
      </w:r>
    </w:p>
    <w:p>
      <w:pPr>
        <w:pStyle w:val="27"/>
        <w:spacing w:line="360" w:lineRule="auto"/>
        <w:rPr>
          <w:rFonts w:hAnsi="宋体"/>
          <w:color w:val="auto"/>
          <w:sz w:val="21"/>
          <w:szCs w:val="21"/>
          <w:highlight w:val="none"/>
        </w:rPr>
      </w:pPr>
      <w:r>
        <w:rPr>
          <w:rFonts w:hint="eastAsia" w:hAnsi="宋体"/>
          <w:color w:val="auto"/>
          <w:sz w:val="21"/>
          <w:szCs w:val="21"/>
          <w:highlight w:val="none"/>
        </w:rPr>
        <w:t>电话：                                        电话：</w:t>
      </w:r>
    </w:p>
    <w:p>
      <w:pPr>
        <w:pStyle w:val="27"/>
        <w:spacing w:line="360" w:lineRule="auto"/>
        <w:rPr>
          <w:rFonts w:hAnsi="宋体"/>
          <w:color w:val="auto"/>
          <w:sz w:val="21"/>
          <w:szCs w:val="21"/>
          <w:highlight w:val="none"/>
        </w:rPr>
      </w:pPr>
      <w:r>
        <w:rPr>
          <w:rFonts w:hint="eastAsia" w:hAnsi="宋体"/>
          <w:color w:val="auto"/>
          <w:sz w:val="21"/>
          <w:szCs w:val="21"/>
          <w:highlight w:val="none"/>
        </w:rPr>
        <w:t>传真：                                        传真：</w:t>
      </w:r>
    </w:p>
    <w:p>
      <w:pPr>
        <w:pStyle w:val="27"/>
        <w:spacing w:line="360" w:lineRule="auto"/>
        <w:rPr>
          <w:rFonts w:hAnsi="宋体"/>
          <w:color w:val="auto"/>
          <w:sz w:val="21"/>
          <w:szCs w:val="21"/>
          <w:highlight w:val="none"/>
        </w:rPr>
      </w:pPr>
      <w:r>
        <w:rPr>
          <w:rFonts w:hint="eastAsia" w:hAnsi="宋体"/>
          <w:color w:val="auto"/>
          <w:sz w:val="21"/>
          <w:szCs w:val="21"/>
          <w:highlight w:val="none"/>
        </w:rPr>
        <w:t>邮政编码：                                    邮政编码：</w:t>
      </w:r>
    </w:p>
    <w:p>
      <w:pPr>
        <w:pStyle w:val="27"/>
        <w:spacing w:line="360" w:lineRule="auto"/>
        <w:rPr>
          <w:rFonts w:hAnsi="宋体"/>
          <w:color w:val="auto"/>
          <w:sz w:val="21"/>
          <w:szCs w:val="21"/>
          <w:highlight w:val="none"/>
          <w:u w:val="single"/>
        </w:rPr>
      </w:pPr>
      <w:r>
        <w:rPr>
          <w:rFonts w:hint="eastAsia" w:hAnsi="宋体"/>
          <w:color w:val="auto"/>
          <w:sz w:val="21"/>
          <w:szCs w:val="21"/>
          <w:highlight w:val="none"/>
        </w:rPr>
        <w:t xml:space="preserve">                                              开户银行：</w:t>
      </w:r>
    </w:p>
    <w:p>
      <w:pPr>
        <w:pStyle w:val="27"/>
        <w:spacing w:line="360" w:lineRule="auto"/>
        <w:rPr>
          <w:rFonts w:hAnsi="宋体"/>
          <w:color w:val="auto"/>
          <w:sz w:val="21"/>
          <w:szCs w:val="21"/>
          <w:highlight w:val="none"/>
          <w:u w:val="single"/>
        </w:rPr>
      </w:pPr>
      <w:r>
        <w:rPr>
          <w:rFonts w:hint="eastAsia" w:hAnsi="宋体"/>
          <w:color w:val="auto"/>
          <w:sz w:val="21"/>
          <w:szCs w:val="21"/>
          <w:highlight w:val="none"/>
        </w:rPr>
        <w:t xml:space="preserve">                                              开户名称：</w:t>
      </w:r>
    </w:p>
    <w:p>
      <w:pPr>
        <w:pStyle w:val="27"/>
        <w:spacing w:line="360" w:lineRule="auto"/>
        <w:rPr>
          <w:rFonts w:hAnsi="宋体"/>
          <w:color w:val="auto"/>
          <w:sz w:val="21"/>
          <w:szCs w:val="21"/>
          <w:highlight w:val="none"/>
          <w:u w:val="single"/>
        </w:rPr>
      </w:pPr>
      <w:r>
        <w:rPr>
          <w:rFonts w:hint="eastAsia" w:hAnsi="宋体"/>
          <w:color w:val="auto"/>
          <w:sz w:val="21"/>
          <w:szCs w:val="21"/>
          <w:highlight w:val="none"/>
        </w:rPr>
        <w:t xml:space="preserve">                                              银行账号：</w:t>
      </w:r>
    </w:p>
    <w:p>
      <w:pPr>
        <w:pStyle w:val="27"/>
        <w:spacing w:line="360" w:lineRule="auto"/>
        <w:ind w:left="178" w:leftChars="85"/>
        <w:rPr>
          <w:rFonts w:hAnsi="宋体"/>
          <w:color w:val="auto"/>
          <w:sz w:val="21"/>
          <w:szCs w:val="21"/>
          <w:highlight w:val="none"/>
        </w:rPr>
      </w:pPr>
    </w:p>
    <w:p>
      <w:pPr>
        <w:pStyle w:val="27"/>
        <w:spacing w:line="360" w:lineRule="auto"/>
        <w:ind w:left="178" w:leftChars="85"/>
        <w:rPr>
          <w:rFonts w:hAnsi="宋体"/>
          <w:color w:val="auto"/>
          <w:sz w:val="21"/>
          <w:szCs w:val="21"/>
          <w:highlight w:val="none"/>
        </w:rPr>
      </w:pPr>
    </w:p>
    <w:p>
      <w:pPr>
        <w:pStyle w:val="27"/>
        <w:spacing w:line="360" w:lineRule="auto"/>
        <w:rPr>
          <w:rFonts w:hAnsi="宋体"/>
          <w:color w:val="auto"/>
          <w:sz w:val="21"/>
          <w:szCs w:val="21"/>
          <w:highlight w:val="none"/>
        </w:rPr>
      </w:pPr>
      <w:r>
        <w:rPr>
          <w:rFonts w:hint="eastAsia" w:hAnsi="宋体"/>
          <w:color w:val="auto"/>
          <w:sz w:val="21"/>
          <w:szCs w:val="21"/>
          <w:highlight w:val="none"/>
        </w:rPr>
        <w:t>合同签订地点：横县市</w:t>
      </w:r>
    </w:p>
    <w:p>
      <w:pPr>
        <w:pStyle w:val="27"/>
        <w:spacing w:line="360" w:lineRule="auto"/>
        <w:rPr>
          <w:rFonts w:hAnsi="宋体"/>
          <w:color w:val="auto"/>
          <w:sz w:val="21"/>
          <w:szCs w:val="21"/>
          <w:highlight w:val="none"/>
        </w:rPr>
      </w:pPr>
      <w:r>
        <w:rPr>
          <w:rFonts w:hint="eastAsia" w:hAnsi="宋体"/>
          <w:color w:val="auto"/>
          <w:sz w:val="21"/>
          <w:szCs w:val="21"/>
          <w:highlight w:val="none"/>
        </w:rPr>
        <w:t>合同签订日期：     年   月   日</w:t>
      </w:r>
    </w:p>
    <w:p>
      <w:pPr>
        <w:pStyle w:val="27"/>
        <w:jc w:val="center"/>
        <w:outlineLvl w:val="0"/>
        <w:rPr>
          <w:rFonts w:hAnsi="宋体"/>
          <w:b/>
          <w:bCs/>
          <w:color w:val="auto"/>
          <w:sz w:val="21"/>
          <w:szCs w:val="21"/>
          <w:highlight w:val="none"/>
        </w:rPr>
      </w:pPr>
    </w:p>
    <w:p>
      <w:pPr>
        <w:pStyle w:val="27"/>
        <w:jc w:val="center"/>
        <w:outlineLvl w:val="0"/>
        <w:rPr>
          <w:rFonts w:hAnsi="宋体"/>
          <w:b/>
          <w:bCs/>
          <w:color w:val="auto"/>
          <w:sz w:val="21"/>
          <w:szCs w:val="21"/>
          <w:highlight w:val="none"/>
        </w:rPr>
      </w:pPr>
    </w:p>
    <w:sectPr>
      <w:headerReference r:id="rId11" w:type="first"/>
      <w:footerReference r:id="rId14" w:type="first"/>
      <w:headerReference r:id="rId9" w:type="default"/>
      <w:footerReference r:id="rId12" w:type="default"/>
      <w:headerReference r:id="rId10" w:type="even"/>
      <w:footerReference r:id="rId13" w:type="even"/>
      <w:pgSz w:w="11906" w:h="16838"/>
      <w:pgMar w:top="1440" w:right="1134" w:bottom="144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Century Gothic">
    <w:altName w:val="Segoe Print"/>
    <w:panose1 w:val="00000000000000000000"/>
    <w:charset w:val="00"/>
    <w:family w:val="swiss"/>
    <w:pitch w:val="default"/>
    <w:sig w:usb0="00000000" w:usb1="00000000" w:usb2="00000000" w:usb3="00000000" w:csb0="2000009F" w:csb1="DFD70000"/>
  </w:font>
  <w:font w:name="Arial Unicode MS">
    <w:altName w:val="Arial"/>
    <w:panose1 w:val="020B0604020202020204"/>
    <w:charset w:val="00"/>
    <w:family w:val="roman"/>
    <w:pitch w:val="default"/>
    <w:sig w:usb0="00000000" w:usb1="00000000" w:usb2="00000000" w:usb3="00000000" w:csb0="00000001" w:csb1="00000000"/>
  </w:font>
  <w:font w:name="Noto Sans CJK JP Regular">
    <w:altName w:val="Segoe Print"/>
    <w:panose1 w:val="00000000000000000000"/>
    <w:charset w:val="00"/>
    <w:family w:val="swiss"/>
    <w:pitch w:val="default"/>
    <w:sig w:usb0="00000000" w:usb1="00000000" w:usb2="00000000" w:usb3="00000000" w:csb0="00040001" w:csb1="00000000"/>
  </w:font>
  <w:font w:name="华康简魏碑">
    <w:altName w:val="宋体"/>
    <w:panose1 w:val="00000000000000000000"/>
    <w:charset w:val="86"/>
    <w:family w:val="modern"/>
    <w:pitch w:val="default"/>
    <w:sig w:usb0="00000000" w:usb1="00000000" w:usb2="00000010" w:usb3="00000000" w:csb0="00040000" w:csb1="00000000"/>
  </w:font>
  <w:font w:name="文鼎CS楷体">
    <w:altName w:val="宋体"/>
    <w:panose1 w:val="00000000000000000000"/>
    <w:charset w:val="86"/>
    <w:family w:val="modern"/>
    <w:pitch w:val="default"/>
    <w:sig w:usb0="00000000" w:usb1="00000000" w:usb2="00000010" w:usb3="00000000" w:csb0="00040000" w:csb1="00000000"/>
  </w:font>
  <w:font w:name="ˎ̥,Verdana">
    <w:altName w:val="Times New Roman"/>
    <w:panose1 w:val="00000000000000000000"/>
    <w:charset w:val="00"/>
    <w:family w:val="roman"/>
    <w:pitch w:val="default"/>
    <w:sig w:usb0="00000000" w:usb1="00000000" w:usb2="00000000" w:usb3="00000000" w:csb0="00040001" w:csb1="00000000"/>
  </w:font>
  <w:font w:name="方正黑体_GBK">
    <w:altName w:val="宋体"/>
    <w:panose1 w:val="00000000000000000000"/>
    <w:charset w:val="86"/>
    <w:family w:val="roman"/>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6"/>
      </w:rPr>
    </w:pPr>
    <w:r>
      <w:fldChar w:fldCharType="begin"/>
    </w:r>
    <w:r>
      <w:rPr>
        <w:rStyle w:val="56"/>
      </w:rPr>
      <w:instrText xml:space="preserve">PAGE  </w:instrText>
    </w:r>
    <w:r>
      <w:fldChar w:fldCharType="separate"/>
    </w:r>
    <w:r>
      <w:rPr>
        <w:rStyle w:val="56"/>
      </w:rPr>
      <w:t>1</w:t>
    </w:r>
    <w:r>
      <w:fldChar w:fldCharType="end"/>
    </w:r>
  </w:p>
  <w:p>
    <w:pPr>
      <w:pStyle w:val="3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6"/>
        <w:sz w:val="21"/>
      </w:rPr>
    </w:pPr>
    <w:r>
      <w:rPr>
        <w:sz w:val="21"/>
      </w:rPr>
      <w:fldChar w:fldCharType="begin"/>
    </w:r>
    <w:r>
      <w:rPr>
        <w:rStyle w:val="56"/>
        <w:sz w:val="21"/>
      </w:rPr>
      <w:instrText xml:space="preserve">PAGE  </w:instrText>
    </w:r>
    <w:r>
      <w:rPr>
        <w:sz w:val="21"/>
      </w:rPr>
      <w:fldChar w:fldCharType="separate"/>
    </w:r>
    <w:r>
      <w:rPr>
        <w:rStyle w:val="56"/>
        <w:sz w:val="21"/>
      </w:rPr>
      <w:t>0</w:t>
    </w:r>
    <w:r>
      <w:rPr>
        <w:sz w:val="21"/>
      </w:rPr>
      <w:fldChar w:fldCharType="end"/>
    </w:r>
  </w:p>
  <w:p>
    <w:pPr>
      <w:pStyle w:val="32"/>
      <w:rPr>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116</w:t>
    </w:r>
    <w:r>
      <w:rPr>
        <w:sz w:val="21"/>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tabs>
        <w:tab w:val="center" w:pos="0"/>
        <w:tab w:val="clear" w:pos="4153"/>
      </w:tabs>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22"/>
      <w:lvlText w:val="%1."/>
      <w:lvlJc w:val="left"/>
      <w:pPr>
        <w:tabs>
          <w:tab w:val="left" w:pos="1200"/>
        </w:tabs>
        <w:ind w:left="1200" w:hanging="360"/>
      </w:pPr>
    </w:lvl>
  </w:abstractNum>
  <w:abstractNum w:abstractNumId="1">
    <w:nsid w:val="00000006"/>
    <w:multiLevelType w:val="multilevel"/>
    <w:tmpl w:val="00000006"/>
    <w:lvl w:ilvl="0" w:tentative="0">
      <w:start w:val="1"/>
      <w:numFmt w:val="decimal"/>
      <w:pStyle w:val="439"/>
      <w:lvlText w:val="（%1）"/>
      <w:lvlJc w:val="left"/>
      <w:pPr>
        <w:tabs>
          <w:tab w:val="left" w:pos="1140"/>
        </w:tabs>
        <w:ind w:left="1140" w:hanging="720"/>
      </w:pPr>
      <w:rPr>
        <w:rFonts w:ascii="宋体" w:hAnsi="宋体" w:eastAsia="宋体" w:cs="Times New Roman"/>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00000009"/>
    <w:multiLevelType w:val="multilevel"/>
    <w:tmpl w:val="00000009"/>
    <w:lvl w:ilvl="0" w:tentative="0">
      <w:start w:val="1"/>
      <w:numFmt w:val="decimal"/>
      <w:lvlText w:val="（%1）"/>
      <w:lvlJc w:val="left"/>
      <w:pPr>
        <w:tabs>
          <w:tab w:val="left" w:pos="1140"/>
        </w:tabs>
        <w:ind w:left="1140" w:hanging="7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0000000A"/>
    <w:multiLevelType w:val="multilevel"/>
    <w:tmpl w:val="0000000A"/>
    <w:lvl w:ilvl="0" w:tentative="0">
      <w:start w:val="1"/>
      <w:numFmt w:val="decimal"/>
      <w:lvlText w:val="%1、"/>
      <w:lvlJc w:val="left"/>
      <w:pPr>
        <w:tabs>
          <w:tab w:val="left" w:pos="972"/>
        </w:tabs>
        <w:ind w:left="1320" w:hanging="564"/>
      </w:pPr>
      <w:rPr>
        <w:rFonts w:hint="eastAsia"/>
      </w:rPr>
    </w:lvl>
    <w:lvl w:ilvl="1" w:tentative="0">
      <w:start w:val="1"/>
      <w:numFmt w:val="lowerLetter"/>
      <w:lvlText w:val="%2."/>
      <w:lvlJc w:val="left"/>
      <w:pPr>
        <w:tabs>
          <w:tab w:val="left" w:pos="1980"/>
        </w:tabs>
        <w:ind w:left="1980" w:hanging="360"/>
      </w:pPr>
    </w:lvl>
    <w:lvl w:ilvl="2" w:tentative="0">
      <w:start w:val="1"/>
      <w:numFmt w:val="lowerRoman"/>
      <w:lvlText w:val="%3."/>
      <w:lvlJc w:val="right"/>
      <w:pPr>
        <w:tabs>
          <w:tab w:val="left" w:pos="2700"/>
        </w:tabs>
        <w:ind w:left="2700" w:hanging="180"/>
      </w:pPr>
    </w:lvl>
    <w:lvl w:ilvl="3" w:tentative="0">
      <w:start w:val="1"/>
      <w:numFmt w:val="decimal"/>
      <w:lvlText w:val="%4."/>
      <w:lvlJc w:val="left"/>
      <w:pPr>
        <w:tabs>
          <w:tab w:val="left" w:pos="3420"/>
        </w:tabs>
        <w:ind w:left="3420" w:hanging="360"/>
      </w:pPr>
    </w:lvl>
    <w:lvl w:ilvl="4" w:tentative="0">
      <w:start w:val="1"/>
      <w:numFmt w:val="lowerLetter"/>
      <w:lvlText w:val="%5."/>
      <w:lvlJc w:val="left"/>
      <w:pPr>
        <w:tabs>
          <w:tab w:val="left" w:pos="4140"/>
        </w:tabs>
        <w:ind w:left="4140" w:hanging="360"/>
      </w:pPr>
    </w:lvl>
    <w:lvl w:ilvl="5" w:tentative="0">
      <w:start w:val="1"/>
      <w:numFmt w:val="lowerRoman"/>
      <w:lvlText w:val="%6."/>
      <w:lvlJc w:val="right"/>
      <w:pPr>
        <w:tabs>
          <w:tab w:val="left" w:pos="4860"/>
        </w:tabs>
        <w:ind w:left="4860" w:hanging="180"/>
      </w:pPr>
    </w:lvl>
    <w:lvl w:ilvl="6" w:tentative="0">
      <w:start w:val="1"/>
      <w:numFmt w:val="decimal"/>
      <w:lvlText w:val="%7."/>
      <w:lvlJc w:val="left"/>
      <w:pPr>
        <w:tabs>
          <w:tab w:val="left" w:pos="5580"/>
        </w:tabs>
        <w:ind w:left="5580" w:hanging="360"/>
      </w:pPr>
    </w:lvl>
    <w:lvl w:ilvl="7" w:tentative="0">
      <w:start w:val="1"/>
      <w:numFmt w:val="lowerLetter"/>
      <w:lvlText w:val="%8."/>
      <w:lvlJc w:val="left"/>
      <w:pPr>
        <w:tabs>
          <w:tab w:val="left" w:pos="6300"/>
        </w:tabs>
        <w:ind w:left="6300" w:hanging="360"/>
      </w:pPr>
    </w:lvl>
    <w:lvl w:ilvl="8" w:tentative="0">
      <w:start w:val="1"/>
      <w:numFmt w:val="lowerRoman"/>
      <w:lvlText w:val="%9."/>
      <w:lvlJc w:val="right"/>
      <w:pPr>
        <w:tabs>
          <w:tab w:val="left" w:pos="7020"/>
        </w:tabs>
        <w:ind w:left="7020" w:hanging="180"/>
      </w:pPr>
    </w:lvl>
  </w:abstractNum>
  <w:abstractNum w:abstractNumId="4">
    <w:nsid w:val="00000028"/>
    <w:multiLevelType w:val="multilevel"/>
    <w:tmpl w:val="00000028"/>
    <w:lvl w:ilvl="0" w:tentative="0">
      <w:start w:val="1"/>
      <w:numFmt w:val="bullet"/>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200"/>
        </w:tabs>
        <w:ind w:left="1200" w:hanging="360"/>
      </w:pPr>
      <w:rPr>
        <w:rFonts w:hint="eastAsia" w:ascii="Times New Roman" w:hAnsi="Times New Roman"/>
      </w:rPr>
    </w:lvl>
    <w:lvl w:ilvl="2" w:tentative="0">
      <w:start w:val="1"/>
      <w:numFmt w:val="decimal"/>
      <w:pStyle w:val="361"/>
      <w:lvlText w:val="（%3）"/>
      <w:lvlJc w:val="left"/>
      <w:pPr>
        <w:tabs>
          <w:tab w:val="left" w:pos="1980"/>
        </w:tabs>
        <w:ind w:left="1980" w:hanging="720"/>
      </w:pPr>
      <w:rPr>
        <w:rFonts w:hint="default"/>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5">
    <w:nsid w:val="0A760F1C"/>
    <w:multiLevelType w:val="multilevel"/>
    <w:tmpl w:val="0A760F1C"/>
    <w:lvl w:ilvl="0" w:tentative="0">
      <w:start w:val="1"/>
      <w:numFmt w:val="decimal"/>
      <w:pStyle w:val="406"/>
      <w:suff w:val="space"/>
      <w:lvlText w:val="第%1章"/>
      <w:lvlJc w:val="center"/>
      <w:pPr>
        <w:ind w:left="0" w:firstLine="288"/>
      </w:pPr>
      <w:rPr>
        <w:rFonts w:hint="eastAsia" w:ascii="黑体" w:hAnsi="黑体" w:eastAsia="黑体"/>
        <w:sz w:val="36"/>
      </w:rPr>
    </w:lvl>
    <w:lvl w:ilvl="1" w:tentative="0">
      <w:start w:val="1"/>
      <w:numFmt w:val="decimal"/>
      <w:pStyle w:val="462"/>
      <w:suff w:val="space"/>
      <w:lvlText w:val="%1.%2"/>
      <w:lvlJc w:val="left"/>
      <w:pPr>
        <w:ind w:left="0" w:firstLine="0"/>
      </w:pPr>
      <w:rPr>
        <w:rFonts w:hint="eastAsia" w:ascii="黑体" w:hAnsi="黑体" w:eastAsia="黑体"/>
        <w:sz w:val="30"/>
      </w:rPr>
    </w:lvl>
    <w:lvl w:ilvl="2" w:tentative="0">
      <w:start w:val="1"/>
      <w:numFmt w:val="decimal"/>
      <w:pStyle w:val="87"/>
      <w:suff w:val="space"/>
      <w:lvlText w:val="%1.%2.%3"/>
      <w:lvlJc w:val="left"/>
      <w:pPr>
        <w:ind w:left="426" w:firstLine="0"/>
      </w:pPr>
      <w:rPr>
        <w:rFonts w:hint="eastAsia" w:ascii="黑体" w:hAnsi="黑体" w:eastAsia="黑体"/>
        <w:sz w:val="28"/>
      </w:rPr>
    </w:lvl>
    <w:lvl w:ilvl="3" w:tentative="0">
      <w:start w:val="1"/>
      <w:numFmt w:val="decimal"/>
      <w:pStyle w:val="376"/>
      <w:suff w:val="space"/>
      <w:lvlText w:val="%1.%2.%3.%4"/>
      <w:lvlJc w:val="left"/>
      <w:pPr>
        <w:ind w:left="284" w:firstLine="0"/>
      </w:pPr>
      <w:rPr>
        <w:rFonts w:hint="eastAsia" w:ascii="黑体" w:hAnsi="黑体" w:eastAsia="黑体"/>
        <w:sz w:val="24"/>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6">
    <w:nsid w:val="13D92318"/>
    <w:multiLevelType w:val="multilevel"/>
    <w:tmpl w:val="13D92318"/>
    <w:lvl w:ilvl="0" w:tentative="0">
      <w:start w:val="1"/>
      <w:numFmt w:val="bullet"/>
      <w:pStyle w:val="314"/>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7">
    <w:nsid w:val="14066038"/>
    <w:multiLevelType w:val="multilevel"/>
    <w:tmpl w:val="14066038"/>
    <w:lvl w:ilvl="0" w:tentative="0">
      <w:start w:val="1"/>
      <w:numFmt w:val="bullet"/>
      <w:pStyle w:val="262"/>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0"/>
      <w:numFmt w:val="bullet"/>
      <w:lvlText w:val="—"/>
      <w:lvlJc w:val="left"/>
      <w:pPr>
        <w:tabs>
          <w:tab w:val="left" w:pos="2040"/>
        </w:tabs>
        <w:ind w:left="2040" w:hanging="360"/>
      </w:pPr>
      <w:rPr>
        <w:rFonts w:hint="eastAsia" w:ascii="宋体" w:hAnsi="宋体" w:eastAsia="宋体"/>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208A7ABE"/>
    <w:multiLevelType w:val="multilevel"/>
    <w:tmpl w:val="208A7ABE"/>
    <w:lvl w:ilvl="0" w:tentative="0">
      <w:start w:val="1"/>
      <w:numFmt w:val="decimal"/>
      <w:pStyle w:val="414"/>
      <w:suff w:val="space"/>
      <w:lvlText w:val="表%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
    <w:nsid w:val="20B87141"/>
    <w:multiLevelType w:val="multilevel"/>
    <w:tmpl w:val="20B87141"/>
    <w:lvl w:ilvl="0" w:tentative="0">
      <w:start w:val="1"/>
      <w:numFmt w:val="decimal"/>
      <w:pStyle w:val="229"/>
      <w:lvlText w:val="%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250B3D73"/>
    <w:multiLevelType w:val="multilevel"/>
    <w:tmpl w:val="250B3D73"/>
    <w:lvl w:ilvl="0" w:tentative="0">
      <w:start w:val="1"/>
      <w:numFmt w:val="decimal"/>
      <w:pStyle w:val="147"/>
      <w:lvlText w:val="%1）"/>
      <w:lvlJc w:val="left"/>
      <w:pPr>
        <w:ind w:left="900" w:hanging="420"/>
      </w:pPr>
      <w:rPr>
        <w:rFonts w:hint="default"/>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1">
    <w:nsid w:val="2A594BF2"/>
    <w:multiLevelType w:val="multilevel"/>
    <w:tmpl w:val="2A594BF2"/>
    <w:lvl w:ilvl="0" w:tentative="0">
      <w:start w:val="1"/>
      <w:numFmt w:val="bullet"/>
      <w:pStyle w:val="307"/>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12">
    <w:nsid w:val="3146156C"/>
    <w:multiLevelType w:val="multilevel"/>
    <w:tmpl w:val="3146156C"/>
    <w:lvl w:ilvl="0" w:tentative="0">
      <w:start w:val="1"/>
      <w:numFmt w:val="decimal"/>
      <w:pStyle w:val="372"/>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34001479"/>
    <w:multiLevelType w:val="multilevel"/>
    <w:tmpl w:val="34001479"/>
    <w:lvl w:ilvl="0" w:tentative="0">
      <w:start w:val="1"/>
      <w:numFmt w:val="bullet"/>
      <w:pStyle w:val="137"/>
      <w:lvlText w:val=""/>
      <w:lvlJc w:val="left"/>
      <w:pPr>
        <w:ind w:left="618"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4">
    <w:nsid w:val="36F802E5"/>
    <w:multiLevelType w:val="multilevel"/>
    <w:tmpl w:val="36F802E5"/>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pStyle w:val="9"/>
      <w:lvlText w:val=""/>
      <w:lvlJc w:val="left"/>
      <w:pPr>
        <w:ind w:left="3500" w:hanging="420"/>
      </w:pPr>
      <w:rPr>
        <w:rFonts w:hint="default" w:ascii="Wingdings" w:hAnsi="Wingdings"/>
      </w:rPr>
    </w:lvl>
    <w:lvl w:ilvl="7" w:tentative="0">
      <w:start w:val="1"/>
      <w:numFmt w:val="bullet"/>
      <w:pStyle w:val="10"/>
      <w:lvlText w:val=""/>
      <w:lvlJc w:val="left"/>
      <w:pPr>
        <w:ind w:left="3920" w:hanging="420"/>
      </w:pPr>
      <w:rPr>
        <w:rFonts w:hint="default" w:ascii="Wingdings" w:hAnsi="Wingdings"/>
      </w:rPr>
    </w:lvl>
    <w:lvl w:ilvl="8" w:tentative="0">
      <w:start w:val="1"/>
      <w:numFmt w:val="bullet"/>
      <w:pStyle w:val="11"/>
      <w:lvlText w:val=""/>
      <w:lvlJc w:val="left"/>
      <w:pPr>
        <w:ind w:left="4340" w:hanging="420"/>
      </w:pPr>
      <w:rPr>
        <w:rFonts w:hint="default" w:ascii="Wingdings" w:hAnsi="Wingdings"/>
      </w:rPr>
    </w:lvl>
  </w:abstractNum>
  <w:abstractNum w:abstractNumId="15">
    <w:nsid w:val="3D273D06"/>
    <w:multiLevelType w:val="multilevel"/>
    <w:tmpl w:val="3D273D06"/>
    <w:lvl w:ilvl="0" w:tentative="0">
      <w:start w:val="1"/>
      <w:numFmt w:val="chineseCountingThousand"/>
      <w:pStyle w:val="444"/>
      <w:suff w:val="space"/>
      <w:lvlText w:val="第%1章"/>
      <w:lvlJc w:val="left"/>
      <w:pPr>
        <w:ind w:left="425" w:hanging="425"/>
      </w:pPr>
      <w:rPr>
        <w:rFonts w:hint="eastAsia"/>
      </w:rPr>
    </w:lvl>
    <w:lvl w:ilvl="1" w:tentative="0">
      <w:start w:val="1"/>
      <w:numFmt w:val="decimal"/>
      <w:pStyle w:val="277"/>
      <w:isLgl/>
      <w:suff w:val="space"/>
      <w:lvlText w:val="%1.%2"/>
      <w:lvlJc w:val="left"/>
      <w:pPr>
        <w:ind w:left="425" w:hanging="425"/>
      </w:pPr>
      <w:rPr>
        <w:rFonts w:hint="eastAsia" w:ascii="仿宋" w:eastAsia="仿宋"/>
        <w:b/>
        <w:i w:val="0"/>
        <w:sz w:val="36"/>
        <w:lang w:val="en-US"/>
      </w:rPr>
    </w:lvl>
    <w:lvl w:ilvl="2" w:tentative="0">
      <w:start w:val="1"/>
      <w:numFmt w:val="decimal"/>
      <w:pStyle w:val="362"/>
      <w:isLgl/>
      <w:suff w:val="space"/>
      <w:lvlText w:val="%1.%2.%3"/>
      <w:lvlJc w:val="left"/>
      <w:pPr>
        <w:ind w:left="425" w:hanging="425"/>
      </w:pPr>
      <w:rPr>
        <w:rFonts w:hint="eastAsia"/>
      </w:rPr>
    </w:lvl>
    <w:lvl w:ilvl="3" w:tentative="0">
      <w:start w:val="1"/>
      <w:numFmt w:val="decimal"/>
      <w:pStyle w:val="308"/>
      <w:isLgl/>
      <w:suff w:val="space"/>
      <w:lvlText w:val="%1.%2.%3.%4"/>
      <w:lvlJc w:val="left"/>
      <w:pPr>
        <w:ind w:left="425" w:hanging="425"/>
      </w:pPr>
      <w:rPr>
        <w:rFonts w:hint="eastAsia" w:ascii="仿宋" w:hAnsi="仿宋" w:eastAsia="仿宋"/>
        <w:b/>
        <w:bCs/>
        <w:i w:val="0"/>
        <w:iCs w:val="0"/>
        <w:caps w:val="0"/>
        <w:smallCaps w:val="0"/>
        <w:strike w:val="0"/>
        <w:dstrike w:val="0"/>
        <w:color w:val="000000"/>
        <w:spacing w:val="0"/>
        <w:w w:val="100"/>
        <w:kern w:val="2"/>
        <w:position w:val="0"/>
        <w:sz w:val="32"/>
        <w:u w:val="none"/>
        <w:shd w:val="clear" w:color="auto" w:fill="auto"/>
        <w:vertAlign w:val="baseline"/>
      </w:rPr>
    </w:lvl>
    <w:lvl w:ilvl="4" w:tentative="0">
      <w:start w:val="1"/>
      <w:numFmt w:val="decimal"/>
      <w:pStyle w:val="243"/>
      <w:isLgl/>
      <w:suff w:val="space"/>
      <w:lvlText w:val="%1.%2.%3.%4.%5"/>
      <w:lvlJc w:val="left"/>
      <w:pPr>
        <w:ind w:left="425" w:hanging="425"/>
      </w:pPr>
      <w:rPr>
        <w:rFonts w:hint="eastAsia"/>
      </w:rPr>
    </w:lvl>
    <w:lvl w:ilvl="5" w:tentative="0">
      <w:start w:val="1"/>
      <w:numFmt w:val="decimal"/>
      <w:pStyle w:val="334"/>
      <w:isLgl/>
      <w:suff w:val="space"/>
      <w:lvlText w:val="%1.%2.%3.%4.%5.%6"/>
      <w:lvlJc w:val="left"/>
      <w:pPr>
        <w:ind w:left="425" w:hanging="425"/>
      </w:pPr>
      <w:rPr>
        <w:rFonts w:hint="eastAsia"/>
        <w:b/>
        <w:sz w:val="28"/>
        <w:szCs w:val="28"/>
      </w:rPr>
    </w:lvl>
    <w:lvl w:ilvl="6" w:tentative="0">
      <w:start w:val="1"/>
      <w:numFmt w:val="decimal"/>
      <w:lvlText w:val="%1.%2.%3.%4.%5.%6.%7"/>
      <w:lvlJc w:val="left"/>
      <w:pPr>
        <w:ind w:left="425" w:hanging="425"/>
      </w:pPr>
      <w:rPr>
        <w:rFonts w:hint="eastAsia"/>
      </w:rPr>
    </w:lvl>
    <w:lvl w:ilvl="7" w:tentative="0">
      <w:start w:val="1"/>
      <w:numFmt w:val="decimal"/>
      <w:lvlText w:val="%1.%2.%3.%4.%5.%6.%7.%8"/>
      <w:lvlJc w:val="left"/>
      <w:pPr>
        <w:ind w:left="425" w:hanging="425"/>
      </w:pPr>
      <w:rPr>
        <w:rFonts w:hint="eastAsia"/>
      </w:rPr>
    </w:lvl>
    <w:lvl w:ilvl="8" w:tentative="0">
      <w:start w:val="1"/>
      <w:numFmt w:val="decimal"/>
      <w:lvlText w:val="%1.%2.%3.%4.%5.%6.%7.%8.%9"/>
      <w:lvlJc w:val="left"/>
      <w:pPr>
        <w:ind w:left="425" w:hanging="425"/>
      </w:pPr>
      <w:rPr>
        <w:rFonts w:hint="eastAsia"/>
      </w:rPr>
    </w:lvl>
  </w:abstractNum>
  <w:abstractNum w:abstractNumId="16">
    <w:nsid w:val="4CA75A52"/>
    <w:multiLevelType w:val="multilevel"/>
    <w:tmpl w:val="4CA75A52"/>
    <w:lvl w:ilvl="0" w:tentative="0">
      <w:start w:val="1"/>
      <w:numFmt w:val="decimal"/>
      <w:pStyle w:val="172"/>
      <w:lvlText w:val="%1)"/>
      <w:lvlJc w:val="left"/>
      <w:pPr>
        <w:ind w:left="420" w:firstLine="0"/>
      </w:pPr>
      <w:rPr>
        <w:rFonts w:hint="eastAsia"/>
      </w:rPr>
    </w:lvl>
    <w:lvl w:ilvl="1" w:tentative="0">
      <w:start w:val="1"/>
      <w:numFmt w:val="lowerLetter"/>
      <w:lvlText w:val="%2)"/>
      <w:lvlJc w:val="left"/>
      <w:pPr>
        <w:ind w:left="420" w:hanging="420"/>
      </w:pPr>
    </w:lvl>
    <w:lvl w:ilvl="2" w:tentative="0">
      <w:start w:val="1"/>
      <w:numFmt w:val="lowerRoman"/>
      <w:lvlText w:val="%3."/>
      <w:lvlJc w:val="right"/>
      <w:pPr>
        <w:ind w:left="840" w:hanging="420"/>
      </w:pPr>
    </w:lvl>
    <w:lvl w:ilvl="3" w:tentative="0">
      <w:start w:val="1"/>
      <w:numFmt w:val="decimal"/>
      <w:lvlText w:val="%4."/>
      <w:lvlJc w:val="left"/>
      <w:pPr>
        <w:ind w:left="1260" w:hanging="420"/>
      </w:pPr>
    </w:lvl>
    <w:lvl w:ilvl="4" w:tentative="0">
      <w:start w:val="1"/>
      <w:numFmt w:val="lowerLetter"/>
      <w:lvlText w:val="%5)"/>
      <w:lvlJc w:val="left"/>
      <w:pPr>
        <w:ind w:left="1680" w:hanging="420"/>
      </w:pPr>
    </w:lvl>
    <w:lvl w:ilvl="5" w:tentative="0">
      <w:start w:val="1"/>
      <w:numFmt w:val="lowerRoman"/>
      <w:lvlText w:val="%6."/>
      <w:lvlJc w:val="right"/>
      <w:pPr>
        <w:ind w:left="2100" w:hanging="420"/>
      </w:pPr>
    </w:lvl>
    <w:lvl w:ilvl="6" w:tentative="0">
      <w:start w:val="1"/>
      <w:numFmt w:val="decimal"/>
      <w:lvlText w:val="%7."/>
      <w:lvlJc w:val="left"/>
      <w:pPr>
        <w:ind w:left="2520" w:hanging="420"/>
      </w:pPr>
    </w:lvl>
    <w:lvl w:ilvl="7" w:tentative="0">
      <w:start w:val="1"/>
      <w:numFmt w:val="lowerLetter"/>
      <w:lvlText w:val="%8)"/>
      <w:lvlJc w:val="left"/>
      <w:pPr>
        <w:ind w:left="2940" w:hanging="420"/>
      </w:pPr>
    </w:lvl>
    <w:lvl w:ilvl="8" w:tentative="0">
      <w:start w:val="1"/>
      <w:numFmt w:val="lowerRoman"/>
      <w:lvlText w:val="%9."/>
      <w:lvlJc w:val="right"/>
      <w:pPr>
        <w:ind w:left="3360" w:hanging="420"/>
      </w:pPr>
    </w:lvl>
  </w:abstractNum>
  <w:abstractNum w:abstractNumId="17">
    <w:nsid w:val="597D6A88"/>
    <w:multiLevelType w:val="multilevel"/>
    <w:tmpl w:val="597D6A88"/>
    <w:lvl w:ilvl="0" w:tentative="0">
      <w:start w:val="1"/>
      <w:numFmt w:val="bullet"/>
      <w:pStyle w:val="217"/>
      <w:lvlText w:val=""/>
      <w:lvlJc w:val="left"/>
      <w:pPr>
        <w:tabs>
          <w:tab w:val="left" w:pos="874"/>
        </w:tabs>
        <w:ind w:left="874" w:hanging="420"/>
      </w:pPr>
      <w:rPr>
        <w:rFonts w:hint="default" w:ascii="Wingdings" w:hAnsi="Wingdings"/>
      </w:rPr>
    </w:lvl>
    <w:lvl w:ilvl="1" w:tentative="0">
      <w:start w:val="1"/>
      <w:numFmt w:val="bullet"/>
      <w:lvlText w:val=""/>
      <w:lvlJc w:val="left"/>
      <w:pPr>
        <w:tabs>
          <w:tab w:val="left" w:pos="1294"/>
        </w:tabs>
        <w:ind w:left="1294" w:hanging="420"/>
      </w:pPr>
      <w:rPr>
        <w:rFonts w:hint="default" w:ascii="Wingdings" w:hAnsi="Wingdings"/>
      </w:rPr>
    </w:lvl>
    <w:lvl w:ilvl="2" w:tentative="0">
      <w:start w:val="1"/>
      <w:numFmt w:val="bullet"/>
      <w:lvlText w:val=""/>
      <w:lvlJc w:val="left"/>
      <w:pPr>
        <w:tabs>
          <w:tab w:val="left" w:pos="1714"/>
        </w:tabs>
        <w:ind w:left="1714" w:hanging="420"/>
      </w:pPr>
      <w:rPr>
        <w:rFonts w:hint="default" w:ascii="Wingdings" w:hAnsi="Wingdings"/>
      </w:rPr>
    </w:lvl>
    <w:lvl w:ilvl="3" w:tentative="0">
      <w:start w:val="1"/>
      <w:numFmt w:val="bullet"/>
      <w:lvlText w:val=""/>
      <w:lvlJc w:val="left"/>
      <w:pPr>
        <w:tabs>
          <w:tab w:val="left" w:pos="2134"/>
        </w:tabs>
        <w:ind w:left="2134" w:hanging="420"/>
      </w:pPr>
      <w:rPr>
        <w:rFonts w:hint="default" w:ascii="Wingdings" w:hAnsi="Wingdings"/>
      </w:rPr>
    </w:lvl>
    <w:lvl w:ilvl="4" w:tentative="0">
      <w:start w:val="1"/>
      <w:numFmt w:val="bullet"/>
      <w:lvlText w:val=""/>
      <w:lvlJc w:val="left"/>
      <w:pPr>
        <w:tabs>
          <w:tab w:val="left" w:pos="2554"/>
        </w:tabs>
        <w:ind w:left="2554" w:hanging="420"/>
      </w:pPr>
      <w:rPr>
        <w:rFonts w:hint="default" w:ascii="Wingdings" w:hAnsi="Wingdings"/>
      </w:rPr>
    </w:lvl>
    <w:lvl w:ilvl="5" w:tentative="0">
      <w:start w:val="1"/>
      <w:numFmt w:val="bullet"/>
      <w:lvlText w:val=""/>
      <w:lvlJc w:val="left"/>
      <w:pPr>
        <w:tabs>
          <w:tab w:val="left" w:pos="2974"/>
        </w:tabs>
        <w:ind w:left="2974" w:hanging="420"/>
      </w:pPr>
      <w:rPr>
        <w:rFonts w:hint="default" w:ascii="Wingdings" w:hAnsi="Wingdings"/>
      </w:rPr>
    </w:lvl>
    <w:lvl w:ilvl="6" w:tentative="0">
      <w:start w:val="1"/>
      <w:numFmt w:val="bullet"/>
      <w:lvlText w:val=""/>
      <w:lvlJc w:val="left"/>
      <w:pPr>
        <w:tabs>
          <w:tab w:val="left" w:pos="3394"/>
        </w:tabs>
        <w:ind w:left="3394" w:hanging="420"/>
      </w:pPr>
      <w:rPr>
        <w:rFonts w:hint="default" w:ascii="Wingdings" w:hAnsi="Wingdings"/>
      </w:rPr>
    </w:lvl>
    <w:lvl w:ilvl="7" w:tentative="0">
      <w:start w:val="1"/>
      <w:numFmt w:val="bullet"/>
      <w:lvlText w:val=""/>
      <w:lvlJc w:val="left"/>
      <w:pPr>
        <w:tabs>
          <w:tab w:val="left" w:pos="3814"/>
        </w:tabs>
        <w:ind w:left="3814" w:hanging="420"/>
      </w:pPr>
      <w:rPr>
        <w:rFonts w:hint="default" w:ascii="Wingdings" w:hAnsi="Wingdings"/>
      </w:rPr>
    </w:lvl>
    <w:lvl w:ilvl="8" w:tentative="0">
      <w:start w:val="1"/>
      <w:numFmt w:val="bullet"/>
      <w:lvlText w:val=""/>
      <w:lvlJc w:val="left"/>
      <w:pPr>
        <w:tabs>
          <w:tab w:val="left" w:pos="4234"/>
        </w:tabs>
        <w:ind w:left="4234" w:hanging="420"/>
      </w:pPr>
      <w:rPr>
        <w:rFonts w:hint="default" w:ascii="Wingdings" w:hAnsi="Wingdings"/>
      </w:rPr>
    </w:lvl>
  </w:abstractNum>
  <w:abstractNum w:abstractNumId="18">
    <w:nsid w:val="59CB781A"/>
    <w:multiLevelType w:val="singleLevel"/>
    <w:tmpl w:val="59CB781A"/>
    <w:lvl w:ilvl="0" w:tentative="0">
      <w:start w:val="2"/>
      <w:numFmt w:val="decimal"/>
      <w:suff w:val="nothing"/>
      <w:lvlText w:val="（%1）"/>
      <w:lvlJc w:val="left"/>
    </w:lvl>
  </w:abstractNum>
  <w:abstractNum w:abstractNumId="19">
    <w:nsid w:val="6CEA2025"/>
    <w:multiLevelType w:val="multilevel"/>
    <w:tmpl w:val="6CEA2025"/>
    <w:lvl w:ilvl="0" w:tentative="0">
      <w:start w:val="1"/>
      <w:numFmt w:val="none"/>
      <w:pStyle w:val="319"/>
      <w:suff w:val="nothing"/>
      <w:lvlText w:val="%1"/>
      <w:lvlJc w:val="left"/>
      <w:pPr>
        <w:ind w:left="0" w:firstLine="0"/>
      </w:pPr>
      <w:rPr>
        <w:rFonts w:hint="default" w:ascii="Times New Roman" w:hAnsi="Times New Roman"/>
        <w:b/>
        <w:i w:val="0"/>
        <w:sz w:val="21"/>
      </w:rPr>
    </w:lvl>
    <w:lvl w:ilvl="1" w:tentative="0">
      <w:start w:val="1"/>
      <w:numFmt w:val="decimal"/>
      <w:pStyle w:val="448"/>
      <w:suff w:val="nothing"/>
      <w:lvlText w:val="%1%2　"/>
      <w:lvlJc w:val="left"/>
      <w:pPr>
        <w:ind w:left="0" w:firstLine="0"/>
      </w:pPr>
      <w:rPr>
        <w:rFonts w:hint="eastAsia" w:ascii="黑体" w:hAnsi="Times New Roman" w:eastAsia="黑体"/>
        <w:b w:val="0"/>
        <w:i w:val="0"/>
        <w:sz w:val="21"/>
      </w:rPr>
    </w:lvl>
    <w:lvl w:ilvl="2" w:tentative="0">
      <w:start w:val="1"/>
      <w:numFmt w:val="decimal"/>
      <w:pStyle w:val="265"/>
      <w:suff w:val="nothing"/>
      <w:lvlText w:val="%1%2.%3　"/>
      <w:lvlJc w:val="left"/>
      <w:pPr>
        <w:ind w:left="3675" w:firstLine="0"/>
      </w:pPr>
      <w:rPr>
        <w:rFonts w:hint="eastAsia" w:ascii="黑体" w:hAnsi="Times New Roman" w:eastAsia="黑体"/>
        <w:b w:val="0"/>
        <w:i w:val="0"/>
        <w:sz w:val="21"/>
      </w:rPr>
    </w:lvl>
    <w:lvl w:ilvl="3" w:tentative="0">
      <w:start w:val="1"/>
      <w:numFmt w:val="decimal"/>
      <w:pStyle w:val="285"/>
      <w:suff w:val="nothing"/>
      <w:lvlText w:val="%1%2.%3.%4　"/>
      <w:lvlJc w:val="left"/>
      <w:pPr>
        <w:ind w:left="0" w:firstLine="0"/>
      </w:pPr>
      <w:rPr>
        <w:rFonts w:hint="eastAsia" w:ascii="黑体" w:hAnsi="Times New Roman" w:eastAsia="黑体"/>
        <w:b w:val="0"/>
        <w:i w:val="0"/>
        <w:sz w:val="21"/>
      </w:rPr>
    </w:lvl>
    <w:lvl w:ilvl="4" w:tentative="0">
      <w:start w:val="1"/>
      <w:numFmt w:val="decimal"/>
      <w:pStyle w:val="286"/>
      <w:suff w:val="nothing"/>
      <w:lvlText w:val="%1%2.%3.%4.%5　"/>
      <w:lvlJc w:val="left"/>
      <w:pPr>
        <w:ind w:left="0" w:firstLine="0"/>
      </w:pPr>
      <w:rPr>
        <w:rFonts w:hint="eastAsia" w:ascii="黑体" w:hAnsi="Times New Roman" w:eastAsia="黑体"/>
        <w:b w:val="0"/>
        <w:i w:val="0"/>
        <w:sz w:val="21"/>
      </w:rPr>
    </w:lvl>
    <w:lvl w:ilvl="5" w:tentative="0">
      <w:start w:val="1"/>
      <w:numFmt w:val="decimal"/>
      <w:pStyle w:val="349"/>
      <w:suff w:val="nothing"/>
      <w:lvlText w:val="%1%2.%3.%4.%5.%6　"/>
      <w:lvlJc w:val="left"/>
      <w:pPr>
        <w:ind w:left="0" w:firstLine="0"/>
      </w:pPr>
      <w:rPr>
        <w:rFonts w:hint="eastAsia" w:ascii="黑体" w:hAnsi="Times New Roman" w:eastAsia="黑体"/>
        <w:b w:val="0"/>
        <w:i w:val="0"/>
        <w:sz w:val="21"/>
      </w:rPr>
    </w:lvl>
    <w:lvl w:ilvl="6" w:tentative="0">
      <w:start w:val="1"/>
      <w:numFmt w:val="decimal"/>
      <w:pStyle w:val="41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0">
    <w:nsid w:val="7DC25BDC"/>
    <w:multiLevelType w:val="multilevel"/>
    <w:tmpl w:val="7DC25BDC"/>
    <w:lvl w:ilvl="0" w:tentative="0">
      <w:start w:val="1"/>
      <w:numFmt w:val="decimal"/>
      <w:pStyle w:val="228"/>
      <w:lvlText w:val="%1)"/>
      <w:lvlJc w:val="left"/>
      <w:pPr>
        <w:tabs>
          <w:tab w:val="left" w:pos="980"/>
        </w:tabs>
        <w:ind w:left="980" w:hanging="420"/>
      </w:p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num w:numId="1">
    <w:abstractNumId w:val="14"/>
  </w:num>
  <w:num w:numId="2">
    <w:abstractNumId w:val="0"/>
  </w:num>
  <w:num w:numId="3">
    <w:abstractNumId w:val="5"/>
  </w:num>
  <w:num w:numId="4">
    <w:abstractNumId w:val="13"/>
  </w:num>
  <w:num w:numId="5">
    <w:abstractNumId w:val="10"/>
  </w:num>
  <w:num w:numId="6">
    <w:abstractNumId w:val="16"/>
  </w:num>
  <w:num w:numId="7">
    <w:abstractNumId w:val="17"/>
  </w:num>
  <w:num w:numId="8">
    <w:abstractNumId w:val="20"/>
  </w:num>
  <w:num w:numId="9">
    <w:abstractNumId w:val="9"/>
  </w:num>
  <w:num w:numId="10">
    <w:abstractNumId w:val="15"/>
  </w:num>
  <w:num w:numId="11">
    <w:abstractNumId w:val="7"/>
  </w:num>
  <w:num w:numId="12">
    <w:abstractNumId w:val="19"/>
  </w:num>
  <w:num w:numId="13">
    <w:abstractNumId w:val="11"/>
  </w:num>
  <w:num w:numId="14">
    <w:abstractNumId w:val="6"/>
  </w:num>
  <w:num w:numId="15">
    <w:abstractNumId w:val="4"/>
  </w:num>
  <w:num w:numId="16">
    <w:abstractNumId w:val="12"/>
  </w:num>
  <w:num w:numId="17">
    <w:abstractNumId w:val="8"/>
  </w:num>
  <w:num w:numId="18">
    <w:abstractNumId w:val="1"/>
  </w:num>
  <w:num w:numId="19">
    <w:abstractNumId w:val="18"/>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F30C4"/>
    <w:rsid w:val="00000402"/>
    <w:rsid w:val="00000F1C"/>
    <w:rsid w:val="00000FBE"/>
    <w:rsid w:val="00002763"/>
    <w:rsid w:val="000028FA"/>
    <w:rsid w:val="00002A5B"/>
    <w:rsid w:val="0000349E"/>
    <w:rsid w:val="00003AF7"/>
    <w:rsid w:val="00004190"/>
    <w:rsid w:val="0001009B"/>
    <w:rsid w:val="00011EBB"/>
    <w:rsid w:val="00011FCF"/>
    <w:rsid w:val="0001236C"/>
    <w:rsid w:val="0001356E"/>
    <w:rsid w:val="00013FDC"/>
    <w:rsid w:val="00014056"/>
    <w:rsid w:val="00014138"/>
    <w:rsid w:val="00014211"/>
    <w:rsid w:val="00015705"/>
    <w:rsid w:val="00015B99"/>
    <w:rsid w:val="00015E69"/>
    <w:rsid w:val="00015FDE"/>
    <w:rsid w:val="00016453"/>
    <w:rsid w:val="000169D8"/>
    <w:rsid w:val="000222CE"/>
    <w:rsid w:val="00022844"/>
    <w:rsid w:val="00024943"/>
    <w:rsid w:val="000320F7"/>
    <w:rsid w:val="00033C43"/>
    <w:rsid w:val="00034D3A"/>
    <w:rsid w:val="00035EB7"/>
    <w:rsid w:val="000367AB"/>
    <w:rsid w:val="00036D5E"/>
    <w:rsid w:val="00037F47"/>
    <w:rsid w:val="000410BB"/>
    <w:rsid w:val="00041CD6"/>
    <w:rsid w:val="000423CF"/>
    <w:rsid w:val="000424D7"/>
    <w:rsid w:val="00042FB6"/>
    <w:rsid w:val="00043263"/>
    <w:rsid w:val="00044A93"/>
    <w:rsid w:val="000453FD"/>
    <w:rsid w:val="00046932"/>
    <w:rsid w:val="00046A25"/>
    <w:rsid w:val="00046C9D"/>
    <w:rsid w:val="00047712"/>
    <w:rsid w:val="00050D48"/>
    <w:rsid w:val="00051281"/>
    <w:rsid w:val="000540BC"/>
    <w:rsid w:val="000541AC"/>
    <w:rsid w:val="00054331"/>
    <w:rsid w:val="00054AC0"/>
    <w:rsid w:val="000552EC"/>
    <w:rsid w:val="00057242"/>
    <w:rsid w:val="0005761B"/>
    <w:rsid w:val="0006091A"/>
    <w:rsid w:val="00061CC3"/>
    <w:rsid w:val="00064EFF"/>
    <w:rsid w:val="00065765"/>
    <w:rsid w:val="00065B55"/>
    <w:rsid w:val="00066BEF"/>
    <w:rsid w:val="00066C42"/>
    <w:rsid w:val="00067498"/>
    <w:rsid w:val="00067720"/>
    <w:rsid w:val="00067B2E"/>
    <w:rsid w:val="00067D6F"/>
    <w:rsid w:val="00067ED7"/>
    <w:rsid w:val="000709D8"/>
    <w:rsid w:val="00070F8C"/>
    <w:rsid w:val="000725FE"/>
    <w:rsid w:val="000756DF"/>
    <w:rsid w:val="000757BA"/>
    <w:rsid w:val="000805A7"/>
    <w:rsid w:val="00081388"/>
    <w:rsid w:val="000817EF"/>
    <w:rsid w:val="00081CE6"/>
    <w:rsid w:val="00082891"/>
    <w:rsid w:val="000832C9"/>
    <w:rsid w:val="00083928"/>
    <w:rsid w:val="00083DAC"/>
    <w:rsid w:val="0008495B"/>
    <w:rsid w:val="00084DFE"/>
    <w:rsid w:val="00085E00"/>
    <w:rsid w:val="00086913"/>
    <w:rsid w:val="000878A8"/>
    <w:rsid w:val="00090B4D"/>
    <w:rsid w:val="00092833"/>
    <w:rsid w:val="00094087"/>
    <w:rsid w:val="000954BC"/>
    <w:rsid w:val="0009558B"/>
    <w:rsid w:val="00096CC1"/>
    <w:rsid w:val="0009770E"/>
    <w:rsid w:val="000A0DCD"/>
    <w:rsid w:val="000A166A"/>
    <w:rsid w:val="000A17ED"/>
    <w:rsid w:val="000A2EF5"/>
    <w:rsid w:val="000A41C6"/>
    <w:rsid w:val="000A43A5"/>
    <w:rsid w:val="000A558C"/>
    <w:rsid w:val="000A762C"/>
    <w:rsid w:val="000A7D6A"/>
    <w:rsid w:val="000B009B"/>
    <w:rsid w:val="000B0C14"/>
    <w:rsid w:val="000B1362"/>
    <w:rsid w:val="000B23B4"/>
    <w:rsid w:val="000B2A65"/>
    <w:rsid w:val="000B380C"/>
    <w:rsid w:val="000B3CEB"/>
    <w:rsid w:val="000B46F8"/>
    <w:rsid w:val="000B6610"/>
    <w:rsid w:val="000B6673"/>
    <w:rsid w:val="000B6CBF"/>
    <w:rsid w:val="000B7084"/>
    <w:rsid w:val="000C0B04"/>
    <w:rsid w:val="000C16A5"/>
    <w:rsid w:val="000C3D23"/>
    <w:rsid w:val="000C4061"/>
    <w:rsid w:val="000C5A67"/>
    <w:rsid w:val="000C5F31"/>
    <w:rsid w:val="000C6DDF"/>
    <w:rsid w:val="000C785E"/>
    <w:rsid w:val="000D062F"/>
    <w:rsid w:val="000D07F0"/>
    <w:rsid w:val="000D0B02"/>
    <w:rsid w:val="000D177F"/>
    <w:rsid w:val="000D2DBD"/>
    <w:rsid w:val="000D2E1B"/>
    <w:rsid w:val="000D3709"/>
    <w:rsid w:val="000D5834"/>
    <w:rsid w:val="000D6209"/>
    <w:rsid w:val="000D79D3"/>
    <w:rsid w:val="000E0765"/>
    <w:rsid w:val="000E0DF9"/>
    <w:rsid w:val="000E23CC"/>
    <w:rsid w:val="000E23E2"/>
    <w:rsid w:val="000E2521"/>
    <w:rsid w:val="000E2C2B"/>
    <w:rsid w:val="000E42D5"/>
    <w:rsid w:val="000E5EED"/>
    <w:rsid w:val="000E66D3"/>
    <w:rsid w:val="000F1F77"/>
    <w:rsid w:val="000F2589"/>
    <w:rsid w:val="000F4431"/>
    <w:rsid w:val="000F450F"/>
    <w:rsid w:val="000F4E94"/>
    <w:rsid w:val="000F52D6"/>
    <w:rsid w:val="000F5C8D"/>
    <w:rsid w:val="000F6911"/>
    <w:rsid w:val="000F6E9B"/>
    <w:rsid w:val="00101DB0"/>
    <w:rsid w:val="00102DD9"/>
    <w:rsid w:val="00102EF9"/>
    <w:rsid w:val="001040C1"/>
    <w:rsid w:val="0010437B"/>
    <w:rsid w:val="0010500E"/>
    <w:rsid w:val="00105FED"/>
    <w:rsid w:val="001071DD"/>
    <w:rsid w:val="00107E43"/>
    <w:rsid w:val="00111083"/>
    <w:rsid w:val="00111BD3"/>
    <w:rsid w:val="00111C16"/>
    <w:rsid w:val="00111E0B"/>
    <w:rsid w:val="00112AA6"/>
    <w:rsid w:val="00112CE0"/>
    <w:rsid w:val="001135D4"/>
    <w:rsid w:val="00114373"/>
    <w:rsid w:val="00115610"/>
    <w:rsid w:val="00116304"/>
    <w:rsid w:val="00116F51"/>
    <w:rsid w:val="00120E19"/>
    <w:rsid w:val="00120F10"/>
    <w:rsid w:val="00120F60"/>
    <w:rsid w:val="00122F3D"/>
    <w:rsid w:val="0012348E"/>
    <w:rsid w:val="00123CE6"/>
    <w:rsid w:val="00127318"/>
    <w:rsid w:val="00130C41"/>
    <w:rsid w:val="00131A1C"/>
    <w:rsid w:val="001320E4"/>
    <w:rsid w:val="00132163"/>
    <w:rsid w:val="00132B14"/>
    <w:rsid w:val="00132FCC"/>
    <w:rsid w:val="0013315E"/>
    <w:rsid w:val="001336F5"/>
    <w:rsid w:val="00137D66"/>
    <w:rsid w:val="001401B8"/>
    <w:rsid w:val="00140B3D"/>
    <w:rsid w:val="00141FBE"/>
    <w:rsid w:val="00142473"/>
    <w:rsid w:val="00142925"/>
    <w:rsid w:val="00144AA4"/>
    <w:rsid w:val="00144CAD"/>
    <w:rsid w:val="00144DE9"/>
    <w:rsid w:val="0014515B"/>
    <w:rsid w:val="001465A0"/>
    <w:rsid w:val="00146613"/>
    <w:rsid w:val="0014714F"/>
    <w:rsid w:val="00147750"/>
    <w:rsid w:val="0015006B"/>
    <w:rsid w:val="00150C80"/>
    <w:rsid w:val="00150DD0"/>
    <w:rsid w:val="0015173C"/>
    <w:rsid w:val="00151911"/>
    <w:rsid w:val="0015294D"/>
    <w:rsid w:val="00152E6A"/>
    <w:rsid w:val="00152FA7"/>
    <w:rsid w:val="00153093"/>
    <w:rsid w:val="00153C0A"/>
    <w:rsid w:val="00157A2C"/>
    <w:rsid w:val="00157C3E"/>
    <w:rsid w:val="00157DEC"/>
    <w:rsid w:val="00161B02"/>
    <w:rsid w:val="00161D8F"/>
    <w:rsid w:val="00162BE6"/>
    <w:rsid w:val="00165AF3"/>
    <w:rsid w:val="00166D3A"/>
    <w:rsid w:val="00167CBD"/>
    <w:rsid w:val="00170A93"/>
    <w:rsid w:val="00172C9F"/>
    <w:rsid w:val="00174065"/>
    <w:rsid w:val="00174416"/>
    <w:rsid w:val="00176631"/>
    <w:rsid w:val="00177DE1"/>
    <w:rsid w:val="00180E22"/>
    <w:rsid w:val="00181097"/>
    <w:rsid w:val="001826CB"/>
    <w:rsid w:val="00183E16"/>
    <w:rsid w:val="001841D6"/>
    <w:rsid w:val="00184255"/>
    <w:rsid w:val="00186FCC"/>
    <w:rsid w:val="00187EC8"/>
    <w:rsid w:val="00190351"/>
    <w:rsid w:val="001918A1"/>
    <w:rsid w:val="001918E2"/>
    <w:rsid w:val="00191C3E"/>
    <w:rsid w:val="00191D86"/>
    <w:rsid w:val="001935A9"/>
    <w:rsid w:val="00193A6D"/>
    <w:rsid w:val="00193C30"/>
    <w:rsid w:val="00193CE1"/>
    <w:rsid w:val="001949DF"/>
    <w:rsid w:val="001954C0"/>
    <w:rsid w:val="001971C7"/>
    <w:rsid w:val="001978E1"/>
    <w:rsid w:val="00197DDC"/>
    <w:rsid w:val="001A0B7F"/>
    <w:rsid w:val="001A1E26"/>
    <w:rsid w:val="001A21FD"/>
    <w:rsid w:val="001A26A0"/>
    <w:rsid w:val="001A2A9D"/>
    <w:rsid w:val="001A31B7"/>
    <w:rsid w:val="001A3590"/>
    <w:rsid w:val="001A393A"/>
    <w:rsid w:val="001A5F3D"/>
    <w:rsid w:val="001A67D4"/>
    <w:rsid w:val="001A7B12"/>
    <w:rsid w:val="001B0029"/>
    <w:rsid w:val="001B0D5F"/>
    <w:rsid w:val="001B1242"/>
    <w:rsid w:val="001B1C21"/>
    <w:rsid w:val="001B2A51"/>
    <w:rsid w:val="001B48E0"/>
    <w:rsid w:val="001B4BE6"/>
    <w:rsid w:val="001B66CA"/>
    <w:rsid w:val="001C087E"/>
    <w:rsid w:val="001C1206"/>
    <w:rsid w:val="001C3F7C"/>
    <w:rsid w:val="001C4EE2"/>
    <w:rsid w:val="001C516E"/>
    <w:rsid w:val="001C5365"/>
    <w:rsid w:val="001C5904"/>
    <w:rsid w:val="001C6520"/>
    <w:rsid w:val="001C65CB"/>
    <w:rsid w:val="001C6D72"/>
    <w:rsid w:val="001C7181"/>
    <w:rsid w:val="001D0D3B"/>
    <w:rsid w:val="001D0DE1"/>
    <w:rsid w:val="001D11A5"/>
    <w:rsid w:val="001D2733"/>
    <w:rsid w:val="001D3638"/>
    <w:rsid w:val="001D4101"/>
    <w:rsid w:val="001D6B43"/>
    <w:rsid w:val="001D7261"/>
    <w:rsid w:val="001E0275"/>
    <w:rsid w:val="001E0C8B"/>
    <w:rsid w:val="001E16DE"/>
    <w:rsid w:val="001E2038"/>
    <w:rsid w:val="001E277C"/>
    <w:rsid w:val="001E2B29"/>
    <w:rsid w:val="001E2D10"/>
    <w:rsid w:val="001E2EB8"/>
    <w:rsid w:val="001E41F6"/>
    <w:rsid w:val="001E54FE"/>
    <w:rsid w:val="001E5BCD"/>
    <w:rsid w:val="001E69B3"/>
    <w:rsid w:val="001E7632"/>
    <w:rsid w:val="001F0CB3"/>
    <w:rsid w:val="001F1598"/>
    <w:rsid w:val="001F202E"/>
    <w:rsid w:val="001F33B4"/>
    <w:rsid w:val="001F3BC0"/>
    <w:rsid w:val="001F5AB4"/>
    <w:rsid w:val="001F67F9"/>
    <w:rsid w:val="001F6CB5"/>
    <w:rsid w:val="001F6F1C"/>
    <w:rsid w:val="001F73EB"/>
    <w:rsid w:val="00200113"/>
    <w:rsid w:val="00200CBE"/>
    <w:rsid w:val="002024D5"/>
    <w:rsid w:val="002027C7"/>
    <w:rsid w:val="002032A5"/>
    <w:rsid w:val="002032F9"/>
    <w:rsid w:val="00203520"/>
    <w:rsid w:val="00203AD3"/>
    <w:rsid w:val="002042D6"/>
    <w:rsid w:val="00204B5F"/>
    <w:rsid w:val="00204E84"/>
    <w:rsid w:val="00206D8A"/>
    <w:rsid w:val="00207E3C"/>
    <w:rsid w:val="00207FA5"/>
    <w:rsid w:val="00211025"/>
    <w:rsid w:val="00211321"/>
    <w:rsid w:val="00211F08"/>
    <w:rsid w:val="00212401"/>
    <w:rsid w:val="0021423D"/>
    <w:rsid w:val="00215C13"/>
    <w:rsid w:val="0021616E"/>
    <w:rsid w:val="00216360"/>
    <w:rsid w:val="002173C3"/>
    <w:rsid w:val="00217CDD"/>
    <w:rsid w:val="002201AF"/>
    <w:rsid w:val="002203B5"/>
    <w:rsid w:val="00221521"/>
    <w:rsid w:val="00221D78"/>
    <w:rsid w:val="00222F3A"/>
    <w:rsid w:val="00223350"/>
    <w:rsid w:val="0022435D"/>
    <w:rsid w:val="00224FA6"/>
    <w:rsid w:val="00227AB0"/>
    <w:rsid w:val="002306D0"/>
    <w:rsid w:val="00230E8F"/>
    <w:rsid w:val="002319BC"/>
    <w:rsid w:val="002341DF"/>
    <w:rsid w:val="0023670B"/>
    <w:rsid w:val="00236D81"/>
    <w:rsid w:val="0024014D"/>
    <w:rsid w:val="00240226"/>
    <w:rsid w:val="00240326"/>
    <w:rsid w:val="00240854"/>
    <w:rsid w:val="00241E75"/>
    <w:rsid w:val="00242AAF"/>
    <w:rsid w:val="00244542"/>
    <w:rsid w:val="0024466C"/>
    <w:rsid w:val="002448EF"/>
    <w:rsid w:val="002448FF"/>
    <w:rsid w:val="00246973"/>
    <w:rsid w:val="00246FF8"/>
    <w:rsid w:val="0024715F"/>
    <w:rsid w:val="00247730"/>
    <w:rsid w:val="00247831"/>
    <w:rsid w:val="002522DA"/>
    <w:rsid w:val="00252B4C"/>
    <w:rsid w:val="0025357F"/>
    <w:rsid w:val="00253AB2"/>
    <w:rsid w:val="00254426"/>
    <w:rsid w:val="002552FA"/>
    <w:rsid w:val="00255D62"/>
    <w:rsid w:val="00256C50"/>
    <w:rsid w:val="00257225"/>
    <w:rsid w:val="00257534"/>
    <w:rsid w:val="00257DA0"/>
    <w:rsid w:val="00257FA8"/>
    <w:rsid w:val="00261221"/>
    <w:rsid w:val="00261702"/>
    <w:rsid w:val="00261E49"/>
    <w:rsid w:val="0026294C"/>
    <w:rsid w:val="00262C51"/>
    <w:rsid w:val="002633A9"/>
    <w:rsid w:val="002633B3"/>
    <w:rsid w:val="00264A03"/>
    <w:rsid w:val="00264AA6"/>
    <w:rsid w:val="00265654"/>
    <w:rsid w:val="00265B38"/>
    <w:rsid w:val="00266E21"/>
    <w:rsid w:val="00270093"/>
    <w:rsid w:val="002713C0"/>
    <w:rsid w:val="00273079"/>
    <w:rsid w:val="00273338"/>
    <w:rsid w:val="00273539"/>
    <w:rsid w:val="00273CEA"/>
    <w:rsid w:val="002756F4"/>
    <w:rsid w:val="00276B8B"/>
    <w:rsid w:val="00276E00"/>
    <w:rsid w:val="00276E51"/>
    <w:rsid w:val="002773D9"/>
    <w:rsid w:val="00280D97"/>
    <w:rsid w:val="00282901"/>
    <w:rsid w:val="00283594"/>
    <w:rsid w:val="00283E7B"/>
    <w:rsid w:val="00286BC0"/>
    <w:rsid w:val="00287065"/>
    <w:rsid w:val="002870BE"/>
    <w:rsid w:val="00290273"/>
    <w:rsid w:val="00290CB3"/>
    <w:rsid w:val="00291304"/>
    <w:rsid w:val="002925E5"/>
    <w:rsid w:val="00292B3C"/>
    <w:rsid w:val="00292E4C"/>
    <w:rsid w:val="0029330D"/>
    <w:rsid w:val="002937DA"/>
    <w:rsid w:val="00293F78"/>
    <w:rsid w:val="0029407A"/>
    <w:rsid w:val="00294256"/>
    <w:rsid w:val="00295CC2"/>
    <w:rsid w:val="00295F5F"/>
    <w:rsid w:val="00296100"/>
    <w:rsid w:val="002961AF"/>
    <w:rsid w:val="0029634E"/>
    <w:rsid w:val="002A1440"/>
    <w:rsid w:val="002A2113"/>
    <w:rsid w:val="002A3083"/>
    <w:rsid w:val="002A510D"/>
    <w:rsid w:val="002A51F5"/>
    <w:rsid w:val="002A52D5"/>
    <w:rsid w:val="002A5445"/>
    <w:rsid w:val="002A7CD6"/>
    <w:rsid w:val="002A7F8B"/>
    <w:rsid w:val="002A7FA5"/>
    <w:rsid w:val="002B0583"/>
    <w:rsid w:val="002B1D68"/>
    <w:rsid w:val="002B3225"/>
    <w:rsid w:val="002B4514"/>
    <w:rsid w:val="002B46EF"/>
    <w:rsid w:val="002B5503"/>
    <w:rsid w:val="002B72E4"/>
    <w:rsid w:val="002C05F7"/>
    <w:rsid w:val="002C0C81"/>
    <w:rsid w:val="002C148F"/>
    <w:rsid w:val="002C5512"/>
    <w:rsid w:val="002C6458"/>
    <w:rsid w:val="002C6C9D"/>
    <w:rsid w:val="002C6E47"/>
    <w:rsid w:val="002D0625"/>
    <w:rsid w:val="002D17ED"/>
    <w:rsid w:val="002D1E54"/>
    <w:rsid w:val="002D31C3"/>
    <w:rsid w:val="002D5E4F"/>
    <w:rsid w:val="002D61DE"/>
    <w:rsid w:val="002D7661"/>
    <w:rsid w:val="002D7667"/>
    <w:rsid w:val="002D78CB"/>
    <w:rsid w:val="002E1B86"/>
    <w:rsid w:val="002E1C39"/>
    <w:rsid w:val="002E3845"/>
    <w:rsid w:val="002E41B5"/>
    <w:rsid w:val="002E46DC"/>
    <w:rsid w:val="002E4AF6"/>
    <w:rsid w:val="002E5432"/>
    <w:rsid w:val="002E62E2"/>
    <w:rsid w:val="002E7259"/>
    <w:rsid w:val="002E768A"/>
    <w:rsid w:val="002E7CAA"/>
    <w:rsid w:val="002F03B4"/>
    <w:rsid w:val="002F0B99"/>
    <w:rsid w:val="002F19C7"/>
    <w:rsid w:val="002F21DA"/>
    <w:rsid w:val="002F22FF"/>
    <w:rsid w:val="002F2F69"/>
    <w:rsid w:val="002F3914"/>
    <w:rsid w:val="002F3A71"/>
    <w:rsid w:val="002F42EF"/>
    <w:rsid w:val="002F6CA7"/>
    <w:rsid w:val="002F6EB0"/>
    <w:rsid w:val="002F77D9"/>
    <w:rsid w:val="002F7DC3"/>
    <w:rsid w:val="0030077A"/>
    <w:rsid w:val="00301793"/>
    <w:rsid w:val="00301872"/>
    <w:rsid w:val="00301920"/>
    <w:rsid w:val="00302228"/>
    <w:rsid w:val="00302603"/>
    <w:rsid w:val="00304CF8"/>
    <w:rsid w:val="00305A7B"/>
    <w:rsid w:val="00306DA6"/>
    <w:rsid w:val="003072D1"/>
    <w:rsid w:val="0031069D"/>
    <w:rsid w:val="003117E8"/>
    <w:rsid w:val="003141CF"/>
    <w:rsid w:val="0031441E"/>
    <w:rsid w:val="0031463B"/>
    <w:rsid w:val="00314DAA"/>
    <w:rsid w:val="00314FC0"/>
    <w:rsid w:val="0031560A"/>
    <w:rsid w:val="00315DE5"/>
    <w:rsid w:val="00315E73"/>
    <w:rsid w:val="00316DF2"/>
    <w:rsid w:val="003172DB"/>
    <w:rsid w:val="003174F8"/>
    <w:rsid w:val="003177DC"/>
    <w:rsid w:val="00320C28"/>
    <w:rsid w:val="00324013"/>
    <w:rsid w:val="0032415E"/>
    <w:rsid w:val="00326E80"/>
    <w:rsid w:val="00327A20"/>
    <w:rsid w:val="003305F0"/>
    <w:rsid w:val="00330696"/>
    <w:rsid w:val="00332E6E"/>
    <w:rsid w:val="00332F5D"/>
    <w:rsid w:val="00333A98"/>
    <w:rsid w:val="003410ED"/>
    <w:rsid w:val="003413AE"/>
    <w:rsid w:val="0034204B"/>
    <w:rsid w:val="003428AC"/>
    <w:rsid w:val="00343FD9"/>
    <w:rsid w:val="00344457"/>
    <w:rsid w:val="00344F6E"/>
    <w:rsid w:val="003458B5"/>
    <w:rsid w:val="00346DED"/>
    <w:rsid w:val="003474C7"/>
    <w:rsid w:val="003504DB"/>
    <w:rsid w:val="00350B12"/>
    <w:rsid w:val="00350E97"/>
    <w:rsid w:val="003512DC"/>
    <w:rsid w:val="00351A01"/>
    <w:rsid w:val="00352061"/>
    <w:rsid w:val="00352E02"/>
    <w:rsid w:val="00353A3C"/>
    <w:rsid w:val="00353F38"/>
    <w:rsid w:val="00354A58"/>
    <w:rsid w:val="00354D24"/>
    <w:rsid w:val="00355287"/>
    <w:rsid w:val="00356DE3"/>
    <w:rsid w:val="00357427"/>
    <w:rsid w:val="00357DBF"/>
    <w:rsid w:val="00360059"/>
    <w:rsid w:val="00360DA6"/>
    <w:rsid w:val="003615D3"/>
    <w:rsid w:val="00361AB7"/>
    <w:rsid w:val="00362D39"/>
    <w:rsid w:val="00363199"/>
    <w:rsid w:val="003649ED"/>
    <w:rsid w:val="00365673"/>
    <w:rsid w:val="003709FB"/>
    <w:rsid w:val="003717CB"/>
    <w:rsid w:val="003726E5"/>
    <w:rsid w:val="00372D7E"/>
    <w:rsid w:val="003734CE"/>
    <w:rsid w:val="003734DB"/>
    <w:rsid w:val="0037353B"/>
    <w:rsid w:val="00373D72"/>
    <w:rsid w:val="00374182"/>
    <w:rsid w:val="00374500"/>
    <w:rsid w:val="00375CED"/>
    <w:rsid w:val="0037651B"/>
    <w:rsid w:val="003802CB"/>
    <w:rsid w:val="003804E8"/>
    <w:rsid w:val="00380878"/>
    <w:rsid w:val="00380D52"/>
    <w:rsid w:val="0038124B"/>
    <w:rsid w:val="00382DC9"/>
    <w:rsid w:val="00383BB1"/>
    <w:rsid w:val="0038446A"/>
    <w:rsid w:val="00384F5D"/>
    <w:rsid w:val="0038587E"/>
    <w:rsid w:val="00385908"/>
    <w:rsid w:val="00385979"/>
    <w:rsid w:val="003870C8"/>
    <w:rsid w:val="00390942"/>
    <w:rsid w:val="00391CF3"/>
    <w:rsid w:val="00391D18"/>
    <w:rsid w:val="00392792"/>
    <w:rsid w:val="00392BAB"/>
    <w:rsid w:val="00393607"/>
    <w:rsid w:val="00393C08"/>
    <w:rsid w:val="003961FD"/>
    <w:rsid w:val="00396B41"/>
    <w:rsid w:val="003972B2"/>
    <w:rsid w:val="00397588"/>
    <w:rsid w:val="003A0024"/>
    <w:rsid w:val="003A0E1B"/>
    <w:rsid w:val="003A14AD"/>
    <w:rsid w:val="003A21DD"/>
    <w:rsid w:val="003A24A0"/>
    <w:rsid w:val="003A261C"/>
    <w:rsid w:val="003A3203"/>
    <w:rsid w:val="003A375E"/>
    <w:rsid w:val="003A53C5"/>
    <w:rsid w:val="003A5898"/>
    <w:rsid w:val="003A5C0C"/>
    <w:rsid w:val="003A61B6"/>
    <w:rsid w:val="003A7B10"/>
    <w:rsid w:val="003A7C8C"/>
    <w:rsid w:val="003A7DD8"/>
    <w:rsid w:val="003B082D"/>
    <w:rsid w:val="003B0F0F"/>
    <w:rsid w:val="003B227B"/>
    <w:rsid w:val="003B37F4"/>
    <w:rsid w:val="003B48BB"/>
    <w:rsid w:val="003B4946"/>
    <w:rsid w:val="003B660D"/>
    <w:rsid w:val="003B664A"/>
    <w:rsid w:val="003B73A1"/>
    <w:rsid w:val="003B788D"/>
    <w:rsid w:val="003C0B87"/>
    <w:rsid w:val="003C2538"/>
    <w:rsid w:val="003C3E37"/>
    <w:rsid w:val="003C3EAD"/>
    <w:rsid w:val="003D0A05"/>
    <w:rsid w:val="003D11EF"/>
    <w:rsid w:val="003D1CDF"/>
    <w:rsid w:val="003D251E"/>
    <w:rsid w:val="003D35ED"/>
    <w:rsid w:val="003D38BD"/>
    <w:rsid w:val="003D57FF"/>
    <w:rsid w:val="003D5C9B"/>
    <w:rsid w:val="003D6678"/>
    <w:rsid w:val="003D702D"/>
    <w:rsid w:val="003D7545"/>
    <w:rsid w:val="003D77B0"/>
    <w:rsid w:val="003E397A"/>
    <w:rsid w:val="003E3CE5"/>
    <w:rsid w:val="003E42F2"/>
    <w:rsid w:val="003E5C54"/>
    <w:rsid w:val="003E64DB"/>
    <w:rsid w:val="003E6A70"/>
    <w:rsid w:val="003F09F5"/>
    <w:rsid w:val="003F0F8B"/>
    <w:rsid w:val="003F19CB"/>
    <w:rsid w:val="003F1C01"/>
    <w:rsid w:val="003F2615"/>
    <w:rsid w:val="003F648F"/>
    <w:rsid w:val="003F6AE1"/>
    <w:rsid w:val="003F6F35"/>
    <w:rsid w:val="003F741C"/>
    <w:rsid w:val="00401B6F"/>
    <w:rsid w:val="004021C2"/>
    <w:rsid w:val="004032BC"/>
    <w:rsid w:val="00403EE4"/>
    <w:rsid w:val="00404D26"/>
    <w:rsid w:val="00406B0A"/>
    <w:rsid w:val="0040733D"/>
    <w:rsid w:val="00407540"/>
    <w:rsid w:val="004076E5"/>
    <w:rsid w:val="004079C4"/>
    <w:rsid w:val="0041077C"/>
    <w:rsid w:val="0041142D"/>
    <w:rsid w:val="004115E9"/>
    <w:rsid w:val="00412572"/>
    <w:rsid w:val="0041612E"/>
    <w:rsid w:val="00416695"/>
    <w:rsid w:val="00416E0B"/>
    <w:rsid w:val="00416FA0"/>
    <w:rsid w:val="004171AC"/>
    <w:rsid w:val="0041753D"/>
    <w:rsid w:val="00417A1E"/>
    <w:rsid w:val="00417ACE"/>
    <w:rsid w:val="0042055E"/>
    <w:rsid w:val="0042064F"/>
    <w:rsid w:val="00423C65"/>
    <w:rsid w:val="00424B29"/>
    <w:rsid w:val="00424B53"/>
    <w:rsid w:val="00426B66"/>
    <w:rsid w:val="004304F4"/>
    <w:rsid w:val="00430F30"/>
    <w:rsid w:val="00430FAE"/>
    <w:rsid w:val="004333B8"/>
    <w:rsid w:val="004338A2"/>
    <w:rsid w:val="004338DE"/>
    <w:rsid w:val="0043392E"/>
    <w:rsid w:val="0043564C"/>
    <w:rsid w:val="00435A55"/>
    <w:rsid w:val="00437993"/>
    <w:rsid w:val="00437A62"/>
    <w:rsid w:val="00441627"/>
    <w:rsid w:val="004416C5"/>
    <w:rsid w:val="00441BF2"/>
    <w:rsid w:val="0044224C"/>
    <w:rsid w:val="004430C9"/>
    <w:rsid w:val="00444933"/>
    <w:rsid w:val="00445122"/>
    <w:rsid w:val="00445FF5"/>
    <w:rsid w:val="00446749"/>
    <w:rsid w:val="0044753A"/>
    <w:rsid w:val="004478FF"/>
    <w:rsid w:val="00447CC4"/>
    <w:rsid w:val="004502ED"/>
    <w:rsid w:val="004506FF"/>
    <w:rsid w:val="00451A28"/>
    <w:rsid w:val="00452592"/>
    <w:rsid w:val="00453081"/>
    <w:rsid w:val="0045357B"/>
    <w:rsid w:val="00453C1C"/>
    <w:rsid w:val="00454EF0"/>
    <w:rsid w:val="00456A79"/>
    <w:rsid w:val="004576E7"/>
    <w:rsid w:val="00457C7E"/>
    <w:rsid w:val="00460399"/>
    <w:rsid w:val="0046107B"/>
    <w:rsid w:val="00461FA3"/>
    <w:rsid w:val="004637A6"/>
    <w:rsid w:val="00463E9A"/>
    <w:rsid w:val="00464ADB"/>
    <w:rsid w:val="0046508F"/>
    <w:rsid w:val="004668D6"/>
    <w:rsid w:val="0046798E"/>
    <w:rsid w:val="0047078C"/>
    <w:rsid w:val="00470849"/>
    <w:rsid w:val="004709A6"/>
    <w:rsid w:val="004712CE"/>
    <w:rsid w:val="00471409"/>
    <w:rsid w:val="004715C0"/>
    <w:rsid w:val="0047391B"/>
    <w:rsid w:val="004743F8"/>
    <w:rsid w:val="00475A78"/>
    <w:rsid w:val="004760FF"/>
    <w:rsid w:val="00481C42"/>
    <w:rsid w:val="00482143"/>
    <w:rsid w:val="00482388"/>
    <w:rsid w:val="0048283B"/>
    <w:rsid w:val="00483405"/>
    <w:rsid w:val="004838A9"/>
    <w:rsid w:val="00484556"/>
    <w:rsid w:val="00484CA1"/>
    <w:rsid w:val="00484F55"/>
    <w:rsid w:val="00485589"/>
    <w:rsid w:val="0048559C"/>
    <w:rsid w:val="00486A05"/>
    <w:rsid w:val="00490176"/>
    <w:rsid w:val="00490C44"/>
    <w:rsid w:val="004926E1"/>
    <w:rsid w:val="00493C83"/>
    <w:rsid w:val="0049420E"/>
    <w:rsid w:val="00495AAB"/>
    <w:rsid w:val="00495D33"/>
    <w:rsid w:val="0049630D"/>
    <w:rsid w:val="004969BC"/>
    <w:rsid w:val="00496DB6"/>
    <w:rsid w:val="00496EC0"/>
    <w:rsid w:val="004975C3"/>
    <w:rsid w:val="00497784"/>
    <w:rsid w:val="00497DB8"/>
    <w:rsid w:val="004A0930"/>
    <w:rsid w:val="004A1787"/>
    <w:rsid w:val="004A1DF4"/>
    <w:rsid w:val="004A2009"/>
    <w:rsid w:val="004A2A25"/>
    <w:rsid w:val="004A3659"/>
    <w:rsid w:val="004A3944"/>
    <w:rsid w:val="004A3966"/>
    <w:rsid w:val="004A3F7B"/>
    <w:rsid w:val="004A444A"/>
    <w:rsid w:val="004A489D"/>
    <w:rsid w:val="004A4A0D"/>
    <w:rsid w:val="004A4E48"/>
    <w:rsid w:val="004A50C6"/>
    <w:rsid w:val="004A56AC"/>
    <w:rsid w:val="004A5BA8"/>
    <w:rsid w:val="004A6A9C"/>
    <w:rsid w:val="004A6CB2"/>
    <w:rsid w:val="004A7AC0"/>
    <w:rsid w:val="004B0679"/>
    <w:rsid w:val="004B1297"/>
    <w:rsid w:val="004B21B5"/>
    <w:rsid w:val="004B376D"/>
    <w:rsid w:val="004B59F8"/>
    <w:rsid w:val="004B6401"/>
    <w:rsid w:val="004B6CBA"/>
    <w:rsid w:val="004B70D0"/>
    <w:rsid w:val="004B7524"/>
    <w:rsid w:val="004B7E18"/>
    <w:rsid w:val="004C1096"/>
    <w:rsid w:val="004C1956"/>
    <w:rsid w:val="004C2477"/>
    <w:rsid w:val="004C2A3E"/>
    <w:rsid w:val="004C333D"/>
    <w:rsid w:val="004C3AEA"/>
    <w:rsid w:val="004C4191"/>
    <w:rsid w:val="004C4AEF"/>
    <w:rsid w:val="004C4DB7"/>
    <w:rsid w:val="004C4DDB"/>
    <w:rsid w:val="004C623B"/>
    <w:rsid w:val="004C67B8"/>
    <w:rsid w:val="004C7A56"/>
    <w:rsid w:val="004C7D69"/>
    <w:rsid w:val="004D00CD"/>
    <w:rsid w:val="004D262B"/>
    <w:rsid w:val="004D2A21"/>
    <w:rsid w:val="004D4431"/>
    <w:rsid w:val="004D4480"/>
    <w:rsid w:val="004D4914"/>
    <w:rsid w:val="004D4E4B"/>
    <w:rsid w:val="004D5CE6"/>
    <w:rsid w:val="004D695C"/>
    <w:rsid w:val="004D7F8C"/>
    <w:rsid w:val="004E0CB3"/>
    <w:rsid w:val="004E0CF5"/>
    <w:rsid w:val="004E0E2D"/>
    <w:rsid w:val="004E200B"/>
    <w:rsid w:val="004E22B1"/>
    <w:rsid w:val="004E2364"/>
    <w:rsid w:val="004E25D2"/>
    <w:rsid w:val="004E27A7"/>
    <w:rsid w:val="004E365B"/>
    <w:rsid w:val="004E3B4A"/>
    <w:rsid w:val="004E55AA"/>
    <w:rsid w:val="004E69BD"/>
    <w:rsid w:val="004E6AF2"/>
    <w:rsid w:val="004E73CC"/>
    <w:rsid w:val="004F172E"/>
    <w:rsid w:val="004F399D"/>
    <w:rsid w:val="004F460F"/>
    <w:rsid w:val="004F4D89"/>
    <w:rsid w:val="004F6188"/>
    <w:rsid w:val="004F6FC9"/>
    <w:rsid w:val="00500332"/>
    <w:rsid w:val="00500E9D"/>
    <w:rsid w:val="00501C7C"/>
    <w:rsid w:val="00502B06"/>
    <w:rsid w:val="00502D26"/>
    <w:rsid w:val="00503E24"/>
    <w:rsid w:val="00505C23"/>
    <w:rsid w:val="005067AA"/>
    <w:rsid w:val="00506E66"/>
    <w:rsid w:val="00506F65"/>
    <w:rsid w:val="0050745A"/>
    <w:rsid w:val="00510DE2"/>
    <w:rsid w:val="00511DD0"/>
    <w:rsid w:val="00512799"/>
    <w:rsid w:val="00512A30"/>
    <w:rsid w:val="00512EF1"/>
    <w:rsid w:val="0051398E"/>
    <w:rsid w:val="00513D05"/>
    <w:rsid w:val="00515912"/>
    <w:rsid w:val="00516456"/>
    <w:rsid w:val="005166E1"/>
    <w:rsid w:val="005166E5"/>
    <w:rsid w:val="00516B7D"/>
    <w:rsid w:val="00516F01"/>
    <w:rsid w:val="0051743B"/>
    <w:rsid w:val="00517B98"/>
    <w:rsid w:val="0052061B"/>
    <w:rsid w:val="00520EEA"/>
    <w:rsid w:val="0052169F"/>
    <w:rsid w:val="005216B8"/>
    <w:rsid w:val="00522347"/>
    <w:rsid w:val="00522A4F"/>
    <w:rsid w:val="00522D9A"/>
    <w:rsid w:val="00522F31"/>
    <w:rsid w:val="00523289"/>
    <w:rsid w:val="00523DED"/>
    <w:rsid w:val="00525100"/>
    <w:rsid w:val="0052535D"/>
    <w:rsid w:val="005257D7"/>
    <w:rsid w:val="00525C44"/>
    <w:rsid w:val="00526440"/>
    <w:rsid w:val="005274D0"/>
    <w:rsid w:val="00530174"/>
    <w:rsid w:val="00530598"/>
    <w:rsid w:val="00531781"/>
    <w:rsid w:val="005325F8"/>
    <w:rsid w:val="00533D87"/>
    <w:rsid w:val="00540FB4"/>
    <w:rsid w:val="00541339"/>
    <w:rsid w:val="00541420"/>
    <w:rsid w:val="00541A23"/>
    <w:rsid w:val="0054295F"/>
    <w:rsid w:val="00542ACC"/>
    <w:rsid w:val="00543464"/>
    <w:rsid w:val="00543EFD"/>
    <w:rsid w:val="0054605F"/>
    <w:rsid w:val="00546B1E"/>
    <w:rsid w:val="005476AB"/>
    <w:rsid w:val="00550529"/>
    <w:rsid w:val="005526E8"/>
    <w:rsid w:val="005550A2"/>
    <w:rsid w:val="0055605B"/>
    <w:rsid w:val="00556A1E"/>
    <w:rsid w:val="005577AD"/>
    <w:rsid w:val="0056023D"/>
    <w:rsid w:val="00562684"/>
    <w:rsid w:val="005645D9"/>
    <w:rsid w:val="00566486"/>
    <w:rsid w:val="00566B61"/>
    <w:rsid w:val="005671C5"/>
    <w:rsid w:val="00567A94"/>
    <w:rsid w:val="0057079B"/>
    <w:rsid w:val="00570FAB"/>
    <w:rsid w:val="0057177C"/>
    <w:rsid w:val="00572ABC"/>
    <w:rsid w:val="00572AF7"/>
    <w:rsid w:val="00573CC2"/>
    <w:rsid w:val="00573DEA"/>
    <w:rsid w:val="005750E8"/>
    <w:rsid w:val="00575E8E"/>
    <w:rsid w:val="0057600A"/>
    <w:rsid w:val="00576DA5"/>
    <w:rsid w:val="0058035B"/>
    <w:rsid w:val="005811DF"/>
    <w:rsid w:val="00582192"/>
    <w:rsid w:val="00582A12"/>
    <w:rsid w:val="00583AA8"/>
    <w:rsid w:val="00583C89"/>
    <w:rsid w:val="005847A3"/>
    <w:rsid w:val="00584CD9"/>
    <w:rsid w:val="00586F24"/>
    <w:rsid w:val="00587FD8"/>
    <w:rsid w:val="00590EE8"/>
    <w:rsid w:val="005915FB"/>
    <w:rsid w:val="005928B0"/>
    <w:rsid w:val="00592D73"/>
    <w:rsid w:val="005959DA"/>
    <w:rsid w:val="00597CDC"/>
    <w:rsid w:val="005A0096"/>
    <w:rsid w:val="005A043F"/>
    <w:rsid w:val="005A18CB"/>
    <w:rsid w:val="005A2697"/>
    <w:rsid w:val="005A32CA"/>
    <w:rsid w:val="005A433D"/>
    <w:rsid w:val="005A5158"/>
    <w:rsid w:val="005A5385"/>
    <w:rsid w:val="005A6770"/>
    <w:rsid w:val="005A6C90"/>
    <w:rsid w:val="005A71BF"/>
    <w:rsid w:val="005A7ABF"/>
    <w:rsid w:val="005A7E8E"/>
    <w:rsid w:val="005B0408"/>
    <w:rsid w:val="005B0700"/>
    <w:rsid w:val="005B1140"/>
    <w:rsid w:val="005B133F"/>
    <w:rsid w:val="005B167B"/>
    <w:rsid w:val="005B1E0A"/>
    <w:rsid w:val="005B358A"/>
    <w:rsid w:val="005B4804"/>
    <w:rsid w:val="005B54E3"/>
    <w:rsid w:val="005B5D4C"/>
    <w:rsid w:val="005B70C1"/>
    <w:rsid w:val="005B7F4B"/>
    <w:rsid w:val="005C0684"/>
    <w:rsid w:val="005C07ED"/>
    <w:rsid w:val="005C1B67"/>
    <w:rsid w:val="005C2E66"/>
    <w:rsid w:val="005C32A0"/>
    <w:rsid w:val="005C3483"/>
    <w:rsid w:val="005C3B3F"/>
    <w:rsid w:val="005C4520"/>
    <w:rsid w:val="005C5701"/>
    <w:rsid w:val="005C6DAE"/>
    <w:rsid w:val="005C7E77"/>
    <w:rsid w:val="005D0281"/>
    <w:rsid w:val="005D15CC"/>
    <w:rsid w:val="005D160D"/>
    <w:rsid w:val="005D31AC"/>
    <w:rsid w:val="005D3622"/>
    <w:rsid w:val="005D3839"/>
    <w:rsid w:val="005D3A6B"/>
    <w:rsid w:val="005D3E65"/>
    <w:rsid w:val="005D4405"/>
    <w:rsid w:val="005D5D86"/>
    <w:rsid w:val="005D6BD7"/>
    <w:rsid w:val="005E0284"/>
    <w:rsid w:val="005E173B"/>
    <w:rsid w:val="005E1B45"/>
    <w:rsid w:val="005E334D"/>
    <w:rsid w:val="005E36D1"/>
    <w:rsid w:val="005E3904"/>
    <w:rsid w:val="005E4E31"/>
    <w:rsid w:val="005E4E88"/>
    <w:rsid w:val="005E50EB"/>
    <w:rsid w:val="005E556F"/>
    <w:rsid w:val="005E7198"/>
    <w:rsid w:val="005E71E1"/>
    <w:rsid w:val="005E7392"/>
    <w:rsid w:val="005E7562"/>
    <w:rsid w:val="005E78D6"/>
    <w:rsid w:val="005F30C4"/>
    <w:rsid w:val="005F4B83"/>
    <w:rsid w:val="005F4F7A"/>
    <w:rsid w:val="005F6E97"/>
    <w:rsid w:val="00600F69"/>
    <w:rsid w:val="00601104"/>
    <w:rsid w:val="00601418"/>
    <w:rsid w:val="00601B25"/>
    <w:rsid w:val="00601E32"/>
    <w:rsid w:val="00601E89"/>
    <w:rsid w:val="0060293D"/>
    <w:rsid w:val="0060308D"/>
    <w:rsid w:val="0060397D"/>
    <w:rsid w:val="006039F0"/>
    <w:rsid w:val="006040D6"/>
    <w:rsid w:val="00604F03"/>
    <w:rsid w:val="00607390"/>
    <w:rsid w:val="00610C82"/>
    <w:rsid w:val="00610CDE"/>
    <w:rsid w:val="0061375A"/>
    <w:rsid w:val="00614322"/>
    <w:rsid w:val="00615582"/>
    <w:rsid w:val="00615C36"/>
    <w:rsid w:val="00616728"/>
    <w:rsid w:val="00616971"/>
    <w:rsid w:val="00620A9C"/>
    <w:rsid w:val="00621BEB"/>
    <w:rsid w:val="0062232C"/>
    <w:rsid w:val="00623D35"/>
    <w:rsid w:val="00624727"/>
    <w:rsid w:val="006255D7"/>
    <w:rsid w:val="006256ED"/>
    <w:rsid w:val="00625FF2"/>
    <w:rsid w:val="00626092"/>
    <w:rsid w:val="00627111"/>
    <w:rsid w:val="006276EF"/>
    <w:rsid w:val="0063252C"/>
    <w:rsid w:val="0063578A"/>
    <w:rsid w:val="00635DD4"/>
    <w:rsid w:val="00636895"/>
    <w:rsid w:val="00636DE1"/>
    <w:rsid w:val="00637571"/>
    <w:rsid w:val="006376C9"/>
    <w:rsid w:val="00637E88"/>
    <w:rsid w:val="0064012F"/>
    <w:rsid w:val="006402DF"/>
    <w:rsid w:val="00640EF2"/>
    <w:rsid w:val="0064134E"/>
    <w:rsid w:val="006437A8"/>
    <w:rsid w:val="0064389F"/>
    <w:rsid w:val="00644698"/>
    <w:rsid w:val="006448A5"/>
    <w:rsid w:val="00645049"/>
    <w:rsid w:val="00645B0C"/>
    <w:rsid w:val="00645BB7"/>
    <w:rsid w:val="00646D20"/>
    <w:rsid w:val="006472D7"/>
    <w:rsid w:val="00647CB0"/>
    <w:rsid w:val="00650074"/>
    <w:rsid w:val="006509CF"/>
    <w:rsid w:val="00650C5A"/>
    <w:rsid w:val="006510AD"/>
    <w:rsid w:val="00651BAA"/>
    <w:rsid w:val="00653A05"/>
    <w:rsid w:val="006557A1"/>
    <w:rsid w:val="00656610"/>
    <w:rsid w:val="00656A4E"/>
    <w:rsid w:val="00656EEE"/>
    <w:rsid w:val="006574F3"/>
    <w:rsid w:val="00657689"/>
    <w:rsid w:val="0066070F"/>
    <w:rsid w:val="00660B23"/>
    <w:rsid w:val="00660E8E"/>
    <w:rsid w:val="00662C4A"/>
    <w:rsid w:val="00662F14"/>
    <w:rsid w:val="00663A29"/>
    <w:rsid w:val="00664298"/>
    <w:rsid w:val="0066450A"/>
    <w:rsid w:val="00664AAB"/>
    <w:rsid w:val="00664D6B"/>
    <w:rsid w:val="00666B57"/>
    <w:rsid w:val="00670E8E"/>
    <w:rsid w:val="00671130"/>
    <w:rsid w:val="0067188B"/>
    <w:rsid w:val="00671C6D"/>
    <w:rsid w:val="006723DE"/>
    <w:rsid w:val="0067246F"/>
    <w:rsid w:val="006738A6"/>
    <w:rsid w:val="006748AA"/>
    <w:rsid w:val="00675123"/>
    <w:rsid w:val="0067526C"/>
    <w:rsid w:val="00676C79"/>
    <w:rsid w:val="0067777C"/>
    <w:rsid w:val="0068027B"/>
    <w:rsid w:val="006804E6"/>
    <w:rsid w:val="006811AD"/>
    <w:rsid w:val="006834A7"/>
    <w:rsid w:val="0068351E"/>
    <w:rsid w:val="00683562"/>
    <w:rsid w:val="0068391A"/>
    <w:rsid w:val="006841F4"/>
    <w:rsid w:val="00684C00"/>
    <w:rsid w:val="006853A5"/>
    <w:rsid w:val="00685854"/>
    <w:rsid w:val="00686094"/>
    <w:rsid w:val="00686C50"/>
    <w:rsid w:val="0068721C"/>
    <w:rsid w:val="0068782C"/>
    <w:rsid w:val="00687B30"/>
    <w:rsid w:val="0069005E"/>
    <w:rsid w:val="00690D0F"/>
    <w:rsid w:val="006915A0"/>
    <w:rsid w:val="006919B0"/>
    <w:rsid w:val="00693469"/>
    <w:rsid w:val="0069428E"/>
    <w:rsid w:val="0069450A"/>
    <w:rsid w:val="0069481A"/>
    <w:rsid w:val="0069482B"/>
    <w:rsid w:val="00696B7B"/>
    <w:rsid w:val="00696CC6"/>
    <w:rsid w:val="0069723B"/>
    <w:rsid w:val="006A00D9"/>
    <w:rsid w:val="006A045D"/>
    <w:rsid w:val="006A056B"/>
    <w:rsid w:val="006A06B6"/>
    <w:rsid w:val="006A0931"/>
    <w:rsid w:val="006A1033"/>
    <w:rsid w:val="006A28FD"/>
    <w:rsid w:val="006A2C29"/>
    <w:rsid w:val="006A37E9"/>
    <w:rsid w:val="006A409C"/>
    <w:rsid w:val="006A4506"/>
    <w:rsid w:val="006A568B"/>
    <w:rsid w:val="006A5C80"/>
    <w:rsid w:val="006A797D"/>
    <w:rsid w:val="006B07EC"/>
    <w:rsid w:val="006B2F11"/>
    <w:rsid w:val="006B331D"/>
    <w:rsid w:val="006B45C4"/>
    <w:rsid w:val="006B518F"/>
    <w:rsid w:val="006B64B0"/>
    <w:rsid w:val="006B76BF"/>
    <w:rsid w:val="006B7D36"/>
    <w:rsid w:val="006C014F"/>
    <w:rsid w:val="006C11D9"/>
    <w:rsid w:val="006C2979"/>
    <w:rsid w:val="006C2A5E"/>
    <w:rsid w:val="006C3D73"/>
    <w:rsid w:val="006C4736"/>
    <w:rsid w:val="006C4A9B"/>
    <w:rsid w:val="006C65AD"/>
    <w:rsid w:val="006C68C3"/>
    <w:rsid w:val="006C6994"/>
    <w:rsid w:val="006C6EE3"/>
    <w:rsid w:val="006C7391"/>
    <w:rsid w:val="006D12CC"/>
    <w:rsid w:val="006D16B2"/>
    <w:rsid w:val="006D337D"/>
    <w:rsid w:val="006D3467"/>
    <w:rsid w:val="006D34D1"/>
    <w:rsid w:val="006D4AAF"/>
    <w:rsid w:val="006D5538"/>
    <w:rsid w:val="006D6ADC"/>
    <w:rsid w:val="006D7207"/>
    <w:rsid w:val="006D7827"/>
    <w:rsid w:val="006E0015"/>
    <w:rsid w:val="006E14B4"/>
    <w:rsid w:val="006E3154"/>
    <w:rsid w:val="006E4328"/>
    <w:rsid w:val="006E58A2"/>
    <w:rsid w:val="006E6C9D"/>
    <w:rsid w:val="006E6D19"/>
    <w:rsid w:val="006E7C88"/>
    <w:rsid w:val="006E7DE4"/>
    <w:rsid w:val="006F0302"/>
    <w:rsid w:val="006F1139"/>
    <w:rsid w:val="006F1F48"/>
    <w:rsid w:val="006F24BD"/>
    <w:rsid w:val="006F273C"/>
    <w:rsid w:val="006F28AC"/>
    <w:rsid w:val="006F29AA"/>
    <w:rsid w:val="006F2F73"/>
    <w:rsid w:val="006F4407"/>
    <w:rsid w:val="006F4633"/>
    <w:rsid w:val="006F5531"/>
    <w:rsid w:val="006F58DA"/>
    <w:rsid w:val="006F5A0C"/>
    <w:rsid w:val="006F5D3D"/>
    <w:rsid w:val="006F6817"/>
    <w:rsid w:val="006F6B15"/>
    <w:rsid w:val="006F73DF"/>
    <w:rsid w:val="006F76DF"/>
    <w:rsid w:val="00700159"/>
    <w:rsid w:val="007006DA"/>
    <w:rsid w:val="00700816"/>
    <w:rsid w:val="00702572"/>
    <w:rsid w:val="00702BB7"/>
    <w:rsid w:val="0070300D"/>
    <w:rsid w:val="00704654"/>
    <w:rsid w:val="007049AE"/>
    <w:rsid w:val="00704B87"/>
    <w:rsid w:val="00705C23"/>
    <w:rsid w:val="00705C7E"/>
    <w:rsid w:val="007063BB"/>
    <w:rsid w:val="00706C9C"/>
    <w:rsid w:val="00707749"/>
    <w:rsid w:val="00710750"/>
    <w:rsid w:val="007109A5"/>
    <w:rsid w:val="00710C5B"/>
    <w:rsid w:val="00711AFD"/>
    <w:rsid w:val="0071208A"/>
    <w:rsid w:val="0071234B"/>
    <w:rsid w:val="00712726"/>
    <w:rsid w:val="00712E7E"/>
    <w:rsid w:val="007138DA"/>
    <w:rsid w:val="00713DBA"/>
    <w:rsid w:val="007149EF"/>
    <w:rsid w:val="00714FAB"/>
    <w:rsid w:val="007155F6"/>
    <w:rsid w:val="007157E3"/>
    <w:rsid w:val="00715CD1"/>
    <w:rsid w:val="00717DBF"/>
    <w:rsid w:val="0072107E"/>
    <w:rsid w:val="00721592"/>
    <w:rsid w:val="007227B0"/>
    <w:rsid w:val="00722D00"/>
    <w:rsid w:val="007232A9"/>
    <w:rsid w:val="007244D2"/>
    <w:rsid w:val="0072479A"/>
    <w:rsid w:val="0072511F"/>
    <w:rsid w:val="00725160"/>
    <w:rsid w:val="00725B92"/>
    <w:rsid w:val="00727808"/>
    <w:rsid w:val="00727CAB"/>
    <w:rsid w:val="00727CFC"/>
    <w:rsid w:val="007308C2"/>
    <w:rsid w:val="007319C3"/>
    <w:rsid w:val="00732CD3"/>
    <w:rsid w:val="00732F99"/>
    <w:rsid w:val="007330A9"/>
    <w:rsid w:val="0073356A"/>
    <w:rsid w:val="00734B06"/>
    <w:rsid w:val="00735305"/>
    <w:rsid w:val="00735B1C"/>
    <w:rsid w:val="0073617F"/>
    <w:rsid w:val="007364DF"/>
    <w:rsid w:val="00736CC2"/>
    <w:rsid w:val="0073714E"/>
    <w:rsid w:val="007371AC"/>
    <w:rsid w:val="007371CC"/>
    <w:rsid w:val="0074095E"/>
    <w:rsid w:val="00740F73"/>
    <w:rsid w:val="00741190"/>
    <w:rsid w:val="0074125C"/>
    <w:rsid w:val="007419DF"/>
    <w:rsid w:val="00742629"/>
    <w:rsid w:val="00742C71"/>
    <w:rsid w:val="00742E91"/>
    <w:rsid w:val="0074467B"/>
    <w:rsid w:val="00746598"/>
    <w:rsid w:val="00746BF6"/>
    <w:rsid w:val="00746DEF"/>
    <w:rsid w:val="007471C2"/>
    <w:rsid w:val="0074749A"/>
    <w:rsid w:val="0074757A"/>
    <w:rsid w:val="00747D21"/>
    <w:rsid w:val="007507B1"/>
    <w:rsid w:val="00751933"/>
    <w:rsid w:val="007526D1"/>
    <w:rsid w:val="00752A4E"/>
    <w:rsid w:val="00752B14"/>
    <w:rsid w:val="007533E8"/>
    <w:rsid w:val="00754600"/>
    <w:rsid w:val="0075493E"/>
    <w:rsid w:val="00755700"/>
    <w:rsid w:val="00755E28"/>
    <w:rsid w:val="0075623F"/>
    <w:rsid w:val="00756446"/>
    <w:rsid w:val="00756A19"/>
    <w:rsid w:val="00757422"/>
    <w:rsid w:val="0076047B"/>
    <w:rsid w:val="007610D6"/>
    <w:rsid w:val="0076150F"/>
    <w:rsid w:val="00761E41"/>
    <w:rsid w:val="00763AE8"/>
    <w:rsid w:val="00763BAF"/>
    <w:rsid w:val="0076404A"/>
    <w:rsid w:val="007642FD"/>
    <w:rsid w:val="0076463F"/>
    <w:rsid w:val="00764C69"/>
    <w:rsid w:val="00766D7E"/>
    <w:rsid w:val="00767F12"/>
    <w:rsid w:val="00770A55"/>
    <w:rsid w:val="00770E14"/>
    <w:rsid w:val="00771062"/>
    <w:rsid w:val="0077250C"/>
    <w:rsid w:val="00774387"/>
    <w:rsid w:val="00774E99"/>
    <w:rsid w:val="00776B05"/>
    <w:rsid w:val="0078005A"/>
    <w:rsid w:val="007820A4"/>
    <w:rsid w:val="00782873"/>
    <w:rsid w:val="00782B57"/>
    <w:rsid w:val="00783742"/>
    <w:rsid w:val="00784F13"/>
    <w:rsid w:val="00787641"/>
    <w:rsid w:val="007906E5"/>
    <w:rsid w:val="00791537"/>
    <w:rsid w:val="00791C9D"/>
    <w:rsid w:val="007929F5"/>
    <w:rsid w:val="00792B89"/>
    <w:rsid w:val="0079311B"/>
    <w:rsid w:val="00793517"/>
    <w:rsid w:val="00793E14"/>
    <w:rsid w:val="007940DF"/>
    <w:rsid w:val="0079414A"/>
    <w:rsid w:val="00794FD3"/>
    <w:rsid w:val="007964E7"/>
    <w:rsid w:val="007970E2"/>
    <w:rsid w:val="00797DCC"/>
    <w:rsid w:val="007A172C"/>
    <w:rsid w:val="007A22AF"/>
    <w:rsid w:val="007A2A3D"/>
    <w:rsid w:val="007A326D"/>
    <w:rsid w:val="007A6AA8"/>
    <w:rsid w:val="007A75C2"/>
    <w:rsid w:val="007B0310"/>
    <w:rsid w:val="007B0461"/>
    <w:rsid w:val="007B0F9C"/>
    <w:rsid w:val="007B3B40"/>
    <w:rsid w:val="007B3B74"/>
    <w:rsid w:val="007B3C1B"/>
    <w:rsid w:val="007B3C61"/>
    <w:rsid w:val="007B40C9"/>
    <w:rsid w:val="007B4EC8"/>
    <w:rsid w:val="007B552F"/>
    <w:rsid w:val="007B55B0"/>
    <w:rsid w:val="007B6929"/>
    <w:rsid w:val="007B6B63"/>
    <w:rsid w:val="007B6D27"/>
    <w:rsid w:val="007B708F"/>
    <w:rsid w:val="007B7B2C"/>
    <w:rsid w:val="007C09F6"/>
    <w:rsid w:val="007C34D6"/>
    <w:rsid w:val="007C444C"/>
    <w:rsid w:val="007C45A0"/>
    <w:rsid w:val="007C46CF"/>
    <w:rsid w:val="007C50E9"/>
    <w:rsid w:val="007C5608"/>
    <w:rsid w:val="007C5A69"/>
    <w:rsid w:val="007C5F84"/>
    <w:rsid w:val="007C704D"/>
    <w:rsid w:val="007C732A"/>
    <w:rsid w:val="007C7806"/>
    <w:rsid w:val="007D0497"/>
    <w:rsid w:val="007D1471"/>
    <w:rsid w:val="007D1DA3"/>
    <w:rsid w:val="007D1DE4"/>
    <w:rsid w:val="007D2FF9"/>
    <w:rsid w:val="007D3CD0"/>
    <w:rsid w:val="007D412A"/>
    <w:rsid w:val="007D412E"/>
    <w:rsid w:val="007D42DB"/>
    <w:rsid w:val="007D4AA6"/>
    <w:rsid w:val="007D4F59"/>
    <w:rsid w:val="007D76E2"/>
    <w:rsid w:val="007E2354"/>
    <w:rsid w:val="007E3DF4"/>
    <w:rsid w:val="007E3E20"/>
    <w:rsid w:val="007E404E"/>
    <w:rsid w:val="007E4444"/>
    <w:rsid w:val="007E4AF0"/>
    <w:rsid w:val="007E4B0D"/>
    <w:rsid w:val="007E5D82"/>
    <w:rsid w:val="007E7F95"/>
    <w:rsid w:val="007F0351"/>
    <w:rsid w:val="007F0E9A"/>
    <w:rsid w:val="007F0ECC"/>
    <w:rsid w:val="007F1805"/>
    <w:rsid w:val="007F1B38"/>
    <w:rsid w:val="007F27BC"/>
    <w:rsid w:val="007F288B"/>
    <w:rsid w:val="007F2ABF"/>
    <w:rsid w:val="007F2E22"/>
    <w:rsid w:val="007F2ED4"/>
    <w:rsid w:val="007F35E6"/>
    <w:rsid w:val="007F48B4"/>
    <w:rsid w:val="007F501B"/>
    <w:rsid w:val="007F7E2F"/>
    <w:rsid w:val="00800457"/>
    <w:rsid w:val="0080087E"/>
    <w:rsid w:val="00800BC7"/>
    <w:rsid w:val="008010E9"/>
    <w:rsid w:val="00802CF6"/>
    <w:rsid w:val="00804610"/>
    <w:rsid w:val="00806B55"/>
    <w:rsid w:val="00806CB3"/>
    <w:rsid w:val="00807042"/>
    <w:rsid w:val="00810C51"/>
    <w:rsid w:val="00810C8C"/>
    <w:rsid w:val="00811236"/>
    <w:rsid w:val="008116A4"/>
    <w:rsid w:val="00812B2C"/>
    <w:rsid w:val="00813C84"/>
    <w:rsid w:val="00814AC3"/>
    <w:rsid w:val="008158BD"/>
    <w:rsid w:val="00817429"/>
    <w:rsid w:val="008201CE"/>
    <w:rsid w:val="00820416"/>
    <w:rsid w:val="008209C8"/>
    <w:rsid w:val="00821205"/>
    <w:rsid w:val="008229EE"/>
    <w:rsid w:val="00823614"/>
    <w:rsid w:val="0082472E"/>
    <w:rsid w:val="008247E3"/>
    <w:rsid w:val="00824EBF"/>
    <w:rsid w:val="00826D1F"/>
    <w:rsid w:val="008272C4"/>
    <w:rsid w:val="00827D02"/>
    <w:rsid w:val="00831254"/>
    <w:rsid w:val="00831757"/>
    <w:rsid w:val="0083186F"/>
    <w:rsid w:val="00831DE6"/>
    <w:rsid w:val="00832070"/>
    <w:rsid w:val="008322F0"/>
    <w:rsid w:val="0083266C"/>
    <w:rsid w:val="00832D86"/>
    <w:rsid w:val="00833E3B"/>
    <w:rsid w:val="008341AA"/>
    <w:rsid w:val="00835711"/>
    <w:rsid w:val="00835F3A"/>
    <w:rsid w:val="00836530"/>
    <w:rsid w:val="00840133"/>
    <w:rsid w:val="00841296"/>
    <w:rsid w:val="008419E5"/>
    <w:rsid w:val="00842931"/>
    <w:rsid w:val="00842A35"/>
    <w:rsid w:val="008434D0"/>
    <w:rsid w:val="0084450F"/>
    <w:rsid w:val="00845196"/>
    <w:rsid w:val="0084582D"/>
    <w:rsid w:val="00845978"/>
    <w:rsid w:val="00845BFA"/>
    <w:rsid w:val="00850246"/>
    <w:rsid w:val="00850FCF"/>
    <w:rsid w:val="00851A73"/>
    <w:rsid w:val="00853618"/>
    <w:rsid w:val="00854CE7"/>
    <w:rsid w:val="0085589F"/>
    <w:rsid w:val="00857BD5"/>
    <w:rsid w:val="00857CAC"/>
    <w:rsid w:val="00860179"/>
    <w:rsid w:val="00860AC9"/>
    <w:rsid w:val="0086163E"/>
    <w:rsid w:val="00861983"/>
    <w:rsid w:val="00861B96"/>
    <w:rsid w:val="008623C3"/>
    <w:rsid w:val="008640A8"/>
    <w:rsid w:val="00865186"/>
    <w:rsid w:val="008667D3"/>
    <w:rsid w:val="0086739B"/>
    <w:rsid w:val="008718B9"/>
    <w:rsid w:val="00871B15"/>
    <w:rsid w:val="00871C28"/>
    <w:rsid w:val="00872616"/>
    <w:rsid w:val="00873264"/>
    <w:rsid w:val="008740DC"/>
    <w:rsid w:val="0087424B"/>
    <w:rsid w:val="00874845"/>
    <w:rsid w:val="0087721D"/>
    <w:rsid w:val="00880990"/>
    <w:rsid w:val="00881A77"/>
    <w:rsid w:val="00884055"/>
    <w:rsid w:val="008843FA"/>
    <w:rsid w:val="00884F7C"/>
    <w:rsid w:val="00885571"/>
    <w:rsid w:val="00885C21"/>
    <w:rsid w:val="008867B6"/>
    <w:rsid w:val="00886B0C"/>
    <w:rsid w:val="00886C31"/>
    <w:rsid w:val="00887199"/>
    <w:rsid w:val="008875F0"/>
    <w:rsid w:val="00887BEC"/>
    <w:rsid w:val="00887C9D"/>
    <w:rsid w:val="008912E3"/>
    <w:rsid w:val="008928D8"/>
    <w:rsid w:val="00893F86"/>
    <w:rsid w:val="00894534"/>
    <w:rsid w:val="00895E83"/>
    <w:rsid w:val="00897CDB"/>
    <w:rsid w:val="008A07DB"/>
    <w:rsid w:val="008A08B6"/>
    <w:rsid w:val="008A2F8C"/>
    <w:rsid w:val="008A31AD"/>
    <w:rsid w:val="008A4CC7"/>
    <w:rsid w:val="008A4FC3"/>
    <w:rsid w:val="008A5BC6"/>
    <w:rsid w:val="008A6424"/>
    <w:rsid w:val="008B0970"/>
    <w:rsid w:val="008B1214"/>
    <w:rsid w:val="008B2519"/>
    <w:rsid w:val="008B25EA"/>
    <w:rsid w:val="008B26DD"/>
    <w:rsid w:val="008B4083"/>
    <w:rsid w:val="008C0222"/>
    <w:rsid w:val="008C18A2"/>
    <w:rsid w:val="008C21AA"/>
    <w:rsid w:val="008C3935"/>
    <w:rsid w:val="008C5709"/>
    <w:rsid w:val="008C5C77"/>
    <w:rsid w:val="008C7AC1"/>
    <w:rsid w:val="008D04B9"/>
    <w:rsid w:val="008D093B"/>
    <w:rsid w:val="008D0BA4"/>
    <w:rsid w:val="008D0F4D"/>
    <w:rsid w:val="008D11D5"/>
    <w:rsid w:val="008D1320"/>
    <w:rsid w:val="008D15AB"/>
    <w:rsid w:val="008D1B2E"/>
    <w:rsid w:val="008D1DC9"/>
    <w:rsid w:val="008D2814"/>
    <w:rsid w:val="008D3866"/>
    <w:rsid w:val="008D4537"/>
    <w:rsid w:val="008D597A"/>
    <w:rsid w:val="008E0F5E"/>
    <w:rsid w:val="008E2186"/>
    <w:rsid w:val="008E23B5"/>
    <w:rsid w:val="008E4AB7"/>
    <w:rsid w:val="008E4B92"/>
    <w:rsid w:val="008E5B2F"/>
    <w:rsid w:val="008E5CD2"/>
    <w:rsid w:val="008E5D29"/>
    <w:rsid w:val="008E68EB"/>
    <w:rsid w:val="008E6A36"/>
    <w:rsid w:val="008E78FC"/>
    <w:rsid w:val="008F038F"/>
    <w:rsid w:val="008F45FF"/>
    <w:rsid w:val="008F4836"/>
    <w:rsid w:val="008F65DD"/>
    <w:rsid w:val="008F68C0"/>
    <w:rsid w:val="008F764A"/>
    <w:rsid w:val="00901CC0"/>
    <w:rsid w:val="0090214F"/>
    <w:rsid w:val="009025C5"/>
    <w:rsid w:val="0090382B"/>
    <w:rsid w:val="00903A17"/>
    <w:rsid w:val="00903A84"/>
    <w:rsid w:val="00903B14"/>
    <w:rsid w:val="00903FDA"/>
    <w:rsid w:val="009047C4"/>
    <w:rsid w:val="009060A4"/>
    <w:rsid w:val="009062BA"/>
    <w:rsid w:val="00907101"/>
    <w:rsid w:val="00907F46"/>
    <w:rsid w:val="00910D42"/>
    <w:rsid w:val="009128A9"/>
    <w:rsid w:val="00913210"/>
    <w:rsid w:val="009141A0"/>
    <w:rsid w:val="00914600"/>
    <w:rsid w:val="0091483B"/>
    <w:rsid w:val="00914BB5"/>
    <w:rsid w:val="00914FEA"/>
    <w:rsid w:val="0091718A"/>
    <w:rsid w:val="009174FD"/>
    <w:rsid w:val="009204D5"/>
    <w:rsid w:val="009207B2"/>
    <w:rsid w:val="0092186C"/>
    <w:rsid w:val="0092255E"/>
    <w:rsid w:val="009225A0"/>
    <w:rsid w:val="009227C5"/>
    <w:rsid w:val="009229EB"/>
    <w:rsid w:val="00922B7A"/>
    <w:rsid w:val="00922D60"/>
    <w:rsid w:val="00922F10"/>
    <w:rsid w:val="00923628"/>
    <w:rsid w:val="0092371A"/>
    <w:rsid w:val="00925815"/>
    <w:rsid w:val="00926D5B"/>
    <w:rsid w:val="00926ED9"/>
    <w:rsid w:val="009270C0"/>
    <w:rsid w:val="009273D2"/>
    <w:rsid w:val="00931B68"/>
    <w:rsid w:val="00931E90"/>
    <w:rsid w:val="00931EB1"/>
    <w:rsid w:val="009320AD"/>
    <w:rsid w:val="0093297C"/>
    <w:rsid w:val="00936355"/>
    <w:rsid w:val="00937050"/>
    <w:rsid w:val="009373D1"/>
    <w:rsid w:val="00937C3B"/>
    <w:rsid w:val="0094118A"/>
    <w:rsid w:val="0094241B"/>
    <w:rsid w:val="0094316A"/>
    <w:rsid w:val="009454DE"/>
    <w:rsid w:val="00945A97"/>
    <w:rsid w:val="00945D1A"/>
    <w:rsid w:val="00946748"/>
    <w:rsid w:val="00947456"/>
    <w:rsid w:val="00947935"/>
    <w:rsid w:val="009479BC"/>
    <w:rsid w:val="00950322"/>
    <w:rsid w:val="0095057F"/>
    <w:rsid w:val="00951C32"/>
    <w:rsid w:val="0095214C"/>
    <w:rsid w:val="009522A5"/>
    <w:rsid w:val="009546D9"/>
    <w:rsid w:val="009549DB"/>
    <w:rsid w:val="009568DC"/>
    <w:rsid w:val="009612FE"/>
    <w:rsid w:val="00961C02"/>
    <w:rsid w:val="00962285"/>
    <w:rsid w:val="00962A9C"/>
    <w:rsid w:val="00964DF1"/>
    <w:rsid w:val="009656ED"/>
    <w:rsid w:val="009657F9"/>
    <w:rsid w:val="009672CA"/>
    <w:rsid w:val="009675D9"/>
    <w:rsid w:val="00967D8A"/>
    <w:rsid w:val="00967F0B"/>
    <w:rsid w:val="0097154C"/>
    <w:rsid w:val="009716F9"/>
    <w:rsid w:val="00971F92"/>
    <w:rsid w:val="00972063"/>
    <w:rsid w:val="00972D31"/>
    <w:rsid w:val="00973A98"/>
    <w:rsid w:val="00974620"/>
    <w:rsid w:val="00974A3D"/>
    <w:rsid w:val="00975FCE"/>
    <w:rsid w:val="0097708A"/>
    <w:rsid w:val="00977F8E"/>
    <w:rsid w:val="00980E73"/>
    <w:rsid w:val="009811D7"/>
    <w:rsid w:val="00981BD9"/>
    <w:rsid w:val="009822BA"/>
    <w:rsid w:val="00985AC6"/>
    <w:rsid w:val="00985C85"/>
    <w:rsid w:val="00986C59"/>
    <w:rsid w:val="00987576"/>
    <w:rsid w:val="00987950"/>
    <w:rsid w:val="00987C73"/>
    <w:rsid w:val="00991900"/>
    <w:rsid w:val="00992761"/>
    <w:rsid w:val="0099370B"/>
    <w:rsid w:val="009949E0"/>
    <w:rsid w:val="00995337"/>
    <w:rsid w:val="00995617"/>
    <w:rsid w:val="00996AC9"/>
    <w:rsid w:val="009978A8"/>
    <w:rsid w:val="009A1084"/>
    <w:rsid w:val="009A1090"/>
    <w:rsid w:val="009A113F"/>
    <w:rsid w:val="009A154B"/>
    <w:rsid w:val="009A191A"/>
    <w:rsid w:val="009A1F20"/>
    <w:rsid w:val="009A2280"/>
    <w:rsid w:val="009A3001"/>
    <w:rsid w:val="009A3601"/>
    <w:rsid w:val="009A3865"/>
    <w:rsid w:val="009A3DFE"/>
    <w:rsid w:val="009A4D4D"/>
    <w:rsid w:val="009A5459"/>
    <w:rsid w:val="009A797E"/>
    <w:rsid w:val="009B04D1"/>
    <w:rsid w:val="009B0BD1"/>
    <w:rsid w:val="009B16E4"/>
    <w:rsid w:val="009B1868"/>
    <w:rsid w:val="009B1F7A"/>
    <w:rsid w:val="009B261F"/>
    <w:rsid w:val="009B2F7B"/>
    <w:rsid w:val="009B41BD"/>
    <w:rsid w:val="009B421B"/>
    <w:rsid w:val="009B426B"/>
    <w:rsid w:val="009B4E87"/>
    <w:rsid w:val="009B5A36"/>
    <w:rsid w:val="009B6126"/>
    <w:rsid w:val="009B66A7"/>
    <w:rsid w:val="009B6D04"/>
    <w:rsid w:val="009B73BB"/>
    <w:rsid w:val="009C11E2"/>
    <w:rsid w:val="009C3129"/>
    <w:rsid w:val="009C3441"/>
    <w:rsid w:val="009C36FA"/>
    <w:rsid w:val="009C5A17"/>
    <w:rsid w:val="009D2594"/>
    <w:rsid w:val="009D3380"/>
    <w:rsid w:val="009D37F1"/>
    <w:rsid w:val="009D467E"/>
    <w:rsid w:val="009D64AB"/>
    <w:rsid w:val="009D7AD4"/>
    <w:rsid w:val="009E0665"/>
    <w:rsid w:val="009E2528"/>
    <w:rsid w:val="009E28BE"/>
    <w:rsid w:val="009E2DDE"/>
    <w:rsid w:val="009E307D"/>
    <w:rsid w:val="009E3CFE"/>
    <w:rsid w:val="009E61C8"/>
    <w:rsid w:val="009E631C"/>
    <w:rsid w:val="009E7C35"/>
    <w:rsid w:val="009F0394"/>
    <w:rsid w:val="009F133C"/>
    <w:rsid w:val="009F2480"/>
    <w:rsid w:val="009F248E"/>
    <w:rsid w:val="009F44B8"/>
    <w:rsid w:val="009F4B78"/>
    <w:rsid w:val="009F516F"/>
    <w:rsid w:val="009F52B7"/>
    <w:rsid w:val="009F5315"/>
    <w:rsid w:val="009F5ED3"/>
    <w:rsid w:val="009F6264"/>
    <w:rsid w:val="00A00C9F"/>
    <w:rsid w:val="00A00EBB"/>
    <w:rsid w:val="00A01655"/>
    <w:rsid w:val="00A018E1"/>
    <w:rsid w:val="00A01C04"/>
    <w:rsid w:val="00A02827"/>
    <w:rsid w:val="00A02B16"/>
    <w:rsid w:val="00A0438E"/>
    <w:rsid w:val="00A04451"/>
    <w:rsid w:val="00A052F5"/>
    <w:rsid w:val="00A0762B"/>
    <w:rsid w:val="00A110A2"/>
    <w:rsid w:val="00A112CC"/>
    <w:rsid w:val="00A11E63"/>
    <w:rsid w:val="00A122FA"/>
    <w:rsid w:val="00A132D4"/>
    <w:rsid w:val="00A13DFF"/>
    <w:rsid w:val="00A13E20"/>
    <w:rsid w:val="00A1655F"/>
    <w:rsid w:val="00A16872"/>
    <w:rsid w:val="00A16A61"/>
    <w:rsid w:val="00A16EDA"/>
    <w:rsid w:val="00A1749A"/>
    <w:rsid w:val="00A20823"/>
    <w:rsid w:val="00A2133B"/>
    <w:rsid w:val="00A21CBA"/>
    <w:rsid w:val="00A227F1"/>
    <w:rsid w:val="00A22F1E"/>
    <w:rsid w:val="00A2310A"/>
    <w:rsid w:val="00A23769"/>
    <w:rsid w:val="00A23BCB"/>
    <w:rsid w:val="00A240E7"/>
    <w:rsid w:val="00A242BC"/>
    <w:rsid w:val="00A24687"/>
    <w:rsid w:val="00A24AFA"/>
    <w:rsid w:val="00A264A5"/>
    <w:rsid w:val="00A26C2C"/>
    <w:rsid w:val="00A27BBE"/>
    <w:rsid w:val="00A27DDF"/>
    <w:rsid w:val="00A27F3C"/>
    <w:rsid w:val="00A30953"/>
    <w:rsid w:val="00A318DB"/>
    <w:rsid w:val="00A31AC3"/>
    <w:rsid w:val="00A31EAB"/>
    <w:rsid w:val="00A3295D"/>
    <w:rsid w:val="00A33318"/>
    <w:rsid w:val="00A337BB"/>
    <w:rsid w:val="00A33ADF"/>
    <w:rsid w:val="00A35F8B"/>
    <w:rsid w:val="00A379D0"/>
    <w:rsid w:val="00A41A7F"/>
    <w:rsid w:val="00A41E93"/>
    <w:rsid w:val="00A44AB0"/>
    <w:rsid w:val="00A45624"/>
    <w:rsid w:val="00A462C8"/>
    <w:rsid w:val="00A46E8E"/>
    <w:rsid w:val="00A50DBF"/>
    <w:rsid w:val="00A50FC6"/>
    <w:rsid w:val="00A51674"/>
    <w:rsid w:val="00A51BB4"/>
    <w:rsid w:val="00A52E9E"/>
    <w:rsid w:val="00A5345F"/>
    <w:rsid w:val="00A53699"/>
    <w:rsid w:val="00A54116"/>
    <w:rsid w:val="00A54BD3"/>
    <w:rsid w:val="00A55473"/>
    <w:rsid w:val="00A55D6D"/>
    <w:rsid w:val="00A571C8"/>
    <w:rsid w:val="00A57A4D"/>
    <w:rsid w:val="00A6001E"/>
    <w:rsid w:val="00A60593"/>
    <w:rsid w:val="00A62065"/>
    <w:rsid w:val="00A659EB"/>
    <w:rsid w:val="00A65E5C"/>
    <w:rsid w:val="00A6798C"/>
    <w:rsid w:val="00A67BF2"/>
    <w:rsid w:val="00A67E34"/>
    <w:rsid w:val="00A70268"/>
    <w:rsid w:val="00A70778"/>
    <w:rsid w:val="00A70B9A"/>
    <w:rsid w:val="00A7173D"/>
    <w:rsid w:val="00A71788"/>
    <w:rsid w:val="00A71BE8"/>
    <w:rsid w:val="00A72A29"/>
    <w:rsid w:val="00A73B60"/>
    <w:rsid w:val="00A73D67"/>
    <w:rsid w:val="00A76093"/>
    <w:rsid w:val="00A81313"/>
    <w:rsid w:val="00A8252F"/>
    <w:rsid w:val="00A83CBD"/>
    <w:rsid w:val="00A83CF1"/>
    <w:rsid w:val="00A83DCF"/>
    <w:rsid w:val="00A85BAD"/>
    <w:rsid w:val="00A85F34"/>
    <w:rsid w:val="00A876F9"/>
    <w:rsid w:val="00A912DB"/>
    <w:rsid w:val="00A92274"/>
    <w:rsid w:val="00A9239B"/>
    <w:rsid w:val="00A956AB"/>
    <w:rsid w:val="00AA0C01"/>
    <w:rsid w:val="00AA174E"/>
    <w:rsid w:val="00AA1DAD"/>
    <w:rsid w:val="00AA24F9"/>
    <w:rsid w:val="00AA3A4A"/>
    <w:rsid w:val="00AA5403"/>
    <w:rsid w:val="00AA5BB7"/>
    <w:rsid w:val="00AA692D"/>
    <w:rsid w:val="00AA6B37"/>
    <w:rsid w:val="00AA7B98"/>
    <w:rsid w:val="00AB23C1"/>
    <w:rsid w:val="00AC0954"/>
    <w:rsid w:val="00AC37A9"/>
    <w:rsid w:val="00AC5F1C"/>
    <w:rsid w:val="00AC5F9C"/>
    <w:rsid w:val="00AC60D0"/>
    <w:rsid w:val="00AD05D8"/>
    <w:rsid w:val="00AD108F"/>
    <w:rsid w:val="00AD30F5"/>
    <w:rsid w:val="00AD3613"/>
    <w:rsid w:val="00AD36F6"/>
    <w:rsid w:val="00AD373F"/>
    <w:rsid w:val="00AD3EF8"/>
    <w:rsid w:val="00AD5C0B"/>
    <w:rsid w:val="00AD5EE5"/>
    <w:rsid w:val="00AE0A1B"/>
    <w:rsid w:val="00AE1AB8"/>
    <w:rsid w:val="00AE258C"/>
    <w:rsid w:val="00AE25AD"/>
    <w:rsid w:val="00AE5F30"/>
    <w:rsid w:val="00AE66F9"/>
    <w:rsid w:val="00AE731A"/>
    <w:rsid w:val="00AE740C"/>
    <w:rsid w:val="00AF343B"/>
    <w:rsid w:val="00AF3B36"/>
    <w:rsid w:val="00AF4776"/>
    <w:rsid w:val="00AF5326"/>
    <w:rsid w:val="00AF6812"/>
    <w:rsid w:val="00B01301"/>
    <w:rsid w:val="00B013BF"/>
    <w:rsid w:val="00B02817"/>
    <w:rsid w:val="00B0312F"/>
    <w:rsid w:val="00B04E83"/>
    <w:rsid w:val="00B050FD"/>
    <w:rsid w:val="00B0663D"/>
    <w:rsid w:val="00B06C9D"/>
    <w:rsid w:val="00B073FE"/>
    <w:rsid w:val="00B07582"/>
    <w:rsid w:val="00B075E3"/>
    <w:rsid w:val="00B078F8"/>
    <w:rsid w:val="00B107AF"/>
    <w:rsid w:val="00B118E4"/>
    <w:rsid w:val="00B11C8E"/>
    <w:rsid w:val="00B12701"/>
    <w:rsid w:val="00B12876"/>
    <w:rsid w:val="00B12C31"/>
    <w:rsid w:val="00B135F9"/>
    <w:rsid w:val="00B14018"/>
    <w:rsid w:val="00B1408A"/>
    <w:rsid w:val="00B142F4"/>
    <w:rsid w:val="00B16247"/>
    <w:rsid w:val="00B16ED8"/>
    <w:rsid w:val="00B178FB"/>
    <w:rsid w:val="00B2113F"/>
    <w:rsid w:val="00B224DE"/>
    <w:rsid w:val="00B23532"/>
    <w:rsid w:val="00B2383C"/>
    <w:rsid w:val="00B2608A"/>
    <w:rsid w:val="00B262BC"/>
    <w:rsid w:val="00B2708F"/>
    <w:rsid w:val="00B30662"/>
    <w:rsid w:val="00B30A22"/>
    <w:rsid w:val="00B30DE7"/>
    <w:rsid w:val="00B315CD"/>
    <w:rsid w:val="00B32312"/>
    <w:rsid w:val="00B33468"/>
    <w:rsid w:val="00B33570"/>
    <w:rsid w:val="00B3372D"/>
    <w:rsid w:val="00B33DF6"/>
    <w:rsid w:val="00B3627D"/>
    <w:rsid w:val="00B37097"/>
    <w:rsid w:val="00B4230A"/>
    <w:rsid w:val="00B4291D"/>
    <w:rsid w:val="00B43146"/>
    <w:rsid w:val="00B432D3"/>
    <w:rsid w:val="00B4344A"/>
    <w:rsid w:val="00B443E3"/>
    <w:rsid w:val="00B453B8"/>
    <w:rsid w:val="00B4541E"/>
    <w:rsid w:val="00B4542B"/>
    <w:rsid w:val="00B4655E"/>
    <w:rsid w:val="00B4681F"/>
    <w:rsid w:val="00B4767F"/>
    <w:rsid w:val="00B47736"/>
    <w:rsid w:val="00B50498"/>
    <w:rsid w:val="00B50785"/>
    <w:rsid w:val="00B50E27"/>
    <w:rsid w:val="00B50F41"/>
    <w:rsid w:val="00B512AE"/>
    <w:rsid w:val="00B51E5F"/>
    <w:rsid w:val="00B52696"/>
    <w:rsid w:val="00B5271F"/>
    <w:rsid w:val="00B52895"/>
    <w:rsid w:val="00B532AB"/>
    <w:rsid w:val="00B536C6"/>
    <w:rsid w:val="00B536C9"/>
    <w:rsid w:val="00B56017"/>
    <w:rsid w:val="00B574D9"/>
    <w:rsid w:val="00B576FD"/>
    <w:rsid w:val="00B60384"/>
    <w:rsid w:val="00B60564"/>
    <w:rsid w:val="00B6244A"/>
    <w:rsid w:val="00B63072"/>
    <w:rsid w:val="00B63EC8"/>
    <w:rsid w:val="00B64E7F"/>
    <w:rsid w:val="00B650C4"/>
    <w:rsid w:val="00B66583"/>
    <w:rsid w:val="00B66CDD"/>
    <w:rsid w:val="00B67F36"/>
    <w:rsid w:val="00B7001D"/>
    <w:rsid w:val="00B70EDC"/>
    <w:rsid w:val="00B71F50"/>
    <w:rsid w:val="00B74914"/>
    <w:rsid w:val="00B75D37"/>
    <w:rsid w:val="00B76B75"/>
    <w:rsid w:val="00B76CF8"/>
    <w:rsid w:val="00B77A32"/>
    <w:rsid w:val="00B8206E"/>
    <w:rsid w:val="00B8213D"/>
    <w:rsid w:val="00B83DB8"/>
    <w:rsid w:val="00B84209"/>
    <w:rsid w:val="00B859D0"/>
    <w:rsid w:val="00B85A87"/>
    <w:rsid w:val="00B868A1"/>
    <w:rsid w:val="00B868A9"/>
    <w:rsid w:val="00B87CA3"/>
    <w:rsid w:val="00B9085E"/>
    <w:rsid w:val="00B91AE9"/>
    <w:rsid w:val="00B91C63"/>
    <w:rsid w:val="00B92CB4"/>
    <w:rsid w:val="00B93AF0"/>
    <w:rsid w:val="00B947F6"/>
    <w:rsid w:val="00B9648F"/>
    <w:rsid w:val="00B964B6"/>
    <w:rsid w:val="00B969FF"/>
    <w:rsid w:val="00B971A0"/>
    <w:rsid w:val="00B973C6"/>
    <w:rsid w:val="00B97949"/>
    <w:rsid w:val="00BA0415"/>
    <w:rsid w:val="00BA0866"/>
    <w:rsid w:val="00BA11C5"/>
    <w:rsid w:val="00BA3919"/>
    <w:rsid w:val="00BA4D65"/>
    <w:rsid w:val="00BA52FF"/>
    <w:rsid w:val="00BA6B60"/>
    <w:rsid w:val="00BA6DA0"/>
    <w:rsid w:val="00BA7AFC"/>
    <w:rsid w:val="00BB0A13"/>
    <w:rsid w:val="00BB0E06"/>
    <w:rsid w:val="00BB31DB"/>
    <w:rsid w:val="00BB3CE5"/>
    <w:rsid w:val="00BB4AFE"/>
    <w:rsid w:val="00BB6C15"/>
    <w:rsid w:val="00BB6D17"/>
    <w:rsid w:val="00BB74AB"/>
    <w:rsid w:val="00BB786E"/>
    <w:rsid w:val="00BB7EA3"/>
    <w:rsid w:val="00BC1645"/>
    <w:rsid w:val="00BC2538"/>
    <w:rsid w:val="00BC28C7"/>
    <w:rsid w:val="00BC2F53"/>
    <w:rsid w:val="00BC319A"/>
    <w:rsid w:val="00BC3299"/>
    <w:rsid w:val="00BC3F17"/>
    <w:rsid w:val="00BC4FF7"/>
    <w:rsid w:val="00BC51D4"/>
    <w:rsid w:val="00BC5A3A"/>
    <w:rsid w:val="00BC5AD7"/>
    <w:rsid w:val="00BC5B5A"/>
    <w:rsid w:val="00BC6A68"/>
    <w:rsid w:val="00BC6EE3"/>
    <w:rsid w:val="00BC7632"/>
    <w:rsid w:val="00BD0583"/>
    <w:rsid w:val="00BD07FB"/>
    <w:rsid w:val="00BD0C11"/>
    <w:rsid w:val="00BD2ABF"/>
    <w:rsid w:val="00BD36A5"/>
    <w:rsid w:val="00BD526B"/>
    <w:rsid w:val="00BD6BCE"/>
    <w:rsid w:val="00BD6E46"/>
    <w:rsid w:val="00BD730A"/>
    <w:rsid w:val="00BD79B1"/>
    <w:rsid w:val="00BE0D25"/>
    <w:rsid w:val="00BE0E39"/>
    <w:rsid w:val="00BE1747"/>
    <w:rsid w:val="00BE34A3"/>
    <w:rsid w:val="00BE38BB"/>
    <w:rsid w:val="00BE3ABD"/>
    <w:rsid w:val="00BE440A"/>
    <w:rsid w:val="00BE482B"/>
    <w:rsid w:val="00BE4831"/>
    <w:rsid w:val="00BE4C86"/>
    <w:rsid w:val="00BE59F3"/>
    <w:rsid w:val="00BE69C0"/>
    <w:rsid w:val="00BF0FAB"/>
    <w:rsid w:val="00BF139F"/>
    <w:rsid w:val="00BF20EA"/>
    <w:rsid w:val="00BF2174"/>
    <w:rsid w:val="00BF3374"/>
    <w:rsid w:val="00BF3572"/>
    <w:rsid w:val="00BF3B5B"/>
    <w:rsid w:val="00BF3BCF"/>
    <w:rsid w:val="00BF3E5C"/>
    <w:rsid w:val="00C001E0"/>
    <w:rsid w:val="00C00F28"/>
    <w:rsid w:val="00C010E3"/>
    <w:rsid w:val="00C014C4"/>
    <w:rsid w:val="00C0155A"/>
    <w:rsid w:val="00C02BA3"/>
    <w:rsid w:val="00C0342E"/>
    <w:rsid w:val="00C0433E"/>
    <w:rsid w:val="00C04B96"/>
    <w:rsid w:val="00C05B33"/>
    <w:rsid w:val="00C06C89"/>
    <w:rsid w:val="00C1127F"/>
    <w:rsid w:val="00C113B8"/>
    <w:rsid w:val="00C1156D"/>
    <w:rsid w:val="00C11878"/>
    <w:rsid w:val="00C11C7C"/>
    <w:rsid w:val="00C13945"/>
    <w:rsid w:val="00C13E7F"/>
    <w:rsid w:val="00C13E95"/>
    <w:rsid w:val="00C1612F"/>
    <w:rsid w:val="00C17184"/>
    <w:rsid w:val="00C175F2"/>
    <w:rsid w:val="00C17F50"/>
    <w:rsid w:val="00C23E1B"/>
    <w:rsid w:val="00C24626"/>
    <w:rsid w:val="00C247BC"/>
    <w:rsid w:val="00C25BB7"/>
    <w:rsid w:val="00C25C12"/>
    <w:rsid w:val="00C25E13"/>
    <w:rsid w:val="00C26B71"/>
    <w:rsid w:val="00C26BB2"/>
    <w:rsid w:val="00C26FC5"/>
    <w:rsid w:val="00C27863"/>
    <w:rsid w:val="00C30FB4"/>
    <w:rsid w:val="00C3194F"/>
    <w:rsid w:val="00C3230F"/>
    <w:rsid w:val="00C32E58"/>
    <w:rsid w:val="00C32F08"/>
    <w:rsid w:val="00C3318C"/>
    <w:rsid w:val="00C33C07"/>
    <w:rsid w:val="00C3590A"/>
    <w:rsid w:val="00C36236"/>
    <w:rsid w:val="00C36DBB"/>
    <w:rsid w:val="00C376A0"/>
    <w:rsid w:val="00C37995"/>
    <w:rsid w:val="00C404AB"/>
    <w:rsid w:val="00C41052"/>
    <w:rsid w:val="00C418B6"/>
    <w:rsid w:val="00C42A25"/>
    <w:rsid w:val="00C42A98"/>
    <w:rsid w:val="00C42FA3"/>
    <w:rsid w:val="00C43342"/>
    <w:rsid w:val="00C438BB"/>
    <w:rsid w:val="00C44655"/>
    <w:rsid w:val="00C4516F"/>
    <w:rsid w:val="00C46877"/>
    <w:rsid w:val="00C470B1"/>
    <w:rsid w:val="00C47E30"/>
    <w:rsid w:val="00C47FC3"/>
    <w:rsid w:val="00C50027"/>
    <w:rsid w:val="00C50DA1"/>
    <w:rsid w:val="00C53464"/>
    <w:rsid w:val="00C53C4C"/>
    <w:rsid w:val="00C53DC6"/>
    <w:rsid w:val="00C53E9F"/>
    <w:rsid w:val="00C54CB0"/>
    <w:rsid w:val="00C55A47"/>
    <w:rsid w:val="00C55BEF"/>
    <w:rsid w:val="00C55E45"/>
    <w:rsid w:val="00C55EA3"/>
    <w:rsid w:val="00C5606C"/>
    <w:rsid w:val="00C56726"/>
    <w:rsid w:val="00C5677D"/>
    <w:rsid w:val="00C57B71"/>
    <w:rsid w:val="00C60791"/>
    <w:rsid w:val="00C61372"/>
    <w:rsid w:val="00C61FAC"/>
    <w:rsid w:val="00C62B68"/>
    <w:rsid w:val="00C6328B"/>
    <w:rsid w:val="00C644D1"/>
    <w:rsid w:val="00C6552E"/>
    <w:rsid w:val="00C65A83"/>
    <w:rsid w:val="00C67822"/>
    <w:rsid w:val="00C67ACA"/>
    <w:rsid w:val="00C67E49"/>
    <w:rsid w:val="00C70B0B"/>
    <w:rsid w:val="00C71255"/>
    <w:rsid w:val="00C7165B"/>
    <w:rsid w:val="00C72529"/>
    <w:rsid w:val="00C72758"/>
    <w:rsid w:val="00C7282E"/>
    <w:rsid w:val="00C72F79"/>
    <w:rsid w:val="00C72F7C"/>
    <w:rsid w:val="00C73D5E"/>
    <w:rsid w:val="00C7437A"/>
    <w:rsid w:val="00C74599"/>
    <w:rsid w:val="00C74F8A"/>
    <w:rsid w:val="00C74FB7"/>
    <w:rsid w:val="00C75225"/>
    <w:rsid w:val="00C757B1"/>
    <w:rsid w:val="00C80E73"/>
    <w:rsid w:val="00C81FBB"/>
    <w:rsid w:val="00C82B47"/>
    <w:rsid w:val="00C831FD"/>
    <w:rsid w:val="00C8428F"/>
    <w:rsid w:val="00C84D6F"/>
    <w:rsid w:val="00C869F6"/>
    <w:rsid w:val="00C86B7D"/>
    <w:rsid w:val="00C900C4"/>
    <w:rsid w:val="00C90499"/>
    <w:rsid w:val="00C91DAD"/>
    <w:rsid w:val="00C925C7"/>
    <w:rsid w:val="00C92D6F"/>
    <w:rsid w:val="00C93F90"/>
    <w:rsid w:val="00C941ED"/>
    <w:rsid w:val="00C9442F"/>
    <w:rsid w:val="00C94883"/>
    <w:rsid w:val="00C94DC5"/>
    <w:rsid w:val="00C95CC6"/>
    <w:rsid w:val="00C969D8"/>
    <w:rsid w:val="00C97BD3"/>
    <w:rsid w:val="00C97CB2"/>
    <w:rsid w:val="00CA0641"/>
    <w:rsid w:val="00CA07F6"/>
    <w:rsid w:val="00CA1545"/>
    <w:rsid w:val="00CA23CF"/>
    <w:rsid w:val="00CA31AF"/>
    <w:rsid w:val="00CA3C91"/>
    <w:rsid w:val="00CA52C7"/>
    <w:rsid w:val="00CA6DB4"/>
    <w:rsid w:val="00CA767E"/>
    <w:rsid w:val="00CB15A2"/>
    <w:rsid w:val="00CB1628"/>
    <w:rsid w:val="00CB16CF"/>
    <w:rsid w:val="00CB2398"/>
    <w:rsid w:val="00CB3C79"/>
    <w:rsid w:val="00CB4184"/>
    <w:rsid w:val="00CB4776"/>
    <w:rsid w:val="00CB5184"/>
    <w:rsid w:val="00CB5D2B"/>
    <w:rsid w:val="00CB73E6"/>
    <w:rsid w:val="00CB7B84"/>
    <w:rsid w:val="00CC1E0A"/>
    <w:rsid w:val="00CC3FD5"/>
    <w:rsid w:val="00CC40EE"/>
    <w:rsid w:val="00CC54D6"/>
    <w:rsid w:val="00CC5788"/>
    <w:rsid w:val="00CC7CAD"/>
    <w:rsid w:val="00CD02B2"/>
    <w:rsid w:val="00CD063C"/>
    <w:rsid w:val="00CD0DA4"/>
    <w:rsid w:val="00CD173F"/>
    <w:rsid w:val="00CD1B4A"/>
    <w:rsid w:val="00CD24B4"/>
    <w:rsid w:val="00CD4210"/>
    <w:rsid w:val="00CD45B1"/>
    <w:rsid w:val="00CD4AEB"/>
    <w:rsid w:val="00CD680B"/>
    <w:rsid w:val="00CD72CF"/>
    <w:rsid w:val="00CD788F"/>
    <w:rsid w:val="00CD7DA3"/>
    <w:rsid w:val="00CE0B00"/>
    <w:rsid w:val="00CE0C22"/>
    <w:rsid w:val="00CE14A1"/>
    <w:rsid w:val="00CE16C0"/>
    <w:rsid w:val="00CE1C08"/>
    <w:rsid w:val="00CE3000"/>
    <w:rsid w:val="00CE422D"/>
    <w:rsid w:val="00CE5C9B"/>
    <w:rsid w:val="00CE5D62"/>
    <w:rsid w:val="00CE6033"/>
    <w:rsid w:val="00CE7453"/>
    <w:rsid w:val="00CE787F"/>
    <w:rsid w:val="00CE7BCA"/>
    <w:rsid w:val="00CF09E1"/>
    <w:rsid w:val="00CF286F"/>
    <w:rsid w:val="00CF4DB4"/>
    <w:rsid w:val="00CF5F98"/>
    <w:rsid w:val="00CF75F7"/>
    <w:rsid w:val="00D006A4"/>
    <w:rsid w:val="00D013CC"/>
    <w:rsid w:val="00D013E3"/>
    <w:rsid w:val="00D01D1C"/>
    <w:rsid w:val="00D025B1"/>
    <w:rsid w:val="00D03C90"/>
    <w:rsid w:val="00D05BD9"/>
    <w:rsid w:val="00D06E75"/>
    <w:rsid w:val="00D07306"/>
    <w:rsid w:val="00D07819"/>
    <w:rsid w:val="00D1008F"/>
    <w:rsid w:val="00D11987"/>
    <w:rsid w:val="00D12E5C"/>
    <w:rsid w:val="00D14306"/>
    <w:rsid w:val="00D1448C"/>
    <w:rsid w:val="00D1755E"/>
    <w:rsid w:val="00D21360"/>
    <w:rsid w:val="00D21539"/>
    <w:rsid w:val="00D21E79"/>
    <w:rsid w:val="00D2393B"/>
    <w:rsid w:val="00D24733"/>
    <w:rsid w:val="00D24AA4"/>
    <w:rsid w:val="00D25934"/>
    <w:rsid w:val="00D26174"/>
    <w:rsid w:val="00D26F51"/>
    <w:rsid w:val="00D306B3"/>
    <w:rsid w:val="00D30AE7"/>
    <w:rsid w:val="00D3120A"/>
    <w:rsid w:val="00D31333"/>
    <w:rsid w:val="00D3333E"/>
    <w:rsid w:val="00D33405"/>
    <w:rsid w:val="00D348A4"/>
    <w:rsid w:val="00D354DD"/>
    <w:rsid w:val="00D35D0C"/>
    <w:rsid w:val="00D42EEC"/>
    <w:rsid w:val="00D4511A"/>
    <w:rsid w:val="00D45C0E"/>
    <w:rsid w:val="00D47373"/>
    <w:rsid w:val="00D475B6"/>
    <w:rsid w:val="00D47DC3"/>
    <w:rsid w:val="00D517DC"/>
    <w:rsid w:val="00D51BB1"/>
    <w:rsid w:val="00D520DA"/>
    <w:rsid w:val="00D53CA5"/>
    <w:rsid w:val="00D5411B"/>
    <w:rsid w:val="00D54A4F"/>
    <w:rsid w:val="00D55CAC"/>
    <w:rsid w:val="00D56BEA"/>
    <w:rsid w:val="00D56F55"/>
    <w:rsid w:val="00D57419"/>
    <w:rsid w:val="00D57A61"/>
    <w:rsid w:val="00D57B52"/>
    <w:rsid w:val="00D57D23"/>
    <w:rsid w:val="00D61440"/>
    <w:rsid w:val="00D6196D"/>
    <w:rsid w:val="00D61C9C"/>
    <w:rsid w:val="00D63510"/>
    <w:rsid w:val="00D63979"/>
    <w:rsid w:val="00D669F5"/>
    <w:rsid w:val="00D7057E"/>
    <w:rsid w:val="00D721B7"/>
    <w:rsid w:val="00D724FF"/>
    <w:rsid w:val="00D75A4C"/>
    <w:rsid w:val="00D75B3E"/>
    <w:rsid w:val="00D77332"/>
    <w:rsid w:val="00D774FF"/>
    <w:rsid w:val="00D818C8"/>
    <w:rsid w:val="00D827C6"/>
    <w:rsid w:val="00D829FF"/>
    <w:rsid w:val="00D83886"/>
    <w:rsid w:val="00D86392"/>
    <w:rsid w:val="00D868DB"/>
    <w:rsid w:val="00D86C31"/>
    <w:rsid w:val="00D86ED5"/>
    <w:rsid w:val="00D86F6A"/>
    <w:rsid w:val="00D8790C"/>
    <w:rsid w:val="00D915D6"/>
    <w:rsid w:val="00D9184F"/>
    <w:rsid w:val="00D92D93"/>
    <w:rsid w:val="00D942F7"/>
    <w:rsid w:val="00D94E51"/>
    <w:rsid w:val="00D957D2"/>
    <w:rsid w:val="00D95E47"/>
    <w:rsid w:val="00D95FA7"/>
    <w:rsid w:val="00D960C1"/>
    <w:rsid w:val="00D9656E"/>
    <w:rsid w:val="00DA003F"/>
    <w:rsid w:val="00DA17BC"/>
    <w:rsid w:val="00DA1C25"/>
    <w:rsid w:val="00DA308F"/>
    <w:rsid w:val="00DA4E77"/>
    <w:rsid w:val="00DA5967"/>
    <w:rsid w:val="00DA5AC7"/>
    <w:rsid w:val="00DA5DE2"/>
    <w:rsid w:val="00DB00DF"/>
    <w:rsid w:val="00DB1E3D"/>
    <w:rsid w:val="00DB248B"/>
    <w:rsid w:val="00DB26AC"/>
    <w:rsid w:val="00DB3050"/>
    <w:rsid w:val="00DB3A60"/>
    <w:rsid w:val="00DB486C"/>
    <w:rsid w:val="00DB4977"/>
    <w:rsid w:val="00DB5D9E"/>
    <w:rsid w:val="00DB6227"/>
    <w:rsid w:val="00DB6FD6"/>
    <w:rsid w:val="00DB713B"/>
    <w:rsid w:val="00DC044B"/>
    <w:rsid w:val="00DC0DF4"/>
    <w:rsid w:val="00DC1C6F"/>
    <w:rsid w:val="00DC3CD8"/>
    <w:rsid w:val="00DC3EAB"/>
    <w:rsid w:val="00DC47FA"/>
    <w:rsid w:val="00DC4E65"/>
    <w:rsid w:val="00DC5591"/>
    <w:rsid w:val="00DC6CFD"/>
    <w:rsid w:val="00DC7A8F"/>
    <w:rsid w:val="00DD22ED"/>
    <w:rsid w:val="00DD2E16"/>
    <w:rsid w:val="00DD3993"/>
    <w:rsid w:val="00DD452C"/>
    <w:rsid w:val="00DD5D70"/>
    <w:rsid w:val="00DD5E57"/>
    <w:rsid w:val="00DD5E9E"/>
    <w:rsid w:val="00DD6A88"/>
    <w:rsid w:val="00DD7369"/>
    <w:rsid w:val="00DD7CB0"/>
    <w:rsid w:val="00DE0DC3"/>
    <w:rsid w:val="00DE1197"/>
    <w:rsid w:val="00DE1325"/>
    <w:rsid w:val="00DE1700"/>
    <w:rsid w:val="00DE18CD"/>
    <w:rsid w:val="00DE1D9B"/>
    <w:rsid w:val="00DE1F4A"/>
    <w:rsid w:val="00DE206A"/>
    <w:rsid w:val="00DE217B"/>
    <w:rsid w:val="00DE32C4"/>
    <w:rsid w:val="00DE6272"/>
    <w:rsid w:val="00DE7C1B"/>
    <w:rsid w:val="00DF15C3"/>
    <w:rsid w:val="00DF2D7F"/>
    <w:rsid w:val="00DF2E1C"/>
    <w:rsid w:val="00DF2FB1"/>
    <w:rsid w:val="00DF304D"/>
    <w:rsid w:val="00DF33F5"/>
    <w:rsid w:val="00DF55EB"/>
    <w:rsid w:val="00DF605F"/>
    <w:rsid w:val="00DF6887"/>
    <w:rsid w:val="00E00CBB"/>
    <w:rsid w:val="00E010DB"/>
    <w:rsid w:val="00E04438"/>
    <w:rsid w:val="00E05E84"/>
    <w:rsid w:val="00E060B0"/>
    <w:rsid w:val="00E06711"/>
    <w:rsid w:val="00E07B65"/>
    <w:rsid w:val="00E104B8"/>
    <w:rsid w:val="00E10852"/>
    <w:rsid w:val="00E10CD5"/>
    <w:rsid w:val="00E1339E"/>
    <w:rsid w:val="00E13D40"/>
    <w:rsid w:val="00E141A3"/>
    <w:rsid w:val="00E15060"/>
    <w:rsid w:val="00E151B8"/>
    <w:rsid w:val="00E1524F"/>
    <w:rsid w:val="00E21A53"/>
    <w:rsid w:val="00E22733"/>
    <w:rsid w:val="00E22A3B"/>
    <w:rsid w:val="00E23816"/>
    <w:rsid w:val="00E24062"/>
    <w:rsid w:val="00E26B73"/>
    <w:rsid w:val="00E27F37"/>
    <w:rsid w:val="00E30918"/>
    <w:rsid w:val="00E30ED5"/>
    <w:rsid w:val="00E318C3"/>
    <w:rsid w:val="00E31BB9"/>
    <w:rsid w:val="00E33C99"/>
    <w:rsid w:val="00E35557"/>
    <w:rsid w:val="00E3785F"/>
    <w:rsid w:val="00E37B57"/>
    <w:rsid w:val="00E41877"/>
    <w:rsid w:val="00E41DEE"/>
    <w:rsid w:val="00E42F68"/>
    <w:rsid w:val="00E4330D"/>
    <w:rsid w:val="00E43E52"/>
    <w:rsid w:val="00E4486F"/>
    <w:rsid w:val="00E462C3"/>
    <w:rsid w:val="00E467ED"/>
    <w:rsid w:val="00E46CDC"/>
    <w:rsid w:val="00E46E68"/>
    <w:rsid w:val="00E47F62"/>
    <w:rsid w:val="00E50F16"/>
    <w:rsid w:val="00E5120B"/>
    <w:rsid w:val="00E51CE6"/>
    <w:rsid w:val="00E51E72"/>
    <w:rsid w:val="00E52370"/>
    <w:rsid w:val="00E52D59"/>
    <w:rsid w:val="00E5368B"/>
    <w:rsid w:val="00E562B0"/>
    <w:rsid w:val="00E56E5A"/>
    <w:rsid w:val="00E57E37"/>
    <w:rsid w:val="00E60659"/>
    <w:rsid w:val="00E60682"/>
    <w:rsid w:val="00E617EB"/>
    <w:rsid w:val="00E619E7"/>
    <w:rsid w:val="00E61C37"/>
    <w:rsid w:val="00E62835"/>
    <w:rsid w:val="00E62C14"/>
    <w:rsid w:val="00E65BA3"/>
    <w:rsid w:val="00E65FB3"/>
    <w:rsid w:val="00E666C3"/>
    <w:rsid w:val="00E668CD"/>
    <w:rsid w:val="00E6745C"/>
    <w:rsid w:val="00E677FC"/>
    <w:rsid w:val="00E679C1"/>
    <w:rsid w:val="00E71037"/>
    <w:rsid w:val="00E7143C"/>
    <w:rsid w:val="00E733C2"/>
    <w:rsid w:val="00E73814"/>
    <w:rsid w:val="00E73A6E"/>
    <w:rsid w:val="00E761F2"/>
    <w:rsid w:val="00E763C9"/>
    <w:rsid w:val="00E765F9"/>
    <w:rsid w:val="00E773DD"/>
    <w:rsid w:val="00E77B2C"/>
    <w:rsid w:val="00E80331"/>
    <w:rsid w:val="00E81278"/>
    <w:rsid w:val="00E817F9"/>
    <w:rsid w:val="00E820A5"/>
    <w:rsid w:val="00E82448"/>
    <w:rsid w:val="00E82B49"/>
    <w:rsid w:val="00E831E1"/>
    <w:rsid w:val="00E8483E"/>
    <w:rsid w:val="00E84B22"/>
    <w:rsid w:val="00E855B2"/>
    <w:rsid w:val="00E85A33"/>
    <w:rsid w:val="00E86370"/>
    <w:rsid w:val="00E86920"/>
    <w:rsid w:val="00E86B54"/>
    <w:rsid w:val="00E878AF"/>
    <w:rsid w:val="00E9088A"/>
    <w:rsid w:val="00E92882"/>
    <w:rsid w:val="00E93390"/>
    <w:rsid w:val="00E93778"/>
    <w:rsid w:val="00E94477"/>
    <w:rsid w:val="00E9517F"/>
    <w:rsid w:val="00E9578D"/>
    <w:rsid w:val="00E95AE0"/>
    <w:rsid w:val="00E95BA9"/>
    <w:rsid w:val="00E963F2"/>
    <w:rsid w:val="00E96616"/>
    <w:rsid w:val="00E96AF4"/>
    <w:rsid w:val="00E96E03"/>
    <w:rsid w:val="00E977A2"/>
    <w:rsid w:val="00EA01A0"/>
    <w:rsid w:val="00EA07F2"/>
    <w:rsid w:val="00EA0BA5"/>
    <w:rsid w:val="00EA0C40"/>
    <w:rsid w:val="00EA12FD"/>
    <w:rsid w:val="00EA2726"/>
    <w:rsid w:val="00EA3888"/>
    <w:rsid w:val="00EA4D4E"/>
    <w:rsid w:val="00EA4FA5"/>
    <w:rsid w:val="00EA600C"/>
    <w:rsid w:val="00EA6ABC"/>
    <w:rsid w:val="00EA7014"/>
    <w:rsid w:val="00EA7730"/>
    <w:rsid w:val="00EB0A72"/>
    <w:rsid w:val="00EB25E2"/>
    <w:rsid w:val="00EB2AA7"/>
    <w:rsid w:val="00EB3B41"/>
    <w:rsid w:val="00EB459E"/>
    <w:rsid w:val="00EC0882"/>
    <w:rsid w:val="00EC1312"/>
    <w:rsid w:val="00EC1417"/>
    <w:rsid w:val="00EC1E7E"/>
    <w:rsid w:val="00EC215C"/>
    <w:rsid w:val="00EC361F"/>
    <w:rsid w:val="00EC3919"/>
    <w:rsid w:val="00EC39A5"/>
    <w:rsid w:val="00EC4A92"/>
    <w:rsid w:val="00EC6BC2"/>
    <w:rsid w:val="00ED0D95"/>
    <w:rsid w:val="00ED12DB"/>
    <w:rsid w:val="00ED2B9E"/>
    <w:rsid w:val="00ED330A"/>
    <w:rsid w:val="00ED3953"/>
    <w:rsid w:val="00ED3C26"/>
    <w:rsid w:val="00ED4815"/>
    <w:rsid w:val="00ED4FD7"/>
    <w:rsid w:val="00ED535C"/>
    <w:rsid w:val="00ED6367"/>
    <w:rsid w:val="00ED6BE3"/>
    <w:rsid w:val="00ED6E00"/>
    <w:rsid w:val="00ED7EE6"/>
    <w:rsid w:val="00EE0184"/>
    <w:rsid w:val="00EE0594"/>
    <w:rsid w:val="00EE1648"/>
    <w:rsid w:val="00EE2B57"/>
    <w:rsid w:val="00EE3506"/>
    <w:rsid w:val="00EE394D"/>
    <w:rsid w:val="00EE4336"/>
    <w:rsid w:val="00EE7477"/>
    <w:rsid w:val="00EE79CB"/>
    <w:rsid w:val="00EE7C0D"/>
    <w:rsid w:val="00EE7D7F"/>
    <w:rsid w:val="00EF0FBD"/>
    <w:rsid w:val="00EF1C3E"/>
    <w:rsid w:val="00EF36FE"/>
    <w:rsid w:val="00EF37CC"/>
    <w:rsid w:val="00EF3B3D"/>
    <w:rsid w:val="00EF48B0"/>
    <w:rsid w:val="00EF5566"/>
    <w:rsid w:val="00EF6018"/>
    <w:rsid w:val="00EF66F6"/>
    <w:rsid w:val="00EF6AD1"/>
    <w:rsid w:val="00EF71F2"/>
    <w:rsid w:val="00EF74EB"/>
    <w:rsid w:val="00F01F1A"/>
    <w:rsid w:val="00F03387"/>
    <w:rsid w:val="00F03BA1"/>
    <w:rsid w:val="00F0438B"/>
    <w:rsid w:val="00F0513B"/>
    <w:rsid w:val="00F058B2"/>
    <w:rsid w:val="00F06477"/>
    <w:rsid w:val="00F075F3"/>
    <w:rsid w:val="00F10E2B"/>
    <w:rsid w:val="00F10F0A"/>
    <w:rsid w:val="00F12264"/>
    <w:rsid w:val="00F1250C"/>
    <w:rsid w:val="00F129E6"/>
    <w:rsid w:val="00F12A7F"/>
    <w:rsid w:val="00F13A93"/>
    <w:rsid w:val="00F13ECC"/>
    <w:rsid w:val="00F14FD7"/>
    <w:rsid w:val="00F15612"/>
    <w:rsid w:val="00F156B2"/>
    <w:rsid w:val="00F15B32"/>
    <w:rsid w:val="00F15E8C"/>
    <w:rsid w:val="00F16DDC"/>
    <w:rsid w:val="00F17133"/>
    <w:rsid w:val="00F22477"/>
    <w:rsid w:val="00F22B12"/>
    <w:rsid w:val="00F22DDC"/>
    <w:rsid w:val="00F230FD"/>
    <w:rsid w:val="00F232CB"/>
    <w:rsid w:val="00F2399F"/>
    <w:rsid w:val="00F2452E"/>
    <w:rsid w:val="00F25718"/>
    <w:rsid w:val="00F25EC5"/>
    <w:rsid w:val="00F269A3"/>
    <w:rsid w:val="00F27A7F"/>
    <w:rsid w:val="00F27EFD"/>
    <w:rsid w:val="00F32003"/>
    <w:rsid w:val="00F3225A"/>
    <w:rsid w:val="00F32EEF"/>
    <w:rsid w:val="00F32F72"/>
    <w:rsid w:val="00F333EC"/>
    <w:rsid w:val="00F3376C"/>
    <w:rsid w:val="00F341A4"/>
    <w:rsid w:val="00F355FD"/>
    <w:rsid w:val="00F35CEC"/>
    <w:rsid w:val="00F363A0"/>
    <w:rsid w:val="00F40382"/>
    <w:rsid w:val="00F41155"/>
    <w:rsid w:val="00F42748"/>
    <w:rsid w:val="00F43103"/>
    <w:rsid w:val="00F43A1A"/>
    <w:rsid w:val="00F46063"/>
    <w:rsid w:val="00F462E5"/>
    <w:rsid w:val="00F46BA1"/>
    <w:rsid w:val="00F4750A"/>
    <w:rsid w:val="00F47536"/>
    <w:rsid w:val="00F5150F"/>
    <w:rsid w:val="00F51DD9"/>
    <w:rsid w:val="00F52324"/>
    <w:rsid w:val="00F52465"/>
    <w:rsid w:val="00F52D9D"/>
    <w:rsid w:val="00F53D8E"/>
    <w:rsid w:val="00F541AF"/>
    <w:rsid w:val="00F55491"/>
    <w:rsid w:val="00F55A22"/>
    <w:rsid w:val="00F566D2"/>
    <w:rsid w:val="00F56BE7"/>
    <w:rsid w:val="00F57334"/>
    <w:rsid w:val="00F57A32"/>
    <w:rsid w:val="00F62244"/>
    <w:rsid w:val="00F62C17"/>
    <w:rsid w:val="00F63E01"/>
    <w:rsid w:val="00F66DCF"/>
    <w:rsid w:val="00F67B32"/>
    <w:rsid w:val="00F708AC"/>
    <w:rsid w:val="00F708F8"/>
    <w:rsid w:val="00F7190D"/>
    <w:rsid w:val="00F730FF"/>
    <w:rsid w:val="00F73625"/>
    <w:rsid w:val="00F7388B"/>
    <w:rsid w:val="00F74C98"/>
    <w:rsid w:val="00F756AF"/>
    <w:rsid w:val="00F7605B"/>
    <w:rsid w:val="00F7651B"/>
    <w:rsid w:val="00F7668E"/>
    <w:rsid w:val="00F77EDA"/>
    <w:rsid w:val="00F8007F"/>
    <w:rsid w:val="00F80BC5"/>
    <w:rsid w:val="00F80FC0"/>
    <w:rsid w:val="00F8107E"/>
    <w:rsid w:val="00F83003"/>
    <w:rsid w:val="00F843CE"/>
    <w:rsid w:val="00F854DB"/>
    <w:rsid w:val="00F858E5"/>
    <w:rsid w:val="00F85BB6"/>
    <w:rsid w:val="00F8680E"/>
    <w:rsid w:val="00F86A75"/>
    <w:rsid w:val="00F87121"/>
    <w:rsid w:val="00F910EE"/>
    <w:rsid w:val="00F9139B"/>
    <w:rsid w:val="00F930B8"/>
    <w:rsid w:val="00F934C5"/>
    <w:rsid w:val="00F938DB"/>
    <w:rsid w:val="00F94C4F"/>
    <w:rsid w:val="00F94FD9"/>
    <w:rsid w:val="00F95529"/>
    <w:rsid w:val="00F955C6"/>
    <w:rsid w:val="00F95EB9"/>
    <w:rsid w:val="00F96B05"/>
    <w:rsid w:val="00F96CC2"/>
    <w:rsid w:val="00F97503"/>
    <w:rsid w:val="00F97697"/>
    <w:rsid w:val="00FA02BA"/>
    <w:rsid w:val="00FA0F80"/>
    <w:rsid w:val="00FA1615"/>
    <w:rsid w:val="00FA203C"/>
    <w:rsid w:val="00FA2249"/>
    <w:rsid w:val="00FA2A2C"/>
    <w:rsid w:val="00FA3A39"/>
    <w:rsid w:val="00FA3C2B"/>
    <w:rsid w:val="00FA3EB9"/>
    <w:rsid w:val="00FA46EB"/>
    <w:rsid w:val="00FA48A6"/>
    <w:rsid w:val="00FA4B4E"/>
    <w:rsid w:val="00FA65F1"/>
    <w:rsid w:val="00FA724F"/>
    <w:rsid w:val="00FA7761"/>
    <w:rsid w:val="00FB0420"/>
    <w:rsid w:val="00FB0CB1"/>
    <w:rsid w:val="00FB11E3"/>
    <w:rsid w:val="00FB3A5C"/>
    <w:rsid w:val="00FB3F53"/>
    <w:rsid w:val="00FB5193"/>
    <w:rsid w:val="00FB6139"/>
    <w:rsid w:val="00FB6566"/>
    <w:rsid w:val="00FB6896"/>
    <w:rsid w:val="00FC0283"/>
    <w:rsid w:val="00FC1412"/>
    <w:rsid w:val="00FC2F11"/>
    <w:rsid w:val="00FC4039"/>
    <w:rsid w:val="00FC4217"/>
    <w:rsid w:val="00FC45E8"/>
    <w:rsid w:val="00FC5793"/>
    <w:rsid w:val="00FC5EFD"/>
    <w:rsid w:val="00FD06E0"/>
    <w:rsid w:val="00FD3E37"/>
    <w:rsid w:val="00FD3EDE"/>
    <w:rsid w:val="00FD46D5"/>
    <w:rsid w:val="00FD5B0C"/>
    <w:rsid w:val="00FD6FFF"/>
    <w:rsid w:val="00FD73E0"/>
    <w:rsid w:val="00FD7FF8"/>
    <w:rsid w:val="00FE0058"/>
    <w:rsid w:val="00FE0F21"/>
    <w:rsid w:val="00FE1A59"/>
    <w:rsid w:val="00FE32A0"/>
    <w:rsid w:val="00FE3798"/>
    <w:rsid w:val="00FE6830"/>
    <w:rsid w:val="00FE7771"/>
    <w:rsid w:val="00FF065B"/>
    <w:rsid w:val="00FF0DD8"/>
    <w:rsid w:val="00FF14FC"/>
    <w:rsid w:val="00FF1654"/>
    <w:rsid w:val="00FF17F3"/>
    <w:rsid w:val="00FF4295"/>
    <w:rsid w:val="00FF4CBE"/>
    <w:rsid w:val="00FF55E8"/>
    <w:rsid w:val="00FF5691"/>
    <w:rsid w:val="00FF6F13"/>
    <w:rsid w:val="00FF725B"/>
    <w:rsid w:val="00FF735F"/>
    <w:rsid w:val="00FF7A3A"/>
    <w:rsid w:val="00FF7CBF"/>
    <w:rsid w:val="02083076"/>
    <w:rsid w:val="02862DE0"/>
    <w:rsid w:val="02F443DD"/>
    <w:rsid w:val="03B82A40"/>
    <w:rsid w:val="04305F27"/>
    <w:rsid w:val="04905D10"/>
    <w:rsid w:val="049F5269"/>
    <w:rsid w:val="04EA731D"/>
    <w:rsid w:val="053E1BD1"/>
    <w:rsid w:val="05424CD9"/>
    <w:rsid w:val="058229F6"/>
    <w:rsid w:val="062B7050"/>
    <w:rsid w:val="06377C9B"/>
    <w:rsid w:val="06396125"/>
    <w:rsid w:val="06536103"/>
    <w:rsid w:val="06802374"/>
    <w:rsid w:val="07650374"/>
    <w:rsid w:val="08BA04F2"/>
    <w:rsid w:val="08BD0B02"/>
    <w:rsid w:val="08D85157"/>
    <w:rsid w:val="09A35B61"/>
    <w:rsid w:val="09A35FF3"/>
    <w:rsid w:val="0A5F0800"/>
    <w:rsid w:val="0B3D1EA8"/>
    <w:rsid w:val="0BB5184A"/>
    <w:rsid w:val="0C2B7AA5"/>
    <w:rsid w:val="0CA95636"/>
    <w:rsid w:val="0CF75262"/>
    <w:rsid w:val="0D2165CA"/>
    <w:rsid w:val="0D5F334B"/>
    <w:rsid w:val="0D6F7E2E"/>
    <w:rsid w:val="0DA16C4D"/>
    <w:rsid w:val="0EE70D23"/>
    <w:rsid w:val="0FD23D32"/>
    <w:rsid w:val="10DF3F8F"/>
    <w:rsid w:val="11566A88"/>
    <w:rsid w:val="11910FEF"/>
    <w:rsid w:val="11B96965"/>
    <w:rsid w:val="120C2F97"/>
    <w:rsid w:val="121E5A9B"/>
    <w:rsid w:val="122274ED"/>
    <w:rsid w:val="1297173C"/>
    <w:rsid w:val="130961AA"/>
    <w:rsid w:val="13144E72"/>
    <w:rsid w:val="13353103"/>
    <w:rsid w:val="133A6957"/>
    <w:rsid w:val="134B0A51"/>
    <w:rsid w:val="13BE40F3"/>
    <w:rsid w:val="13C32A59"/>
    <w:rsid w:val="1422562B"/>
    <w:rsid w:val="147D1D07"/>
    <w:rsid w:val="14EB79D9"/>
    <w:rsid w:val="1503632B"/>
    <w:rsid w:val="153839B7"/>
    <w:rsid w:val="155A2BB0"/>
    <w:rsid w:val="15900D37"/>
    <w:rsid w:val="15914710"/>
    <w:rsid w:val="15BF0283"/>
    <w:rsid w:val="15D360A9"/>
    <w:rsid w:val="163539EC"/>
    <w:rsid w:val="16ED2917"/>
    <w:rsid w:val="16F54716"/>
    <w:rsid w:val="17376C16"/>
    <w:rsid w:val="17743C4D"/>
    <w:rsid w:val="17A5107A"/>
    <w:rsid w:val="17D92A56"/>
    <w:rsid w:val="1808292B"/>
    <w:rsid w:val="18432D1C"/>
    <w:rsid w:val="190F148E"/>
    <w:rsid w:val="191660CA"/>
    <w:rsid w:val="198B47E7"/>
    <w:rsid w:val="19C02E1C"/>
    <w:rsid w:val="1A3B4944"/>
    <w:rsid w:val="1A7304A8"/>
    <w:rsid w:val="1AAE111F"/>
    <w:rsid w:val="1AFB2F4F"/>
    <w:rsid w:val="1B6424E8"/>
    <w:rsid w:val="1B9A6941"/>
    <w:rsid w:val="1BEB5791"/>
    <w:rsid w:val="1C2D4CBD"/>
    <w:rsid w:val="1C4869C7"/>
    <w:rsid w:val="1C6B6B59"/>
    <w:rsid w:val="1CC4220C"/>
    <w:rsid w:val="1CFC79AA"/>
    <w:rsid w:val="1D0A66D8"/>
    <w:rsid w:val="1D4C24F1"/>
    <w:rsid w:val="1D523B00"/>
    <w:rsid w:val="1D9078AC"/>
    <w:rsid w:val="1D9F244C"/>
    <w:rsid w:val="1DBF2C95"/>
    <w:rsid w:val="1F044CAC"/>
    <w:rsid w:val="1F1230E2"/>
    <w:rsid w:val="1F8D12B1"/>
    <w:rsid w:val="1FBA3A3C"/>
    <w:rsid w:val="1FD914D2"/>
    <w:rsid w:val="202A23B5"/>
    <w:rsid w:val="206A149C"/>
    <w:rsid w:val="20F03C39"/>
    <w:rsid w:val="21290C16"/>
    <w:rsid w:val="2135057B"/>
    <w:rsid w:val="213D7EC9"/>
    <w:rsid w:val="214C0800"/>
    <w:rsid w:val="2182013C"/>
    <w:rsid w:val="22487700"/>
    <w:rsid w:val="23394E83"/>
    <w:rsid w:val="23863975"/>
    <w:rsid w:val="23C04CCD"/>
    <w:rsid w:val="24EB4B47"/>
    <w:rsid w:val="254D3913"/>
    <w:rsid w:val="25B5506C"/>
    <w:rsid w:val="25D11893"/>
    <w:rsid w:val="263D6D41"/>
    <w:rsid w:val="26D40935"/>
    <w:rsid w:val="26E201C3"/>
    <w:rsid w:val="27541D10"/>
    <w:rsid w:val="283F6FE7"/>
    <w:rsid w:val="289A0B49"/>
    <w:rsid w:val="28C820F4"/>
    <w:rsid w:val="298D5451"/>
    <w:rsid w:val="29F501AA"/>
    <w:rsid w:val="2A6C5EA9"/>
    <w:rsid w:val="2AAC2762"/>
    <w:rsid w:val="2ACE7E8D"/>
    <w:rsid w:val="2B931D93"/>
    <w:rsid w:val="2BCC52E2"/>
    <w:rsid w:val="2C636448"/>
    <w:rsid w:val="2C827A1F"/>
    <w:rsid w:val="2E55323D"/>
    <w:rsid w:val="2EA74450"/>
    <w:rsid w:val="2F020722"/>
    <w:rsid w:val="2F356886"/>
    <w:rsid w:val="2F5A6C30"/>
    <w:rsid w:val="2F9F7BBD"/>
    <w:rsid w:val="2FE314FA"/>
    <w:rsid w:val="30260136"/>
    <w:rsid w:val="3073348A"/>
    <w:rsid w:val="30D6020A"/>
    <w:rsid w:val="310364A4"/>
    <w:rsid w:val="31537295"/>
    <w:rsid w:val="32357FCF"/>
    <w:rsid w:val="326A58E3"/>
    <w:rsid w:val="32C9637A"/>
    <w:rsid w:val="331A22F1"/>
    <w:rsid w:val="332B2AA4"/>
    <w:rsid w:val="33860111"/>
    <w:rsid w:val="339F5400"/>
    <w:rsid w:val="345E59D4"/>
    <w:rsid w:val="34822BD8"/>
    <w:rsid w:val="34F0741D"/>
    <w:rsid w:val="354B3A34"/>
    <w:rsid w:val="354D5688"/>
    <w:rsid w:val="35D85661"/>
    <w:rsid w:val="35DA20B0"/>
    <w:rsid w:val="35ED41C5"/>
    <w:rsid w:val="3601601D"/>
    <w:rsid w:val="361C5930"/>
    <w:rsid w:val="37F602A1"/>
    <w:rsid w:val="38274761"/>
    <w:rsid w:val="39945C07"/>
    <w:rsid w:val="39DE382E"/>
    <w:rsid w:val="39E753C2"/>
    <w:rsid w:val="3A331B53"/>
    <w:rsid w:val="3A661B54"/>
    <w:rsid w:val="3AB03363"/>
    <w:rsid w:val="3ABF2A8B"/>
    <w:rsid w:val="3B9B689C"/>
    <w:rsid w:val="3BDE745E"/>
    <w:rsid w:val="3C4D26D3"/>
    <w:rsid w:val="3C60799D"/>
    <w:rsid w:val="3C9114A6"/>
    <w:rsid w:val="3CA245D0"/>
    <w:rsid w:val="3CC726B9"/>
    <w:rsid w:val="3D0B1CAA"/>
    <w:rsid w:val="3D5B0F29"/>
    <w:rsid w:val="3DAD107D"/>
    <w:rsid w:val="3DB86B0D"/>
    <w:rsid w:val="3E1B4971"/>
    <w:rsid w:val="3EAD6841"/>
    <w:rsid w:val="3EE66702"/>
    <w:rsid w:val="3F3821CA"/>
    <w:rsid w:val="417644AA"/>
    <w:rsid w:val="41946B50"/>
    <w:rsid w:val="41B11190"/>
    <w:rsid w:val="41E278CF"/>
    <w:rsid w:val="429B42AD"/>
    <w:rsid w:val="42EB7BFF"/>
    <w:rsid w:val="43025062"/>
    <w:rsid w:val="435E2C73"/>
    <w:rsid w:val="441936C9"/>
    <w:rsid w:val="44441B6E"/>
    <w:rsid w:val="44681F72"/>
    <w:rsid w:val="44703050"/>
    <w:rsid w:val="44E219BD"/>
    <w:rsid w:val="45420502"/>
    <w:rsid w:val="456C0575"/>
    <w:rsid w:val="45722D36"/>
    <w:rsid w:val="457F39D8"/>
    <w:rsid w:val="45F10B84"/>
    <w:rsid w:val="46A77FAC"/>
    <w:rsid w:val="4711122D"/>
    <w:rsid w:val="47557B68"/>
    <w:rsid w:val="48163C3C"/>
    <w:rsid w:val="487C1627"/>
    <w:rsid w:val="4883561D"/>
    <w:rsid w:val="495C64FA"/>
    <w:rsid w:val="49646A3D"/>
    <w:rsid w:val="49AA5CED"/>
    <w:rsid w:val="4A8834C4"/>
    <w:rsid w:val="4AB703AB"/>
    <w:rsid w:val="4B111E76"/>
    <w:rsid w:val="4B21355B"/>
    <w:rsid w:val="4BE93E25"/>
    <w:rsid w:val="4C4F00B9"/>
    <w:rsid w:val="4C52516A"/>
    <w:rsid w:val="4C5E25C6"/>
    <w:rsid w:val="4C891E6E"/>
    <w:rsid w:val="4CB55637"/>
    <w:rsid w:val="4D2F5768"/>
    <w:rsid w:val="4D317FF3"/>
    <w:rsid w:val="4D9B195F"/>
    <w:rsid w:val="4DB752F9"/>
    <w:rsid w:val="4DC31BCA"/>
    <w:rsid w:val="4DF16EF6"/>
    <w:rsid w:val="4E003EE4"/>
    <w:rsid w:val="4E096742"/>
    <w:rsid w:val="4E104522"/>
    <w:rsid w:val="4E3D0B3F"/>
    <w:rsid w:val="4E4D13B9"/>
    <w:rsid w:val="4E7F510A"/>
    <w:rsid w:val="50181058"/>
    <w:rsid w:val="501F20F2"/>
    <w:rsid w:val="50331AFD"/>
    <w:rsid w:val="50750C43"/>
    <w:rsid w:val="50A6223F"/>
    <w:rsid w:val="50B6602F"/>
    <w:rsid w:val="513760CD"/>
    <w:rsid w:val="51497049"/>
    <w:rsid w:val="51582A8C"/>
    <w:rsid w:val="515B3510"/>
    <w:rsid w:val="516917B1"/>
    <w:rsid w:val="51E13C1C"/>
    <w:rsid w:val="528732D4"/>
    <w:rsid w:val="52D27793"/>
    <w:rsid w:val="536D74C8"/>
    <w:rsid w:val="542F1EA3"/>
    <w:rsid w:val="54C90E5C"/>
    <w:rsid w:val="54F23D0A"/>
    <w:rsid w:val="55041BC8"/>
    <w:rsid w:val="5551653C"/>
    <w:rsid w:val="55CA0407"/>
    <w:rsid w:val="56081100"/>
    <w:rsid w:val="564763DE"/>
    <w:rsid w:val="56782E09"/>
    <w:rsid w:val="56F230E0"/>
    <w:rsid w:val="5732157E"/>
    <w:rsid w:val="57986DDC"/>
    <w:rsid w:val="57A038A3"/>
    <w:rsid w:val="58630626"/>
    <w:rsid w:val="588D63D1"/>
    <w:rsid w:val="58B96EE7"/>
    <w:rsid w:val="593C7589"/>
    <w:rsid w:val="59672839"/>
    <w:rsid w:val="59AA384C"/>
    <w:rsid w:val="5AB47D54"/>
    <w:rsid w:val="5BB97C19"/>
    <w:rsid w:val="5BC70091"/>
    <w:rsid w:val="5BF07C03"/>
    <w:rsid w:val="5C192D55"/>
    <w:rsid w:val="5D29413D"/>
    <w:rsid w:val="5DC019C2"/>
    <w:rsid w:val="5DC63D22"/>
    <w:rsid w:val="5DE1795D"/>
    <w:rsid w:val="5DFF73AB"/>
    <w:rsid w:val="5E431D62"/>
    <w:rsid w:val="5EB40DD3"/>
    <w:rsid w:val="5EB50230"/>
    <w:rsid w:val="5F3A0179"/>
    <w:rsid w:val="5F3E0226"/>
    <w:rsid w:val="5FCC3283"/>
    <w:rsid w:val="60653863"/>
    <w:rsid w:val="608817EF"/>
    <w:rsid w:val="60E27C8C"/>
    <w:rsid w:val="612C50E0"/>
    <w:rsid w:val="629A136B"/>
    <w:rsid w:val="63095534"/>
    <w:rsid w:val="6323476D"/>
    <w:rsid w:val="637E5B40"/>
    <w:rsid w:val="63DA1D4C"/>
    <w:rsid w:val="64703F18"/>
    <w:rsid w:val="649E092C"/>
    <w:rsid w:val="65105A88"/>
    <w:rsid w:val="651C2055"/>
    <w:rsid w:val="65633474"/>
    <w:rsid w:val="657061FD"/>
    <w:rsid w:val="65BA75C8"/>
    <w:rsid w:val="65BD1622"/>
    <w:rsid w:val="666E33ED"/>
    <w:rsid w:val="668527D2"/>
    <w:rsid w:val="66876871"/>
    <w:rsid w:val="66C01717"/>
    <w:rsid w:val="66C26AF2"/>
    <w:rsid w:val="671425F8"/>
    <w:rsid w:val="67A95A93"/>
    <w:rsid w:val="67D34324"/>
    <w:rsid w:val="689A5659"/>
    <w:rsid w:val="69800B8E"/>
    <w:rsid w:val="69AB58F5"/>
    <w:rsid w:val="69DC4A00"/>
    <w:rsid w:val="69E929CA"/>
    <w:rsid w:val="6A594D07"/>
    <w:rsid w:val="6AE96DB3"/>
    <w:rsid w:val="6B183139"/>
    <w:rsid w:val="6B196C46"/>
    <w:rsid w:val="6B6E7555"/>
    <w:rsid w:val="6C4920B6"/>
    <w:rsid w:val="6CAE1C1C"/>
    <w:rsid w:val="6CC165F1"/>
    <w:rsid w:val="6CF815AB"/>
    <w:rsid w:val="6D4C4390"/>
    <w:rsid w:val="6DBA66B1"/>
    <w:rsid w:val="6DF53F58"/>
    <w:rsid w:val="6DFE79F8"/>
    <w:rsid w:val="6E1B0F00"/>
    <w:rsid w:val="6E67416F"/>
    <w:rsid w:val="6EB13B47"/>
    <w:rsid w:val="6F035011"/>
    <w:rsid w:val="6F295F06"/>
    <w:rsid w:val="6F9B1EB8"/>
    <w:rsid w:val="6FBE164F"/>
    <w:rsid w:val="6FF9602F"/>
    <w:rsid w:val="700A26DF"/>
    <w:rsid w:val="70A51E17"/>
    <w:rsid w:val="70F617FE"/>
    <w:rsid w:val="710D2ED4"/>
    <w:rsid w:val="72242E0C"/>
    <w:rsid w:val="728E560A"/>
    <w:rsid w:val="72F42500"/>
    <w:rsid w:val="733A6084"/>
    <w:rsid w:val="736D783C"/>
    <w:rsid w:val="73DC22B7"/>
    <w:rsid w:val="74E02EEB"/>
    <w:rsid w:val="752A6BC1"/>
    <w:rsid w:val="75423093"/>
    <w:rsid w:val="75460F9C"/>
    <w:rsid w:val="757E4AD3"/>
    <w:rsid w:val="75A54224"/>
    <w:rsid w:val="75B6112B"/>
    <w:rsid w:val="76AA2C73"/>
    <w:rsid w:val="76C74EEC"/>
    <w:rsid w:val="76CB75A3"/>
    <w:rsid w:val="76E6356D"/>
    <w:rsid w:val="773A751C"/>
    <w:rsid w:val="7897429B"/>
    <w:rsid w:val="78D8134C"/>
    <w:rsid w:val="78E95769"/>
    <w:rsid w:val="78F109DA"/>
    <w:rsid w:val="79037F62"/>
    <w:rsid w:val="7A112057"/>
    <w:rsid w:val="7A286AA8"/>
    <w:rsid w:val="7A5E2B0E"/>
    <w:rsid w:val="7A862C32"/>
    <w:rsid w:val="7A930C0D"/>
    <w:rsid w:val="7B6C35B1"/>
    <w:rsid w:val="7C7635C7"/>
    <w:rsid w:val="7C921B25"/>
    <w:rsid w:val="7C944161"/>
    <w:rsid w:val="7CF5543B"/>
    <w:rsid w:val="7D9B5FE3"/>
    <w:rsid w:val="7DC47FC9"/>
    <w:rsid w:val="7DD57523"/>
    <w:rsid w:val="7E5C6FAF"/>
    <w:rsid w:val="7EA7097E"/>
    <w:rsid w:val="7F1342F4"/>
    <w:rsid w:val="7F506889"/>
    <w:rsid w:val="7F950BEA"/>
    <w:rsid w:val="7FF7693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iPriority="0" w:semiHidden="0" w:name="Normal Indent"/>
    <w:lsdException w:uiPriority="0" w:name="footnote text"/>
    <w:lsdException w:qFormat="1" w:unhideWhenUsed="0" w:uiPriority="0" w:semiHidden="0" w:name="annotation text"/>
    <w:lsdException w:qFormat="1" w:uiPriority="99" w:semiHidden="0" w:name="header"/>
    <w:lsdException w:qFormat="1" w:uiPriority="99" w:semiHidden="0" w:name="footer"/>
    <w:lsdException w:uiPriority="0" w:name="index heading"/>
    <w:lsdException w:qFormat="1" w:unhideWhenUsed="0" w:uiPriority="0" w:semiHidden="0" w:name="caption"/>
    <w:lsdException w:qFormat="1" w:unhideWhenUsed="0" w:uiPriority="0" w:semiHidden="0" w:name="table of figures"/>
    <w:lsdException w:uiPriority="0" w:name="envelope address"/>
    <w:lsdException w:uiPriority="0" w:name="envelope return"/>
    <w:lsdException w:uiPriority="0" w:name="footnote reference"/>
    <w:lsdException w:qFormat="1" w:unhideWhenUsed="0" w:uiPriority="99"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qFormat="1" w:unhideWhenUsed="0" w:uiPriority="0" w:semiHidden="0" w:name="List Number"/>
    <w:lsdException w:qFormat="1" w:unhideWhenUsed="0" w:uiPriority="0" w:semiHidden="0" w:name="List 2"/>
    <w:lsdException w:uiPriority="0" w:name="List 3"/>
    <w:lsdException w:unhideWhenUsed="0" w:uiPriority="0" w:semiHidden="0" w:name="List 4"/>
    <w:lsdException w:qFormat="1"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qFormat="1" w:unhideWhenUsed="0" w:uiPriority="0" w:semiHidden="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9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68"/>
    <w:qFormat/>
    <w:uiPriority w:val="0"/>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link w:val="119"/>
    <w:qFormat/>
    <w:uiPriority w:val="0"/>
    <w:pPr>
      <w:keepNext/>
      <w:keepLines/>
      <w:spacing w:line="600" w:lineRule="exact"/>
      <w:ind w:firstLine="643" w:firstLineChars="200"/>
      <w:outlineLvl w:val="2"/>
    </w:pPr>
    <w:rPr>
      <w:b/>
      <w:bCs/>
      <w:sz w:val="32"/>
      <w:szCs w:val="32"/>
    </w:rPr>
  </w:style>
  <w:style w:type="paragraph" w:styleId="6">
    <w:name w:val="heading 4"/>
    <w:basedOn w:val="1"/>
    <w:next w:val="1"/>
    <w:link w:val="126"/>
    <w:qFormat/>
    <w:uiPriority w:val="0"/>
    <w:pPr>
      <w:tabs>
        <w:tab w:val="left" w:pos="2155"/>
      </w:tabs>
      <w:adjustRightInd w:val="0"/>
      <w:spacing w:before="120" w:line="360" w:lineRule="auto"/>
      <w:ind w:left="2155" w:hanging="1078"/>
      <w:textAlignment w:val="baseline"/>
      <w:outlineLvl w:val="3"/>
    </w:pPr>
    <w:rPr>
      <w:rFonts w:ascii="Arial" w:eastAsia="黑体"/>
      <w:kern w:val="0"/>
      <w:sz w:val="28"/>
      <w:szCs w:val="20"/>
    </w:rPr>
  </w:style>
  <w:style w:type="paragraph" w:styleId="7">
    <w:name w:val="heading 5"/>
    <w:basedOn w:val="1"/>
    <w:next w:val="1"/>
    <w:link w:val="163"/>
    <w:qFormat/>
    <w:uiPriority w:val="0"/>
    <w:pPr>
      <w:keepNext/>
      <w:keepLines/>
      <w:spacing w:before="280" w:after="290" w:line="376" w:lineRule="auto"/>
      <w:outlineLvl w:val="4"/>
    </w:pPr>
    <w:rPr>
      <w:rFonts w:ascii="Calibri" w:hAnsi="Calibri"/>
      <w:b/>
      <w:bCs/>
      <w:sz w:val="28"/>
      <w:szCs w:val="28"/>
    </w:rPr>
  </w:style>
  <w:style w:type="paragraph" w:styleId="8">
    <w:name w:val="heading 6"/>
    <w:basedOn w:val="1"/>
    <w:next w:val="1"/>
    <w:link w:val="215"/>
    <w:qFormat/>
    <w:uiPriority w:val="0"/>
    <w:pPr>
      <w:keepNext/>
      <w:keepLines/>
      <w:spacing w:before="240" w:after="64" w:line="320" w:lineRule="auto"/>
      <w:outlineLvl w:val="5"/>
    </w:pPr>
    <w:rPr>
      <w:rFonts w:ascii="Cambria" w:hAnsi="Cambria"/>
      <w:b/>
      <w:bCs/>
      <w:sz w:val="24"/>
    </w:rPr>
  </w:style>
  <w:style w:type="paragraph" w:styleId="9">
    <w:name w:val="heading 7"/>
    <w:basedOn w:val="1"/>
    <w:next w:val="1"/>
    <w:link w:val="97"/>
    <w:qFormat/>
    <w:uiPriority w:val="0"/>
    <w:pPr>
      <w:keepNext/>
      <w:keepLines/>
      <w:numPr>
        <w:ilvl w:val="6"/>
        <w:numId w:val="1"/>
      </w:numPr>
      <w:tabs>
        <w:tab w:val="left" w:pos="1296"/>
      </w:tabs>
      <w:spacing w:before="240" w:after="64" w:line="317" w:lineRule="auto"/>
      <w:outlineLvl w:val="6"/>
    </w:pPr>
    <w:rPr>
      <w:b/>
      <w:sz w:val="24"/>
      <w:szCs w:val="20"/>
    </w:rPr>
  </w:style>
  <w:style w:type="paragraph" w:styleId="10">
    <w:name w:val="heading 8"/>
    <w:basedOn w:val="1"/>
    <w:next w:val="1"/>
    <w:link w:val="115"/>
    <w:qFormat/>
    <w:uiPriority w:val="0"/>
    <w:pPr>
      <w:keepNext/>
      <w:keepLines/>
      <w:numPr>
        <w:ilvl w:val="7"/>
        <w:numId w:val="1"/>
      </w:numPr>
      <w:tabs>
        <w:tab w:val="left" w:pos="1440"/>
      </w:tabs>
      <w:spacing w:before="240" w:after="64" w:line="317" w:lineRule="auto"/>
      <w:outlineLvl w:val="7"/>
    </w:pPr>
    <w:rPr>
      <w:rFonts w:ascii="Arial" w:hAnsi="Arial" w:eastAsia="黑体"/>
      <w:sz w:val="24"/>
      <w:szCs w:val="20"/>
    </w:rPr>
  </w:style>
  <w:style w:type="paragraph" w:styleId="11">
    <w:name w:val="heading 9"/>
    <w:basedOn w:val="1"/>
    <w:next w:val="1"/>
    <w:link w:val="164"/>
    <w:qFormat/>
    <w:uiPriority w:val="0"/>
    <w:pPr>
      <w:keepNext/>
      <w:keepLines/>
      <w:numPr>
        <w:ilvl w:val="8"/>
        <w:numId w:val="1"/>
      </w:numPr>
      <w:tabs>
        <w:tab w:val="left" w:pos="1583"/>
      </w:tabs>
      <w:spacing w:before="240" w:after="64" w:line="317" w:lineRule="auto"/>
      <w:outlineLvl w:val="8"/>
    </w:pPr>
    <w:rPr>
      <w:rFonts w:ascii="Arial" w:hAnsi="Arial" w:eastAsia="黑体"/>
      <w:szCs w:val="20"/>
    </w:rPr>
  </w:style>
  <w:style w:type="character" w:default="1" w:styleId="54">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customStyle="1" w:styleId="2">
    <w:name w:val="Default"/>
    <w:link w:val="208"/>
    <w:qFormat/>
    <w:uiPriority w:val="0"/>
    <w:pPr>
      <w:widowControl w:val="0"/>
      <w:autoSpaceDE w:val="0"/>
      <w:autoSpaceDN w:val="0"/>
      <w:adjustRightInd w:val="0"/>
      <w:spacing w:line="360" w:lineRule="auto"/>
      <w:ind w:firstLine="147" w:firstLineChars="147"/>
      <w:jc w:val="both"/>
    </w:pPr>
    <w:rPr>
      <w:rFonts w:ascii="宋体" w:hAnsi="Arial" w:eastAsia="宋体" w:cs="Times New Roman"/>
      <w:color w:val="000000"/>
      <w:sz w:val="24"/>
      <w:szCs w:val="24"/>
      <w:lang w:val="en-US" w:eastAsia="zh-CN" w:bidi="ar-SA"/>
    </w:rPr>
  </w:style>
  <w:style w:type="paragraph" w:styleId="12">
    <w:name w:val="toc 7"/>
    <w:basedOn w:val="1"/>
    <w:next w:val="1"/>
    <w:qFormat/>
    <w:uiPriority w:val="0"/>
    <w:pPr>
      <w:ind w:left="2520" w:leftChars="1200"/>
    </w:pPr>
    <w:rPr>
      <w:szCs w:val="20"/>
    </w:rPr>
  </w:style>
  <w:style w:type="paragraph" w:styleId="13">
    <w:name w:val="List Number"/>
    <w:basedOn w:val="1"/>
    <w:qFormat/>
    <w:uiPriority w:val="0"/>
    <w:pPr>
      <w:widowControl/>
      <w:tabs>
        <w:tab w:val="left" w:pos="454"/>
        <w:tab w:val="left" w:pos="720"/>
        <w:tab w:val="left" w:pos="840"/>
      </w:tabs>
      <w:spacing w:afterLines="50"/>
      <w:ind w:left="454" w:hanging="284"/>
      <w:jc w:val="left"/>
    </w:pPr>
    <w:rPr>
      <w:kern w:val="0"/>
      <w:sz w:val="24"/>
      <w:szCs w:val="20"/>
    </w:rPr>
  </w:style>
  <w:style w:type="paragraph" w:styleId="14">
    <w:name w:val="Normal Indent"/>
    <w:basedOn w:val="1"/>
    <w:unhideWhenUsed/>
    <w:qFormat/>
    <w:uiPriority w:val="0"/>
    <w:pPr>
      <w:ind w:firstLine="420"/>
    </w:pPr>
    <w:rPr>
      <w:rFonts w:ascii="Calibri" w:hAnsi="Calibri"/>
      <w:szCs w:val="20"/>
    </w:rPr>
  </w:style>
  <w:style w:type="paragraph" w:styleId="15">
    <w:name w:val="caption"/>
    <w:basedOn w:val="1"/>
    <w:next w:val="1"/>
    <w:link w:val="102"/>
    <w:qFormat/>
    <w:uiPriority w:val="0"/>
    <w:rPr>
      <w:rFonts w:ascii="Arial" w:hAnsi="Arial" w:eastAsia="黑体"/>
      <w:kern w:val="0"/>
      <w:sz w:val="20"/>
      <w:szCs w:val="20"/>
    </w:rPr>
  </w:style>
  <w:style w:type="paragraph" w:styleId="16">
    <w:name w:val="Document Map"/>
    <w:basedOn w:val="1"/>
    <w:unhideWhenUsed/>
    <w:qFormat/>
    <w:uiPriority w:val="0"/>
    <w:rPr>
      <w:rFonts w:ascii="宋体"/>
      <w:sz w:val="18"/>
      <w:szCs w:val="18"/>
    </w:rPr>
  </w:style>
  <w:style w:type="paragraph" w:styleId="17">
    <w:name w:val="annotation text"/>
    <w:basedOn w:val="1"/>
    <w:link w:val="181"/>
    <w:qFormat/>
    <w:uiPriority w:val="0"/>
    <w:pPr>
      <w:jc w:val="left"/>
    </w:pPr>
  </w:style>
  <w:style w:type="paragraph" w:styleId="18">
    <w:name w:val="Salutation"/>
    <w:basedOn w:val="1"/>
    <w:next w:val="1"/>
    <w:qFormat/>
    <w:uiPriority w:val="0"/>
    <w:pPr>
      <w:adjustRightInd w:val="0"/>
      <w:spacing w:line="312" w:lineRule="atLeast"/>
      <w:textAlignment w:val="baseline"/>
    </w:pPr>
    <w:rPr>
      <w:rFonts w:ascii="宋体"/>
      <w:kern w:val="0"/>
      <w:sz w:val="24"/>
      <w:szCs w:val="20"/>
    </w:rPr>
  </w:style>
  <w:style w:type="paragraph" w:styleId="19">
    <w:name w:val="Body Text 3"/>
    <w:basedOn w:val="1"/>
    <w:link w:val="142"/>
    <w:qFormat/>
    <w:uiPriority w:val="0"/>
    <w:pPr>
      <w:spacing w:line="500" w:lineRule="exact"/>
    </w:pPr>
    <w:rPr>
      <w:b/>
      <w:bCs/>
      <w:sz w:val="24"/>
    </w:rPr>
  </w:style>
  <w:style w:type="paragraph" w:styleId="20">
    <w:name w:val="Body Text"/>
    <w:basedOn w:val="1"/>
    <w:link w:val="70"/>
    <w:unhideWhenUsed/>
    <w:qFormat/>
    <w:uiPriority w:val="0"/>
    <w:pPr>
      <w:spacing w:after="120"/>
    </w:pPr>
    <w:rPr>
      <w:b/>
      <w:bCs/>
      <w:kern w:val="44"/>
      <w:sz w:val="44"/>
      <w:szCs w:val="44"/>
    </w:rPr>
  </w:style>
  <w:style w:type="paragraph" w:styleId="21">
    <w:name w:val="Body Text Indent"/>
    <w:basedOn w:val="1"/>
    <w:link w:val="140"/>
    <w:qFormat/>
    <w:uiPriority w:val="0"/>
    <w:pPr>
      <w:spacing w:line="200" w:lineRule="exact"/>
      <w:ind w:firstLine="301"/>
    </w:pPr>
    <w:rPr>
      <w:rFonts w:ascii="宋体" w:hAnsi="Courier New"/>
      <w:spacing w:val="-4"/>
      <w:sz w:val="18"/>
      <w:szCs w:val="20"/>
    </w:rPr>
  </w:style>
  <w:style w:type="paragraph" w:styleId="22">
    <w:name w:val="List Number 3"/>
    <w:basedOn w:val="1"/>
    <w:qFormat/>
    <w:uiPriority w:val="0"/>
    <w:pPr>
      <w:numPr>
        <w:ilvl w:val="0"/>
        <w:numId w:val="2"/>
      </w:numPr>
      <w:spacing w:line="312" w:lineRule="auto"/>
    </w:pPr>
  </w:style>
  <w:style w:type="paragraph" w:styleId="23">
    <w:name w:val="List 2"/>
    <w:basedOn w:val="1"/>
    <w:qFormat/>
    <w:uiPriority w:val="0"/>
    <w:pPr>
      <w:ind w:left="100" w:leftChars="200" w:hanging="200" w:hangingChars="200"/>
    </w:pPr>
    <w:rPr>
      <w:sz w:val="28"/>
    </w:rPr>
  </w:style>
  <w:style w:type="paragraph" w:styleId="24">
    <w:name w:val="Block Text"/>
    <w:basedOn w:val="1"/>
    <w:qFormat/>
    <w:uiPriority w:val="0"/>
    <w:pPr>
      <w:adjustRightInd w:val="0"/>
      <w:ind w:left="420" w:right="33"/>
      <w:jc w:val="left"/>
      <w:textAlignment w:val="baseline"/>
    </w:pPr>
    <w:rPr>
      <w:kern w:val="0"/>
      <w:sz w:val="24"/>
      <w:szCs w:val="20"/>
    </w:rPr>
  </w:style>
  <w:style w:type="paragraph" w:styleId="25">
    <w:name w:val="toc 5"/>
    <w:basedOn w:val="1"/>
    <w:next w:val="1"/>
    <w:qFormat/>
    <w:uiPriority w:val="0"/>
    <w:pPr>
      <w:ind w:left="1680" w:leftChars="800"/>
    </w:pPr>
    <w:rPr>
      <w:szCs w:val="20"/>
    </w:rPr>
  </w:style>
  <w:style w:type="paragraph" w:styleId="26">
    <w:name w:val="toc 3"/>
    <w:basedOn w:val="1"/>
    <w:next w:val="1"/>
    <w:unhideWhenUsed/>
    <w:qFormat/>
    <w:uiPriority w:val="0"/>
    <w:pPr>
      <w:tabs>
        <w:tab w:val="right" w:leader="dot" w:pos="8296"/>
      </w:tabs>
      <w:ind w:left="840" w:leftChars="400"/>
    </w:pPr>
    <w:rPr>
      <w:rFonts w:ascii="Calibri" w:hAnsi="Calibri"/>
      <w:szCs w:val="22"/>
    </w:rPr>
  </w:style>
  <w:style w:type="paragraph" w:styleId="27">
    <w:name w:val="Plain Text"/>
    <w:basedOn w:val="1"/>
    <w:link w:val="184"/>
    <w:qFormat/>
    <w:uiPriority w:val="0"/>
    <w:rPr>
      <w:rFonts w:ascii="宋体" w:hAnsi="Courier New"/>
      <w:kern w:val="0"/>
      <w:sz w:val="20"/>
      <w:szCs w:val="20"/>
    </w:rPr>
  </w:style>
  <w:style w:type="paragraph" w:styleId="28">
    <w:name w:val="toc 8"/>
    <w:basedOn w:val="1"/>
    <w:next w:val="1"/>
    <w:qFormat/>
    <w:uiPriority w:val="0"/>
    <w:pPr>
      <w:ind w:left="2940" w:leftChars="1400"/>
    </w:pPr>
    <w:rPr>
      <w:szCs w:val="20"/>
    </w:rPr>
  </w:style>
  <w:style w:type="paragraph" w:styleId="29">
    <w:name w:val="Date"/>
    <w:basedOn w:val="1"/>
    <w:next w:val="1"/>
    <w:link w:val="134"/>
    <w:qFormat/>
    <w:uiPriority w:val="0"/>
    <w:pPr>
      <w:ind w:left="100" w:leftChars="2500"/>
    </w:pPr>
  </w:style>
  <w:style w:type="paragraph" w:styleId="30">
    <w:name w:val="Body Text Indent 2"/>
    <w:basedOn w:val="1"/>
    <w:qFormat/>
    <w:uiPriority w:val="0"/>
    <w:pPr>
      <w:spacing w:after="120" w:line="480" w:lineRule="auto"/>
      <w:ind w:left="420" w:leftChars="200"/>
    </w:pPr>
  </w:style>
  <w:style w:type="paragraph" w:styleId="31">
    <w:name w:val="Balloon Text"/>
    <w:basedOn w:val="1"/>
    <w:link w:val="96"/>
    <w:unhideWhenUsed/>
    <w:qFormat/>
    <w:uiPriority w:val="99"/>
    <w:rPr>
      <w:kern w:val="0"/>
      <w:sz w:val="18"/>
      <w:szCs w:val="18"/>
    </w:rPr>
  </w:style>
  <w:style w:type="paragraph" w:styleId="32">
    <w:name w:val="footer"/>
    <w:basedOn w:val="1"/>
    <w:link w:val="95"/>
    <w:unhideWhenUsed/>
    <w:qFormat/>
    <w:uiPriority w:val="99"/>
    <w:pPr>
      <w:tabs>
        <w:tab w:val="center" w:pos="4153"/>
        <w:tab w:val="right" w:pos="8306"/>
      </w:tabs>
      <w:snapToGrid w:val="0"/>
      <w:jc w:val="left"/>
    </w:pPr>
    <w:rPr>
      <w:kern w:val="0"/>
      <w:sz w:val="18"/>
      <w:szCs w:val="18"/>
    </w:rPr>
  </w:style>
  <w:style w:type="paragraph" w:styleId="33">
    <w:name w:val="header"/>
    <w:basedOn w:val="1"/>
    <w:link w:val="14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34">
    <w:name w:val="toc 1"/>
    <w:basedOn w:val="1"/>
    <w:next w:val="1"/>
    <w:qFormat/>
    <w:uiPriority w:val="39"/>
    <w:pPr>
      <w:spacing w:before="120" w:after="120"/>
      <w:jc w:val="left"/>
    </w:pPr>
    <w:rPr>
      <w:b/>
      <w:bCs/>
      <w:caps/>
      <w:sz w:val="20"/>
      <w:szCs w:val="20"/>
    </w:rPr>
  </w:style>
  <w:style w:type="paragraph" w:styleId="35">
    <w:name w:val="toc 4"/>
    <w:basedOn w:val="1"/>
    <w:next w:val="1"/>
    <w:qFormat/>
    <w:uiPriority w:val="0"/>
    <w:pPr>
      <w:ind w:left="1260" w:leftChars="600"/>
    </w:pPr>
    <w:rPr>
      <w:szCs w:val="20"/>
    </w:rPr>
  </w:style>
  <w:style w:type="paragraph" w:styleId="36">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37">
    <w:name w:val="List"/>
    <w:basedOn w:val="1"/>
    <w:qFormat/>
    <w:uiPriority w:val="0"/>
    <w:pPr>
      <w:ind w:left="200" w:hanging="200" w:hangingChars="200"/>
    </w:pPr>
    <w:rPr>
      <w:sz w:val="28"/>
    </w:rPr>
  </w:style>
  <w:style w:type="paragraph" w:styleId="38">
    <w:name w:val="toc 6"/>
    <w:basedOn w:val="1"/>
    <w:next w:val="1"/>
    <w:qFormat/>
    <w:uiPriority w:val="0"/>
    <w:pPr>
      <w:ind w:left="2100" w:leftChars="1000"/>
    </w:pPr>
    <w:rPr>
      <w:szCs w:val="20"/>
    </w:rPr>
  </w:style>
  <w:style w:type="paragraph" w:styleId="39">
    <w:name w:val="List 5"/>
    <w:basedOn w:val="1"/>
    <w:qFormat/>
    <w:uiPriority w:val="0"/>
    <w:pPr>
      <w:ind w:left="2100" w:hanging="420"/>
    </w:pPr>
    <w:rPr>
      <w:szCs w:val="20"/>
    </w:rPr>
  </w:style>
  <w:style w:type="paragraph" w:styleId="40">
    <w:name w:val="Body Text Indent 3"/>
    <w:basedOn w:val="1"/>
    <w:qFormat/>
    <w:uiPriority w:val="0"/>
    <w:pPr>
      <w:spacing w:after="120" w:line="360" w:lineRule="auto"/>
      <w:ind w:left="420" w:leftChars="200"/>
    </w:pPr>
    <w:rPr>
      <w:sz w:val="16"/>
      <w:szCs w:val="16"/>
    </w:rPr>
  </w:style>
  <w:style w:type="paragraph" w:styleId="41">
    <w:name w:val="table of figures"/>
    <w:basedOn w:val="1"/>
    <w:next w:val="1"/>
    <w:qFormat/>
    <w:uiPriority w:val="0"/>
    <w:pPr>
      <w:spacing w:line="360" w:lineRule="auto"/>
      <w:ind w:left="840" w:leftChars="200" w:hanging="420" w:hangingChars="200"/>
    </w:pPr>
    <w:rPr>
      <w:rFonts w:ascii="Arial" w:hAnsi="Arial" w:cs="宋体"/>
      <w:sz w:val="24"/>
      <w:szCs w:val="20"/>
    </w:rPr>
  </w:style>
  <w:style w:type="paragraph" w:styleId="42">
    <w:name w:val="toc 2"/>
    <w:basedOn w:val="1"/>
    <w:next w:val="1"/>
    <w:qFormat/>
    <w:uiPriority w:val="39"/>
    <w:pPr>
      <w:tabs>
        <w:tab w:val="right" w:leader="dot" w:pos="9628"/>
      </w:tabs>
      <w:ind w:left="420" w:firstLine="120"/>
      <w:jc w:val="left"/>
    </w:pPr>
    <w:rPr>
      <w:smallCaps/>
      <w:sz w:val="20"/>
      <w:szCs w:val="20"/>
    </w:rPr>
  </w:style>
  <w:style w:type="paragraph" w:styleId="43">
    <w:name w:val="toc 9"/>
    <w:basedOn w:val="1"/>
    <w:next w:val="1"/>
    <w:qFormat/>
    <w:uiPriority w:val="0"/>
    <w:pPr>
      <w:ind w:left="3360" w:leftChars="1600"/>
    </w:pPr>
    <w:rPr>
      <w:szCs w:val="20"/>
    </w:rPr>
  </w:style>
  <w:style w:type="paragraph" w:styleId="44">
    <w:name w:val="Body Text 2"/>
    <w:basedOn w:val="1"/>
    <w:qFormat/>
    <w:uiPriority w:val="0"/>
    <w:pPr>
      <w:spacing w:after="120" w:line="480" w:lineRule="auto"/>
    </w:pPr>
  </w:style>
  <w:style w:type="paragraph" w:styleId="45">
    <w:name w:val="HTML Preformatted"/>
    <w:basedOn w:val="1"/>
    <w:link w:val="6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46">
    <w:name w:val="Normal (Web)"/>
    <w:basedOn w:val="1"/>
    <w:qFormat/>
    <w:uiPriority w:val="99"/>
    <w:pPr>
      <w:widowControl/>
      <w:spacing w:line="480" w:lineRule="auto"/>
      <w:jc w:val="left"/>
    </w:pPr>
    <w:rPr>
      <w:rFonts w:ascii="宋体" w:hAnsi="宋体" w:cs="宋体"/>
      <w:kern w:val="0"/>
      <w:sz w:val="24"/>
    </w:rPr>
  </w:style>
  <w:style w:type="paragraph" w:styleId="47">
    <w:name w:val="index 1"/>
    <w:basedOn w:val="1"/>
    <w:next w:val="1"/>
    <w:semiHidden/>
    <w:qFormat/>
    <w:uiPriority w:val="0"/>
    <w:pPr>
      <w:ind w:right="257"/>
    </w:pPr>
    <w:rPr>
      <w:rFonts w:ascii="宋体" w:hAnsi="宋体"/>
      <w:szCs w:val="20"/>
    </w:rPr>
  </w:style>
  <w:style w:type="paragraph" w:styleId="48">
    <w:name w:val="Title"/>
    <w:basedOn w:val="1"/>
    <w:next w:val="1"/>
    <w:link w:val="206"/>
    <w:qFormat/>
    <w:uiPriority w:val="0"/>
    <w:pPr>
      <w:spacing w:before="240" w:after="60" w:line="360" w:lineRule="auto"/>
      <w:ind w:firstLine="643"/>
      <w:jc w:val="center"/>
      <w:outlineLvl w:val="0"/>
    </w:pPr>
    <w:rPr>
      <w:rFonts w:ascii="宋体"/>
      <w:sz w:val="18"/>
      <w:szCs w:val="18"/>
    </w:rPr>
  </w:style>
  <w:style w:type="paragraph" w:styleId="49">
    <w:name w:val="annotation subject"/>
    <w:basedOn w:val="17"/>
    <w:next w:val="17"/>
    <w:link w:val="135"/>
    <w:semiHidden/>
    <w:qFormat/>
    <w:uiPriority w:val="99"/>
    <w:rPr>
      <w:b/>
      <w:bCs/>
    </w:rPr>
  </w:style>
  <w:style w:type="paragraph" w:styleId="50">
    <w:name w:val="Body Text First Indent"/>
    <w:basedOn w:val="20"/>
    <w:unhideWhenUsed/>
    <w:qFormat/>
    <w:uiPriority w:val="0"/>
    <w:pPr>
      <w:ind w:firstLine="420" w:firstLineChars="100"/>
    </w:pPr>
  </w:style>
  <w:style w:type="table" w:styleId="52">
    <w:name w:val="Table Grid"/>
    <w:basedOn w:val="5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53">
    <w:name w:val="Table Grid 7"/>
    <w:basedOn w:val="51"/>
    <w:qFormat/>
    <w:uiPriority w:val="0"/>
    <w:pPr>
      <w:widowControl w:val="0"/>
      <w:spacing w:line="360" w:lineRule="auto"/>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color="000000" w:sz="12" w:space="0"/>
          <w:right w:val="nil"/>
          <w:insideH w:val="nil"/>
          <w:insideV w:val="nil"/>
          <w:tl2br w:val="nil"/>
          <w:tr2bl w:val="nil"/>
        </w:tcBorders>
      </w:tcPr>
    </w:tblStylePr>
    <w:tblStylePr w:type="lastRow">
      <w:rPr>
        <w:b w:val="0"/>
        <w:bCs w:val="0"/>
      </w:rPr>
      <w:tblPr/>
      <w:tcPr>
        <w:tcBorders>
          <w:top w:val="single" w:color="00000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character" w:styleId="55">
    <w:name w:val="Strong"/>
    <w:qFormat/>
    <w:uiPriority w:val="0"/>
    <w:rPr>
      <w:b/>
      <w:bCs/>
    </w:rPr>
  </w:style>
  <w:style w:type="character" w:styleId="56">
    <w:name w:val="page number"/>
    <w:basedOn w:val="54"/>
    <w:qFormat/>
    <w:uiPriority w:val="0"/>
  </w:style>
  <w:style w:type="character" w:styleId="57">
    <w:name w:val="FollowedHyperlink"/>
    <w:qFormat/>
    <w:uiPriority w:val="0"/>
    <w:rPr>
      <w:rFonts w:ascii="Times New Roman" w:hAnsi="Times New Roman"/>
      <w:color w:val="800080"/>
      <w:szCs w:val="21"/>
      <w:u w:val="single"/>
    </w:rPr>
  </w:style>
  <w:style w:type="character" w:styleId="58">
    <w:name w:val="Emphasis"/>
    <w:qFormat/>
    <w:uiPriority w:val="0"/>
    <w:rPr>
      <w:i/>
      <w:iCs/>
    </w:rPr>
  </w:style>
  <w:style w:type="character" w:styleId="59">
    <w:name w:val="Hyperlink"/>
    <w:qFormat/>
    <w:uiPriority w:val="99"/>
    <w:rPr>
      <w:color w:val="0000FF"/>
      <w:u w:val="single"/>
    </w:rPr>
  </w:style>
  <w:style w:type="character" w:styleId="60">
    <w:name w:val="annotation reference"/>
    <w:semiHidden/>
    <w:qFormat/>
    <w:uiPriority w:val="99"/>
    <w:rPr>
      <w:sz w:val="21"/>
      <w:szCs w:val="21"/>
    </w:rPr>
  </w:style>
  <w:style w:type="character" w:customStyle="1" w:styleId="61">
    <w:name w:val="HTML 预设格式 Char"/>
    <w:link w:val="45"/>
    <w:qFormat/>
    <w:uiPriority w:val="99"/>
    <w:rPr>
      <w:rFonts w:ascii="宋体" w:hAnsi="宋体" w:cs="宋体"/>
      <w:sz w:val="24"/>
      <w:szCs w:val="24"/>
    </w:rPr>
  </w:style>
  <w:style w:type="character" w:customStyle="1" w:styleId="62">
    <w:name w:val="H1 Char"/>
    <w:qFormat/>
    <w:uiPriority w:val="0"/>
    <w:rPr>
      <w:rFonts w:ascii="Calibri" w:hAnsi="Calibri" w:eastAsia="宋体" w:cs="Times New Roman"/>
      <w:b/>
      <w:bCs/>
      <w:kern w:val="44"/>
      <w:sz w:val="44"/>
      <w:szCs w:val="44"/>
    </w:rPr>
  </w:style>
  <w:style w:type="character" w:customStyle="1" w:styleId="63">
    <w:name w:val="正文2 Char"/>
    <w:link w:val="64"/>
    <w:qFormat/>
    <w:uiPriority w:val="0"/>
    <w:rPr>
      <w:rFonts w:ascii="宋体" w:eastAsia="宋体"/>
      <w:kern w:val="16"/>
      <w:sz w:val="24"/>
      <w:lang w:val="en-US" w:eastAsia="zh-CN" w:bidi="ar-SA"/>
    </w:rPr>
  </w:style>
  <w:style w:type="paragraph" w:customStyle="1" w:styleId="64">
    <w:name w:val="正文2"/>
    <w:basedOn w:val="1"/>
    <w:link w:val="63"/>
    <w:qFormat/>
    <w:uiPriority w:val="0"/>
    <w:pPr>
      <w:widowControl/>
      <w:tabs>
        <w:tab w:val="left" w:pos="900"/>
      </w:tabs>
      <w:spacing w:line="360" w:lineRule="auto"/>
      <w:ind w:left="900" w:hanging="420"/>
    </w:pPr>
    <w:rPr>
      <w:rFonts w:ascii="宋体"/>
      <w:kern w:val="16"/>
      <w:sz w:val="24"/>
      <w:szCs w:val="20"/>
    </w:rPr>
  </w:style>
  <w:style w:type="character" w:customStyle="1" w:styleId="65">
    <w:name w:val="font121"/>
    <w:qFormat/>
    <w:uiPriority w:val="0"/>
    <w:rPr>
      <w:rFonts w:hint="eastAsia" w:ascii="宋体" w:hAnsi="宋体" w:eastAsia="宋体" w:cs="宋体"/>
      <w:color w:val="000000"/>
      <w:sz w:val="21"/>
      <w:szCs w:val="21"/>
      <w:u w:val="none"/>
    </w:rPr>
  </w:style>
  <w:style w:type="character" w:customStyle="1" w:styleId="66">
    <w:name w:val="def正文 Char"/>
    <w:link w:val="67"/>
    <w:qFormat/>
    <w:uiPriority w:val="0"/>
    <w:rPr>
      <w:rFonts w:eastAsia="宋体"/>
      <w:b/>
      <w:bCs/>
      <w:szCs w:val="21"/>
      <w:lang w:bidi="ar-SA"/>
    </w:rPr>
  </w:style>
  <w:style w:type="paragraph" w:customStyle="1" w:styleId="67">
    <w:name w:val="def正文"/>
    <w:basedOn w:val="20"/>
    <w:link w:val="66"/>
    <w:qFormat/>
    <w:uiPriority w:val="0"/>
    <w:pPr>
      <w:widowControl/>
      <w:spacing w:after="0" w:line="276" w:lineRule="auto"/>
      <w:jc w:val="center"/>
    </w:pPr>
    <w:rPr>
      <w:kern w:val="0"/>
      <w:sz w:val="20"/>
      <w:szCs w:val="21"/>
    </w:rPr>
  </w:style>
  <w:style w:type="character" w:customStyle="1" w:styleId="68">
    <w:name w:val="标题 2 Char"/>
    <w:link w:val="4"/>
    <w:qFormat/>
    <w:uiPriority w:val="0"/>
    <w:rPr>
      <w:rFonts w:ascii="Arial" w:hAnsi="Arial" w:eastAsia="黑体"/>
      <w:b/>
      <w:bCs/>
      <w:kern w:val="2"/>
      <w:sz w:val="32"/>
      <w:szCs w:val="32"/>
      <w:lang w:val="en-US" w:eastAsia="zh-CN" w:bidi="ar-SA"/>
    </w:rPr>
  </w:style>
  <w:style w:type="character" w:customStyle="1" w:styleId="69">
    <w:name w:val="Plain Text Char"/>
    <w:qFormat/>
    <w:locked/>
    <w:uiPriority w:val="0"/>
    <w:rPr>
      <w:rFonts w:ascii="宋体" w:hAnsi="Courier New" w:eastAsia="宋体"/>
      <w:lang w:val="en-US" w:eastAsia="zh-CN" w:bidi="ar-SA"/>
    </w:rPr>
  </w:style>
  <w:style w:type="character" w:customStyle="1" w:styleId="70">
    <w:name w:val="正文文本 Char"/>
    <w:link w:val="20"/>
    <w:qFormat/>
    <w:uiPriority w:val="0"/>
    <w:rPr>
      <w:rFonts w:eastAsia="宋体"/>
      <w:b/>
      <w:bCs/>
      <w:kern w:val="44"/>
      <w:sz w:val="44"/>
      <w:szCs w:val="44"/>
      <w:lang w:val="en-US" w:eastAsia="zh-CN" w:bidi="ar-SA"/>
    </w:rPr>
  </w:style>
  <w:style w:type="character" w:customStyle="1" w:styleId="71">
    <w:name w:val="Char Char4"/>
    <w:qFormat/>
    <w:locked/>
    <w:uiPriority w:val="0"/>
    <w:rPr>
      <w:rFonts w:hint="default" w:ascii="Calibri" w:hAnsi="Calibri" w:eastAsia="宋体"/>
      <w:sz w:val="18"/>
      <w:szCs w:val="18"/>
      <w:lang w:bidi="ar-SA"/>
    </w:rPr>
  </w:style>
  <w:style w:type="character" w:customStyle="1" w:styleId="72">
    <w:name w:val="Char Char15"/>
    <w:qFormat/>
    <w:uiPriority w:val="0"/>
    <w:rPr>
      <w:rFonts w:ascii="Arial" w:hAnsi="Arial" w:eastAsia="黑体"/>
      <w:kern w:val="2"/>
      <w:sz w:val="21"/>
      <w:szCs w:val="24"/>
      <w:lang w:val="en-US" w:eastAsia="zh-CN" w:bidi="ar-SA"/>
    </w:rPr>
  </w:style>
  <w:style w:type="character" w:customStyle="1" w:styleId="73">
    <w:name w:val="mark16"/>
    <w:basedOn w:val="54"/>
    <w:qFormat/>
    <w:uiPriority w:val="0"/>
  </w:style>
  <w:style w:type="character" w:customStyle="1" w:styleId="74">
    <w:name w:val="批注框文本 Char1"/>
    <w:semiHidden/>
    <w:qFormat/>
    <w:uiPriority w:val="0"/>
    <w:rPr>
      <w:sz w:val="18"/>
      <w:szCs w:val="18"/>
    </w:rPr>
  </w:style>
  <w:style w:type="character" w:customStyle="1" w:styleId="75">
    <w:name w:val="H2 Char"/>
    <w:qFormat/>
    <w:uiPriority w:val="0"/>
    <w:rPr>
      <w:rFonts w:ascii="Arial" w:hAnsi="Arial" w:eastAsia="黑体"/>
      <w:b/>
      <w:bCs/>
      <w:kern w:val="2"/>
      <w:sz w:val="32"/>
      <w:szCs w:val="32"/>
      <w:lang w:val="en-US" w:eastAsia="zh-CN" w:bidi="ar-SA"/>
    </w:rPr>
  </w:style>
  <w:style w:type="character" w:customStyle="1" w:styleId="76">
    <w:name w:val="font21"/>
    <w:qFormat/>
    <w:uiPriority w:val="0"/>
    <w:rPr>
      <w:rFonts w:hint="eastAsia" w:ascii="宋体" w:hAnsi="宋体" w:eastAsia="宋体" w:cs="宋体"/>
      <w:color w:val="000000"/>
      <w:sz w:val="21"/>
      <w:szCs w:val="21"/>
      <w:u w:val="none"/>
    </w:rPr>
  </w:style>
  <w:style w:type="character" w:customStyle="1" w:styleId="77">
    <w:name w:val="style81"/>
    <w:qFormat/>
    <w:uiPriority w:val="0"/>
    <w:rPr>
      <w:rFonts w:hint="default" w:ascii="Arial" w:hAnsi="Arial"/>
      <w:color w:val="333333"/>
      <w:sz w:val="31"/>
    </w:rPr>
  </w:style>
  <w:style w:type="character" w:customStyle="1" w:styleId="78">
    <w:name w:val="font161"/>
    <w:qFormat/>
    <w:uiPriority w:val="0"/>
    <w:rPr>
      <w:rFonts w:hint="eastAsia" w:ascii="宋体" w:hAnsi="宋体" w:eastAsia="宋体" w:cs="宋体"/>
      <w:strike/>
      <w:color w:val="000000"/>
      <w:sz w:val="20"/>
      <w:szCs w:val="20"/>
    </w:rPr>
  </w:style>
  <w:style w:type="character" w:customStyle="1" w:styleId="79">
    <w:name w:val="纯文本字符"/>
    <w:qFormat/>
    <w:uiPriority w:val="0"/>
    <w:rPr>
      <w:rFonts w:ascii="宋体" w:hAnsi="Courier New" w:eastAsia="宋体"/>
      <w:kern w:val="2"/>
      <w:sz w:val="21"/>
      <w:lang w:val="en-US" w:eastAsia="zh-CN" w:bidi="ar-SA"/>
    </w:rPr>
  </w:style>
  <w:style w:type="character" w:customStyle="1" w:styleId="80">
    <w:name w:val="Char Char22"/>
    <w:qFormat/>
    <w:uiPriority w:val="0"/>
    <w:rPr>
      <w:rFonts w:ascii="Arial" w:hAnsi="Arial" w:eastAsia="黑体"/>
      <w:b/>
      <w:bCs/>
      <w:kern w:val="2"/>
      <w:sz w:val="32"/>
      <w:szCs w:val="32"/>
      <w:lang w:val="en-US" w:eastAsia="zh-CN" w:bidi="ar-SA"/>
    </w:rPr>
  </w:style>
  <w:style w:type="character" w:customStyle="1" w:styleId="81">
    <w:name w:val="apple-converted-space"/>
    <w:basedOn w:val="54"/>
    <w:qFormat/>
    <w:uiPriority w:val="0"/>
  </w:style>
  <w:style w:type="character" w:customStyle="1" w:styleId="82">
    <w:name w:val="GP正文(首行缩进) Char Char"/>
    <w:link w:val="83"/>
    <w:qFormat/>
    <w:uiPriority w:val="0"/>
    <w:rPr>
      <w:szCs w:val="21"/>
      <w:lang w:bidi="ar-SA"/>
    </w:rPr>
  </w:style>
  <w:style w:type="paragraph" w:customStyle="1" w:styleId="83">
    <w:name w:val="GP正文(首行缩进)"/>
    <w:basedOn w:val="1"/>
    <w:link w:val="82"/>
    <w:qFormat/>
    <w:uiPriority w:val="0"/>
    <w:pPr>
      <w:spacing w:line="360" w:lineRule="auto"/>
      <w:jc w:val="left"/>
    </w:pPr>
    <w:rPr>
      <w:kern w:val="0"/>
      <w:sz w:val="20"/>
      <w:szCs w:val="21"/>
    </w:rPr>
  </w:style>
  <w:style w:type="character" w:customStyle="1" w:styleId="84">
    <w:name w:val="case31"/>
    <w:qFormat/>
    <w:uiPriority w:val="0"/>
    <w:rPr>
      <w:rFonts w:hint="default"/>
      <w:spacing w:val="390"/>
      <w:sz w:val="21"/>
      <w:szCs w:val="21"/>
    </w:rPr>
  </w:style>
  <w:style w:type="character" w:customStyle="1" w:styleId="85">
    <w:name w:val="默认段落字体 Char"/>
    <w:qFormat/>
    <w:uiPriority w:val="0"/>
  </w:style>
  <w:style w:type="character" w:customStyle="1" w:styleId="86">
    <w:name w:val="3级标题 Char"/>
    <w:link w:val="87"/>
    <w:qFormat/>
    <w:uiPriority w:val="0"/>
    <w:rPr>
      <w:rFonts w:ascii="黑体" w:hAnsi="黑体" w:eastAsia="黑体"/>
      <w:sz w:val="28"/>
      <w:szCs w:val="36"/>
      <w:lang w:eastAsia="en-US" w:bidi="en-US"/>
    </w:rPr>
  </w:style>
  <w:style w:type="paragraph" w:customStyle="1" w:styleId="87">
    <w:name w:val="3级标题"/>
    <w:basedOn w:val="1"/>
    <w:link w:val="86"/>
    <w:qFormat/>
    <w:uiPriority w:val="0"/>
    <w:pPr>
      <w:keepLines/>
      <w:numPr>
        <w:ilvl w:val="2"/>
        <w:numId w:val="3"/>
      </w:numPr>
      <w:spacing w:before="120" w:after="120" w:line="360" w:lineRule="auto"/>
      <w:contextualSpacing/>
      <w:jc w:val="left"/>
      <w:outlineLvl w:val="2"/>
    </w:pPr>
    <w:rPr>
      <w:rFonts w:ascii="黑体" w:hAnsi="黑体" w:eastAsia="黑体"/>
      <w:kern w:val="0"/>
      <w:sz w:val="28"/>
      <w:szCs w:val="36"/>
      <w:lang w:eastAsia="en-US" w:bidi="en-US"/>
    </w:rPr>
  </w:style>
  <w:style w:type="character" w:customStyle="1" w:styleId="88">
    <w:name w:val="marklong"/>
    <w:basedOn w:val="54"/>
    <w:qFormat/>
    <w:uiPriority w:val="0"/>
  </w:style>
  <w:style w:type="character" w:customStyle="1" w:styleId="89">
    <w:name w:val="paramname3"/>
    <w:qFormat/>
    <w:uiPriority w:val="0"/>
    <w:rPr>
      <w:color w:val="999999"/>
    </w:rPr>
  </w:style>
  <w:style w:type="character" w:customStyle="1" w:styleId="90">
    <w:name w:val="font61"/>
    <w:qFormat/>
    <w:uiPriority w:val="0"/>
    <w:rPr>
      <w:rFonts w:hint="eastAsia" w:ascii="宋体" w:hAnsi="宋体" w:eastAsia="宋体" w:cs="宋体"/>
      <w:color w:val="auto"/>
      <w:sz w:val="21"/>
      <w:szCs w:val="21"/>
      <w:u w:val="none"/>
    </w:rPr>
  </w:style>
  <w:style w:type="character" w:customStyle="1" w:styleId="91">
    <w:name w:val="font171"/>
    <w:qFormat/>
    <w:uiPriority w:val="0"/>
    <w:rPr>
      <w:rFonts w:hint="eastAsia" w:ascii="宋体" w:hAnsi="宋体" w:eastAsia="宋体" w:cs="宋体"/>
      <w:color w:val="000000"/>
      <w:sz w:val="22"/>
      <w:szCs w:val="22"/>
      <w:u w:val="none"/>
    </w:rPr>
  </w:style>
  <w:style w:type="character" w:customStyle="1" w:styleId="92">
    <w:name w:val="普通文字 Char Char3"/>
    <w:qFormat/>
    <w:uiPriority w:val="0"/>
    <w:rPr>
      <w:rFonts w:ascii="宋体" w:hAnsi="Courier New" w:eastAsia="宋体" w:cs="Courier New"/>
      <w:kern w:val="2"/>
      <w:sz w:val="21"/>
      <w:szCs w:val="21"/>
      <w:lang w:val="en-US" w:eastAsia="zh-CN" w:bidi="ar-SA"/>
    </w:rPr>
  </w:style>
  <w:style w:type="character" w:customStyle="1" w:styleId="93">
    <w:name w:val="unnamed11"/>
    <w:qFormat/>
    <w:uiPriority w:val="0"/>
    <w:rPr>
      <w:color w:val="000000"/>
      <w:sz w:val="20"/>
    </w:rPr>
  </w:style>
  <w:style w:type="character" w:customStyle="1" w:styleId="94">
    <w:name w:val="Document Map Char"/>
    <w:qFormat/>
    <w:uiPriority w:val="0"/>
    <w:rPr>
      <w:rFonts w:eastAsia="宋体"/>
      <w:kern w:val="2"/>
      <w:sz w:val="21"/>
      <w:szCs w:val="24"/>
      <w:lang w:val="en-US" w:eastAsia="zh-CN" w:bidi="ar-SA"/>
    </w:rPr>
  </w:style>
  <w:style w:type="character" w:customStyle="1" w:styleId="95">
    <w:name w:val="页脚 Char"/>
    <w:link w:val="32"/>
    <w:qFormat/>
    <w:uiPriority w:val="99"/>
    <w:rPr>
      <w:rFonts w:ascii="Times New Roman" w:hAnsi="Times New Roman" w:eastAsia="宋体" w:cs="Times New Roman"/>
      <w:sz w:val="18"/>
      <w:szCs w:val="18"/>
    </w:rPr>
  </w:style>
  <w:style w:type="character" w:customStyle="1" w:styleId="96">
    <w:name w:val="批注框文本 Char"/>
    <w:link w:val="31"/>
    <w:semiHidden/>
    <w:qFormat/>
    <w:uiPriority w:val="99"/>
    <w:rPr>
      <w:rFonts w:ascii="Times New Roman" w:hAnsi="Times New Roman" w:eastAsia="宋体" w:cs="Times New Roman"/>
      <w:sz w:val="18"/>
      <w:szCs w:val="18"/>
    </w:rPr>
  </w:style>
  <w:style w:type="character" w:customStyle="1" w:styleId="97">
    <w:name w:val="标题 7 Char"/>
    <w:link w:val="9"/>
    <w:qFormat/>
    <w:uiPriority w:val="0"/>
    <w:rPr>
      <w:rFonts w:ascii="Times New Roman" w:hAnsi="Times New Roman"/>
      <w:b/>
      <w:kern w:val="2"/>
      <w:sz w:val="24"/>
    </w:rPr>
  </w:style>
  <w:style w:type="character" w:customStyle="1" w:styleId="98">
    <w:name w:val="Footnote Text Char"/>
    <w:qFormat/>
    <w:uiPriority w:val="0"/>
    <w:rPr>
      <w:rFonts w:eastAsia="宋体"/>
      <w:sz w:val="18"/>
      <w:lang w:val="en-US" w:eastAsia="zh-CN" w:bidi="ar-SA"/>
    </w:rPr>
  </w:style>
  <w:style w:type="character" w:customStyle="1" w:styleId="99">
    <w:name w:val="引用 Char"/>
    <w:link w:val="100"/>
    <w:qFormat/>
    <w:uiPriority w:val="0"/>
    <w:rPr>
      <w:rFonts w:eastAsia="宋体"/>
      <w:i/>
      <w:iCs/>
      <w:color w:val="000000"/>
      <w:kern w:val="2"/>
      <w:sz w:val="24"/>
      <w:szCs w:val="24"/>
      <w:lang w:val="en-US" w:eastAsia="zh-CN" w:bidi="ar-SA"/>
    </w:rPr>
  </w:style>
  <w:style w:type="paragraph" w:styleId="100">
    <w:name w:val="Quote"/>
    <w:basedOn w:val="1"/>
    <w:next w:val="1"/>
    <w:link w:val="99"/>
    <w:qFormat/>
    <w:uiPriority w:val="0"/>
    <w:pPr>
      <w:spacing w:line="360" w:lineRule="auto"/>
    </w:pPr>
    <w:rPr>
      <w:i/>
      <w:iCs/>
      <w:color w:val="000000"/>
      <w:sz w:val="24"/>
    </w:rPr>
  </w:style>
  <w:style w:type="character" w:customStyle="1" w:styleId="101">
    <w:name w:val="Heading 1 Char"/>
    <w:qFormat/>
    <w:uiPriority w:val="0"/>
    <w:rPr>
      <w:rFonts w:eastAsia="宋体"/>
      <w:b/>
      <w:bCs/>
      <w:kern w:val="44"/>
      <w:sz w:val="32"/>
      <w:szCs w:val="44"/>
      <w:lang w:val="en-US" w:eastAsia="zh-CN" w:bidi="ar-SA"/>
    </w:rPr>
  </w:style>
  <w:style w:type="character" w:customStyle="1" w:styleId="102">
    <w:name w:val="题注 Char"/>
    <w:link w:val="15"/>
    <w:qFormat/>
    <w:locked/>
    <w:uiPriority w:val="0"/>
    <w:rPr>
      <w:rFonts w:ascii="Arial" w:hAnsi="Arial" w:eastAsia="黑体"/>
      <w:lang w:bidi="ar-SA"/>
    </w:rPr>
  </w:style>
  <w:style w:type="character" w:customStyle="1" w:styleId="103">
    <w:name w:val="纯文本 Char"/>
    <w:qFormat/>
    <w:uiPriority w:val="0"/>
    <w:rPr>
      <w:rFonts w:ascii="宋体" w:hAnsi="Courier New" w:eastAsia="宋体" w:cs="Courier New"/>
      <w:szCs w:val="21"/>
    </w:rPr>
  </w:style>
  <w:style w:type="character" w:customStyle="1" w:styleId="104">
    <w:name w:val="标准正文 Char"/>
    <w:link w:val="105"/>
    <w:qFormat/>
    <w:uiPriority w:val="0"/>
    <w:rPr>
      <w:rFonts w:eastAsia="宋体"/>
      <w:sz w:val="24"/>
      <w:lang w:bidi="ar-SA"/>
    </w:rPr>
  </w:style>
  <w:style w:type="paragraph" w:customStyle="1" w:styleId="105">
    <w:name w:val="标准正文"/>
    <w:basedOn w:val="1"/>
    <w:link w:val="104"/>
    <w:qFormat/>
    <w:uiPriority w:val="0"/>
    <w:pPr>
      <w:spacing w:before="156" w:after="156" w:line="360" w:lineRule="auto"/>
      <w:ind w:firstLine="480"/>
    </w:pPr>
    <w:rPr>
      <w:kern w:val="0"/>
      <w:sz w:val="24"/>
      <w:szCs w:val="20"/>
    </w:rPr>
  </w:style>
  <w:style w:type="character" w:customStyle="1" w:styleId="106">
    <w:name w:val="font131"/>
    <w:qFormat/>
    <w:uiPriority w:val="0"/>
    <w:rPr>
      <w:rFonts w:hint="eastAsia" w:ascii="宋体" w:hAnsi="宋体" w:eastAsia="宋体" w:cs="宋体"/>
      <w:color w:val="000000"/>
      <w:sz w:val="28"/>
      <w:szCs w:val="28"/>
      <w:u w:val="none"/>
    </w:rPr>
  </w:style>
  <w:style w:type="character" w:customStyle="1" w:styleId="107">
    <w:name w:val="Char Char13"/>
    <w:qFormat/>
    <w:uiPriority w:val="0"/>
    <w:rPr>
      <w:rFonts w:eastAsia="宋体"/>
      <w:b/>
      <w:bCs/>
      <w:kern w:val="44"/>
      <w:sz w:val="44"/>
      <w:szCs w:val="44"/>
      <w:lang w:val="en-US" w:eastAsia="zh-CN" w:bidi="ar-SA"/>
    </w:rPr>
  </w:style>
  <w:style w:type="character" w:customStyle="1" w:styleId="108">
    <w:name w:val="L正文 Char"/>
    <w:link w:val="109"/>
    <w:qFormat/>
    <w:uiPriority w:val="0"/>
    <w:rPr>
      <w:rFonts w:eastAsia="宋体"/>
      <w:szCs w:val="24"/>
      <w:lang w:bidi="ar-SA"/>
    </w:rPr>
  </w:style>
  <w:style w:type="paragraph" w:customStyle="1" w:styleId="109">
    <w:name w:val="L正文"/>
    <w:basedOn w:val="1"/>
    <w:link w:val="108"/>
    <w:qFormat/>
    <w:uiPriority w:val="0"/>
    <w:pPr>
      <w:spacing w:afterLines="50"/>
      <w:ind w:left="160" w:leftChars="160" w:firstLine="200" w:firstLineChars="200"/>
    </w:pPr>
    <w:rPr>
      <w:kern w:val="0"/>
      <w:sz w:val="20"/>
    </w:rPr>
  </w:style>
  <w:style w:type="character" w:customStyle="1" w:styleId="110">
    <w:name w:val="正文文本缩进 3 Char1"/>
    <w:qFormat/>
    <w:uiPriority w:val="0"/>
    <w:rPr>
      <w:rFonts w:ascii="Times New Roman" w:hAnsi="Times New Roman" w:eastAsia="宋体" w:cs="Times New Roman"/>
      <w:sz w:val="16"/>
      <w:szCs w:val="16"/>
      <w:lang w:val="en-US" w:eastAsia="en-US" w:bidi="ar-SA"/>
    </w:rPr>
  </w:style>
  <w:style w:type="character" w:customStyle="1" w:styleId="111">
    <w:name w:val="main5"/>
    <w:qFormat/>
    <w:uiPriority w:val="0"/>
    <w:rPr>
      <w:color w:val="000000"/>
      <w:sz w:val="20"/>
    </w:rPr>
  </w:style>
  <w:style w:type="character" w:customStyle="1" w:styleId="112">
    <w:name w:val="style6"/>
    <w:basedOn w:val="54"/>
    <w:qFormat/>
    <w:uiPriority w:val="0"/>
  </w:style>
  <w:style w:type="character" w:customStyle="1" w:styleId="113">
    <w:name w:val="明显强调1"/>
    <w:qFormat/>
    <w:uiPriority w:val="0"/>
    <w:rPr>
      <w:b/>
      <w:bCs/>
      <w:i/>
      <w:iCs/>
      <w:color w:val="4F81BD"/>
    </w:rPr>
  </w:style>
  <w:style w:type="character" w:customStyle="1" w:styleId="114">
    <w:name w:val="Char Char Char"/>
    <w:qFormat/>
    <w:uiPriority w:val="0"/>
    <w:rPr>
      <w:rFonts w:ascii="宋体" w:hAnsi="Courier New" w:eastAsia="宋体"/>
      <w:kern w:val="2"/>
      <w:sz w:val="21"/>
      <w:lang w:val="en-US" w:eastAsia="zh-CN" w:bidi="ar-SA"/>
    </w:rPr>
  </w:style>
  <w:style w:type="character" w:customStyle="1" w:styleId="115">
    <w:name w:val="标题 8 Char"/>
    <w:link w:val="10"/>
    <w:qFormat/>
    <w:uiPriority w:val="0"/>
    <w:rPr>
      <w:rFonts w:ascii="Arial" w:hAnsi="Arial" w:eastAsia="黑体"/>
      <w:kern w:val="2"/>
      <w:sz w:val="24"/>
    </w:rPr>
  </w:style>
  <w:style w:type="character" w:customStyle="1" w:styleId="116">
    <w:name w:val="font31"/>
    <w:qFormat/>
    <w:uiPriority w:val="0"/>
    <w:rPr>
      <w:rFonts w:hint="default" w:ascii="Calibri" w:hAnsi="Calibri" w:cs="Calibri"/>
      <w:color w:val="000000"/>
      <w:sz w:val="21"/>
      <w:szCs w:val="21"/>
      <w:u w:val="none"/>
    </w:rPr>
  </w:style>
  <w:style w:type="character" w:customStyle="1" w:styleId="117">
    <w:name w:val="font81"/>
    <w:qFormat/>
    <w:uiPriority w:val="0"/>
    <w:rPr>
      <w:rFonts w:hint="default" w:ascii="Tahoma" w:hAnsi="Tahoma" w:eastAsia="Tahoma" w:cs="Tahoma"/>
      <w:color w:val="000000"/>
      <w:sz w:val="22"/>
      <w:szCs w:val="22"/>
      <w:u w:val="none"/>
    </w:rPr>
  </w:style>
  <w:style w:type="character" w:customStyle="1" w:styleId="118">
    <w:name w:val="明显参考1"/>
    <w:qFormat/>
    <w:uiPriority w:val="0"/>
    <w:rPr>
      <w:rFonts w:ascii="Verdana" w:hAnsi="Verdana" w:eastAsia="宋体"/>
      <w:b/>
      <w:bCs/>
      <w:smallCaps/>
      <w:color w:val="C0504D"/>
      <w:spacing w:val="5"/>
      <w:sz w:val="28"/>
      <w:szCs w:val="28"/>
      <w:u w:val="single"/>
      <w:lang w:val="en-US" w:eastAsia="en-US" w:bidi="ar-SA"/>
    </w:rPr>
  </w:style>
  <w:style w:type="character" w:customStyle="1" w:styleId="119">
    <w:name w:val="标题 3 Char"/>
    <w:link w:val="5"/>
    <w:qFormat/>
    <w:uiPriority w:val="0"/>
    <w:rPr>
      <w:rFonts w:eastAsia="宋体"/>
      <w:b/>
      <w:bCs/>
      <w:kern w:val="2"/>
      <w:sz w:val="32"/>
      <w:szCs w:val="32"/>
      <w:lang w:val="en-US" w:eastAsia="zh-CN" w:bidi="ar-SA"/>
    </w:rPr>
  </w:style>
  <w:style w:type="character" w:customStyle="1" w:styleId="120">
    <w:name w:val="Char Char8"/>
    <w:qFormat/>
    <w:uiPriority w:val="0"/>
    <w:rPr>
      <w:rFonts w:ascii="Arial" w:hAnsi="Arial" w:eastAsia="黑体"/>
      <w:b/>
      <w:bCs/>
      <w:kern w:val="2"/>
      <w:sz w:val="32"/>
      <w:szCs w:val="32"/>
      <w:lang w:val="en-US" w:eastAsia="zh-CN" w:bidi="ar-SA"/>
    </w:rPr>
  </w:style>
  <w:style w:type="character" w:customStyle="1" w:styleId="121">
    <w:name w:val="Char Char9"/>
    <w:qFormat/>
    <w:uiPriority w:val="0"/>
    <w:rPr>
      <w:rFonts w:eastAsia="宋体"/>
      <w:b/>
      <w:bCs/>
      <w:kern w:val="44"/>
      <w:sz w:val="44"/>
      <w:szCs w:val="44"/>
      <w:lang w:val="en-US" w:eastAsia="zh-CN" w:bidi="ar-SA"/>
    </w:rPr>
  </w:style>
  <w:style w:type="character" w:customStyle="1" w:styleId="122">
    <w:name w:val="neirong"/>
    <w:basedOn w:val="54"/>
    <w:qFormat/>
    <w:uiPriority w:val="0"/>
  </w:style>
  <w:style w:type="character" w:customStyle="1" w:styleId="123">
    <w:name w:val="font301"/>
    <w:qFormat/>
    <w:uiPriority w:val="0"/>
    <w:rPr>
      <w:rFonts w:hint="eastAsia" w:ascii="宋体" w:hAnsi="宋体" w:eastAsia="宋体" w:cs="宋体"/>
      <w:strike/>
      <w:color w:val="000000"/>
      <w:sz w:val="21"/>
      <w:szCs w:val="21"/>
    </w:rPr>
  </w:style>
  <w:style w:type="character" w:customStyle="1" w:styleId="124">
    <w:name w:val="font181"/>
    <w:qFormat/>
    <w:uiPriority w:val="0"/>
    <w:rPr>
      <w:rFonts w:hint="default" w:ascii="Tahoma" w:hAnsi="Tahoma" w:eastAsia="Tahoma" w:cs="Tahoma"/>
      <w:color w:val="000000"/>
      <w:sz w:val="22"/>
      <w:szCs w:val="22"/>
      <w:u w:val="none"/>
    </w:rPr>
  </w:style>
  <w:style w:type="character" w:customStyle="1" w:styleId="125">
    <w:name w:val="style2"/>
    <w:basedOn w:val="54"/>
    <w:qFormat/>
    <w:uiPriority w:val="0"/>
  </w:style>
  <w:style w:type="character" w:customStyle="1" w:styleId="126">
    <w:name w:val="标题 4 Char"/>
    <w:link w:val="6"/>
    <w:qFormat/>
    <w:uiPriority w:val="0"/>
    <w:rPr>
      <w:rFonts w:ascii="Arial" w:eastAsia="黑体"/>
      <w:sz w:val="28"/>
      <w:lang w:val="en-US" w:eastAsia="zh-CN" w:bidi="ar-SA"/>
    </w:rPr>
  </w:style>
  <w:style w:type="character" w:customStyle="1" w:styleId="127">
    <w:name w:val="number"/>
    <w:basedOn w:val="54"/>
    <w:qFormat/>
    <w:uiPriority w:val="0"/>
  </w:style>
  <w:style w:type="character" w:customStyle="1" w:styleId="128">
    <w:name w:val="批注文字 Char1"/>
    <w:semiHidden/>
    <w:qFormat/>
    <w:uiPriority w:val="0"/>
  </w:style>
  <w:style w:type="character" w:customStyle="1" w:styleId="129">
    <w:name w:val="news1"/>
    <w:qFormat/>
    <w:uiPriority w:val="0"/>
    <w:rPr>
      <w:rFonts w:hint="default"/>
      <w:sz w:val="18"/>
    </w:rPr>
  </w:style>
  <w:style w:type="character" w:customStyle="1" w:styleId="130">
    <w:name w:val="font41"/>
    <w:qFormat/>
    <w:uiPriority w:val="0"/>
    <w:rPr>
      <w:rFonts w:hint="eastAsia" w:ascii="宋体" w:hAnsi="宋体" w:eastAsia="宋体"/>
      <w:b/>
      <w:bCs/>
      <w:color w:val="000000"/>
      <w:sz w:val="24"/>
      <w:szCs w:val="24"/>
      <w:u w:val="none"/>
    </w:rPr>
  </w:style>
  <w:style w:type="character" w:customStyle="1" w:styleId="131">
    <w:name w:val="Char Char5"/>
    <w:qFormat/>
    <w:uiPriority w:val="0"/>
    <w:rPr>
      <w:rFonts w:eastAsia="宋体"/>
      <w:kern w:val="2"/>
      <w:sz w:val="18"/>
      <w:szCs w:val="18"/>
      <w:lang w:val="en-US" w:eastAsia="zh-CN" w:bidi="ar-SA"/>
    </w:rPr>
  </w:style>
  <w:style w:type="character" w:customStyle="1" w:styleId="132">
    <w:name w:val="Char Char16"/>
    <w:qFormat/>
    <w:uiPriority w:val="0"/>
    <w:rPr>
      <w:rFonts w:ascii="Arial" w:hAnsi="Arial" w:eastAsia="黑体"/>
      <w:kern w:val="2"/>
      <w:sz w:val="24"/>
      <w:szCs w:val="24"/>
      <w:lang w:val="en-US" w:eastAsia="zh-CN" w:bidi="ar-SA"/>
    </w:rPr>
  </w:style>
  <w:style w:type="character" w:customStyle="1" w:styleId="133">
    <w:name w:val="3zw"/>
    <w:qFormat/>
    <w:uiPriority w:val="0"/>
  </w:style>
  <w:style w:type="character" w:customStyle="1" w:styleId="134">
    <w:name w:val="日期 Char"/>
    <w:link w:val="29"/>
    <w:qFormat/>
    <w:uiPriority w:val="0"/>
    <w:rPr>
      <w:rFonts w:eastAsia="宋体"/>
      <w:kern w:val="2"/>
      <w:sz w:val="21"/>
      <w:szCs w:val="24"/>
      <w:lang w:val="en-US" w:eastAsia="zh-CN" w:bidi="ar-SA"/>
    </w:rPr>
  </w:style>
  <w:style w:type="character" w:customStyle="1" w:styleId="135">
    <w:name w:val="批注主题 Char"/>
    <w:link w:val="49"/>
    <w:semiHidden/>
    <w:qFormat/>
    <w:uiPriority w:val="99"/>
    <w:rPr>
      <w:b/>
      <w:bCs/>
      <w:kern w:val="2"/>
      <w:sz w:val="21"/>
      <w:szCs w:val="24"/>
    </w:rPr>
  </w:style>
  <w:style w:type="character" w:customStyle="1" w:styleId="136">
    <w:name w:val="项目符号圆点 Char"/>
    <w:link w:val="137"/>
    <w:qFormat/>
    <w:uiPriority w:val="0"/>
    <w:rPr>
      <w:rFonts w:ascii="Arial" w:hAnsi="Arial" w:eastAsia="微软雅黑"/>
      <w:b/>
      <w:sz w:val="24"/>
    </w:rPr>
  </w:style>
  <w:style w:type="paragraph" w:customStyle="1" w:styleId="137">
    <w:name w:val="项目符号圆点"/>
    <w:basedOn w:val="1"/>
    <w:link w:val="136"/>
    <w:qFormat/>
    <w:uiPriority w:val="0"/>
    <w:pPr>
      <w:numPr>
        <w:ilvl w:val="0"/>
        <w:numId w:val="4"/>
      </w:numPr>
      <w:jc w:val="left"/>
    </w:pPr>
    <w:rPr>
      <w:rFonts w:ascii="Arial" w:hAnsi="Arial" w:eastAsia="微软雅黑"/>
      <w:b/>
      <w:kern w:val="0"/>
      <w:sz w:val="24"/>
      <w:szCs w:val="20"/>
    </w:rPr>
  </w:style>
  <w:style w:type="character" w:customStyle="1" w:styleId="138">
    <w:name w:val="正文文本缩进 字符"/>
    <w:qFormat/>
    <w:locked/>
    <w:uiPriority w:val="0"/>
    <w:rPr>
      <w:rFonts w:ascii="宋体" w:hAnsi="Courier New" w:eastAsia="宋体"/>
      <w:spacing w:val="-4"/>
      <w:kern w:val="2"/>
      <w:sz w:val="18"/>
      <w:lang w:val="en-US" w:eastAsia="zh-CN" w:bidi="ar-SA"/>
    </w:rPr>
  </w:style>
  <w:style w:type="character" w:customStyle="1" w:styleId="139">
    <w:name w:val="font101"/>
    <w:qFormat/>
    <w:uiPriority w:val="0"/>
    <w:rPr>
      <w:rFonts w:hint="default" w:ascii="Tahoma" w:hAnsi="Tahoma" w:eastAsia="Tahoma" w:cs="Tahoma"/>
      <w:color w:val="000000"/>
      <w:sz w:val="28"/>
      <w:szCs w:val="28"/>
      <w:u w:val="none"/>
    </w:rPr>
  </w:style>
  <w:style w:type="character" w:customStyle="1" w:styleId="140">
    <w:name w:val="正文文本缩进 Char"/>
    <w:link w:val="21"/>
    <w:qFormat/>
    <w:uiPriority w:val="0"/>
    <w:rPr>
      <w:rFonts w:ascii="宋体" w:hAnsi="Courier New"/>
      <w:spacing w:val="-4"/>
      <w:kern w:val="2"/>
      <w:sz w:val="18"/>
    </w:rPr>
  </w:style>
  <w:style w:type="character" w:customStyle="1" w:styleId="141">
    <w:name w:val="页眉 Char"/>
    <w:link w:val="33"/>
    <w:qFormat/>
    <w:uiPriority w:val="99"/>
    <w:rPr>
      <w:rFonts w:ascii="Times New Roman" w:hAnsi="Times New Roman" w:eastAsia="宋体" w:cs="Times New Roman"/>
      <w:sz w:val="18"/>
      <w:szCs w:val="18"/>
    </w:rPr>
  </w:style>
  <w:style w:type="character" w:customStyle="1" w:styleId="142">
    <w:name w:val="正文文本 3 Char"/>
    <w:link w:val="19"/>
    <w:qFormat/>
    <w:uiPriority w:val="0"/>
    <w:rPr>
      <w:rFonts w:eastAsia="宋体"/>
      <w:b/>
      <w:bCs/>
      <w:kern w:val="2"/>
      <w:sz w:val="24"/>
      <w:szCs w:val="24"/>
      <w:lang w:val="en-US" w:eastAsia="zh-CN" w:bidi="ar-SA"/>
    </w:rPr>
  </w:style>
  <w:style w:type="character" w:customStyle="1" w:styleId="143">
    <w:name w:val="链接"/>
    <w:qFormat/>
    <w:uiPriority w:val="0"/>
    <w:rPr>
      <w:rFonts w:ascii="Times New Roman" w:eastAsia="宋体"/>
      <w:color w:val="0000FF"/>
      <w:sz w:val="21"/>
      <w:u w:val="single" w:color="0000FF"/>
      <w:vertAlign w:val="baseline"/>
      <w:lang w:val="en-US" w:eastAsia="zh-CN"/>
    </w:rPr>
  </w:style>
  <w:style w:type="character" w:customStyle="1" w:styleId="144">
    <w:name w:val="px14l1601"/>
    <w:qFormat/>
    <w:uiPriority w:val="0"/>
    <w:rPr>
      <w:rFonts w:hint="default"/>
      <w:sz w:val="28"/>
      <w:szCs w:val="28"/>
    </w:rPr>
  </w:style>
  <w:style w:type="character" w:customStyle="1" w:styleId="145">
    <w:name w:val="Char Char14"/>
    <w:qFormat/>
    <w:uiPriority w:val="0"/>
    <w:rPr>
      <w:rFonts w:ascii="Times New Roman" w:hAnsi="Times New Roman" w:eastAsia="宋体" w:cs="Times New Roman"/>
      <w:kern w:val="0"/>
      <w:sz w:val="18"/>
      <w:szCs w:val="18"/>
    </w:rPr>
  </w:style>
  <w:style w:type="character" w:customStyle="1" w:styleId="146">
    <w:name w:val="1）样式 Char"/>
    <w:link w:val="147"/>
    <w:qFormat/>
    <w:uiPriority w:val="0"/>
    <w:rPr>
      <w:sz w:val="24"/>
      <w:szCs w:val="24"/>
    </w:rPr>
  </w:style>
  <w:style w:type="paragraph" w:customStyle="1" w:styleId="147">
    <w:name w:val="1）样式"/>
    <w:basedOn w:val="1"/>
    <w:link w:val="146"/>
    <w:qFormat/>
    <w:uiPriority w:val="0"/>
    <w:pPr>
      <w:numPr>
        <w:ilvl w:val="0"/>
        <w:numId w:val="5"/>
      </w:numPr>
      <w:spacing w:line="360" w:lineRule="auto"/>
      <w:ind w:firstLine="0"/>
    </w:pPr>
    <w:rPr>
      <w:kern w:val="0"/>
      <w:sz w:val="24"/>
    </w:rPr>
  </w:style>
  <w:style w:type="character" w:customStyle="1" w:styleId="148">
    <w:name w:val="paragraph1 Char"/>
    <w:link w:val="149"/>
    <w:qFormat/>
    <w:uiPriority w:val="0"/>
    <w:rPr>
      <w:rFonts w:eastAsia="宋体"/>
      <w:sz w:val="24"/>
      <w:szCs w:val="24"/>
      <w:lang w:bidi="ar-SA"/>
    </w:rPr>
  </w:style>
  <w:style w:type="paragraph" w:customStyle="1" w:styleId="149">
    <w:name w:val="paragraph1"/>
    <w:basedOn w:val="1"/>
    <w:link w:val="148"/>
    <w:qFormat/>
    <w:uiPriority w:val="0"/>
    <w:pPr>
      <w:spacing w:afterLines="30" w:line="360" w:lineRule="auto"/>
      <w:ind w:firstLine="480"/>
    </w:pPr>
    <w:rPr>
      <w:kern w:val="0"/>
      <w:sz w:val="24"/>
    </w:rPr>
  </w:style>
  <w:style w:type="character" w:customStyle="1" w:styleId="150">
    <w:name w:val="标题 4 Char1"/>
    <w:qFormat/>
    <w:uiPriority w:val="0"/>
    <w:rPr>
      <w:rFonts w:ascii="Arial" w:hAnsi="Arial" w:eastAsia="黑体" w:cs="Times New Roman"/>
      <w:bCs/>
      <w:sz w:val="24"/>
      <w:szCs w:val="28"/>
    </w:rPr>
  </w:style>
  <w:style w:type="character" w:customStyle="1" w:styleId="151">
    <w:name w:val="Char Char20"/>
    <w:qFormat/>
    <w:uiPriority w:val="0"/>
    <w:rPr>
      <w:rFonts w:ascii="Arial" w:hAnsi="Arial" w:eastAsia="黑体"/>
      <w:sz w:val="28"/>
      <w:lang w:val="en-US" w:eastAsia="zh-CN" w:bidi="ar-SA"/>
    </w:rPr>
  </w:style>
  <w:style w:type="character" w:customStyle="1" w:styleId="152">
    <w:name w:val="font51"/>
    <w:qFormat/>
    <w:uiPriority w:val="0"/>
    <w:rPr>
      <w:rFonts w:hint="eastAsia" w:ascii="宋体" w:hAnsi="宋体" w:eastAsia="宋体" w:cs="宋体"/>
      <w:color w:val="000000"/>
      <w:sz w:val="21"/>
      <w:szCs w:val="21"/>
      <w:u w:val="single"/>
    </w:rPr>
  </w:style>
  <w:style w:type="character" w:customStyle="1" w:styleId="153">
    <w:name w:val="font141"/>
    <w:qFormat/>
    <w:uiPriority w:val="0"/>
    <w:rPr>
      <w:rFonts w:hint="eastAsia" w:ascii="宋体" w:hAnsi="宋体" w:eastAsia="宋体" w:cs="宋体"/>
      <w:b/>
      <w:color w:val="000000"/>
      <w:sz w:val="20"/>
      <w:szCs w:val="20"/>
      <w:u w:val="none"/>
    </w:rPr>
  </w:style>
  <w:style w:type="character" w:customStyle="1" w:styleId="154">
    <w:name w:val="内容文本 Char"/>
    <w:link w:val="155"/>
    <w:qFormat/>
    <w:uiPriority w:val="0"/>
    <w:rPr>
      <w:rFonts w:ascii="宋体" w:hAnsi="宋体" w:eastAsia="宋体"/>
      <w:sz w:val="24"/>
      <w:szCs w:val="24"/>
      <w:lang w:eastAsia="en-US" w:bidi="en-US"/>
    </w:rPr>
  </w:style>
  <w:style w:type="paragraph" w:customStyle="1" w:styleId="155">
    <w:name w:val="内容文本"/>
    <w:basedOn w:val="1"/>
    <w:link w:val="154"/>
    <w:qFormat/>
    <w:uiPriority w:val="0"/>
    <w:pPr>
      <w:spacing w:line="360" w:lineRule="auto"/>
      <w:ind w:firstLine="200"/>
      <w:contextualSpacing/>
      <w:jc w:val="left"/>
    </w:pPr>
    <w:rPr>
      <w:rFonts w:ascii="宋体" w:hAnsi="宋体"/>
      <w:kern w:val="0"/>
      <w:sz w:val="24"/>
      <w:lang w:eastAsia="en-US" w:bidi="en-US"/>
    </w:rPr>
  </w:style>
  <w:style w:type="character" w:customStyle="1" w:styleId="156">
    <w:name w:val="lb1"/>
    <w:qFormat/>
    <w:uiPriority w:val="0"/>
    <w:rPr>
      <w:rFonts w:hint="default"/>
      <w:b/>
      <w:color w:val="0851A5"/>
      <w:sz w:val="27"/>
    </w:rPr>
  </w:style>
  <w:style w:type="character" w:customStyle="1" w:styleId="157">
    <w:name w:val="Char Char21"/>
    <w:qFormat/>
    <w:uiPriority w:val="0"/>
    <w:rPr>
      <w:rFonts w:eastAsia="宋体"/>
      <w:b/>
      <w:bCs/>
      <w:kern w:val="2"/>
      <w:sz w:val="32"/>
      <w:szCs w:val="32"/>
      <w:lang w:val="en-US" w:eastAsia="zh-CN" w:bidi="ar-SA"/>
    </w:rPr>
  </w:style>
  <w:style w:type="character" w:customStyle="1" w:styleId="158">
    <w:name w:val="H3 Char"/>
    <w:qFormat/>
    <w:uiPriority w:val="0"/>
    <w:rPr>
      <w:rFonts w:ascii="Calibri" w:hAnsi="Calibri" w:eastAsia="宋体" w:cs="Times New Roman"/>
      <w:b/>
      <w:bCs/>
      <w:sz w:val="32"/>
      <w:szCs w:val="32"/>
    </w:rPr>
  </w:style>
  <w:style w:type="character" w:customStyle="1" w:styleId="159">
    <w:name w:val="font71"/>
    <w:qFormat/>
    <w:uiPriority w:val="0"/>
    <w:rPr>
      <w:rFonts w:hint="eastAsia" w:ascii="宋体" w:hAnsi="宋体" w:eastAsia="宋体" w:cs="宋体"/>
      <w:color w:val="000000"/>
      <w:sz w:val="21"/>
      <w:szCs w:val="21"/>
      <w:u w:val="none"/>
    </w:rPr>
  </w:style>
  <w:style w:type="character" w:customStyle="1" w:styleId="160">
    <w:name w:val="不明显强调1"/>
    <w:qFormat/>
    <w:uiPriority w:val="0"/>
    <w:rPr>
      <w:i/>
      <w:iCs/>
      <w:color w:val="808080"/>
    </w:rPr>
  </w:style>
  <w:style w:type="character" w:customStyle="1" w:styleId="161">
    <w:name w:val="1ji Char"/>
    <w:link w:val="162"/>
    <w:qFormat/>
    <w:uiPriority w:val="0"/>
    <w:rPr>
      <w:rFonts w:ascii="宋体" w:hAnsi="宋体" w:eastAsia="宋体"/>
      <w:b/>
      <w:bCs/>
      <w:kern w:val="44"/>
      <w:sz w:val="36"/>
      <w:szCs w:val="44"/>
      <w:lang w:val="en-US" w:eastAsia="zh-CN" w:bidi="ar-SA"/>
    </w:rPr>
  </w:style>
  <w:style w:type="paragraph" w:customStyle="1" w:styleId="162">
    <w:name w:val="1ji"/>
    <w:basedOn w:val="3"/>
    <w:link w:val="161"/>
    <w:qFormat/>
    <w:uiPriority w:val="0"/>
    <w:pPr>
      <w:keepLines w:val="0"/>
      <w:widowControl/>
      <w:spacing w:before="0" w:after="0" w:line="240" w:lineRule="auto"/>
      <w:jc w:val="center"/>
    </w:pPr>
    <w:rPr>
      <w:rFonts w:ascii="宋体" w:hAnsi="宋体"/>
      <w:sz w:val="36"/>
    </w:rPr>
  </w:style>
  <w:style w:type="character" w:customStyle="1" w:styleId="163">
    <w:name w:val="标题 5 Char"/>
    <w:link w:val="7"/>
    <w:qFormat/>
    <w:uiPriority w:val="0"/>
    <w:rPr>
      <w:rFonts w:ascii="Calibri" w:hAnsi="Calibri" w:eastAsia="宋体"/>
      <w:b/>
      <w:bCs/>
      <w:kern w:val="2"/>
      <w:sz w:val="28"/>
      <w:szCs w:val="28"/>
      <w:lang w:val="en-US" w:eastAsia="zh-CN" w:bidi="ar-SA"/>
    </w:rPr>
  </w:style>
  <w:style w:type="character" w:customStyle="1" w:styleId="164">
    <w:name w:val="标题 9 Char"/>
    <w:link w:val="11"/>
    <w:qFormat/>
    <w:uiPriority w:val="0"/>
    <w:rPr>
      <w:rFonts w:ascii="Arial" w:hAnsi="Arial" w:eastAsia="黑体"/>
      <w:kern w:val="2"/>
      <w:sz w:val="21"/>
    </w:rPr>
  </w:style>
  <w:style w:type="character" w:customStyle="1" w:styleId="165">
    <w:name w:val="明显引用 Char"/>
    <w:link w:val="166"/>
    <w:qFormat/>
    <w:uiPriority w:val="0"/>
    <w:rPr>
      <w:rFonts w:eastAsia="宋体"/>
      <w:b/>
      <w:bCs/>
      <w:i/>
      <w:iCs/>
      <w:color w:val="4F81BD"/>
      <w:kern w:val="2"/>
      <w:sz w:val="24"/>
      <w:szCs w:val="24"/>
      <w:lang w:val="en-US" w:eastAsia="zh-CN" w:bidi="ar-SA"/>
    </w:rPr>
  </w:style>
  <w:style w:type="paragraph" w:styleId="166">
    <w:name w:val="Intense Quote"/>
    <w:basedOn w:val="1"/>
    <w:next w:val="1"/>
    <w:link w:val="165"/>
    <w:qFormat/>
    <w:uiPriority w:val="0"/>
    <w:pPr>
      <w:pBdr>
        <w:bottom w:val="single" w:color="4F81BD" w:sz="4" w:space="4"/>
      </w:pBdr>
      <w:spacing w:before="200" w:after="280" w:line="360" w:lineRule="auto"/>
      <w:ind w:left="936" w:right="936"/>
    </w:pPr>
    <w:rPr>
      <w:b/>
      <w:bCs/>
      <w:i/>
      <w:iCs/>
      <w:color w:val="4F81BD"/>
      <w:sz w:val="24"/>
    </w:rPr>
  </w:style>
  <w:style w:type="character" w:customStyle="1" w:styleId="167">
    <w:name w:val="标题1 Char"/>
    <w:link w:val="168"/>
    <w:qFormat/>
    <w:uiPriority w:val="0"/>
    <w:rPr>
      <w:rFonts w:ascii="宋体" w:hAnsi="宋体" w:eastAsia="宋体"/>
      <w:b/>
      <w:bCs/>
      <w:sz w:val="28"/>
      <w:szCs w:val="44"/>
      <w:lang w:bidi="ar-SA"/>
    </w:rPr>
  </w:style>
  <w:style w:type="paragraph" w:customStyle="1" w:styleId="168">
    <w:name w:val="标题1"/>
    <w:basedOn w:val="48"/>
    <w:link w:val="167"/>
    <w:qFormat/>
    <w:uiPriority w:val="0"/>
    <w:pPr>
      <w:ind w:firstLine="0"/>
      <w:jc w:val="left"/>
    </w:pPr>
    <w:rPr>
      <w:rFonts w:hAnsi="宋体"/>
      <w:b/>
      <w:bCs/>
      <w:kern w:val="0"/>
      <w:sz w:val="28"/>
      <w:szCs w:val="44"/>
    </w:rPr>
  </w:style>
  <w:style w:type="character" w:customStyle="1" w:styleId="169">
    <w:name w:val="Char Char10"/>
    <w:qFormat/>
    <w:uiPriority w:val="0"/>
    <w:rPr>
      <w:rFonts w:hint="default" w:ascii="Arial" w:hAnsi="Arial" w:eastAsia="黑体" w:cs="Arial"/>
      <w:b/>
      <w:bCs/>
      <w:kern w:val="2"/>
      <w:sz w:val="32"/>
      <w:szCs w:val="32"/>
      <w:lang w:val="en-US" w:eastAsia="zh-CN" w:bidi="ar-SA"/>
    </w:rPr>
  </w:style>
  <w:style w:type="character" w:customStyle="1" w:styleId="170">
    <w:name w:val="wp_keywordlink_affiliate"/>
    <w:qFormat/>
    <w:uiPriority w:val="0"/>
  </w:style>
  <w:style w:type="character" w:customStyle="1" w:styleId="171">
    <w:name w:val="编号，小四 Char"/>
    <w:link w:val="172"/>
    <w:qFormat/>
    <w:uiPriority w:val="0"/>
    <w:rPr>
      <w:rFonts w:ascii="Arial" w:hAnsi="Arial"/>
      <w:sz w:val="24"/>
    </w:rPr>
  </w:style>
  <w:style w:type="paragraph" w:customStyle="1" w:styleId="172">
    <w:name w:val="编号，小四"/>
    <w:basedOn w:val="1"/>
    <w:link w:val="171"/>
    <w:qFormat/>
    <w:uiPriority w:val="0"/>
    <w:pPr>
      <w:numPr>
        <w:ilvl w:val="0"/>
        <w:numId w:val="6"/>
      </w:numPr>
      <w:spacing w:line="360" w:lineRule="auto"/>
    </w:pPr>
    <w:rPr>
      <w:rFonts w:ascii="Arial" w:hAnsi="Arial"/>
      <w:kern w:val="0"/>
      <w:sz w:val="24"/>
      <w:szCs w:val="20"/>
    </w:rPr>
  </w:style>
  <w:style w:type="character" w:customStyle="1" w:styleId="173">
    <w:name w:val="apple-style-span"/>
    <w:qFormat/>
    <w:uiPriority w:val="0"/>
    <w:rPr>
      <w:rFonts w:ascii="Tahoma" w:hAnsi="Tahoma" w:eastAsia="宋体"/>
      <w:b/>
      <w:kern w:val="2"/>
      <w:sz w:val="24"/>
      <w:lang w:val="en-US" w:eastAsia="zh-CN" w:bidi="ar-SA"/>
    </w:rPr>
  </w:style>
  <w:style w:type="character" w:customStyle="1" w:styleId="174">
    <w:name w:val="正文文本 3 Char1"/>
    <w:semiHidden/>
    <w:qFormat/>
    <w:uiPriority w:val="0"/>
    <w:rPr>
      <w:sz w:val="16"/>
      <w:szCs w:val="16"/>
    </w:rPr>
  </w:style>
  <w:style w:type="character" w:customStyle="1" w:styleId="175">
    <w:name w:val="062"/>
    <w:qFormat/>
    <w:uiPriority w:val="0"/>
    <w:rPr>
      <w:rFonts w:ascii="宋体" w:hAnsi="宋体"/>
      <w:b/>
      <w:bCs/>
      <w:sz w:val="32"/>
    </w:rPr>
  </w:style>
  <w:style w:type="character" w:customStyle="1" w:styleId="176">
    <w:name w:val="Char Char18"/>
    <w:qFormat/>
    <w:uiPriority w:val="0"/>
    <w:rPr>
      <w:rFonts w:ascii="Arial" w:hAnsi="Arial" w:eastAsia="黑体"/>
      <w:b/>
      <w:kern w:val="2"/>
      <w:sz w:val="24"/>
      <w:szCs w:val="24"/>
      <w:lang w:val="en-US" w:eastAsia="zh-CN" w:bidi="ar-SA"/>
    </w:rPr>
  </w:style>
  <w:style w:type="character" w:customStyle="1" w:styleId="177">
    <w:name w:val="style11"/>
    <w:qFormat/>
    <w:uiPriority w:val="0"/>
    <w:rPr>
      <w:b/>
      <w:bCs/>
      <w:color w:val="FF0000"/>
    </w:rPr>
  </w:style>
  <w:style w:type="character" w:customStyle="1" w:styleId="178">
    <w:name w:val="Char Char17"/>
    <w:qFormat/>
    <w:uiPriority w:val="0"/>
    <w:rPr>
      <w:rFonts w:eastAsia="宋体"/>
      <w:b/>
      <w:kern w:val="2"/>
      <w:sz w:val="24"/>
      <w:szCs w:val="24"/>
      <w:lang w:val="en-US" w:eastAsia="zh-CN" w:bidi="ar-SA"/>
    </w:rPr>
  </w:style>
  <w:style w:type="character" w:customStyle="1" w:styleId="179">
    <w:name w:val="段 Char"/>
    <w:link w:val="180"/>
    <w:qFormat/>
    <w:uiPriority w:val="0"/>
    <w:rPr>
      <w:rFonts w:ascii="宋体"/>
      <w:kern w:val="2"/>
      <w:sz w:val="21"/>
      <w:szCs w:val="22"/>
      <w:lang w:val="en-US" w:eastAsia="zh-CN" w:bidi="ar-SA"/>
    </w:rPr>
  </w:style>
  <w:style w:type="paragraph" w:customStyle="1" w:styleId="180">
    <w:name w:val="段"/>
    <w:link w:val="179"/>
    <w:qFormat/>
    <w:uiPriority w:val="0"/>
    <w:pPr>
      <w:autoSpaceDE w:val="0"/>
      <w:autoSpaceDN w:val="0"/>
      <w:ind w:firstLine="200" w:firstLineChars="200"/>
      <w:jc w:val="both"/>
    </w:pPr>
    <w:rPr>
      <w:rFonts w:ascii="宋体" w:hAnsi="Times New Roman" w:eastAsia="宋体" w:cs="Times New Roman"/>
      <w:kern w:val="2"/>
      <w:sz w:val="21"/>
      <w:szCs w:val="22"/>
      <w:lang w:val="en-US" w:eastAsia="zh-CN" w:bidi="ar-SA"/>
    </w:rPr>
  </w:style>
  <w:style w:type="character" w:customStyle="1" w:styleId="181">
    <w:name w:val="批注文字 Char2"/>
    <w:link w:val="17"/>
    <w:qFormat/>
    <w:uiPriority w:val="0"/>
    <w:rPr>
      <w:rFonts w:ascii="Times New Roman" w:hAnsi="Times New Roman"/>
      <w:kern w:val="2"/>
      <w:sz w:val="21"/>
      <w:szCs w:val="24"/>
    </w:rPr>
  </w:style>
  <w:style w:type="character" w:customStyle="1" w:styleId="182">
    <w:name w:val="*正文 Char"/>
    <w:link w:val="183"/>
    <w:qFormat/>
    <w:uiPriority w:val="0"/>
    <w:rPr>
      <w:rFonts w:ascii="宋体" w:hAnsi="宋体" w:eastAsia="宋体"/>
      <w:sz w:val="24"/>
      <w:szCs w:val="24"/>
      <w:lang w:bidi="ar-SA"/>
    </w:rPr>
  </w:style>
  <w:style w:type="paragraph" w:customStyle="1" w:styleId="183">
    <w:name w:val="*正文"/>
    <w:basedOn w:val="1"/>
    <w:link w:val="182"/>
    <w:qFormat/>
    <w:uiPriority w:val="0"/>
    <w:pPr>
      <w:spacing w:line="300" w:lineRule="auto"/>
      <w:ind w:firstLine="480"/>
    </w:pPr>
    <w:rPr>
      <w:rFonts w:ascii="宋体" w:hAnsi="宋体"/>
      <w:kern w:val="0"/>
      <w:sz w:val="24"/>
    </w:rPr>
  </w:style>
  <w:style w:type="character" w:customStyle="1" w:styleId="184">
    <w:name w:val="纯文本 Char2"/>
    <w:link w:val="27"/>
    <w:qFormat/>
    <w:uiPriority w:val="0"/>
    <w:rPr>
      <w:rFonts w:ascii="宋体" w:hAnsi="Courier New" w:eastAsia="宋体" w:cs="Times New Roman"/>
      <w:szCs w:val="20"/>
    </w:rPr>
  </w:style>
  <w:style w:type="character" w:customStyle="1" w:styleId="185">
    <w:name w:val="font241"/>
    <w:qFormat/>
    <w:uiPriority w:val="0"/>
    <w:rPr>
      <w:rFonts w:hint="eastAsia" w:ascii="宋体" w:hAnsi="宋体" w:eastAsia="宋体" w:cs="宋体"/>
      <w:color w:val="000000"/>
      <w:sz w:val="16"/>
      <w:szCs w:val="16"/>
      <w:u w:val="none"/>
    </w:rPr>
  </w:style>
  <w:style w:type="character" w:customStyle="1" w:styleId="186">
    <w:name w:val="批注主题 Char1"/>
    <w:semiHidden/>
    <w:qFormat/>
    <w:uiPriority w:val="0"/>
    <w:rPr>
      <w:b/>
      <w:bCs/>
    </w:rPr>
  </w:style>
  <w:style w:type="character" w:customStyle="1" w:styleId="187">
    <w:name w:val="Char Char101"/>
    <w:qFormat/>
    <w:uiPriority w:val="0"/>
    <w:rPr>
      <w:rFonts w:ascii="Arial" w:hAnsi="Arial" w:eastAsia="黑体"/>
      <w:b/>
      <w:bCs/>
      <w:kern w:val="2"/>
      <w:sz w:val="32"/>
      <w:szCs w:val="32"/>
      <w:lang w:val="en-US" w:eastAsia="zh-CN" w:bidi="ar-SA"/>
    </w:rPr>
  </w:style>
  <w:style w:type="character" w:customStyle="1" w:styleId="188">
    <w:name w:val="书籍标题1"/>
    <w:qFormat/>
    <w:uiPriority w:val="0"/>
    <w:rPr>
      <w:b/>
      <w:bCs/>
      <w:smallCaps/>
      <w:spacing w:val="5"/>
    </w:rPr>
  </w:style>
  <w:style w:type="character" w:customStyle="1" w:styleId="189">
    <w:name w:val="short_text"/>
    <w:basedOn w:val="54"/>
    <w:qFormat/>
    <w:uiPriority w:val="0"/>
  </w:style>
  <w:style w:type="character" w:customStyle="1" w:styleId="190">
    <w:name w:val="批注文字 Char"/>
    <w:qFormat/>
    <w:uiPriority w:val="99"/>
    <w:rPr>
      <w:rFonts w:ascii="Times New Roman" w:hAnsi="Times New Roman"/>
      <w:kern w:val="2"/>
      <w:sz w:val="21"/>
      <w:szCs w:val="24"/>
    </w:rPr>
  </w:style>
  <w:style w:type="character" w:customStyle="1" w:styleId="191">
    <w:name w:val="font231"/>
    <w:qFormat/>
    <w:uiPriority w:val="0"/>
    <w:rPr>
      <w:rFonts w:hint="eastAsia" w:ascii="宋体" w:hAnsi="宋体" w:eastAsia="宋体" w:cs="宋体"/>
      <w:color w:val="000000"/>
      <w:sz w:val="16"/>
      <w:szCs w:val="16"/>
      <w:u w:val="none"/>
    </w:rPr>
  </w:style>
  <w:style w:type="character" w:customStyle="1" w:styleId="192">
    <w:name w:val="不明显参考1"/>
    <w:qFormat/>
    <w:uiPriority w:val="0"/>
    <w:rPr>
      <w:smallCaps/>
      <w:color w:val="C0504D"/>
      <w:u w:val="single"/>
    </w:rPr>
  </w:style>
  <w:style w:type="character" w:customStyle="1" w:styleId="193">
    <w:name w:val="明显参考11"/>
    <w:qFormat/>
    <w:uiPriority w:val="0"/>
    <w:rPr>
      <w:b/>
      <w:bCs/>
      <w:smallCaps/>
      <w:color w:val="DA1F28"/>
      <w:spacing w:val="5"/>
      <w:u w:val="single"/>
    </w:rPr>
  </w:style>
  <w:style w:type="character" w:customStyle="1" w:styleId="194">
    <w:name w:val="标题 1 Char"/>
    <w:link w:val="3"/>
    <w:qFormat/>
    <w:uiPriority w:val="9"/>
    <w:rPr>
      <w:rFonts w:ascii="Times New Roman" w:hAnsi="Times New Roman" w:eastAsia="宋体" w:cs="Times New Roman"/>
      <w:b/>
      <w:bCs/>
      <w:kern w:val="44"/>
      <w:sz w:val="44"/>
      <w:szCs w:val="44"/>
    </w:rPr>
  </w:style>
  <w:style w:type="character" w:customStyle="1" w:styleId="195">
    <w:name w:val="Char Char Char Char Char Char"/>
    <w:qFormat/>
    <w:uiPriority w:val="0"/>
    <w:rPr>
      <w:rFonts w:eastAsia="宋体"/>
      <w:sz w:val="24"/>
      <w:lang w:val="en-US" w:eastAsia="zh-CN" w:bidi="ar-SA"/>
    </w:rPr>
  </w:style>
  <w:style w:type="character" w:customStyle="1" w:styleId="196">
    <w:name w:val="列出段落 Char"/>
    <w:link w:val="197"/>
    <w:qFormat/>
    <w:uiPriority w:val="0"/>
    <w:rPr>
      <w:rFonts w:eastAsia="宋体"/>
      <w:kern w:val="2"/>
      <w:sz w:val="24"/>
      <w:szCs w:val="24"/>
      <w:lang w:bidi="ar-SA"/>
    </w:rPr>
  </w:style>
  <w:style w:type="paragraph" w:customStyle="1" w:styleId="197">
    <w:name w:val="列出段落2"/>
    <w:basedOn w:val="1"/>
    <w:link w:val="196"/>
    <w:qFormat/>
    <w:uiPriority w:val="0"/>
    <w:pPr>
      <w:ind w:firstLine="420" w:firstLineChars="200"/>
    </w:pPr>
    <w:rPr>
      <w:sz w:val="24"/>
    </w:rPr>
  </w:style>
  <w:style w:type="character" w:customStyle="1" w:styleId="198">
    <w:name w:val="font01"/>
    <w:qFormat/>
    <w:uiPriority w:val="0"/>
    <w:rPr>
      <w:rFonts w:hint="eastAsia" w:ascii="宋体" w:hAnsi="宋体" w:eastAsia="宋体" w:cs="宋体"/>
      <w:color w:val="000000"/>
      <w:sz w:val="22"/>
      <w:szCs w:val="22"/>
      <w:u w:val="none"/>
    </w:rPr>
  </w:style>
  <w:style w:type="character" w:customStyle="1" w:styleId="199">
    <w:name w:val="!FL正文 Char"/>
    <w:link w:val="200"/>
    <w:qFormat/>
    <w:uiPriority w:val="0"/>
    <w:rPr>
      <w:rFonts w:ascii="Calibri" w:hAnsi="Calibri" w:eastAsia="宋体"/>
      <w:sz w:val="24"/>
      <w:szCs w:val="24"/>
      <w:lang w:bidi="ar-SA"/>
    </w:rPr>
  </w:style>
  <w:style w:type="paragraph" w:customStyle="1" w:styleId="200">
    <w:name w:val="!FL正文"/>
    <w:basedOn w:val="1"/>
    <w:link w:val="199"/>
    <w:qFormat/>
    <w:uiPriority w:val="0"/>
    <w:pPr>
      <w:spacing w:after="160" w:line="336" w:lineRule="auto"/>
      <w:ind w:firstLine="420"/>
    </w:pPr>
    <w:rPr>
      <w:rFonts w:ascii="Calibri" w:hAnsi="Calibri"/>
      <w:kern w:val="0"/>
      <w:sz w:val="24"/>
    </w:rPr>
  </w:style>
  <w:style w:type="character" w:customStyle="1" w:styleId="201">
    <w:name w:val="Char Char12"/>
    <w:semiHidden/>
    <w:qFormat/>
    <w:uiPriority w:val="0"/>
    <w:rPr>
      <w:rFonts w:ascii="Calibri" w:hAnsi="Calibri" w:eastAsia="宋体" w:cs="Times New Roman"/>
      <w:sz w:val="18"/>
      <w:szCs w:val="18"/>
    </w:rPr>
  </w:style>
  <w:style w:type="character" w:customStyle="1" w:styleId="202">
    <w:name w:val="纯文本 Char1"/>
    <w:semiHidden/>
    <w:qFormat/>
    <w:uiPriority w:val="0"/>
    <w:rPr>
      <w:rFonts w:ascii="宋体" w:hAnsi="Courier New" w:eastAsia="宋体" w:cs="Courier New"/>
      <w:szCs w:val="21"/>
    </w:rPr>
  </w:style>
  <w:style w:type="character" w:customStyle="1" w:styleId="203">
    <w:name w:val="H4 Char"/>
    <w:qFormat/>
    <w:uiPriority w:val="0"/>
    <w:rPr>
      <w:rFonts w:ascii="Cambria" w:hAnsi="Cambria" w:eastAsia="宋体" w:cs="Times New Roman"/>
      <w:b/>
      <w:bCs/>
      <w:sz w:val="28"/>
      <w:szCs w:val="28"/>
    </w:rPr>
  </w:style>
  <w:style w:type="character" w:customStyle="1" w:styleId="204">
    <w:name w:val="18h1"/>
    <w:qFormat/>
    <w:uiPriority w:val="0"/>
    <w:rPr>
      <w:color w:val="3B3B3B"/>
    </w:rPr>
  </w:style>
  <w:style w:type="character" w:customStyle="1" w:styleId="205">
    <w:name w:val="Char Char19"/>
    <w:qFormat/>
    <w:uiPriority w:val="0"/>
    <w:rPr>
      <w:rFonts w:eastAsia="宋体"/>
      <w:b/>
      <w:kern w:val="2"/>
      <w:sz w:val="28"/>
      <w:szCs w:val="24"/>
      <w:lang w:val="en-US" w:eastAsia="zh-CN" w:bidi="ar-SA"/>
    </w:rPr>
  </w:style>
  <w:style w:type="character" w:customStyle="1" w:styleId="206">
    <w:name w:val="标题 Char"/>
    <w:link w:val="48"/>
    <w:qFormat/>
    <w:uiPriority w:val="0"/>
    <w:rPr>
      <w:rFonts w:ascii="宋体" w:eastAsia="宋体"/>
      <w:kern w:val="2"/>
      <w:sz w:val="18"/>
      <w:szCs w:val="18"/>
      <w:lang w:val="en-US" w:eastAsia="zh-CN" w:bidi="ar-SA"/>
    </w:rPr>
  </w:style>
  <w:style w:type="character" w:customStyle="1" w:styleId="207">
    <w:name w:val="文档结构图 Char1"/>
    <w:semiHidden/>
    <w:qFormat/>
    <w:uiPriority w:val="0"/>
    <w:rPr>
      <w:rFonts w:ascii="宋体" w:eastAsia="宋体"/>
      <w:sz w:val="18"/>
      <w:szCs w:val="18"/>
    </w:rPr>
  </w:style>
  <w:style w:type="character" w:customStyle="1" w:styleId="208">
    <w:name w:val="Default Char"/>
    <w:link w:val="2"/>
    <w:qFormat/>
    <w:uiPriority w:val="0"/>
    <w:rPr>
      <w:rFonts w:ascii="宋体" w:hAnsi="Arial"/>
      <w:color w:val="000000"/>
      <w:sz w:val="24"/>
      <w:szCs w:val="24"/>
      <w:lang w:val="en-US" w:eastAsia="zh-CN" w:bidi="ar-SA"/>
    </w:rPr>
  </w:style>
  <w:style w:type="character" w:customStyle="1" w:styleId="209">
    <w:name w:val="正文（缩进） Char"/>
    <w:link w:val="210"/>
    <w:qFormat/>
    <w:uiPriority w:val="0"/>
    <w:rPr>
      <w:sz w:val="24"/>
      <w:szCs w:val="24"/>
      <w:lang w:bidi="ar-SA"/>
    </w:rPr>
  </w:style>
  <w:style w:type="paragraph" w:customStyle="1" w:styleId="210">
    <w:name w:val="正文（缩进）"/>
    <w:basedOn w:val="1"/>
    <w:link w:val="209"/>
    <w:qFormat/>
    <w:uiPriority w:val="0"/>
    <w:pPr>
      <w:spacing w:beforeLines="50" w:afterLines="50" w:line="360" w:lineRule="auto"/>
      <w:ind w:firstLine="480"/>
    </w:pPr>
    <w:rPr>
      <w:kern w:val="0"/>
      <w:sz w:val="24"/>
    </w:rPr>
  </w:style>
  <w:style w:type="character" w:customStyle="1" w:styleId="211">
    <w:name w:val="Char Char23"/>
    <w:qFormat/>
    <w:uiPriority w:val="0"/>
    <w:rPr>
      <w:rFonts w:eastAsia="宋体"/>
      <w:b/>
      <w:bCs/>
      <w:kern w:val="44"/>
      <w:sz w:val="44"/>
      <w:szCs w:val="44"/>
      <w:lang w:val="en-US" w:eastAsia="zh-CN" w:bidi="ar-SA"/>
    </w:rPr>
  </w:style>
  <w:style w:type="character" w:customStyle="1" w:styleId="212">
    <w:name w:val="表格内容 Char"/>
    <w:link w:val="213"/>
    <w:qFormat/>
    <w:uiPriority w:val="0"/>
    <w:rPr>
      <w:rFonts w:ascii="宋体" w:hAnsi="宋体"/>
      <w:bCs/>
      <w:sz w:val="18"/>
      <w:szCs w:val="24"/>
      <w:lang w:bidi="ar-SA"/>
    </w:rPr>
  </w:style>
  <w:style w:type="paragraph" w:customStyle="1" w:styleId="213">
    <w:name w:val="表格内容"/>
    <w:basedOn w:val="1"/>
    <w:link w:val="212"/>
    <w:qFormat/>
    <w:uiPriority w:val="0"/>
    <w:pPr>
      <w:autoSpaceDE w:val="0"/>
      <w:autoSpaceDN w:val="0"/>
      <w:jc w:val="center"/>
      <w:textAlignment w:val="baseline"/>
    </w:pPr>
    <w:rPr>
      <w:rFonts w:ascii="宋体" w:hAnsi="宋体"/>
      <w:bCs/>
      <w:kern w:val="0"/>
      <w:sz w:val="18"/>
    </w:rPr>
  </w:style>
  <w:style w:type="character" w:customStyle="1" w:styleId="214">
    <w:name w:val="font91"/>
    <w:qFormat/>
    <w:uiPriority w:val="0"/>
    <w:rPr>
      <w:rFonts w:hint="eastAsia" w:ascii="宋体" w:hAnsi="宋体" w:eastAsia="宋体" w:cs="宋体"/>
      <w:color w:val="000000"/>
      <w:sz w:val="28"/>
      <w:szCs w:val="28"/>
      <w:u w:val="none"/>
    </w:rPr>
  </w:style>
  <w:style w:type="character" w:customStyle="1" w:styleId="215">
    <w:name w:val="标题 6 Char"/>
    <w:link w:val="8"/>
    <w:qFormat/>
    <w:uiPriority w:val="0"/>
    <w:rPr>
      <w:rFonts w:ascii="Cambria" w:hAnsi="Cambria" w:eastAsia="宋体"/>
      <w:b/>
      <w:bCs/>
      <w:kern w:val="2"/>
      <w:sz w:val="24"/>
      <w:szCs w:val="24"/>
      <w:lang w:val="en-US" w:eastAsia="zh-CN" w:bidi="ar-SA"/>
    </w:rPr>
  </w:style>
  <w:style w:type="character" w:customStyle="1" w:styleId="216">
    <w:name w:val="方案正文 Char"/>
    <w:link w:val="217"/>
    <w:qFormat/>
    <w:uiPriority w:val="0"/>
    <w:rPr>
      <w:rFonts w:ascii="宋体" w:hAnsi="宋体"/>
      <w:snapToGrid w:val="0"/>
      <w:sz w:val="24"/>
      <w:szCs w:val="21"/>
      <w:lang w:val="en-US" w:eastAsia="zh-CN"/>
    </w:rPr>
  </w:style>
  <w:style w:type="paragraph" w:customStyle="1" w:styleId="217">
    <w:name w:val="方案正文"/>
    <w:basedOn w:val="1"/>
    <w:link w:val="216"/>
    <w:qFormat/>
    <w:uiPriority w:val="0"/>
    <w:pPr>
      <w:numPr>
        <w:ilvl w:val="0"/>
        <w:numId w:val="7"/>
      </w:numPr>
      <w:adjustRightInd w:val="0"/>
      <w:snapToGrid w:val="0"/>
      <w:spacing w:line="360" w:lineRule="auto"/>
      <w:jc w:val="left"/>
      <w:textAlignment w:val="baseline"/>
    </w:pPr>
    <w:rPr>
      <w:rFonts w:ascii="宋体" w:hAnsi="宋体"/>
      <w:snapToGrid w:val="0"/>
      <w:kern w:val="0"/>
      <w:sz w:val="24"/>
      <w:szCs w:val="21"/>
    </w:rPr>
  </w:style>
  <w:style w:type="character" w:customStyle="1" w:styleId="218">
    <w:name w:val="1ji Char Char"/>
    <w:qFormat/>
    <w:uiPriority w:val="0"/>
    <w:rPr>
      <w:rFonts w:ascii="宋体" w:hAnsi="宋体" w:eastAsia="宋体"/>
      <w:b/>
      <w:bCs/>
      <w:kern w:val="44"/>
      <w:sz w:val="36"/>
      <w:szCs w:val="44"/>
      <w:lang w:val="en-US" w:eastAsia="zh-CN" w:bidi="ar-SA"/>
    </w:rPr>
  </w:style>
  <w:style w:type="character" w:customStyle="1" w:styleId="219">
    <w:name w:val="font151"/>
    <w:qFormat/>
    <w:uiPriority w:val="0"/>
    <w:rPr>
      <w:rFonts w:hint="eastAsia" w:ascii="宋体" w:hAnsi="宋体" w:eastAsia="宋体" w:cs="宋体"/>
      <w:color w:val="000000"/>
      <w:sz w:val="20"/>
      <w:szCs w:val="20"/>
      <w:u w:val="single"/>
    </w:rPr>
  </w:style>
  <w:style w:type="character" w:customStyle="1" w:styleId="220">
    <w:name w:val="超级链接"/>
    <w:qFormat/>
    <w:uiPriority w:val="0"/>
    <w:rPr>
      <w:rFonts w:ascii="Times New Roman" w:eastAsia="宋体"/>
      <w:color w:val="0000FF"/>
      <w:sz w:val="21"/>
      <w:u w:val="single" w:color="0000FF"/>
      <w:vertAlign w:val="baseline"/>
      <w:lang w:val="en-US" w:eastAsia="zh-CN"/>
    </w:rPr>
  </w:style>
  <w:style w:type="character" w:customStyle="1" w:styleId="221">
    <w:name w:val="line"/>
    <w:qFormat/>
    <w:uiPriority w:val="0"/>
    <w:rPr>
      <w:rFonts w:ascii="Tahoma" w:hAnsi="Tahoma" w:eastAsia="宋体"/>
      <w:b/>
      <w:kern w:val="2"/>
      <w:sz w:val="24"/>
      <w:lang w:val="en-US" w:eastAsia="zh-CN" w:bidi="ar-SA"/>
    </w:rPr>
  </w:style>
  <w:style w:type="character" w:customStyle="1" w:styleId="222">
    <w:name w:val="style351"/>
    <w:qFormat/>
    <w:uiPriority w:val="0"/>
    <w:rPr>
      <w:sz w:val="15"/>
    </w:rPr>
  </w:style>
  <w:style w:type="character" w:customStyle="1" w:styleId="223">
    <w:name w:val="style121"/>
    <w:qFormat/>
    <w:uiPriority w:val="0"/>
    <w:rPr>
      <w:b/>
      <w:bCs/>
      <w:sz w:val="27"/>
      <w:szCs w:val="27"/>
    </w:rPr>
  </w:style>
  <w:style w:type="character" w:customStyle="1" w:styleId="224">
    <w:name w:val="正文文本缩进字符"/>
    <w:qFormat/>
    <w:locked/>
    <w:uiPriority w:val="0"/>
    <w:rPr>
      <w:rFonts w:ascii="宋体" w:hAnsi="Courier New"/>
      <w:spacing w:val="-4"/>
      <w:kern w:val="2"/>
      <w:sz w:val="18"/>
    </w:rPr>
  </w:style>
  <w:style w:type="paragraph" w:customStyle="1" w:styleId="225">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18"/>
      <w:szCs w:val="18"/>
    </w:rPr>
  </w:style>
  <w:style w:type="paragraph" w:customStyle="1" w:styleId="226">
    <w:name w:val="样式 标题 2 + 非加粗 首行缩进:  2 字符"/>
    <w:basedOn w:val="4"/>
    <w:qFormat/>
    <w:uiPriority w:val="0"/>
    <w:pPr>
      <w:spacing w:before="0" w:after="0" w:line="600" w:lineRule="exact"/>
      <w:ind w:firstLine="640" w:firstLineChars="200"/>
      <w:jc w:val="left"/>
    </w:pPr>
    <w:rPr>
      <w:rFonts w:cs="宋体"/>
      <w:b w:val="0"/>
      <w:bCs w:val="0"/>
      <w:szCs w:val="20"/>
    </w:rPr>
  </w:style>
  <w:style w:type="paragraph" w:customStyle="1" w:styleId="227">
    <w:name w:val="样式 标题 2H2Heading 2 HiddenHeading 2 CCBSheading 22nd levelh..."/>
    <w:basedOn w:val="4"/>
    <w:qFormat/>
    <w:uiPriority w:val="0"/>
    <w:pPr>
      <w:spacing w:before="120" w:after="120" w:line="240" w:lineRule="auto"/>
      <w:ind w:left="576" w:hanging="576"/>
    </w:pPr>
    <w:rPr>
      <w:rFonts w:cs="宋体"/>
      <w:b w:val="0"/>
      <w:bCs w:val="0"/>
      <w:sz w:val="28"/>
      <w:szCs w:val="28"/>
    </w:rPr>
  </w:style>
  <w:style w:type="paragraph" w:customStyle="1" w:styleId="228">
    <w:name w:val="附件圈"/>
    <w:basedOn w:val="229"/>
    <w:qFormat/>
    <w:uiPriority w:val="0"/>
    <w:pPr>
      <w:numPr>
        <w:numId w:val="8"/>
      </w:numPr>
      <w:tabs>
        <w:tab w:val="left" w:pos="840"/>
        <w:tab w:val="left" w:pos="980"/>
      </w:tabs>
    </w:pPr>
  </w:style>
  <w:style w:type="paragraph" w:customStyle="1" w:styleId="229">
    <w:name w:val="附件(1)"/>
    <w:basedOn w:val="1"/>
    <w:qFormat/>
    <w:uiPriority w:val="0"/>
    <w:pPr>
      <w:numPr>
        <w:ilvl w:val="0"/>
        <w:numId w:val="9"/>
      </w:numPr>
      <w:spacing w:line="360" w:lineRule="auto"/>
      <w:ind w:firstLine="0"/>
    </w:pPr>
    <w:rPr>
      <w:sz w:val="24"/>
    </w:rPr>
  </w:style>
  <w:style w:type="paragraph" w:customStyle="1" w:styleId="230">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231">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FF"/>
      <w:kern w:val="0"/>
      <w:sz w:val="22"/>
      <w:szCs w:val="22"/>
    </w:rPr>
  </w:style>
  <w:style w:type="paragraph" w:customStyle="1" w:styleId="232">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33">
    <w:name w:val="表格正文"/>
    <w:basedOn w:val="1"/>
    <w:qFormat/>
    <w:uiPriority w:val="0"/>
    <w:pPr>
      <w:spacing w:line="360" w:lineRule="auto"/>
      <w:jc w:val="left"/>
    </w:pPr>
    <w:rPr>
      <w:rFonts w:ascii="Arial" w:hAnsi="Arial" w:cs="宋体"/>
      <w:szCs w:val="20"/>
    </w:rPr>
  </w:style>
  <w:style w:type="paragraph" w:customStyle="1" w:styleId="234">
    <w:name w:val="样式 标题 2 + (西文) 宋体 非加粗 居中"/>
    <w:basedOn w:val="4"/>
    <w:qFormat/>
    <w:uiPriority w:val="0"/>
    <w:pPr>
      <w:jc w:val="center"/>
    </w:pPr>
    <w:rPr>
      <w:rFonts w:ascii="宋体" w:hAnsi="宋体" w:cs="宋体"/>
      <w:b w:val="0"/>
      <w:bCs w:val="0"/>
      <w:spacing w:val="2"/>
      <w:sz w:val="28"/>
      <w:szCs w:val="20"/>
    </w:rPr>
  </w:style>
  <w:style w:type="paragraph" w:customStyle="1" w:styleId="235">
    <w:name w:val="彩色列表 - 强调文字颜色 11"/>
    <w:basedOn w:val="1"/>
    <w:qFormat/>
    <w:uiPriority w:val="0"/>
    <w:pPr>
      <w:ind w:firstLine="420" w:firstLineChars="200"/>
    </w:pPr>
    <w:rPr>
      <w:rFonts w:ascii="Calibri" w:hAnsi="Calibri"/>
      <w:szCs w:val="22"/>
    </w:rPr>
  </w:style>
  <w:style w:type="paragraph" w:customStyle="1" w:styleId="236">
    <w:name w:val="_Style 57"/>
    <w:basedOn w:val="1"/>
    <w:qFormat/>
    <w:uiPriority w:val="0"/>
    <w:rPr>
      <w:rFonts w:ascii="仿宋_GB2312" w:eastAsia="仿宋_GB2312"/>
      <w:b/>
      <w:sz w:val="32"/>
      <w:szCs w:val="32"/>
    </w:rPr>
  </w:style>
  <w:style w:type="paragraph" w:customStyle="1" w:styleId="237">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38">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39">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40">
    <w:name w:val="font9"/>
    <w:basedOn w:val="1"/>
    <w:qFormat/>
    <w:uiPriority w:val="0"/>
    <w:pPr>
      <w:widowControl/>
      <w:spacing w:before="100" w:beforeAutospacing="1" w:after="100" w:afterAutospacing="1"/>
      <w:jc w:val="left"/>
    </w:pPr>
    <w:rPr>
      <w:rFonts w:ascii="宋体" w:hAnsi="宋体" w:cs="宋体"/>
      <w:b/>
      <w:bCs/>
      <w:kern w:val="0"/>
      <w:sz w:val="18"/>
      <w:szCs w:val="18"/>
    </w:rPr>
  </w:style>
  <w:style w:type="paragraph" w:customStyle="1" w:styleId="241">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18"/>
      <w:szCs w:val="18"/>
    </w:rPr>
  </w:style>
  <w:style w:type="paragraph" w:customStyle="1" w:styleId="242">
    <w:name w:val="列出段落11"/>
    <w:basedOn w:val="1"/>
    <w:qFormat/>
    <w:uiPriority w:val="0"/>
    <w:pPr>
      <w:ind w:firstLine="420" w:firstLineChars="200"/>
    </w:pPr>
    <w:rPr>
      <w:rFonts w:ascii="Calibri" w:hAnsi="Calibri"/>
      <w:szCs w:val="22"/>
    </w:rPr>
  </w:style>
  <w:style w:type="paragraph" w:customStyle="1" w:styleId="243">
    <w:name w:val="_标题5"/>
    <w:basedOn w:val="7"/>
    <w:next w:val="1"/>
    <w:qFormat/>
    <w:uiPriority w:val="0"/>
    <w:pPr>
      <w:numPr>
        <w:ilvl w:val="4"/>
        <w:numId w:val="10"/>
      </w:numPr>
      <w:tabs>
        <w:tab w:val="left" w:pos="360"/>
        <w:tab w:val="left" w:pos="2520"/>
      </w:tabs>
      <w:spacing w:before="120" w:after="120" w:line="520" w:lineRule="exact"/>
      <w:ind w:left="0" w:firstLine="0"/>
    </w:pPr>
    <w:rPr>
      <w:rFonts w:ascii="仿宋" w:hAnsi="仿宋" w:eastAsia="仿宋" w:cs="仿宋"/>
      <w:sz w:val="30"/>
      <w:szCs w:val="36"/>
    </w:rPr>
  </w:style>
  <w:style w:type="paragraph" w:customStyle="1" w:styleId="244">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45">
    <w:name w:val="表内文字"/>
    <w:basedOn w:val="1"/>
    <w:qFormat/>
    <w:uiPriority w:val="0"/>
    <w:pPr>
      <w:snapToGrid w:val="0"/>
      <w:spacing w:before="50" w:after="50"/>
      <w:jc w:val="center"/>
    </w:pPr>
    <w:rPr>
      <w:rFonts w:ascii="仿宋_GB2312" w:hAnsi="宋体" w:eastAsia="仿宋_GB2312"/>
      <w:b/>
      <w:color w:val="000000"/>
      <w:szCs w:val="21"/>
    </w:rPr>
  </w:style>
  <w:style w:type="paragraph" w:customStyle="1" w:styleId="246">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2"/>
      <w:szCs w:val="22"/>
    </w:rPr>
  </w:style>
  <w:style w:type="paragraph" w:customStyle="1" w:styleId="247">
    <w:name w:val="xl104"/>
    <w:basedOn w:val="1"/>
    <w:qFormat/>
    <w:uiPriority w:val="0"/>
    <w:pPr>
      <w:widowControl/>
      <w:pBdr>
        <w:top w:val="single" w:color="auto" w:sz="8" w:space="0"/>
        <w:left w:val="single" w:color="auto" w:sz="8" w:space="0"/>
        <w:right w:val="single" w:color="auto" w:sz="8" w:space="0"/>
      </w:pBdr>
      <w:shd w:val="clear" w:color="000000" w:fill="00CCFF"/>
      <w:spacing w:before="100" w:beforeAutospacing="1" w:after="100" w:afterAutospacing="1"/>
      <w:jc w:val="center"/>
    </w:pPr>
    <w:rPr>
      <w:rFonts w:ascii="宋体" w:hAnsi="宋体" w:cs="宋体"/>
      <w:b/>
      <w:bCs/>
      <w:kern w:val="0"/>
      <w:sz w:val="22"/>
      <w:szCs w:val="22"/>
    </w:rPr>
  </w:style>
  <w:style w:type="paragraph" w:customStyle="1" w:styleId="248">
    <w:name w:val="xl163"/>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249">
    <w:name w:val="修订1"/>
    <w:semiHidden/>
    <w:qFormat/>
    <w:uiPriority w:val="0"/>
    <w:rPr>
      <w:rFonts w:ascii="Times New Roman" w:hAnsi="Times New Roman" w:eastAsia="宋体" w:cs="Times New Roman"/>
      <w:kern w:val="2"/>
      <w:sz w:val="21"/>
      <w:szCs w:val="24"/>
      <w:lang w:val="en-US" w:eastAsia="zh-CN" w:bidi="ar-SA"/>
    </w:rPr>
  </w:style>
  <w:style w:type="paragraph" w:customStyle="1" w:styleId="250">
    <w:name w:val="Default Paragraph Font Para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51">
    <w:name w:val="xl11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52">
    <w:name w:val="xl1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253">
    <w:name w:val="_Style 4"/>
    <w:qFormat/>
    <w:uiPriority w:val="0"/>
    <w:pPr>
      <w:widowControl w:val="0"/>
      <w:tabs>
        <w:tab w:val="left" w:pos="540"/>
      </w:tabs>
      <w:ind w:firstLine="560" w:firstLineChars="200"/>
      <w:jc w:val="both"/>
    </w:pPr>
    <w:rPr>
      <w:rFonts w:ascii="Times New Roman" w:hAnsi="宋体" w:eastAsia="宋体" w:cs="Times New Roman"/>
      <w:color w:val="FF0000"/>
      <w:kern w:val="2"/>
      <w:sz w:val="28"/>
      <w:szCs w:val="28"/>
      <w:lang w:val="en-US" w:eastAsia="zh-CN" w:bidi="ar-SA"/>
    </w:rPr>
  </w:style>
  <w:style w:type="paragraph" w:customStyle="1" w:styleId="254">
    <w:name w:val="修订2"/>
    <w:semiHidden/>
    <w:qFormat/>
    <w:uiPriority w:val="0"/>
    <w:rPr>
      <w:rFonts w:ascii="Times New Roman" w:hAnsi="Times New Roman" w:eastAsia="宋体" w:cs="Times New Roman"/>
      <w:kern w:val="2"/>
      <w:sz w:val="24"/>
      <w:szCs w:val="24"/>
      <w:lang w:val="en-US" w:eastAsia="zh-CN" w:bidi="ar-SA"/>
    </w:rPr>
  </w:style>
  <w:style w:type="paragraph" w:customStyle="1" w:styleId="255">
    <w:name w:val="正文四号"/>
    <w:basedOn w:val="1"/>
    <w:qFormat/>
    <w:uiPriority w:val="0"/>
    <w:pPr>
      <w:spacing w:line="360" w:lineRule="auto"/>
    </w:pPr>
    <w:rPr>
      <w:rFonts w:eastAsia="仿宋_GB2312" w:cs="宋体"/>
      <w:sz w:val="28"/>
      <w:szCs w:val="20"/>
    </w:rPr>
  </w:style>
  <w:style w:type="paragraph" w:customStyle="1" w:styleId="256">
    <w:name w:val="p16"/>
    <w:basedOn w:val="1"/>
    <w:qFormat/>
    <w:uiPriority w:val="0"/>
    <w:pPr>
      <w:widowControl/>
    </w:pPr>
    <w:rPr>
      <w:kern w:val="0"/>
      <w:szCs w:val="21"/>
    </w:rPr>
  </w:style>
  <w:style w:type="paragraph" w:customStyle="1" w:styleId="257">
    <w:name w:val="xl12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58">
    <w:name w:val="Char Char Char1"/>
    <w:basedOn w:val="1"/>
    <w:qFormat/>
    <w:uiPriority w:val="0"/>
    <w:rPr>
      <w:rFonts w:ascii="Tahoma" w:hAnsi="Tahoma"/>
      <w:sz w:val="24"/>
      <w:szCs w:val="20"/>
    </w:rPr>
  </w:style>
  <w:style w:type="paragraph" w:customStyle="1" w:styleId="259">
    <w:name w:val="默认段落字体 Para Char Char Char Char Char Char Char Char Char Char"/>
    <w:basedOn w:val="1"/>
    <w:qFormat/>
    <w:uiPriority w:val="0"/>
    <w:rPr>
      <w:szCs w:val="20"/>
    </w:rPr>
  </w:style>
  <w:style w:type="paragraph" w:customStyle="1" w:styleId="260">
    <w:name w:val="无间隔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61">
    <w:name w:val="小节标题"/>
    <w:basedOn w:val="1"/>
    <w:next w:val="1"/>
    <w:qFormat/>
    <w:uiPriority w:val="0"/>
    <w:pPr>
      <w:widowControl/>
      <w:spacing w:before="175" w:after="102" w:line="351" w:lineRule="atLeast"/>
      <w:textAlignment w:val="baseline"/>
    </w:pPr>
    <w:rPr>
      <w:rFonts w:eastAsia="黑体"/>
      <w:color w:val="000000"/>
      <w:kern w:val="0"/>
      <w:szCs w:val="20"/>
      <w:u w:color="000000"/>
    </w:rPr>
  </w:style>
  <w:style w:type="paragraph" w:customStyle="1" w:styleId="262">
    <w:name w:val="标识1"/>
    <w:basedOn w:val="20"/>
    <w:qFormat/>
    <w:uiPriority w:val="0"/>
    <w:pPr>
      <w:numPr>
        <w:ilvl w:val="0"/>
        <w:numId w:val="11"/>
      </w:numPr>
      <w:tabs>
        <w:tab w:val="clear" w:pos="420"/>
      </w:tabs>
      <w:ind w:left="480" w:hanging="480"/>
    </w:pPr>
    <w:rPr>
      <w:rFonts w:ascii="宋体"/>
      <w:szCs w:val="24"/>
    </w:rPr>
  </w:style>
  <w:style w:type="paragraph" w:customStyle="1" w:styleId="263">
    <w:name w:val="文章附标题"/>
    <w:basedOn w:val="1"/>
    <w:next w:val="3"/>
    <w:qFormat/>
    <w:uiPriority w:val="0"/>
    <w:pPr>
      <w:widowControl/>
      <w:spacing w:before="187" w:after="175" w:line="374" w:lineRule="atLeast"/>
      <w:jc w:val="center"/>
      <w:textAlignment w:val="baseline"/>
    </w:pPr>
    <w:rPr>
      <w:color w:val="000000"/>
      <w:kern w:val="0"/>
      <w:sz w:val="36"/>
      <w:szCs w:val="20"/>
      <w:u w:color="000000"/>
    </w:rPr>
  </w:style>
  <w:style w:type="paragraph" w:customStyle="1" w:styleId="264">
    <w:name w:val="样式 标题 3 + (中文) 黑体 小四 非加粗 段前: 7.8 磅 段后: 0 磅 行距: 固定值 20 磅"/>
    <w:basedOn w:val="5"/>
    <w:qFormat/>
    <w:uiPriority w:val="0"/>
    <w:pPr>
      <w:spacing w:line="400" w:lineRule="exact"/>
      <w:ind w:firstLine="0" w:firstLineChars="0"/>
    </w:pPr>
    <w:rPr>
      <w:rFonts w:eastAsia="黑体" w:cs="宋体"/>
      <w:b w:val="0"/>
      <w:bCs w:val="0"/>
      <w:sz w:val="24"/>
      <w:szCs w:val="20"/>
    </w:rPr>
  </w:style>
  <w:style w:type="paragraph" w:customStyle="1" w:styleId="265">
    <w:name w:val="一级条标题"/>
    <w:next w:val="180"/>
    <w:qFormat/>
    <w:uiPriority w:val="0"/>
    <w:pPr>
      <w:numPr>
        <w:ilvl w:val="2"/>
        <w:numId w:val="12"/>
      </w:numPr>
      <w:outlineLvl w:val="2"/>
    </w:pPr>
    <w:rPr>
      <w:rFonts w:ascii="Times New Roman" w:hAnsi="Times New Roman" w:eastAsia="黑体" w:cs="Times New Roman"/>
      <w:sz w:val="21"/>
      <w:lang w:val="en-US" w:eastAsia="zh-CN" w:bidi="ar-SA"/>
    </w:rPr>
  </w:style>
  <w:style w:type="paragraph" w:customStyle="1" w:styleId="266">
    <w:name w:val="List Paragraph1"/>
    <w:basedOn w:val="1"/>
    <w:qFormat/>
    <w:uiPriority w:val="0"/>
    <w:pPr>
      <w:ind w:firstLine="420" w:firstLineChars="200"/>
    </w:pPr>
    <w:rPr>
      <w:rFonts w:eastAsia="仿宋"/>
      <w:sz w:val="32"/>
    </w:rPr>
  </w:style>
  <w:style w:type="paragraph" w:customStyle="1" w:styleId="267">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68">
    <w:name w:val="xl154"/>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269">
    <w:name w:val="xl16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270">
    <w:name w:val="xl108"/>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271">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72">
    <w:name w:val="p"/>
    <w:basedOn w:val="1"/>
    <w:qFormat/>
    <w:uiPriority w:val="0"/>
    <w:pPr>
      <w:widowControl/>
      <w:spacing w:before="100" w:beforeAutospacing="1" w:after="100" w:afterAutospacing="1"/>
      <w:jc w:val="left"/>
    </w:pPr>
    <w:rPr>
      <w:rFonts w:ascii="宋体" w:hAnsi="宋体" w:cs="宋体"/>
      <w:kern w:val="0"/>
      <w:sz w:val="24"/>
    </w:rPr>
  </w:style>
  <w:style w:type="paragraph" w:customStyle="1" w:styleId="273">
    <w:name w:val="xl106"/>
    <w:basedOn w:val="1"/>
    <w:qFormat/>
    <w:uiPriority w:val="0"/>
    <w:pPr>
      <w:widowControl/>
      <w:pBdr>
        <w:top w:val="single" w:color="auto" w:sz="4" w:space="0"/>
        <w:left w:val="single" w:color="auto" w:sz="4" w:space="0"/>
        <w:right w:val="single" w:color="auto" w:sz="4" w:space="0"/>
      </w:pBdr>
      <w:shd w:val="clear" w:color="000000" w:fill="00CCFF"/>
      <w:spacing w:before="100" w:beforeAutospacing="1" w:after="100" w:afterAutospacing="1"/>
      <w:jc w:val="center"/>
    </w:pPr>
    <w:rPr>
      <w:rFonts w:ascii="宋体" w:hAnsi="宋体" w:cs="宋体"/>
      <w:b/>
      <w:bCs/>
      <w:kern w:val="0"/>
      <w:sz w:val="22"/>
      <w:szCs w:val="22"/>
    </w:rPr>
  </w:style>
  <w:style w:type="paragraph" w:customStyle="1" w:styleId="274">
    <w:name w:val="文章总标题"/>
    <w:basedOn w:val="1"/>
    <w:next w:val="263"/>
    <w:qFormat/>
    <w:uiPriority w:val="0"/>
    <w:pPr>
      <w:widowControl/>
      <w:spacing w:before="566" w:after="544" w:line="566" w:lineRule="atLeast"/>
      <w:jc w:val="center"/>
      <w:textAlignment w:val="baseline"/>
    </w:pPr>
    <w:rPr>
      <w:rFonts w:ascii="Arial" w:eastAsia="黑体"/>
      <w:color w:val="000000"/>
      <w:kern w:val="0"/>
      <w:sz w:val="54"/>
      <w:szCs w:val="20"/>
      <w:u w:color="000000"/>
    </w:rPr>
  </w:style>
  <w:style w:type="paragraph" w:customStyle="1" w:styleId="27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000000"/>
      <w:kern w:val="0"/>
      <w:sz w:val="22"/>
      <w:szCs w:val="22"/>
    </w:rPr>
  </w:style>
  <w:style w:type="paragraph" w:customStyle="1" w:styleId="276">
    <w:name w:val="xl1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77">
    <w:name w:val="_标题2"/>
    <w:basedOn w:val="4"/>
    <w:next w:val="1"/>
    <w:qFormat/>
    <w:uiPriority w:val="0"/>
    <w:pPr>
      <w:numPr>
        <w:ilvl w:val="1"/>
        <w:numId w:val="10"/>
      </w:numPr>
      <w:spacing w:beforeLines="50" w:afterLines="50" w:line="416" w:lineRule="auto"/>
    </w:pPr>
    <w:rPr>
      <w:rFonts w:ascii="宋体" w:eastAsia="宋体"/>
      <w:color w:val="000000"/>
      <w:kern w:val="0"/>
      <w:sz w:val="24"/>
    </w:rPr>
  </w:style>
  <w:style w:type="paragraph" w:customStyle="1" w:styleId="278">
    <w:name w:val="Char2"/>
    <w:basedOn w:val="1"/>
    <w:qFormat/>
    <w:uiPriority w:val="0"/>
    <w:pPr>
      <w:widowControl/>
      <w:spacing w:after="160" w:line="240" w:lineRule="exact"/>
      <w:jc w:val="left"/>
    </w:pPr>
    <w:rPr>
      <w:rFonts w:ascii="Verdana" w:hAnsi="Verdana"/>
      <w:kern w:val="0"/>
      <w:szCs w:val="20"/>
      <w:lang w:eastAsia="en-US"/>
    </w:rPr>
  </w:style>
  <w:style w:type="paragraph" w:customStyle="1" w:styleId="279">
    <w:name w:val="列出段落1"/>
    <w:basedOn w:val="1"/>
    <w:qFormat/>
    <w:uiPriority w:val="34"/>
    <w:pPr>
      <w:ind w:firstLine="420" w:firstLineChars="200"/>
    </w:pPr>
    <w:rPr>
      <w:rFonts w:ascii="Calibri" w:hAnsi="Calibri"/>
      <w:szCs w:val="22"/>
    </w:rPr>
  </w:style>
  <w:style w:type="paragraph" w:customStyle="1" w:styleId="280">
    <w:name w:val="_Style 34"/>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81">
    <w:name w:val="表格表头"/>
    <w:basedOn w:val="1"/>
    <w:qFormat/>
    <w:uiPriority w:val="0"/>
    <w:pPr>
      <w:spacing w:line="360" w:lineRule="auto"/>
      <w:jc w:val="center"/>
      <w:outlineLvl w:val="0"/>
    </w:pPr>
    <w:rPr>
      <w:rFonts w:ascii="宋体" w:hAnsi="宋体" w:eastAsia="黑体" w:cs="宋体"/>
      <w:sz w:val="24"/>
      <w:szCs w:val="21"/>
    </w:rPr>
  </w:style>
  <w:style w:type="paragraph" w:customStyle="1" w:styleId="282">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kern w:val="0"/>
      <w:sz w:val="18"/>
      <w:szCs w:val="18"/>
    </w:rPr>
  </w:style>
  <w:style w:type="paragraph" w:customStyle="1" w:styleId="283">
    <w:name w:val="缺省文本"/>
    <w:basedOn w:val="1"/>
    <w:qFormat/>
    <w:uiPriority w:val="0"/>
    <w:pPr>
      <w:autoSpaceDE w:val="0"/>
      <w:autoSpaceDN w:val="0"/>
      <w:adjustRightInd w:val="0"/>
      <w:jc w:val="left"/>
    </w:pPr>
    <w:rPr>
      <w:rFonts w:ascii="仿宋_GB2312" w:eastAsia="仿宋_GB2312"/>
      <w:kern w:val="0"/>
      <w:sz w:val="24"/>
      <w:szCs w:val="20"/>
    </w:rPr>
  </w:style>
  <w:style w:type="paragraph" w:styleId="284">
    <w:name w:val="No Spacing"/>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285">
    <w:name w:val="二级条标题"/>
    <w:basedOn w:val="265"/>
    <w:next w:val="180"/>
    <w:qFormat/>
    <w:uiPriority w:val="0"/>
    <w:pPr>
      <w:numPr>
        <w:ilvl w:val="3"/>
      </w:numPr>
      <w:outlineLvl w:val="3"/>
    </w:pPr>
  </w:style>
  <w:style w:type="paragraph" w:customStyle="1" w:styleId="286">
    <w:name w:val="三级条标题"/>
    <w:basedOn w:val="285"/>
    <w:next w:val="180"/>
    <w:qFormat/>
    <w:uiPriority w:val="0"/>
    <w:pPr>
      <w:numPr>
        <w:ilvl w:val="4"/>
      </w:numPr>
      <w:outlineLvl w:val="4"/>
    </w:pPr>
  </w:style>
  <w:style w:type="paragraph" w:customStyle="1" w:styleId="287">
    <w:name w:val="目录2"/>
    <w:basedOn w:val="1"/>
    <w:next w:val="1"/>
    <w:qFormat/>
    <w:uiPriority w:val="0"/>
    <w:pPr>
      <w:widowControl/>
      <w:tabs>
        <w:tab w:val="left" w:leader="dot" w:pos="8503"/>
      </w:tabs>
      <w:spacing w:line="317" w:lineRule="atLeast"/>
      <w:ind w:firstLine="209"/>
      <w:textAlignment w:val="baseline"/>
    </w:pPr>
    <w:rPr>
      <w:color w:val="000000"/>
      <w:kern w:val="0"/>
      <w:szCs w:val="20"/>
      <w:u w:color="000000"/>
    </w:rPr>
  </w:style>
  <w:style w:type="paragraph" w:customStyle="1" w:styleId="288">
    <w:name w:val="正文1"/>
    <w:basedOn w:val="1"/>
    <w:qFormat/>
    <w:uiPriority w:val="0"/>
    <w:rPr>
      <w:rFonts w:eastAsia="Times New Roman" w:cs="宋体"/>
      <w:kern w:val="0"/>
      <w:szCs w:val="20"/>
      <w:lang w:eastAsia="en-US"/>
    </w:rPr>
  </w:style>
  <w:style w:type="paragraph" w:customStyle="1" w:styleId="289">
    <w:name w:val="正文_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90">
    <w:name w:val="xl12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291">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292">
    <w:name w:val="font6"/>
    <w:basedOn w:val="1"/>
    <w:qFormat/>
    <w:uiPriority w:val="0"/>
    <w:pPr>
      <w:widowControl/>
      <w:spacing w:before="100" w:beforeAutospacing="1" w:after="100" w:afterAutospacing="1"/>
      <w:jc w:val="left"/>
    </w:pPr>
    <w:rPr>
      <w:rFonts w:ascii="宋体" w:hAnsi="宋体" w:cs="宋体"/>
      <w:kern w:val="0"/>
      <w:sz w:val="22"/>
      <w:szCs w:val="22"/>
    </w:rPr>
  </w:style>
  <w:style w:type="paragraph" w:customStyle="1" w:styleId="293">
    <w:name w:val="xl148"/>
    <w:basedOn w:val="1"/>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8"/>
      <w:szCs w:val="28"/>
    </w:rPr>
  </w:style>
  <w:style w:type="paragraph" w:customStyle="1" w:styleId="294">
    <w:name w:val="标题9"/>
    <w:basedOn w:val="11"/>
    <w:next w:val="1"/>
    <w:qFormat/>
    <w:uiPriority w:val="0"/>
    <w:pPr>
      <w:numPr>
        <w:numId w:val="0"/>
      </w:numPr>
      <w:tabs>
        <w:tab w:val="clear" w:pos="1583"/>
      </w:tabs>
      <w:spacing w:line="320" w:lineRule="auto"/>
    </w:pPr>
    <w:rPr>
      <w:rFonts w:ascii="Cambria" w:hAnsi="Cambria" w:eastAsia="宋体"/>
      <w:szCs w:val="21"/>
      <w:lang w:eastAsia="en-US"/>
    </w:rPr>
  </w:style>
  <w:style w:type="paragraph" w:customStyle="1" w:styleId="295">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96">
    <w:name w:val="TOC 标题1"/>
    <w:basedOn w:val="3"/>
    <w:next w:val="1"/>
    <w:qFormat/>
    <w:uiPriority w:val="0"/>
    <w:pPr>
      <w:widowControl/>
      <w:tabs>
        <w:tab w:val="center" w:pos="0"/>
        <w:tab w:val="left" w:pos="3402"/>
        <w:tab w:val="left" w:pos="3828"/>
      </w:tabs>
      <w:spacing w:before="480" w:after="0" w:line="276" w:lineRule="auto"/>
      <w:jc w:val="left"/>
      <w:outlineLvl w:val="9"/>
    </w:pPr>
    <w:rPr>
      <w:rFonts w:ascii="Cambria" w:hAnsi="Cambria"/>
      <w:b w:val="0"/>
      <w:color w:val="365F91"/>
      <w:kern w:val="0"/>
      <w:sz w:val="28"/>
      <w:szCs w:val="28"/>
    </w:rPr>
  </w:style>
  <w:style w:type="paragraph" w:customStyle="1" w:styleId="297">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98">
    <w:name w:val="普通正文"/>
    <w:basedOn w:val="1"/>
    <w:qFormat/>
    <w:uiPriority w:val="0"/>
    <w:pPr>
      <w:widowControl/>
      <w:spacing w:after="200" w:line="276" w:lineRule="auto"/>
      <w:ind w:firstLine="420" w:firstLineChars="200"/>
      <w:jc w:val="left"/>
    </w:pPr>
    <w:rPr>
      <w:rFonts w:ascii="楷体_GB2312" w:hAnsi="Calibri" w:eastAsia="楷体_GB2312"/>
      <w:sz w:val="28"/>
      <w:szCs w:val="20"/>
    </w:rPr>
  </w:style>
  <w:style w:type="paragraph" w:customStyle="1" w:styleId="29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color w:val="000000"/>
      <w:kern w:val="0"/>
      <w:sz w:val="22"/>
      <w:szCs w:val="22"/>
    </w:rPr>
  </w:style>
  <w:style w:type="paragraph" w:customStyle="1" w:styleId="300">
    <w:name w:val="附件标题"/>
    <w:basedOn w:val="1"/>
    <w:qFormat/>
    <w:uiPriority w:val="0"/>
    <w:pPr>
      <w:spacing w:line="360" w:lineRule="auto"/>
      <w:jc w:val="center"/>
    </w:pPr>
    <w:rPr>
      <w:rFonts w:ascii="Arial" w:hAnsi="Arial" w:eastAsia="黑体"/>
      <w:sz w:val="24"/>
    </w:rPr>
  </w:style>
  <w:style w:type="paragraph" w:customStyle="1" w:styleId="30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color w:val="000000"/>
      <w:kern w:val="0"/>
      <w:sz w:val="22"/>
      <w:szCs w:val="22"/>
    </w:rPr>
  </w:style>
  <w:style w:type="paragraph" w:customStyle="1" w:styleId="302">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303">
    <w:name w:val="标题7"/>
    <w:basedOn w:val="9"/>
    <w:next w:val="1"/>
    <w:qFormat/>
    <w:uiPriority w:val="0"/>
    <w:pPr>
      <w:numPr>
        <w:numId w:val="0"/>
      </w:numPr>
      <w:tabs>
        <w:tab w:val="clear" w:pos="1296"/>
      </w:tabs>
      <w:spacing w:line="320" w:lineRule="auto"/>
    </w:pPr>
    <w:rPr>
      <w:rFonts w:ascii="Arial" w:hAnsi="Arial" w:eastAsia="黑体" w:cs="宋体"/>
      <w:b w:val="0"/>
      <w:bCs/>
      <w:szCs w:val="24"/>
      <w:lang w:eastAsia="en-US"/>
    </w:rPr>
  </w:style>
  <w:style w:type="paragraph" w:customStyle="1" w:styleId="304">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05">
    <w:name w:val="样式 标题9 +"/>
    <w:basedOn w:val="294"/>
    <w:qFormat/>
    <w:uiPriority w:val="0"/>
    <w:pPr/>
    <w:rPr>
      <w:rFonts w:eastAsia="黑体"/>
    </w:rPr>
  </w:style>
  <w:style w:type="paragraph" w:customStyle="1" w:styleId="306">
    <w:name w:val="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07">
    <w:name w:val="项目符2"/>
    <w:basedOn w:val="1"/>
    <w:qFormat/>
    <w:uiPriority w:val="0"/>
    <w:pPr>
      <w:numPr>
        <w:ilvl w:val="0"/>
        <w:numId w:val="13"/>
      </w:numPr>
      <w:tabs>
        <w:tab w:val="left" w:pos="840"/>
      </w:tabs>
      <w:spacing w:afterLines="50"/>
    </w:pPr>
    <w:rPr>
      <w:szCs w:val="21"/>
    </w:rPr>
  </w:style>
  <w:style w:type="paragraph" w:customStyle="1" w:styleId="308">
    <w:name w:val="_标题4"/>
    <w:basedOn w:val="6"/>
    <w:next w:val="1"/>
    <w:qFormat/>
    <w:uiPriority w:val="0"/>
    <w:pPr>
      <w:keepNext/>
      <w:keepLines/>
      <w:numPr>
        <w:ilvl w:val="3"/>
        <w:numId w:val="10"/>
      </w:numPr>
      <w:tabs>
        <w:tab w:val="clear" w:pos="2155"/>
      </w:tabs>
      <w:adjustRightInd/>
      <w:spacing w:after="120" w:line="520" w:lineRule="exact"/>
      <w:textAlignment w:val="auto"/>
    </w:pPr>
    <w:rPr>
      <w:rFonts w:ascii="仿宋" w:hAnsi="仿宋" w:eastAsia="仿宋" w:cs="仿宋"/>
      <w:bCs/>
      <w:kern w:val="2"/>
      <w:sz w:val="32"/>
      <w:szCs w:val="36"/>
    </w:rPr>
  </w:style>
  <w:style w:type="paragraph" w:customStyle="1" w:styleId="309">
    <w:name w:val="xl10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310">
    <w:name w:val="xl152"/>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311">
    <w:name w:val="GP正文(无首行缩进)"/>
    <w:qFormat/>
    <w:uiPriority w:val="0"/>
    <w:pPr>
      <w:widowControl w:val="0"/>
      <w:spacing w:line="360" w:lineRule="auto"/>
    </w:pPr>
    <w:rPr>
      <w:rFonts w:ascii="Times New Roman" w:hAnsi="Times New Roman" w:eastAsia="宋体" w:cs="Times New Roman"/>
      <w:kern w:val="2"/>
      <w:sz w:val="24"/>
      <w:szCs w:val="21"/>
      <w:lang w:val="en-US" w:eastAsia="zh-CN" w:bidi="ar-SA"/>
    </w:rPr>
  </w:style>
  <w:style w:type="paragraph" w:customStyle="1" w:styleId="312">
    <w:name w:val="xl14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313">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14">
    <w:name w:val="加点正文缩进"/>
    <w:basedOn w:val="1"/>
    <w:qFormat/>
    <w:uiPriority w:val="0"/>
    <w:pPr>
      <w:numPr>
        <w:ilvl w:val="0"/>
        <w:numId w:val="14"/>
      </w:numPr>
      <w:tabs>
        <w:tab w:val="left" w:pos="360"/>
        <w:tab w:val="clear" w:pos="840"/>
      </w:tabs>
      <w:spacing w:line="360" w:lineRule="auto"/>
      <w:ind w:left="0" w:firstLine="480"/>
    </w:pPr>
    <w:rPr>
      <w:rFonts w:ascii="宋体" w:hAnsi="宋体" w:eastAsia="仿宋"/>
      <w:sz w:val="28"/>
    </w:rPr>
  </w:style>
  <w:style w:type="paragraph" w:customStyle="1" w:styleId="315">
    <w:name w:val="xl119"/>
    <w:basedOn w:val="1"/>
    <w:qFormat/>
    <w:uiPriority w:val="0"/>
    <w:pPr>
      <w:widowControl/>
      <w:pBdr>
        <w:top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316">
    <w:name w:val="xl1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317">
    <w:name w:val="样式 标题 3 + 四号 段前: 6 磅 段后: 6 磅 行距: 多倍行距 1.72 字行"/>
    <w:basedOn w:val="5"/>
    <w:qFormat/>
    <w:uiPriority w:val="0"/>
    <w:pPr>
      <w:keepNext w:val="0"/>
      <w:keepLines w:val="0"/>
      <w:widowControl/>
      <w:spacing w:before="240" w:after="120" w:line="413" w:lineRule="auto"/>
      <w:ind w:firstLine="0" w:firstLineChars="0"/>
      <w:jc w:val="left"/>
    </w:pPr>
    <w:rPr>
      <w:rFonts w:cs="宋体"/>
      <w:sz w:val="28"/>
      <w:szCs w:val="20"/>
    </w:rPr>
  </w:style>
  <w:style w:type="paragraph" w:customStyle="1" w:styleId="318">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19">
    <w:name w:val="前言、引言标题"/>
    <w:next w:val="1"/>
    <w:qFormat/>
    <w:uiPriority w:val="0"/>
    <w:pPr>
      <w:numPr>
        <w:ilvl w:val="0"/>
        <w:numId w:val="12"/>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20">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top"/>
    </w:pPr>
    <w:rPr>
      <w:kern w:val="0"/>
      <w:szCs w:val="20"/>
    </w:rPr>
  </w:style>
  <w:style w:type="paragraph" w:customStyle="1" w:styleId="321">
    <w:name w:val="样式 正文文本缩进 2 + Century Gothic 四号 行距: 多倍行距 1.75 字行"/>
    <w:basedOn w:val="1"/>
    <w:qFormat/>
    <w:uiPriority w:val="0"/>
    <w:pPr>
      <w:adjustRightInd w:val="0"/>
      <w:snapToGrid w:val="0"/>
      <w:spacing w:line="396" w:lineRule="auto"/>
      <w:ind w:firstLine="207" w:firstLineChars="207"/>
    </w:pPr>
    <w:rPr>
      <w:rFonts w:ascii="Century Gothic" w:cs="宋体"/>
      <w:sz w:val="28"/>
      <w:szCs w:val="20"/>
    </w:rPr>
  </w:style>
  <w:style w:type="paragraph" w:customStyle="1" w:styleId="322">
    <w:name w:val="标题8"/>
    <w:basedOn w:val="10"/>
    <w:next w:val="1"/>
    <w:qFormat/>
    <w:uiPriority w:val="0"/>
    <w:pPr>
      <w:numPr>
        <w:numId w:val="0"/>
      </w:numPr>
      <w:tabs>
        <w:tab w:val="clear" w:pos="1440"/>
      </w:tabs>
      <w:spacing w:line="320" w:lineRule="auto"/>
    </w:pPr>
    <w:rPr>
      <w:rFonts w:ascii="Cambria" w:hAnsi="Cambria"/>
      <w:szCs w:val="24"/>
      <w:lang w:eastAsia="en-US"/>
    </w:rPr>
  </w:style>
  <w:style w:type="paragraph" w:customStyle="1" w:styleId="323">
    <w:name w:val="样式 _标题4 + 文字 1"/>
    <w:basedOn w:val="308"/>
    <w:qFormat/>
    <w:uiPriority w:val="0"/>
    <w:pPr/>
    <w:rPr>
      <w:color w:val="000000"/>
    </w:rPr>
  </w:style>
  <w:style w:type="paragraph" w:customStyle="1" w:styleId="324">
    <w:name w:val="xl15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b/>
      <w:bCs/>
      <w:color w:val="000000"/>
      <w:kern w:val="0"/>
      <w:sz w:val="28"/>
      <w:szCs w:val="28"/>
    </w:rPr>
  </w:style>
  <w:style w:type="paragraph" w:customStyle="1" w:styleId="325">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2"/>
      <w:szCs w:val="22"/>
    </w:rPr>
  </w:style>
  <w:style w:type="paragraph" w:customStyle="1" w:styleId="326">
    <w:name w:val="Char Char Char Char Char Char1 Char"/>
    <w:basedOn w:val="1"/>
    <w:qFormat/>
    <w:uiPriority w:val="0"/>
    <w:pPr>
      <w:widowControl/>
      <w:spacing w:after="160" w:line="240" w:lineRule="exact"/>
      <w:jc w:val="left"/>
    </w:pPr>
    <w:rPr>
      <w:szCs w:val="20"/>
    </w:rPr>
  </w:style>
  <w:style w:type="paragraph" w:customStyle="1" w:styleId="327">
    <w:name w:val="目录标题"/>
    <w:basedOn w:val="1"/>
    <w:next w:val="1"/>
    <w:qFormat/>
    <w:uiPriority w:val="0"/>
    <w:pPr>
      <w:widowControl/>
      <w:spacing w:before="566" w:after="544" w:line="566" w:lineRule="atLeast"/>
      <w:ind w:firstLine="419"/>
      <w:jc w:val="center"/>
      <w:textAlignment w:val="baseline"/>
    </w:pPr>
    <w:rPr>
      <w:rFonts w:ascii="Arial" w:eastAsia="黑体"/>
      <w:color w:val="000000"/>
      <w:spacing w:val="566"/>
      <w:kern w:val="0"/>
      <w:sz w:val="54"/>
      <w:szCs w:val="20"/>
      <w:u w:color="000000"/>
    </w:rPr>
  </w:style>
  <w:style w:type="paragraph" w:customStyle="1" w:styleId="328">
    <w:name w:val="Char Char Char Char Char Char Char Char Char Char Char Char1"/>
    <w:basedOn w:val="1"/>
    <w:qFormat/>
    <w:uiPriority w:val="0"/>
    <w:pPr>
      <w:widowControl/>
      <w:spacing w:after="160" w:line="240" w:lineRule="exact"/>
      <w:jc w:val="left"/>
    </w:pPr>
  </w:style>
  <w:style w:type="paragraph" w:customStyle="1" w:styleId="329">
    <w:name w:val="xl110"/>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330">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331">
    <w:name w:val="正文黑体"/>
    <w:basedOn w:val="332"/>
    <w:qFormat/>
    <w:uiPriority w:val="0"/>
    <w:pPr>
      <w:ind w:firstLine="480"/>
    </w:pPr>
    <w:rPr>
      <w:rFonts w:ascii="黑体" w:hAnsi="黑体" w:eastAsia="黑体"/>
    </w:rPr>
  </w:style>
  <w:style w:type="paragraph" w:customStyle="1" w:styleId="332">
    <w:name w:val="样式 首行缩进:  0 字符"/>
    <w:basedOn w:val="1"/>
    <w:qFormat/>
    <w:uiPriority w:val="0"/>
    <w:pPr>
      <w:spacing w:line="360" w:lineRule="auto"/>
    </w:pPr>
    <w:rPr>
      <w:rFonts w:ascii="Arial" w:hAnsi="Arial" w:cs="宋体"/>
      <w:sz w:val="24"/>
      <w:szCs w:val="20"/>
    </w:rPr>
  </w:style>
  <w:style w:type="paragraph" w:customStyle="1" w:styleId="333">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rPr>
  </w:style>
  <w:style w:type="paragraph" w:customStyle="1" w:styleId="334">
    <w:name w:val="_标题6"/>
    <w:basedOn w:val="8"/>
    <w:next w:val="1"/>
    <w:qFormat/>
    <w:uiPriority w:val="0"/>
    <w:pPr>
      <w:numPr>
        <w:ilvl w:val="5"/>
        <w:numId w:val="10"/>
      </w:numPr>
      <w:tabs>
        <w:tab w:val="left" w:pos="360"/>
        <w:tab w:val="left" w:pos="2940"/>
      </w:tabs>
      <w:spacing w:before="120" w:after="120" w:line="520" w:lineRule="exact"/>
      <w:ind w:left="0" w:firstLine="0"/>
    </w:pPr>
    <w:rPr>
      <w:rFonts w:ascii="仿宋" w:hAnsi="仿宋" w:eastAsia="仿宋" w:cs="仿宋"/>
      <w:sz w:val="28"/>
      <w:szCs w:val="36"/>
    </w:rPr>
  </w:style>
  <w:style w:type="paragraph" w:customStyle="1" w:styleId="335">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336">
    <w:name w:val="xl8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337">
    <w:name w:val="正文段"/>
    <w:basedOn w:val="1"/>
    <w:qFormat/>
    <w:uiPriority w:val="0"/>
    <w:pPr>
      <w:widowControl/>
      <w:snapToGrid w:val="0"/>
      <w:spacing w:afterLines="50"/>
      <w:ind w:firstLine="200" w:firstLineChars="200"/>
    </w:pPr>
    <w:rPr>
      <w:kern w:val="0"/>
      <w:sz w:val="24"/>
      <w:szCs w:val="20"/>
    </w:rPr>
  </w:style>
  <w:style w:type="paragraph" w:customStyle="1" w:styleId="338">
    <w:name w:val="xl155"/>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339">
    <w:name w:val="样式 标题 5 + 段前: 0.5 行"/>
    <w:basedOn w:val="7"/>
    <w:qFormat/>
    <w:uiPriority w:val="0"/>
    <w:pPr>
      <w:snapToGrid w:val="0"/>
      <w:spacing w:beforeLines="50" w:after="0" w:line="360" w:lineRule="auto"/>
      <w:jc w:val="left"/>
    </w:pPr>
    <w:rPr>
      <w:rFonts w:ascii="Arial" w:hAnsi="Arial" w:eastAsia="黑体" w:cs="宋体"/>
      <w:b w:val="0"/>
      <w:bCs w:val="0"/>
      <w:szCs w:val="20"/>
    </w:rPr>
  </w:style>
  <w:style w:type="paragraph" w:customStyle="1" w:styleId="340">
    <w:name w:val="xl13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341">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342">
    <w:name w:val="xl147"/>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宋体" w:hAnsi="宋体" w:cs="宋体"/>
      <w:b/>
      <w:bCs/>
      <w:color w:val="000000"/>
      <w:kern w:val="0"/>
      <w:sz w:val="28"/>
      <w:szCs w:val="28"/>
    </w:rPr>
  </w:style>
  <w:style w:type="paragraph" w:customStyle="1" w:styleId="343">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000000"/>
      <w:kern w:val="0"/>
      <w:sz w:val="22"/>
      <w:szCs w:val="22"/>
    </w:rPr>
  </w:style>
  <w:style w:type="paragraph" w:customStyle="1" w:styleId="344">
    <w:name w:val="2-2ji"/>
    <w:basedOn w:val="4"/>
    <w:qFormat/>
    <w:uiPriority w:val="0"/>
    <w:pPr>
      <w:adjustRightInd w:val="0"/>
      <w:spacing w:before="0" w:after="0" w:line="360" w:lineRule="auto"/>
      <w:jc w:val="center"/>
      <w:textAlignment w:val="baseline"/>
    </w:pPr>
    <w:rPr>
      <w:rFonts w:ascii="宋体" w:hAnsi="宋体" w:eastAsia="宋体"/>
      <w:bCs w:val="0"/>
      <w:kern w:val="0"/>
      <w:sz w:val="36"/>
    </w:rPr>
  </w:style>
  <w:style w:type="paragraph" w:customStyle="1" w:styleId="345">
    <w:name w:val="样式 标题 2H2Heading 2 HiddenHeading 2 CCBSheading 22nd levelh...1"/>
    <w:basedOn w:val="4"/>
    <w:qFormat/>
    <w:uiPriority w:val="0"/>
    <w:pPr>
      <w:spacing w:before="240" w:after="240" w:line="240" w:lineRule="auto"/>
      <w:ind w:left="576" w:hanging="576"/>
    </w:pPr>
    <w:rPr>
      <w:rFonts w:ascii="宋体" w:hAnsi="宋体" w:eastAsia="宋体"/>
      <w:b w:val="0"/>
      <w:bCs w:val="0"/>
      <w:sz w:val="28"/>
      <w:szCs w:val="28"/>
    </w:rPr>
  </w:style>
  <w:style w:type="paragraph" w:customStyle="1" w:styleId="346">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347">
    <w:name w:val="Char1 Char Char Char Char Char Char"/>
    <w:basedOn w:val="1"/>
    <w:qFormat/>
    <w:uiPriority w:val="0"/>
    <w:rPr>
      <w:rFonts w:ascii="Tahoma" w:hAnsi="Tahoma"/>
      <w:sz w:val="24"/>
      <w:szCs w:val="20"/>
    </w:rPr>
  </w:style>
  <w:style w:type="paragraph" w:customStyle="1" w:styleId="348">
    <w:name w:val="xl15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349">
    <w:name w:val="四级条标题"/>
    <w:basedOn w:val="286"/>
    <w:next w:val="180"/>
    <w:qFormat/>
    <w:uiPriority w:val="0"/>
    <w:pPr>
      <w:numPr>
        <w:ilvl w:val="5"/>
      </w:numPr>
      <w:outlineLvl w:val="5"/>
    </w:pPr>
  </w:style>
  <w:style w:type="paragraph" w:customStyle="1" w:styleId="350">
    <w:name w:val="_Style 12"/>
    <w:basedOn w:val="16"/>
    <w:qFormat/>
    <w:uiPriority w:val="0"/>
    <w:pPr>
      <w:shd w:val="clear" w:color="auto" w:fill="000080"/>
      <w:adjustRightInd w:val="0"/>
      <w:snapToGrid w:val="0"/>
      <w:spacing w:line="360" w:lineRule="auto"/>
    </w:pPr>
    <w:rPr>
      <w:rFonts w:ascii="Times New Roman"/>
      <w:kern w:val="0"/>
      <w:sz w:val="24"/>
      <w:szCs w:val="20"/>
    </w:rPr>
  </w:style>
  <w:style w:type="paragraph" w:customStyle="1" w:styleId="351">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52">
    <w:name w:val="xl12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353">
    <w:name w:val="font11"/>
    <w:basedOn w:val="1"/>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354">
    <w:name w:val="目录3"/>
    <w:basedOn w:val="1"/>
    <w:next w:val="1"/>
    <w:qFormat/>
    <w:uiPriority w:val="0"/>
    <w:pPr>
      <w:widowControl/>
      <w:tabs>
        <w:tab w:val="left" w:leader="dot" w:pos="8503"/>
      </w:tabs>
      <w:spacing w:line="317" w:lineRule="atLeast"/>
      <w:ind w:firstLine="419"/>
      <w:textAlignment w:val="baseline"/>
    </w:pPr>
    <w:rPr>
      <w:color w:val="000000"/>
      <w:kern w:val="0"/>
      <w:szCs w:val="20"/>
      <w:u w:color="000000"/>
    </w:rPr>
  </w:style>
  <w:style w:type="paragraph" w:customStyle="1" w:styleId="355">
    <w:name w:val="font14"/>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56">
    <w:name w:val="xl14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4"/>
    </w:rPr>
  </w:style>
  <w:style w:type="paragraph" w:customStyle="1" w:styleId="357">
    <w:name w:val="xl1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358">
    <w:name w:val="正文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9">
    <w:name w:val="p15"/>
    <w:basedOn w:val="1"/>
    <w:qFormat/>
    <w:uiPriority w:val="0"/>
    <w:pPr>
      <w:widowControl/>
    </w:pPr>
    <w:rPr>
      <w:kern w:val="0"/>
      <w:szCs w:val="21"/>
    </w:rPr>
  </w:style>
  <w:style w:type="paragraph" w:customStyle="1" w:styleId="36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61">
    <w:name w:val="样式 _标题3 + 文字 1"/>
    <w:basedOn w:val="362"/>
    <w:qFormat/>
    <w:uiPriority w:val="0"/>
    <w:pPr>
      <w:numPr>
        <w:numId w:val="15"/>
      </w:numPr>
      <w:tabs>
        <w:tab w:val="left" w:pos="420"/>
      </w:tabs>
    </w:pPr>
    <w:rPr>
      <w:b w:val="0"/>
      <w:bCs/>
      <w:color w:val="000000"/>
    </w:rPr>
  </w:style>
  <w:style w:type="paragraph" w:customStyle="1" w:styleId="362">
    <w:name w:val="_标题3"/>
    <w:basedOn w:val="5"/>
    <w:next w:val="1"/>
    <w:qFormat/>
    <w:uiPriority w:val="0"/>
    <w:pPr>
      <w:widowControl/>
      <w:numPr>
        <w:ilvl w:val="2"/>
        <w:numId w:val="10"/>
      </w:numPr>
      <w:spacing w:before="120" w:after="120" w:line="520" w:lineRule="exact"/>
      <w:ind w:firstLine="0" w:firstLineChars="0"/>
      <w:jc w:val="left"/>
    </w:pPr>
    <w:rPr>
      <w:rFonts w:ascii="仿宋" w:hAnsi="仿宋" w:eastAsia="仿宋" w:cs="仿宋"/>
      <w:bCs w:val="0"/>
      <w:sz w:val="36"/>
      <w:szCs w:val="36"/>
    </w:rPr>
  </w:style>
  <w:style w:type="paragraph" w:customStyle="1" w:styleId="363">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2"/>
      <w:szCs w:val="22"/>
    </w:rPr>
  </w:style>
  <w:style w:type="paragraph" w:customStyle="1" w:styleId="364">
    <w:name w:val="Char Char2 Char"/>
    <w:basedOn w:val="1"/>
    <w:qFormat/>
    <w:uiPriority w:val="0"/>
    <w:pPr>
      <w:keepNext/>
      <w:keepLines/>
      <w:pageBreakBefore/>
      <w:tabs>
        <w:tab w:val="left" w:pos="845"/>
      </w:tabs>
      <w:ind w:left="845" w:hanging="420"/>
    </w:pPr>
    <w:rPr>
      <w:rFonts w:ascii="Tahoma" w:hAnsi="Tahoma"/>
      <w:sz w:val="24"/>
      <w:szCs w:val="20"/>
    </w:rPr>
  </w:style>
  <w:style w:type="paragraph" w:customStyle="1" w:styleId="365">
    <w:name w:val="xl10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366">
    <w:name w:val="font1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367">
    <w:name w:val="Char"/>
    <w:basedOn w:val="1"/>
    <w:qFormat/>
    <w:uiPriority w:val="0"/>
    <w:rPr>
      <w:szCs w:val="21"/>
    </w:rPr>
  </w:style>
  <w:style w:type="paragraph" w:customStyle="1" w:styleId="368">
    <w:name w:val="xl156"/>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369">
    <w:name w:val="x正文（首行缩2格）"/>
    <w:basedOn w:val="1"/>
    <w:qFormat/>
    <w:uiPriority w:val="0"/>
    <w:pPr>
      <w:spacing w:beforeLines="30" w:line="400" w:lineRule="exact"/>
      <w:ind w:firstLine="420" w:firstLineChars="200"/>
    </w:pPr>
  </w:style>
  <w:style w:type="paragraph" w:customStyle="1" w:styleId="370">
    <w:name w:val="xl1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371">
    <w:name w:val="xl105"/>
    <w:basedOn w:val="1"/>
    <w:qFormat/>
    <w:uiPriority w:val="0"/>
    <w:pPr>
      <w:widowControl/>
      <w:pBdr>
        <w:top w:val="single" w:color="auto" w:sz="8" w:space="0"/>
      </w:pBdr>
      <w:shd w:val="clear" w:color="000000" w:fill="00CCFF"/>
      <w:spacing w:before="100" w:beforeAutospacing="1" w:after="100" w:afterAutospacing="1"/>
      <w:jc w:val="center"/>
    </w:pPr>
    <w:rPr>
      <w:rFonts w:ascii="宋体" w:hAnsi="宋体" w:cs="宋体"/>
      <w:b/>
      <w:bCs/>
      <w:kern w:val="0"/>
      <w:sz w:val="22"/>
      <w:szCs w:val="22"/>
    </w:rPr>
  </w:style>
  <w:style w:type="paragraph" w:customStyle="1" w:styleId="372">
    <w:name w:val="编号，四号"/>
    <w:basedOn w:val="1"/>
    <w:qFormat/>
    <w:uiPriority w:val="0"/>
    <w:pPr>
      <w:numPr>
        <w:ilvl w:val="0"/>
        <w:numId w:val="16"/>
      </w:numPr>
      <w:spacing w:line="360" w:lineRule="auto"/>
      <w:ind w:firstLine="0"/>
    </w:pPr>
    <w:rPr>
      <w:rFonts w:eastAsia="仿宋_GB2312" w:cs="宋体"/>
      <w:sz w:val="28"/>
      <w:szCs w:val="20"/>
    </w:rPr>
  </w:style>
  <w:style w:type="paragraph" w:customStyle="1" w:styleId="373">
    <w:name w:val="xl77"/>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374">
    <w:name w:val="xl150"/>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b/>
      <w:bCs/>
      <w:kern w:val="0"/>
      <w:sz w:val="24"/>
    </w:rPr>
  </w:style>
  <w:style w:type="paragraph" w:customStyle="1" w:styleId="375">
    <w:name w:val="xl159"/>
    <w:basedOn w:val="1"/>
    <w:qFormat/>
    <w:uiPriority w:val="0"/>
    <w:pPr>
      <w:widowControl/>
      <w:pBdr>
        <w:top w:val="single" w:color="auto" w:sz="4" w:space="0"/>
        <w:left w:val="single" w:color="auto" w:sz="4" w:space="0"/>
        <w:right w:val="single" w:color="auto" w:sz="4" w:space="0"/>
      </w:pBdr>
      <w:spacing w:before="100" w:beforeAutospacing="1" w:after="100" w:afterAutospacing="1"/>
    </w:pPr>
    <w:rPr>
      <w:rFonts w:ascii="宋体" w:hAnsi="宋体" w:cs="宋体"/>
      <w:kern w:val="0"/>
      <w:sz w:val="18"/>
      <w:szCs w:val="18"/>
    </w:rPr>
  </w:style>
  <w:style w:type="paragraph" w:customStyle="1" w:styleId="376">
    <w:name w:val="4级标题"/>
    <w:basedOn w:val="1"/>
    <w:qFormat/>
    <w:uiPriority w:val="0"/>
    <w:pPr>
      <w:keepLines/>
      <w:numPr>
        <w:ilvl w:val="3"/>
        <w:numId w:val="3"/>
      </w:numPr>
      <w:spacing w:line="360" w:lineRule="auto"/>
      <w:contextualSpacing/>
      <w:jc w:val="left"/>
      <w:outlineLvl w:val="3"/>
    </w:pPr>
    <w:rPr>
      <w:rFonts w:ascii="黑体" w:hAnsi="黑体" w:eastAsia="黑体"/>
      <w:kern w:val="0"/>
      <w:sz w:val="24"/>
      <w:lang w:eastAsia="en-US" w:bidi="en-US"/>
    </w:rPr>
  </w:style>
  <w:style w:type="paragraph" w:customStyle="1" w:styleId="377">
    <w:name w:val="xl136"/>
    <w:basedOn w:val="1"/>
    <w:qFormat/>
    <w:uiPriority w:val="0"/>
    <w:pPr>
      <w:widowControl/>
      <w:spacing w:before="100" w:beforeAutospacing="1" w:after="100" w:afterAutospacing="1"/>
      <w:jc w:val="left"/>
    </w:pPr>
    <w:rPr>
      <w:rFonts w:ascii="宋体" w:hAnsi="宋体" w:cs="宋体"/>
      <w:kern w:val="0"/>
      <w:sz w:val="24"/>
    </w:rPr>
  </w:style>
  <w:style w:type="paragraph" w:customStyle="1" w:styleId="378">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18"/>
      <w:szCs w:val="18"/>
    </w:rPr>
  </w:style>
  <w:style w:type="paragraph" w:customStyle="1" w:styleId="379">
    <w:name w:val="表格"/>
    <w:basedOn w:val="1"/>
    <w:qFormat/>
    <w:uiPriority w:val="0"/>
    <w:pPr>
      <w:spacing w:line="400" w:lineRule="exact"/>
    </w:pPr>
    <w:rPr>
      <w:sz w:val="24"/>
    </w:rPr>
  </w:style>
  <w:style w:type="paragraph" w:customStyle="1" w:styleId="380">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000000"/>
      <w:kern w:val="0"/>
      <w:sz w:val="18"/>
      <w:szCs w:val="18"/>
    </w:rPr>
  </w:style>
  <w:style w:type="paragraph" w:customStyle="1" w:styleId="381">
    <w:name w:val="xl14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382">
    <w:name w:val="xl116"/>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kern w:val="0"/>
      <w:sz w:val="18"/>
      <w:szCs w:val="18"/>
    </w:rPr>
  </w:style>
  <w:style w:type="paragraph" w:customStyle="1" w:styleId="383">
    <w:name w:val="xl1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2"/>
      <w:szCs w:val="22"/>
    </w:rPr>
  </w:style>
  <w:style w:type="paragraph" w:customStyle="1" w:styleId="384">
    <w:name w:val="style8"/>
    <w:basedOn w:val="1"/>
    <w:qFormat/>
    <w:uiPriority w:val="0"/>
    <w:pPr>
      <w:widowControl/>
      <w:spacing w:before="100" w:beforeAutospacing="1" w:after="100" w:afterAutospacing="1"/>
      <w:jc w:val="left"/>
    </w:pPr>
    <w:rPr>
      <w:rFonts w:ascii="Arial Unicode MS" w:hAnsi="Arial Unicode MS" w:eastAsia="Arial Unicode MS" w:cs="黑体"/>
      <w:color w:val="000000"/>
      <w:kern w:val="0"/>
      <w:sz w:val="24"/>
    </w:rPr>
  </w:style>
  <w:style w:type="paragraph" w:customStyle="1" w:styleId="385">
    <w:name w:val="xl70"/>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仿宋_GB2312" w:hAnsi="宋体" w:eastAsia="仿宋_GB2312" w:cs="宋体"/>
      <w:color w:val="000000"/>
      <w:kern w:val="0"/>
      <w:sz w:val="22"/>
      <w:szCs w:val="22"/>
    </w:rPr>
  </w:style>
  <w:style w:type="paragraph" w:customStyle="1" w:styleId="386">
    <w:name w:val="节标题"/>
    <w:basedOn w:val="1"/>
    <w:next w:val="261"/>
    <w:qFormat/>
    <w:uiPriority w:val="0"/>
    <w:pPr>
      <w:widowControl/>
      <w:spacing w:line="289" w:lineRule="atLeast"/>
      <w:jc w:val="center"/>
      <w:textAlignment w:val="baseline"/>
    </w:pPr>
    <w:rPr>
      <w:color w:val="000000"/>
      <w:kern w:val="0"/>
      <w:sz w:val="28"/>
      <w:szCs w:val="20"/>
      <w:u w:color="000000"/>
    </w:rPr>
  </w:style>
  <w:style w:type="paragraph" w:customStyle="1" w:styleId="387">
    <w:name w:val="xl78"/>
    <w:basedOn w:val="1"/>
    <w:qFormat/>
    <w:uiPriority w:val="0"/>
    <w:pPr>
      <w:widowControl/>
      <w:shd w:val="clear" w:color="000000" w:fill="FFFFFF"/>
      <w:spacing w:before="100" w:beforeAutospacing="1" w:after="100" w:afterAutospacing="1"/>
      <w:jc w:val="left"/>
    </w:pPr>
    <w:rPr>
      <w:rFonts w:ascii="宋体" w:hAnsi="宋体" w:cs="宋体"/>
      <w:kern w:val="0"/>
      <w:sz w:val="18"/>
      <w:szCs w:val="18"/>
    </w:rPr>
  </w:style>
  <w:style w:type="paragraph" w:customStyle="1" w:styleId="388">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000000"/>
      <w:kern w:val="0"/>
      <w:sz w:val="22"/>
      <w:szCs w:val="22"/>
    </w:rPr>
  </w:style>
  <w:style w:type="paragraph" w:customStyle="1" w:styleId="389">
    <w:name w:val="默认段落字体 Para Char Char Char Char Char Char Char Char Char Char Char Char Char Char Char Char Char Char Char"/>
    <w:basedOn w:val="1"/>
    <w:qFormat/>
    <w:uiPriority w:val="0"/>
    <w:rPr>
      <w:rFonts w:ascii="Calibri" w:hAnsi="Calibri"/>
      <w:szCs w:val="22"/>
    </w:rPr>
  </w:style>
  <w:style w:type="paragraph" w:customStyle="1" w:styleId="390">
    <w:name w:val="xl1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2"/>
      <w:szCs w:val="22"/>
    </w:rPr>
  </w:style>
  <w:style w:type="paragraph" w:customStyle="1" w:styleId="391">
    <w:name w:val="WW-正文（首行缩进两字）"/>
    <w:basedOn w:val="1"/>
    <w:qFormat/>
    <w:uiPriority w:val="0"/>
    <w:pPr>
      <w:suppressAutoHyphens/>
      <w:ind w:firstLine="420"/>
    </w:pPr>
    <w:rPr>
      <w:kern w:val="1"/>
      <w:szCs w:val="20"/>
    </w:rPr>
  </w:style>
  <w:style w:type="paragraph" w:customStyle="1" w:styleId="392">
    <w:name w:val="Char1"/>
    <w:basedOn w:val="1"/>
    <w:qFormat/>
    <w:uiPriority w:val="0"/>
    <w:pPr>
      <w:tabs>
        <w:tab w:val="left" w:pos="840"/>
      </w:tabs>
      <w:spacing w:before="100" w:beforeAutospacing="1" w:after="100" w:afterAutospacing="1"/>
      <w:ind w:left="840" w:hanging="420"/>
    </w:pPr>
    <w:rPr>
      <w:rFonts w:ascii="Tahoma" w:hAnsi="Tahoma"/>
      <w:b/>
      <w:sz w:val="24"/>
      <w:szCs w:val="20"/>
    </w:rPr>
  </w:style>
  <w:style w:type="paragraph" w:customStyle="1" w:styleId="393">
    <w:name w:val="正文 New New New New"/>
    <w:qFormat/>
    <w:uiPriority w:val="0"/>
    <w:pPr>
      <w:widowControl w:val="0"/>
      <w:jc w:val="both"/>
    </w:pPr>
    <w:rPr>
      <w:rFonts w:ascii="Times New Roman" w:hAnsi="Times New Roman" w:eastAsia="宋体" w:cs="Times New Roman"/>
      <w:szCs w:val="24"/>
      <w:lang w:val="en-US" w:eastAsia="zh-CN" w:bidi="ar-SA"/>
    </w:rPr>
  </w:style>
  <w:style w:type="paragraph" w:customStyle="1" w:styleId="394">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395">
    <w:name w:val="font8"/>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96">
    <w:name w:val="Char1 Char Char Char Char Char Char1"/>
    <w:basedOn w:val="1"/>
    <w:qFormat/>
    <w:uiPriority w:val="0"/>
    <w:rPr>
      <w:rFonts w:ascii="Tahoma" w:hAnsi="Tahoma"/>
      <w:sz w:val="24"/>
      <w:szCs w:val="20"/>
    </w:rPr>
  </w:style>
  <w:style w:type="paragraph" w:customStyle="1" w:styleId="397">
    <w:name w:val="_Style 2"/>
    <w:basedOn w:val="1"/>
    <w:qFormat/>
    <w:uiPriority w:val="0"/>
    <w:pPr>
      <w:ind w:firstLine="420" w:firstLineChars="200"/>
    </w:pPr>
  </w:style>
  <w:style w:type="paragraph" w:customStyle="1" w:styleId="398">
    <w:name w:val="xl117"/>
    <w:basedOn w:val="1"/>
    <w:qFormat/>
    <w:uiPriority w:val="0"/>
    <w:pPr>
      <w:widowControl/>
      <w:pBdr>
        <w:top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399">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00">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Cs w:val="20"/>
    </w:rPr>
  </w:style>
  <w:style w:type="paragraph" w:customStyle="1" w:styleId="401">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402">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403">
    <w:name w:val="南通方案正文"/>
    <w:basedOn w:val="1"/>
    <w:qFormat/>
    <w:uiPriority w:val="0"/>
    <w:pPr>
      <w:spacing w:line="360" w:lineRule="auto"/>
      <w:ind w:firstLine="480"/>
    </w:pPr>
    <w:rPr>
      <w:rFonts w:ascii="Arial" w:hAnsi="Arial" w:cs="宋体"/>
      <w:sz w:val="24"/>
      <w:szCs w:val="20"/>
    </w:rPr>
  </w:style>
  <w:style w:type="paragraph" w:customStyle="1" w:styleId="404">
    <w:name w:val="xl11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405">
    <w:name w:val="font10"/>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06">
    <w:name w:val="1级标题"/>
    <w:basedOn w:val="1"/>
    <w:qFormat/>
    <w:uiPriority w:val="0"/>
    <w:pPr>
      <w:keepLines/>
      <w:pageBreakBefore/>
      <w:numPr>
        <w:ilvl w:val="0"/>
        <w:numId w:val="3"/>
      </w:numPr>
      <w:tabs>
        <w:tab w:val="left" w:pos="360"/>
      </w:tabs>
      <w:spacing w:before="240" w:after="240" w:line="360" w:lineRule="auto"/>
      <w:ind w:firstLine="0"/>
      <w:contextualSpacing/>
      <w:jc w:val="center"/>
      <w:outlineLvl w:val="0"/>
    </w:pPr>
    <w:rPr>
      <w:rFonts w:ascii="黑体" w:hAnsi="黑体" w:eastAsia="黑体"/>
      <w:kern w:val="0"/>
      <w:sz w:val="36"/>
      <w:szCs w:val="36"/>
      <w:lang w:eastAsia="en-US" w:bidi="en-US"/>
    </w:rPr>
  </w:style>
  <w:style w:type="paragraph" w:customStyle="1" w:styleId="407">
    <w:name w:val="2ji"/>
    <w:basedOn w:val="4"/>
    <w:qFormat/>
    <w:uiPriority w:val="0"/>
    <w:pPr>
      <w:adjustRightInd w:val="0"/>
      <w:spacing w:before="0" w:after="0" w:line="360" w:lineRule="auto"/>
      <w:textAlignment w:val="baseline"/>
    </w:pPr>
    <w:rPr>
      <w:rFonts w:ascii="宋体" w:hAnsi="宋体" w:eastAsia="宋体"/>
      <w:kern w:val="0"/>
      <w:sz w:val="21"/>
      <w:szCs w:val="21"/>
    </w:rPr>
  </w:style>
  <w:style w:type="paragraph" w:customStyle="1" w:styleId="408">
    <w:name w:val="p0"/>
    <w:basedOn w:val="1"/>
    <w:qFormat/>
    <w:uiPriority w:val="0"/>
    <w:pPr>
      <w:widowControl/>
    </w:pPr>
    <w:rPr>
      <w:kern w:val="0"/>
      <w:szCs w:val="21"/>
    </w:rPr>
  </w:style>
  <w:style w:type="paragraph" w:customStyle="1" w:styleId="409">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10">
    <w:name w:val="xl1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411">
    <w:name w:val="xl118"/>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12">
    <w:name w:val="font13"/>
    <w:basedOn w:val="1"/>
    <w:qFormat/>
    <w:uiPriority w:val="0"/>
    <w:pPr>
      <w:widowControl/>
      <w:spacing w:before="100" w:beforeAutospacing="1" w:after="100" w:afterAutospacing="1"/>
      <w:jc w:val="left"/>
    </w:pPr>
    <w:rPr>
      <w:rFonts w:ascii="宋体" w:hAnsi="宋体" w:cs="宋体"/>
      <w:b/>
      <w:bCs/>
      <w:kern w:val="0"/>
      <w:sz w:val="18"/>
      <w:szCs w:val="18"/>
    </w:rPr>
  </w:style>
  <w:style w:type="paragraph" w:customStyle="1" w:styleId="413">
    <w:name w:val="五级条标题"/>
    <w:basedOn w:val="349"/>
    <w:next w:val="180"/>
    <w:qFormat/>
    <w:uiPriority w:val="0"/>
    <w:pPr>
      <w:numPr>
        <w:ilvl w:val="6"/>
      </w:numPr>
      <w:outlineLvl w:val="6"/>
    </w:pPr>
  </w:style>
  <w:style w:type="paragraph" w:customStyle="1" w:styleId="414">
    <w:name w:val="表1"/>
    <w:basedOn w:val="1"/>
    <w:qFormat/>
    <w:uiPriority w:val="0"/>
    <w:pPr>
      <w:numPr>
        <w:ilvl w:val="0"/>
        <w:numId w:val="17"/>
      </w:numPr>
      <w:spacing w:line="360" w:lineRule="auto"/>
      <w:ind w:left="0" w:firstLine="0"/>
      <w:jc w:val="center"/>
    </w:pPr>
    <w:rPr>
      <w:rFonts w:ascii="Arial" w:hAnsi="Arial" w:cs="宋体"/>
      <w:szCs w:val="20"/>
    </w:rPr>
  </w:style>
  <w:style w:type="paragraph" w:customStyle="1" w:styleId="415">
    <w:name w:val="xl151"/>
    <w:basedOn w:val="1"/>
    <w:qFormat/>
    <w:uiPriority w:val="0"/>
    <w:pPr>
      <w:widowControl/>
      <w:pBdr>
        <w:top w:val="single" w:color="auto" w:sz="4" w:space="0"/>
      </w:pBdr>
      <w:spacing w:before="100" w:beforeAutospacing="1" w:after="100" w:afterAutospacing="1"/>
      <w:jc w:val="center"/>
    </w:pPr>
    <w:rPr>
      <w:rFonts w:ascii="宋体" w:hAnsi="宋体" w:cs="宋体"/>
      <w:b/>
      <w:bCs/>
      <w:kern w:val="0"/>
      <w:sz w:val="24"/>
    </w:rPr>
  </w:style>
  <w:style w:type="paragraph" w:customStyle="1" w:styleId="416">
    <w:name w:val="正文首行缩进两字符"/>
    <w:basedOn w:val="1"/>
    <w:qFormat/>
    <w:uiPriority w:val="0"/>
    <w:pPr>
      <w:spacing w:line="360" w:lineRule="auto"/>
      <w:ind w:firstLine="200" w:firstLineChars="200"/>
    </w:pPr>
  </w:style>
  <w:style w:type="paragraph" w:customStyle="1" w:styleId="417">
    <w:name w:val="xl160"/>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4"/>
    </w:rPr>
  </w:style>
  <w:style w:type="paragraph" w:customStyle="1" w:styleId="418">
    <w:name w:val="_Style 3"/>
    <w:basedOn w:val="1"/>
    <w:qFormat/>
    <w:uiPriority w:val="0"/>
    <w:pPr>
      <w:ind w:firstLine="420" w:firstLineChars="200"/>
    </w:pPr>
    <w:rPr>
      <w:rFonts w:ascii="Calibri" w:hAnsi="Calibri"/>
      <w:szCs w:val="22"/>
    </w:rPr>
  </w:style>
  <w:style w:type="paragraph" w:customStyle="1" w:styleId="419">
    <w:name w:val="默认段落字体 Para Char Char Char Char Char Char Char Char Char1 Char Char Char Char"/>
    <w:basedOn w:val="1"/>
    <w:qFormat/>
    <w:uiPriority w:val="0"/>
    <w:rPr>
      <w:rFonts w:ascii="Tahoma" w:hAnsi="Tahoma"/>
      <w:sz w:val="24"/>
      <w:szCs w:val="20"/>
    </w:rPr>
  </w:style>
  <w:style w:type="paragraph" w:customStyle="1" w:styleId="420">
    <w:name w:val="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421">
    <w:name w:val="text"/>
    <w:basedOn w:val="1"/>
    <w:qFormat/>
    <w:uiPriority w:val="0"/>
    <w:pPr>
      <w:widowControl/>
      <w:tabs>
        <w:tab w:val="left" w:pos="1050"/>
      </w:tabs>
      <w:overflowPunct w:val="0"/>
      <w:autoSpaceDE w:val="0"/>
      <w:autoSpaceDN w:val="0"/>
      <w:adjustRightInd w:val="0"/>
      <w:spacing w:before="240"/>
      <w:ind w:left="1049"/>
      <w:textAlignment w:val="baseline"/>
    </w:pPr>
    <w:rPr>
      <w:kern w:val="0"/>
      <w:sz w:val="24"/>
      <w:szCs w:val="20"/>
    </w:rPr>
  </w:style>
  <w:style w:type="paragraph" w:customStyle="1" w:styleId="422">
    <w:name w:val="样式 标题 1 + 居中 段前: 0 磅 段后: 0 磅 行距: 固定值 30 磅"/>
    <w:basedOn w:val="3"/>
    <w:qFormat/>
    <w:uiPriority w:val="0"/>
    <w:pPr>
      <w:spacing w:before="0" w:after="0" w:line="600" w:lineRule="exact"/>
      <w:jc w:val="center"/>
    </w:pPr>
    <w:rPr>
      <w:rFonts w:cs="宋体"/>
      <w:szCs w:val="20"/>
    </w:rPr>
  </w:style>
  <w:style w:type="paragraph" w:customStyle="1" w:styleId="423">
    <w:name w:val="xl120"/>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24">
    <w:name w:val="xl141"/>
    <w:basedOn w:val="1"/>
    <w:qFormat/>
    <w:uiPriority w:val="0"/>
    <w:pPr>
      <w:widowControl/>
      <w:shd w:val="clear" w:color="000000" w:fill="00CCFF"/>
      <w:spacing w:before="100" w:beforeAutospacing="1" w:after="100" w:afterAutospacing="1"/>
      <w:jc w:val="center"/>
    </w:pPr>
    <w:rPr>
      <w:rFonts w:ascii="宋体" w:hAnsi="宋体" w:cs="宋体"/>
      <w:b/>
      <w:bCs/>
      <w:kern w:val="0"/>
      <w:sz w:val="22"/>
      <w:szCs w:val="22"/>
    </w:rPr>
  </w:style>
  <w:style w:type="paragraph" w:customStyle="1" w:styleId="425">
    <w:name w:val="xl1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426">
    <w:name w:val="Char Char Char Char Char Char Char1"/>
    <w:basedOn w:val="1"/>
    <w:qFormat/>
    <w:uiPriority w:val="0"/>
  </w:style>
  <w:style w:type="paragraph" w:customStyle="1" w:styleId="427">
    <w:name w:val="样式 标题 1H1L1 Heading 1h11st levelh111st level1heading 11h..."/>
    <w:basedOn w:val="3"/>
    <w:qFormat/>
    <w:uiPriority w:val="0"/>
    <w:pPr>
      <w:spacing w:before="120" w:after="120" w:line="240" w:lineRule="auto"/>
      <w:jc w:val="center"/>
    </w:pPr>
    <w:rPr>
      <w:rFonts w:eastAsia="楷体_GB2312" w:cs="宋体"/>
      <w:sz w:val="30"/>
      <w:szCs w:val="20"/>
    </w:rPr>
  </w:style>
  <w:style w:type="paragraph" w:customStyle="1" w:styleId="428">
    <w:name w:val="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29">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30">
    <w:name w:val="标题6"/>
    <w:basedOn w:val="8"/>
    <w:next w:val="1"/>
    <w:qFormat/>
    <w:uiPriority w:val="0"/>
    <w:rPr>
      <w:rFonts w:ascii="Arial" w:hAnsi="Arial" w:eastAsia="黑体" w:cs="宋体"/>
      <w:b w:val="0"/>
      <w:szCs w:val="20"/>
    </w:rPr>
  </w:style>
  <w:style w:type="paragraph" w:customStyle="1" w:styleId="431">
    <w:name w:val="CM51"/>
    <w:basedOn w:val="2"/>
    <w:next w:val="2"/>
    <w:qFormat/>
    <w:uiPriority w:val="0"/>
    <w:pPr>
      <w:spacing w:after="103" w:line="240" w:lineRule="auto"/>
      <w:ind w:firstLine="0" w:firstLineChars="0"/>
      <w:jc w:val="left"/>
    </w:pPr>
    <w:rPr>
      <w:rFonts w:ascii="黑体" w:hAnsi="Calibri" w:eastAsia="黑体"/>
      <w:color w:val="auto"/>
    </w:rPr>
  </w:style>
  <w:style w:type="paragraph" w:customStyle="1" w:styleId="432">
    <w:name w:val="xl86"/>
    <w:basedOn w:val="1"/>
    <w:qFormat/>
    <w:uiPriority w:val="0"/>
    <w:pPr>
      <w:widowControl/>
      <w:spacing w:before="100" w:beforeAutospacing="1" w:after="100" w:afterAutospacing="1"/>
      <w:jc w:val="left"/>
    </w:pPr>
    <w:rPr>
      <w:rFonts w:ascii="宋体" w:hAnsi="宋体" w:cs="宋体"/>
      <w:b/>
      <w:bCs/>
      <w:kern w:val="0"/>
      <w:sz w:val="22"/>
      <w:szCs w:val="22"/>
    </w:rPr>
  </w:style>
  <w:style w:type="paragraph" w:customStyle="1" w:styleId="433">
    <w:name w:val="Char Char Char Char Char Char Char Char Char Char Char Char Char Char Char Char"/>
    <w:basedOn w:val="1"/>
    <w:qFormat/>
    <w:uiPriority w:val="0"/>
    <w:pPr>
      <w:tabs>
        <w:tab w:val="left" w:pos="360"/>
      </w:tabs>
      <w:spacing w:line="360" w:lineRule="auto"/>
      <w:ind w:left="482" w:firstLine="200" w:firstLineChars="200"/>
    </w:pPr>
    <w:rPr>
      <w:rFonts w:ascii="宋体"/>
      <w:sz w:val="24"/>
    </w:rPr>
  </w:style>
  <w:style w:type="paragraph" w:customStyle="1" w:styleId="434">
    <w:name w:val="444"/>
    <w:basedOn w:val="1"/>
    <w:qFormat/>
    <w:uiPriority w:val="0"/>
    <w:pPr>
      <w:adjustRightInd w:val="0"/>
      <w:spacing w:line="312" w:lineRule="atLeast"/>
      <w:jc w:val="center"/>
      <w:textAlignment w:val="baseline"/>
    </w:pPr>
    <w:rPr>
      <w:b/>
      <w:kern w:val="0"/>
      <w:sz w:val="36"/>
      <w:szCs w:val="36"/>
    </w:rPr>
  </w:style>
  <w:style w:type="paragraph" w:customStyle="1" w:styleId="435">
    <w:name w:val="默认段落字体 Para Char"/>
    <w:basedOn w:val="1"/>
    <w:qFormat/>
    <w:uiPriority w:val="0"/>
    <w:rPr>
      <w:rFonts w:ascii="Arial" w:hAnsi="Arial" w:cs="Arial"/>
    </w:rPr>
  </w:style>
  <w:style w:type="paragraph" w:customStyle="1" w:styleId="436">
    <w:name w:val="我的正文"/>
    <w:basedOn w:val="1"/>
    <w:qFormat/>
    <w:uiPriority w:val="0"/>
    <w:pPr>
      <w:spacing w:line="520" w:lineRule="exact"/>
      <w:ind w:firstLine="192" w:firstLineChars="192"/>
    </w:pPr>
    <w:rPr>
      <w:sz w:val="28"/>
      <w:szCs w:val="20"/>
    </w:rPr>
  </w:style>
  <w:style w:type="paragraph" w:customStyle="1" w:styleId="437">
    <w:name w:val="Char Char Char Char Char Char1 Char1"/>
    <w:basedOn w:val="1"/>
    <w:qFormat/>
    <w:uiPriority w:val="0"/>
    <w:pPr>
      <w:widowControl/>
      <w:spacing w:after="160" w:line="240" w:lineRule="exact"/>
      <w:jc w:val="left"/>
    </w:pPr>
    <w:rPr>
      <w:szCs w:val="20"/>
    </w:rPr>
  </w:style>
  <w:style w:type="paragraph" w:customStyle="1" w:styleId="438">
    <w:name w:val="目录4"/>
    <w:basedOn w:val="1"/>
    <w:next w:val="1"/>
    <w:qFormat/>
    <w:uiPriority w:val="0"/>
    <w:pPr>
      <w:widowControl/>
      <w:tabs>
        <w:tab w:val="left" w:leader="dot" w:pos="8503"/>
      </w:tabs>
      <w:spacing w:line="317" w:lineRule="atLeast"/>
      <w:ind w:firstLine="629"/>
      <w:textAlignment w:val="baseline"/>
    </w:pPr>
    <w:rPr>
      <w:color w:val="000000"/>
      <w:kern w:val="0"/>
      <w:szCs w:val="20"/>
      <w:u w:color="000000"/>
    </w:rPr>
  </w:style>
  <w:style w:type="paragraph" w:customStyle="1" w:styleId="439">
    <w:name w:val="样式 标题 2 + Times New Roman 四号 非加粗 段前: 5 磅 段后: 0 磅 行距: 固定值 20..."/>
    <w:basedOn w:val="4"/>
    <w:qFormat/>
    <w:uiPriority w:val="0"/>
    <w:pPr>
      <w:numPr>
        <w:ilvl w:val="0"/>
        <w:numId w:val="18"/>
      </w:numPr>
      <w:spacing w:before="100" w:after="0" w:line="400" w:lineRule="exact"/>
      <w:ind w:left="0" w:firstLine="0"/>
    </w:pPr>
    <w:rPr>
      <w:rFonts w:ascii="Times New Roman" w:hAnsi="Times New Roman" w:cs="宋体"/>
      <w:b w:val="0"/>
      <w:bCs w:val="0"/>
      <w:sz w:val="28"/>
      <w:szCs w:val="20"/>
    </w:rPr>
  </w:style>
  <w:style w:type="paragraph" w:customStyle="1" w:styleId="440">
    <w:name w:val="样式1"/>
    <w:basedOn w:val="1"/>
    <w:qFormat/>
    <w:uiPriority w:val="0"/>
    <w:pPr>
      <w:tabs>
        <w:tab w:val="left" w:pos="840"/>
      </w:tabs>
      <w:ind w:left="576" w:hanging="576"/>
    </w:pPr>
  </w:style>
  <w:style w:type="paragraph" w:customStyle="1" w:styleId="441">
    <w:name w:val="xl1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442">
    <w:name w:val="附件1."/>
    <w:basedOn w:val="3"/>
    <w:qFormat/>
    <w:uiPriority w:val="0"/>
    <w:pPr>
      <w:keepNext w:val="0"/>
      <w:keepLines w:val="0"/>
      <w:tabs>
        <w:tab w:val="left" w:pos="360"/>
        <w:tab w:val="left" w:pos="420"/>
      </w:tabs>
      <w:spacing w:before="0" w:after="0" w:line="360" w:lineRule="auto"/>
      <w:ind w:left="567" w:hanging="567"/>
    </w:pPr>
    <w:rPr>
      <w:b w:val="0"/>
      <w:sz w:val="24"/>
    </w:rPr>
  </w:style>
  <w:style w:type="paragraph" w:customStyle="1" w:styleId="443">
    <w:name w:val="目录1"/>
    <w:basedOn w:val="1"/>
    <w:next w:val="1"/>
    <w:qFormat/>
    <w:uiPriority w:val="0"/>
    <w:pPr>
      <w:widowControl/>
      <w:tabs>
        <w:tab w:val="left" w:leader="dot" w:pos="8503"/>
      </w:tabs>
      <w:spacing w:after="136" w:line="289" w:lineRule="atLeast"/>
      <w:jc w:val="left"/>
      <w:textAlignment w:val="baseline"/>
    </w:pPr>
    <w:rPr>
      <w:rFonts w:ascii="Arial" w:eastAsia="黑体"/>
      <w:color w:val="000000"/>
      <w:kern w:val="0"/>
      <w:sz w:val="28"/>
      <w:szCs w:val="20"/>
      <w:u w:color="000000"/>
    </w:rPr>
  </w:style>
  <w:style w:type="paragraph" w:customStyle="1" w:styleId="444">
    <w:name w:val="_标题1"/>
    <w:basedOn w:val="3"/>
    <w:next w:val="1"/>
    <w:qFormat/>
    <w:uiPriority w:val="0"/>
    <w:pPr>
      <w:pageBreakBefore/>
      <w:numPr>
        <w:ilvl w:val="0"/>
        <w:numId w:val="10"/>
      </w:numPr>
      <w:spacing w:before="240" w:after="240" w:line="520" w:lineRule="exact"/>
      <w:jc w:val="center"/>
    </w:pPr>
    <w:rPr>
      <w:rFonts w:ascii="仿宋" w:hAnsi="仿宋" w:eastAsia="仿宋" w:cs="仿宋"/>
    </w:rPr>
  </w:style>
  <w:style w:type="paragraph" w:customStyle="1" w:styleId="445">
    <w:name w:val="xl71"/>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仿宋_GB2312" w:hAnsi="宋体" w:eastAsia="仿宋_GB2312" w:cs="宋体"/>
      <w:kern w:val="0"/>
      <w:sz w:val="22"/>
      <w:szCs w:val="22"/>
    </w:rPr>
  </w:style>
  <w:style w:type="paragraph" w:customStyle="1" w:styleId="446">
    <w:name w:val="默认段落字体 Para Char Char Char Char Char Char Char Char Char Char Char Char Char Char"/>
    <w:basedOn w:val="16"/>
    <w:qFormat/>
    <w:uiPriority w:val="0"/>
    <w:pPr>
      <w:shd w:val="clear" w:color="auto" w:fill="000080"/>
    </w:pPr>
    <w:rPr>
      <w:rFonts w:ascii="Tahoma" w:hAnsi="Tahoma"/>
      <w:sz w:val="24"/>
      <w:szCs w:val="24"/>
    </w:rPr>
  </w:style>
  <w:style w:type="paragraph" w:customStyle="1" w:styleId="447">
    <w:name w:val="Char Char Char1 Char Char Char Char Char Char Char"/>
    <w:basedOn w:val="1"/>
    <w:qFormat/>
    <w:uiPriority w:val="0"/>
  </w:style>
  <w:style w:type="paragraph" w:customStyle="1" w:styleId="448">
    <w:name w:val="章标题"/>
    <w:next w:val="180"/>
    <w:qFormat/>
    <w:uiPriority w:val="0"/>
    <w:pPr>
      <w:numPr>
        <w:ilvl w:val="1"/>
        <w:numId w:val="12"/>
      </w:numPr>
      <w:spacing w:beforeLines="50" w:afterLines="50"/>
      <w:jc w:val="both"/>
      <w:outlineLvl w:val="1"/>
    </w:pPr>
    <w:rPr>
      <w:rFonts w:ascii="黑体" w:hAnsi="Times New Roman" w:eastAsia="黑体" w:cs="Times New Roman"/>
      <w:sz w:val="21"/>
      <w:lang w:val="en-US" w:eastAsia="zh-CN" w:bidi="ar-SA"/>
    </w:rPr>
  </w:style>
  <w:style w:type="paragraph" w:customStyle="1" w:styleId="449">
    <w:name w:val="xl69"/>
    <w:basedOn w:val="1"/>
    <w:qFormat/>
    <w:uiPriority w:val="0"/>
    <w:pPr>
      <w:widowControl/>
      <w:pBdr>
        <w:top w:val="single" w:color="auto" w:sz="8" w:space="0"/>
        <w:bottom w:val="single" w:color="auto" w:sz="8" w:space="0"/>
      </w:pBdr>
      <w:spacing w:before="100" w:beforeAutospacing="1" w:after="100" w:afterAutospacing="1"/>
      <w:jc w:val="left"/>
    </w:pPr>
    <w:rPr>
      <w:rFonts w:ascii="仿宋_GB2312" w:hAnsi="宋体" w:eastAsia="仿宋_GB2312" w:cs="宋体"/>
      <w:color w:val="000000"/>
      <w:kern w:val="0"/>
      <w:sz w:val="22"/>
      <w:szCs w:val="22"/>
    </w:rPr>
  </w:style>
  <w:style w:type="paragraph" w:styleId="450">
    <w:name w:val="List Paragraph"/>
    <w:basedOn w:val="1"/>
    <w:qFormat/>
    <w:uiPriority w:val="34"/>
    <w:pPr>
      <w:ind w:firstLine="420" w:firstLineChars="200"/>
    </w:pPr>
    <w:rPr>
      <w:rFonts w:ascii="Calibri" w:hAnsi="Calibri"/>
      <w:szCs w:val="22"/>
    </w:rPr>
  </w:style>
  <w:style w:type="paragraph" w:customStyle="1" w:styleId="451">
    <w:name w:val="列出段落12"/>
    <w:basedOn w:val="1"/>
    <w:qFormat/>
    <w:uiPriority w:val="0"/>
    <w:pPr>
      <w:ind w:firstLine="420" w:firstLineChars="200"/>
    </w:pPr>
    <w:rPr>
      <w:rFonts w:ascii="Calibri" w:hAnsi="Calibri"/>
      <w:szCs w:val="22"/>
    </w:rPr>
  </w:style>
  <w:style w:type="paragraph" w:customStyle="1" w:styleId="452">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2"/>
      <w:szCs w:val="22"/>
    </w:rPr>
  </w:style>
  <w:style w:type="paragraph" w:customStyle="1" w:styleId="453">
    <w:name w:val="样式 首行缩进:  0.74 厘米"/>
    <w:basedOn w:val="1"/>
    <w:qFormat/>
    <w:uiPriority w:val="0"/>
    <w:pPr>
      <w:spacing w:line="360" w:lineRule="auto"/>
    </w:pPr>
    <w:rPr>
      <w:rFonts w:eastAsia="仿宋" w:cs="宋体"/>
      <w:sz w:val="24"/>
      <w:szCs w:val="20"/>
    </w:rPr>
  </w:style>
  <w:style w:type="paragraph" w:customStyle="1" w:styleId="454">
    <w:name w:val="样式 首行缩进:  2 字符"/>
    <w:basedOn w:val="1"/>
    <w:qFormat/>
    <w:uiPriority w:val="0"/>
    <w:pPr>
      <w:spacing w:line="300" w:lineRule="auto"/>
    </w:pPr>
    <w:rPr>
      <w:rFonts w:ascii="宋体" w:cs="宋体"/>
      <w:sz w:val="24"/>
      <w:szCs w:val="20"/>
    </w:rPr>
  </w:style>
  <w:style w:type="paragraph" w:customStyle="1" w:styleId="455">
    <w:name w:val="font12"/>
    <w:basedOn w:val="1"/>
    <w:qFormat/>
    <w:uiPriority w:val="0"/>
    <w:pPr>
      <w:widowControl/>
      <w:spacing w:before="100" w:beforeAutospacing="1" w:after="100" w:afterAutospacing="1"/>
      <w:jc w:val="left"/>
    </w:pPr>
    <w:rPr>
      <w:rFonts w:ascii="宋体" w:hAnsi="宋体" w:cs="宋体"/>
      <w:b/>
      <w:bCs/>
      <w:color w:val="000000"/>
      <w:kern w:val="0"/>
      <w:sz w:val="18"/>
      <w:szCs w:val="18"/>
    </w:rPr>
  </w:style>
  <w:style w:type="paragraph" w:customStyle="1" w:styleId="456">
    <w:name w:val="xl123"/>
    <w:basedOn w:val="1"/>
    <w:uiPriority w:val="0"/>
    <w:pPr>
      <w:widowControl/>
      <w:pBdr>
        <w:top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457">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458">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59">
    <w:name w:val="Char3"/>
    <w:basedOn w:val="1"/>
    <w:qFormat/>
    <w:uiPriority w:val="0"/>
  </w:style>
  <w:style w:type="paragraph" w:customStyle="1" w:styleId="460">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461">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462">
    <w:name w:val="2级标题"/>
    <w:basedOn w:val="1"/>
    <w:qFormat/>
    <w:uiPriority w:val="0"/>
    <w:pPr>
      <w:keepLines/>
      <w:numPr>
        <w:ilvl w:val="1"/>
        <w:numId w:val="3"/>
      </w:numPr>
      <w:spacing w:before="240" w:after="120" w:line="360" w:lineRule="auto"/>
      <w:contextualSpacing/>
      <w:jc w:val="left"/>
      <w:outlineLvl w:val="1"/>
    </w:pPr>
    <w:rPr>
      <w:rFonts w:ascii="黑体" w:hAnsi="黑体" w:eastAsia="黑体"/>
      <w:kern w:val="0"/>
      <w:sz w:val="32"/>
      <w:szCs w:val="36"/>
      <w:lang w:eastAsia="en-US" w:bidi="en-US"/>
    </w:rPr>
  </w:style>
  <w:style w:type="table" w:customStyle="1" w:styleId="463">
    <w:name w:val="浅色底纹 - 强调文字颜色 11"/>
    <w:basedOn w:val="51"/>
    <w:qFormat/>
    <w:uiPriority w:val="0"/>
    <w:rPr>
      <w:color w:val="2E74B5"/>
    </w:rPr>
    <w:tblPr>
      <w:tblBorders>
        <w:top w:val="single" w:color="5B9BD5" w:sz="8" w:space="0"/>
        <w:bottom w:val="single" w:color="5B9BD5"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5B9BD5" w:sz="8" w:space="0"/>
          <w:left w:val="nil"/>
          <w:bottom w:val="single" w:color="5B9BD5" w:sz="8" w:space="0"/>
          <w:right w:val="nil"/>
          <w:insideH w:val="nil"/>
          <w:insideV w:val="nil"/>
          <w:tl2br w:val="nil"/>
          <w:tr2bl w:val="nil"/>
        </w:tcBorders>
      </w:tcPr>
    </w:tblStylePr>
    <w:tblStylePr w:type="lastRow">
      <w:pPr>
        <w:spacing w:before="0" w:after="0" w:line="240" w:lineRule="auto"/>
      </w:pPr>
      <w:rPr>
        <w:b/>
        <w:bCs/>
      </w:rPr>
      <w:tcPr>
        <w:tcBorders>
          <w:top w:val="single" w:color="5B9BD5" w:sz="8" w:space="0"/>
          <w:left w:val="nil"/>
          <w:bottom w:val="single" w:color="5B9BD5"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6E6F4"/>
      </w:tcPr>
    </w:tblStylePr>
    <w:tblStylePr w:type="band1Horz">
      <w:tcPr>
        <w:tcBorders>
          <w:top w:val="nil"/>
          <w:left w:val="nil"/>
          <w:bottom w:val="nil"/>
          <w:right w:val="nil"/>
          <w:insideH w:val="nil"/>
          <w:insideV w:val="nil"/>
          <w:tl2br w:val="nil"/>
          <w:tr2bl w:val="nil"/>
        </w:tcBorders>
        <w:shd w:val="clear" w:color="auto" w:fill="D6E6F4"/>
      </w:tcPr>
    </w:tblStylePr>
  </w:style>
  <w:style w:type="table" w:customStyle="1" w:styleId="464">
    <w:name w:val="网格型1"/>
    <w:basedOn w:val="51"/>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65">
    <w:name w:val="Table Paragraph"/>
    <w:basedOn w:val="1"/>
    <w:qFormat/>
    <w:uiPriority w:val="1"/>
    <w:rPr>
      <w:rFonts w:hint="eastAsia" w:ascii="Noto Sans CJK JP Regular" w:hAnsi="Noto Sans CJK JP Regular" w:eastAsia="Noto Sans CJK JP Regular" w:cs="Noto Sans CJK JP Regular"/>
      <w:szCs w:val="20"/>
    </w:rPr>
  </w:style>
  <w:style w:type="table" w:customStyle="1" w:styleId="466">
    <w:name w:val="Table Normal1"/>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467">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69C500-7614-49F6-B40B-B7E4E2300C9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117</Pages>
  <Words>14624</Words>
  <Characters>83359</Characters>
  <Lines>694</Lines>
  <Paragraphs>195</Paragraphs>
  <TotalTime>4</TotalTime>
  <ScaleCrop>false</ScaleCrop>
  <LinksUpToDate>false</LinksUpToDate>
  <CharactersWithSpaces>97788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2020-07-27T09:12:00Z</dcterms:created>
  <dc:creator>user</dc:creator>
  <cp:lastModifiedBy>睿在之</cp:lastModifiedBy>
  <cp:lastPrinted>2019-12-19T08:32:00Z</cp:lastPrinted>
  <dcterms:modified xsi:type="dcterms:W3CDTF">2020-08-07T08:52:44Z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