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overflowPunct/>
        <w:autoSpaceDE/>
        <w:autoSpaceDN/>
        <w:adjustRightInd/>
        <w:spacing w:line="480" w:lineRule="auto"/>
        <w:jc w:val="center"/>
        <w:textAlignment w:val="auto"/>
        <w:rPr>
          <w:rFonts w:hint="eastAsia" w:ascii="方正小标宋_GBK" w:hAnsi="方正小标宋_GBK" w:eastAsia="方正小标宋_GBK" w:cs="方正小标宋_GBK"/>
          <w:b w:val="0"/>
          <w:bCs/>
          <w:kern w:val="2"/>
          <w:sz w:val="44"/>
          <w:szCs w:val="44"/>
          <w:lang w:eastAsia="zh-CN"/>
        </w:rPr>
      </w:pPr>
      <w:r>
        <w:rPr>
          <w:rFonts w:hint="eastAsia" w:ascii="方正小标宋_GBK" w:hAnsi="方正小标宋_GBK" w:eastAsia="方正小标宋_GBK" w:cs="方正小标宋_GBK"/>
          <w:b w:val="0"/>
          <w:bCs/>
          <w:kern w:val="2"/>
          <w:sz w:val="44"/>
          <w:szCs w:val="44"/>
          <w:lang w:val="en-US" w:eastAsia="zh-CN"/>
        </w:rPr>
        <w:t>武汉海关技术中心2021年仪器设备购置专项设备（四台）</w:t>
      </w:r>
      <w:r>
        <w:rPr>
          <w:rFonts w:hint="eastAsia" w:ascii="方正小标宋_GBK" w:hAnsi="方正小标宋_GBK" w:eastAsia="方正小标宋_GBK" w:cs="方正小标宋_GBK"/>
          <w:b w:val="0"/>
          <w:bCs/>
          <w:kern w:val="2"/>
          <w:sz w:val="44"/>
          <w:szCs w:val="44"/>
          <w:lang w:eastAsia="zh-CN"/>
        </w:rPr>
        <w:t>需求清单</w:t>
      </w:r>
    </w:p>
    <w:p>
      <w:pPr>
        <w:widowControl w:val="0"/>
        <w:numPr>
          <w:ilvl w:val="0"/>
          <w:numId w:val="1"/>
        </w:numPr>
        <w:overflowPunct/>
        <w:autoSpaceDE/>
        <w:autoSpaceDN/>
        <w:adjustRightInd/>
        <w:spacing w:line="480" w:lineRule="auto"/>
        <w:jc w:val="both"/>
        <w:textAlignment w:val="auto"/>
        <w:rPr>
          <w:rFonts w:hint="default" w:ascii="Times New Roman" w:hAnsi="Times New Roman" w:eastAsia="方正黑体_GBK" w:cs="Times New Roman"/>
          <w:b w:val="0"/>
          <w:bCs/>
          <w:kern w:val="2"/>
          <w:sz w:val="28"/>
          <w:szCs w:val="28"/>
          <w:lang w:eastAsia="zh-CN"/>
        </w:rPr>
      </w:pPr>
      <w:r>
        <w:rPr>
          <w:rFonts w:hint="default" w:ascii="Times New Roman" w:hAnsi="Times New Roman" w:eastAsia="方正黑体_GBK" w:cs="Times New Roman"/>
          <w:b w:val="0"/>
          <w:bCs/>
          <w:kern w:val="2"/>
          <w:sz w:val="28"/>
          <w:szCs w:val="28"/>
          <w:lang w:eastAsia="zh-CN"/>
        </w:rPr>
        <w:t>适用的标准及规范</w:t>
      </w:r>
    </w:p>
    <w:p>
      <w:pPr>
        <w:widowControl w:val="0"/>
        <w:overflowPunct/>
        <w:autoSpaceDE/>
        <w:autoSpaceDN/>
        <w:adjustRightInd/>
        <w:spacing w:line="480" w:lineRule="auto"/>
        <w:ind w:firstLine="560" w:firstLineChars="200"/>
        <w:jc w:val="both"/>
        <w:textAlignment w:val="auto"/>
        <w:rPr>
          <w:rFonts w:hint="eastAsia" w:ascii="Times New Roman" w:hAnsi="Times New Roman" w:eastAsia="方正仿宋_GBK" w:cs="Times New Roman"/>
          <w:b w:val="0"/>
          <w:bCs/>
          <w:kern w:val="2"/>
          <w:sz w:val="28"/>
          <w:szCs w:val="28"/>
          <w:lang w:val="en-US" w:eastAsia="zh-CN"/>
        </w:rPr>
      </w:pPr>
      <w:r>
        <w:rPr>
          <w:rFonts w:hint="eastAsia" w:ascii="Times New Roman" w:hAnsi="Times New Roman" w:eastAsia="方正仿宋_GBK" w:cs="Times New Roman"/>
          <w:b w:val="0"/>
          <w:bCs/>
          <w:kern w:val="2"/>
          <w:sz w:val="28"/>
          <w:szCs w:val="28"/>
          <w:lang w:val="en-US" w:eastAsia="zh-CN"/>
        </w:rPr>
        <w:t>动植物疫病和物种成分检测，以及濒危物种鉴定和新冠检测领域中涉及分子生物学检测方法的项目均需使用本项目购置设备，具体涉及的相关检疫标准有：</w:t>
      </w:r>
    </w:p>
    <w:p>
      <w:pPr>
        <w:widowControl w:val="0"/>
        <w:overflowPunct/>
        <w:autoSpaceDE/>
        <w:autoSpaceDN/>
        <w:adjustRightInd/>
        <w:spacing w:line="480" w:lineRule="auto"/>
        <w:ind w:firstLine="560" w:firstLineChars="200"/>
        <w:jc w:val="both"/>
        <w:textAlignment w:val="auto"/>
        <w:rPr>
          <w:rFonts w:hint="eastAsia" w:ascii="Times New Roman" w:hAnsi="Times New Roman" w:eastAsia="方正仿宋_GBK" w:cs="Times New Roman"/>
          <w:b w:val="0"/>
          <w:bCs/>
          <w:kern w:val="2"/>
          <w:sz w:val="28"/>
          <w:szCs w:val="28"/>
          <w:lang w:val="en-US" w:eastAsia="zh-CN"/>
        </w:rPr>
      </w:pPr>
      <w:r>
        <w:rPr>
          <w:rFonts w:hint="eastAsia" w:ascii="Times New Roman" w:hAnsi="Times New Roman" w:eastAsia="方正仿宋_GBK" w:cs="Times New Roman"/>
          <w:b w:val="0"/>
          <w:bCs/>
          <w:kern w:val="2"/>
          <w:sz w:val="28"/>
          <w:szCs w:val="28"/>
          <w:lang w:val="en-US" w:eastAsia="zh-CN"/>
        </w:rPr>
        <w:t>新冠检测方面：新型冠状病毒肺炎防控方案（第八版）、 新型冠状病毒核酸检测工作手册；</w:t>
      </w:r>
    </w:p>
    <w:p>
      <w:pPr>
        <w:widowControl w:val="0"/>
        <w:overflowPunct/>
        <w:autoSpaceDE/>
        <w:autoSpaceDN/>
        <w:adjustRightInd/>
        <w:spacing w:line="480" w:lineRule="auto"/>
        <w:ind w:firstLine="560" w:firstLineChars="200"/>
        <w:jc w:val="both"/>
        <w:textAlignment w:val="auto"/>
        <w:rPr>
          <w:rFonts w:hint="eastAsia" w:ascii="Times New Roman" w:hAnsi="Times New Roman" w:eastAsia="方正仿宋_GBK" w:cs="Times New Roman"/>
          <w:b w:val="0"/>
          <w:bCs/>
          <w:kern w:val="2"/>
          <w:sz w:val="28"/>
          <w:szCs w:val="28"/>
          <w:lang w:val="en-US" w:eastAsia="zh-CN"/>
        </w:rPr>
      </w:pPr>
      <w:r>
        <w:rPr>
          <w:rFonts w:hint="eastAsia" w:ascii="Times New Roman" w:hAnsi="Times New Roman" w:eastAsia="方正仿宋_GBK" w:cs="Times New Roman"/>
          <w:b w:val="0"/>
          <w:bCs/>
          <w:kern w:val="2"/>
          <w:sz w:val="28"/>
          <w:szCs w:val="28"/>
          <w:lang w:val="en-US" w:eastAsia="zh-CN"/>
        </w:rPr>
        <w:t>动物疫病检测方面：《GB/T 22915-2008 口蹄疫病毒荧光RT-PCR检测方法》、《GB/T 18648-2020 非洲猪瘟诊断技术》、《GB/T 19438.1-2004 禽流感病毒通用荧光RT-PCR检测方法》等所有涉及分子生物学检测相关的标准；</w:t>
      </w:r>
    </w:p>
    <w:p>
      <w:pPr>
        <w:widowControl w:val="0"/>
        <w:overflowPunct/>
        <w:autoSpaceDE/>
        <w:autoSpaceDN/>
        <w:adjustRightInd/>
        <w:spacing w:line="480" w:lineRule="auto"/>
        <w:ind w:firstLine="560" w:firstLineChars="200"/>
        <w:jc w:val="both"/>
        <w:textAlignment w:val="auto"/>
        <w:rPr>
          <w:rFonts w:hint="eastAsia" w:ascii="Times New Roman" w:hAnsi="Times New Roman" w:eastAsia="方正仿宋_GBK" w:cs="Times New Roman"/>
          <w:b w:val="0"/>
          <w:bCs/>
          <w:kern w:val="2"/>
          <w:sz w:val="28"/>
          <w:szCs w:val="28"/>
          <w:lang w:val="en-US" w:eastAsia="zh-CN"/>
        </w:rPr>
      </w:pPr>
      <w:r>
        <w:rPr>
          <w:rFonts w:hint="eastAsia" w:ascii="Times New Roman" w:hAnsi="Times New Roman" w:eastAsia="方正仿宋_GBK" w:cs="Times New Roman"/>
          <w:b w:val="0"/>
          <w:bCs/>
          <w:kern w:val="2"/>
          <w:sz w:val="28"/>
          <w:szCs w:val="28"/>
          <w:lang w:val="en-US" w:eastAsia="zh-CN"/>
        </w:rPr>
        <w:t>植物疫病方面：如《GB/T 28099-2011 水稻细菌性条斑病菌的检疫鉴定方法》、《SN/T 2474-2010 大豆疫霉病菌实时荧光PCR检测方法》、《SN/T 2596-2010 番茄细菌性叶斑病菌检疫鉴定方法》等所有涉及分子生物学检测相关的标准；</w:t>
      </w:r>
    </w:p>
    <w:p>
      <w:pPr>
        <w:widowControl w:val="0"/>
        <w:overflowPunct/>
        <w:autoSpaceDE/>
        <w:autoSpaceDN/>
        <w:adjustRightInd/>
        <w:spacing w:line="480" w:lineRule="auto"/>
        <w:ind w:firstLine="560" w:firstLineChars="200"/>
        <w:jc w:val="both"/>
        <w:textAlignment w:val="auto"/>
        <w:rPr>
          <w:rFonts w:hint="eastAsia" w:ascii="Times New Roman" w:hAnsi="Times New Roman" w:eastAsia="方正仿宋_GBK" w:cs="Times New Roman"/>
          <w:b w:val="0"/>
          <w:bCs/>
          <w:kern w:val="2"/>
          <w:sz w:val="28"/>
          <w:szCs w:val="28"/>
          <w:lang w:val="en-US" w:eastAsia="zh-CN"/>
        </w:rPr>
      </w:pPr>
      <w:r>
        <w:rPr>
          <w:rFonts w:hint="eastAsia" w:ascii="Times New Roman" w:hAnsi="Times New Roman" w:eastAsia="方正仿宋_GBK" w:cs="Times New Roman"/>
          <w:b w:val="0"/>
          <w:bCs/>
          <w:kern w:val="2"/>
          <w:sz w:val="28"/>
          <w:szCs w:val="28"/>
          <w:lang w:val="en-US" w:eastAsia="zh-CN"/>
        </w:rPr>
        <w:t>濒危物种鉴定方面：《SN/T 5275-2019 象牙及其制品鉴定技术规范》、《GB/T 35918-2018 动物制品中动物源性检测基因条码技术 Sanger测序法》、《SN/T 5131-2019 人参鉴定方法》等所有涉及分子生物学检测相关的标准；</w:t>
      </w:r>
    </w:p>
    <w:p>
      <w:pPr>
        <w:widowControl w:val="0"/>
        <w:overflowPunct/>
        <w:autoSpaceDE/>
        <w:autoSpaceDN/>
        <w:adjustRightInd/>
        <w:spacing w:line="480" w:lineRule="auto"/>
        <w:ind w:firstLine="560" w:firstLineChars="200"/>
        <w:jc w:val="both"/>
        <w:textAlignment w:val="auto"/>
        <w:rPr>
          <w:rFonts w:hint="default" w:ascii="Times New Roman" w:hAnsi="Times New Roman" w:eastAsia="方正仿宋_GBK" w:cs="Times New Roman"/>
          <w:b w:val="0"/>
          <w:bCs/>
          <w:kern w:val="2"/>
          <w:sz w:val="28"/>
          <w:szCs w:val="28"/>
          <w:lang w:val="en-US" w:eastAsia="zh-CN"/>
        </w:rPr>
      </w:pPr>
      <w:r>
        <w:rPr>
          <w:rFonts w:hint="eastAsia" w:ascii="Times New Roman" w:hAnsi="Times New Roman" w:eastAsia="方正仿宋_GBK" w:cs="Times New Roman"/>
          <w:b w:val="0"/>
          <w:bCs/>
          <w:kern w:val="2"/>
          <w:sz w:val="28"/>
          <w:szCs w:val="28"/>
          <w:lang w:val="en-US" w:eastAsia="zh-CN"/>
        </w:rPr>
        <w:t>物种成分和转基因检测方面的所有相关标准等等。</w:t>
      </w:r>
    </w:p>
    <w:p>
      <w:pPr>
        <w:widowControl w:val="0"/>
        <w:overflowPunct/>
        <w:autoSpaceDE/>
        <w:autoSpaceDN/>
        <w:adjustRightInd/>
        <w:spacing w:line="480" w:lineRule="auto"/>
        <w:jc w:val="both"/>
        <w:textAlignment w:val="auto"/>
        <w:rPr>
          <w:rFonts w:hint="default" w:ascii="Times New Roman" w:hAnsi="Times New Roman" w:eastAsia="方正黑体_GBK" w:cs="Times New Roman"/>
          <w:b w:val="0"/>
          <w:bCs/>
          <w:kern w:val="2"/>
          <w:sz w:val="28"/>
          <w:szCs w:val="28"/>
          <w:lang w:val="en-US" w:eastAsia="zh-CN"/>
        </w:rPr>
      </w:pPr>
      <w:r>
        <w:rPr>
          <w:rFonts w:hint="default" w:ascii="Times New Roman" w:hAnsi="Times New Roman" w:eastAsia="方正黑体_GBK" w:cs="Times New Roman"/>
          <w:b w:val="0"/>
          <w:bCs/>
          <w:kern w:val="2"/>
          <w:sz w:val="28"/>
          <w:szCs w:val="28"/>
          <w:lang w:val="en-US" w:eastAsia="zh-CN"/>
        </w:rPr>
        <w:t>二</w:t>
      </w:r>
      <w:r>
        <w:rPr>
          <w:rFonts w:hint="default" w:ascii="Times New Roman" w:hAnsi="Times New Roman" w:eastAsia="方正黑体_GBK" w:cs="Times New Roman"/>
          <w:b w:val="0"/>
          <w:bCs/>
          <w:kern w:val="2"/>
          <w:sz w:val="28"/>
          <w:szCs w:val="28"/>
          <w:lang w:eastAsia="zh-CN"/>
        </w:rPr>
        <w:t>、技术要求</w:t>
      </w:r>
      <w:r>
        <w:rPr>
          <w:rFonts w:hint="default" w:ascii="Times New Roman" w:hAnsi="Times New Roman" w:eastAsia="方正黑体_GBK" w:cs="Times New Roman"/>
          <w:b w:val="0"/>
          <w:bCs/>
          <w:kern w:val="2"/>
          <w:sz w:val="28"/>
          <w:szCs w:val="28"/>
          <w:lang w:val="en-US" w:eastAsia="zh-CN"/>
        </w:rPr>
        <w:t>、配件、售后培训</w:t>
      </w:r>
    </w:p>
    <w:p>
      <w:pPr>
        <w:widowControl w:val="0"/>
        <w:overflowPunct/>
        <w:autoSpaceDE/>
        <w:autoSpaceDN/>
        <w:adjustRightInd/>
        <w:spacing w:line="480" w:lineRule="auto"/>
        <w:jc w:val="both"/>
        <w:textAlignment w:val="auto"/>
        <w:rPr>
          <w:rFonts w:hint="default" w:ascii="Times New Roman" w:hAnsi="Times New Roman" w:eastAsia="方正楷体_GBK" w:cs="Times New Roman"/>
          <w:b/>
          <w:kern w:val="2"/>
          <w:sz w:val="28"/>
          <w:szCs w:val="28"/>
          <w:lang w:val="en-US" w:eastAsia="zh-CN"/>
        </w:rPr>
      </w:pPr>
      <w:r>
        <w:rPr>
          <w:rFonts w:hint="default" w:ascii="Times New Roman" w:hAnsi="Times New Roman" w:eastAsia="方正楷体_GBK" w:cs="Times New Roman"/>
          <w:b/>
          <w:kern w:val="2"/>
          <w:sz w:val="28"/>
          <w:szCs w:val="28"/>
          <w:lang w:val="en-US" w:eastAsia="zh-CN"/>
        </w:rPr>
        <w:t>采购清单</w:t>
      </w:r>
    </w:p>
    <w:tbl>
      <w:tblPr>
        <w:tblStyle w:val="5"/>
        <w:tblW w:w="9645" w:type="dxa"/>
        <w:tblInd w:w="-4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0"/>
        <w:gridCol w:w="1155"/>
        <w:gridCol w:w="1425"/>
        <w:gridCol w:w="1485"/>
        <w:gridCol w:w="2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noWrap w:val="0"/>
            <w:vAlign w:val="center"/>
          </w:tcPr>
          <w:p>
            <w:pPr>
              <w:widowControl w:val="0"/>
              <w:numPr>
                <w:ilvl w:val="0"/>
                <w:numId w:val="0"/>
              </w:numPr>
              <w:adjustRightInd w:val="0"/>
              <w:snapToGrid w:val="0"/>
              <w:spacing w:line="560" w:lineRule="exact"/>
              <w:jc w:val="center"/>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设备名称</w:t>
            </w:r>
          </w:p>
        </w:tc>
        <w:tc>
          <w:tcPr>
            <w:tcW w:w="1155" w:type="dxa"/>
            <w:noWrap w:val="0"/>
            <w:vAlign w:val="center"/>
          </w:tcPr>
          <w:p>
            <w:pPr>
              <w:widowControl w:val="0"/>
              <w:numPr>
                <w:ilvl w:val="0"/>
                <w:numId w:val="0"/>
              </w:numPr>
              <w:adjustRightInd w:val="0"/>
              <w:snapToGrid w:val="0"/>
              <w:spacing w:line="560" w:lineRule="exact"/>
              <w:jc w:val="center"/>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数量（台/套）</w:t>
            </w:r>
          </w:p>
        </w:tc>
        <w:tc>
          <w:tcPr>
            <w:tcW w:w="1425" w:type="dxa"/>
            <w:noWrap w:val="0"/>
            <w:vAlign w:val="center"/>
          </w:tcPr>
          <w:p>
            <w:pPr>
              <w:widowControl w:val="0"/>
              <w:numPr>
                <w:ilvl w:val="0"/>
                <w:numId w:val="0"/>
              </w:numPr>
              <w:adjustRightInd w:val="0"/>
              <w:snapToGrid w:val="0"/>
              <w:spacing w:line="560" w:lineRule="exact"/>
              <w:jc w:val="center"/>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预算单价（万元）</w:t>
            </w:r>
          </w:p>
        </w:tc>
        <w:tc>
          <w:tcPr>
            <w:tcW w:w="1485" w:type="dxa"/>
            <w:noWrap w:val="0"/>
            <w:vAlign w:val="center"/>
          </w:tcPr>
          <w:p>
            <w:pPr>
              <w:widowControl w:val="0"/>
              <w:numPr>
                <w:ilvl w:val="0"/>
                <w:numId w:val="0"/>
              </w:numPr>
              <w:adjustRightInd w:val="0"/>
              <w:snapToGrid w:val="0"/>
              <w:spacing w:line="560" w:lineRule="exact"/>
              <w:jc w:val="center"/>
              <w:rPr>
                <w:rFonts w:hint="default" w:ascii="Times New Roman" w:hAnsi="Times New Roman" w:eastAsia="方正仿宋_GBK" w:cs="Times New Roman"/>
                <w:sz w:val="24"/>
                <w:szCs w:val="24"/>
                <w:vertAlign w:val="baseline"/>
              </w:rPr>
            </w:pPr>
            <w:r>
              <w:rPr>
                <w:rFonts w:hint="default" w:ascii="Times New Roman" w:hAnsi="Times New Roman" w:eastAsia="方正仿宋_GBK" w:cs="Times New Roman"/>
                <w:sz w:val="24"/>
                <w:szCs w:val="24"/>
                <w:vertAlign w:val="baseline"/>
                <w:lang w:val="en-US" w:eastAsia="zh-CN"/>
              </w:rPr>
              <w:t>所属品目</w:t>
            </w:r>
          </w:p>
        </w:tc>
        <w:tc>
          <w:tcPr>
            <w:tcW w:w="2910" w:type="dxa"/>
            <w:noWrap w:val="0"/>
            <w:vAlign w:val="center"/>
          </w:tcPr>
          <w:p>
            <w:pPr>
              <w:widowControl w:val="0"/>
              <w:numPr>
                <w:ilvl w:val="0"/>
                <w:numId w:val="0"/>
              </w:numPr>
              <w:adjustRightInd w:val="0"/>
              <w:snapToGrid w:val="0"/>
              <w:spacing w:line="560" w:lineRule="exact"/>
              <w:jc w:val="center"/>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子品目名称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全自动蛋白分析系统</w:t>
            </w:r>
          </w:p>
        </w:tc>
        <w:tc>
          <w:tcPr>
            <w:tcW w:w="115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1</w:t>
            </w:r>
          </w:p>
        </w:tc>
        <w:tc>
          <w:tcPr>
            <w:tcW w:w="142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43</w:t>
            </w:r>
          </w:p>
        </w:tc>
        <w:tc>
          <w:tcPr>
            <w:tcW w:w="148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定量PCR仪</w:t>
            </w:r>
          </w:p>
        </w:tc>
        <w:tc>
          <w:tcPr>
            <w:tcW w:w="291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S全自动蛋白分析系统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全自动核酸检测工作站</w:t>
            </w:r>
          </w:p>
        </w:tc>
        <w:tc>
          <w:tcPr>
            <w:tcW w:w="115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1</w:t>
            </w:r>
          </w:p>
        </w:tc>
        <w:tc>
          <w:tcPr>
            <w:tcW w:w="142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80</w:t>
            </w:r>
          </w:p>
        </w:tc>
        <w:tc>
          <w:tcPr>
            <w:tcW w:w="148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定量PCR仪</w:t>
            </w:r>
          </w:p>
        </w:tc>
        <w:tc>
          <w:tcPr>
            <w:tcW w:w="291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R全自动核酸检测工作站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低温恒温培养箱</w:t>
            </w:r>
          </w:p>
        </w:tc>
        <w:tc>
          <w:tcPr>
            <w:tcW w:w="115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1</w:t>
            </w:r>
          </w:p>
        </w:tc>
        <w:tc>
          <w:tcPr>
            <w:tcW w:w="142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5</w:t>
            </w:r>
          </w:p>
        </w:tc>
        <w:tc>
          <w:tcPr>
            <w:tcW w:w="148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培养箱</w:t>
            </w:r>
          </w:p>
        </w:tc>
        <w:tc>
          <w:tcPr>
            <w:tcW w:w="291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J生化培养箱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高通量核酸纯化仪</w:t>
            </w:r>
          </w:p>
        </w:tc>
        <w:tc>
          <w:tcPr>
            <w:tcW w:w="115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1</w:t>
            </w:r>
          </w:p>
        </w:tc>
        <w:tc>
          <w:tcPr>
            <w:tcW w:w="142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37</w:t>
            </w:r>
          </w:p>
        </w:tc>
        <w:tc>
          <w:tcPr>
            <w:tcW w:w="148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核酸提取仪</w:t>
            </w:r>
          </w:p>
        </w:tc>
        <w:tc>
          <w:tcPr>
            <w:tcW w:w="291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方正仿宋_GBK" w:cs="Times New Roman"/>
                <w:sz w:val="24"/>
                <w:szCs w:val="24"/>
                <w:vertAlign w:val="baseline"/>
                <w:lang w:val="en-US" w:eastAsia="zh-CN"/>
              </w:rPr>
            </w:pPr>
            <w:r>
              <w:rPr>
                <w:rFonts w:hint="default" w:ascii="Times New Roman" w:hAnsi="Times New Roman" w:eastAsia="方正仿宋_GBK" w:cs="Times New Roman"/>
                <w:sz w:val="24"/>
                <w:szCs w:val="24"/>
                <w:vertAlign w:val="baseline"/>
                <w:lang w:val="en-US" w:eastAsia="zh-CN"/>
              </w:rPr>
              <w:t>全自动核酸提取仪D</w:t>
            </w:r>
          </w:p>
        </w:tc>
      </w:tr>
    </w:tbl>
    <w:p>
      <w:pPr>
        <w:widowControl w:val="0"/>
        <w:numPr>
          <w:ilvl w:val="0"/>
          <w:numId w:val="2"/>
        </w:numPr>
        <w:overflowPunct/>
        <w:autoSpaceDE/>
        <w:autoSpaceDN/>
        <w:adjustRightInd/>
        <w:spacing w:line="480" w:lineRule="auto"/>
        <w:jc w:val="both"/>
        <w:textAlignment w:val="auto"/>
        <w:rPr>
          <w:rFonts w:hint="default" w:ascii="Times New Roman" w:hAnsi="Times New Roman" w:eastAsia="方正楷体_GBK" w:cs="Times New Roman"/>
          <w:b/>
          <w:bCs w:val="0"/>
          <w:kern w:val="2"/>
          <w:sz w:val="28"/>
          <w:szCs w:val="28"/>
          <w:lang w:val="en-US" w:eastAsia="zh-CN"/>
        </w:rPr>
      </w:pPr>
      <w:r>
        <w:rPr>
          <w:rFonts w:hint="eastAsia" w:eastAsia="方正楷体_GBK" w:cs="Times New Roman"/>
          <w:b/>
          <w:bCs w:val="0"/>
          <w:kern w:val="2"/>
          <w:sz w:val="28"/>
          <w:szCs w:val="28"/>
          <w:lang w:val="en-US" w:eastAsia="zh-CN"/>
        </w:rPr>
        <w:t>低温恒温</w:t>
      </w:r>
      <w:r>
        <w:rPr>
          <w:rFonts w:hint="default" w:ascii="Times New Roman" w:hAnsi="Times New Roman" w:eastAsia="方正楷体_GBK" w:cs="Times New Roman"/>
          <w:b/>
          <w:bCs w:val="0"/>
          <w:kern w:val="2"/>
          <w:sz w:val="28"/>
          <w:szCs w:val="28"/>
          <w:lang w:val="en-US" w:eastAsia="zh-CN"/>
        </w:rPr>
        <w:t>培养箱</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1</w:t>
      </w:r>
      <w:r>
        <w:rPr>
          <w:rFonts w:hint="default" w:ascii="Times New Roman" w:hAnsi="Times New Roman" w:eastAsia="方正仿宋_GBK" w:cs="Times New Roman"/>
          <w:b w:val="0"/>
          <w:bCs/>
          <w:kern w:val="2"/>
          <w:sz w:val="28"/>
          <w:szCs w:val="28"/>
          <w:lang w:eastAsia="zh-CN"/>
        </w:rPr>
        <w:t>.主要用途</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微生物培养</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.主要技术指标</w:t>
      </w:r>
      <w:r>
        <w:rPr>
          <w:rFonts w:hint="default" w:ascii="Times New Roman" w:hAnsi="Times New Roman" w:eastAsia="方正仿宋_GBK" w:cs="Times New Roman"/>
          <w:b w:val="0"/>
          <w:bCs/>
          <w:kern w:val="2"/>
          <w:sz w:val="28"/>
          <w:szCs w:val="28"/>
          <w:lang w:eastAsia="zh-CN"/>
        </w:rPr>
        <w:tab/>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控温范围：不受室温影响，4-60℃度任意可控，温度分辨率：0.1℃</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波动度：±0.5℃</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均匀度：±1℃（37℃时）</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内部容积：≥400L，外形尺寸：宽度小于84cm或深度小于75cm。</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.5</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内胆采用304不锈钢制作</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.6</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LCD大屏数字显示屏显示各设定参数和实测参数</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.7</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压缩机采用自动控制，具有启动延时功能，有效保证压缩机使用寿命；并具备自动化霜功能。</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.8</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热风循环系统的风机能在高温下连续运转。</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.9</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隔板和隔条均为不锈钢材料。隔条焊接在内胆里面，放上隔板就箱抽屉式抽拉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.10</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安全功能：传感器故障报警、超温报警、独立式过升防止器、独立式超温保护器、过电流跳闸保护等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val="en-US" w:eastAsia="zh-CN"/>
        </w:rPr>
        <w:t>2</w:t>
      </w:r>
      <w:r>
        <w:rPr>
          <w:rFonts w:hint="default" w:ascii="Times New Roman" w:hAnsi="Times New Roman" w:eastAsia="方正仿宋_GBK" w:cs="Times New Roman"/>
          <w:b w:val="0"/>
          <w:bCs/>
          <w:kern w:val="2"/>
          <w:sz w:val="28"/>
          <w:szCs w:val="28"/>
          <w:lang w:eastAsia="zh-CN"/>
        </w:rPr>
        <w:t>.11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设备底部有万向活动脚轮。</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3</w:t>
      </w:r>
      <w:r>
        <w:rPr>
          <w:rFonts w:hint="default" w:ascii="Times New Roman" w:hAnsi="Times New Roman" w:eastAsia="方正仿宋_GBK" w:cs="Times New Roman"/>
          <w:b w:val="0"/>
          <w:bCs/>
          <w:kern w:val="2"/>
          <w:sz w:val="28"/>
          <w:szCs w:val="28"/>
          <w:lang w:eastAsia="zh-CN"/>
        </w:rPr>
        <w:t>.配置</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标配</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 xml:space="preserve">. 售后服务    </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1）中标供应商应提供原产商质量保证和售后服务承诺书。在质量保证期内设备发生故障，中标供应商应免费提供原厂商售后维修和更换零件服务。中标供应商能响应故障处理请求和电话咨询，提供5x8小时，2小时内响应和24小时内派人到现场维修的售后服务。中标供应商应提供维保人员名单、联系电话等。（2）免费提供硬件许可条件下的终身软件升级服务。（3）中标价应包含产品的制造、材料费（主材及辅材）、运输、安装、验收、保修、税收、所有手续费等直至验收合格交付采购方使用的所有相关费用。中标价格在中标后的合同实施期间应保持不变，即不因市场价格或政策性价格的调整而增减（若因中标人责任而导致的需方依据合同条款对中标人的扣款处罚除外）。</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1）合同签订后，在1周内中标供应商将仪器操作间的装修要求和水、电、气要求通知采购方；中标供应商负责将设备运至采购人指定的地点，免费负责安装。（2）货到后，中标供应商负责派技术人员到现场进行安装、调试，直至验收合格。</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1）仪器在安装调试同时，中标供应商负责免费派工程师对用户就仪器原理、基本操作、数据处理、基本维护进行现场培训，使采购方用户能正常操作。（2）整机安装完毕后，提供至少7天的现场培训和指导。（3）免费提供（含差旅费和住宿费）2名技术人员到厂家在国内的培训中心进行培训。</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1）中标供应商须提供产品的原厂技术文件以及验收要求的校准文件或计量证书。属于中华人民共和国强制检定计量器具，中标供应商须负责提供法定计量证书。所需费用由中标供应商承担。（2）中标供应商设备供货、安装施工、调试、工程验收、货物运输、售后服务等均应符合国家相关法律、法规以及国家标准、相关行业标准。中标供应商提供设备的制造标准、安装标准及技术规范等有关资料必须符合国家相应的有关标准、规范要求。（3）中标供应商应向采购方提供完整的设备技术资料、货物制造商的出厂检验报告、合格证书、产品保证书、认证书、及政府许可证明、说明书等，保证产品和安装材料是新生产、未经过使用的原装原厂正品。如在交付使用前发生设备损坏和不合格，采购方有权要求退货，因此造成的一切损失由供应商承担。（4）中标供应商根据合同要求进行系统安装、调试后，由采购方进行使用性能方面的验收，确保在使用过程内具有满意的性能。如质量不符合要求，供应商应无条件及时更换并不得以任何原因拖延。（5）采购方根据招标文件、中标供应商的竞标文件、合同、制造厂商的产品验收标准及中华人民共和国有关标准进行验收。采购方有权委托中国具权威资质机构对设备的灵敏度、测量精度等技术性能进行验收。因中标供应商所提供的产品带“★”的项目未达到招标文件中技术性能指标的，一律拒收，不予付款，采购方有权因此终止合同的执行，中标商将自行承担所有经济损失；同时，采购方将保留向中标供应商因设备延迟到位而造成对口岸检验业务的不良影响追索相应“违约”责任的权利。</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.5</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提供3年整机原厂质保服务</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.6</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厂家工程师现场免费安装，调试，培训；终生维护</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val="en-US" w:eastAsia="zh-CN"/>
        </w:rPr>
        <w:t>4</w:t>
      </w:r>
      <w:r>
        <w:rPr>
          <w:rFonts w:hint="default" w:ascii="Times New Roman" w:hAnsi="Times New Roman" w:eastAsia="方正仿宋_GBK" w:cs="Times New Roman"/>
          <w:b w:val="0"/>
          <w:bCs/>
          <w:kern w:val="2"/>
          <w:sz w:val="28"/>
          <w:szCs w:val="28"/>
          <w:lang w:eastAsia="zh-CN"/>
        </w:rPr>
        <w:t>.7</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供货期</w:t>
      </w:r>
      <w:r>
        <w:rPr>
          <w:rFonts w:hint="eastAsia" w:eastAsia="方正仿宋_GBK" w:cs="Times New Roman"/>
          <w:b w:val="0"/>
          <w:bCs/>
          <w:kern w:val="2"/>
          <w:sz w:val="28"/>
          <w:szCs w:val="28"/>
          <w:lang w:val="en-US" w:eastAsia="zh-CN"/>
        </w:rPr>
        <w:t>45</w:t>
      </w:r>
      <w:r>
        <w:rPr>
          <w:rFonts w:hint="default" w:ascii="Times New Roman" w:hAnsi="Times New Roman" w:eastAsia="方正仿宋_GBK" w:cs="Times New Roman"/>
          <w:b w:val="0"/>
          <w:bCs/>
          <w:kern w:val="2"/>
          <w:sz w:val="28"/>
          <w:szCs w:val="28"/>
          <w:lang w:eastAsia="zh-CN"/>
        </w:rPr>
        <w:t>天</w:t>
      </w:r>
    </w:p>
    <w:p>
      <w:pPr>
        <w:widowControl w:val="0"/>
        <w:numPr>
          <w:ilvl w:val="0"/>
          <w:numId w:val="2"/>
        </w:numPr>
        <w:overflowPunct/>
        <w:autoSpaceDE/>
        <w:autoSpaceDN/>
        <w:adjustRightInd/>
        <w:spacing w:line="480" w:lineRule="auto"/>
        <w:jc w:val="both"/>
        <w:textAlignment w:val="auto"/>
        <w:rPr>
          <w:rFonts w:hint="default" w:ascii="Times New Roman" w:hAnsi="Times New Roman" w:eastAsia="方正楷体_GBK" w:cs="Times New Roman"/>
          <w:b/>
          <w:bCs w:val="0"/>
          <w:kern w:val="2"/>
          <w:sz w:val="28"/>
          <w:szCs w:val="28"/>
          <w:lang w:val="en-US" w:eastAsia="zh-CN"/>
        </w:rPr>
      </w:pPr>
      <w:r>
        <w:rPr>
          <w:rFonts w:hint="default" w:ascii="Times New Roman" w:hAnsi="Times New Roman" w:eastAsia="方正楷体_GBK" w:cs="Times New Roman"/>
          <w:b/>
          <w:bCs w:val="0"/>
          <w:kern w:val="2"/>
          <w:sz w:val="28"/>
          <w:szCs w:val="28"/>
          <w:lang w:val="en-US" w:eastAsia="zh-CN"/>
        </w:rPr>
        <w:t>高通量核酸纯化仪</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1．特殊资质要求</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仪器与原厂试剂均经过CFDA认证</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2.主要用途</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应用：磁珠法全自动分离纯化DNA、RNA和总核酸（PCR级纯度）</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3.主要技术指标</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ab/>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技术参数</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1.1适用样本：细菌、真菌、全血、白细胞、外周血、单核细胞、培养细胞、组织、石蜡包埋组织切片、体液、拭子、粪便、尿液、痰液、食品等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纯化技术：经典的磁珠分离法，有效避免膜过滤法生成气溶胶问题出现。</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纯化位置：分离纯化全过程在专门设计的样本处理架内完成，高产率高纯度地分离纯化核酸成分</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1.4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仪器通量：可同时处理1-96个样本，单次运行时间：约50分钟/每96个样本</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1.5</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单次运行支持最大样本种类：单次运行最多支持10种不同类型样本同时进行分离纯化，如：全血、血浆、痰液、尿液、拭子、脑脊液、粪便、新鲜/冰冻组织等。运行所需准备时间：包括样本、试剂及耗材的摆放及程序设置等所有手动步骤时间共计&lt; 5分钟</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1.6</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产物纯度：200μl血样组织样本DNA产量≥ 5 μg；106培养细胞RNA产量≥5 μg，纯度D260/280=1.9±0.1</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w:t>
      </w:r>
      <w:r>
        <w:rPr>
          <w:rFonts w:hint="default" w:ascii="Times New Roman" w:hAnsi="Times New Roman" w:eastAsia="方正仿宋_GBK" w:cs="Times New Roman"/>
          <w:b w:val="0"/>
          <w:bCs/>
          <w:kern w:val="2"/>
          <w:sz w:val="28"/>
          <w:szCs w:val="28"/>
          <w:lang w:val="en-US" w:eastAsia="zh-CN"/>
        </w:rPr>
        <w:t>7</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起始样本体积：50-500μl（每批96个样本），50-1000μl（每批48个样本）</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w:t>
      </w:r>
      <w:r>
        <w:rPr>
          <w:rFonts w:hint="default" w:ascii="Times New Roman" w:hAnsi="Times New Roman" w:eastAsia="方正仿宋_GBK" w:cs="Times New Roman"/>
          <w:b w:val="0"/>
          <w:bCs/>
          <w:kern w:val="2"/>
          <w:sz w:val="28"/>
          <w:szCs w:val="28"/>
          <w:lang w:val="en-US" w:eastAsia="zh-CN"/>
        </w:rPr>
        <w:t>8</w:t>
      </w:r>
      <w:r>
        <w:rPr>
          <w:rFonts w:hint="default" w:ascii="Times New Roman" w:hAnsi="Times New Roman" w:eastAsia="方正仿宋_GBK" w:cs="Times New Roman"/>
          <w:b w:val="0"/>
          <w:bCs/>
          <w:kern w:val="2"/>
          <w:sz w:val="28"/>
          <w:szCs w:val="28"/>
          <w:lang w:eastAsia="zh-CN"/>
        </w:rPr>
        <w:t>运行前准备时间：包括样本、试剂及耗材的摆放及程序设置等所有手动步骤时间共计&lt; 5分钟</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移液系统</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2.1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内置2个移液机械臂，移取机械臂与9样本移取机械臂各一，样本与试剂移取过程完全独立</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2.2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96道机械臂可灵活组合通道数量</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2.3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试剂移取臂工作原理：通过针孔穿刺式方法吸取提取试剂，避免试剂在空气中挥发及交叉污染</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加热模块：</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加热模块：温控范围20-100℃</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 xml:space="preserve">4 </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制冷模块</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 xml:space="preserve">4.1 </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致冷模块：仪器内部洗脱产物处设有原厂标配致冷模块，可冷却至5-10℃，用于抽提实验完成后的核酸过夜保存，有效提高实验人员的工作效率。</w:t>
      </w:r>
    </w:p>
    <w:p>
      <w:pPr>
        <w:widowControl w:val="0"/>
        <w:numPr>
          <w:ilvl w:val="0"/>
          <w:numId w:val="3"/>
        </w:numPr>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磁珠混匀模块</w:t>
      </w:r>
    </w:p>
    <w:p>
      <w:pPr>
        <w:widowControl w:val="0"/>
        <w:numPr>
          <w:ilvl w:val="0"/>
          <w:numId w:val="0"/>
        </w:numPr>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5.1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仪器内置振荡装置，自动完成磁珠混匀，无需手动步骤</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安全性</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6.1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仪器内置2根固定式紫外灯，有效防止样品间的交叉污染和进行消毒处理；且灯管不随机械臂移动而移动，保证运行安全性和实验人员的健康。</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自动检测功能：具有红外感应器，可检测移液枪头是否缺失</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6.3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内置液滴捕获装置：有效防止样本分离过程中可能的液滴散落</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具有专门废液收集、废弃耗材收集措施，位置设计合理，严格进行固液分离处理，避免扩散污染</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6.5</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配置条码扫描器：对纯化试剂，样本，耗材进行全面监控和记录</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6.6</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密闭性：整个实验过程中无需开机器外盖，无需人工手动步骤，防止样品孔间污染和生物危害</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6.7</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整机不采用真空泵等其它可能引入污染的装备</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7</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控制系统</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7.1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仪器控制：全电脑控制</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7.2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LIS规格：可通过LAN接入实验室信息管理系统LIS并进行数据传输</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7.3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软件特色：可以控制不同的标本、不同目的的分离纯化流程；可以方便地更新分离纯化的流程文件及洗脱文件，以达到特殊标本的特殊要求</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7.4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质控性能：标配软件提供符合FDA 21 CFR Part 11法规，便于数据溯源</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7.5</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预装抽屉式DNA，RNA和总核酸纯化试剂盒等，且具有CE-IVD标识</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8</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配置</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8.1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主机（含双机械臂、加热模块、制冷模块、混匀模块、2个紫外灯）</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8.2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控制系统</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8.3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开机</w:t>
      </w:r>
      <w:r>
        <w:rPr>
          <w:rFonts w:hint="eastAsia" w:eastAsia="方正仿宋_GBK" w:cs="Times New Roman"/>
          <w:b w:val="0"/>
          <w:bCs/>
          <w:kern w:val="2"/>
          <w:sz w:val="28"/>
          <w:szCs w:val="28"/>
          <w:lang w:val="en-US" w:eastAsia="zh-CN"/>
        </w:rPr>
        <w:t>及调试</w:t>
      </w:r>
      <w:r>
        <w:rPr>
          <w:rFonts w:hint="default" w:ascii="Times New Roman" w:hAnsi="Times New Roman" w:eastAsia="方正仿宋_GBK" w:cs="Times New Roman"/>
          <w:b w:val="0"/>
          <w:bCs/>
          <w:kern w:val="2"/>
          <w:sz w:val="28"/>
          <w:szCs w:val="28"/>
          <w:lang w:eastAsia="zh-CN"/>
        </w:rPr>
        <w:t>试剂耗材</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 xml:space="preserve">4. 售后服务    </w:t>
      </w:r>
      <w:r>
        <w:rPr>
          <w:rFonts w:hint="default" w:ascii="Times New Roman" w:hAnsi="Times New Roman" w:eastAsia="方正仿宋_GBK" w:cs="Times New Roman"/>
          <w:b w:val="0"/>
          <w:bCs/>
          <w:kern w:val="2"/>
          <w:sz w:val="28"/>
          <w:szCs w:val="28"/>
          <w:lang w:eastAsia="zh-CN"/>
        </w:rPr>
        <w:tab/>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 xml:space="preserve">4.1售后服务与培训：（1）中标供应商应提供原产商质量保证和售后服务承诺书。在质量保证期内设备发生故障，中标供应商应免费提供原厂商售后维修和更换零件服务。合同签订后，在1周内中标供应商将仪器操作间的装修要求和水、电、气要求通知采购方；（2）中标供应商负责将设备运至采购人指定的地点，免费负责安装，免费现场培训及技术应用培训。中标价应包含产品的制造、材料费（主材及辅材）、运输、安装、验收、保修、税收、所有手续费等直至验收合格交付采购方使用的所有相关费用。中标价格在中标后的合同实施期间应保持不变，即不因市场价格或政策性价格的调整而增减（若因中标人责任而导致的需方依据合同条款对中标人的扣款处罚除外）；（3）货到后，中标供应商负责派技术人员到现场进行安装、调试，直至验收合格；（4）现场培训。仪器在安装调试同时，中标供应商负责免费派工程师对用户就仪器原理和基本操作进行现场培训，使采购方用户能正常操作；★（5）免费（含差旅费和住宿费）提供对我单位2名技术人员到医院进行相同设备专项技能培训。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★（6）中标供应商在能响应故障处理请求和电话咨询，提供2小时内响应和24小时内派人到现场维修的售后服务。中标供应商应提供维保人员名单、联系电话等。"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4.2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验收：（1）中标供应商须提供产品的原厂技术文件以及验收要求的校准文件或计量证书。属于中华人民共和国强制检定计量器具，中标供应商须负责提供法定计量证书。所需费用由中标供应商承担。（2）中标供应商设备供货、安装施工、调试、工程验收、货物运输、售后服务等均应符合国家相关法律、法规以及国家标准、相关行业标准。中标供应商提供设备的制造标准、安装标准及技术规范等有关资料必须符合国家相应的有关标准、规范要求。（3）中标供应商应向采购方提供完整的设备技术资料、货物制造商的出厂检验报告、合格证书、产品保证书、认证书、及政府许可证明、说明书等，保证产品和安装材料是新生产、未经过使用的原装原厂正品。如在交付使用前发生设备损坏和不合格，采购方有权要求退货，因此造成的一切损失由供应商承担。（4）中标供应商根据合同要求进行系统安装、调试后，由采购方进行使用性能方面的验收，确保在使用过程内具有满意的性能。如质量不符合要求，供应商应无条件及时更换并不得以任何原因拖延。（5）采购方根据招标文件、中标供应商的竞标文件、合同、制造厂商的产品验收标准及中华人民共和国有关标准进行验收。采购方有权委托中国具权威资质机构对设备的灵敏度、测量精度等技术性能进行验收。因中标供应商所提供的产品未达到招标文件中技术性能指标的，一律拒收，不予付款，采购方有权因此终止合同的执行，中标商将自行承担所有经济损失；同时，采购方将保留向中标供应商因设备延迟到位而造成对口岸检验业务的不良影响追索相应“违约”责任的权利。</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4.3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（1）交货地点：客户指定；★（2）交货期：中标供应商提供的交货期不得超过正式签订合同后</w:t>
      </w:r>
      <w:r>
        <w:rPr>
          <w:rFonts w:hint="eastAsia" w:eastAsia="方正仿宋_GBK" w:cs="Times New Roman"/>
          <w:b w:val="0"/>
          <w:bCs/>
          <w:kern w:val="2"/>
          <w:sz w:val="28"/>
          <w:szCs w:val="28"/>
          <w:lang w:val="en-US" w:eastAsia="zh-CN"/>
        </w:rPr>
        <w:t>45</w:t>
      </w:r>
      <w:r>
        <w:rPr>
          <w:rFonts w:hint="default" w:ascii="Times New Roman" w:hAnsi="Times New Roman" w:eastAsia="方正仿宋_GBK" w:cs="Times New Roman"/>
          <w:b w:val="0"/>
          <w:bCs/>
          <w:kern w:val="2"/>
          <w:sz w:val="28"/>
          <w:szCs w:val="28"/>
          <w:lang w:eastAsia="zh-CN"/>
        </w:rPr>
        <w:t>日的交货期时间。供应商应予以特别注意：如出现未能到期供货的情况，采购方有权单方终止合同的执行，所有的经济损失由逾期供货商单方承担。★（3）保修期：本项目的质量保证期为设备验收合格后 1 年，并提供仪器终身维修服务。</w:t>
      </w:r>
    </w:p>
    <w:p>
      <w:pPr>
        <w:widowControl w:val="0"/>
        <w:overflowPunct/>
        <w:autoSpaceDE/>
        <w:autoSpaceDN/>
        <w:adjustRightInd/>
        <w:spacing w:line="480" w:lineRule="auto"/>
        <w:jc w:val="both"/>
        <w:textAlignment w:val="auto"/>
        <w:rPr>
          <w:rFonts w:hint="default" w:ascii="Times New Roman" w:hAnsi="Times New Roman" w:eastAsia="仿宋" w:cs="Times New Roman"/>
          <w:b/>
          <w:kern w:val="2"/>
          <w:sz w:val="28"/>
          <w:szCs w:val="28"/>
          <w:lang w:eastAsia="zh-CN"/>
        </w:rPr>
      </w:pPr>
      <w:r>
        <w:rPr>
          <w:rFonts w:hint="default" w:ascii="Times New Roman" w:hAnsi="Times New Roman" w:eastAsia="方正楷体_GBK" w:cs="Times New Roman"/>
          <w:b/>
          <w:bCs w:val="0"/>
          <w:kern w:val="2"/>
          <w:sz w:val="28"/>
          <w:szCs w:val="28"/>
          <w:lang w:val="en-US" w:eastAsia="zh-CN"/>
        </w:rPr>
        <w:t>（三）全自动核酸检测工作站</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1.特殊资质要求</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1.1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具有二类医疗器械注册证</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2.主要用途</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2.1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可操作血浆、血清、全血、拭子洗液等样本</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3.主要技术指标</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具备样品、试剂、耗材全自动信息识别，全自动核酸提取，全自动PCR反应体系构建，提取产物留样，紫外消毒等全套功能；</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通量：可灵活操作1~96个样本，且满足多个独立的PCR反应体系构建；</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试剂仓：PCR试剂仓避光设计，开机自动制冷（4℃~15℃），有试剂预混功能，可多管试剂载机连用，无需人工换管或补充；</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处理时间：50分钟以内可完成不少于90份样本的核酸提取；70分钟以内可完成不少于90人份的自动加样、核酸提取及PCR反应体系构建；</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3.5</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加样通道数：1~4个加样通道；移液范围：5~5000 μL；</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3.6</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移液性能：15μL以下：准确性：A≦2.0%，CV≦3.0%；15uL-50uL:准确性：A≦1.5%，CV≦1.5%；50μL准确性：偏差A≦1.0%，CV ≦1.2%</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3.7</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液面检测：电容感应、气压感应，可随液面吸排；非均质样本预混匀功能；</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 xml:space="preserve">3.8 </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耗材规格：兼容各种规格的采血管，1.5mL和2.0mL的离心管、冻存管及加样杯等；PCR配套耗材兼容0.1mL/0.2 mL八连管、96孔板</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3.9</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核酸提取方式：磁珠-核酸分子混合物共转移法；提取温控模块自带加热系统，裂解/洗脱两步骤“35℃~120℃”精确控温；</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3.10</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功能转换提示音：开仓、异常警告；耗材错误警告；实验结束蜂鸣提示；</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3.11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提取试剂配套：提取孔位4-6孔，支持多规格提取试剂（含单人份提取）；</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3.12</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防污染设计：核酸提取区域封闭、独立分区、气压调节，底部定向排风HEPA过滤,形成内部负压系统；气密性防滴落设计，电容及电压感应，外接液滴捕获全程监控；可根据不同需求定制外排风系统；实验仓、提取仓、废料区紫外灯消毒装置自动执行处理；消毒配件自动倒计时，更换提醒；</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3.13</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自动化信息传递：自动对样品条码逐个扫描，提取样本条码信息一键式传递LIS系统；自动识别提取试剂条码、PCR扩增试剂各组份信息，自动解析提取程序、信息运行程序；具有从核酸提取到PCR样品信息传递功能，可将样品条码信息一键式传递到PCR仪的设置；支持HL7协议连接LIS系统；USB、RS232端口；</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3.14</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可实时自动检测装载耗材、试剂的余量状态，并及时发出缺量警告和补充提示。</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4.配置</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4.1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设备主机</w:t>
      </w:r>
      <w:r>
        <w:rPr>
          <w:rFonts w:hint="default" w:ascii="Times New Roman" w:hAnsi="Times New Roman" w:eastAsia="方正仿宋_GBK" w:cs="Times New Roman"/>
          <w:b w:val="0"/>
          <w:bCs/>
          <w:kern w:val="2"/>
          <w:sz w:val="28"/>
          <w:szCs w:val="28"/>
          <w:lang w:val="en-US" w:eastAsia="zh-CN"/>
        </w:rPr>
        <w:t>（含双机械臂、加热模块、制冷模块、混匀模块、2个紫外灯）</w:t>
      </w:r>
      <w:r>
        <w:rPr>
          <w:rFonts w:hint="default" w:ascii="Times New Roman" w:hAnsi="Times New Roman" w:eastAsia="方正仿宋_GBK" w:cs="Times New Roman"/>
          <w:b w:val="0"/>
          <w:bCs/>
          <w:kern w:val="2"/>
          <w:sz w:val="28"/>
          <w:szCs w:val="28"/>
          <w:lang w:eastAsia="zh-CN"/>
        </w:rPr>
        <w:t>；</w:t>
      </w:r>
      <w:r>
        <w:rPr>
          <w:rFonts w:hint="eastAsia" w:eastAsia="方正仿宋_GBK" w:cs="Times New Roman"/>
          <w:b w:val="0"/>
          <w:bCs/>
          <w:kern w:val="2"/>
          <w:sz w:val="28"/>
          <w:szCs w:val="28"/>
          <w:lang w:val="en-US" w:eastAsia="zh-CN"/>
        </w:rPr>
        <w:t>开机及调试</w:t>
      </w:r>
      <w:r>
        <w:rPr>
          <w:rFonts w:hint="default" w:ascii="Times New Roman" w:hAnsi="Times New Roman" w:eastAsia="方正仿宋_GBK" w:cs="Times New Roman"/>
          <w:b w:val="0"/>
          <w:bCs/>
          <w:kern w:val="2"/>
          <w:sz w:val="28"/>
          <w:szCs w:val="28"/>
          <w:lang w:eastAsia="zh-CN"/>
        </w:rPr>
        <w:t>试剂耗材1套</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 xml:space="preserve">5. 售后服务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default" w:ascii="Times New Roman" w:hAnsi="Times New Roman" w:eastAsia="方正仿宋_GBK" w:cs="Times New Roman"/>
          <w:b w:val="0"/>
          <w:bCs/>
          <w:kern w:val="2"/>
          <w:sz w:val="28"/>
          <w:szCs w:val="28"/>
          <w:lang w:eastAsia="zh-CN"/>
        </w:rPr>
        <w:t>5.1</w:t>
      </w:r>
      <w:r>
        <w:rPr>
          <w:rFonts w:hint="default" w:ascii="Times New Roman" w:hAnsi="Times New Roman" w:eastAsia="方正仿宋_GBK" w:cs="Times New Roman"/>
          <w:b w:val="0"/>
          <w:bCs/>
          <w:kern w:val="2"/>
          <w:sz w:val="28"/>
          <w:szCs w:val="28"/>
          <w:lang w:eastAsia="zh-CN"/>
        </w:rPr>
        <w:tab/>
      </w:r>
      <w:r>
        <w:rPr>
          <w:rFonts w:hint="default" w:ascii="Times New Roman" w:hAnsi="Times New Roman" w:eastAsia="方正仿宋_GBK" w:cs="Times New Roman"/>
          <w:b w:val="0"/>
          <w:bCs/>
          <w:kern w:val="2"/>
          <w:sz w:val="28"/>
          <w:szCs w:val="28"/>
          <w:lang w:eastAsia="zh-CN"/>
        </w:rPr>
        <w:t>免费上门安装调试及提供操作培训；免费质保期2年；售后响应2小时内；48小时到现场</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5.2</w:t>
      </w:r>
      <w:r>
        <w:rPr>
          <w:rFonts w:hint="default" w:ascii="Times New Roman" w:hAnsi="Times New Roman" w:eastAsia="方正仿宋_GBK" w:cs="Times New Roman"/>
          <w:b w:val="0"/>
          <w:bCs/>
          <w:kern w:val="2"/>
          <w:sz w:val="28"/>
          <w:szCs w:val="28"/>
          <w:lang w:eastAsia="zh-CN"/>
        </w:rPr>
        <w:t>中标供应商应提供原产商质量保证和售后服务承诺书。在质量保证期内设备发生故障，中标供应商应免费提供原厂商售后维修和更换零件服务。合同签订后，在1周内中标供应商将仪器操作间的装修要求和水、电、气要求通知采购方</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5.3</w:t>
      </w:r>
      <w:r>
        <w:rPr>
          <w:rFonts w:hint="default" w:ascii="Times New Roman" w:hAnsi="Times New Roman" w:eastAsia="方正仿宋_GBK" w:cs="Times New Roman"/>
          <w:b w:val="0"/>
          <w:bCs/>
          <w:kern w:val="2"/>
          <w:sz w:val="28"/>
          <w:szCs w:val="28"/>
          <w:lang w:eastAsia="zh-CN"/>
        </w:rPr>
        <w:t>中标供应商负责将设备运至采购人指定的地点，免费负责安装，免费现场培训及技术应用培训。中标价应包含产品的制造、材料费（主材及辅材）、运输、安装、验收、保修、税收、所有手续费等直至验收合格交付采购方使用的所有相关费用。中标价格在中标后的合同实施期间应保持不变，即不因市场价格或政策性价格的调整而增减（若因中标人责任而导致的需方依据合同条款对中标人的扣款处罚除外）。</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5.4</w:t>
      </w:r>
      <w:r>
        <w:rPr>
          <w:rFonts w:hint="default" w:ascii="Times New Roman" w:hAnsi="Times New Roman" w:eastAsia="方正仿宋_GBK" w:cs="Times New Roman"/>
          <w:b w:val="0"/>
          <w:bCs/>
          <w:kern w:val="2"/>
          <w:sz w:val="28"/>
          <w:szCs w:val="28"/>
          <w:lang w:eastAsia="zh-CN"/>
        </w:rPr>
        <w:t>货到后，中标供应商负责派技术人员到现场进行安装、调试，直至验收合格。</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5.5</w:t>
      </w:r>
      <w:r>
        <w:rPr>
          <w:rFonts w:hint="default" w:ascii="Times New Roman" w:hAnsi="Times New Roman" w:eastAsia="方正仿宋_GBK" w:cs="Times New Roman"/>
          <w:b w:val="0"/>
          <w:bCs/>
          <w:kern w:val="2"/>
          <w:sz w:val="28"/>
          <w:szCs w:val="28"/>
          <w:lang w:eastAsia="zh-CN"/>
        </w:rPr>
        <w:t>现场培训。仪器在安装调试同时，中标供应商负责免费派工程师对用户就仪器原理和基本操作进行现场培训，使采购方用户能正常操作。</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5.6</w:t>
      </w:r>
      <w:r>
        <w:rPr>
          <w:rFonts w:hint="default" w:ascii="Times New Roman" w:hAnsi="Times New Roman" w:eastAsia="方正仿宋_GBK" w:cs="Times New Roman"/>
          <w:b w:val="0"/>
          <w:bCs/>
          <w:kern w:val="2"/>
          <w:sz w:val="28"/>
          <w:szCs w:val="28"/>
          <w:lang w:eastAsia="zh-CN"/>
        </w:rPr>
        <w:t>免费（含差旅费和住宿费）提供对我单位2名技术人员到</w:t>
      </w:r>
      <w:r>
        <w:rPr>
          <w:rFonts w:hint="default" w:ascii="Times New Roman" w:hAnsi="Times New Roman" w:eastAsia="方正仿宋_GBK" w:cs="Times New Roman"/>
          <w:b w:val="0"/>
          <w:bCs/>
          <w:kern w:val="2"/>
          <w:sz w:val="28"/>
          <w:szCs w:val="28"/>
          <w:lang w:val="en-US" w:eastAsia="zh-CN"/>
        </w:rPr>
        <w:t>相关机构</w:t>
      </w:r>
      <w:r>
        <w:rPr>
          <w:rFonts w:hint="default" w:ascii="Times New Roman" w:hAnsi="Times New Roman" w:eastAsia="方正仿宋_GBK" w:cs="Times New Roman"/>
          <w:b w:val="0"/>
          <w:bCs/>
          <w:kern w:val="2"/>
          <w:sz w:val="28"/>
          <w:szCs w:val="28"/>
          <w:lang w:eastAsia="zh-CN"/>
        </w:rPr>
        <w:t xml:space="preserve">进行相同设备专项技能培训。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5.7</w:t>
      </w:r>
      <w:r>
        <w:rPr>
          <w:rFonts w:hint="default" w:ascii="Times New Roman" w:hAnsi="Times New Roman" w:eastAsia="方正仿宋_GBK" w:cs="Times New Roman"/>
          <w:b w:val="0"/>
          <w:bCs/>
          <w:kern w:val="2"/>
          <w:sz w:val="28"/>
          <w:szCs w:val="28"/>
          <w:lang w:eastAsia="zh-CN"/>
        </w:rPr>
        <w:t>中标供应商在能响应故障处理请求和电话咨询，提供2小时内响应和</w:t>
      </w:r>
      <w:r>
        <w:rPr>
          <w:rFonts w:hint="default" w:ascii="Times New Roman" w:hAnsi="Times New Roman" w:eastAsia="方正仿宋_GBK" w:cs="Times New Roman"/>
          <w:b w:val="0"/>
          <w:bCs/>
          <w:kern w:val="2"/>
          <w:sz w:val="28"/>
          <w:szCs w:val="28"/>
          <w:lang w:val="en-US" w:eastAsia="zh-CN"/>
        </w:rPr>
        <w:t>48</w:t>
      </w:r>
      <w:r>
        <w:rPr>
          <w:rFonts w:hint="default" w:ascii="Times New Roman" w:hAnsi="Times New Roman" w:eastAsia="方正仿宋_GBK" w:cs="Times New Roman"/>
          <w:b w:val="0"/>
          <w:bCs/>
          <w:kern w:val="2"/>
          <w:sz w:val="28"/>
          <w:szCs w:val="28"/>
          <w:lang w:eastAsia="zh-CN"/>
        </w:rPr>
        <w:t>小时内派人到现场维修的售后服务。中标供应商应提供维保人员名单、联系电话等。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5.8</w:t>
      </w:r>
      <w:r>
        <w:rPr>
          <w:rFonts w:hint="default" w:ascii="Times New Roman" w:hAnsi="Times New Roman" w:eastAsia="方正仿宋_GBK" w:cs="Times New Roman"/>
          <w:b w:val="0"/>
          <w:bCs/>
          <w:kern w:val="2"/>
          <w:sz w:val="28"/>
          <w:szCs w:val="28"/>
          <w:lang w:eastAsia="zh-CN"/>
        </w:rPr>
        <w:t>验收</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5.8.1</w:t>
      </w:r>
      <w:r>
        <w:rPr>
          <w:rFonts w:hint="default" w:ascii="Times New Roman" w:hAnsi="Times New Roman" w:eastAsia="方正仿宋_GBK" w:cs="Times New Roman"/>
          <w:b w:val="0"/>
          <w:bCs/>
          <w:kern w:val="2"/>
          <w:sz w:val="28"/>
          <w:szCs w:val="28"/>
          <w:lang w:eastAsia="zh-CN"/>
        </w:rPr>
        <w:t>中标供应商须提供产品的原厂技术文件以及验收要求的校准文件或计量证书。属于中华人民共和国强制检定计量器具，中标供应商须负责提供法定计量证书。所需费用由中标供应商承担。</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5.8.2</w:t>
      </w:r>
      <w:r>
        <w:rPr>
          <w:rFonts w:hint="default" w:ascii="Times New Roman" w:hAnsi="Times New Roman" w:eastAsia="方正仿宋_GBK" w:cs="Times New Roman"/>
          <w:b w:val="0"/>
          <w:bCs/>
          <w:kern w:val="2"/>
          <w:sz w:val="28"/>
          <w:szCs w:val="28"/>
          <w:lang w:eastAsia="zh-CN"/>
        </w:rPr>
        <w:t>中标供应商设备供货、安装施工、调试、工程验收、货物运输、售后服务等均应符合国家相关法律、法规以及国家标准、相关行业标准。中标供应商提供设备的制造标准、安装标准及技术规范等有关资料必须符合国家相应的有关标准、规范要求。</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5.8.3</w:t>
      </w:r>
      <w:r>
        <w:rPr>
          <w:rFonts w:hint="default" w:ascii="Times New Roman" w:hAnsi="Times New Roman" w:eastAsia="方正仿宋_GBK" w:cs="Times New Roman"/>
          <w:b w:val="0"/>
          <w:bCs/>
          <w:kern w:val="2"/>
          <w:sz w:val="28"/>
          <w:szCs w:val="28"/>
          <w:lang w:eastAsia="zh-CN"/>
        </w:rPr>
        <w:t>中标供应商应向采购方提供完整的设备技术资料、货物制造商的出厂检验报告、合格证书、产品保证书、认证书、及政府许可证明、说明书等，保证产品和安装材料是新生产、未经过使用的原装原厂正品。如在交付使用前发生设备损坏和不合格，采购方有权要求退货，因此造成的一切损失由供应商承担。</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5.8.4</w:t>
      </w:r>
      <w:r>
        <w:rPr>
          <w:rFonts w:hint="default" w:ascii="Times New Roman" w:hAnsi="Times New Roman" w:eastAsia="方正仿宋_GBK" w:cs="Times New Roman"/>
          <w:b w:val="0"/>
          <w:bCs/>
          <w:kern w:val="2"/>
          <w:sz w:val="28"/>
          <w:szCs w:val="28"/>
          <w:lang w:eastAsia="zh-CN"/>
        </w:rPr>
        <w:t>中标供应商根据合同要求进行系统安装、调试后，由采购方进行使用性能方面的验收，确保在使用过程内具有满意的性能。如质量不符合要求，供应商应无条件及时更换并不得以任何原因拖延。</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eastAsia="zh-CN"/>
        </w:rPr>
      </w:pPr>
      <w:r>
        <w:rPr>
          <w:rFonts w:hint="eastAsia" w:eastAsia="方正仿宋_GBK" w:cs="Times New Roman"/>
          <w:b w:val="0"/>
          <w:bCs/>
          <w:kern w:val="2"/>
          <w:sz w:val="28"/>
          <w:szCs w:val="28"/>
          <w:lang w:val="en-US" w:eastAsia="zh-CN"/>
        </w:rPr>
        <w:t>5.8.5</w:t>
      </w:r>
      <w:r>
        <w:rPr>
          <w:rFonts w:hint="default" w:ascii="Times New Roman" w:hAnsi="Times New Roman" w:eastAsia="方正仿宋_GBK" w:cs="Times New Roman"/>
          <w:b w:val="0"/>
          <w:bCs/>
          <w:kern w:val="2"/>
          <w:sz w:val="28"/>
          <w:szCs w:val="28"/>
          <w:lang w:eastAsia="zh-CN"/>
        </w:rPr>
        <w:t>采购方根据招标文件、中标供应商的竞标文件、合同、制造厂商的产品验收标准及中华人民共和国有关标准进行验收。采购方有权委托中国具权威资质机构对设备的灵敏度、测量精度等技术性能进行验收。因中标供应商所提供的产品未达到招标文件中技术性能指标的，一律拒收，不予付款，采购方有权因此终止合同的执行，中标商将自行承担所有经济损失；同时，采购方将保留向中标供应商因设备延迟到位而造成对口岸检验业务的不良影响追索相应“违约”责任的权利。</w:t>
      </w:r>
    </w:p>
    <w:p>
      <w:pPr>
        <w:widowControl w:val="0"/>
        <w:overflowPunct/>
        <w:autoSpaceDE/>
        <w:autoSpaceDN/>
        <w:adjustRightInd/>
        <w:spacing w:line="480" w:lineRule="auto"/>
        <w:jc w:val="both"/>
        <w:textAlignment w:val="auto"/>
        <w:rPr>
          <w:rFonts w:hint="default" w:ascii="Times New Roman" w:hAnsi="Times New Roman" w:eastAsia="方正楷体_GBK" w:cs="Times New Roman"/>
          <w:b/>
          <w:bCs w:val="0"/>
          <w:kern w:val="2"/>
          <w:sz w:val="28"/>
          <w:szCs w:val="28"/>
          <w:lang w:val="en-US" w:eastAsia="zh-CN"/>
        </w:rPr>
      </w:pPr>
      <w:r>
        <w:rPr>
          <w:rFonts w:hint="default" w:ascii="Times New Roman" w:hAnsi="Times New Roman" w:eastAsia="方正楷体_GBK" w:cs="Times New Roman"/>
          <w:b/>
          <w:bCs w:val="0"/>
          <w:kern w:val="2"/>
          <w:sz w:val="28"/>
          <w:szCs w:val="28"/>
          <w:lang w:val="en-US" w:eastAsia="zh-CN"/>
        </w:rPr>
        <w:t>（四）全自动蛋白分析系统</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1.主要用途</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1.1</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采用毛细管电泳原理，可用于DNA、RNA、蛋白电泳分析，能进行全自动核酸片段大小测定、核酸质控、NGS质检、浓度测定、微卫星分析等。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2.主要技术指标</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2.1</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光源：LED光源，高灵敏度光电倍增管检测；</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2.2</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自动化程度：采用预装式卡夹，即插即用，制胶、灌胶、上样、添加染料、清洗毛细管、更换毛细管模块等步骤全自动、无须人工操作；</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2.3</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 xml:space="preserve">上样形式：可兼容常规单管0.2mL PCR管、常规8联管、12联管；可直接96孔板上样；可搭配专用微量管，样品管中溶液需求量最低1μL；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2.4</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单次可完成1个至96个不同数量样品的自动检测分析；</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2.5</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分析时间：最快可1~2分钟内完成单次电泳分析；</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2.6</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检测片段范围：15bp至50kb以上；</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2.7</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灵敏度：无需对样品进行纯化，可直接对PCR产物原液进行检测，DNA样品的检测灵敏度可达2pg/μL；</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2.8</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样品上样量：小于0.1μL；</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2.9</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卡夹：提供预制胶卡夹，适用于DNA高分辨率分析、DNA标准卡夹、DNA快速筛查分析、RNA质量控制分析等应用；具有RNA完整性评估值RQN值和DNA完整性评估值DQN值；</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2.10</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分辨率：对&lt;500bp的DNA片段，分辨率可达1~4bp；对200bp片段，分辨率可达2bp；</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2.11</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系统中仪器、耗材及检测过程全封闭式、无污染；</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2.12</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可选择通卡夹配件，在仪器外部对卡夹进行通胶、置换，可对过期卡夹或者保存不当卡夹进行处理；</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2.13</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采用空气压缩机或其他给压装置；无需氮气钢瓶，无需后期灌气；</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2.14</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软件功能：中文版本软件可自动输出电泳胶图、峰图、样品浓度、片段大小等数据，可以报告形式完整打印输出PDF、 WORD、JPG等报告格式。</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3.配置</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ab/>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3.1</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 xml:space="preserve">主机一台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3.2</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操作电脑一台</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3.3</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分析软件一套，预制胶卡夹1个，DNA  Alignment  Marker 1支，DNA  SIZE  Marker 1 支，缓冲液试剂一套</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 xml:space="preserve">4. 售后服务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4.1</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厂家提供上门安装调试，免费提供后期使用操作培训服务；</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4.2</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免费质保时间不少于2年；</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4.3</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售后服务响应时间不超过2小时，48小时内可到达现场；</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4.4</w:t>
      </w:r>
      <w:r>
        <w:rPr>
          <w:rFonts w:hint="default" w:ascii="Times New Roman" w:hAnsi="Times New Roman" w:eastAsia="方正仿宋_GBK" w:cs="Times New Roman"/>
          <w:b w:val="0"/>
          <w:bCs/>
          <w:kern w:val="2"/>
          <w:sz w:val="28"/>
          <w:szCs w:val="28"/>
          <w:lang w:val="en-US" w:eastAsia="zh-CN"/>
        </w:rPr>
        <w:t>中标供应商应提供原产商质量保证和售后服务承诺书。在质量保证期内设备发生故障，中标供应商应免费提供原厂商售后维修和更换零件服务。合同签订后，在1周内中标供应商将仪器操作间的装修要求和水、电、气要求通知采购方。</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4.5</w:t>
      </w:r>
      <w:r>
        <w:rPr>
          <w:rFonts w:hint="default" w:ascii="Times New Roman" w:hAnsi="Times New Roman" w:eastAsia="方正仿宋_GBK" w:cs="Times New Roman"/>
          <w:b w:val="0"/>
          <w:bCs/>
          <w:kern w:val="2"/>
          <w:sz w:val="28"/>
          <w:szCs w:val="28"/>
          <w:lang w:val="en-US" w:eastAsia="zh-CN"/>
        </w:rPr>
        <w:t>中标供应商负责将设备运至采购人指定的地点，免费负责安装，免费现场培训及技术应用培训。中标价应包含产品的制造、材料费（主材及辅材）、运输、安装、验收、保修、税收、所有手续费等直至验收合格交付采购方使用的所有相关费用。中标价格在中标后的合同实施期间应保持不变，即不因市场价格或政策性价格的调整而增减（若因中标人责任而导致的需方依据合同条款对中标人的扣款处罚除外）。</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4.6</w:t>
      </w:r>
      <w:r>
        <w:rPr>
          <w:rFonts w:hint="default" w:ascii="Times New Roman" w:hAnsi="Times New Roman" w:eastAsia="方正仿宋_GBK" w:cs="Times New Roman"/>
          <w:b w:val="0"/>
          <w:bCs/>
          <w:kern w:val="2"/>
          <w:sz w:val="28"/>
          <w:szCs w:val="28"/>
          <w:lang w:val="en-US" w:eastAsia="zh-CN"/>
        </w:rPr>
        <w:t>货到后，中标供应商负责派技术人员到现场进行安装、调试，直至验收合格。</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4.7</w:t>
      </w:r>
      <w:r>
        <w:rPr>
          <w:rFonts w:hint="default" w:ascii="Times New Roman" w:hAnsi="Times New Roman" w:eastAsia="方正仿宋_GBK" w:cs="Times New Roman"/>
          <w:b w:val="0"/>
          <w:bCs/>
          <w:kern w:val="2"/>
          <w:sz w:val="28"/>
          <w:szCs w:val="28"/>
          <w:lang w:val="en-US" w:eastAsia="zh-CN"/>
        </w:rPr>
        <w:t>现场培训。仪器在安装调试同时，中标供应商负责免费派工程师对用户就仪器原理和基本操作进行现场培训，使采购方用户能正常操作。</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4.8</w:t>
      </w:r>
      <w:r>
        <w:rPr>
          <w:rFonts w:hint="default" w:ascii="Times New Roman" w:hAnsi="Times New Roman" w:eastAsia="方正仿宋_GBK" w:cs="Times New Roman"/>
          <w:b w:val="0"/>
          <w:bCs/>
          <w:kern w:val="2"/>
          <w:sz w:val="28"/>
          <w:szCs w:val="28"/>
          <w:lang w:val="en-US" w:eastAsia="zh-CN"/>
        </w:rPr>
        <w:t xml:space="preserve">免费（含差旅费和住宿费）提供对我单位2名技术人员到相关机构进行相同设备专项技能培训。   </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4.9</w:t>
      </w:r>
      <w:r>
        <w:rPr>
          <w:rFonts w:hint="default" w:ascii="Times New Roman" w:hAnsi="Times New Roman" w:eastAsia="方正仿宋_GBK" w:cs="Times New Roman"/>
          <w:b w:val="0"/>
          <w:bCs/>
          <w:kern w:val="2"/>
          <w:sz w:val="28"/>
          <w:szCs w:val="28"/>
          <w:lang w:val="en-US" w:eastAsia="zh-CN"/>
        </w:rPr>
        <w:t>中标供应商在能响应故障处理请求和电话咨询，售后服务响应时间不超过2小时，48小时内可到达现场维修的售后服务。中标供应商应提供维保人员名单、联系电话等。</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5.</w:t>
      </w:r>
      <w:r>
        <w:rPr>
          <w:rFonts w:hint="default" w:ascii="Times New Roman" w:hAnsi="Times New Roman" w:eastAsia="方正仿宋_GBK" w:cs="Times New Roman"/>
          <w:b w:val="0"/>
          <w:bCs/>
          <w:kern w:val="2"/>
          <w:sz w:val="28"/>
          <w:szCs w:val="28"/>
          <w:lang w:val="en-US" w:eastAsia="zh-CN"/>
        </w:rPr>
        <w:t>验收</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5.1</w:t>
      </w:r>
      <w:r>
        <w:rPr>
          <w:rFonts w:hint="default" w:ascii="Times New Roman" w:hAnsi="Times New Roman" w:eastAsia="方正仿宋_GBK" w:cs="Times New Roman"/>
          <w:b w:val="0"/>
          <w:bCs/>
          <w:kern w:val="2"/>
          <w:sz w:val="28"/>
          <w:szCs w:val="28"/>
          <w:lang w:val="en-US" w:eastAsia="zh-CN"/>
        </w:rPr>
        <w:t>中标供应商须提供产品的原厂技术文件以及验收要求的校准文件或计量证书。属于中华人民共和国强制检定计量器具，中标供应商须负责提供法定计量证书。所需费用由中标供应商承担。</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5.2</w:t>
      </w:r>
      <w:r>
        <w:rPr>
          <w:rFonts w:hint="default" w:ascii="Times New Roman" w:hAnsi="Times New Roman" w:eastAsia="方正仿宋_GBK" w:cs="Times New Roman"/>
          <w:b w:val="0"/>
          <w:bCs/>
          <w:kern w:val="2"/>
          <w:sz w:val="28"/>
          <w:szCs w:val="28"/>
          <w:lang w:val="en-US" w:eastAsia="zh-CN"/>
        </w:rPr>
        <w:t>中标供应商设备供货、安装施工、调试、工程验收、货物运输、售后服务等均应符合国家相关法律、法规以及国家标准、相关行业标准。中标供应商提供设备的制造标准、安装标准及技术规范等有关资料必须符合国家相应的有关标准、规范要求。</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5.3</w:t>
      </w:r>
      <w:r>
        <w:rPr>
          <w:rFonts w:hint="default" w:ascii="Times New Roman" w:hAnsi="Times New Roman" w:eastAsia="方正仿宋_GBK" w:cs="Times New Roman"/>
          <w:b w:val="0"/>
          <w:bCs/>
          <w:kern w:val="2"/>
          <w:sz w:val="28"/>
          <w:szCs w:val="28"/>
          <w:lang w:val="en-US" w:eastAsia="zh-CN"/>
        </w:rPr>
        <w:t>中标供应商应向采购方提供完整的设备技术资料、货物制造商的出厂检验报告、合格证书、产品保证书、认证书、及政府许可证明、说明书等，保证产品和安装材料是新生产、未经过使用的原装原厂正品。如在交付使用前发生设备损坏和不合格，采购方有权要求退货，因此造成的一切损失由供应商承担。</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5.4</w:t>
      </w:r>
      <w:r>
        <w:rPr>
          <w:rFonts w:hint="default" w:ascii="Times New Roman" w:hAnsi="Times New Roman" w:eastAsia="方正仿宋_GBK" w:cs="Times New Roman"/>
          <w:b w:val="0"/>
          <w:bCs/>
          <w:kern w:val="2"/>
          <w:sz w:val="28"/>
          <w:szCs w:val="28"/>
          <w:lang w:val="en-US" w:eastAsia="zh-CN"/>
        </w:rPr>
        <w:t>中标供应商根据合同要求进行系统安装、调试后，由采购方进行使用性能方面的验收，确保在使用过程内具有满意的性能。如质量不符合要求，供应商应无条件及时更换并不得以任何原因拖延。</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eastAsia" w:eastAsia="方正仿宋_GBK" w:cs="Times New Roman"/>
          <w:b w:val="0"/>
          <w:bCs/>
          <w:kern w:val="2"/>
          <w:sz w:val="28"/>
          <w:szCs w:val="28"/>
          <w:lang w:val="en-US" w:eastAsia="zh-CN"/>
        </w:rPr>
        <w:t>5.5</w:t>
      </w:r>
      <w:r>
        <w:rPr>
          <w:rFonts w:hint="default" w:ascii="Times New Roman" w:hAnsi="Times New Roman" w:eastAsia="方正仿宋_GBK" w:cs="Times New Roman"/>
          <w:b w:val="0"/>
          <w:bCs/>
          <w:kern w:val="2"/>
          <w:sz w:val="28"/>
          <w:szCs w:val="28"/>
          <w:lang w:val="en-US" w:eastAsia="zh-CN"/>
        </w:rPr>
        <w:t>采购方根据招标文件、中标供应商的竞标文件、合同、制造厂商的产品验收标准及中华人民共和国有关标准进行验收。采购方有权委托中国具权威资质机构对设备的灵敏度、测量精度等技术性能进行验收。因中标供应商所提供的产品未达到招标文件中技术性能指标的，一律拒收，不予付款，采购方有权因此终止合同的执行，中标商将自行承担所有经济损失；同时，采购方将保留向中标供应商因设备延迟到位而造成对口岸检验业务的不良影响追索相应“违约”责任的权利。</w:t>
      </w:r>
    </w:p>
    <w:p>
      <w:pPr>
        <w:widowControl w:val="0"/>
        <w:overflowPunct/>
        <w:autoSpaceDE/>
        <w:autoSpaceDN/>
        <w:adjustRightInd/>
        <w:spacing w:line="480" w:lineRule="auto"/>
        <w:jc w:val="both"/>
        <w:textAlignment w:val="auto"/>
        <w:rPr>
          <w:rFonts w:hint="default" w:ascii="Times New Roman" w:hAnsi="Times New Roman" w:eastAsia="方正黑体_GBK" w:cs="Times New Roman"/>
          <w:b w:val="0"/>
          <w:bCs/>
          <w:kern w:val="2"/>
          <w:sz w:val="28"/>
          <w:szCs w:val="28"/>
          <w:lang w:val="en-US" w:eastAsia="zh-CN"/>
        </w:rPr>
      </w:pPr>
      <w:r>
        <w:rPr>
          <w:rFonts w:hint="default" w:ascii="Times New Roman" w:hAnsi="Times New Roman" w:eastAsia="方正黑体_GBK" w:cs="Times New Roman"/>
          <w:b w:val="0"/>
          <w:bCs/>
          <w:kern w:val="2"/>
          <w:sz w:val="28"/>
          <w:szCs w:val="28"/>
          <w:lang w:val="en-US" w:eastAsia="zh-CN"/>
        </w:rPr>
        <w:t>三、采购数量、采购预算金额、交付时间及地点</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采购总数量4台，采购总金额165万元（报价不能超过总预算价及单台设备预算价）</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全自动蛋白分析系统</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1台  43万元</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全自动核酸检测工作站</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1台  80万元</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低温恒温培养箱</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1台        5万元</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高通量核酸纯化仪</w:t>
      </w:r>
      <w:r>
        <w:rPr>
          <w:rFonts w:hint="default" w:ascii="Times New Roman" w:hAnsi="Times New Roman" w:eastAsia="方正仿宋_GBK" w:cs="Times New Roman"/>
          <w:b w:val="0"/>
          <w:bCs/>
          <w:kern w:val="2"/>
          <w:sz w:val="28"/>
          <w:szCs w:val="28"/>
          <w:lang w:val="en-US" w:eastAsia="zh-CN"/>
        </w:rPr>
        <w:tab/>
      </w:r>
      <w:r>
        <w:rPr>
          <w:rFonts w:hint="default" w:ascii="Times New Roman" w:hAnsi="Times New Roman" w:eastAsia="方正仿宋_GBK" w:cs="Times New Roman"/>
          <w:b w:val="0"/>
          <w:bCs/>
          <w:kern w:val="2"/>
          <w:sz w:val="28"/>
          <w:szCs w:val="28"/>
          <w:lang w:val="en-US" w:eastAsia="zh-CN"/>
        </w:rPr>
        <w:t>1台     37万元</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交付时间：合同签订后</w:t>
      </w:r>
      <w:r>
        <w:rPr>
          <w:rFonts w:hint="eastAsia" w:eastAsia="方正仿宋_GBK" w:cs="Times New Roman"/>
          <w:b w:val="0"/>
          <w:bCs/>
          <w:kern w:val="2"/>
          <w:sz w:val="28"/>
          <w:szCs w:val="28"/>
          <w:lang w:val="en-US" w:eastAsia="zh-CN"/>
        </w:rPr>
        <w:t>45</w:t>
      </w:r>
      <w:r>
        <w:rPr>
          <w:rFonts w:hint="default" w:ascii="Times New Roman" w:hAnsi="Times New Roman" w:eastAsia="方正仿宋_GBK" w:cs="Times New Roman"/>
          <w:b w:val="0"/>
          <w:bCs/>
          <w:kern w:val="2"/>
          <w:sz w:val="28"/>
          <w:szCs w:val="28"/>
          <w:lang w:val="en-US" w:eastAsia="zh-CN"/>
        </w:rPr>
        <w:t>个日历天内</w:t>
      </w:r>
    </w:p>
    <w:p>
      <w:pPr>
        <w:widowControl w:val="0"/>
        <w:overflowPunct/>
        <w:autoSpaceDE/>
        <w:autoSpaceDN/>
        <w:adjustRightInd/>
        <w:spacing w:line="480" w:lineRule="auto"/>
        <w:jc w:val="both"/>
        <w:textAlignment w:val="auto"/>
        <w:rPr>
          <w:rFonts w:hint="default" w:ascii="Times New Roman" w:hAnsi="Times New Roman" w:eastAsia="方正仿宋_GBK" w:cs="Times New Roman"/>
          <w:b w:val="0"/>
          <w:bCs/>
          <w:kern w:val="2"/>
          <w:sz w:val="28"/>
          <w:szCs w:val="28"/>
          <w:lang w:val="en-US" w:eastAsia="zh-CN"/>
        </w:rPr>
      </w:pPr>
      <w:r>
        <w:rPr>
          <w:rFonts w:hint="default" w:ascii="Times New Roman" w:hAnsi="Times New Roman" w:eastAsia="方正仿宋_GBK" w:cs="Times New Roman"/>
          <w:b w:val="0"/>
          <w:bCs/>
          <w:kern w:val="2"/>
          <w:sz w:val="28"/>
          <w:szCs w:val="28"/>
          <w:lang w:val="en-US" w:eastAsia="zh-CN"/>
        </w:rPr>
        <w:t>交货地点：武汉市汉阳区琴台大道588号  武汉海关技术中心</w:t>
      </w:r>
    </w:p>
    <w:p>
      <w:pPr>
        <w:rPr>
          <w:rFonts w:hint="default" w:ascii="Times New Roman" w:hAnsi="Times New Roman" w:eastAsia="方正仿宋_GBK" w:cs="Times New Roman"/>
          <w:sz w:val="28"/>
          <w:szCs w:val="28"/>
          <w:lang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embedRegular r:id="rId1" w:fontKey="{B773DC04-B612-461F-867C-244D7EBDA571}"/>
  </w:font>
  <w:font w:name="Arial">
    <w:panose1 w:val="020B0604020202020204"/>
    <w:charset w:val="01"/>
    <w:family w:val="swiss"/>
    <w:pitch w:val="default"/>
    <w:sig w:usb0="00007A87" w:usb1="80000000" w:usb2="00000008" w:usb3="00000000" w:csb0="400001FF" w:csb1="FFFF0000"/>
    <w:embedRegular r:id="rId2" w:fontKey="{1FC373E9-F92D-4F64-9D03-56AA72FF636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embedRegular r:id="rId3" w:fontKey="{3D7CFA2D-5CD3-4A7E-8621-D8FEF1F0F137}"/>
  </w:font>
  <w:font w:name="Symbol">
    <w:panose1 w:val="05050102010706020507"/>
    <w:charset w:val="02"/>
    <w:family w:val="roman"/>
    <w:pitch w:val="default"/>
    <w:sig w:usb0="00000000" w:usb1="00000000" w:usb2="00000000" w:usb3="00000000" w:csb0="80000000" w:csb1="00000000"/>
    <w:embedRegular r:id="rId4" w:fontKey="{A05F6C09-9075-497D-8A66-BA3113C4FEBB}"/>
  </w:font>
  <w:font w:name="Calibri">
    <w:panose1 w:val="020F0502020204030204"/>
    <w:charset w:val="00"/>
    <w:family w:val="swiss"/>
    <w:pitch w:val="default"/>
    <w:sig w:usb0="E10002FF" w:usb1="4000ACFF" w:usb2="00000009" w:usb3="00000000" w:csb0="2000019F" w:csb1="00000000"/>
    <w:embedRegular r:id="rId5" w:fontKey="{F6A96BAC-F525-49AF-8B5A-208D09AFFD2B}"/>
  </w:font>
  <w:font w:name="方正小标宋_GBK">
    <w:panose1 w:val="03000509000000000000"/>
    <w:charset w:val="86"/>
    <w:family w:val="auto"/>
    <w:pitch w:val="default"/>
    <w:sig w:usb0="00000000" w:usb1="00000000" w:usb2="00000000" w:usb3="00000000" w:csb0="00000000" w:csb1="00000000"/>
    <w:embedRegular r:id="rId6" w:fontKey="{0F9289BA-5A77-4E54-90E4-729AD380C3F2}"/>
  </w:font>
  <w:font w:name="方正黑体_GBK">
    <w:panose1 w:val="02000000000000000000"/>
    <w:charset w:val="86"/>
    <w:family w:val="auto"/>
    <w:pitch w:val="default"/>
    <w:sig w:usb0="00000000" w:usb1="00000000" w:usb2="00000000" w:usb3="00000000" w:csb0="00000000" w:csb1="00000000"/>
    <w:embedRegular r:id="rId7" w:fontKey="{67A453DE-9E35-4F10-982D-9370922EAABF}"/>
  </w:font>
  <w:font w:name="方正仿宋_GBK">
    <w:panose1 w:val="02000000000000000000"/>
    <w:charset w:val="86"/>
    <w:family w:val="script"/>
    <w:pitch w:val="default"/>
    <w:sig w:usb0="00000000" w:usb1="00000000" w:usb2="00000000" w:usb3="00000000" w:csb0="00000000" w:csb1="00000000"/>
    <w:embedRegular r:id="rId8" w:fontKey="{2970EABC-207E-4541-8903-1C0150CC0E38}"/>
  </w:font>
  <w:font w:name="方正楷体_GBK">
    <w:panose1 w:val="02000000000000000000"/>
    <w:charset w:val="86"/>
    <w:family w:val="auto"/>
    <w:pitch w:val="default"/>
    <w:sig w:usb0="00000000" w:usb1="00000000" w:usb2="00000000" w:usb3="00000000" w:csb0="00000000" w:csb1="00000000"/>
    <w:embedRegular r:id="rId9" w:fontKey="{F9B772FC-43DE-4174-85B8-3605CBAD6655}"/>
  </w:font>
  <w:font w:name="仿宋">
    <w:panose1 w:val="02010609060101010101"/>
    <w:charset w:val="86"/>
    <w:family w:val="modern"/>
    <w:pitch w:val="default"/>
    <w:sig w:usb0="00000000" w:usb1="00000000" w:usb2="00000000" w:usb3="00000000" w:csb0="00000000" w:csb1="00000000"/>
    <w:embedRegular r:id="rId10" w:fontKey="{2906415C-CDD5-4625-A5C5-404B6C3E1E28}"/>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8AE5CFB"/>
    <w:multiLevelType w:val="singleLevel"/>
    <w:tmpl w:val="C8AE5CFB"/>
    <w:lvl w:ilvl="0" w:tentative="0">
      <w:start w:val="5"/>
      <w:numFmt w:val="decimal"/>
      <w:lvlText w:val="%1"/>
      <w:lvlJc w:val="left"/>
    </w:lvl>
  </w:abstractNum>
  <w:abstractNum w:abstractNumId="1">
    <w:nsid w:val="D0D72B4A"/>
    <w:multiLevelType w:val="singleLevel"/>
    <w:tmpl w:val="D0D72B4A"/>
    <w:lvl w:ilvl="0" w:tentative="0">
      <w:start w:val="1"/>
      <w:numFmt w:val="chineseCounting"/>
      <w:suff w:val="nothing"/>
      <w:lvlText w:val="%1、"/>
      <w:lvlJc w:val="left"/>
      <w:rPr>
        <w:rFonts w:hint="eastAsia"/>
      </w:rPr>
    </w:lvl>
  </w:abstractNum>
  <w:abstractNum w:abstractNumId="2">
    <w:nsid w:val="DE4146FB"/>
    <w:multiLevelType w:val="singleLevel"/>
    <w:tmpl w:val="DE4146FB"/>
    <w:lvl w:ilvl="0" w:tentative="0">
      <w:start w:val="1"/>
      <w:numFmt w:val="chineseCounting"/>
      <w:suff w:val="nothing"/>
      <w:lvlText w:val="（%1）"/>
      <w:lvlJc w:val="left"/>
      <w:rPr>
        <w:rFonts w:hint="eastAsia"/>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48C2"/>
    <w:rsid w:val="000148C2"/>
    <w:rsid w:val="000C18D1"/>
    <w:rsid w:val="001233D6"/>
    <w:rsid w:val="00170A86"/>
    <w:rsid w:val="001B4D98"/>
    <w:rsid w:val="00211CCB"/>
    <w:rsid w:val="002A0DA8"/>
    <w:rsid w:val="002A4075"/>
    <w:rsid w:val="004B3EDD"/>
    <w:rsid w:val="004D070E"/>
    <w:rsid w:val="004E08BC"/>
    <w:rsid w:val="00503768"/>
    <w:rsid w:val="00734D82"/>
    <w:rsid w:val="00747569"/>
    <w:rsid w:val="00776E66"/>
    <w:rsid w:val="0081618B"/>
    <w:rsid w:val="00943902"/>
    <w:rsid w:val="00A170F3"/>
    <w:rsid w:val="00A83464"/>
    <w:rsid w:val="00A8520A"/>
    <w:rsid w:val="00B04249"/>
    <w:rsid w:val="00C95D57"/>
    <w:rsid w:val="00CB455B"/>
    <w:rsid w:val="00D33941"/>
    <w:rsid w:val="00D90CAE"/>
    <w:rsid w:val="00E67BF0"/>
    <w:rsid w:val="08ED2061"/>
    <w:rsid w:val="1932657A"/>
    <w:rsid w:val="2DCF1BC0"/>
    <w:rsid w:val="38D315AD"/>
    <w:rsid w:val="5C2873ED"/>
    <w:rsid w:val="650445DE"/>
    <w:rsid w:val="689314AF"/>
    <w:rsid w:val="696645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overflowPunct w:val="0"/>
      <w:autoSpaceDE w:val="0"/>
      <w:autoSpaceDN w:val="0"/>
      <w:adjustRightInd w:val="0"/>
      <w:textAlignment w:val="baseline"/>
    </w:pPr>
    <w:rPr>
      <w:rFonts w:ascii="Times New Roman" w:hAnsi="Times New Roman" w:eastAsia="宋体" w:cs="Times New Roman"/>
      <w:sz w:val="24"/>
      <w:lang w:val="en-US" w:eastAsia="en-US" w:bidi="ar-SA"/>
    </w:rPr>
  </w:style>
  <w:style w:type="character" w:default="1" w:styleId="6">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unhideWhenUsed/>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页眉 Char"/>
    <w:basedOn w:val="6"/>
    <w:link w:val="3"/>
    <w:qFormat/>
    <w:uiPriority w:val="99"/>
    <w:rPr>
      <w:rFonts w:ascii="Times New Roman" w:hAnsi="Times New Roman" w:eastAsia="宋体" w:cs="Times New Roman"/>
      <w:kern w:val="0"/>
      <w:sz w:val="18"/>
      <w:szCs w:val="18"/>
      <w:lang w:eastAsia="en-US"/>
    </w:rPr>
  </w:style>
  <w:style w:type="character" w:customStyle="1" w:styleId="8">
    <w:name w:val="页脚 Char"/>
    <w:basedOn w:val="6"/>
    <w:link w:val="2"/>
    <w:qFormat/>
    <w:uiPriority w:val="99"/>
    <w:rPr>
      <w:rFonts w:ascii="Times New Roman" w:hAnsi="Times New Roman" w:eastAsia="宋体" w:cs="Times New Roman"/>
      <w:kern w:val="0"/>
      <w:sz w:val="18"/>
      <w:szCs w:val="18"/>
      <w:lang w:eastAsia="en-US"/>
    </w:rPr>
  </w:style>
  <w:style w:type="character" w:customStyle="1" w:styleId="9">
    <w:name w:val="font91"/>
    <w:basedOn w:val="6"/>
    <w:qFormat/>
    <w:uiPriority w:val="0"/>
    <w:rPr>
      <w:rFonts w:hint="eastAsia" w:ascii="宋体" w:hAnsi="宋体" w:eastAsia="宋体" w:cs="宋体"/>
      <w:color w:val="000000"/>
      <w:sz w:val="21"/>
      <w:szCs w:val="21"/>
      <w:u w:val="none"/>
    </w:rPr>
  </w:style>
  <w:style w:type="character" w:customStyle="1" w:styleId="10">
    <w:name w:val="font01"/>
    <w:basedOn w:val="6"/>
    <w:qFormat/>
    <w:uiPriority w:val="0"/>
    <w:rPr>
      <w:rFonts w:ascii="Arial" w:hAnsi="Arial" w:cs="Arial"/>
      <w:color w:val="000000"/>
      <w:sz w:val="21"/>
      <w:szCs w:val="21"/>
      <w:u w:val="none"/>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Pages>
  <Words>579</Words>
  <Characters>3306</Characters>
  <Lines>27</Lines>
  <Paragraphs>7</Paragraphs>
  <TotalTime>7</TotalTime>
  <ScaleCrop>false</ScaleCrop>
  <LinksUpToDate>false</LinksUpToDate>
  <CharactersWithSpaces>3878</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2020-09-22T00:56:00Z</dcterms:created>
  <dc:creator>HBCIQ</dc:creator>
  <cp:lastModifiedBy>大糖糖</cp:lastModifiedBy>
  <cp:lastPrinted>2020-09-24T07:21:00Z</cp:lastPrinted>
  <dcterms:modified xsi:type="dcterms:W3CDTF">2021-06-02T02:03:41Z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SaveFontToCloudKey">
    <vt:lpwstr>260604639_embed</vt:lpwstr>
  </property>
</Properties>
</file>