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2" w:leftChars="-1"/>
        <w:jc w:val="center"/>
        <w:rPr>
          <w:rFonts w:hint="default" w:eastAsia="宋体"/>
          <w:color w:val="auto"/>
          <w:sz w:val="24"/>
          <w:szCs w:val="24"/>
          <w:lang w:val="en-US" w:eastAsia="zh-CN"/>
        </w:rPr>
      </w:pPr>
      <w:bookmarkStart w:id="0" w:name="_Toc418679665"/>
      <w:r>
        <w:rPr>
          <w:rFonts w:hint="eastAsia" w:eastAsia="宋体"/>
          <w:color w:val="auto"/>
          <w:sz w:val="32"/>
          <w:szCs w:val="32"/>
        </w:rPr>
        <w:t>中国科学院昆明动物研究所设备采购</w:t>
      </w:r>
      <w:r>
        <w:rPr>
          <w:rFonts w:hint="eastAsia" w:eastAsia="宋体"/>
          <w:color w:val="auto"/>
          <w:sz w:val="32"/>
          <w:szCs w:val="32"/>
          <w:lang w:val="en-US" w:eastAsia="zh-CN"/>
        </w:rPr>
        <w:t>公开招标公告</w:t>
      </w:r>
    </w:p>
    <w:p>
      <w:pPr>
        <w:pStyle w:val="2"/>
        <w:numPr>
          <w:ilvl w:val="0"/>
          <w:numId w:val="0"/>
        </w:numPr>
        <w:ind w:left="-2" w:leftChars="-1"/>
        <w:rPr>
          <w:rFonts w:eastAsia="宋体"/>
          <w:color w:val="auto"/>
          <w:sz w:val="24"/>
          <w:szCs w:val="24"/>
        </w:rPr>
      </w:pPr>
      <w:r>
        <w:rPr>
          <w:rFonts w:eastAsia="宋体"/>
          <w:color w:val="auto"/>
          <w:sz w:val="24"/>
          <w:szCs w:val="24"/>
        </w:rPr>
        <w:t>一、招标条件</w:t>
      </w:r>
      <w:bookmarkEnd w:id="0"/>
    </w:p>
    <w:p>
      <w:pPr>
        <w:spacing w:line="360" w:lineRule="auto"/>
        <w:ind w:firstLine="480"/>
        <w:rPr>
          <w:color w:val="auto"/>
          <w:sz w:val="24"/>
        </w:rPr>
      </w:pPr>
      <w:r>
        <w:rPr>
          <w:color w:val="auto"/>
          <w:sz w:val="24"/>
        </w:rPr>
        <w:t>根据《中华人民共和国政府采购法》、《中华人民共和国政府采购法实施条例》、《中华人民共和国财政部令（第87号）》等有关法律法规的规定，</w:t>
      </w:r>
      <w:r>
        <w:rPr>
          <w:rFonts w:hint="eastAsia"/>
          <w:color w:val="auto"/>
          <w:sz w:val="24"/>
        </w:rPr>
        <w:t>云南凯乐普招标代理有限公司</w:t>
      </w:r>
      <w:r>
        <w:rPr>
          <w:color w:val="auto"/>
          <w:sz w:val="24"/>
        </w:rPr>
        <w:t>受中国科学院昆明动物研究所的委托，对</w:t>
      </w:r>
      <w:r>
        <w:rPr>
          <w:rFonts w:hint="eastAsia"/>
          <w:color w:val="auto"/>
          <w:sz w:val="24"/>
          <w:lang w:eastAsia="zh-CN"/>
        </w:rPr>
        <w:t>中国科学院昆明动物研究所设备采购</w:t>
      </w:r>
      <w:r>
        <w:rPr>
          <w:color w:val="auto"/>
          <w:sz w:val="24"/>
        </w:rPr>
        <w:t>进行公开招标，</w:t>
      </w:r>
      <w:r>
        <w:rPr>
          <w:color w:val="auto"/>
          <w:sz w:val="24"/>
        </w:rPr>
        <w:t>本项目采购资金已经落实，欢迎具有</w:t>
      </w:r>
      <w:r>
        <w:rPr>
          <w:color w:val="auto"/>
          <w:sz w:val="24"/>
        </w:rPr>
        <w:t>相应供货能力的投标人参加投标。</w:t>
      </w:r>
    </w:p>
    <w:p>
      <w:pPr>
        <w:pStyle w:val="2"/>
        <w:numPr>
          <w:ilvl w:val="0"/>
          <w:numId w:val="0"/>
        </w:numPr>
        <w:spacing w:line="460" w:lineRule="exact"/>
        <w:ind w:left="-2" w:leftChars="-1"/>
        <w:rPr>
          <w:rFonts w:eastAsia="宋体"/>
          <w:color w:val="auto"/>
          <w:sz w:val="24"/>
          <w:szCs w:val="24"/>
        </w:rPr>
      </w:pPr>
      <w:bookmarkStart w:id="1" w:name="_Toc424132836"/>
      <w:r>
        <w:rPr>
          <w:rFonts w:eastAsia="宋体"/>
          <w:color w:val="auto"/>
          <w:sz w:val="24"/>
          <w:szCs w:val="24"/>
        </w:rPr>
        <w:t>二、招标概况</w:t>
      </w:r>
      <w:bookmarkEnd w:id="1"/>
    </w:p>
    <w:p>
      <w:pPr>
        <w:spacing w:line="460" w:lineRule="exact"/>
        <w:ind w:firstLine="424" w:firstLineChars="177"/>
        <w:rPr>
          <w:rFonts w:hint="eastAsia" w:eastAsia="宋体"/>
          <w:color w:val="auto"/>
          <w:sz w:val="24"/>
          <w:u w:val="single"/>
          <w:lang w:eastAsia="zh-CN"/>
        </w:rPr>
      </w:pPr>
      <w:r>
        <w:rPr>
          <w:color w:val="auto"/>
          <w:sz w:val="24"/>
        </w:rPr>
        <w:t>2.1招标编号：</w:t>
      </w:r>
      <w:r>
        <w:rPr>
          <w:rFonts w:hint="eastAsia"/>
          <w:color w:val="auto"/>
          <w:sz w:val="24"/>
          <w:lang w:eastAsia="zh-CN"/>
        </w:rPr>
        <w:t>KCG201903013</w:t>
      </w:r>
    </w:p>
    <w:p>
      <w:pPr>
        <w:spacing w:line="460" w:lineRule="exact"/>
        <w:ind w:firstLine="424" w:firstLineChars="177"/>
        <w:rPr>
          <w:color w:val="auto"/>
          <w:sz w:val="24"/>
        </w:rPr>
      </w:pPr>
      <w:r>
        <w:rPr>
          <w:color w:val="auto"/>
          <w:sz w:val="24"/>
        </w:rPr>
        <w:t>2.2招标范围，具体内容及要求如下：</w:t>
      </w:r>
    </w:p>
    <w:tbl>
      <w:tblPr>
        <w:tblStyle w:val="3"/>
        <w:tblW w:w="9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68"/>
        <w:gridCol w:w="2845"/>
        <w:gridCol w:w="1068"/>
        <w:gridCol w:w="1089"/>
        <w:gridCol w:w="103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tcBorders>
              <w:top w:val="single" w:color="auto" w:sz="4" w:space="0"/>
              <w:left w:val="single" w:color="auto" w:sz="4" w:space="0"/>
            </w:tcBorders>
            <w:noWrap w:val="0"/>
            <w:vAlign w:val="center"/>
          </w:tcPr>
          <w:p>
            <w:pPr>
              <w:jc w:val="center"/>
              <w:rPr>
                <w:rFonts w:hint="eastAsia"/>
                <w:b/>
                <w:bCs/>
                <w:color w:val="auto"/>
                <w:sz w:val="21"/>
                <w:szCs w:val="21"/>
              </w:rPr>
            </w:pPr>
            <w:r>
              <w:rPr>
                <w:rFonts w:hint="eastAsia"/>
                <w:b/>
                <w:bCs/>
                <w:color w:val="auto"/>
                <w:sz w:val="21"/>
                <w:szCs w:val="21"/>
              </w:rPr>
              <w:t>序号</w:t>
            </w:r>
          </w:p>
        </w:tc>
        <w:tc>
          <w:tcPr>
            <w:tcW w:w="1368" w:type="dxa"/>
            <w:tcBorders>
              <w:top w:val="single" w:color="auto" w:sz="4" w:space="0"/>
            </w:tcBorders>
            <w:noWrap w:val="0"/>
            <w:vAlign w:val="center"/>
          </w:tcPr>
          <w:p>
            <w:pPr>
              <w:jc w:val="center"/>
              <w:rPr>
                <w:b/>
                <w:bCs/>
                <w:color w:val="auto"/>
                <w:sz w:val="21"/>
                <w:szCs w:val="21"/>
              </w:rPr>
            </w:pPr>
            <w:r>
              <w:rPr>
                <w:b/>
                <w:bCs/>
                <w:color w:val="auto"/>
                <w:sz w:val="21"/>
                <w:szCs w:val="21"/>
              </w:rPr>
              <w:t>产品名称</w:t>
            </w:r>
          </w:p>
        </w:tc>
        <w:tc>
          <w:tcPr>
            <w:tcW w:w="2845" w:type="dxa"/>
            <w:tcBorders>
              <w:top w:val="single" w:color="auto" w:sz="4" w:space="0"/>
            </w:tcBorders>
            <w:noWrap w:val="0"/>
            <w:vAlign w:val="center"/>
          </w:tcPr>
          <w:p>
            <w:pPr>
              <w:jc w:val="center"/>
              <w:rPr>
                <w:b/>
                <w:bCs/>
                <w:color w:val="auto"/>
                <w:sz w:val="21"/>
                <w:szCs w:val="21"/>
              </w:rPr>
            </w:pPr>
            <w:r>
              <w:rPr>
                <w:b/>
                <w:bCs/>
                <w:color w:val="auto"/>
                <w:sz w:val="21"/>
                <w:szCs w:val="21"/>
              </w:rPr>
              <w:t>用途</w:t>
            </w:r>
          </w:p>
        </w:tc>
        <w:tc>
          <w:tcPr>
            <w:tcW w:w="1068" w:type="dxa"/>
            <w:tcBorders>
              <w:top w:val="single" w:color="auto" w:sz="4" w:space="0"/>
            </w:tcBorders>
            <w:noWrap w:val="0"/>
            <w:vAlign w:val="center"/>
          </w:tcPr>
          <w:p>
            <w:pPr>
              <w:jc w:val="center"/>
              <w:rPr>
                <w:b/>
                <w:bCs/>
                <w:color w:val="auto"/>
                <w:sz w:val="21"/>
                <w:szCs w:val="21"/>
              </w:rPr>
            </w:pPr>
            <w:r>
              <w:rPr>
                <w:b/>
                <w:bCs/>
                <w:color w:val="auto"/>
                <w:sz w:val="21"/>
                <w:szCs w:val="21"/>
              </w:rPr>
              <w:t>数量（</w:t>
            </w:r>
            <w:r>
              <w:rPr>
                <w:rFonts w:hint="eastAsia"/>
                <w:b/>
                <w:bCs/>
                <w:color w:val="auto"/>
                <w:sz w:val="21"/>
                <w:szCs w:val="21"/>
              </w:rPr>
              <w:t>套</w:t>
            </w:r>
            <w:r>
              <w:rPr>
                <w:b/>
                <w:bCs/>
                <w:color w:val="auto"/>
                <w:sz w:val="21"/>
                <w:szCs w:val="21"/>
              </w:rPr>
              <w:t>）</w:t>
            </w:r>
          </w:p>
        </w:tc>
        <w:tc>
          <w:tcPr>
            <w:tcW w:w="1089" w:type="dxa"/>
            <w:tcBorders>
              <w:top w:val="single" w:color="auto" w:sz="4" w:space="0"/>
            </w:tcBorders>
            <w:noWrap w:val="0"/>
            <w:vAlign w:val="center"/>
          </w:tcPr>
          <w:p>
            <w:pPr>
              <w:jc w:val="center"/>
              <w:rPr>
                <w:b/>
                <w:bCs/>
                <w:color w:val="auto"/>
                <w:sz w:val="21"/>
                <w:szCs w:val="21"/>
              </w:rPr>
            </w:pPr>
            <w:r>
              <w:rPr>
                <w:b/>
                <w:bCs/>
                <w:color w:val="auto"/>
                <w:sz w:val="21"/>
                <w:szCs w:val="21"/>
              </w:rPr>
              <w:t>采购预算</w:t>
            </w:r>
          </w:p>
          <w:p>
            <w:pPr>
              <w:jc w:val="center"/>
              <w:rPr>
                <w:b/>
                <w:bCs/>
                <w:color w:val="auto"/>
                <w:sz w:val="21"/>
                <w:szCs w:val="21"/>
              </w:rPr>
            </w:pPr>
            <w:r>
              <w:rPr>
                <w:b/>
                <w:bCs/>
                <w:color w:val="auto"/>
                <w:sz w:val="21"/>
                <w:szCs w:val="21"/>
              </w:rPr>
              <w:t>（万元）</w:t>
            </w:r>
          </w:p>
        </w:tc>
        <w:tc>
          <w:tcPr>
            <w:tcW w:w="1039" w:type="dxa"/>
            <w:tcBorders>
              <w:top w:val="single" w:color="auto" w:sz="4" w:space="0"/>
            </w:tcBorders>
            <w:noWrap w:val="0"/>
            <w:vAlign w:val="center"/>
          </w:tcPr>
          <w:p>
            <w:pPr>
              <w:jc w:val="center"/>
              <w:rPr>
                <w:b/>
                <w:bCs/>
                <w:color w:val="auto"/>
                <w:sz w:val="21"/>
                <w:szCs w:val="21"/>
              </w:rPr>
            </w:pPr>
            <w:r>
              <w:rPr>
                <w:b/>
                <w:bCs/>
                <w:color w:val="auto"/>
                <w:sz w:val="21"/>
                <w:szCs w:val="21"/>
              </w:rPr>
              <w:t>最高限价（万元）</w:t>
            </w:r>
          </w:p>
        </w:tc>
        <w:tc>
          <w:tcPr>
            <w:tcW w:w="1126" w:type="dxa"/>
            <w:tcBorders>
              <w:top w:val="single" w:color="auto" w:sz="4" w:space="0"/>
              <w:right w:val="single" w:color="auto" w:sz="4" w:space="0"/>
            </w:tcBorders>
            <w:noWrap w:val="0"/>
            <w:vAlign w:val="top"/>
          </w:tcPr>
          <w:p>
            <w:pPr>
              <w:jc w:val="center"/>
              <w:rPr>
                <w:b/>
                <w:bCs/>
                <w:color w:val="auto"/>
                <w:sz w:val="21"/>
                <w:szCs w:val="21"/>
              </w:rPr>
            </w:pPr>
            <w:r>
              <w:rPr>
                <w:rFonts w:hint="eastAsia" w:ascii="宋体" w:hAnsi="宋体" w:cs="宋体"/>
                <w:color w:val="auto"/>
                <w:sz w:val="21"/>
                <w:szCs w:val="21"/>
              </w:rPr>
              <w:t>◆</w:t>
            </w:r>
            <w:r>
              <w:rPr>
                <w:b/>
                <w:bCs/>
                <w:color w:val="auto"/>
                <w:sz w:val="21"/>
                <w:szCs w:val="21"/>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12" w:type="dxa"/>
            <w:tcBorders>
              <w:left w:val="single" w:color="auto" w:sz="4" w:space="0"/>
            </w:tcBorders>
            <w:noWrap w:val="0"/>
            <w:vAlign w:val="center"/>
          </w:tcPr>
          <w:p>
            <w:pPr>
              <w:tabs>
                <w:tab w:val="left" w:pos="360"/>
                <w:tab w:val="left" w:pos="1080"/>
              </w:tabs>
              <w:jc w:val="center"/>
              <w:rPr>
                <w:rFonts w:hint="eastAsia"/>
                <w:bCs/>
                <w:color w:val="auto"/>
                <w:sz w:val="18"/>
                <w:szCs w:val="18"/>
                <w:lang w:eastAsia="zh-CN"/>
              </w:rPr>
            </w:pPr>
            <w:r>
              <w:rPr>
                <w:rFonts w:hint="eastAsia"/>
                <w:bCs/>
                <w:color w:val="auto"/>
                <w:sz w:val="18"/>
                <w:szCs w:val="18"/>
                <w:lang w:val="en-US" w:eastAsia="zh-CN"/>
              </w:rPr>
              <w:t>A</w:t>
            </w:r>
          </w:p>
        </w:tc>
        <w:tc>
          <w:tcPr>
            <w:tcW w:w="13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单细胞膜片钳电生理系统</w:t>
            </w:r>
          </w:p>
        </w:tc>
        <w:tc>
          <w:tcPr>
            <w:tcW w:w="2845"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记录脑片神经元细胞离子电流、细胞膜电位等。</w:t>
            </w:r>
          </w:p>
        </w:tc>
        <w:tc>
          <w:tcPr>
            <w:tcW w:w="10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1</w:t>
            </w:r>
          </w:p>
        </w:tc>
        <w:tc>
          <w:tcPr>
            <w:tcW w:w="108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55</w:t>
            </w:r>
          </w:p>
        </w:tc>
        <w:tc>
          <w:tcPr>
            <w:tcW w:w="103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55</w:t>
            </w:r>
          </w:p>
        </w:tc>
        <w:tc>
          <w:tcPr>
            <w:tcW w:w="1126" w:type="dxa"/>
            <w:tcBorders>
              <w:right w:val="single" w:color="auto" w:sz="4" w:space="0"/>
            </w:tcBorders>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12" w:type="dxa"/>
            <w:tcBorders>
              <w:left w:val="single" w:color="auto" w:sz="4" w:space="0"/>
            </w:tcBorders>
            <w:noWrap w:val="0"/>
            <w:vAlign w:val="center"/>
          </w:tcPr>
          <w:p>
            <w:pPr>
              <w:tabs>
                <w:tab w:val="left" w:pos="360"/>
                <w:tab w:val="left" w:pos="1080"/>
              </w:tabs>
              <w:jc w:val="center"/>
              <w:rPr>
                <w:rFonts w:hint="eastAsia"/>
                <w:bCs/>
                <w:color w:val="auto"/>
                <w:sz w:val="18"/>
                <w:szCs w:val="18"/>
                <w:lang w:val="en-US" w:eastAsia="zh-CN"/>
              </w:rPr>
            </w:pPr>
            <w:r>
              <w:rPr>
                <w:rFonts w:hint="eastAsia"/>
                <w:bCs/>
                <w:color w:val="auto"/>
                <w:sz w:val="18"/>
                <w:szCs w:val="18"/>
                <w:lang w:val="en-US" w:eastAsia="zh-CN"/>
              </w:rPr>
              <w:t>B</w:t>
            </w:r>
          </w:p>
        </w:tc>
        <w:tc>
          <w:tcPr>
            <w:tcW w:w="13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气体信号分子及生物自由基检测系统</w:t>
            </w:r>
          </w:p>
        </w:tc>
        <w:tc>
          <w:tcPr>
            <w:tcW w:w="2845"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可实时、在体检测动物体内生物自由基和气体信号分子；</w:t>
            </w:r>
          </w:p>
          <w:p>
            <w:pPr>
              <w:tabs>
                <w:tab w:val="left" w:pos="360"/>
                <w:tab w:val="left" w:pos="1080"/>
              </w:tabs>
              <w:jc w:val="center"/>
              <w:rPr>
                <w:rFonts w:hint="eastAsia"/>
                <w:bCs/>
                <w:color w:val="auto"/>
                <w:sz w:val="20"/>
                <w:szCs w:val="20"/>
              </w:rPr>
            </w:pPr>
            <w:r>
              <w:rPr>
                <w:rFonts w:hint="eastAsia"/>
                <w:bCs/>
                <w:color w:val="auto"/>
                <w:sz w:val="20"/>
                <w:szCs w:val="20"/>
              </w:rPr>
              <w:t>可同时检测多个信号分子</w:t>
            </w:r>
          </w:p>
        </w:tc>
        <w:tc>
          <w:tcPr>
            <w:tcW w:w="10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1</w:t>
            </w:r>
          </w:p>
        </w:tc>
        <w:tc>
          <w:tcPr>
            <w:tcW w:w="108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65</w:t>
            </w:r>
          </w:p>
        </w:tc>
        <w:tc>
          <w:tcPr>
            <w:tcW w:w="103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65</w:t>
            </w:r>
          </w:p>
        </w:tc>
        <w:tc>
          <w:tcPr>
            <w:tcW w:w="1126" w:type="dxa"/>
            <w:tcBorders>
              <w:right w:val="single" w:color="auto" w:sz="4" w:space="0"/>
            </w:tcBorders>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12" w:type="dxa"/>
            <w:tcBorders>
              <w:left w:val="single" w:color="auto" w:sz="4" w:space="0"/>
            </w:tcBorders>
            <w:noWrap w:val="0"/>
            <w:vAlign w:val="center"/>
          </w:tcPr>
          <w:p>
            <w:pPr>
              <w:tabs>
                <w:tab w:val="left" w:pos="360"/>
                <w:tab w:val="left" w:pos="1080"/>
              </w:tabs>
              <w:jc w:val="center"/>
              <w:rPr>
                <w:rFonts w:hint="eastAsia"/>
                <w:bCs/>
                <w:color w:val="auto"/>
                <w:sz w:val="18"/>
                <w:szCs w:val="18"/>
                <w:lang w:val="en-US" w:eastAsia="zh-CN"/>
              </w:rPr>
            </w:pPr>
            <w:r>
              <w:rPr>
                <w:rFonts w:hint="eastAsia"/>
                <w:bCs/>
                <w:color w:val="auto"/>
                <w:sz w:val="18"/>
                <w:szCs w:val="18"/>
                <w:lang w:val="en-US" w:eastAsia="zh-CN"/>
              </w:rPr>
              <w:t>C</w:t>
            </w:r>
          </w:p>
        </w:tc>
        <w:tc>
          <w:tcPr>
            <w:tcW w:w="13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定量western blot分析仪</w:t>
            </w:r>
          </w:p>
        </w:tc>
        <w:tc>
          <w:tcPr>
            <w:tcW w:w="2845"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用于western blot的蛋白精确定量</w:t>
            </w:r>
          </w:p>
        </w:tc>
        <w:tc>
          <w:tcPr>
            <w:tcW w:w="10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1</w:t>
            </w:r>
          </w:p>
        </w:tc>
        <w:tc>
          <w:tcPr>
            <w:tcW w:w="108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68</w:t>
            </w:r>
          </w:p>
        </w:tc>
        <w:tc>
          <w:tcPr>
            <w:tcW w:w="103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68</w:t>
            </w:r>
          </w:p>
        </w:tc>
        <w:tc>
          <w:tcPr>
            <w:tcW w:w="1126" w:type="dxa"/>
            <w:tcBorders>
              <w:right w:val="single" w:color="auto" w:sz="4" w:space="0"/>
            </w:tcBorders>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12" w:type="dxa"/>
            <w:tcBorders>
              <w:left w:val="single" w:color="auto" w:sz="4" w:space="0"/>
            </w:tcBorders>
            <w:noWrap w:val="0"/>
            <w:vAlign w:val="center"/>
          </w:tcPr>
          <w:p>
            <w:pPr>
              <w:tabs>
                <w:tab w:val="left" w:pos="360"/>
                <w:tab w:val="left" w:pos="1080"/>
              </w:tabs>
              <w:jc w:val="center"/>
              <w:rPr>
                <w:rFonts w:hint="eastAsia"/>
                <w:bCs/>
                <w:color w:val="auto"/>
                <w:sz w:val="18"/>
                <w:szCs w:val="18"/>
                <w:lang w:val="en-US" w:eastAsia="zh-CN"/>
              </w:rPr>
            </w:pPr>
            <w:r>
              <w:rPr>
                <w:rFonts w:hint="eastAsia"/>
                <w:bCs/>
                <w:color w:val="auto"/>
                <w:sz w:val="18"/>
                <w:szCs w:val="18"/>
                <w:lang w:val="en-US" w:eastAsia="zh-CN"/>
              </w:rPr>
              <w:t>D</w:t>
            </w:r>
          </w:p>
        </w:tc>
        <w:tc>
          <w:tcPr>
            <w:tcW w:w="13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多孔板钙流检测工作站</w:t>
            </w:r>
          </w:p>
        </w:tc>
        <w:tc>
          <w:tcPr>
            <w:tcW w:w="2845"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1 基于光珊波长连续可调的全波长检测设备，可实现光吸收检测(Abs)、荧光强度检测(FI)、时间分辨荧光检测(TRF)、荧光偏振检测(FP)和化学发光(Lum)检测。</w:t>
            </w:r>
          </w:p>
          <w:p>
            <w:pPr>
              <w:tabs>
                <w:tab w:val="left" w:pos="360"/>
                <w:tab w:val="left" w:pos="1080"/>
              </w:tabs>
              <w:jc w:val="center"/>
              <w:rPr>
                <w:rFonts w:hint="eastAsia"/>
                <w:bCs/>
                <w:color w:val="auto"/>
                <w:sz w:val="20"/>
                <w:szCs w:val="20"/>
              </w:rPr>
            </w:pPr>
            <w:r>
              <w:rPr>
                <w:rFonts w:hint="eastAsia"/>
                <w:bCs/>
                <w:color w:val="auto"/>
                <w:sz w:val="20"/>
                <w:szCs w:val="20"/>
              </w:rPr>
              <w:t>2 内置8道自动移液系统，支持多次给药，避免药物交叉污染。自动混合和吹打功能使得即使微量的化合物加入后的混合也更加均匀。</w:t>
            </w:r>
          </w:p>
          <w:p>
            <w:pPr>
              <w:tabs>
                <w:tab w:val="left" w:pos="360"/>
                <w:tab w:val="left" w:pos="1080"/>
              </w:tabs>
              <w:jc w:val="center"/>
              <w:rPr>
                <w:rFonts w:hint="eastAsia"/>
                <w:bCs/>
                <w:color w:val="auto"/>
                <w:sz w:val="20"/>
                <w:szCs w:val="20"/>
              </w:rPr>
            </w:pPr>
            <w:r>
              <w:rPr>
                <w:rFonts w:hint="eastAsia"/>
                <w:bCs/>
                <w:color w:val="auto"/>
                <w:sz w:val="20"/>
                <w:szCs w:val="20"/>
              </w:rPr>
              <w:t>3 *独特的光学系统，整合移液系统和温控系统，毫秒级微孔板化合物移液和信号检测，可以达到毫秒级的采样间隔，获取毫秒级的数据点。既可以用于贴壁细胞，也可用于悬浮细胞。非常适合于在细胞上进行膜电位、快速离子通道和其他快速动力学类型的分析。即可检测荧光信号，也可以检测化学发光信号。</w:t>
            </w:r>
          </w:p>
        </w:tc>
        <w:tc>
          <w:tcPr>
            <w:tcW w:w="1068"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1</w:t>
            </w:r>
          </w:p>
        </w:tc>
        <w:tc>
          <w:tcPr>
            <w:tcW w:w="108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65</w:t>
            </w:r>
          </w:p>
        </w:tc>
        <w:tc>
          <w:tcPr>
            <w:tcW w:w="1039" w:type="dxa"/>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65</w:t>
            </w:r>
          </w:p>
        </w:tc>
        <w:tc>
          <w:tcPr>
            <w:tcW w:w="1126" w:type="dxa"/>
            <w:tcBorders>
              <w:right w:val="single" w:color="auto" w:sz="4" w:space="0"/>
            </w:tcBorders>
            <w:noWrap w:val="0"/>
            <w:vAlign w:val="center"/>
          </w:tcPr>
          <w:p>
            <w:pPr>
              <w:tabs>
                <w:tab w:val="left" w:pos="360"/>
                <w:tab w:val="left" w:pos="1080"/>
              </w:tabs>
              <w:jc w:val="center"/>
              <w:rPr>
                <w:rFonts w:hint="eastAsia"/>
                <w:bCs/>
                <w:color w:val="auto"/>
                <w:sz w:val="20"/>
                <w:szCs w:val="20"/>
              </w:rPr>
            </w:pPr>
            <w:r>
              <w:rPr>
                <w:rFonts w:hint="eastAsia"/>
                <w:bCs/>
                <w:color w:val="auto"/>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147" w:type="dxa"/>
            <w:gridSpan w:val="7"/>
            <w:tcBorders>
              <w:left w:val="single" w:color="auto" w:sz="4" w:space="0"/>
              <w:bottom w:val="single" w:color="auto" w:sz="4" w:space="0"/>
              <w:right w:val="single" w:color="auto" w:sz="4" w:space="0"/>
            </w:tcBorders>
            <w:noWrap w:val="0"/>
            <w:vAlign w:val="center"/>
          </w:tcPr>
          <w:p>
            <w:pPr>
              <w:tabs>
                <w:tab w:val="left" w:pos="360"/>
                <w:tab w:val="left" w:pos="1080"/>
              </w:tabs>
              <w:jc w:val="left"/>
              <w:rPr>
                <w:bCs/>
                <w:color w:val="auto"/>
                <w:sz w:val="18"/>
                <w:szCs w:val="18"/>
              </w:rPr>
            </w:pPr>
            <w:r>
              <w:rPr>
                <w:bCs/>
                <w:color w:val="auto"/>
                <w:sz w:val="18"/>
                <w:szCs w:val="18"/>
              </w:rPr>
              <w:t>备注：</w:t>
            </w:r>
            <w:r>
              <w:rPr>
                <w:rFonts w:hint="eastAsia" w:ascii="宋体" w:hAnsi="宋体" w:cs="宋体"/>
                <w:color w:val="auto"/>
                <w:sz w:val="24"/>
              </w:rPr>
              <w:t>◆</w:t>
            </w:r>
            <w:r>
              <w:rPr>
                <w:bCs/>
                <w:color w:val="auto"/>
                <w:sz w:val="18"/>
                <w:szCs w:val="18"/>
              </w:rPr>
              <w:t>货物的技术参数、技术服务要求详见招标文件第五章“</w:t>
            </w:r>
            <w:r>
              <w:rPr>
                <w:rFonts w:hint="eastAsia"/>
                <w:bCs/>
                <w:color w:val="auto"/>
                <w:sz w:val="18"/>
                <w:szCs w:val="18"/>
                <w:lang w:eastAsia="zh-CN"/>
              </w:rPr>
              <w:t>货物需求、技术及服务要求</w:t>
            </w:r>
            <w:r>
              <w:rPr>
                <w:bCs/>
                <w:color w:val="auto"/>
                <w:sz w:val="18"/>
                <w:szCs w:val="18"/>
              </w:rPr>
              <w:t>”，各包内的所有项目内容为一个整体。在编制投标文件和报价时，投标人应对</w:t>
            </w:r>
            <w:r>
              <w:rPr>
                <w:rFonts w:hint="eastAsia"/>
                <w:bCs/>
                <w:color w:val="auto"/>
                <w:sz w:val="18"/>
                <w:szCs w:val="18"/>
              </w:rPr>
              <w:t>本编号内</w:t>
            </w:r>
            <w:r>
              <w:rPr>
                <w:bCs/>
                <w:color w:val="auto"/>
                <w:sz w:val="18"/>
                <w:szCs w:val="18"/>
              </w:rPr>
              <w:t>的全部内容进行整体投标、编制文件及报价，不得缺项漏项，否则其投标将被否决。</w:t>
            </w:r>
          </w:p>
        </w:tc>
      </w:tr>
    </w:tbl>
    <w:p>
      <w:pPr>
        <w:spacing w:line="460" w:lineRule="exact"/>
        <w:ind w:firstLine="460" w:firstLineChars="192"/>
        <w:rPr>
          <w:color w:val="auto"/>
          <w:sz w:val="24"/>
        </w:rPr>
      </w:pPr>
      <w:r>
        <w:rPr>
          <w:color w:val="auto"/>
          <w:sz w:val="24"/>
        </w:rPr>
        <w:t>2.3 交货时间：</w:t>
      </w:r>
      <w:r>
        <w:rPr>
          <w:rFonts w:hint="eastAsia"/>
          <w:color w:val="auto"/>
          <w:sz w:val="24"/>
          <w:lang w:eastAsia="zh-CN"/>
        </w:rPr>
        <w:t>中标合同生效后90日历天以内</w:t>
      </w:r>
      <w:r>
        <w:rPr>
          <w:color w:val="auto"/>
          <w:sz w:val="24"/>
        </w:rPr>
        <w:t>；</w:t>
      </w:r>
    </w:p>
    <w:p>
      <w:pPr>
        <w:spacing w:line="460" w:lineRule="exact"/>
        <w:ind w:firstLine="460" w:firstLineChars="192"/>
        <w:rPr>
          <w:color w:val="auto"/>
          <w:sz w:val="24"/>
        </w:rPr>
      </w:pPr>
      <w:r>
        <w:rPr>
          <w:color w:val="auto"/>
          <w:sz w:val="24"/>
        </w:rPr>
        <w:t>2.4 交货地点：中国科学院昆明动物研究所指定地点;</w:t>
      </w:r>
    </w:p>
    <w:p>
      <w:pPr>
        <w:spacing w:line="460" w:lineRule="exact"/>
        <w:ind w:firstLine="460" w:firstLineChars="192"/>
        <w:rPr>
          <w:color w:val="auto"/>
          <w:sz w:val="24"/>
        </w:rPr>
      </w:pPr>
      <w:r>
        <w:rPr>
          <w:color w:val="auto"/>
          <w:sz w:val="24"/>
        </w:rPr>
        <w:t>2.5交货方式：落地交货、并完成安装调试及验收；</w:t>
      </w:r>
    </w:p>
    <w:p>
      <w:pPr>
        <w:spacing w:line="360" w:lineRule="auto"/>
        <w:ind w:firstLine="460" w:firstLineChars="192"/>
        <w:rPr>
          <w:color w:val="auto"/>
          <w:sz w:val="24"/>
        </w:rPr>
      </w:pPr>
      <w:r>
        <w:rPr>
          <w:color w:val="auto"/>
          <w:sz w:val="24"/>
        </w:rPr>
        <w:t>2.6进口产品是指通过中国海关报关验放进入中国境内且产自关境外的产品。</w:t>
      </w:r>
    </w:p>
    <w:p>
      <w:pPr>
        <w:pStyle w:val="2"/>
        <w:numPr>
          <w:ilvl w:val="0"/>
          <w:numId w:val="0"/>
        </w:numPr>
        <w:spacing w:before="0" w:line="460" w:lineRule="exact"/>
        <w:ind w:left="-2" w:leftChars="-1"/>
        <w:rPr>
          <w:rFonts w:eastAsia="宋体"/>
          <w:color w:val="auto"/>
          <w:sz w:val="24"/>
          <w:szCs w:val="24"/>
        </w:rPr>
      </w:pPr>
      <w:bookmarkStart w:id="2" w:name="_Toc424132837"/>
      <w:r>
        <w:rPr>
          <w:rFonts w:eastAsia="宋体"/>
          <w:color w:val="auto"/>
          <w:sz w:val="24"/>
          <w:szCs w:val="24"/>
        </w:rPr>
        <w:t>三、投标人资格要求</w:t>
      </w:r>
      <w:bookmarkEnd w:id="2"/>
    </w:p>
    <w:p>
      <w:pPr>
        <w:spacing w:line="360" w:lineRule="auto"/>
        <w:ind w:firstLine="460" w:firstLineChars="192"/>
        <w:rPr>
          <w:color w:val="auto"/>
          <w:sz w:val="24"/>
        </w:rPr>
      </w:pPr>
      <w:r>
        <w:rPr>
          <w:color w:val="auto"/>
          <w:sz w:val="24"/>
        </w:rPr>
        <w:t>3.1 投标人应具备《中华人民共和国政府采购法》第二十二条规定的条件。</w:t>
      </w:r>
    </w:p>
    <w:p>
      <w:pPr>
        <w:spacing w:line="360" w:lineRule="auto"/>
        <w:ind w:firstLine="460" w:firstLineChars="192"/>
        <w:rPr>
          <w:color w:val="auto"/>
          <w:sz w:val="24"/>
        </w:rPr>
      </w:pPr>
      <w:r>
        <w:rPr>
          <w:color w:val="auto"/>
          <w:sz w:val="24"/>
        </w:rPr>
        <w:t>3.2 投标人应符合采购人根据采购项目的特殊要求规定的特定条件：</w:t>
      </w:r>
    </w:p>
    <w:p>
      <w:pPr>
        <w:spacing w:line="360" w:lineRule="auto"/>
        <w:ind w:firstLine="460" w:firstLineChars="192"/>
        <w:rPr>
          <w:rFonts w:hint="eastAsia"/>
          <w:color w:val="auto"/>
          <w:sz w:val="24"/>
        </w:rPr>
      </w:pPr>
      <w:r>
        <w:rPr>
          <w:color w:val="auto"/>
          <w:sz w:val="24"/>
        </w:rPr>
        <w:t>3.2.1</w:t>
      </w:r>
      <w:r>
        <w:rPr>
          <w:rFonts w:hint="eastAsia"/>
          <w:color w:val="auto"/>
          <w:sz w:val="24"/>
          <w:lang w:val="en-US" w:eastAsia="zh-CN"/>
        </w:rPr>
        <w:t xml:space="preserve">  </w:t>
      </w:r>
      <w:r>
        <w:rPr>
          <w:rFonts w:hint="eastAsia"/>
          <w:b/>
          <w:bCs/>
          <w:color w:val="auto"/>
          <w:sz w:val="24"/>
          <w:lang w:val="en-US" w:eastAsia="zh-CN"/>
        </w:rPr>
        <w:t>A包</w:t>
      </w:r>
      <w:r>
        <w:rPr>
          <w:rFonts w:hint="eastAsia"/>
          <w:color w:val="auto"/>
          <w:sz w:val="24"/>
          <w:lang w:val="en-US" w:eastAsia="zh-CN"/>
        </w:rPr>
        <w:t>:</w:t>
      </w:r>
      <w:r>
        <w:rPr>
          <w:color w:val="auto"/>
          <w:sz w:val="24"/>
        </w:rPr>
        <w:t>投标人如果是代理商或经销商，且所投</w:t>
      </w:r>
      <w:r>
        <w:rPr>
          <w:rFonts w:hint="eastAsia"/>
          <w:color w:val="auto"/>
          <w:sz w:val="24"/>
        </w:rPr>
        <w:t>膜片钳放大器</w:t>
      </w:r>
      <w:r>
        <w:rPr>
          <w:color w:val="auto"/>
          <w:sz w:val="24"/>
        </w:rPr>
        <w:t>为进口产品的，必须提供</w:t>
      </w:r>
      <w:r>
        <w:rPr>
          <w:rFonts w:hint="eastAsia"/>
          <w:color w:val="auto"/>
          <w:sz w:val="24"/>
        </w:rPr>
        <w:t>膜片钳放大器</w:t>
      </w:r>
      <w:r>
        <w:rPr>
          <w:color w:val="auto"/>
          <w:sz w:val="24"/>
        </w:rPr>
        <w:t>制造商同意其在本次投标中提供</w:t>
      </w:r>
      <w:r>
        <w:rPr>
          <w:rFonts w:hint="eastAsia"/>
          <w:color w:val="auto"/>
          <w:sz w:val="24"/>
        </w:rPr>
        <w:t>膜片钳放大器</w:t>
      </w:r>
      <w:r>
        <w:rPr>
          <w:color w:val="auto"/>
          <w:sz w:val="24"/>
        </w:rPr>
        <w:t>的正式授权书原件或制造商出具的长期代理经销协议复印件；本项目不接受二级以下授权，如果授权是二级的，必须提供上一级别的授权复印件和二级授权原件，如果授权书中明确规定不能转授权的，转授权无效，视为未提供授权书，制造商分公司授权无效；</w:t>
      </w:r>
      <w:r>
        <w:rPr>
          <w:rFonts w:hint="eastAsia"/>
          <w:color w:val="auto"/>
          <w:sz w:val="24"/>
        </w:rPr>
        <w:t>（</w:t>
      </w:r>
      <w:r>
        <w:rPr>
          <w:rFonts w:hint="eastAsia"/>
          <w:color w:val="auto"/>
          <w:sz w:val="24"/>
          <w:lang w:val="en-US" w:eastAsia="zh-CN"/>
        </w:rPr>
        <w:t>授权书上具体的产品授权名称是</w:t>
      </w:r>
      <w:r>
        <w:rPr>
          <w:rFonts w:hint="eastAsia"/>
          <w:color w:val="auto"/>
          <w:sz w:val="24"/>
        </w:rPr>
        <w:t>“膜片钳放大器”）</w:t>
      </w:r>
    </w:p>
    <w:p>
      <w:pPr>
        <w:spacing w:line="360" w:lineRule="auto"/>
        <w:ind w:firstLine="463" w:firstLineChars="192"/>
        <w:rPr>
          <w:rFonts w:hint="eastAsia"/>
          <w:color w:val="auto"/>
          <w:sz w:val="24"/>
          <w:lang w:val="en-US" w:eastAsia="zh-CN"/>
        </w:rPr>
      </w:pPr>
      <w:r>
        <w:rPr>
          <w:rFonts w:hint="eastAsia"/>
          <w:b/>
          <w:bCs/>
          <w:color w:val="auto"/>
          <w:sz w:val="24"/>
          <w:lang w:val="en-US" w:eastAsia="zh-CN"/>
        </w:rPr>
        <w:t>B包</w:t>
      </w:r>
      <w:r>
        <w:rPr>
          <w:rFonts w:hint="eastAsia"/>
          <w:color w:val="auto"/>
          <w:sz w:val="24"/>
          <w:lang w:val="en-US" w:eastAsia="zh-CN"/>
        </w:rPr>
        <w:t>：投标人如果是代理商或经销商，且所投气体信号分子及生物自由基检测系统为进口产品的，必须提供气体信号分子及生物自由基检测系统制造商同意其在本次投标中提供气体信号分子及生物自由基检测系统的正式授权书原件或制造商出具的长期代理经销协议复印件；本项目不接受二级以下授权，如果授权是二级的，必须提供上一级别的授权复印件和二级授权原件，如果授权书中明确规定不能转授权的，转授权无效，视为未提供授权书，制造商分公司授权无效；（授权书上具体的产品授权名称是“气体信号分子及生物自由基检测系统”）</w:t>
      </w:r>
    </w:p>
    <w:p>
      <w:pPr>
        <w:spacing w:line="360" w:lineRule="auto"/>
        <w:ind w:firstLine="463" w:firstLineChars="192"/>
        <w:rPr>
          <w:rFonts w:hint="eastAsia"/>
          <w:color w:val="auto"/>
          <w:sz w:val="24"/>
        </w:rPr>
      </w:pPr>
      <w:r>
        <w:rPr>
          <w:rFonts w:hint="eastAsia"/>
          <w:b/>
          <w:bCs/>
          <w:color w:val="auto"/>
          <w:sz w:val="24"/>
          <w:lang w:val="en-US" w:eastAsia="zh-CN"/>
        </w:rPr>
        <w:t>C包</w:t>
      </w:r>
      <w:r>
        <w:rPr>
          <w:rFonts w:hint="eastAsia"/>
          <w:color w:val="auto"/>
          <w:sz w:val="24"/>
          <w:lang w:val="en-US" w:eastAsia="zh-CN"/>
        </w:rPr>
        <w:t>：</w:t>
      </w:r>
      <w:r>
        <w:rPr>
          <w:color w:val="auto"/>
          <w:sz w:val="24"/>
        </w:rPr>
        <w:t>投标人如果是代理商或经销商，且所投</w:t>
      </w:r>
      <w:r>
        <w:rPr>
          <w:rFonts w:hint="eastAsia"/>
          <w:color w:val="auto"/>
          <w:sz w:val="24"/>
        </w:rPr>
        <w:t>定量western blot分析仪</w:t>
      </w:r>
      <w:r>
        <w:rPr>
          <w:color w:val="auto"/>
          <w:sz w:val="24"/>
        </w:rPr>
        <w:t>为进口产品的，必须提供</w:t>
      </w:r>
      <w:r>
        <w:rPr>
          <w:rFonts w:hint="eastAsia"/>
          <w:color w:val="auto"/>
          <w:sz w:val="24"/>
        </w:rPr>
        <w:t>定量western blot分析仪</w:t>
      </w:r>
      <w:r>
        <w:rPr>
          <w:color w:val="auto"/>
          <w:sz w:val="24"/>
        </w:rPr>
        <w:t>制造商同意其在本次投标中提供</w:t>
      </w:r>
      <w:r>
        <w:rPr>
          <w:rFonts w:hint="eastAsia"/>
          <w:color w:val="auto"/>
          <w:sz w:val="24"/>
        </w:rPr>
        <w:t>定量western blot分析仪</w:t>
      </w:r>
      <w:r>
        <w:rPr>
          <w:color w:val="auto"/>
          <w:sz w:val="24"/>
        </w:rPr>
        <w:t>的正式授权书原件或制造商出具的长期代理经销协议复印件；本项目不接受二级以下授权，如果授权是二级的，必须提供上一级别的授权复印件和二级授权原件，如果授权书中明确规定不能转授权的，转授权无效，视为未提供授权书，制造商分公司授权无效；</w:t>
      </w:r>
      <w:r>
        <w:rPr>
          <w:rFonts w:hint="eastAsia"/>
          <w:color w:val="auto"/>
          <w:sz w:val="24"/>
        </w:rPr>
        <w:t>（授权书上具体的产品授权名称是“</w:t>
      </w:r>
      <w:r>
        <w:rPr>
          <w:rFonts w:hint="eastAsia"/>
          <w:color w:val="auto"/>
          <w:sz w:val="24"/>
        </w:rPr>
        <w:t>定量western blot分析仪</w:t>
      </w:r>
      <w:r>
        <w:rPr>
          <w:rFonts w:hint="eastAsia"/>
          <w:color w:val="auto"/>
          <w:sz w:val="24"/>
        </w:rPr>
        <w:t>”）</w:t>
      </w:r>
    </w:p>
    <w:p>
      <w:pPr>
        <w:spacing w:line="360" w:lineRule="auto"/>
        <w:ind w:firstLine="463" w:firstLineChars="192"/>
        <w:rPr>
          <w:rFonts w:hint="default" w:eastAsia="宋体"/>
          <w:color w:val="auto"/>
          <w:sz w:val="24"/>
          <w:lang w:val="en-US" w:eastAsia="zh-CN"/>
        </w:rPr>
      </w:pPr>
      <w:r>
        <w:rPr>
          <w:rFonts w:hint="eastAsia"/>
          <w:b/>
          <w:bCs/>
          <w:color w:val="auto"/>
          <w:sz w:val="24"/>
          <w:lang w:val="en-US" w:eastAsia="zh-CN"/>
        </w:rPr>
        <w:t>D包</w:t>
      </w:r>
      <w:r>
        <w:rPr>
          <w:rFonts w:hint="eastAsia"/>
          <w:color w:val="auto"/>
          <w:sz w:val="24"/>
          <w:lang w:val="en-US" w:eastAsia="zh-CN"/>
        </w:rPr>
        <w:t>：</w:t>
      </w:r>
      <w:r>
        <w:rPr>
          <w:color w:val="auto"/>
          <w:sz w:val="24"/>
        </w:rPr>
        <w:t>投标人如果是代理商或经销商，且所投</w:t>
      </w:r>
      <w:r>
        <w:rPr>
          <w:rFonts w:hint="eastAsia"/>
          <w:color w:val="auto"/>
          <w:sz w:val="24"/>
        </w:rPr>
        <w:t>多孔板钙流检测工作站</w:t>
      </w:r>
      <w:r>
        <w:rPr>
          <w:color w:val="auto"/>
          <w:sz w:val="24"/>
        </w:rPr>
        <w:t>为</w:t>
      </w:r>
      <w:r>
        <w:rPr>
          <w:color w:val="auto"/>
          <w:sz w:val="24"/>
        </w:rPr>
        <w:t>进口</w:t>
      </w:r>
      <w:r>
        <w:rPr>
          <w:color w:val="auto"/>
          <w:sz w:val="24"/>
        </w:rPr>
        <w:t>产品的，必须提供</w:t>
      </w:r>
      <w:r>
        <w:rPr>
          <w:rFonts w:hint="eastAsia"/>
          <w:color w:val="auto"/>
          <w:sz w:val="24"/>
        </w:rPr>
        <w:t>多孔板钙流检测工作站</w:t>
      </w:r>
      <w:r>
        <w:rPr>
          <w:color w:val="auto"/>
          <w:sz w:val="24"/>
        </w:rPr>
        <w:t>制造商同意其在本次投标中提供</w:t>
      </w:r>
      <w:r>
        <w:rPr>
          <w:rFonts w:hint="eastAsia"/>
          <w:color w:val="auto"/>
          <w:sz w:val="24"/>
        </w:rPr>
        <w:t>多孔板钙流检测工作站</w:t>
      </w:r>
      <w:r>
        <w:rPr>
          <w:color w:val="auto"/>
          <w:sz w:val="24"/>
        </w:rPr>
        <w:t>的正式授权书原件或制造商出具的长期代理经销协议复印件；本项目不接受二级以下授权，如果授权是二级的，必须提供上一级别的授权复印件和二级授权原件，如果授权书中明确规定不能转授权的，转授权无效，视为未提供授权书，制造商分公司授权无效；</w:t>
      </w:r>
      <w:r>
        <w:rPr>
          <w:rFonts w:hint="eastAsia"/>
          <w:color w:val="auto"/>
          <w:sz w:val="24"/>
        </w:rPr>
        <w:t>（授权书上具体的产品授权名称是“多孔板钙流检测工作站”）</w:t>
      </w:r>
    </w:p>
    <w:p>
      <w:pPr>
        <w:spacing w:line="360" w:lineRule="auto"/>
        <w:ind w:firstLine="460" w:firstLineChars="192"/>
        <w:rPr>
          <w:color w:val="auto"/>
          <w:sz w:val="24"/>
        </w:rPr>
      </w:pPr>
      <w:r>
        <w:rPr>
          <w:color w:val="auto"/>
          <w:sz w:val="24"/>
        </w:rPr>
        <w:t>3.2.</w:t>
      </w:r>
      <w:r>
        <w:rPr>
          <w:rFonts w:hint="eastAsia"/>
          <w:color w:val="auto"/>
          <w:sz w:val="24"/>
        </w:rPr>
        <w:t>2</w:t>
      </w:r>
      <w:r>
        <w:rPr>
          <w:color w:val="auto"/>
          <w:sz w:val="24"/>
        </w:rPr>
        <w:t>投标人未被列入“信用中国”网站（www.creditchina.gov.cn）失信被执行人、重大税收违法案件当事人名单、政府采购严重违法失信行为记录名单及“中国政府采购网”（www.ccgp.gov.cn）政府采购严重违法失信行为信息记录，并提供上述网站信用信息查询记录的网页截图，并加盖投标人单位公章；</w:t>
      </w:r>
    </w:p>
    <w:p>
      <w:pPr>
        <w:spacing w:line="360" w:lineRule="auto"/>
        <w:ind w:firstLine="460" w:firstLineChars="192"/>
        <w:rPr>
          <w:color w:val="auto"/>
          <w:sz w:val="24"/>
        </w:rPr>
      </w:pPr>
      <w:r>
        <w:rPr>
          <w:color w:val="auto"/>
          <w:sz w:val="24"/>
        </w:rPr>
        <w:t>3.2.</w:t>
      </w:r>
      <w:r>
        <w:rPr>
          <w:rFonts w:hint="eastAsia"/>
          <w:color w:val="auto"/>
          <w:sz w:val="24"/>
        </w:rPr>
        <w:t>3</w:t>
      </w:r>
      <w:r>
        <w:rPr>
          <w:color w:val="auto"/>
          <w:sz w:val="24"/>
        </w:rPr>
        <w:t>单位负责人为同一人或者存在直接控股、管理关系的不同供应商，不得参加同一招标项目包的政府采购活动。</w:t>
      </w:r>
      <w:bookmarkStart w:id="8" w:name="_GoBack"/>
      <w:bookmarkEnd w:id="8"/>
    </w:p>
    <w:p>
      <w:pPr>
        <w:spacing w:line="360" w:lineRule="auto"/>
        <w:ind w:firstLine="460" w:firstLineChars="192"/>
        <w:rPr>
          <w:color w:val="auto"/>
          <w:kern w:val="0"/>
          <w:sz w:val="24"/>
        </w:rPr>
      </w:pPr>
      <w:r>
        <w:rPr>
          <w:color w:val="auto"/>
          <w:sz w:val="24"/>
        </w:rPr>
        <w:t>3.3本次招标</w:t>
      </w:r>
      <w:r>
        <w:rPr>
          <w:b/>
          <w:bCs/>
          <w:color w:val="auto"/>
          <w:sz w:val="24"/>
          <w:u w:val="single"/>
        </w:rPr>
        <w:t>不接受</w:t>
      </w:r>
      <w:r>
        <w:rPr>
          <w:color w:val="auto"/>
          <w:sz w:val="24"/>
        </w:rPr>
        <w:t>联合体投标。</w:t>
      </w:r>
    </w:p>
    <w:p>
      <w:pPr>
        <w:pStyle w:val="2"/>
        <w:numPr>
          <w:ilvl w:val="0"/>
          <w:numId w:val="0"/>
        </w:numPr>
        <w:spacing w:line="460" w:lineRule="exact"/>
        <w:ind w:left="-2" w:leftChars="-1"/>
        <w:rPr>
          <w:rFonts w:eastAsia="宋体"/>
          <w:color w:val="auto"/>
          <w:sz w:val="24"/>
          <w:szCs w:val="24"/>
        </w:rPr>
      </w:pPr>
      <w:bookmarkStart w:id="3" w:name="_Toc424132838"/>
      <w:r>
        <w:rPr>
          <w:rFonts w:eastAsia="宋体"/>
          <w:color w:val="auto"/>
          <w:sz w:val="24"/>
          <w:szCs w:val="24"/>
        </w:rPr>
        <w:t>四、招标文件的获取</w:t>
      </w:r>
      <w:bookmarkEnd w:id="3"/>
    </w:p>
    <w:p>
      <w:pPr>
        <w:spacing w:line="360" w:lineRule="auto"/>
        <w:jc w:val="left"/>
        <w:rPr>
          <w:color w:val="auto"/>
          <w:kern w:val="0"/>
          <w:sz w:val="24"/>
        </w:rPr>
      </w:pPr>
      <w:r>
        <w:rPr>
          <w:rFonts w:hint="eastAsia"/>
          <w:color w:val="auto"/>
          <w:kern w:val="0"/>
          <w:sz w:val="24"/>
        </w:rPr>
        <w:t>4</w:t>
      </w:r>
      <w:r>
        <w:rPr>
          <w:color w:val="auto"/>
          <w:kern w:val="0"/>
          <w:sz w:val="24"/>
        </w:rPr>
        <w:t>.1 凡有意参加投标者，请于</w:t>
      </w:r>
      <w:r>
        <w:rPr>
          <w:rFonts w:hint="eastAsia"/>
          <w:color w:val="auto"/>
          <w:sz w:val="24"/>
          <w:u w:val="single"/>
        </w:rPr>
        <w:t>2019</w:t>
      </w:r>
      <w:r>
        <w:rPr>
          <w:rFonts w:hint="eastAsia"/>
          <w:color w:val="auto"/>
          <w:sz w:val="24"/>
        </w:rPr>
        <w:t>年</w:t>
      </w:r>
      <w:r>
        <w:rPr>
          <w:rFonts w:hint="eastAsia"/>
          <w:color w:val="auto"/>
          <w:sz w:val="24"/>
          <w:u w:val="single"/>
          <w:lang w:val="en-US" w:eastAsia="zh-CN"/>
        </w:rPr>
        <w:t>4</w:t>
      </w:r>
      <w:r>
        <w:rPr>
          <w:rFonts w:hint="eastAsia"/>
          <w:color w:val="auto"/>
          <w:sz w:val="24"/>
        </w:rPr>
        <w:t>月</w:t>
      </w:r>
      <w:r>
        <w:rPr>
          <w:rFonts w:hint="eastAsia"/>
          <w:color w:val="auto"/>
          <w:sz w:val="24"/>
          <w:u w:val="single"/>
          <w:lang w:val="en-US" w:eastAsia="zh-CN"/>
        </w:rPr>
        <w:t>19</w:t>
      </w:r>
      <w:r>
        <w:rPr>
          <w:rFonts w:hint="eastAsia"/>
          <w:color w:val="auto"/>
          <w:sz w:val="24"/>
        </w:rPr>
        <w:t>日起至</w:t>
      </w:r>
      <w:r>
        <w:rPr>
          <w:rFonts w:hint="eastAsia"/>
          <w:color w:val="auto"/>
          <w:sz w:val="24"/>
          <w:u w:val="single"/>
        </w:rPr>
        <w:t>2019</w:t>
      </w:r>
      <w:r>
        <w:rPr>
          <w:rFonts w:hint="eastAsia"/>
          <w:color w:val="auto"/>
          <w:sz w:val="24"/>
        </w:rPr>
        <w:t>年</w:t>
      </w:r>
      <w:r>
        <w:rPr>
          <w:rFonts w:hint="eastAsia"/>
          <w:color w:val="auto"/>
          <w:sz w:val="24"/>
          <w:u w:val="single"/>
          <w:lang w:val="en-US" w:eastAsia="zh-CN"/>
        </w:rPr>
        <w:t>4</w:t>
      </w:r>
      <w:r>
        <w:rPr>
          <w:rFonts w:hint="eastAsia"/>
          <w:color w:val="auto"/>
          <w:sz w:val="24"/>
        </w:rPr>
        <w:t>月</w:t>
      </w:r>
      <w:r>
        <w:rPr>
          <w:rFonts w:hint="eastAsia"/>
          <w:color w:val="auto"/>
          <w:sz w:val="24"/>
          <w:u w:val="single"/>
          <w:lang w:val="en-US" w:eastAsia="zh-CN"/>
        </w:rPr>
        <w:t>25</w:t>
      </w:r>
      <w:r>
        <w:rPr>
          <w:rFonts w:hint="eastAsia"/>
          <w:color w:val="auto"/>
          <w:sz w:val="24"/>
        </w:rPr>
        <w:t>日</w:t>
      </w:r>
      <w:r>
        <w:rPr>
          <w:color w:val="auto"/>
          <w:kern w:val="0"/>
          <w:sz w:val="24"/>
        </w:rPr>
        <w:t>（法定公休日、法定节假日除外），每日上午9:00</w:t>
      </w:r>
      <w:r>
        <w:rPr>
          <w:rFonts w:hint="eastAsia"/>
          <w:color w:val="auto"/>
          <w:kern w:val="0"/>
          <w:sz w:val="24"/>
        </w:rPr>
        <w:t>-</w:t>
      </w:r>
      <w:r>
        <w:rPr>
          <w:color w:val="auto"/>
          <w:kern w:val="0"/>
          <w:sz w:val="24"/>
        </w:rPr>
        <w:t>11:</w:t>
      </w:r>
      <w:r>
        <w:rPr>
          <w:rFonts w:hint="eastAsia"/>
          <w:color w:val="auto"/>
          <w:kern w:val="0"/>
          <w:sz w:val="24"/>
        </w:rPr>
        <w:t>3</w:t>
      </w:r>
      <w:r>
        <w:rPr>
          <w:color w:val="auto"/>
          <w:kern w:val="0"/>
          <w:sz w:val="24"/>
        </w:rPr>
        <w:t>0时，下午1</w:t>
      </w:r>
      <w:r>
        <w:rPr>
          <w:rFonts w:hint="eastAsia"/>
          <w:color w:val="auto"/>
          <w:kern w:val="0"/>
          <w:sz w:val="24"/>
        </w:rPr>
        <w:t>3</w:t>
      </w:r>
      <w:r>
        <w:rPr>
          <w:color w:val="auto"/>
          <w:kern w:val="0"/>
          <w:sz w:val="24"/>
        </w:rPr>
        <w:t>:</w:t>
      </w:r>
      <w:r>
        <w:rPr>
          <w:rFonts w:hint="eastAsia"/>
          <w:color w:val="auto"/>
          <w:kern w:val="0"/>
          <w:sz w:val="24"/>
        </w:rPr>
        <w:t>3</w:t>
      </w:r>
      <w:r>
        <w:rPr>
          <w:color w:val="auto"/>
          <w:kern w:val="0"/>
          <w:sz w:val="24"/>
        </w:rPr>
        <w:t>0</w:t>
      </w:r>
      <w:r>
        <w:rPr>
          <w:rFonts w:hint="eastAsia"/>
          <w:color w:val="auto"/>
          <w:kern w:val="0"/>
          <w:sz w:val="24"/>
        </w:rPr>
        <w:t>-</w:t>
      </w:r>
      <w:r>
        <w:rPr>
          <w:color w:val="auto"/>
          <w:kern w:val="0"/>
          <w:sz w:val="24"/>
        </w:rPr>
        <w:t>1</w:t>
      </w:r>
      <w:r>
        <w:rPr>
          <w:rFonts w:hint="eastAsia"/>
          <w:color w:val="auto"/>
          <w:kern w:val="0"/>
          <w:sz w:val="24"/>
        </w:rPr>
        <w:t>6</w:t>
      </w:r>
      <w:r>
        <w:rPr>
          <w:color w:val="auto"/>
          <w:kern w:val="0"/>
          <w:sz w:val="24"/>
        </w:rPr>
        <w:t>:</w:t>
      </w:r>
      <w:r>
        <w:rPr>
          <w:rFonts w:hint="eastAsia"/>
          <w:color w:val="auto"/>
          <w:kern w:val="0"/>
          <w:sz w:val="24"/>
        </w:rPr>
        <w:t>3</w:t>
      </w:r>
      <w:r>
        <w:rPr>
          <w:color w:val="auto"/>
          <w:kern w:val="0"/>
          <w:sz w:val="24"/>
        </w:rPr>
        <w:t>0时（北京时间），在</w:t>
      </w:r>
      <w:r>
        <w:rPr>
          <w:rFonts w:hint="eastAsia"/>
          <w:color w:val="auto"/>
          <w:kern w:val="0"/>
          <w:sz w:val="24"/>
        </w:rPr>
        <w:t>云南凯乐普招标代理有限公司（昆明市五华区滇缅大道2498号财兴盛大厦B座13楼）</w:t>
      </w:r>
      <w:r>
        <w:rPr>
          <w:color w:val="auto"/>
          <w:kern w:val="0"/>
          <w:sz w:val="24"/>
        </w:rPr>
        <w:t>购买招标文件。</w:t>
      </w:r>
    </w:p>
    <w:p>
      <w:pPr>
        <w:spacing w:line="360" w:lineRule="auto"/>
        <w:jc w:val="left"/>
        <w:rPr>
          <w:color w:val="auto"/>
          <w:sz w:val="24"/>
        </w:rPr>
      </w:pPr>
      <w:r>
        <w:rPr>
          <w:color w:val="auto"/>
          <w:sz w:val="24"/>
        </w:rPr>
        <w:t>4.2招标文件售价</w:t>
      </w:r>
      <w:r>
        <w:rPr>
          <w:color w:val="auto"/>
          <w:sz w:val="24"/>
          <w:u w:val="single"/>
        </w:rPr>
        <w:t>600</w:t>
      </w:r>
      <w:r>
        <w:rPr>
          <w:color w:val="auto"/>
          <w:sz w:val="24"/>
        </w:rPr>
        <w:t>元/包，售后不退。</w:t>
      </w:r>
    </w:p>
    <w:p>
      <w:pPr>
        <w:spacing w:line="360" w:lineRule="auto"/>
        <w:jc w:val="left"/>
        <w:rPr>
          <w:color w:val="auto"/>
          <w:sz w:val="24"/>
        </w:rPr>
      </w:pPr>
      <w:r>
        <w:rPr>
          <w:color w:val="auto"/>
          <w:sz w:val="24"/>
        </w:rPr>
        <w:t>4.3不提供邮购招标文件服务。</w:t>
      </w:r>
    </w:p>
    <w:p>
      <w:pPr>
        <w:pStyle w:val="2"/>
        <w:numPr>
          <w:ilvl w:val="0"/>
          <w:numId w:val="0"/>
        </w:numPr>
        <w:spacing w:line="460" w:lineRule="exact"/>
        <w:ind w:left="-2" w:leftChars="-1"/>
        <w:rPr>
          <w:rFonts w:eastAsia="宋体"/>
          <w:color w:val="auto"/>
          <w:sz w:val="24"/>
          <w:szCs w:val="24"/>
        </w:rPr>
      </w:pPr>
      <w:bookmarkStart w:id="4" w:name="_Toc424132839"/>
      <w:r>
        <w:rPr>
          <w:rFonts w:eastAsia="宋体"/>
          <w:color w:val="auto"/>
          <w:sz w:val="24"/>
          <w:szCs w:val="24"/>
        </w:rPr>
        <w:t>五、投标文件的递交</w:t>
      </w:r>
      <w:bookmarkEnd w:id="4"/>
    </w:p>
    <w:p>
      <w:pPr>
        <w:spacing w:line="460" w:lineRule="exact"/>
        <w:ind w:firstLine="540" w:firstLineChars="225"/>
        <w:jc w:val="left"/>
        <w:rPr>
          <w:color w:val="auto"/>
          <w:sz w:val="24"/>
        </w:rPr>
      </w:pPr>
      <w:r>
        <w:rPr>
          <w:color w:val="auto"/>
          <w:sz w:val="24"/>
        </w:rPr>
        <w:t>5.1提交投标文件时间：</w:t>
      </w:r>
      <w:r>
        <w:rPr>
          <w:color w:val="auto"/>
          <w:sz w:val="24"/>
          <w:u w:val="single"/>
        </w:rPr>
        <w:t>201</w:t>
      </w:r>
      <w:r>
        <w:rPr>
          <w:rFonts w:hint="eastAsia"/>
          <w:color w:val="auto"/>
          <w:sz w:val="24"/>
          <w:u w:val="single"/>
        </w:rPr>
        <w:t>9</w:t>
      </w:r>
      <w:r>
        <w:rPr>
          <w:color w:val="auto"/>
          <w:sz w:val="24"/>
        </w:rPr>
        <w:t>年</w:t>
      </w:r>
      <w:r>
        <w:rPr>
          <w:rFonts w:hint="eastAsia"/>
          <w:color w:val="auto"/>
          <w:sz w:val="24"/>
          <w:u w:val="single"/>
          <w:lang w:val="en-US" w:eastAsia="zh-CN"/>
        </w:rPr>
        <w:t>5</w:t>
      </w:r>
      <w:r>
        <w:rPr>
          <w:color w:val="auto"/>
          <w:sz w:val="24"/>
        </w:rPr>
        <w:t>月</w:t>
      </w:r>
      <w:r>
        <w:rPr>
          <w:rFonts w:hint="eastAsia"/>
          <w:color w:val="auto"/>
          <w:sz w:val="24"/>
          <w:u w:val="single"/>
          <w:lang w:val="en-US" w:eastAsia="zh-CN"/>
        </w:rPr>
        <w:t>9</w:t>
      </w:r>
      <w:r>
        <w:rPr>
          <w:color w:val="auto"/>
          <w:sz w:val="24"/>
        </w:rPr>
        <w:t>日</w:t>
      </w:r>
      <w:r>
        <w:rPr>
          <w:color w:val="auto"/>
          <w:sz w:val="24"/>
          <w:u w:val="single"/>
        </w:rPr>
        <w:t>09</w:t>
      </w:r>
      <w:r>
        <w:rPr>
          <w:color w:val="auto"/>
          <w:sz w:val="24"/>
        </w:rPr>
        <w:t>时</w:t>
      </w:r>
      <w:r>
        <w:rPr>
          <w:color w:val="auto"/>
          <w:sz w:val="24"/>
          <w:u w:val="single"/>
        </w:rPr>
        <w:t>00</w:t>
      </w:r>
      <w:r>
        <w:rPr>
          <w:color w:val="auto"/>
          <w:sz w:val="24"/>
        </w:rPr>
        <w:t>分至</w:t>
      </w:r>
      <w:r>
        <w:rPr>
          <w:color w:val="auto"/>
          <w:sz w:val="24"/>
          <w:u w:val="single"/>
        </w:rPr>
        <w:t>09</w:t>
      </w:r>
      <w:r>
        <w:rPr>
          <w:color w:val="auto"/>
          <w:sz w:val="24"/>
        </w:rPr>
        <w:t>时</w:t>
      </w:r>
      <w:r>
        <w:rPr>
          <w:color w:val="auto"/>
          <w:sz w:val="24"/>
          <w:u w:val="single"/>
        </w:rPr>
        <w:t>30</w:t>
      </w:r>
      <w:r>
        <w:rPr>
          <w:color w:val="auto"/>
          <w:sz w:val="24"/>
        </w:rPr>
        <w:t>分（</w:t>
      </w:r>
      <w:r>
        <w:rPr>
          <w:color w:val="auto"/>
          <w:sz w:val="24"/>
        </w:rPr>
        <w:t>北京时间）。</w:t>
      </w:r>
    </w:p>
    <w:p>
      <w:pPr>
        <w:spacing w:line="460" w:lineRule="exact"/>
        <w:ind w:firstLine="540" w:firstLineChars="225"/>
        <w:jc w:val="left"/>
        <w:rPr>
          <w:color w:val="auto"/>
          <w:sz w:val="24"/>
          <w:u w:val="single"/>
        </w:rPr>
      </w:pPr>
      <w:r>
        <w:rPr>
          <w:color w:val="auto"/>
          <w:sz w:val="24"/>
        </w:rPr>
        <w:t>5.2提交投标文件截止时间：</w:t>
      </w:r>
      <w:r>
        <w:rPr>
          <w:color w:val="auto"/>
          <w:sz w:val="24"/>
          <w:u w:val="single"/>
        </w:rPr>
        <w:t>201</w:t>
      </w:r>
      <w:r>
        <w:rPr>
          <w:rFonts w:hint="eastAsia"/>
          <w:color w:val="auto"/>
          <w:sz w:val="24"/>
          <w:u w:val="single"/>
        </w:rPr>
        <w:t>9</w:t>
      </w:r>
      <w:r>
        <w:rPr>
          <w:color w:val="auto"/>
          <w:sz w:val="24"/>
        </w:rPr>
        <w:t>年</w:t>
      </w:r>
      <w:r>
        <w:rPr>
          <w:rFonts w:hint="eastAsia"/>
          <w:color w:val="auto"/>
          <w:sz w:val="24"/>
          <w:u w:val="single"/>
          <w:lang w:val="en-US" w:eastAsia="zh-CN"/>
        </w:rPr>
        <w:t>5</w:t>
      </w:r>
      <w:r>
        <w:rPr>
          <w:color w:val="auto"/>
          <w:sz w:val="24"/>
        </w:rPr>
        <w:t>月</w:t>
      </w:r>
      <w:r>
        <w:rPr>
          <w:rFonts w:hint="eastAsia"/>
          <w:color w:val="auto"/>
          <w:sz w:val="24"/>
          <w:u w:val="single"/>
          <w:lang w:val="en-US" w:eastAsia="zh-CN"/>
        </w:rPr>
        <w:t>9</w:t>
      </w:r>
      <w:r>
        <w:rPr>
          <w:color w:val="auto"/>
          <w:sz w:val="24"/>
        </w:rPr>
        <w:t>日</w:t>
      </w:r>
      <w:r>
        <w:rPr>
          <w:color w:val="auto"/>
          <w:sz w:val="24"/>
          <w:u w:val="single"/>
        </w:rPr>
        <w:t>09</w:t>
      </w:r>
      <w:r>
        <w:rPr>
          <w:color w:val="auto"/>
          <w:sz w:val="24"/>
        </w:rPr>
        <w:t>时</w:t>
      </w:r>
      <w:r>
        <w:rPr>
          <w:color w:val="auto"/>
          <w:sz w:val="24"/>
          <w:u w:val="single"/>
        </w:rPr>
        <w:t>30</w:t>
      </w:r>
      <w:r>
        <w:rPr>
          <w:color w:val="auto"/>
          <w:sz w:val="24"/>
        </w:rPr>
        <w:t>分（</w:t>
      </w:r>
      <w:r>
        <w:rPr>
          <w:color w:val="auto"/>
          <w:sz w:val="24"/>
        </w:rPr>
        <w:t>北京时间），提交投标文件地点为</w:t>
      </w:r>
      <w:r>
        <w:rPr>
          <w:rFonts w:hint="eastAsia"/>
          <w:color w:val="auto"/>
          <w:sz w:val="24"/>
        </w:rPr>
        <w:t>云南凯乐普招标代理有限公司（昆明市五华区滇缅大道2498号财兴盛大厦B座13楼）303开标室</w:t>
      </w:r>
      <w:r>
        <w:rPr>
          <w:color w:val="auto"/>
          <w:sz w:val="24"/>
        </w:rPr>
        <w:t>。</w:t>
      </w:r>
    </w:p>
    <w:p>
      <w:pPr>
        <w:spacing w:line="460" w:lineRule="exact"/>
        <w:ind w:firstLine="600" w:firstLineChars="250"/>
        <w:rPr>
          <w:color w:val="auto"/>
          <w:sz w:val="24"/>
        </w:rPr>
      </w:pPr>
      <w:r>
        <w:rPr>
          <w:color w:val="auto"/>
          <w:sz w:val="24"/>
        </w:rPr>
        <w:t>5.3 逾期送达的或者未送达指定地点的投标文件，将被拒收。</w:t>
      </w:r>
    </w:p>
    <w:p>
      <w:pPr>
        <w:spacing w:before="165" w:beforeLines="50" w:line="360" w:lineRule="auto"/>
        <w:rPr>
          <w:b/>
          <w:color w:val="auto"/>
          <w:sz w:val="24"/>
        </w:rPr>
      </w:pPr>
      <w:bookmarkStart w:id="5" w:name="_Toc404040249"/>
      <w:r>
        <w:rPr>
          <w:b/>
          <w:color w:val="auto"/>
          <w:sz w:val="24"/>
        </w:rPr>
        <w:t>六、开标时间及地点</w:t>
      </w:r>
      <w:bookmarkEnd w:id="5"/>
    </w:p>
    <w:p>
      <w:pPr>
        <w:spacing w:line="360" w:lineRule="auto"/>
        <w:ind w:firstLine="600" w:firstLineChars="250"/>
        <w:jc w:val="left"/>
        <w:rPr>
          <w:color w:val="auto"/>
          <w:sz w:val="24"/>
        </w:rPr>
      </w:pPr>
      <w:r>
        <w:rPr>
          <w:color w:val="auto"/>
          <w:sz w:val="24"/>
        </w:rPr>
        <w:t>6.1开标时间：</w:t>
      </w:r>
      <w:r>
        <w:rPr>
          <w:rFonts w:hint="eastAsia" w:ascii="宋体" w:hAnsi="宋体" w:cs="宋体"/>
          <w:color w:val="auto"/>
          <w:sz w:val="24"/>
          <w:u w:val="single"/>
        </w:rPr>
        <w:t>2019</w:t>
      </w:r>
      <w:r>
        <w:rPr>
          <w:rFonts w:hint="eastAsia" w:ascii="宋体" w:hAnsi="宋体" w:cs="宋体"/>
          <w:color w:val="auto"/>
          <w:sz w:val="24"/>
        </w:rPr>
        <w:t>年</w:t>
      </w:r>
      <w:r>
        <w:rPr>
          <w:rFonts w:hint="eastAsia" w:ascii="宋体" w:hAnsi="宋体" w:cs="宋体"/>
          <w:color w:val="auto"/>
          <w:sz w:val="24"/>
          <w:u w:val="single"/>
          <w:lang w:val="en-US" w:eastAsia="zh-CN"/>
        </w:rPr>
        <w:t>5</w:t>
      </w:r>
      <w:r>
        <w:rPr>
          <w:rFonts w:hint="eastAsia" w:ascii="宋体" w:hAnsi="宋体" w:cs="宋体"/>
          <w:color w:val="auto"/>
          <w:sz w:val="24"/>
        </w:rPr>
        <w:t>月</w:t>
      </w:r>
      <w:r>
        <w:rPr>
          <w:rFonts w:hint="eastAsia" w:ascii="宋体" w:hAnsi="宋体" w:cs="宋体"/>
          <w:color w:val="auto"/>
          <w:sz w:val="24"/>
          <w:u w:val="single"/>
          <w:lang w:val="en-US" w:eastAsia="zh-CN"/>
        </w:rPr>
        <w:t>9</w:t>
      </w:r>
      <w:r>
        <w:rPr>
          <w:rFonts w:hint="eastAsia" w:ascii="宋体" w:hAnsi="宋体" w:cs="宋体"/>
          <w:color w:val="auto"/>
          <w:sz w:val="24"/>
        </w:rPr>
        <w:t>日</w:t>
      </w:r>
      <w:r>
        <w:rPr>
          <w:rFonts w:hint="eastAsia" w:ascii="宋体" w:hAnsi="宋体" w:cs="宋体"/>
          <w:color w:val="auto"/>
          <w:sz w:val="24"/>
          <w:u w:val="single"/>
        </w:rPr>
        <w:t>09</w:t>
      </w:r>
      <w:r>
        <w:rPr>
          <w:rFonts w:hint="eastAsia" w:ascii="宋体" w:hAnsi="宋体" w:cs="宋体"/>
          <w:color w:val="auto"/>
          <w:sz w:val="24"/>
        </w:rPr>
        <w:t>时</w:t>
      </w:r>
      <w:r>
        <w:rPr>
          <w:rFonts w:hint="eastAsia" w:ascii="宋体" w:hAnsi="宋体" w:cs="宋体"/>
          <w:color w:val="auto"/>
          <w:sz w:val="24"/>
          <w:u w:val="single"/>
        </w:rPr>
        <w:t>30</w:t>
      </w:r>
      <w:r>
        <w:rPr>
          <w:rFonts w:hint="eastAsia" w:ascii="宋体" w:hAnsi="宋体" w:cs="宋体"/>
          <w:color w:val="auto"/>
          <w:sz w:val="24"/>
        </w:rPr>
        <w:t>分</w:t>
      </w:r>
      <w:r>
        <w:rPr>
          <w:color w:val="auto"/>
          <w:sz w:val="24"/>
        </w:rPr>
        <w:t>（</w:t>
      </w:r>
      <w:r>
        <w:rPr>
          <w:color w:val="auto"/>
          <w:sz w:val="24"/>
        </w:rPr>
        <w:t>北京时间）。</w:t>
      </w:r>
    </w:p>
    <w:p>
      <w:pPr>
        <w:spacing w:line="360" w:lineRule="auto"/>
        <w:ind w:firstLine="600" w:firstLineChars="250"/>
        <w:jc w:val="left"/>
        <w:rPr>
          <w:color w:val="auto"/>
          <w:sz w:val="24"/>
        </w:rPr>
      </w:pPr>
      <w:r>
        <w:rPr>
          <w:color w:val="auto"/>
          <w:sz w:val="24"/>
        </w:rPr>
        <w:t>6.2开标地点：</w:t>
      </w:r>
      <w:r>
        <w:rPr>
          <w:rFonts w:hint="eastAsia"/>
          <w:color w:val="auto"/>
          <w:sz w:val="24"/>
        </w:rPr>
        <w:t>云南凯乐普招标代理有限公司（昆明市五华区滇缅大道2498号财兴盛大厦B座13楼）303开标室</w:t>
      </w:r>
      <w:r>
        <w:rPr>
          <w:color w:val="auto"/>
          <w:sz w:val="24"/>
        </w:rPr>
        <w:t>。</w:t>
      </w:r>
    </w:p>
    <w:p>
      <w:pPr>
        <w:spacing w:before="165" w:beforeLines="50" w:line="360" w:lineRule="auto"/>
        <w:rPr>
          <w:b/>
          <w:color w:val="auto"/>
          <w:sz w:val="24"/>
        </w:rPr>
      </w:pPr>
      <w:bookmarkStart w:id="6" w:name="_Toc404040250"/>
      <w:r>
        <w:rPr>
          <w:b/>
          <w:color w:val="auto"/>
          <w:sz w:val="24"/>
        </w:rPr>
        <w:t>七、招标公告发布媒介</w:t>
      </w:r>
      <w:bookmarkEnd w:id="6"/>
    </w:p>
    <w:p>
      <w:pPr>
        <w:spacing w:line="360" w:lineRule="auto"/>
        <w:ind w:firstLine="480" w:firstLineChars="200"/>
        <w:jc w:val="left"/>
        <w:rPr>
          <w:color w:val="auto"/>
          <w:sz w:val="24"/>
        </w:rPr>
      </w:pPr>
      <w:r>
        <w:rPr>
          <w:color w:val="auto"/>
          <w:sz w:val="24"/>
        </w:rPr>
        <w:t>本次招标公告在《中国政府采购网》上发布。公告期限：</w:t>
      </w:r>
      <w:r>
        <w:rPr>
          <w:rFonts w:hint="eastAsia"/>
          <w:color w:val="auto"/>
          <w:sz w:val="24"/>
          <w:lang w:val="en-US" w:eastAsia="zh-CN"/>
        </w:rPr>
        <w:t>自</w:t>
      </w:r>
      <w:r>
        <w:rPr>
          <w:color w:val="auto"/>
          <w:sz w:val="24"/>
        </w:rPr>
        <w:t>公告</w:t>
      </w:r>
      <w:r>
        <w:rPr>
          <w:rFonts w:hint="eastAsia"/>
          <w:color w:val="auto"/>
          <w:sz w:val="24"/>
          <w:lang w:val="en-US" w:eastAsia="zh-CN"/>
        </w:rPr>
        <w:t>发布次日</w:t>
      </w:r>
      <w:r>
        <w:rPr>
          <w:color w:val="auto"/>
          <w:sz w:val="24"/>
        </w:rPr>
        <w:t>起5个工作日。</w:t>
      </w:r>
    </w:p>
    <w:p>
      <w:pPr>
        <w:spacing w:before="165" w:beforeLines="50" w:line="360" w:lineRule="auto"/>
        <w:rPr>
          <w:b/>
          <w:color w:val="auto"/>
          <w:sz w:val="24"/>
        </w:rPr>
      </w:pPr>
      <w:bookmarkStart w:id="7" w:name="_Toc404040251"/>
      <w:r>
        <w:rPr>
          <w:b/>
          <w:color w:val="auto"/>
          <w:sz w:val="24"/>
        </w:rPr>
        <w:t>八、联系方式</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采 购 人：</w:t>
      </w:r>
      <w:r>
        <w:rPr>
          <w:b/>
          <w:bCs/>
          <w:color w:val="auto"/>
          <w:sz w:val="24"/>
        </w:rPr>
        <w:t>中国科学院昆明动物研究所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地  址：云南省昆明市教场东路32号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联系人：张老师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联系电话：0871-65190773</w:t>
      </w:r>
    </w:p>
    <w:p>
      <w:pPr>
        <w:keepNext w:val="0"/>
        <w:keepLines w:val="0"/>
        <w:pageBreakBefore w:val="0"/>
        <w:widowControl w:val="0"/>
        <w:kinsoku/>
        <w:wordWrap/>
        <w:overflowPunct/>
        <w:topLinePunct w:val="0"/>
        <w:autoSpaceDE/>
        <w:autoSpaceDN/>
        <w:bidi w:val="0"/>
        <w:adjustRightInd/>
        <w:snapToGrid/>
        <w:spacing w:before="165" w:beforeLines="50" w:line="360" w:lineRule="auto"/>
        <w:ind w:firstLine="482" w:firstLineChars="200"/>
        <w:textAlignment w:val="auto"/>
        <w:rPr>
          <w:b/>
          <w:color w:val="auto"/>
          <w:sz w:val="24"/>
        </w:rPr>
      </w:pPr>
    </w:p>
    <w:p>
      <w:pPr>
        <w:keepNext w:val="0"/>
        <w:keepLines w:val="0"/>
        <w:pageBreakBefore w:val="0"/>
        <w:widowControl w:val="0"/>
        <w:kinsoku/>
        <w:wordWrap/>
        <w:overflowPunct/>
        <w:topLinePunct w:val="0"/>
        <w:autoSpaceDE/>
        <w:autoSpaceDN/>
        <w:bidi w:val="0"/>
        <w:adjustRightInd/>
        <w:snapToGrid/>
        <w:spacing w:before="165" w:beforeLines="50" w:line="360" w:lineRule="auto"/>
        <w:ind w:firstLine="482" w:firstLineChars="200"/>
        <w:textAlignment w:val="auto"/>
        <w:rPr>
          <w:rFonts w:hint="eastAsia"/>
          <w:b/>
          <w:color w:val="auto"/>
          <w:sz w:val="24"/>
        </w:rPr>
      </w:pPr>
      <w:r>
        <w:rPr>
          <w:b/>
          <w:color w:val="auto"/>
          <w:sz w:val="24"/>
        </w:rPr>
        <w:t>采购代理机构：</w:t>
      </w:r>
      <w:r>
        <w:rPr>
          <w:rFonts w:hint="eastAsia"/>
          <w:b/>
          <w:color w:val="auto"/>
          <w:sz w:val="24"/>
        </w:rPr>
        <w:t>云南凯乐普招标代理有限公司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color w:val="auto"/>
          <w:sz w:val="24"/>
        </w:rPr>
      </w:pPr>
      <w:r>
        <w:rPr>
          <w:bCs/>
          <w:color w:val="auto"/>
          <w:sz w:val="24"/>
        </w:rPr>
        <w:t>联 系 人：</w:t>
      </w:r>
      <w:r>
        <w:rPr>
          <w:rFonts w:hint="eastAsia"/>
          <w:bCs/>
          <w:color w:val="auto"/>
          <w:sz w:val="24"/>
        </w:rPr>
        <w:t>方建堃</w:t>
      </w:r>
      <w:r>
        <w:rPr>
          <w:bCs/>
          <w:color w:val="auto"/>
          <w:sz w:val="24"/>
        </w:rPr>
        <w:t>、</w:t>
      </w:r>
      <w:r>
        <w:rPr>
          <w:rFonts w:hint="eastAsia"/>
          <w:bCs/>
          <w:color w:val="auto"/>
          <w:sz w:val="24"/>
        </w:rPr>
        <w:t>陈婷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联系电话：0871-6</w:t>
      </w:r>
      <w:r>
        <w:rPr>
          <w:rFonts w:hint="eastAsia"/>
          <w:bCs/>
          <w:color w:val="auto"/>
          <w:sz w:val="24"/>
        </w:rPr>
        <w:t>8188550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传    真：0871-6</w:t>
      </w:r>
      <w:r>
        <w:rPr>
          <w:rFonts w:hint="eastAsia"/>
          <w:bCs/>
          <w:color w:val="auto"/>
          <w:sz w:val="24"/>
        </w:rPr>
        <w:t>3113559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地    址：</w:t>
      </w:r>
      <w:r>
        <w:rPr>
          <w:rFonts w:hint="eastAsia"/>
          <w:color w:val="auto"/>
          <w:sz w:val="24"/>
        </w:rPr>
        <w:t>昆明市五华区滇缅大道2498号财兴盛大厦B座13楼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bCs/>
          <w:color w:val="auto"/>
          <w:sz w:val="24"/>
        </w:rPr>
        <w:t>邮政编码：</w:t>
      </w:r>
      <w:r>
        <w:rPr>
          <w:rFonts w:hint="eastAsia"/>
          <w:bCs/>
          <w:color w:val="auto"/>
          <w:sz w:val="24"/>
        </w:rPr>
        <w:t>650000</w:t>
      </w:r>
    </w:p>
    <w:p>
      <w:pPr>
        <w:rPr>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lang w:val="en-US" w:eastAsia="zh-CN"/>
        </w:rPr>
      </w:pPr>
      <w:r>
        <w:rPr>
          <w:rFonts w:hint="eastAsia"/>
          <w:color w:val="auto"/>
          <w:sz w:val="24"/>
          <w:lang w:val="en-US" w:eastAsia="zh-CN"/>
        </w:rPr>
        <w:t>2019年4月18日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2"/>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097"/>
        </w:tabs>
        <w:ind w:left="1097" w:hanging="737"/>
      </w:pPr>
      <w:rPr>
        <w:rFonts w:hint="default" w:ascii="Times New Roman" w:hAnsi="Times New Roman"/>
        <w:b/>
        <w:i w:val="0"/>
        <w:sz w:val="24"/>
      </w:rPr>
    </w:lvl>
    <w:lvl w:ilvl="3" w:tentative="0">
      <w:start w:val="1"/>
      <w:numFmt w:val="decimal"/>
      <w:lvlText w:val="%1.%2.%3.%4"/>
      <w:lvlJc w:val="left"/>
      <w:pPr>
        <w:tabs>
          <w:tab w:val="left" w:pos="2518"/>
        </w:tabs>
        <w:ind w:left="2518"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A7456"/>
    <w:rsid w:val="431A7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2019-04-18T01:54:00Z</dcterms:created>
  <dc:creator>疯尘子</dc:creator>
  <cp:lastModifiedBy>疯尘子</cp:lastModifiedBy>
  <dcterms:modified xsi:type="dcterms:W3CDTF">2019-04-18T03:04:17Z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