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left"/>
        <w:rPr>
          <w:rFonts w:ascii="宋体" w:hAnsi="宋体" w:cs="仿宋"/>
          <w:sz w:val="28"/>
          <w:szCs w:val="28"/>
        </w:rPr>
      </w:pPr>
      <w:r>
        <w:rPr>
          <w:rFonts w:hint="eastAsia" w:ascii="宋体" w:hAnsi="宋体" w:cs="仿宋"/>
          <w:sz w:val="28"/>
          <w:szCs w:val="28"/>
        </w:rPr>
        <w:t xml:space="preserve"> </w:t>
      </w:r>
    </w:p>
    <w:p>
      <w:pPr>
        <w:ind w:firstLine="560"/>
        <w:jc w:val="left"/>
        <w:rPr>
          <w:rFonts w:ascii="宋体" w:hAnsi="宋体" w:cs="仿宋"/>
          <w:sz w:val="28"/>
          <w:szCs w:val="28"/>
        </w:rPr>
      </w:pPr>
    </w:p>
    <w:p>
      <w:pPr>
        <w:ind w:firstLine="1044"/>
        <w:jc w:val="center"/>
        <w:rPr>
          <w:rFonts w:ascii="宋体" w:hAnsi="宋体" w:cs="仿宋"/>
          <w:b/>
          <w:sz w:val="52"/>
          <w:szCs w:val="52"/>
        </w:rPr>
      </w:pPr>
      <w:r>
        <w:rPr>
          <w:rFonts w:hint="eastAsia" w:ascii="宋体" w:hAnsi="宋体" w:cs="仿宋"/>
          <w:b/>
          <w:sz w:val="52"/>
          <w:szCs w:val="52"/>
        </w:rPr>
        <w:t>会宁县第二人民医院医疗设备</w:t>
      </w:r>
    </w:p>
    <w:p>
      <w:pPr>
        <w:ind w:firstLine="1044"/>
        <w:jc w:val="center"/>
        <w:rPr>
          <w:rFonts w:ascii="宋体" w:hAnsi="宋体" w:cs="仿宋"/>
          <w:b/>
          <w:sz w:val="52"/>
          <w:szCs w:val="52"/>
        </w:rPr>
      </w:pPr>
      <w:r>
        <w:rPr>
          <w:rFonts w:hint="eastAsia" w:ascii="宋体" w:hAnsi="宋体" w:cs="仿宋"/>
          <w:b/>
          <w:sz w:val="52"/>
          <w:szCs w:val="52"/>
        </w:rPr>
        <w:t>采购项目</w:t>
      </w:r>
    </w:p>
    <w:p>
      <w:pPr>
        <w:ind w:firstLine="1044"/>
        <w:jc w:val="center"/>
        <w:rPr>
          <w:rFonts w:ascii="宋体" w:hAnsi="宋体" w:cs="仿宋"/>
          <w:b/>
          <w:sz w:val="52"/>
          <w:szCs w:val="52"/>
        </w:rPr>
      </w:pPr>
    </w:p>
    <w:p>
      <w:pPr>
        <w:ind w:firstLine="883"/>
        <w:jc w:val="center"/>
        <w:rPr>
          <w:rFonts w:ascii="宋体" w:hAnsi="宋体"/>
          <w:b/>
          <w:color w:val="000000"/>
          <w:sz w:val="44"/>
          <w:szCs w:val="44"/>
        </w:rPr>
      </w:pPr>
    </w:p>
    <w:p>
      <w:pPr>
        <w:ind w:firstLine="1446"/>
        <w:jc w:val="center"/>
        <w:rPr>
          <w:rFonts w:ascii="宋体" w:hAnsi="宋体"/>
          <w:b/>
          <w:color w:val="000000"/>
          <w:sz w:val="72"/>
        </w:rPr>
      </w:pPr>
    </w:p>
    <w:p>
      <w:pPr>
        <w:ind w:firstLine="1446"/>
        <w:jc w:val="center"/>
        <w:rPr>
          <w:rFonts w:ascii="宋体" w:hAnsi="宋体"/>
          <w:b/>
          <w:color w:val="000000"/>
          <w:sz w:val="72"/>
        </w:rPr>
      </w:pPr>
      <w:r>
        <w:rPr>
          <w:rFonts w:hint="eastAsia" w:ascii="宋体" w:hAnsi="宋体"/>
          <w:b/>
          <w:color w:val="000000"/>
          <w:sz w:val="72"/>
        </w:rPr>
        <w:t>政府采购招标文件</w:t>
      </w:r>
    </w:p>
    <w:p>
      <w:pPr>
        <w:ind w:firstLine="643"/>
        <w:jc w:val="center"/>
        <w:rPr>
          <w:rFonts w:ascii="宋体" w:hAnsi="宋体"/>
          <w:b/>
          <w:color w:val="000000"/>
          <w:sz w:val="32"/>
        </w:rPr>
      </w:pPr>
    </w:p>
    <w:p>
      <w:pPr>
        <w:spacing w:line="540" w:lineRule="exact"/>
        <w:ind w:firstLine="643"/>
        <w:jc w:val="center"/>
        <w:rPr>
          <w:rFonts w:eastAsia="仿宋_GB2312"/>
          <w:color w:val="FF0000"/>
          <w:sz w:val="32"/>
          <w:szCs w:val="32"/>
        </w:rPr>
      </w:pPr>
      <w:r>
        <w:rPr>
          <w:rFonts w:hint="eastAsia" w:ascii="宋体" w:hAnsi="宋体"/>
          <w:b/>
          <w:color w:val="000000"/>
          <w:sz w:val="32"/>
        </w:rPr>
        <w:t>招标编号：</w:t>
      </w:r>
      <w:r>
        <w:rPr>
          <w:rFonts w:eastAsia="仿宋_GB2312"/>
          <w:sz w:val="32"/>
          <w:szCs w:val="32"/>
        </w:rPr>
        <w:t>BGZJ-ZC</w:t>
      </w:r>
      <w:r>
        <w:rPr>
          <w:rFonts w:hint="eastAsia" w:eastAsia="仿宋_GB2312"/>
          <w:sz w:val="32"/>
          <w:szCs w:val="32"/>
          <w:lang w:val="en-US" w:eastAsia="zh-CN"/>
        </w:rPr>
        <w:t>18012</w:t>
      </w:r>
      <w:r>
        <w:rPr>
          <w:rFonts w:hint="eastAsia" w:eastAsia="仿宋_GB2312"/>
          <w:sz w:val="32"/>
          <w:szCs w:val="32"/>
        </w:rPr>
        <w:t xml:space="preserve">    </w:t>
      </w:r>
    </w:p>
    <w:p>
      <w:pPr>
        <w:ind w:firstLine="643"/>
        <w:rPr>
          <w:rFonts w:ascii="宋体" w:hAnsi="宋体"/>
          <w:b/>
          <w:color w:val="000000"/>
          <w:sz w:val="32"/>
        </w:rPr>
      </w:pPr>
    </w:p>
    <w:p>
      <w:pPr>
        <w:ind w:firstLine="1600" w:firstLineChars="500"/>
        <w:rPr>
          <w:rFonts w:ascii="宋体" w:hAnsi="宋体"/>
          <w:b/>
          <w:color w:val="000000"/>
          <w:sz w:val="32"/>
        </w:rPr>
      </w:pPr>
    </w:p>
    <w:p>
      <w:pPr>
        <w:ind w:firstLine="1600" w:firstLineChars="500"/>
        <w:rPr>
          <w:rFonts w:ascii="宋体" w:hAnsi="宋体"/>
          <w:b/>
          <w:color w:val="000000"/>
          <w:sz w:val="32"/>
        </w:rPr>
      </w:pPr>
    </w:p>
    <w:p>
      <w:pPr>
        <w:ind w:firstLine="1600" w:firstLineChars="500"/>
        <w:rPr>
          <w:rFonts w:ascii="宋体" w:hAnsi="宋体"/>
          <w:b/>
          <w:color w:val="000000"/>
          <w:sz w:val="32"/>
        </w:rPr>
      </w:pPr>
    </w:p>
    <w:p>
      <w:pPr>
        <w:ind w:firstLine="1600" w:firstLineChars="500"/>
        <w:rPr>
          <w:rFonts w:ascii="宋体" w:hAnsi="宋体"/>
          <w:b/>
          <w:color w:val="000000"/>
          <w:sz w:val="32"/>
        </w:rPr>
      </w:pPr>
    </w:p>
    <w:p>
      <w:pPr>
        <w:ind w:right="-422" w:rightChars="-201" w:firstLine="2720" w:firstLineChars="850"/>
        <w:jc w:val="left"/>
        <w:rPr>
          <w:rFonts w:ascii="宋体" w:hAnsi="宋体"/>
          <w:b/>
          <w:color w:val="000000"/>
          <w:sz w:val="32"/>
          <w:szCs w:val="32"/>
          <w:u w:val="single"/>
        </w:rPr>
      </w:pPr>
      <w:r>
        <w:rPr>
          <w:rFonts w:hint="eastAsia" w:ascii="宋体" w:hAnsi="宋体"/>
          <w:b/>
          <w:color w:val="000000"/>
          <w:sz w:val="32"/>
          <w:szCs w:val="32"/>
        </w:rPr>
        <w:t>采购单位：</w:t>
      </w:r>
      <w:r>
        <w:rPr>
          <w:rFonts w:hint="eastAsia" w:ascii="宋体" w:hAnsi="宋体"/>
          <w:b/>
          <w:color w:val="000000"/>
          <w:sz w:val="32"/>
          <w:szCs w:val="32"/>
          <w:u w:val="single"/>
        </w:rPr>
        <w:t>会宁县第二人民医院</w:t>
      </w:r>
    </w:p>
    <w:p>
      <w:pPr>
        <w:ind w:firstLine="2720" w:firstLineChars="850"/>
        <w:rPr>
          <w:rFonts w:ascii="宋体" w:hAnsi="宋体"/>
          <w:b/>
          <w:color w:val="000000"/>
          <w:sz w:val="32"/>
          <w:szCs w:val="32"/>
          <w:u w:val="single"/>
        </w:rPr>
      </w:pPr>
      <w:r>
        <w:rPr>
          <w:rFonts w:hint="eastAsia" w:ascii="宋体" w:hAnsi="宋体"/>
          <w:b/>
          <w:color w:val="000000"/>
          <w:sz w:val="32"/>
          <w:szCs w:val="32"/>
        </w:rPr>
        <w:t>代理机构：</w:t>
      </w:r>
      <w:r>
        <w:rPr>
          <w:rFonts w:hint="eastAsia" w:ascii="宋体" w:hAnsi="宋体"/>
          <w:b/>
          <w:color w:val="000000"/>
          <w:sz w:val="32"/>
          <w:szCs w:val="32"/>
          <w:u w:val="single"/>
        </w:rPr>
        <w:t>甘肃源和工程咨询有限公司</w:t>
      </w:r>
    </w:p>
    <w:p>
      <w:pPr>
        <w:pStyle w:val="22"/>
        <w:ind w:left="5250" w:firstLine="562"/>
        <w:jc w:val="center"/>
        <w:rPr>
          <w:b/>
          <w:color w:val="000000"/>
        </w:rPr>
      </w:pPr>
    </w:p>
    <w:p>
      <w:pPr>
        <w:pStyle w:val="22"/>
        <w:ind w:left="98" w:leftChars="47" w:firstLine="482"/>
        <w:jc w:val="center"/>
        <w:rPr>
          <w:b/>
          <w:color w:val="000000"/>
          <w:sz w:val="24"/>
        </w:rPr>
      </w:pPr>
      <w:r>
        <w:rPr>
          <w:rFonts w:hint="eastAsia"/>
          <w:b/>
          <w:color w:val="000000"/>
          <w:sz w:val="24"/>
        </w:rPr>
        <w:t>二零一</w:t>
      </w:r>
      <w:r>
        <w:rPr>
          <w:rFonts w:hint="eastAsia"/>
          <w:b/>
          <w:color w:val="000000"/>
          <w:sz w:val="24"/>
          <w:lang w:eastAsia="zh-CN"/>
        </w:rPr>
        <w:t>八</w:t>
      </w:r>
      <w:r>
        <w:rPr>
          <w:rFonts w:hint="eastAsia"/>
          <w:b/>
          <w:color w:val="000000"/>
          <w:sz w:val="24"/>
        </w:rPr>
        <w:t>年</w:t>
      </w:r>
      <w:r>
        <w:rPr>
          <w:rFonts w:hint="eastAsia"/>
          <w:b/>
          <w:color w:val="000000"/>
          <w:sz w:val="24"/>
          <w:lang w:eastAsia="zh-CN"/>
        </w:rPr>
        <w:t>一</w:t>
      </w:r>
      <w:r>
        <w:rPr>
          <w:rFonts w:hint="eastAsia"/>
          <w:b/>
          <w:color w:val="000000"/>
          <w:sz w:val="24"/>
        </w:rPr>
        <w:t>月</w:t>
      </w:r>
    </w:p>
    <w:p>
      <w:pPr>
        <w:ind w:firstLine="420"/>
      </w:pPr>
    </w:p>
    <w:p>
      <w:pPr>
        <w:widowControl/>
        <w:ind w:firstLine="420"/>
        <w:jc w:val="center"/>
        <w:rPr>
          <w:sz w:val="32"/>
          <w:szCs w:val="32"/>
        </w:rPr>
      </w:pPr>
      <w:r>
        <w:br w:type="page"/>
      </w:r>
      <w:r>
        <w:rPr>
          <w:sz w:val="32"/>
          <w:szCs w:val="32"/>
          <w:lang w:val="zh-CN"/>
        </w:rPr>
        <w:t>目</w:t>
      </w:r>
      <w:r>
        <w:rPr>
          <w:rFonts w:hint="eastAsia"/>
          <w:sz w:val="32"/>
          <w:szCs w:val="32"/>
          <w:lang w:val="zh-CN"/>
        </w:rPr>
        <w:t xml:space="preserve">  </w:t>
      </w:r>
      <w:r>
        <w:rPr>
          <w:sz w:val="32"/>
          <w:szCs w:val="32"/>
          <w:lang w:val="zh-CN"/>
        </w:rPr>
        <w:t>录</w:t>
      </w:r>
    </w:p>
    <w:p>
      <w:pPr>
        <w:pStyle w:val="27"/>
        <w:tabs>
          <w:tab w:val="right" w:leader="dot" w:pos="9866"/>
        </w:tabs>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rPr>
          <w:rFonts w:ascii="宋体" w:hAnsi="宋体"/>
          <w:szCs w:val="21"/>
        </w:rPr>
        <w:fldChar w:fldCharType="begin"/>
      </w:r>
      <w:r>
        <w:rPr>
          <w:rFonts w:ascii="宋体" w:hAnsi="宋体"/>
          <w:szCs w:val="21"/>
        </w:rPr>
        <w:instrText xml:space="preserve"> HYPERLINK \l _Toc27141 </w:instrText>
      </w:r>
      <w:r>
        <w:rPr>
          <w:rFonts w:ascii="宋体" w:hAnsi="宋体"/>
          <w:szCs w:val="21"/>
        </w:rPr>
        <w:fldChar w:fldCharType="separate"/>
      </w:r>
      <w:r>
        <w:rPr>
          <w:rFonts w:hint="eastAsia"/>
        </w:rPr>
        <w:t xml:space="preserve">第一章  </w:t>
      </w:r>
      <w:r>
        <w:rPr>
          <w:rFonts w:hint="eastAsia"/>
          <w:kern w:val="2"/>
          <w:szCs w:val="24"/>
        </w:rPr>
        <w:t>招标公告</w:t>
      </w:r>
      <w:r>
        <w:tab/>
      </w:r>
      <w:r>
        <w:fldChar w:fldCharType="begin"/>
      </w:r>
      <w:r>
        <w:instrText xml:space="preserve"> PAGEREF _Toc27141 </w:instrText>
      </w:r>
      <w:r>
        <w:fldChar w:fldCharType="separate"/>
      </w:r>
      <w:r>
        <w:t>5</w:t>
      </w:r>
      <w:r>
        <w:fldChar w:fldCharType="end"/>
      </w:r>
      <w:r>
        <w:rPr>
          <w:rFonts w:ascii="宋体" w:hAnsi="宋体"/>
          <w:szCs w:val="21"/>
        </w:rPr>
        <w:fldChar w:fldCharType="end"/>
      </w:r>
    </w:p>
    <w:p>
      <w:pPr>
        <w:pStyle w:val="27"/>
        <w:tabs>
          <w:tab w:val="right" w:leader="dot" w:pos="9866"/>
        </w:tabs>
      </w:pPr>
      <w:r>
        <w:rPr>
          <w:rFonts w:ascii="宋体" w:hAnsi="宋体"/>
          <w:szCs w:val="21"/>
        </w:rPr>
        <w:fldChar w:fldCharType="begin"/>
      </w:r>
      <w:r>
        <w:rPr>
          <w:rFonts w:ascii="宋体" w:hAnsi="宋体"/>
          <w:szCs w:val="21"/>
        </w:rPr>
        <w:instrText xml:space="preserve"> HYPERLINK \l _Toc29242 </w:instrText>
      </w:r>
      <w:r>
        <w:rPr>
          <w:rFonts w:ascii="宋体" w:hAnsi="宋体"/>
          <w:szCs w:val="21"/>
        </w:rPr>
        <w:fldChar w:fldCharType="separate"/>
      </w:r>
      <w:r>
        <w:t>第二章</w:t>
      </w:r>
      <w:r>
        <w:rPr>
          <w:rFonts w:hint="eastAsia"/>
        </w:rPr>
        <w:t xml:space="preserve"> 投标人须知前附表</w:t>
      </w:r>
      <w:r>
        <w:tab/>
      </w:r>
      <w:r>
        <w:fldChar w:fldCharType="begin"/>
      </w:r>
      <w:r>
        <w:instrText xml:space="preserve"> PAGEREF _Toc29242 </w:instrText>
      </w:r>
      <w:r>
        <w:fldChar w:fldCharType="separate"/>
      </w:r>
      <w:r>
        <w:t>7</w:t>
      </w:r>
      <w:r>
        <w:fldChar w:fldCharType="end"/>
      </w:r>
      <w:r>
        <w:rPr>
          <w:rFonts w:ascii="宋体" w:hAnsi="宋体"/>
          <w:szCs w:val="21"/>
        </w:rPr>
        <w:fldChar w:fldCharType="end"/>
      </w:r>
    </w:p>
    <w:p>
      <w:pPr>
        <w:pStyle w:val="27"/>
        <w:tabs>
          <w:tab w:val="right" w:leader="dot" w:pos="9866"/>
        </w:tabs>
      </w:pPr>
      <w:r>
        <w:rPr>
          <w:rFonts w:ascii="宋体" w:hAnsi="宋体"/>
          <w:szCs w:val="21"/>
        </w:rPr>
        <w:fldChar w:fldCharType="begin"/>
      </w:r>
      <w:r>
        <w:rPr>
          <w:rFonts w:ascii="宋体" w:hAnsi="宋体"/>
          <w:szCs w:val="21"/>
        </w:rPr>
        <w:instrText xml:space="preserve"> HYPERLINK \l _Toc239 </w:instrText>
      </w:r>
      <w:r>
        <w:rPr>
          <w:rFonts w:ascii="宋体" w:hAnsi="宋体"/>
          <w:szCs w:val="21"/>
        </w:rPr>
        <w:fldChar w:fldCharType="separate"/>
      </w:r>
      <w:r>
        <w:rPr>
          <w:rFonts w:hint="eastAsia"/>
          <w:kern w:val="2"/>
        </w:rPr>
        <w:t>第三章  投标人须知</w:t>
      </w:r>
      <w:r>
        <w:tab/>
      </w:r>
      <w:r>
        <w:fldChar w:fldCharType="begin"/>
      </w:r>
      <w:r>
        <w:instrText xml:space="preserve"> PAGEREF _Toc239 </w:instrText>
      </w:r>
      <w:r>
        <w:fldChar w:fldCharType="separate"/>
      </w:r>
      <w:r>
        <w:t>10</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_Toc25405 </w:instrText>
      </w:r>
      <w:r>
        <w:rPr>
          <w:rFonts w:ascii="宋体" w:hAnsi="宋体"/>
          <w:szCs w:val="21"/>
        </w:rPr>
        <w:fldChar w:fldCharType="separate"/>
      </w:r>
      <w:r>
        <w:rPr>
          <w:rFonts w:hint="eastAsia" w:ascii="宋体" w:hAnsi="宋体"/>
          <w:szCs w:val="28"/>
        </w:rPr>
        <w:t>3.1 招标文件涉及术语的内涵及解释</w:t>
      </w:r>
      <w:r>
        <w:tab/>
      </w:r>
      <w:r>
        <w:fldChar w:fldCharType="begin"/>
      </w:r>
      <w:r>
        <w:instrText xml:space="preserve"> PAGEREF _Toc25405 </w:instrText>
      </w:r>
      <w:r>
        <w:fldChar w:fldCharType="separate"/>
      </w:r>
      <w:r>
        <w:t>10</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_Toc17341 </w:instrText>
      </w:r>
      <w:r>
        <w:rPr>
          <w:rFonts w:ascii="宋体" w:hAnsi="宋体"/>
          <w:szCs w:val="21"/>
        </w:rPr>
        <w:fldChar w:fldCharType="separate"/>
      </w:r>
      <w:r>
        <w:rPr>
          <w:rFonts w:hint="eastAsia"/>
        </w:rPr>
        <w:t>3.2 招标项目概况及投标人资格要求</w:t>
      </w:r>
      <w:r>
        <w:tab/>
      </w:r>
      <w:r>
        <w:fldChar w:fldCharType="begin"/>
      </w:r>
      <w:r>
        <w:instrText xml:space="preserve"> PAGEREF _Toc17341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_Toc13299 </w:instrText>
      </w:r>
      <w:r>
        <w:rPr>
          <w:rFonts w:ascii="宋体" w:hAnsi="宋体"/>
          <w:szCs w:val="21"/>
        </w:rPr>
        <w:fldChar w:fldCharType="separate"/>
      </w:r>
      <w:r>
        <w:rPr>
          <w:rFonts w:hint="eastAsia"/>
        </w:rPr>
        <w:t>3.2.1招标项目基本信息</w:t>
      </w:r>
      <w:r>
        <w:tab/>
      </w:r>
      <w:r>
        <w:fldChar w:fldCharType="begin"/>
      </w:r>
      <w:r>
        <w:instrText xml:space="preserve"> PAGEREF _Toc13299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_Toc30308 </w:instrText>
      </w:r>
      <w:r>
        <w:rPr>
          <w:rFonts w:ascii="宋体" w:hAnsi="宋体"/>
          <w:szCs w:val="21"/>
        </w:rPr>
        <w:fldChar w:fldCharType="separate"/>
      </w:r>
      <w:r>
        <w:rPr>
          <w:rFonts w:hint="eastAsia"/>
        </w:rPr>
        <w:t>3.2.2投标人资格要求</w:t>
      </w:r>
      <w:r>
        <w:tab/>
      </w:r>
      <w:r>
        <w:fldChar w:fldCharType="begin"/>
      </w:r>
      <w:r>
        <w:instrText xml:space="preserve"> PAGEREF _Toc30308 </w:instrText>
      </w:r>
      <w:r>
        <w:fldChar w:fldCharType="separate"/>
      </w:r>
      <w:r>
        <w:t>11</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_Toc23880 </w:instrText>
      </w:r>
      <w:r>
        <w:rPr>
          <w:rFonts w:ascii="宋体" w:hAnsi="宋体"/>
          <w:szCs w:val="21"/>
        </w:rPr>
        <w:fldChar w:fldCharType="separate"/>
      </w:r>
      <w:r>
        <w:rPr>
          <w:rFonts w:hint="eastAsia" w:ascii="宋体" w:hAnsi="宋体"/>
        </w:rPr>
        <w:t>3.3招标</w:t>
      </w:r>
      <w:r>
        <w:tab/>
      </w:r>
      <w:r>
        <w:fldChar w:fldCharType="begin"/>
      </w:r>
      <w:r>
        <w:instrText xml:space="preserve"> PAGEREF _Toc23880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_Toc10152 </w:instrText>
      </w:r>
      <w:r>
        <w:rPr>
          <w:rFonts w:ascii="宋体" w:hAnsi="宋体"/>
          <w:szCs w:val="21"/>
        </w:rPr>
        <w:fldChar w:fldCharType="separate"/>
      </w:r>
      <w:r>
        <w:rPr>
          <w:rFonts w:hint="eastAsia"/>
        </w:rPr>
        <w:t>3.</w:t>
      </w:r>
      <w:r>
        <w:t xml:space="preserve">3.1 </w:t>
      </w:r>
      <w:r>
        <w:rPr>
          <w:rFonts w:hint="eastAsia"/>
        </w:rPr>
        <w:t>综合说明</w:t>
      </w:r>
      <w:r>
        <w:tab/>
      </w:r>
      <w:r>
        <w:fldChar w:fldCharType="begin"/>
      </w:r>
      <w:r>
        <w:instrText xml:space="preserve"> PAGEREF _Toc10152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_Toc28244 </w:instrText>
      </w:r>
      <w:r>
        <w:rPr>
          <w:rFonts w:ascii="宋体" w:hAnsi="宋体"/>
          <w:szCs w:val="21"/>
        </w:rPr>
        <w:fldChar w:fldCharType="separate"/>
      </w:r>
      <w:r>
        <w:rPr>
          <w:rFonts w:hint="eastAsia"/>
        </w:rPr>
        <w:t>3.</w:t>
      </w:r>
      <w:r>
        <w:t xml:space="preserve">3.2 </w:t>
      </w:r>
      <w:r>
        <w:rPr>
          <w:rFonts w:hint="eastAsia"/>
        </w:rPr>
        <w:t xml:space="preserve"> 招标公告时间</w:t>
      </w:r>
      <w:r>
        <w:tab/>
      </w:r>
      <w:r>
        <w:fldChar w:fldCharType="begin"/>
      </w:r>
      <w:r>
        <w:instrText xml:space="preserve"> PAGEREF _Toc28244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_Toc28 </w:instrText>
      </w:r>
      <w:r>
        <w:rPr>
          <w:rFonts w:ascii="宋体" w:hAnsi="宋体"/>
          <w:szCs w:val="21"/>
        </w:rPr>
        <w:fldChar w:fldCharType="separate"/>
      </w:r>
      <w:r>
        <w:rPr>
          <w:rFonts w:hint="eastAsia"/>
        </w:rPr>
        <w:t>3.3.3  招标文件的构成</w:t>
      </w:r>
      <w:r>
        <w:tab/>
      </w:r>
      <w:r>
        <w:fldChar w:fldCharType="begin"/>
      </w:r>
      <w:r>
        <w:instrText xml:space="preserve"> PAGEREF _Toc28 </w:instrText>
      </w:r>
      <w:r>
        <w:fldChar w:fldCharType="separate"/>
      </w:r>
      <w:r>
        <w:t>11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_Toc21456 </w:instrText>
      </w:r>
      <w:r>
        <w:rPr>
          <w:rFonts w:ascii="宋体" w:hAnsi="宋体"/>
          <w:szCs w:val="21"/>
        </w:rPr>
        <w:fldChar w:fldCharType="separate"/>
      </w:r>
      <w:r>
        <w:t>3.3</w:t>
      </w:r>
      <w:r>
        <w:rPr>
          <w:rFonts w:hint="eastAsia"/>
        </w:rPr>
        <w:t>.4   需要落实的政府采购政策</w:t>
      </w:r>
      <w:r>
        <w:tab/>
      </w:r>
      <w:r>
        <w:fldChar w:fldCharType="begin"/>
      </w:r>
      <w:r>
        <w:instrText xml:space="preserve"> PAGEREF _Toc21456 </w:instrText>
      </w:r>
      <w:r>
        <w:fldChar w:fldCharType="separate"/>
      </w:r>
      <w:r>
        <w:t>12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_Toc20030 </w:instrText>
      </w:r>
      <w:r>
        <w:rPr>
          <w:rFonts w:ascii="宋体" w:hAnsi="宋体"/>
          <w:szCs w:val="21"/>
        </w:rPr>
        <w:fldChar w:fldCharType="separate"/>
      </w:r>
      <w:r>
        <w:rPr>
          <w:rFonts w:hint="eastAsia"/>
        </w:rPr>
        <w:t>3.3.5   招标文件的修改与补充</w:t>
      </w:r>
      <w:r>
        <w:tab/>
      </w:r>
      <w:r>
        <w:fldChar w:fldCharType="begin"/>
      </w:r>
      <w:r>
        <w:instrText xml:space="preserve"> PAGEREF _Toc20030 </w:instrText>
      </w:r>
      <w:r>
        <w:fldChar w:fldCharType="separate"/>
      </w:r>
      <w:r>
        <w:t>12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_Toc3138 </w:instrText>
      </w:r>
      <w:r>
        <w:rPr>
          <w:rFonts w:ascii="宋体" w:hAnsi="宋体"/>
          <w:szCs w:val="21"/>
        </w:rPr>
        <w:fldChar w:fldCharType="separate"/>
      </w:r>
      <w:r>
        <w:t>3.</w:t>
      </w:r>
      <w:r>
        <w:rPr>
          <w:rFonts w:hint="eastAsia"/>
        </w:rPr>
        <w:t>3.6</w:t>
      </w:r>
      <w:r>
        <w:t xml:space="preserve"> </w:t>
      </w:r>
      <w:r>
        <w:rPr>
          <w:rFonts w:hint="eastAsia"/>
        </w:rPr>
        <w:t>答疑会和现场考察</w:t>
      </w:r>
      <w:r>
        <w:tab/>
      </w:r>
      <w:r>
        <w:fldChar w:fldCharType="begin"/>
      </w:r>
      <w:r>
        <w:instrText xml:space="preserve"> PAGEREF _Toc3138 </w:instrText>
      </w:r>
      <w:r>
        <w:fldChar w:fldCharType="separate"/>
      </w:r>
      <w:r>
        <w:t>12</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_Toc24695 </w:instrText>
      </w:r>
      <w:r>
        <w:rPr>
          <w:rFonts w:ascii="宋体" w:hAnsi="宋体"/>
          <w:szCs w:val="21"/>
        </w:rPr>
        <w:fldChar w:fldCharType="separate"/>
      </w:r>
      <w:r>
        <w:rPr>
          <w:rFonts w:hint="eastAsia" w:ascii="宋体" w:hAnsi="宋体"/>
          <w:szCs w:val="28"/>
        </w:rPr>
        <w:t>3.4</w:t>
      </w:r>
      <w:r>
        <w:rPr>
          <w:rFonts w:ascii="宋体" w:hAnsi="宋体"/>
          <w:szCs w:val="28"/>
        </w:rPr>
        <w:t xml:space="preserve"> </w:t>
      </w:r>
      <w:r>
        <w:rPr>
          <w:rFonts w:hint="eastAsia" w:ascii="宋体" w:hAnsi="宋体"/>
          <w:szCs w:val="28"/>
        </w:rPr>
        <w:t xml:space="preserve"> 投标</w:t>
      </w:r>
      <w:r>
        <w:tab/>
      </w:r>
      <w:r>
        <w:fldChar w:fldCharType="begin"/>
      </w:r>
      <w:r>
        <w:instrText xml:space="preserve"> PAGEREF _Toc24695 </w:instrText>
      </w:r>
      <w:r>
        <w:fldChar w:fldCharType="separate"/>
      </w:r>
      <w:r>
        <w:t>13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_Toc13959 </w:instrText>
      </w:r>
      <w:r>
        <w:rPr>
          <w:rFonts w:ascii="宋体" w:hAnsi="宋体"/>
          <w:szCs w:val="21"/>
        </w:rPr>
        <w:fldChar w:fldCharType="separate"/>
      </w:r>
      <w:r>
        <w:rPr>
          <w:rFonts w:hint="eastAsia"/>
        </w:rPr>
        <w:t>3.</w:t>
      </w:r>
      <w:r>
        <w:t>4.1</w:t>
      </w:r>
      <w:r>
        <w:rPr>
          <w:rFonts w:hint="eastAsia"/>
        </w:rPr>
        <w:t>投标综合要求及说明</w:t>
      </w:r>
      <w:r>
        <w:tab/>
      </w:r>
      <w:r>
        <w:fldChar w:fldCharType="begin"/>
      </w:r>
      <w:r>
        <w:instrText xml:space="preserve"> PAGEREF _Toc13959 </w:instrText>
      </w:r>
      <w:r>
        <w:fldChar w:fldCharType="separate"/>
      </w:r>
      <w:r>
        <w:t>13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_Toc1020 </w:instrText>
      </w:r>
      <w:r>
        <w:rPr>
          <w:rFonts w:ascii="宋体" w:hAnsi="宋体"/>
          <w:szCs w:val="21"/>
        </w:rPr>
        <w:fldChar w:fldCharType="separate"/>
      </w:r>
      <w:r>
        <w:rPr>
          <w:rFonts w:hint="eastAsia"/>
        </w:rPr>
        <w:t>3.4.2投标文件的语言</w:t>
      </w:r>
      <w:r>
        <w:tab/>
      </w:r>
      <w:r>
        <w:fldChar w:fldCharType="begin"/>
      </w:r>
      <w:r>
        <w:instrText xml:space="preserve"> PAGEREF _Toc1020 </w:instrText>
      </w:r>
      <w:r>
        <w:fldChar w:fldCharType="separate"/>
      </w:r>
      <w:r>
        <w:t>13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_Toc5534 </w:instrText>
      </w:r>
      <w:r>
        <w:rPr>
          <w:rFonts w:ascii="宋体" w:hAnsi="宋体"/>
          <w:szCs w:val="21"/>
        </w:rPr>
        <w:fldChar w:fldCharType="separate"/>
      </w:r>
      <w:r>
        <w:rPr>
          <w:rFonts w:hint="eastAsia"/>
        </w:rPr>
        <w:t>3.4.3计量单位</w:t>
      </w:r>
      <w:r>
        <w:tab/>
      </w:r>
      <w:r>
        <w:fldChar w:fldCharType="begin"/>
      </w:r>
      <w:r>
        <w:instrText xml:space="preserve"> PAGEREF _Toc5534 </w:instrText>
      </w:r>
      <w:r>
        <w:fldChar w:fldCharType="separate"/>
      </w:r>
      <w:r>
        <w:t>14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_Toc15331 </w:instrText>
      </w:r>
      <w:r>
        <w:rPr>
          <w:rFonts w:ascii="宋体" w:hAnsi="宋体"/>
          <w:szCs w:val="21"/>
        </w:rPr>
        <w:fldChar w:fldCharType="separate"/>
      </w:r>
      <w:r>
        <w:rPr>
          <w:rFonts w:hint="eastAsia"/>
        </w:rPr>
        <w:t>3.</w:t>
      </w:r>
      <w:r>
        <w:t>4.</w:t>
      </w:r>
      <w:r>
        <w:rPr>
          <w:rFonts w:hint="eastAsia"/>
        </w:rPr>
        <w:t>4投标货币</w:t>
      </w:r>
      <w:r>
        <w:tab/>
      </w:r>
      <w:r>
        <w:fldChar w:fldCharType="begin"/>
      </w:r>
      <w:r>
        <w:instrText xml:space="preserve"> PAGEREF _Toc15331 </w:instrText>
      </w:r>
      <w:r>
        <w:fldChar w:fldCharType="separate"/>
      </w:r>
      <w:r>
        <w:t>14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_Toc24081 </w:instrText>
      </w:r>
      <w:r>
        <w:rPr>
          <w:rFonts w:ascii="宋体" w:hAnsi="宋体"/>
          <w:szCs w:val="21"/>
        </w:rPr>
        <w:fldChar w:fldCharType="separate"/>
      </w:r>
      <w:r>
        <w:rPr>
          <w:rFonts w:hint="eastAsia"/>
        </w:rPr>
        <w:t>3.</w:t>
      </w:r>
      <w:r>
        <w:t>4.</w:t>
      </w:r>
      <w:r>
        <w:rPr>
          <w:rFonts w:hint="eastAsia"/>
        </w:rPr>
        <w:t>5联合体投标</w:t>
      </w:r>
      <w:r>
        <w:tab/>
      </w:r>
      <w:r>
        <w:fldChar w:fldCharType="begin"/>
      </w:r>
      <w:r>
        <w:instrText xml:space="preserve"> PAGEREF _Toc24081 </w:instrText>
      </w:r>
      <w:r>
        <w:fldChar w:fldCharType="separate"/>
      </w:r>
      <w:r>
        <w:t>14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_Toc24866 </w:instrText>
      </w:r>
      <w:r>
        <w:rPr>
          <w:rFonts w:ascii="宋体" w:hAnsi="宋体"/>
          <w:szCs w:val="21"/>
        </w:rPr>
        <w:fldChar w:fldCharType="separate"/>
      </w:r>
      <w:r>
        <w:rPr>
          <w:rFonts w:hint="eastAsia"/>
        </w:rPr>
        <w:t>3.</w:t>
      </w:r>
      <w:r>
        <w:t>4.</w:t>
      </w:r>
      <w:r>
        <w:rPr>
          <w:rFonts w:hint="eastAsia"/>
        </w:rPr>
        <w:t>6知识产权</w:t>
      </w:r>
      <w:r>
        <w:tab/>
      </w:r>
      <w:r>
        <w:fldChar w:fldCharType="begin"/>
      </w:r>
      <w:r>
        <w:instrText xml:space="preserve"> PAGEREF _Toc24866 </w:instrText>
      </w:r>
      <w:r>
        <w:fldChar w:fldCharType="separate"/>
      </w:r>
      <w:r>
        <w:t>14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_Toc16206 </w:instrText>
      </w:r>
      <w:r>
        <w:rPr>
          <w:rFonts w:ascii="宋体" w:hAnsi="宋体"/>
          <w:szCs w:val="21"/>
        </w:rPr>
        <w:fldChar w:fldCharType="separate"/>
      </w:r>
      <w:r>
        <w:rPr>
          <w:rFonts w:hint="eastAsia"/>
        </w:rPr>
        <w:t>3.</w:t>
      </w:r>
      <w:r>
        <w:t>4.</w:t>
      </w:r>
      <w:r>
        <w:rPr>
          <w:rFonts w:hint="eastAsia"/>
        </w:rPr>
        <w:t>7投标文件的组成</w:t>
      </w:r>
      <w:r>
        <w:tab/>
      </w:r>
      <w:r>
        <w:fldChar w:fldCharType="begin"/>
      </w:r>
      <w:r>
        <w:instrText xml:space="preserve"> PAGEREF _Toc16206 </w:instrText>
      </w:r>
      <w:r>
        <w:fldChar w:fldCharType="separate"/>
      </w:r>
      <w:r>
        <w:t>15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_Toc16927 </w:instrText>
      </w:r>
      <w:r>
        <w:rPr>
          <w:rFonts w:ascii="宋体" w:hAnsi="宋体"/>
          <w:szCs w:val="21"/>
        </w:rPr>
        <w:fldChar w:fldCharType="separate"/>
      </w:r>
      <w:r>
        <w:rPr>
          <w:rFonts w:hint="eastAsia"/>
        </w:rPr>
        <w:t>3.</w:t>
      </w:r>
      <w:r>
        <w:t>4.</w:t>
      </w:r>
      <w:r>
        <w:rPr>
          <w:rFonts w:hint="eastAsia"/>
        </w:rPr>
        <w:t>8投标文件格式</w:t>
      </w:r>
      <w:r>
        <w:tab/>
      </w:r>
      <w:r>
        <w:fldChar w:fldCharType="begin"/>
      </w:r>
      <w:r>
        <w:instrText xml:space="preserve"> PAGEREF _Toc16927 </w:instrText>
      </w:r>
      <w:r>
        <w:fldChar w:fldCharType="separate"/>
      </w:r>
      <w:r>
        <w:t>16</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_Toc10075 </w:instrText>
      </w:r>
      <w:r>
        <w:rPr>
          <w:rFonts w:ascii="宋体" w:hAnsi="宋体"/>
          <w:szCs w:val="21"/>
        </w:rPr>
        <w:fldChar w:fldCharType="separate"/>
      </w:r>
      <w:r>
        <w:rPr>
          <w:rFonts w:hint="eastAsia"/>
        </w:rPr>
        <w:t>3.4.9投标有效期</w:t>
      </w:r>
      <w:r>
        <w:tab/>
      </w:r>
      <w:r>
        <w:fldChar w:fldCharType="begin"/>
      </w:r>
      <w:r>
        <w:instrText xml:space="preserve"> PAGEREF _Toc10075 </w:instrText>
      </w:r>
      <w:r>
        <w:fldChar w:fldCharType="separate"/>
      </w:r>
      <w:r>
        <w:t>16</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_Toc7564 </w:instrText>
      </w:r>
      <w:r>
        <w:rPr>
          <w:rFonts w:ascii="宋体" w:hAnsi="宋体"/>
          <w:szCs w:val="21"/>
        </w:rPr>
        <w:fldChar w:fldCharType="separate"/>
      </w:r>
      <w:r>
        <w:rPr>
          <w:rFonts w:hint="eastAsia"/>
        </w:rPr>
        <w:t>3.4</w:t>
      </w:r>
      <w:r>
        <w:t>.1</w:t>
      </w:r>
      <w:r>
        <w:rPr>
          <w:rFonts w:hint="eastAsia"/>
        </w:rPr>
        <w:t>0投标保证金</w:t>
      </w:r>
      <w:r>
        <w:tab/>
      </w:r>
      <w:r>
        <w:fldChar w:fldCharType="begin"/>
      </w:r>
      <w:r>
        <w:instrText xml:space="preserve"> PAGEREF _Toc7564 </w:instrText>
      </w:r>
      <w:r>
        <w:fldChar w:fldCharType="separate"/>
      </w:r>
      <w:r>
        <w:t>16</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_Toc15486 </w:instrText>
      </w:r>
      <w:r>
        <w:rPr>
          <w:rFonts w:ascii="宋体" w:hAnsi="宋体"/>
          <w:szCs w:val="21"/>
        </w:rPr>
        <w:fldChar w:fldCharType="separate"/>
      </w:r>
      <w:r>
        <w:rPr>
          <w:rFonts w:hint="eastAsia"/>
        </w:rPr>
        <w:t>3.</w:t>
      </w:r>
      <w:r>
        <w:t>4.1</w:t>
      </w:r>
      <w:r>
        <w:rPr>
          <w:rFonts w:hint="eastAsia"/>
        </w:rPr>
        <w:t>1投标文件的份数和签署</w:t>
      </w:r>
      <w:r>
        <w:tab/>
      </w:r>
      <w:r>
        <w:fldChar w:fldCharType="begin"/>
      </w:r>
      <w:r>
        <w:instrText xml:space="preserve"> PAGEREF _Toc15486 </w:instrText>
      </w:r>
      <w:r>
        <w:fldChar w:fldCharType="separate"/>
      </w:r>
      <w:r>
        <w:t>17</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_Toc16772 </w:instrText>
      </w:r>
      <w:r>
        <w:rPr>
          <w:rFonts w:ascii="宋体" w:hAnsi="宋体"/>
          <w:szCs w:val="21"/>
        </w:rPr>
        <w:fldChar w:fldCharType="separate"/>
      </w:r>
      <w:r>
        <w:rPr>
          <w:rFonts w:hint="eastAsia"/>
        </w:rPr>
        <w:t>3.</w:t>
      </w:r>
      <w:r>
        <w:t>4.1</w:t>
      </w:r>
      <w:r>
        <w:rPr>
          <w:rFonts w:hint="eastAsia"/>
        </w:rPr>
        <w:t>2投标文件的密封</w:t>
      </w:r>
      <w:r>
        <w:tab/>
      </w:r>
      <w:r>
        <w:fldChar w:fldCharType="begin"/>
      </w:r>
      <w:r>
        <w:instrText xml:space="preserve"> PAGEREF _Toc16772 </w:instrText>
      </w:r>
      <w:r>
        <w:fldChar w:fldCharType="separate"/>
      </w:r>
      <w:r>
        <w:t>17</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_Toc6545 </w:instrText>
      </w:r>
      <w:r>
        <w:rPr>
          <w:rFonts w:ascii="宋体" w:hAnsi="宋体"/>
          <w:szCs w:val="21"/>
        </w:rPr>
        <w:fldChar w:fldCharType="separate"/>
      </w:r>
      <w:r>
        <w:rPr>
          <w:rFonts w:hint="eastAsia"/>
        </w:rPr>
        <w:t>3.</w:t>
      </w:r>
      <w:r>
        <w:t>4.1</w:t>
      </w:r>
      <w:r>
        <w:rPr>
          <w:rFonts w:hint="eastAsia"/>
        </w:rPr>
        <w:t>3投标文件递交</w:t>
      </w:r>
      <w:r>
        <w:tab/>
      </w:r>
      <w:r>
        <w:fldChar w:fldCharType="begin"/>
      </w:r>
      <w:r>
        <w:instrText xml:space="preserve"> PAGEREF _Toc6545 </w:instrText>
      </w:r>
      <w:r>
        <w:fldChar w:fldCharType="separate"/>
      </w:r>
      <w:r>
        <w:t>18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_Toc30207 </w:instrText>
      </w:r>
      <w:r>
        <w:rPr>
          <w:rFonts w:ascii="宋体" w:hAnsi="宋体"/>
          <w:szCs w:val="21"/>
        </w:rPr>
        <w:fldChar w:fldCharType="separate"/>
      </w:r>
      <w:r>
        <w:rPr>
          <w:rFonts w:hint="eastAsia"/>
        </w:rPr>
        <w:t>3.</w:t>
      </w:r>
      <w:r>
        <w:t>4.1</w:t>
      </w:r>
      <w:r>
        <w:rPr>
          <w:rFonts w:hint="eastAsia"/>
        </w:rPr>
        <w:t>4投标文件递交截止时间</w:t>
      </w:r>
      <w:r>
        <w:tab/>
      </w:r>
      <w:r>
        <w:fldChar w:fldCharType="begin"/>
      </w:r>
      <w:r>
        <w:instrText xml:space="preserve"> PAGEREF _Toc30207 </w:instrText>
      </w:r>
      <w:r>
        <w:fldChar w:fldCharType="separate"/>
      </w:r>
      <w:r>
        <w:t>18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_Toc9506 </w:instrText>
      </w:r>
      <w:r>
        <w:rPr>
          <w:rFonts w:ascii="宋体" w:hAnsi="宋体"/>
          <w:szCs w:val="21"/>
        </w:rPr>
        <w:fldChar w:fldCharType="separate"/>
      </w:r>
      <w:r>
        <w:rPr>
          <w:rFonts w:hint="eastAsia"/>
        </w:rPr>
        <w:t>3.</w:t>
      </w:r>
      <w:r>
        <w:t>4.1</w:t>
      </w:r>
      <w:r>
        <w:rPr>
          <w:rFonts w:hint="eastAsia"/>
        </w:rPr>
        <w:t>5投标文件的修改与撤回</w:t>
      </w:r>
      <w:r>
        <w:tab/>
      </w:r>
      <w:r>
        <w:fldChar w:fldCharType="begin"/>
      </w:r>
      <w:r>
        <w:instrText xml:space="preserve"> PAGEREF _Toc9506 </w:instrText>
      </w:r>
      <w:r>
        <w:fldChar w:fldCharType="separate"/>
      </w:r>
      <w:r>
        <w:t>18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_Toc13286 </w:instrText>
      </w:r>
      <w:r>
        <w:rPr>
          <w:rFonts w:ascii="宋体" w:hAnsi="宋体"/>
          <w:szCs w:val="21"/>
        </w:rPr>
        <w:fldChar w:fldCharType="separate"/>
      </w:r>
      <w:r>
        <w:rPr>
          <w:rFonts w:hint="eastAsia"/>
        </w:rPr>
        <w:t>3.4.16特殊情形的规定</w:t>
      </w:r>
      <w:r>
        <w:tab/>
      </w:r>
      <w:r>
        <w:fldChar w:fldCharType="begin"/>
      </w:r>
      <w:r>
        <w:instrText xml:space="preserve"> PAGEREF _Toc13286 </w:instrText>
      </w:r>
      <w:r>
        <w:fldChar w:fldCharType="separate"/>
      </w:r>
      <w:r>
        <w:t>18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_Toc14018 </w:instrText>
      </w:r>
      <w:r>
        <w:rPr>
          <w:rFonts w:ascii="宋体" w:hAnsi="宋体"/>
          <w:szCs w:val="21"/>
        </w:rPr>
        <w:fldChar w:fldCharType="separate"/>
      </w:r>
      <w:r>
        <w:rPr>
          <w:rFonts w:hint="eastAsia"/>
        </w:rPr>
        <w:t>3.4.17投标人出现以下情况，采购人（代理机构）将拒收其递交的投标文件。</w:t>
      </w:r>
      <w:r>
        <w:tab/>
      </w:r>
      <w:r>
        <w:fldChar w:fldCharType="begin"/>
      </w:r>
      <w:r>
        <w:instrText xml:space="preserve"> PAGEREF _Toc14018 </w:instrText>
      </w:r>
      <w:r>
        <w:fldChar w:fldCharType="separate"/>
      </w:r>
      <w:r>
        <w:t>19</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_Toc21926 </w:instrText>
      </w:r>
      <w:r>
        <w:rPr>
          <w:rFonts w:ascii="宋体" w:hAnsi="宋体"/>
          <w:szCs w:val="21"/>
        </w:rPr>
        <w:fldChar w:fldCharType="separate"/>
      </w:r>
      <w:r>
        <w:rPr>
          <w:rFonts w:hint="eastAsia" w:ascii="宋体" w:hAnsi="宋体"/>
          <w:szCs w:val="28"/>
        </w:rPr>
        <w:t>3.5 开标</w:t>
      </w:r>
      <w:r>
        <w:tab/>
      </w:r>
      <w:r>
        <w:fldChar w:fldCharType="begin"/>
      </w:r>
      <w:r>
        <w:instrText xml:space="preserve"> PAGEREF _Toc21926 </w:instrText>
      </w:r>
      <w:r>
        <w:fldChar w:fldCharType="separate"/>
      </w:r>
      <w:r>
        <w:t>19</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_Toc9158 </w:instrText>
      </w:r>
      <w:r>
        <w:rPr>
          <w:rFonts w:ascii="宋体" w:hAnsi="宋体"/>
          <w:szCs w:val="21"/>
        </w:rPr>
        <w:fldChar w:fldCharType="separate"/>
      </w:r>
      <w:r>
        <w:rPr>
          <w:rFonts w:hint="eastAsia"/>
        </w:rPr>
        <w:t>3.5.1  开标内容及注意事项</w:t>
      </w:r>
      <w:r>
        <w:tab/>
      </w:r>
      <w:r>
        <w:fldChar w:fldCharType="begin"/>
      </w:r>
      <w:r>
        <w:instrText xml:space="preserve"> PAGEREF _Toc9158 </w:instrText>
      </w:r>
      <w:r>
        <w:fldChar w:fldCharType="separate"/>
      </w:r>
      <w:r>
        <w:t>19</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_Toc5489 </w:instrText>
      </w:r>
      <w:r>
        <w:rPr>
          <w:rFonts w:ascii="宋体" w:hAnsi="宋体"/>
          <w:szCs w:val="21"/>
        </w:rPr>
        <w:fldChar w:fldCharType="separate"/>
      </w:r>
      <w:r>
        <w:rPr>
          <w:rFonts w:hint="eastAsia" w:ascii="宋体" w:hAnsi="宋体"/>
        </w:rPr>
        <w:t>3.6 评标</w:t>
      </w:r>
      <w:r>
        <w:tab/>
      </w:r>
      <w:r>
        <w:fldChar w:fldCharType="begin"/>
      </w:r>
      <w:r>
        <w:instrText xml:space="preserve"> PAGEREF _Toc5489 </w:instrText>
      </w:r>
      <w:r>
        <w:fldChar w:fldCharType="separate"/>
      </w:r>
      <w:r>
        <w:t>19</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_Toc22270 </w:instrText>
      </w:r>
      <w:r>
        <w:rPr>
          <w:rFonts w:ascii="宋体" w:hAnsi="宋体"/>
          <w:szCs w:val="21"/>
        </w:rPr>
        <w:fldChar w:fldCharType="separate"/>
      </w:r>
      <w:r>
        <w:rPr>
          <w:rFonts w:hint="eastAsia" w:ascii="宋体" w:hAnsi="宋体"/>
        </w:rPr>
        <w:t>3.6.1评标流程</w:t>
      </w:r>
      <w:r>
        <w:tab/>
      </w:r>
      <w:r>
        <w:fldChar w:fldCharType="begin"/>
      </w:r>
      <w:r>
        <w:instrText xml:space="preserve"> PAGEREF _Toc22270 </w:instrText>
      </w:r>
      <w:r>
        <w:fldChar w:fldCharType="separate"/>
      </w:r>
      <w:r>
        <w:t>19</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_Toc3738 </w:instrText>
      </w:r>
      <w:r>
        <w:rPr>
          <w:rFonts w:ascii="宋体" w:hAnsi="宋体"/>
          <w:szCs w:val="21"/>
        </w:rPr>
        <w:fldChar w:fldCharType="separate"/>
      </w:r>
      <w:r>
        <w:rPr>
          <w:rFonts w:hint="eastAsia"/>
        </w:rPr>
        <w:t>3.6.2注意事项</w:t>
      </w:r>
      <w:r>
        <w:tab/>
      </w:r>
      <w:r>
        <w:fldChar w:fldCharType="begin"/>
      </w:r>
      <w:r>
        <w:instrText xml:space="preserve"> PAGEREF _Toc3738 </w:instrText>
      </w:r>
      <w:r>
        <w:fldChar w:fldCharType="separate"/>
      </w:r>
      <w:r>
        <w:t>20</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_Toc29487 </w:instrText>
      </w:r>
      <w:r>
        <w:rPr>
          <w:rFonts w:ascii="宋体" w:hAnsi="宋体"/>
          <w:szCs w:val="21"/>
        </w:rPr>
        <w:fldChar w:fldCharType="separate"/>
      </w:r>
      <w:r>
        <w:rPr>
          <w:rFonts w:hint="eastAsia"/>
        </w:rPr>
        <w:t>3.6.3 供应商家数计算</w:t>
      </w:r>
      <w:r>
        <w:tab/>
      </w:r>
      <w:r>
        <w:fldChar w:fldCharType="begin"/>
      </w:r>
      <w:r>
        <w:instrText xml:space="preserve"> PAGEREF _Toc29487 </w:instrText>
      </w:r>
      <w:r>
        <w:fldChar w:fldCharType="separate"/>
      </w:r>
      <w:r>
        <w:t>20</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_Toc25254 </w:instrText>
      </w:r>
      <w:r>
        <w:rPr>
          <w:rFonts w:ascii="宋体" w:hAnsi="宋体"/>
          <w:szCs w:val="21"/>
        </w:rPr>
        <w:fldChar w:fldCharType="separate"/>
      </w:r>
      <w:r>
        <w:rPr>
          <w:rFonts w:hint="eastAsia" w:ascii="宋体" w:hAnsi="宋体"/>
        </w:rPr>
        <w:t>3.7 定标</w:t>
      </w:r>
      <w:r>
        <w:tab/>
      </w:r>
      <w:r>
        <w:fldChar w:fldCharType="begin"/>
      </w:r>
      <w:r>
        <w:instrText xml:space="preserve"> PAGEREF _Toc25254 </w:instrText>
      </w:r>
      <w:r>
        <w:fldChar w:fldCharType="separate"/>
      </w:r>
      <w:r>
        <w:t>21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_Toc15955 </w:instrText>
      </w:r>
      <w:r>
        <w:rPr>
          <w:rFonts w:ascii="宋体" w:hAnsi="宋体"/>
          <w:szCs w:val="21"/>
        </w:rPr>
        <w:fldChar w:fldCharType="separate"/>
      </w:r>
      <w:r>
        <w:rPr>
          <w:rFonts w:hint="eastAsia"/>
        </w:rPr>
        <w:t>3.7.1 定标原则</w:t>
      </w:r>
      <w:r>
        <w:tab/>
      </w:r>
      <w:r>
        <w:fldChar w:fldCharType="begin"/>
      </w:r>
      <w:r>
        <w:instrText xml:space="preserve"> PAGEREF _Toc15955 </w:instrText>
      </w:r>
      <w:r>
        <w:fldChar w:fldCharType="separate"/>
      </w:r>
      <w:r>
        <w:t>21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_Toc26630 </w:instrText>
      </w:r>
      <w:r>
        <w:rPr>
          <w:rFonts w:ascii="宋体" w:hAnsi="宋体"/>
          <w:szCs w:val="21"/>
        </w:rPr>
        <w:fldChar w:fldCharType="separate"/>
      </w:r>
      <w:r>
        <w:rPr>
          <w:rFonts w:hint="eastAsia"/>
        </w:rPr>
        <w:t>3.7.2 定标程序</w:t>
      </w:r>
      <w:r>
        <w:tab/>
      </w:r>
      <w:r>
        <w:fldChar w:fldCharType="begin"/>
      </w:r>
      <w:r>
        <w:instrText xml:space="preserve"> PAGEREF _Toc26630 </w:instrText>
      </w:r>
      <w:r>
        <w:fldChar w:fldCharType="separate"/>
      </w:r>
      <w:r>
        <w:t>21</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_Toc17390 </w:instrText>
      </w:r>
      <w:r>
        <w:rPr>
          <w:rFonts w:ascii="宋体" w:hAnsi="宋体"/>
          <w:szCs w:val="21"/>
        </w:rPr>
        <w:fldChar w:fldCharType="separate"/>
      </w:r>
      <w:r>
        <w:rPr>
          <w:rFonts w:hint="eastAsia" w:ascii="宋体" w:hAnsi="宋体"/>
        </w:rPr>
        <w:t>3.8 发放中标通知书</w:t>
      </w:r>
      <w:r>
        <w:tab/>
      </w:r>
      <w:r>
        <w:fldChar w:fldCharType="begin"/>
      </w:r>
      <w:r>
        <w:instrText xml:space="preserve"> PAGEREF _Toc17390 </w:instrText>
      </w:r>
      <w:r>
        <w:fldChar w:fldCharType="separate"/>
      </w:r>
      <w:r>
        <w:t>21</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_Toc14240 </w:instrText>
      </w:r>
      <w:r>
        <w:rPr>
          <w:rFonts w:ascii="宋体" w:hAnsi="宋体"/>
          <w:szCs w:val="21"/>
        </w:rPr>
        <w:fldChar w:fldCharType="separate"/>
      </w:r>
      <w:r>
        <w:rPr>
          <w:rFonts w:hint="eastAsia" w:ascii="宋体" w:hAnsi="宋体"/>
        </w:rPr>
        <w:t>3.9 签订政府采购合同</w:t>
      </w:r>
      <w:r>
        <w:tab/>
      </w:r>
      <w:r>
        <w:fldChar w:fldCharType="begin"/>
      </w:r>
      <w:r>
        <w:instrText xml:space="preserve"> PAGEREF _Toc14240 </w:instrText>
      </w:r>
      <w:r>
        <w:fldChar w:fldCharType="separate"/>
      </w:r>
      <w:r>
        <w:t>22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_Toc20219 </w:instrText>
      </w:r>
      <w:r>
        <w:rPr>
          <w:rFonts w:ascii="宋体" w:hAnsi="宋体"/>
          <w:szCs w:val="21"/>
        </w:rPr>
        <w:fldChar w:fldCharType="separate"/>
      </w:r>
      <w:r>
        <w:rPr>
          <w:rFonts w:hint="eastAsia"/>
        </w:rPr>
        <w:t>3.9.1合同授予原则</w:t>
      </w:r>
      <w:r>
        <w:tab/>
      </w:r>
      <w:r>
        <w:fldChar w:fldCharType="begin"/>
      </w:r>
      <w:r>
        <w:instrText xml:space="preserve"> PAGEREF _Toc20219 </w:instrText>
      </w:r>
      <w:r>
        <w:fldChar w:fldCharType="separate"/>
      </w:r>
      <w:r>
        <w:t>22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_Toc22409 </w:instrText>
      </w:r>
      <w:r>
        <w:rPr>
          <w:rFonts w:ascii="宋体" w:hAnsi="宋体"/>
          <w:szCs w:val="21"/>
        </w:rPr>
        <w:fldChar w:fldCharType="separate"/>
      </w:r>
      <w:r>
        <w:rPr>
          <w:rFonts w:hint="eastAsia"/>
        </w:rPr>
        <w:t>3.9.2合同的签署、履行及验收</w:t>
      </w:r>
      <w:r>
        <w:tab/>
      </w:r>
      <w:r>
        <w:fldChar w:fldCharType="begin"/>
      </w:r>
      <w:r>
        <w:instrText xml:space="preserve"> PAGEREF _Toc22409 </w:instrText>
      </w:r>
      <w:r>
        <w:fldChar w:fldCharType="separate"/>
      </w:r>
      <w:r>
        <w:t>22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_Toc8245 </w:instrText>
      </w:r>
      <w:r>
        <w:rPr>
          <w:rFonts w:ascii="宋体" w:hAnsi="宋体"/>
          <w:szCs w:val="21"/>
        </w:rPr>
        <w:fldChar w:fldCharType="separate"/>
      </w:r>
      <w:r>
        <w:rPr>
          <w:rFonts w:hint="eastAsia"/>
        </w:rPr>
        <w:t>3.9.3其他</w:t>
      </w:r>
      <w:r>
        <w:tab/>
      </w:r>
      <w:r>
        <w:fldChar w:fldCharType="begin"/>
      </w:r>
      <w:r>
        <w:instrText xml:space="preserve"> PAGEREF _Toc8245 </w:instrText>
      </w:r>
      <w:r>
        <w:fldChar w:fldCharType="separate"/>
      </w:r>
      <w:r>
        <w:t>23</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_Toc29852 </w:instrText>
      </w:r>
      <w:r>
        <w:rPr>
          <w:rFonts w:ascii="宋体" w:hAnsi="宋体"/>
          <w:szCs w:val="21"/>
        </w:rPr>
        <w:fldChar w:fldCharType="separate"/>
      </w:r>
      <w:r>
        <w:rPr>
          <w:rFonts w:hint="eastAsia" w:ascii="宋体" w:hAnsi="宋体"/>
          <w:szCs w:val="28"/>
        </w:rPr>
        <w:t>3.10、质疑与答复</w:t>
      </w:r>
      <w:r>
        <w:tab/>
      </w:r>
      <w:r>
        <w:fldChar w:fldCharType="begin"/>
      </w:r>
      <w:r>
        <w:instrText xml:space="preserve"> PAGEREF _Toc29852 </w:instrText>
      </w:r>
      <w:r>
        <w:fldChar w:fldCharType="separate"/>
      </w:r>
      <w:r>
        <w:t>23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_Toc11219 </w:instrText>
      </w:r>
      <w:r>
        <w:rPr>
          <w:rFonts w:ascii="宋体" w:hAnsi="宋体"/>
          <w:szCs w:val="21"/>
        </w:rPr>
        <w:fldChar w:fldCharType="separate"/>
      </w:r>
      <w:r>
        <w:rPr>
          <w:rFonts w:hint="eastAsia"/>
        </w:rPr>
        <w:t>3.10</w:t>
      </w:r>
      <w:r>
        <w:t xml:space="preserve">.1 </w:t>
      </w:r>
      <w:r>
        <w:rPr>
          <w:rFonts w:hint="eastAsia"/>
        </w:rPr>
        <w:t>综合说明</w:t>
      </w:r>
      <w:r>
        <w:tab/>
      </w:r>
      <w:r>
        <w:fldChar w:fldCharType="begin"/>
      </w:r>
      <w:r>
        <w:instrText xml:space="preserve"> PAGEREF _Toc11219 </w:instrText>
      </w:r>
      <w:r>
        <w:fldChar w:fldCharType="separate"/>
      </w:r>
      <w:r>
        <w:t>23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_Toc27099 </w:instrText>
      </w:r>
      <w:r>
        <w:rPr>
          <w:rFonts w:ascii="宋体" w:hAnsi="宋体"/>
          <w:szCs w:val="21"/>
        </w:rPr>
        <w:fldChar w:fldCharType="separate"/>
      </w:r>
      <w:r>
        <w:rPr>
          <w:rFonts w:hint="eastAsia"/>
        </w:rPr>
        <w:t>3.10.2质疑和答复的时限</w:t>
      </w:r>
      <w:r>
        <w:tab/>
      </w:r>
      <w:r>
        <w:fldChar w:fldCharType="begin"/>
      </w:r>
      <w:r>
        <w:instrText xml:space="preserve"> PAGEREF _Toc27099 </w:instrText>
      </w:r>
      <w:r>
        <w:fldChar w:fldCharType="separate"/>
      </w:r>
      <w:r>
        <w:t>23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_Toc16874 </w:instrText>
      </w:r>
      <w:r>
        <w:rPr>
          <w:rFonts w:ascii="宋体" w:hAnsi="宋体"/>
          <w:szCs w:val="21"/>
        </w:rPr>
        <w:fldChar w:fldCharType="separate"/>
      </w:r>
      <w:r>
        <w:rPr>
          <w:rFonts w:hint="eastAsia"/>
        </w:rPr>
        <w:t>3.10.3投标人提起质疑应当符合下列条件：</w:t>
      </w:r>
      <w:r>
        <w:tab/>
      </w:r>
      <w:r>
        <w:fldChar w:fldCharType="begin"/>
      </w:r>
      <w:r>
        <w:instrText xml:space="preserve"> PAGEREF _Toc16874 </w:instrText>
      </w:r>
      <w:r>
        <w:fldChar w:fldCharType="separate"/>
      </w:r>
      <w:r>
        <w:t>23</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_Toc3000 </w:instrText>
      </w:r>
      <w:r>
        <w:rPr>
          <w:rFonts w:ascii="宋体" w:hAnsi="宋体"/>
          <w:szCs w:val="21"/>
        </w:rPr>
        <w:fldChar w:fldCharType="separate"/>
      </w:r>
      <w:r>
        <w:rPr>
          <w:rFonts w:hint="eastAsia"/>
        </w:rPr>
        <w:t>3.10.4质疑函的递交及地点</w:t>
      </w:r>
      <w:r>
        <w:tab/>
      </w:r>
      <w:r>
        <w:fldChar w:fldCharType="begin"/>
      </w:r>
      <w:r>
        <w:instrText xml:space="preserve"> PAGEREF _Toc3000 </w:instrText>
      </w:r>
      <w:r>
        <w:fldChar w:fldCharType="separate"/>
      </w:r>
      <w:r>
        <w:t>24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_Toc24335 </w:instrText>
      </w:r>
      <w:r>
        <w:rPr>
          <w:rFonts w:ascii="宋体" w:hAnsi="宋体"/>
          <w:szCs w:val="21"/>
        </w:rPr>
        <w:fldChar w:fldCharType="separate"/>
      </w:r>
      <w:r>
        <w:rPr>
          <w:rFonts w:hint="eastAsia"/>
        </w:rPr>
        <w:t>3.10.5对供应商质疑的答复</w:t>
      </w:r>
      <w:r>
        <w:tab/>
      </w:r>
      <w:r>
        <w:fldChar w:fldCharType="begin"/>
      </w:r>
      <w:r>
        <w:instrText xml:space="preserve"> PAGEREF _Toc24335 </w:instrText>
      </w:r>
      <w:r>
        <w:fldChar w:fldCharType="separate"/>
      </w:r>
      <w:r>
        <w:t>24</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_Toc7860 </w:instrText>
      </w:r>
      <w:r>
        <w:rPr>
          <w:rFonts w:ascii="宋体" w:hAnsi="宋体"/>
          <w:szCs w:val="21"/>
        </w:rPr>
        <w:fldChar w:fldCharType="separate"/>
      </w:r>
      <w:r>
        <w:rPr>
          <w:rFonts w:hint="eastAsia"/>
        </w:rPr>
        <w:t>3.10</w:t>
      </w:r>
      <w:r>
        <w:t>.</w:t>
      </w:r>
      <w:r>
        <w:rPr>
          <w:rFonts w:hint="eastAsia"/>
        </w:rPr>
        <w:t>6质疑不予受理的情况</w:t>
      </w:r>
      <w:r>
        <w:tab/>
      </w:r>
      <w:r>
        <w:fldChar w:fldCharType="begin"/>
      </w:r>
      <w:r>
        <w:instrText xml:space="preserve"> PAGEREF _Toc7860 </w:instrText>
      </w:r>
      <w:r>
        <w:fldChar w:fldCharType="separate"/>
      </w:r>
      <w:r>
        <w:t>25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_Toc3834 </w:instrText>
      </w:r>
      <w:r>
        <w:rPr>
          <w:rFonts w:ascii="宋体" w:hAnsi="宋体"/>
          <w:szCs w:val="21"/>
        </w:rPr>
        <w:fldChar w:fldCharType="separate"/>
      </w:r>
      <w:r>
        <w:rPr>
          <w:rFonts w:hint="eastAsia"/>
        </w:rPr>
        <w:t>3.10.7投诉</w:t>
      </w:r>
      <w:r>
        <w:tab/>
      </w:r>
      <w:r>
        <w:fldChar w:fldCharType="begin"/>
      </w:r>
      <w:r>
        <w:instrText xml:space="preserve"> PAGEREF _Toc3834 </w:instrText>
      </w:r>
      <w:r>
        <w:fldChar w:fldCharType="separate"/>
      </w:r>
      <w:r>
        <w:t>25</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_Toc23547 </w:instrText>
      </w:r>
      <w:r>
        <w:rPr>
          <w:rFonts w:ascii="宋体" w:hAnsi="宋体"/>
          <w:szCs w:val="21"/>
        </w:rPr>
        <w:fldChar w:fldCharType="separate"/>
      </w:r>
      <w:r>
        <w:rPr>
          <w:rFonts w:hint="eastAsia"/>
        </w:rPr>
        <w:t>3.11、招标代理费</w:t>
      </w:r>
      <w:r>
        <w:tab/>
      </w:r>
      <w:r>
        <w:fldChar w:fldCharType="begin"/>
      </w:r>
      <w:r>
        <w:instrText xml:space="preserve"> PAGEREF _Toc23547 </w:instrText>
      </w:r>
      <w:r>
        <w:fldChar w:fldCharType="separate"/>
      </w:r>
      <w:r>
        <w:t>25</w:t>
      </w:r>
      <w:r>
        <w:fldChar w:fldCharType="end"/>
      </w:r>
      <w:r>
        <w:rPr>
          <w:rFonts w:ascii="宋体" w:hAnsi="宋体"/>
          <w:szCs w:val="21"/>
        </w:rPr>
        <w:fldChar w:fldCharType="end"/>
      </w:r>
    </w:p>
    <w:p>
      <w:pPr>
        <w:pStyle w:val="27"/>
        <w:tabs>
          <w:tab w:val="right" w:leader="dot" w:pos="9866"/>
        </w:tabs>
      </w:pPr>
      <w:r>
        <w:rPr>
          <w:rFonts w:ascii="宋体" w:hAnsi="宋体"/>
          <w:szCs w:val="21"/>
        </w:rPr>
        <w:fldChar w:fldCharType="begin"/>
      </w:r>
      <w:r>
        <w:rPr>
          <w:rFonts w:ascii="宋体" w:hAnsi="宋体"/>
          <w:szCs w:val="21"/>
        </w:rPr>
        <w:instrText xml:space="preserve"> HYPERLINK \l _Toc22828 </w:instrText>
      </w:r>
      <w:r>
        <w:rPr>
          <w:rFonts w:ascii="宋体" w:hAnsi="宋体"/>
          <w:szCs w:val="21"/>
        </w:rPr>
        <w:fldChar w:fldCharType="separate"/>
      </w:r>
      <w:r>
        <w:rPr>
          <w:rFonts w:hint="eastAsia"/>
        </w:rPr>
        <w:t>第四章  项目需求</w:t>
      </w:r>
      <w:r>
        <w:tab/>
      </w:r>
      <w:r>
        <w:fldChar w:fldCharType="begin"/>
      </w:r>
      <w:r>
        <w:instrText xml:space="preserve"> PAGEREF _Toc22828 </w:instrText>
      </w:r>
      <w:r>
        <w:fldChar w:fldCharType="separate"/>
      </w:r>
      <w:r>
        <w:t>26</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_Toc15337 </w:instrText>
      </w:r>
      <w:r>
        <w:rPr>
          <w:rFonts w:ascii="宋体" w:hAnsi="宋体"/>
          <w:szCs w:val="21"/>
        </w:rPr>
        <w:fldChar w:fldCharType="separate"/>
      </w:r>
      <w:r>
        <w:rPr>
          <w:rFonts w:hint="eastAsia"/>
        </w:rPr>
        <w:t>4.1 货物需求一览表</w:t>
      </w:r>
      <w:r>
        <w:tab/>
      </w:r>
      <w:r>
        <w:fldChar w:fldCharType="begin"/>
      </w:r>
      <w:r>
        <w:instrText xml:space="preserve"> PAGEREF _Toc15337 </w:instrText>
      </w:r>
      <w:r>
        <w:fldChar w:fldCharType="separate"/>
      </w:r>
      <w:r>
        <w:t>26</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_Toc12272 </w:instrText>
      </w:r>
      <w:r>
        <w:rPr>
          <w:rFonts w:ascii="宋体" w:hAnsi="宋体"/>
          <w:szCs w:val="21"/>
        </w:rPr>
        <w:fldChar w:fldCharType="separate"/>
      </w:r>
      <w:r>
        <w:rPr>
          <w:rFonts w:hint="eastAsia" w:ascii="宋体" w:hAnsi="宋体"/>
          <w:szCs w:val="28"/>
        </w:rPr>
        <w:t>4.2 交货时间及地点</w:t>
      </w:r>
      <w:r>
        <w:tab/>
      </w:r>
      <w:r>
        <w:fldChar w:fldCharType="begin"/>
      </w:r>
      <w:r>
        <w:instrText xml:space="preserve"> PAGEREF _Toc12272 </w:instrText>
      </w:r>
      <w:r>
        <w:fldChar w:fldCharType="separate"/>
      </w:r>
      <w:r>
        <w:t>33</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_Toc15766 </w:instrText>
      </w:r>
      <w:r>
        <w:rPr>
          <w:rFonts w:ascii="宋体" w:hAnsi="宋体"/>
          <w:szCs w:val="21"/>
        </w:rPr>
        <w:fldChar w:fldCharType="separate"/>
      </w:r>
      <w:r>
        <w:rPr>
          <w:rFonts w:hint="eastAsia" w:ascii="宋体" w:hAnsi="宋体"/>
        </w:rPr>
        <w:t>4.3 特别声明</w:t>
      </w:r>
      <w:r>
        <w:tab/>
      </w:r>
      <w:r>
        <w:fldChar w:fldCharType="begin"/>
      </w:r>
      <w:r>
        <w:instrText xml:space="preserve"> PAGEREF _Toc15766 </w:instrText>
      </w:r>
      <w:r>
        <w:fldChar w:fldCharType="separate"/>
      </w:r>
      <w:r>
        <w:t>33</w:t>
      </w:r>
      <w:r>
        <w:fldChar w:fldCharType="end"/>
      </w:r>
      <w:r>
        <w:rPr>
          <w:rFonts w:ascii="宋体" w:hAnsi="宋体"/>
          <w:szCs w:val="21"/>
        </w:rPr>
        <w:fldChar w:fldCharType="end"/>
      </w:r>
    </w:p>
    <w:p>
      <w:pPr>
        <w:pStyle w:val="27"/>
        <w:tabs>
          <w:tab w:val="right" w:leader="dot" w:pos="9866"/>
        </w:tabs>
      </w:pPr>
      <w:r>
        <w:rPr>
          <w:rFonts w:ascii="宋体" w:hAnsi="宋体"/>
          <w:szCs w:val="21"/>
        </w:rPr>
        <w:fldChar w:fldCharType="begin"/>
      </w:r>
      <w:r>
        <w:rPr>
          <w:rFonts w:ascii="宋体" w:hAnsi="宋体"/>
          <w:szCs w:val="21"/>
        </w:rPr>
        <w:instrText xml:space="preserve"> HYPERLINK \l _Toc23591 </w:instrText>
      </w:r>
      <w:r>
        <w:rPr>
          <w:rFonts w:ascii="宋体" w:hAnsi="宋体"/>
          <w:szCs w:val="21"/>
        </w:rPr>
        <w:fldChar w:fldCharType="separate"/>
      </w:r>
      <w:r>
        <w:rPr>
          <w:rFonts w:hint="eastAsia"/>
        </w:rPr>
        <w:t>第五章  评标办法</w:t>
      </w:r>
      <w:r>
        <w:tab/>
      </w:r>
      <w:r>
        <w:fldChar w:fldCharType="begin"/>
      </w:r>
      <w:r>
        <w:instrText xml:space="preserve"> PAGEREF _Toc23591 </w:instrText>
      </w:r>
      <w:r>
        <w:fldChar w:fldCharType="separate"/>
      </w:r>
      <w:r>
        <w:t>35</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_Toc23512 </w:instrText>
      </w:r>
      <w:r>
        <w:rPr>
          <w:rFonts w:ascii="宋体" w:hAnsi="宋体"/>
          <w:szCs w:val="21"/>
        </w:rPr>
        <w:fldChar w:fldCharType="separate"/>
      </w:r>
      <w:r>
        <w:rPr>
          <w:rFonts w:hint="eastAsia"/>
        </w:rPr>
        <w:t>5.1 评标原则及组织</w:t>
      </w:r>
      <w:r>
        <w:tab/>
      </w:r>
      <w:r>
        <w:fldChar w:fldCharType="begin"/>
      </w:r>
      <w:r>
        <w:instrText xml:space="preserve"> PAGEREF _Toc23512 </w:instrText>
      </w:r>
      <w:r>
        <w:fldChar w:fldCharType="separate"/>
      </w:r>
      <w:r>
        <w:t>35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_Toc29894 </w:instrText>
      </w:r>
      <w:r>
        <w:rPr>
          <w:rFonts w:ascii="宋体" w:hAnsi="宋体"/>
          <w:szCs w:val="21"/>
        </w:rPr>
        <w:fldChar w:fldCharType="separate"/>
      </w:r>
      <w:r>
        <w:rPr>
          <w:rFonts w:hint="eastAsia"/>
        </w:rPr>
        <w:t>5.</w:t>
      </w:r>
      <w:r>
        <w:t>1.1</w:t>
      </w:r>
      <w:r>
        <w:rPr>
          <w:rFonts w:hint="eastAsia"/>
        </w:rPr>
        <w:t>原则</w:t>
      </w:r>
      <w:r>
        <w:tab/>
      </w:r>
      <w:r>
        <w:fldChar w:fldCharType="begin"/>
      </w:r>
      <w:r>
        <w:instrText xml:space="preserve"> PAGEREF _Toc29894 </w:instrText>
      </w:r>
      <w:r>
        <w:fldChar w:fldCharType="separate"/>
      </w:r>
      <w:r>
        <w:t>35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_Toc9065 </w:instrText>
      </w:r>
      <w:r>
        <w:rPr>
          <w:rFonts w:ascii="宋体" w:hAnsi="宋体"/>
          <w:szCs w:val="21"/>
        </w:rPr>
        <w:fldChar w:fldCharType="separate"/>
      </w:r>
      <w:r>
        <w:rPr>
          <w:rFonts w:hint="eastAsia"/>
        </w:rPr>
        <w:t>5.</w:t>
      </w:r>
      <w:r>
        <w:t xml:space="preserve">1.2 </w:t>
      </w:r>
      <w:r>
        <w:rPr>
          <w:rFonts w:hint="eastAsia"/>
        </w:rPr>
        <w:t>组织</w:t>
      </w:r>
      <w:r>
        <w:tab/>
      </w:r>
      <w:r>
        <w:fldChar w:fldCharType="begin"/>
      </w:r>
      <w:r>
        <w:instrText xml:space="preserve"> PAGEREF _Toc9065 </w:instrText>
      </w:r>
      <w:r>
        <w:fldChar w:fldCharType="separate"/>
      </w:r>
      <w:r>
        <w:t>35</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_Toc9965 </w:instrText>
      </w:r>
      <w:r>
        <w:rPr>
          <w:rFonts w:ascii="宋体" w:hAnsi="宋体"/>
          <w:szCs w:val="21"/>
        </w:rPr>
        <w:fldChar w:fldCharType="separate"/>
      </w:r>
      <w:r>
        <w:rPr>
          <w:rFonts w:hint="eastAsia" w:ascii="宋体" w:hAnsi="宋体"/>
        </w:rPr>
        <w:t>5.2 评标程序</w:t>
      </w:r>
      <w:r>
        <w:tab/>
      </w:r>
      <w:r>
        <w:fldChar w:fldCharType="begin"/>
      </w:r>
      <w:r>
        <w:instrText xml:space="preserve"> PAGEREF _Toc9965 </w:instrText>
      </w:r>
      <w:r>
        <w:fldChar w:fldCharType="separate"/>
      </w:r>
      <w:r>
        <w:t>35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_Toc15111 </w:instrText>
      </w:r>
      <w:r>
        <w:rPr>
          <w:rFonts w:ascii="宋体" w:hAnsi="宋体"/>
          <w:szCs w:val="21"/>
        </w:rPr>
        <w:fldChar w:fldCharType="separate"/>
      </w:r>
      <w:r>
        <w:rPr>
          <w:rFonts w:hint="eastAsia"/>
        </w:rPr>
        <w:t>5.2</w:t>
      </w:r>
      <w:r>
        <w:t>.1</w:t>
      </w:r>
      <w:r>
        <w:rPr>
          <w:rFonts w:hint="eastAsia"/>
        </w:rPr>
        <w:t>投标文件的初审</w:t>
      </w:r>
      <w:r>
        <w:tab/>
      </w:r>
      <w:r>
        <w:fldChar w:fldCharType="begin"/>
      </w:r>
      <w:r>
        <w:instrText xml:space="preserve"> PAGEREF _Toc15111 </w:instrText>
      </w:r>
      <w:r>
        <w:fldChar w:fldCharType="separate"/>
      </w:r>
      <w:r>
        <w:t>35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_Toc31738 </w:instrText>
      </w:r>
      <w:r>
        <w:rPr>
          <w:rFonts w:ascii="宋体" w:hAnsi="宋体"/>
          <w:szCs w:val="21"/>
        </w:rPr>
        <w:fldChar w:fldCharType="separate"/>
      </w:r>
      <w:r>
        <w:rPr>
          <w:rFonts w:hint="eastAsia"/>
        </w:rPr>
        <w:t>5.2</w:t>
      </w:r>
      <w:r>
        <w:t>.2</w:t>
      </w:r>
      <w:r>
        <w:rPr>
          <w:rFonts w:hint="eastAsia"/>
        </w:rPr>
        <w:t>比较与评价</w:t>
      </w:r>
      <w:r>
        <w:tab/>
      </w:r>
      <w:r>
        <w:fldChar w:fldCharType="begin"/>
      </w:r>
      <w:r>
        <w:instrText xml:space="preserve"> PAGEREF _Toc31738 </w:instrText>
      </w:r>
      <w:r>
        <w:fldChar w:fldCharType="separate"/>
      </w:r>
      <w:r>
        <w:t>38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_Toc30153 </w:instrText>
      </w:r>
      <w:r>
        <w:rPr>
          <w:rFonts w:ascii="宋体" w:hAnsi="宋体"/>
          <w:szCs w:val="21"/>
        </w:rPr>
        <w:fldChar w:fldCharType="separate"/>
      </w:r>
      <w:r>
        <w:rPr>
          <w:rFonts w:hint="eastAsia"/>
        </w:rPr>
        <w:t>5.2</w:t>
      </w:r>
      <w:r>
        <w:t>.</w:t>
      </w:r>
      <w:r>
        <w:rPr>
          <w:rFonts w:hint="eastAsia"/>
        </w:rPr>
        <w:t>3评标方法</w:t>
      </w:r>
      <w:r>
        <w:tab/>
      </w:r>
      <w:r>
        <w:fldChar w:fldCharType="begin"/>
      </w:r>
      <w:r>
        <w:instrText xml:space="preserve"> PAGEREF _Toc30153 </w:instrText>
      </w:r>
      <w:r>
        <w:fldChar w:fldCharType="separate"/>
      </w:r>
      <w:r>
        <w:t>38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_Toc29970 </w:instrText>
      </w:r>
      <w:r>
        <w:rPr>
          <w:rFonts w:ascii="宋体" w:hAnsi="宋体"/>
          <w:szCs w:val="21"/>
        </w:rPr>
        <w:fldChar w:fldCharType="separate"/>
      </w:r>
      <w:r>
        <w:rPr>
          <w:rFonts w:hint="eastAsia"/>
        </w:rPr>
        <w:t>5.2.4 变更采购方式后采用的评标方法</w:t>
      </w:r>
      <w:r>
        <w:tab/>
      </w:r>
      <w:r>
        <w:fldChar w:fldCharType="begin"/>
      </w:r>
      <w:r>
        <w:instrText xml:space="preserve"> PAGEREF _Toc29970 </w:instrText>
      </w:r>
      <w:r>
        <w:fldChar w:fldCharType="separate"/>
      </w:r>
      <w:r>
        <w:t>39</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_Toc2312 </w:instrText>
      </w:r>
      <w:r>
        <w:rPr>
          <w:rFonts w:ascii="宋体" w:hAnsi="宋体"/>
          <w:szCs w:val="21"/>
        </w:rPr>
        <w:fldChar w:fldCharType="separate"/>
      </w:r>
      <w:r>
        <w:rPr>
          <w:rFonts w:hint="eastAsia"/>
        </w:rPr>
        <w:t>5.2.5 评标报告</w:t>
      </w:r>
      <w:r>
        <w:tab/>
      </w:r>
      <w:r>
        <w:fldChar w:fldCharType="begin"/>
      </w:r>
      <w:r>
        <w:instrText xml:space="preserve"> PAGEREF _Toc2312 </w:instrText>
      </w:r>
      <w:r>
        <w:fldChar w:fldCharType="separate"/>
      </w:r>
      <w:r>
        <w:t>39</w:t>
      </w:r>
      <w:r>
        <w:fldChar w:fldCharType="end"/>
      </w:r>
      <w:r>
        <w:rPr>
          <w:rFonts w:ascii="宋体" w:hAnsi="宋体"/>
          <w:szCs w:val="21"/>
        </w:rPr>
        <w:fldChar w:fldCharType="end"/>
      </w:r>
    </w:p>
    <w:p>
      <w:pPr>
        <w:pStyle w:val="31"/>
        <w:tabs>
          <w:tab w:val="right" w:leader="dot" w:pos="9866"/>
        </w:tabs>
      </w:pPr>
      <w:r>
        <w:rPr>
          <w:rFonts w:ascii="宋体" w:hAnsi="宋体"/>
          <w:szCs w:val="21"/>
        </w:rPr>
        <w:fldChar w:fldCharType="begin"/>
      </w:r>
      <w:r>
        <w:rPr>
          <w:rFonts w:ascii="宋体" w:hAnsi="宋体"/>
          <w:szCs w:val="21"/>
        </w:rPr>
        <w:instrText xml:space="preserve"> HYPERLINK \l _Toc20453 </w:instrText>
      </w:r>
      <w:r>
        <w:rPr>
          <w:rFonts w:ascii="宋体" w:hAnsi="宋体"/>
          <w:szCs w:val="21"/>
        </w:rPr>
        <w:fldChar w:fldCharType="separate"/>
      </w:r>
      <w:r>
        <w:rPr>
          <w:rFonts w:hint="eastAsia" w:ascii="宋体" w:hAnsi="宋体"/>
        </w:rPr>
        <w:t>5.3废标</w:t>
      </w:r>
      <w:r>
        <w:tab/>
      </w:r>
      <w:r>
        <w:fldChar w:fldCharType="begin"/>
      </w:r>
      <w:r>
        <w:instrText xml:space="preserve"> PAGEREF _Toc20453 </w:instrText>
      </w:r>
      <w:r>
        <w:fldChar w:fldCharType="separate"/>
      </w:r>
      <w:r>
        <w:t>40</w:t>
      </w:r>
      <w:r>
        <w:fldChar w:fldCharType="end"/>
      </w:r>
      <w:r>
        <w:rPr>
          <w:rFonts w:ascii="宋体" w:hAnsi="宋体"/>
          <w:szCs w:val="21"/>
        </w:rPr>
        <w:fldChar w:fldCharType="end"/>
      </w:r>
    </w:p>
    <w:p>
      <w:pPr>
        <w:pStyle w:val="27"/>
        <w:tabs>
          <w:tab w:val="right" w:leader="dot" w:pos="9866"/>
        </w:tabs>
      </w:pPr>
      <w:r>
        <w:rPr>
          <w:rFonts w:ascii="宋体" w:hAnsi="宋体"/>
          <w:szCs w:val="21"/>
        </w:rPr>
        <w:fldChar w:fldCharType="begin"/>
      </w:r>
      <w:r>
        <w:rPr>
          <w:rFonts w:ascii="宋体" w:hAnsi="宋体"/>
          <w:szCs w:val="21"/>
        </w:rPr>
        <w:instrText xml:space="preserve"> HYPERLINK \l _Toc2689 </w:instrText>
      </w:r>
      <w:r>
        <w:rPr>
          <w:rFonts w:ascii="宋体" w:hAnsi="宋体"/>
          <w:szCs w:val="21"/>
        </w:rPr>
        <w:fldChar w:fldCharType="separate"/>
      </w:r>
      <w:r>
        <w:rPr>
          <w:rFonts w:hint="eastAsia"/>
        </w:rPr>
        <w:t>第六章  附件</w:t>
      </w:r>
      <w:r>
        <w:tab/>
      </w:r>
      <w:r>
        <w:fldChar w:fldCharType="begin"/>
      </w:r>
      <w:r>
        <w:instrText xml:space="preserve"> PAGEREF _Toc2689 </w:instrText>
      </w:r>
      <w:r>
        <w:fldChar w:fldCharType="separate"/>
      </w:r>
      <w:r>
        <w:t>41</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_Toc9925 </w:instrText>
      </w:r>
      <w:r>
        <w:rPr>
          <w:rFonts w:ascii="宋体" w:hAnsi="宋体"/>
          <w:szCs w:val="21"/>
        </w:rPr>
        <w:fldChar w:fldCharType="separate"/>
      </w:r>
      <w:r>
        <w:rPr>
          <w:rFonts w:hint="eastAsia"/>
        </w:rPr>
        <w:t>附件</w:t>
      </w:r>
      <w:r>
        <w:t>1</w:t>
      </w:r>
      <w:r>
        <w:rPr>
          <w:rFonts w:hint="eastAsia"/>
        </w:rPr>
        <w:t>：合同格式及条款</w:t>
      </w:r>
      <w:r>
        <w:tab/>
      </w:r>
      <w:r>
        <w:fldChar w:fldCharType="begin"/>
      </w:r>
      <w:r>
        <w:instrText xml:space="preserve"> PAGEREF _Toc9925 </w:instrText>
      </w:r>
      <w:r>
        <w:fldChar w:fldCharType="separate"/>
      </w:r>
      <w:r>
        <w:t>42</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_Toc16544 </w:instrText>
      </w:r>
      <w:r>
        <w:rPr>
          <w:rFonts w:ascii="宋体" w:hAnsi="宋体"/>
          <w:szCs w:val="21"/>
        </w:rPr>
        <w:fldChar w:fldCharType="separate"/>
      </w:r>
      <w:r>
        <w:rPr>
          <w:rFonts w:hint="eastAsia"/>
        </w:rPr>
        <w:t>附件</w:t>
      </w:r>
      <w:r>
        <w:t>2</w:t>
      </w:r>
      <w:r>
        <w:rPr>
          <w:rFonts w:hint="eastAsia"/>
        </w:rPr>
        <w:t>：投标函</w:t>
      </w:r>
      <w:r>
        <w:tab/>
      </w:r>
      <w:r>
        <w:fldChar w:fldCharType="begin"/>
      </w:r>
      <w:r>
        <w:instrText xml:space="preserve"> PAGEREF _Toc16544 </w:instrText>
      </w:r>
      <w:r>
        <w:fldChar w:fldCharType="separate"/>
      </w:r>
      <w:r>
        <w:t>45</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_Toc28233 </w:instrText>
      </w:r>
      <w:r>
        <w:rPr>
          <w:rFonts w:ascii="宋体" w:hAnsi="宋体"/>
          <w:szCs w:val="21"/>
        </w:rPr>
        <w:fldChar w:fldCharType="separate"/>
      </w:r>
      <w:r>
        <w:rPr>
          <w:rFonts w:hint="eastAsia"/>
        </w:rPr>
        <w:t>附件</w:t>
      </w:r>
      <w:r>
        <w:t>3</w:t>
      </w:r>
      <w:r>
        <w:rPr>
          <w:rFonts w:hint="eastAsia"/>
        </w:rPr>
        <w:t>：法定代表人资格证明书</w:t>
      </w:r>
      <w:r>
        <w:tab/>
      </w:r>
      <w:r>
        <w:fldChar w:fldCharType="begin"/>
      </w:r>
      <w:r>
        <w:instrText xml:space="preserve"> PAGEREF _Toc28233 </w:instrText>
      </w:r>
      <w:r>
        <w:fldChar w:fldCharType="separate"/>
      </w:r>
      <w:r>
        <w:t>46</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_Toc24086 </w:instrText>
      </w:r>
      <w:r>
        <w:rPr>
          <w:rFonts w:ascii="宋体" w:hAnsi="宋体"/>
          <w:szCs w:val="21"/>
        </w:rPr>
        <w:fldChar w:fldCharType="separate"/>
      </w:r>
      <w:r>
        <w:rPr>
          <w:rFonts w:hint="eastAsia"/>
        </w:rPr>
        <w:t>附件4：法人授权函</w:t>
      </w:r>
      <w:r>
        <w:tab/>
      </w:r>
      <w:r>
        <w:fldChar w:fldCharType="begin"/>
      </w:r>
      <w:r>
        <w:instrText xml:space="preserve"> PAGEREF _Toc24086 </w:instrText>
      </w:r>
      <w:r>
        <w:fldChar w:fldCharType="separate"/>
      </w:r>
      <w:r>
        <w:t>47</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_Toc9476 </w:instrText>
      </w:r>
      <w:r>
        <w:rPr>
          <w:rFonts w:ascii="宋体" w:hAnsi="宋体"/>
          <w:szCs w:val="21"/>
        </w:rPr>
        <w:fldChar w:fldCharType="separate"/>
      </w:r>
      <w:r>
        <w:rPr>
          <w:rFonts w:hint="eastAsia"/>
        </w:rPr>
        <w:t>附件5：开标一览表</w:t>
      </w:r>
      <w:r>
        <w:tab/>
      </w:r>
      <w:r>
        <w:fldChar w:fldCharType="begin"/>
      </w:r>
      <w:r>
        <w:instrText xml:space="preserve"> PAGEREF _Toc9476 </w:instrText>
      </w:r>
      <w:r>
        <w:fldChar w:fldCharType="separate"/>
      </w:r>
      <w:r>
        <w:t>48</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_Toc19240 </w:instrText>
      </w:r>
      <w:r>
        <w:rPr>
          <w:rFonts w:ascii="宋体" w:hAnsi="宋体"/>
          <w:szCs w:val="21"/>
        </w:rPr>
        <w:fldChar w:fldCharType="separate"/>
      </w:r>
      <w:r>
        <w:rPr>
          <w:rFonts w:hint="eastAsia"/>
        </w:rPr>
        <w:t>附件6：分项报价表</w:t>
      </w:r>
      <w:r>
        <w:tab/>
      </w:r>
      <w:r>
        <w:fldChar w:fldCharType="begin"/>
      </w:r>
      <w:r>
        <w:instrText xml:space="preserve"> PAGEREF _Toc19240 </w:instrText>
      </w:r>
      <w:r>
        <w:fldChar w:fldCharType="separate"/>
      </w:r>
      <w:r>
        <w:t>49</w:t>
      </w:r>
      <w:r>
        <w:fldChar w:fldCharType="end"/>
      </w:r>
      <w:r>
        <w:rPr>
          <w:rFonts w:ascii="宋体" w:hAnsi="宋体"/>
          <w:szCs w:val="21"/>
        </w:rPr>
        <w:fldChar w:fldCharType="end"/>
      </w:r>
    </w:p>
    <w:p>
      <w:pPr>
        <w:pStyle w:val="19"/>
        <w:tabs>
          <w:tab w:val="right" w:leader="dot" w:pos="9866"/>
        </w:tabs>
      </w:pPr>
      <w:r>
        <w:rPr>
          <w:rFonts w:ascii="宋体" w:hAnsi="宋体"/>
          <w:szCs w:val="21"/>
        </w:rPr>
        <w:fldChar w:fldCharType="begin"/>
      </w:r>
      <w:r>
        <w:rPr>
          <w:rFonts w:ascii="宋体" w:hAnsi="宋体"/>
          <w:szCs w:val="21"/>
        </w:rPr>
        <w:instrText xml:space="preserve"> HYPERLINK \l _Toc28201 </w:instrText>
      </w:r>
      <w:r>
        <w:rPr>
          <w:rFonts w:ascii="宋体" w:hAnsi="宋体"/>
          <w:szCs w:val="21"/>
        </w:rPr>
        <w:fldChar w:fldCharType="separate"/>
      </w:r>
      <w:r>
        <w:rPr>
          <w:rFonts w:hint="eastAsia"/>
        </w:rPr>
        <w:t>附件7：投标商务、货物偏离表</w:t>
      </w:r>
      <w:r>
        <w:tab/>
      </w:r>
      <w:r>
        <w:fldChar w:fldCharType="begin"/>
      </w:r>
      <w:r>
        <w:instrText xml:space="preserve"> PAGEREF _Toc28201 </w:instrText>
      </w:r>
      <w:r>
        <w:fldChar w:fldCharType="separate"/>
      </w:r>
      <w:r>
        <w:t>50</w:t>
      </w:r>
      <w:r>
        <w:fldChar w:fldCharType="end"/>
      </w:r>
      <w:r>
        <w:rPr>
          <w:rFonts w:ascii="宋体" w:hAnsi="宋体"/>
          <w:szCs w:val="21"/>
        </w:rPr>
        <w:fldChar w:fldCharType="end"/>
      </w:r>
    </w:p>
    <w:p>
      <w:pPr>
        <w:ind w:firstLine="420"/>
      </w:pPr>
      <w:r>
        <w:rPr>
          <w:rFonts w:ascii="宋体" w:hAnsi="宋体"/>
          <w:szCs w:val="21"/>
        </w:rPr>
        <w:fldChar w:fldCharType="end"/>
      </w:r>
    </w:p>
    <w:p>
      <w:pPr>
        <w:widowControl/>
        <w:ind w:firstLine="420"/>
        <w:jc w:val="left"/>
      </w:pPr>
    </w:p>
    <w:p>
      <w:pPr>
        <w:widowControl/>
        <w:ind w:firstLine="420"/>
        <w:jc w:val="left"/>
      </w:pPr>
    </w:p>
    <w:p>
      <w:pPr>
        <w:pStyle w:val="2"/>
        <w:ind w:firstLine="643"/>
        <w:rPr>
          <w:kern w:val="2"/>
          <w:szCs w:val="24"/>
        </w:rPr>
      </w:pPr>
      <w:bookmarkStart w:id="0" w:name="_Toc493008662"/>
      <w:r>
        <w:br w:type="page"/>
      </w:r>
      <w:bookmarkStart w:id="1" w:name="_Toc27141"/>
      <w:r>
        <w:rPr>
          <w:rFonts w:hint="eastAsia"/>
        </w:rPr>
        <w:t xml:space="preserve">第一章  </w:t>
      </w:r>
      <w:r>
        <w:rPr>
          <w:rFonts w:hint="eastAsia"/>
          <w:kern w:val="2"/>
          <w:szCs w:val="24"/>
        </w:rPr>
        <w:t>招标公告</w:t>
      </w:r>
      <w:bookmarkEnd w:id="0"/>
      <w:bookmarkEnd w:id="1"/>
    </w:p>
    <w:p>
      <w:pPr>
        <w:spacing w:line="400" w:lineRule="exact"/>
        <w:ind w:firstLine="480"/>
        <w:jc w:val="left"/>
        <w:rPr>
          <w:rFonts w:ascii="宋体" w:hAnsi="宋体"/>
          <w:sz w:val="24"/>
        </w:rPr>
      </w:pPr>
      <w:r>
        <w:rPr>
          <w:rFonts w:hint="eastAsia" w:ascii="宋体" w:hAnsi="宋体"/>
          <w:sz w:val="24"/>
        </w:rPr>
        <w:t>　　</w:t>
      </w:r>
    </w:p>
    <w:p>
      <w:pPr>
        <w:spacing w:line="400" w:lineRule="exact"/>
        <w:ind w:firstLine="480"/>
        <w:jc w:val="left"/>
        <w:rPr>
          <w:rFonts w:ascii="宋体" w:hAnsi="宋体" w:cs="仿宋"/>
          <w:sz w:val="24"/>
        </w:rPr>
      </w:pPr>
      <w:r>
        <w:rPr>
          <w:rFonts w:hint="eastAsia" w:ascii="Times New Roman"/>
          <w:sz w:val="24"/>
          <w:szCs w:val="20"/>
        </w:rPr>
        <w:t>甘肃源和工程咨询有限公司</w:t>
      </w:r>
      <w:r>
        <w:rPr>
          <w:rFonts w:hint="eastAsia" w:ascii="宋体" w:hAnsi="宋体"/>
          <w:sz w:val="24"/>
        </w:rPr>
        <w:t>受会宁县第二人民医院的委托，对会宁县第二人民医院医疗设备采购项目</w:t>
      </w:r>
      <w:r>
        <w:rPr>
          <w:rFonts w:hint="eastAsia" w:ascii="宋体" w:hAnsi="宋体" w:cs="仿宋"/>
          <w:sz w:val="24"/>
        </w:rPr>
        <w:t>进行公开招标采购，欢迎符合条件的供应商前来投标。</w:t>
      </w:r>
    </w:p>
    <w:p>
      <w:pPr>
        <w:spacing w:line="540" w:lineRule="exact"/>
        <w:ind w:firstLine="482"/>
        <w:jc w:val="left"/>
        <w:rPr>
          <w:rFonts w:ascii="宋体" w:hAnsi="宋体" w:cs="仿宋"/>
          <w:color w:val="FF0000"/>
          <w:sz w:val="24"/>
        </w:rPr>
      </w:pPr>
      <w:r>
        <w:rPr>
          <w:rFonts w:hint="eastAsia" w:ascii="宋体" w:hAnsi="宋体" w:cs="黑体"/>
          <w:b/>
          <w:sz w:val="24"/>
        </w:rPr>
        <w:t>一、项目编号：</w:t>
      </w:r>
      <w:r>
        <w:rPr>
          <w:rFonts w:ascii="宋体" w:hAnsi="宋体" w:cs="仿宋"/>
          <w:sz w:val="24"/>
        </w:rPr>
        <w:t>BGZJ-ZC</w:t>
      </w:r>
      <w:r>
        <w:rPr>
          <w:rFonts w:hint="eastAsia" w:ascii="宋体" w:hAnsi="宋体" w:cs="仿宋"/>
          <w:sz w:val="24"/>
          <w:lang w:val="en-US" w:eastAsia="zh-CN"/>
        </w:rPr>
        <w:t>18012</w:t>
      </w:r>
      <w:r>
        <w:rPr>
          <w:rFonts w:hint="eastAsia" w:ascii="宋体" w:hAnsi="宋体" w:cs="仿宋"/>
          <w:sz w:val="24"/>
        </w:rPr>
        <w:t xml:space="preserve"> </w:t>
      </w:r>
    </w:p>
    <w:p>
      <w:pPr>
        <w:adjustRightInd w:val="0"/>
        <w:snapToGrid w:val="0"/>
        <w:spacing w:line="460" w:lineRule="exact"/>
        <w:ind w:firstLine="482"/>
        <w:jc w:val="left"/>
        <w:rPr>
          <w:rFonts w:ascii="宋体" w:hAnsi="宋体" w:cs="黑体"/>
          <w:sz w:val="24"/>
        </w:rPr>
      </w:pPr>
      <w:r>
        <w:rPr>
          <w:rFonts w:hint="eastAsia" w:ascii="宋体" w:hAnsi="宋体" w:cs="黑体"/>
          <w:b/>
          <w:sz w:val="24"/>
        </w:rPr>
        <w:t>二、采购方式：</w:t>
      </w:r>
      <w:r>
        <w:rPr>
          <w:rFonts w:hint="eastAsia" w:ascii="宋体" w:hAnsi="宋体" w:cs="仿宋"/>
          <w:sz w:val="24"/>
        </w:rPr>
        <w:t>公开招标</w:t>
      </w:r>
    </w:p>
    <w:p>
      <w:pPr>
        <w:spacing w:line="460" w:lineRule="exact"/>
        <w:ind w:firstLine="482"/>
        <w:jc w:val="left"/>
        <w:rPr>
          <w:rFonts w:ascii="宋体" w:hAnsi="宋体"/>
          <w:sz w:val="24"/>
        </w:rPr>
      </w:pPr>
      <w:r>
        <w:rPr>
          <w:rFonts w:hint="eastAsia" w:ascii="宋体" w:hAnsi="宋体" w:cs="黑体"/>
          <w:b/>
          <w:sz w:val="24"/>
        </w:rPr>
        <w:t>三、项目简介：</w:t>
      </w:r>
    </w:p>
    <w:p>
      <w:pPr>
        <w:spacing w:line="400" w:lineRule="exact"/>
        <w:ind w:firstLine="480"/>
        <w:jc w:val="left"/>
        <w:rPr>
          <w:rFonts w:ascii="宋体" w:hAnsi="宋体"/>
          <w:sz w:val="24"/>
        </w:rPr>
      </w:pPr>
      <w:r>
        <w:rPr>
          <w:rFonts w:hint="eastAsia" w:ascii="宋体" w:hAnsi="宋体"/>
          <w:sz w:val="24"/>
        </w:rPr>
        <w:t>（一）采购内容：包一：检验及监护类设备一批；包二：高压灭菌及手术室类设备一批。（参数详见招标文件）</w:t>
      </w:r>
    </w:p>
    <w:p>
      <w:pPr>
        <w:spacing w:line="400" w:lineRule="exact"/>
        <w:ind w:firstLine="480"/>
        <w:jc w:val="left"/>
        <w:rPr>
          <w:rFonts w:ascii="宋体" w:hAnsi="宋体"/>
          <w:sz w:val="24"/>
        </w:rPr>
      </w:pPr>
      <w:r>
        <w:rPr>
          <w:rFonts w:hint="eastAsia" w:ascii="宋体" w:hAnsi="宋体"/>
          <w:sz w:val="24"/>
        </w:rPr>
        <w:t>（二）采购预算：包一：80万元，包二：43.6万元，总预算为123.6万元</w:t>
      </w:r>
    </w:p>
    <w:p>
      <w:pPr>
        <w:spacing w:line="400" w:lineRule="exact"/>
        <w:ind w:firstLine="480"/>
        <w:jc w:val="left"/>
        <w:rPr>
          <w:rFonts w:ascii="宋体" w:hAnsi="宋体"/>
          <w:sz w:val="24"/>
        </w:rPr>
      </w:pPr>
      <w:r>
        <w:rPr>
          <w:rFonts w:hint="eastAsia" w:ascii="宋体" w:hAnsi="宋体"/>
          <w:sz w:val="24"/>
        </w:rPr>
        <w:t>（三）评审办法：综合评分法</w:t>
      </w:r>
    </w:p>
    <w:p>
      <w:pPr>
        <w:adjustRightInd w:val="0"/>
        <w:snapToGrid w:val="0"/>
        <w:spacing w:line="400" w:lineRule="exact"/>
        <w:ind w:firstLine="482"/>
        <w:jc w:val="left"/>
        <w:rPr>
          <w:rFonts w:ascii="宋体" w:hAnsi="宋体" w:cs="黑体"/>
          <w:b/>
          <w:sz w:val="24"/>
        </w:rPr>
      </w:pPr>
      <w:r>
        <w:rPr>
          <w:rFonts w:hint="eastAsia" w:ascii="宋体" w:hAnsi="宋体" w:cs="黑体"/>
          <w:b/>
          <w:sz w:val="24"/>
        </w:rPr>
        <w:t>四、供应商资格要求：</w:t>
      </w:r>
    </w:p>
    <w:p>
      <w:pPr>
        <w:ind w:firstLine="480"/>
        <w:rPr>
          <w:rFonts w:ascii="宋体" w:hAnsi="宋体"/>
          <w:sz w:val="24"/>
          <w:szCs w:val="24"/>
        </w:rPr>
      </w:pPr>
      <w:bookmarkStart w:id="2" w:name="OLE_LINK15"/>
      <w:r>
        <w:rPr>
          <w:rFonts w:hint="eastAsia" w:ascii="宋体" w:hAnsi="宋体"/>
          <w:sz w:val="24"/>
          <w:szCs w:val="24"/>
        </w:rPr>
        <w:t>（一）符合《政府采购法》第二十二条规定；</w:t>
      </w:r>
    </w:p>
    <w:p>
      <w:pPr>
        <w:ind w:firstLine="480"/>
        <w:rPr>
          <w:rFonts w:ascii="宋体" w:hAnsi="宋体"/>
          <w:sz w:val="24"/>
          <w:szCs w:val="24"/>
        </w:rPr>
      </w:pPr>
      <w:r>
        <w:rPr>
          <w:rFonts w:hint="eastAsia" w:ascii="宋体" w:hAnsi="宋体"/>
          <w:sz w:val="24"/>
          <w:szCs w:val="24"/>
        </w:rPr>
        <w:t>（二）提供营业执照、税务登记证、组织机构代码证副本或</w:t>
      </w:r>
      <w:r>
        <w:rPr>
          <w:rFonts w:hint="eastAsia" w:ascii="宋体" w:hAnsi="宋体" w:cs="宋体"/>
          <w:sz w:val="24"/>
          <w:szCs w:val="24"/>
        </w:rPr>
        <w:t>具有统一社会信用代码的营业执照副本</w:t>
      </w:r>
      <w:r>
        <w:rPr>
          <w:rFonts w:hint="eastAsia" w:ascii="宋体" w:hAnsi="宋体"/>
          <w:sz w:val="24"/>
          <w:szCs w:val="24"/>
        </w:rPr>
        <w:t>；</w:t>
      </w:r>
    </w:p>
    <w:p>
      <w:pPr>
        <w:ind w:firstLine="480"/>
        <w:rPr>
          <w:rFonts w:ascii="宋体" w:hAnsi="宋体"/>
          <w:sz w:val="24"/>
          <w:szCs w:val="24"/>
        </w:rPr>
      </w:pPr>
      <w:r>
        <w:rPr>
          <w:rFonts w:hint="eastAsia" w:ascii="宋体" w:hAnsi="宋体"/>
          <w:sz w:val="24"/>
          <w:szCs w:val="24"/>
        </w:rPr>
        <w:t>（三）提供法定代表人资格证明、身份证（法定代表人参与投标时提供）；</w:t>
      </w:r>
    </w:p>
    <w:p>
      <w:pPr>
        <w:ind w:firstLine="480"/>
        <w:rPr>
          <w:rFonts w:ascii="宋体" w:hAnsi="宋体"/>
          <w:sz w:val="24"/>
          <w:szCs w:val="24"/>
        </w:rPr>
      </w:pPr>
      <w:r>
        <w:rPr>
          <w:rFonts w:hint="eastAsia" w:ascii="宋体" w:hAnsi="宋体"/>
          <w:sz w:val="24"/>
          <w:szCs w:val="24"/>
        </w:rPr>
        <w:t>（四）提供附有法定代表人身份证复印件的法人授权函，被授权人身份证（非法定代表人参与投标时提供）；</w:t>
      </w:r>
    </w:p>
    <w:p>
      <w:pPr>
        <w:ind w:firstLine="480"/>
        <w:rPr>
          <w:rFonts w:ascii="宋体" w:hAnsi="宋体"/>
          <w:sz w:val="24"/>
          <w:szCs w:val="24"/>
        </w:rPr>
      </w:pPr>
      <w:r>
        <w:rPr>
          <w:rFonts w:hint="eastAsia" w:ascii="宋体" w:hAnsi="宋体"/>
          <w:sz w:val="24"/>
          <w:szCs w:val="24"/>
        </w:rPr>
        <w:t>（五）提供2016</w:t>
      </w:r>
      <w:r>
        <w:rPr>
          <w:rFonts w:hint="eastAsia" w:ascii="宋体" w:hAnsi="宋体"/>
          <w:sz w:val="24"/>
          <w:szCs w:val="24"/>
          <w:lang w:eastAsia="zh-CN"/>
        </w:rPr>
        <w:t>或</w:t>
      </w:r>
      <w:r>
        <w:rPr>
          <w:rFonts w:hint="eastAsia" w:ascii="宋体" w:hAnsi="宋体"/>
          <w:sz w:val="24"/>
          <w:szCs w:val="24"/>
          <w:lang w:val="en-US" w:eastAsia="zh-CN"/>
        </w:rPr>
        <w:t>2017</w:t>
      </w:r>
      <w:r>
        <w:rPr>
          <w:rFonts w:hint="eastAsia" w:ascii="宋体" w:hAnsi="宋体"/>
          <w:sz w:val="24"/>
          <w:szCs w:val="24"/>
        </w:rPr>
        <w:t xml:space="preserve">年财务状况报告，投标截止日期前依法缴纳税收和社会保障资金的相关材料； </w:t>
      </w:r>
    </w:p>
    <w:p>
      <w:pPr>
        <w:ind w:firstLine="480"/>
        <w:rPr>
          <w:rFonts w:ascii="宋体" w:hAnsi="宋体"/>
          <w:sz w:val="24"/>
          <w:szCs w:val="24"/>
        </w:rPr>
      </w:pPr>
      <w:r>
        <w:rPr>
          <w:rFonts w:hint="eastAsia" w:ascii="宋体" w:hAnsi="宋体"/>
          <w:sz w:val="24"/>
          <w:szCs w:val="24"/>
        </w:rPr>
        <w:t>（六）提供由供应商住所地或者业务发生地市（州）、县（区）人民检察院出具的行贿犯罪档案查询结果告知函；</w:t>
      </w:r>
    </w:p>
    <w:p>
      <w:pPr>
        <w:ind w:firstLine="480"/>
        <w:rPr>
          <w:rFonts w:ascii="宋体" w:hAnsi="宋体"/>
          <w:sz w:val="24"/>
          <w:szCs w:val="24"/>
        </w:rPr>
      </w:pPr>
      <w:r>
        <w:rPr>
          <w:rFonts w:hint="eastAsia" w:ascii="宋体" w:hAnsi="宋体"/>
          <w:sz w:val="24"/>
          <w:szCs w:val="24"/>
        </w:rPr>
        <w:t>（七）提供参加政府采购活动前3年内在经营活动中没有重大违法记录的书面声明；</w:t>
      </w:r>
    </w:p>
    <w:p>
      <w:pPr>
        <w:ind w:firstLine="480"/>
        <w:rPr>
          <w:rFonts w:ascii="宋体" w:hAnsi="宋体"/>
          <w:sz w:val="24"/>
          <w:szCs w:val="24"/>
        </w:rPr>
      </w:pPr>
      <w:r>
        <w:rPr>
          <w:rFonts w:hint="eastAsia" w:ascii="宋体" w:hAnsi="宋体"/>
          <w:sz w:val="24"/>
          <w:szCs w:val="24"/>
        </w:rPr>
        <w:t>（八）具有</w:t>
      </w:r>
      <w:r>
        <w:rPr>
          <w:rFonts w:hint="eastAsia" w:ascii="宋体" w:hAnsi="宋体"/>
          <w:sz w:val="24"/>
        </w:rPr>
        <w:t>医疗器械生产或</w:t>
      </w:r>
      <w:r>
        <w:rPr>
          <w:rFonts w:hint="eastAsia" w:ascii="宋体" w:hAnsi="宋体"/>
          <w:sz w:val="24"/>
          <w:szCs w:val="24"/>
        </w:rPr>
        <w:t>经营许可证；</w:t>
      </w:r>
    </w:p>
    <w:p>
      <w:pPr>
        <w:ind w:firstLine="480"/>
      </w:pPr>
      <w:r>
        <w:rPr>
          <w:rFonts w:hint="eastAsia" w:ascii="宋体" w:hAnsi="宋体"/>
          <w:sz w:val="24"/>
          <w:szCs w:val="24"/>
        </w:rPr>
        <w:t>（九）本项目不接受联合体投标。</w:t>
      </w:r>
    </w:p>
    <w:bookmarkEnd w:id="2"/>
    <w:p>
      <w:pPr>
        <w:adjustRightInd w:val="0"/>
        <w:snapToGrid w:val="0"/>
        <w:spacing w:line="400" w:lineRule="exact"/>
        <w:ind w:firstLine="482"/>
        <w:jc w:val="left"/>
        <w:rPr>
          <w:rFonts w:ascii="宋体" w:hAnsi="宋体" w:cs="黑体"/>
          <w:b/>
          <w:sz w:val="24"/>
        </w:rPr>
      </w:pPr>
      <w:r>
        <w:rPr>
          <w:rFonts w:hint="eastAsia" w:ascii="宋体" w:hAnsi="宋体" w:cs="黑体"/>
          <w:b/>
          <w:sz w:val="24"/>
        </w:rPr>
        <w:t>五、网上报名时间：</w:t>
      </w:r>
    </w:p>
    <w:p>
      <w:pPr>
        <w:adjustRightInd w:val="0"/>
        <w:snapToGrid w:val="0"/>
        <w:spacing w:line="440" w:lineRule="exact"/>
        <w:ind w:firstLine="720" w:firstLineChars="300"/>
        <w:jc w:val="left"/>
        <w:rPr>
          <w:rFonts w:ascii="宋体" w:hAnsi="宋体"/>
          <w:sz w:val="24"/>
        </w:rPr>
      </w:pPr>
      <w:r>
        <w:rPr>
          <w:rFonts w:hint="eastAsia" w:ascii="宋体" w:hAnsi="宋体"/>
          <w:sz w:val="24"/>
        </w:rPr>
        <w:t>201</w:t>
      </w:r>
      <w:r>
        <w:rPr>
          <w:rFonts w:hint="eastAsia" w:ascii="宋体" w:hAnsi="宋体"/>
          <w:sz w:val="24"/>
          <w:lang w:val="en-US" w:eastAsia="zh-CN"/>
        </w:rPr>
        <w:t>8</w:t>
      </w:r>
      <w:r>
        <w:rPr>
          <w:rFonts w:hint="eastAsia" w:ascii="宋体" w:hAnsi="宋体"/>
          <w:sz w:val="24"/>
        </w:rPr>
        <w:t>年1月</w:t>
      </w:r>
      <w:r>
        <w:rPr>
          <w:rFonts w:hint="eastAsia" w:ascii="宋体" w:hAnsi="宋体"/>
          <w:sz w:val="24"/>
          <w:lang w:val="en-US" w:eastAsia="zh-CN"/>
        </w:rPr>
        <w:t>10</w:t>
      </w:r>
      <w:r>
        <w:rPr>
          <w:rFonts w:hint="eastAsia" w:ascii="宋体" w:hAnsi="宋体"/>
          <w:sz w:val="24"/>
        </w:rPr>
        <w:t>日0:00:00至201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17</w:t>
      </w:r>
      <w:r>
        <w:rPr>
          <w:rFonts w:hint="eastAsia" w:ascii="宋体" w:hAnsi="宋体"/>
          <w:sz w:val="24"/>
        </w:rPr>
        <w:t>日23:59:59，请登录白银市公共资源交易中心网站报名。</w:t>
      </w:r>
    </w:p>
    <w:p>
      <w:pPr>
        <w:adjustRightInd w:val="0"/>
        <w:snapToGrid w:val="0"/>
        <w:spacing w:line="440" w:lineRule="exact"/>
        <w:ind w:firstLine="482"/>
        <w:jc w:val="left"/>
        <w:rPr>
          <w:rFonts w:ascii="宋体" w:hAnsi="宋体"/>
          <w:b/>
          <w:sz w:val="24"/>
        </w:rPr>
      </w:pPr>
      <w:r>
        <w:rPr>
          <w:rFonts w:hint="eastAsia" w:ascii="宋体" w:hAnsi="宋体"/>
          <w:b/>
          <w:sz w:val="24"/>
        </w:rPr>
        <w:t>六、招标文件获取时间及方式：</w:t>
      </w:r>
    </w:p>
    <w:p>
      <w:pPr>
        <w:adjustRightInd w:val="0"/>
        <w:snapToGrid w:val="0"/>
        <w:spacing w:line="440" w:lineRule="exact"/>
        <w:ind w:firstLine="480"/>
        <w:jc w:val="left"/>
        <w:rPr>
          <w:rFonts w:ascii="宋体" w:hAnsi="宋体"/>
          <w:sz w:val="24"/>
        </w:rPr>
      </w:pPr>
      <w:r>
        <w:rPr>
          <w:rFonts w:hint="eastAsia" w:ascii="宋体" w:hAnsi="宋体"/>
          <w:sz w:val="24"/>
        </w:rPr>
        <w:t>（一）时间：201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10</w:t>
      </w:r>
      <w:r>
        <w:rPr>
          <w:rFonts w:hint="eastAsia" w:ascii="宋体" w:hAnsi="宋体"/>
          <w:sz w:val="24"/>
        </w:rPr>
        <w:t>日0:00:00至201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17</w:t>
      </w:r>
      <w:r>
        <w:rPr>
          <w:rFonts w:hint="eastAsia" w:ascii="宋体" w:hAnsi="宋体"/>
          <w:sz w:val="24"/>
        </w:rPr>
        <w:t>日23:59:59。</w:t>
      </w:r>
    </w:p>
    <w:p>
      <w:pPr>
        <w:adjustRightInd w:val="0"/>
        <w:snapToGrid w:val="0"/>
        <w:spacing w:line="440" w:lineRule="exact"/>
        <w:ind w:firstLine="480"/>
        <w:jc w:val="left"/>
        <w:rPr>
          <w:rFonts w:ascii="宋体" w:hAnsi="宋体"/>
          <w:sz w:val="24"/>
        </w:rPr>
      </w:pPr>
      <w:r>
        <w:rPr>
          <w:rFonts w:hint="eastAsia" w:ascii="宋体" w:hAnsi="宋体"/>
          <w:sz w:val="24"/>
        </w:rPr>
        <w:t>（二）方式：</w:t>
      </w:r>
      <w:bookmarkStart w:id="3" w:name="OLE_LINK13"/>
      <w:r>
        <w:rPr>
          <w:rFonts w:hint="eastAsia" w:ascii="宋体" w:hAnsi="宋体"/>
          <w:sz w:val="24"/>
        </w:rPr>
        <w:t>登录甘肃政府采购网或白银市公共资源交易中心网站免费下载。</w:t>
      </w:r>
      <w:bookmarkEnd w:id="3"/>
    </w:p>
    <w:p>
      <w:pPr>
        <w:adjustRightInd w:val="0"/>
        <w:snapToGrid w:val="0"/>
        <w:spacing w:line="440" w:lineRule="exact"/>
        <w:ind w:firstLine="480"/>
        <w:jc w:val="left"/>
        <w:rPr>
          <w:rFonts w:ascii="宋体" w:hAnsi="宋体"/>
          <w:sz w:val="24"/>
        </w:rPr>
      </w:pPr>
      <w:r>
        <w:rPr>
          <w:rFonts w:hint="eastAsia" w:ascii="宋体" w:hAnsi="宋体"/>
          <w:sz w:val="24"/>
        </w:rPr>
        <w:t>（三）网址：</w:t>
      </w:r>
      <w:bookmarkStart w:id="4" w:name="OLE_LINK14"/>
      <w:r>
        <w:rPr>
          <w:rFonts w:hint="eastAsia" w:ascii="宋体" w:hAnsi="宋体"/>
          <w:sz w:val="24"/>
        </w:rPr>
        <w:t>甘肃政府采购网站</w:t>
      </w:r>
      <w:r>
        <w:fldChar w:fldCharType="begin"/>
      </w:r>
      <w:r>
        <w:instrText xml:space="preserve"> HYPERLINK "http://www.gszfcg.gansu.gov.cn" </w:instrText>
      </w:r>
      <w:r>
        <w:fldChar w:fldCharType="separate"/>
      </w:r>
      <w:r>
        <w:rPr>
          <w:rStyle w:val="40"/>
          <w:rFonts w:hint="eastAsia" w:ascii="宋体" w:hAnsi="宋体"/>
          <w:sz w:val="24"/>
        </w:rPr>
        <w:t>www.gszfcg.gansu.gov.cn</w:t>
      </w:r>
      <w:r>
        <w:rPr>
          <w:rStyle w:val="40"/>
          <w:rFonts w:hint="eastAsia" w:ascii="宋体" w:hAnsi="宋体"/>
          <w:sz w:val="24"/>
        </w:rPr>
        <w:fldChar w:fldCharType="end"/>
      </w:r>
      <w:r>
        <w:rPr>
          <w:rFonts w:hint="eastAsia" w:ascii="宋体" w:hAnsi="宋体"/>
          <w:sz w:val="24"/>
          <w:u w:val="single"/>
        </w:rPr>
        <w:t>；</w:t>
      </w:r>
      <w:r>
        <w:rPr>
          <w:rFonts w:hint="eastAsia" w:ascii="宋体" w:hAnsi="宋体"/>
          <w:sz w:val="24"/>
        </w:rPr>
        <w:t>白银市公共资源交易中心网站</w:t>
      </w:r>
      <w:r>
        <w:fldChar w:fldCharType="begin"/>
      </w:r>
      <w:r>
        <w:instrText xml:space="preserve"> HYPERLINK "http://www.bygzjy.cn" </w:instrText>
      </w:r>
      <w:r>
        <w:fldChar w:fldCharType="separate"/>
      </w:r>
      <w:r>
        <w:rPr>
          <w:rStyle w:val="40"/>
          <w:rFonts w:hint="eastAsia" w:ascii="宋体" w:hAnsi="宋体"/>
          <w:sz w:val="24"/>
        </w:rPr>
        <w:t>www.bygzjy.cn</w:t>
      </w:r>
      <w:r>
        <w:rPr>
          <w:rStyle w:val="40"/>
          <w:rFonts w:hint="eastAsia" w:ascii="宋体" w:hAnsi="宋体"/>
          <w:sz w:val="24"/>
        </w:rPr>
        <w:fldChar w:fldCharType="end"/>
      </w:r>
      <w:bookmarkEnd w:id="4"/>
      <w:r>
        <w:rPr>
          <w:rFonts w:hint="eastAsia" w:ascii="宋体" w:hAnsi="宋体"/>
          <w:sz w:val="24"/>
        </w:rPr>
        <w:t>。</w:t>
      </w:r>
    </w:p>
    <w:p>
      <w:pPr>
        <w:adjustRightInd w:val="0"/>
        <w:snapToGrid w:val="0"/>
        <w:spacing w:line="440" w:lineRule="exact"/>
        <w:ind w:firstLine="482"/>
        <w:jc w:val="left"/>
        <w:rPr>
          <w:rFonts w:ascii="宋体" w:hAnsi="宋体"/>
          <w:b/>
          <w:sz w:val="24"/>
        </w:rPr>
      </w:pPr>
      <w:r>
        <w:rPr>
          <w:rFonts w:hint="eastAsia" w:ascii="宋体" w:hAnsi="宋体"/>
          <w:b/>
          <w:sz w:val="24"/>
        </w:rPr>
        <w:t>七、投标截止时间：</w:t>
      </w:r>
    </w:p>
    <w:p>
      <w:pPr>
        <w:adjustRightInd w:val="0"/>
        <w:snapToGrid w:val="0"/>
        <w:spacing w:line="440" w:lineRule="exact"/>
        <w:ind w:firstLine="480"/>
        <w:jc w:val="left"/>
        <w:rPr>
          <w:rFonts w:ascii="宋体" w:hAnsi="宋体"/>
          <w:sz w:val="24"/>
        </w:rPr>
      </w:pPr>
      <w:r>
        <w:rPr>
          <w:rFonts w:hint="eastAsia" w:ascii="宋体" w:hAnsi="宋体"/>
          <w:sz w:val="24"/>
        </w:rPr>
        <w:t>（一）投标截止时间：201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31</w:t>
      </w:r>
      <w:r>
        <w:rPr>
          <w:rFonts w:hint="eastAsia" w:ascii="宋体" w:hAnsi="宋体"/>
          <w:sz w:val="24"/>
        </w:rPr>
        <w:t>日</w:t>
      </w:r>
      <w:r>
        <w:rPr>
          <w:rFonts w:hint="eastAsia" w:ascii="宋体" w:hAnsi="宋体"/>
          <w:sz w:val="24"/>
          <w:lang w:val="en-US" w:eastAsia="zh-CN"/>
        </w:rPr>
        <w:t>15:00</w:t>
      </w:r>
      <w:r>
        <w:rPr>
          <w:rFonts w:hint="eastAsia" w:ascii="宋体" w:hAnsi="宋体"/>
          <w:sz w:val="24"/>
        </w:rPr>
        <w:t>时整（北京时间，逾期不予受理）</w:t>
      </w:r>
    </w:p>
    <w:p>
      <w:pPr>
        <w:adjustRightInd w:val="0"/>
        <w:snapToGrid w:val="0"/>
        <w:spacing w:line="440" w:lineRule="exact"/>
        <w:ind w:firstLine="480"/>
        <w:jc w:val="left"/>
        <w:rPr>
          <w:rFonts w:ascii="宋体" w:hAnsi="宋体"/>
          <w:sz w:val="24"/>
        </w:rPr>
      </w:pPr>
      <w:r>
        <w:rPr>
          <w:rFonts w:hint="eastAsia" w:ascii="宋体" w:hAnsi="宋体"/>
          <w:sz w:val="24"/>
        </w:rPr>
        <w:t>（二）开标时间：201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31</w:t>
      </w:r>
      <w:r>
        <w:rPr>
          <w:rFonts w:hint="eastAsia" w:ascii="宋体" w:hAnsi="宋体"/>
          <w:sz w:val="24"/>
        </w:rPr>
        <w:t>日</w:t>
      </w:r>
      <w:r>
        <w:rPr>
          <w:rFonts w:hint="eastAsia" w:ascii="宋体" w:hAnsi="宋体"/>
          <w:sz w:val="24"/>
          <w:lang w:val="en-US" w:eastAsia="zh-CN"/>
        </w:rPr>
        <w:t>15:00</w:t>
      </w:r>
      <w:r>
        <w:rPr>
          <w:rFonts w:hint="eastAsia" w:ascii="宋体" w:hAnsi="宋体"/>
          <w:sz w:val="24"/>
        </w:rPr>
        <w:t>时整（北京时间，逾期不予受理）</w:t>
      </w:r>
    </w:p>
    <w:p>
      <w:pPr>
        <w:adjustRightInd w:val="0"/>
        <w:snapToGrid w:val="0"/>
        <w:spacing w:line="440" w:lineRule="exact"/>
        <w:ind w:firstLine="480"/>
        <w:jc w:val="left"/>
        <w:rPr>
          <w:rFonts w:ascii="宋体" w:hAnsi="宋体"/>
          <w:sz w:val="24"/>
        </w:rPr>
      </w:pPr>
      <w:r>
        <w:rPr>
          <w:rFonts w:hint="eastAsia" w:ascii="宋体" w:hAnsi="宋体"/>
          <w:sz w:val="24"/>
        </w:rPr>
        <w:t>（三）开标地点：白银市公共资源交易中心2楼西侧第2开标室。</w:t>
      </w:r>
    </w:p>
    <w:p>
      <w:pPr>
        <w:adjustRightInd w:val="0"/>
        <w:snapToGrid w:val="0"/>
        <w:spacing w:line="440" w:lineRule="exact"/>
        <w:ind w:firstLine="482"/>
        <w:jc w:val="left"/>
        <w:rPr>
          <w:rFonts w:ascii="宋体" w:hAnsi="宋体" w:cs="黑体"/>
          <w:b/>
          <w:sz w:val="24"/>
        </w:rPr>
      </w:pPr>
      <w:r>
        <w:rPr>
          <w:rFonts w:hint="eastAsia" w:ascii="宋体" w:hAnsi="宋体" w:cs="黑体"/>
          <w:b/>
          <w:sz w:val="24"/>
        </w:rPr>
        <w:t>八、报名须知：</w:t>
      </w:r>
    </w:p>
    <w:p>
      <w:pPr>
        <w:spacing w:line="440" w:lineRule="exact"/>
        <w:ind w:firstLine="480"/>
        <w:jc w:val="left"/>
        <w:rPr>
          <w:rFonts w:ascii="宋体" w:hAnsi="宋体"/>
          <w:sz w:val="24"/>
        </w:rPr>
      </w:pPr>
      <w:r>
        <w:rPr>
          <w:rFonts w:hint="eastAsia" w:ascii="宋体" w:hAnsi="宋体"/>
          <w:sz w:val="24"/>
        </w:rPr>
        <w:t>凡是拟参与白银市公共资源交易活动的招标人、招标代理机构、投标单位需先在白银市公共资源交易网上注册，注册信息审核通过后，方可登录系统进行项目投标登记，投标“登记号”系统会实时发送到投标人手机。</w:t>
      </w:r>
    </w:p>
    <w:p>
      <w:pPr>
        <w:spacing w:line="440" w:lineRule="exact"/>
        <w:ind w:firstLine="480"/>
        <w:jc w:val="left"/>
        <w:rPr>
          <w:rFonts w:ascii="宋体" w:hAnsi="宋体"/>
          <w:sz w:val="24"/>
        </w:rPr>
      </w:pPr>
      <w:r>
        <w:rPr>
          <w:rFonts w:hint="eastAsia" w:ascii="宋体" w:hAnsi="宋体"/>
          <w:sz w:val="24"/>
        </w:rPr>
        <w:t>注：填写信息必须真实有效。若有问题，请电话咨询：0943-8287909。</w:t>
      </w:r>
    </w:p>
    <w:p>
      <w:pPr>
        <w:adjustRightInd w:val="0"/>
        <w:snapToGrid w:val="0"/>
        <w:spacing w:line="440" w:lineRule="exact"/>
        <w:ind w:firstLine="482"/>
        <w:jc w:val="left"/>
        <w:rPr>
          <w:rFonts w:ascii="宋体" w:hAnsi="宋体" w:cs="黑体"/>
          <w:b/>
          <w:sz w:val="24"/>
        </w:rPr>
      </w:pPr>
      <w:r>
        <w:rPr>
          <w:rFonts w:hint="eastAsia" w:ascii="宋体" w:hAnsi="宋体" w:cs="黑体"/>
          <w:b/>
          <w:sz w:val="24"/>
        </w:rPr>
        <w:t>九、投标保证金递交截止时间：递交投标文件截止时间。（以实际到达指定账户时间为准）</w:t>
      </w:r>
    </w:p>
    <w:p>
      <w:pPr>
        <w:spacing w:line="440" w:lineRule="exact"/>
        <w:ind w:firstLine="480"/>
        <w:jc w:val="left"/>
        <w:rPr>
          <w:rFonts w:ascii="宋体" w:hAnsi="宋体"/>
          <w:sz w:val="24"/>
        </w:rPr>
      </w:pPr>
      <w:r>
        <w:rPr>
          <w:rFonts w:hint="eastAsia" w:ascii="宋体" w:hAnsi="宋体"/>
          <w:sz w:val="24"/>
        </w:rPr>
        <w:t>（一）投标保证金应当以支票、汇票、网上银行等非现金形式提交。</w:t>
      </w:r>
    </w:p>
    <w:p>
      <w:pPr>
        <w:spacing w:line="440" w:lineRule="exact"/>
        <w:ind w:firstLine="480"/>
        <w:jc w:val="left"/>
        <w:rPr>
          <w:rFonts w:ascii="宋体" w:hAnsi="宋体"/>
          <w:sz w:val="24"/>
        </w:rPr>
      </w:pPr>
      <w:r>
        <w:rPr>
          <w:rFonts w:hint="eastAsia" w:ascii="宋体" w:hAnsi="宋体"/>
          <w:sz w:val="24"/>
        </w:rPr>
        <w:t>（二）投标人必须通过基本账户交纳保证金，且投标保证金单位名称必须与投标人登记的单位名称一致，不得以分公司、办事处或其他机构名义递交。</w:t>
      </w:r>
    </w:p>
    <w:p>
      <w:pPr>
        <w:spacing w:line="440" w:lineRule="exact"/>
        <w:ind w:firstLine="480"/>
        <w:jc w:val="left"/>
        <w:rPr>
          <w:rFonts w:ascii="宋体" w:hAnsi="宋体"/>
          <w:sz w:val="24"/>
        </w:rPr>
      </w:pPr>
      <w:r>
        <w:rPr>
          <w:rFonts w:hint="eastAsia" w:ascii="宋体" w:hAnsi="宋体"/>
          <w:sz w:val="24"/>
        </w:rPr>
        <w:t>（三）投标人在办理投标保证金手续时，在银行电汇单、网上银行等附言栏内必须且只填写投标保证金对应的投标项目标段（包）的8位数字登记号。在附言栏内不填或错填投标“登记号”，交易系统无法识别保证金所对应的项目标段（包）的，将导致投标无效；未按标段（包）逐笔递交保证金的，将导致投标无效。</w:t>
      </w:r>
    </w:p>
    <w:p>
      <w:pPr>
        <w:spacing w:line="440" w:lineRule="exact"/>
        <w:ind w:firstLine="480"/>
        <w:rPr>
          <w:rFonts w:ascii="宋体" w:hAnsi="宋体"/>
          <w:sz w:val="24"/>
        </w:rPr>
      </w:pPr>
      <w:r>
        <w:rPr>
          <w:rFonts w:hint="eastAsia" w:ascii="宋体" w:hAnsi="宋体"/>
          <w:sz w:val="24"/>
        </w:rPr>
        <w:t xml:space="preserve">投标保证金其他问题，可登录白银市公共资源交易中心网站查看“网上交纳投标保证金操作指南”。 </w:t>
      </w:r>
    </w:p>
    <w:p>
      <w:pPr>
        <w:adjustRightInd w:val="0"/>
        <w:snapToGrid w:val="0"/>
        <w:spacing w:line="440" w:lineRule="exact"/>
        <w:ind w:firstLine="482"/>
        <w:jc w:val="left"/>
        <w:rPr>
          <w:rFonts w:ascii="宋体" w:hAnsi="宋体" w:cs="黑体"/>
          <w:b/>
          <w:sz w:val="24"/>
        </w:rPr>
      </w:pPr>
      <w:r>
        <w:rPr>
          <w:rFonts w:hint="eastAsia" w:ascii="宋体" w:hAnsi="宋体" w:cs="黑体"/>
          <w:b/>
          <w:sz w:val="24"/>
        </w:rPr>
        <w:t>十、采购项目联系人及电话：</w:t>
      </w:r>
    </w:p>
    <w:p>
      <w:pPr>
        <w:spacing w:line="440" w:lineRule="exact"/>
        <w:ind w:firstLine="480"/>
        <w:jc w:val="left"/>
        <w:rPr>
          <w:rFonts w:ascii="宋体" w:hAnsi="宋体"/>
          <w:sz w:val="24"/>
        </w:rPr>
      </w:pPr>
      <w:r>
        <w:rPr>
          <w:rFonts w:hint="eastAsia" w:ascii="宋体" w:hAnsi="宋体"/>
          <w:sz w:val="24"/>
        </w:rPr>
        <w:t>采购单位：</w:t>
      </w:r>
      <w:r>
        <w:rPr>
          <w:rFonts w:hint="eastAsia" w:ascii="宋体" w:hAnsi="宋体"/>
          <w:sz w:val="24"/>
          <w:szCs w:val="24"/>
        </w:rPr>
        <w:t>会宁县第二人民医院</w:t>
      </w:r>
    </w:p>
    <w:p>
      <w:pPr>
        <w:spacing w:line="440" w:lineRule="exact"/>
        <w:ind w:firstLine="480"/>
        <w:jc w:val="left"/>
        <w:rPr>
          <w:rFonts w:ascii="宋体" w:hAnsi="宋体"/>
          <w:sz w:val="24"/>
        </w:rPr>
      </w:pPr>
      <w:r>
        <w:rPr>
          <w:rFonts w:hint="eastAsia" w:ascii="宋体" w:hAnsi="宋体"/>
          <w:sz w:val="24"/>
        </w:rPr>
        <w:t>联 系 人：沈娟丽      联系电话：</w:t>
      </w:r>
      <w:r>
        <w:rPr>
          <w:rFonts w:hint="eastAsia" w:ascii="仿宋_GB2312" w:eastAsia="仿宋_GB2312"/>
          <w:sz w:val="24"/>
          <w:szCs w:val="24"/>
        </w:rPr>
        <w:t>15213903554</w:t>
      </w:r>
      <w:r>
        <w:rPr>
          <w:rFonts w:hint="eastAsia" w:ascii="宋体" w:hAnsi="宋体"/>
          <w:sz w:val="24"/>
        </w:rPr>
        <w:t xml:space="preserve">   </w:t>
      </w:r>
    </w:p>
    <w:p>
      <w:pPr>
        <w:spacing w:line="440" w:lineRule="exact"/>
        <w:ind w:firstLine="480"/>
        <w:jc w:val="left"/>
        <w:rPr>
          <w:rFonts w:ascii="宋体" w:hAnsi="宋体"/>
          <w:sz w:val="24"/>
        </w:rPr>
      </w:pPr>
      <w:r>
        <w:rPr>
          <w:rFonts w:hint="eastAsia" w:ascii="宋体" w:hAnsi="宋体"/>
          <w:sz w:val="24"/>
        </w:rPr>
        <w:t>联系地址：</w:t>
      </w:r>
      <w:r>
        <w:rPr>
          <w:rFonts w:hint="eastAsia"/>
          <w:sz w:val="24"/>
        </w:rPr>
        <w:t>会宁县河畔镇</w:t>
      </w:r>
    </w:p>
    <w:p>
      <w:pPr>
        <w:spacing w:line="440" w:lineRule="exact"/>
        <w:ind w:firstLine="480"/>
        <w:jc w:val="left"/>
        <w:rPr>
          <w:rFonts w:ascii="宋体" w:hAnsi="宋体"/>
          <w:sz w:val="24"/>
        </w:rPr>
      </w:pPr>
      <w:r>
        <w:rPr>
          <w:rFonts w:hint="eastAsia" w:ascii="宋体" w:hAnsi="宋体"/>
          <w:sz w:val="24"/>
        </w:rPr>
        <w:t>代理机构：</w:t>
      </w:r>
      <w:r>
        <w:rPr>
          <w:rFonts w:hint="eastAsia" w:ascii="Times New Roman"/>
          <w:sz w:val="24"/>
          <w:szCs w:val="20"/>
        </w:rPr>
        <w:t>甘肃源和工程咨询有限公司</w:t>
      </w:r>
    </w:p>
    <w:p>
      <w:pPr>
        <w:spacing w:line="440" w:lineRule="exact"/>
        <w:ind w:firstLine="480"/>
        <w:jc w:val="left"/>
        <w:rPr>
          <w:rFonts w:ascii="宋体" w:hAnsi="宋体"/>
          <w:sz w:val="24"/>
        </w:rPr>
      </w:pPr>
      <w:r>
        <w:rPr>
          <w:rFonts w:hint="eastAsia" w:ascii="宋体" w:hAnsi="宋体"/>
          <w:sz w:val="24"/>
        </w:rPr>
        <w:t>联 系 人：邢铭娟      联系电话：18993950215</w:t>
      </w:r>
    </w:p>
    <w:p>
      <w:pPr>
        <w:spacing w:line="440" w:lineRule="exact"/>
        <w:ind w:firstLine="480"/>
        <w:jc w:val="left"/>
        <w:rPr>
          <w:rFonts w:ascii="宋体" w:hAnsi="宋体"/>
          <w:sz w:val="24"/>
        </w:rPr>
      </w:pPr>
      <w:r>
        <w:rPr>
          <w:rFonts w:hint="eastAsia" w:ascii="宋体" w:hAnsi="宋体"/>
          <w:sz w:val="24"/>
        </w:rPr>
        <w:t>联系地址：甘肃省白银市白银区</w:t>
      </w:r>
      <w:r>
        <w:rPr>
          <w:rFonts w:hint="eastAsia" w:ascii="宋体" w:hAnsi="宋体"/>
          <w:sz w:val="24"/>
          <w:lang w:eastAsia="zh-CN"/>
        </w:rPr>
        <w:t>支三路</w:t>
      </w:r>
      <w:r>
        <w:rPr>
          <w:rFonts w:hint="eastAsia" w:ascii="宋体" w:hAnsi="宋体"/>
          <w:sz w:val="24"/>
          <w:lang w:val="en-US" w:eastAsia="zh-CN"/>
        </w:rPr>
        <w:t>199号（04）39幢2-01</w:t>
      </w:r>
    </w:p>
    <w:p>
      <w:pPr>
        <w:ind w:firstLine="480"/>
        <w:jc w:val="center"/>
        <w:rPr>
          <w:rFonts w:ascii="宋体" w:hAnsi="宋体"/>
          <w:sz w:val="24"/>
        </w:rPr>
      </w:pPr>
      <w:r>
        <w:rPr>
          <w:rFonts w:hint="eastAsia" w:ascii="宋体" w:hAnsi="宋体"/>
          <w:sz w:val="24"/>
        </w:rPr>
        <w:t xml:space="preserve">                                   </w:t>
      </w:r>
      <w:r>
        <w:rPr>
          <w:rFonts w:hint="eastAsia" w:ascii="Times New Roman"/>
          <w:sz w:val="24"/>
          <w:szCs w:val="20"/>
        </w:rPr>
        <w:t>甘肃源和工程咨询有限公司</w:t>
      </w:r>
    </w:p>
    <w:p>
      <w:pPr>
        <w:ind w:firstLine="480"/>
        <w:rPr>
          <w:rFonts w:ascii="宋体" w:hAnsi="宋体"/>
          <w:sz w:val="24"/>
        </w:rPr>
      </w:pPr>
      <w:r>
        <w:rPr>
          <w:rFonts w:hint="eastAsia" w:ascii="宋体" w:hAnsi="宋体" w:cs="宋体"/>
          <w:kern w:val="0"/>
          <w:sz w:val="24"/>
        </w:rPr>
        <w:t xml:space="preserve">                                                201</w:t>
      </w:r>
      <w:r>
        <w:rPr>
          <w:rFonts w:hint="eastAsia" w:ascii="宋体" w:hAnsi="宋体" w:cs="宋体"/>
          <w:kern w:val="0"/>
          <w:sz w:val="24"/>
          <w:lang w:val="en-US" w:eastAsia="zh-CN"/>
        </w:rPr>
        <w:t>8</w:t>
      </w:r>
      <w:r>
        <w:rPr>
          <w:rFonts w:hint="eastAsia" w:ascii="宋体" w:hAnsi="宋体" w:cs="宋体"/>
          <w:kern w:val="0"/>
          <w:sz w:val="24"/>
        </w:rPr>
        <w:t>年1月</w:t>
      </w:r>
      <w:r>
        <w:rPr>
          <w:rFonts w:hint="eastAsia" w:ascii="宋体" w:hAnsi="宋体" w:cs="宋体"/>
          <w:kern w:val="0"/>
          <w:sz w:val="24"/>
          <w:lang w:val="en-US" w:eastAsia="zh-CN"/>
        </w:rPr>
        <w:t>9</w:t>
      </w:r>
      <w:r>
        <w:rPr>
          <w:rFonts w:hint="eastAsia" w:ascii="宋体" w:hAnsi="宋体"/>
          <w:sz w:val="24"/>
        </w:rPr>
        <w:t>日</w:t>
      </w:r>
    </w:p>
    <w:p>
      <w:pPr>
        <w:pStyle w:val="2"/>
        <w:ind w:firstLine="482"/>
      </w:pPr>
      <w:r>
        <w:rPr>
          <w:sz w:val="24"/>
        </w:rPr>
        <w:br w:type="page"/>
      </w:r>
      <w:bookmarkStart w:id="5" w:name="_Toc493008663"/>
      <w:bookmarkStart w:id="6" w:name="_Toc29242"/>
      <w:r>
        <w:t>第二章</w:t>
      </w:r>
      <w:r>
        <w:rPr>
          <w:rFonts w:hint="eastAsia"/>
        </w:rPr>
        <w:t xml:space="preserve"> 投标人须知前附表</w:t>
      </w:r>
      <w:bookmarkEnd w:id="5"/>
      <w:bookmarkEnd w:id="6"/>
    </w:p>
    <w:p>
      <w:pPr>
        <w:ind w:firstLine="360" w:firstLineChars="150"/>
        <w:rPr>
          <w:sz w:val="24"/>
        </w:rPr>
      </w:pPr>
      <w:r>
        <w:rPr>
          <w:rFonts w:hint="eastAsia"/>
          <w:sz w:val="24"/>
        </w:rPr>
        <w:t>下述关于要采购的内容的具体资料是对投标人须知的具体补充和修改，如果有矛盾的话，应以本资料为准。</w:t>
      </w:r>
    </w:p>
    <w:tbl>
      <w:tblPr>
        <w:tblStyle w:val="41"/>
        <w:tblW w:w="9827" w:type="dxa"/>
        <w:jc w:val="center"/>
        <w:tblInd w:w="-777"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418"/>
        <w:gridCol w:w="7442"/>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967" w:type="dxa"/>
            <w:vAlign w:val="center"/>
          </w:tcPr>
          <w:p>
            <w:pPr>
              <w:ind w:firstLine="0" w:firstLineChars="0"/>
              <w:jc w:val="center"/>
              <w:rPr>
                <w:rFonts w:ascii="宋体" w:hAnsi="宋体"/>
                <w:b/>
                <w:szCs w:val="21"/>
              </w:rPr>
            </w:pPr>
            <w:r>
              <w:rPr>
                <w:rFonts w:hint="eastAsia" w:ascii="宋体" w:hAnsi="宋体"/>
                <w:b/>
                <w:szCs w:val="21"/>
              </w:rPr>
              <w:t>条款号</w:t>
            </w:r>
          </w:p>
        </w:tc>
        <w:tc>
          <w:tcPr>
            <w:tcW w:w="1418" w:type="dxa"/>
            <w:vAlign w:val="center"/>
          </w:tcPr>
          <w:p>
            <w:pPr>
              <w:ind w:firstLine="0" w:firstLineChars="0"/>
              <w:jc w:val="center"/>
              <w:rPr>
                <w:rFonts w:ascii="宋体" w:hAnsi="宋体"/>
                <w:b/>
                <w:szCs w:val="21"/>
              </w:rPr>
            </w:pPr>
            <w:r>
              <w:rPr>
                <w:rFonts w:hint="eastAsia" w:ascii="宋体" w:hAnsi="宋体"/>
                <w:b/>
                <w:szCs w:val="21"/>
              </w:rPr>
              <w:t>条 款 名 称</w:t>
            </w:r>
          </w:p>
        </w:tc>
        <w:tc>
          <w:tcPr>
            <w:tcW w:w="7442" w:type="dxa"/>
            <w:vAlign w:val="center"/>
          </w:tcPr>
          <w:p>
            <w:pPr>
              <w:ind w:firstLine="422"/>
              <w:jc w:val="center"/>
              <w:rPr>
                <w:rFonts w:ascii="宋体" w:hAnsi="宋体"/>
                <w:b/>
                <w:szCs w:val="21"/>
              </w:rPr>
            </w:pPr>
            <w:r>
              <w:rPr>
                <w:rFonts w:ascii="宋体" w:hAnsi="宋体"/>
                <w:b/>
                <w:szCs w:val="21"/>
              </w:rPr>
              <w:t>内   容   规   定</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761" w:hRule="exact"/>
          <w:jc w:val="center"/>
        </w:trPr>
        <w:tc>
          <w:tcPr>
            <w:tcW w:w="967" w:type="dxa"/>
            <w:vAlign w:val="center"/>
          </w:tcPr>
          <w:p>
            <w:pPr>
              <w:ind w:firstLine="0" w:firstLineChars="0"/>
              <w:jc w:val="center"/>
              <w:rPr>
                <w:rFonts w:ascii="宋体" w:hAnsi="宋体"/>
                <w:szCs w:val="21"/>
              </w:rPr>
            </w:pPr>
            <w:r>
              <w:rPr>
                <w:rFonts w:hint="eastAsia" w:ascii="宋体" w:hAnsi="宋体"/>
                <w:szCs w:val="21"/>
              </w:rPr>
              <w:t>2.1</w:t>
            </w:r>
          </w:p>
        </w:tc>
        <w:tc>
          <w:tcPr>
            <w:tcW w:w="1418" w:type="dxa"/>
            <w:vAlign w:val="center"/>
          </w:tcPr>
          <w:p>
            <w:pPr>
              <w:spacing w:line="400" w:lineRule="exact"/>
              <w:ind w:firstLine="0" w:firstLineChars="0"/>
              <w:jc w:val="center"/>
              <w:rPr>
                <w:rFonts w:ascii="宋体" w:hAnsi="宋体" w:cs="仿宋"/>
                <w:szCs w:val="21"/>
              </w:rPr>
            </w:pPr>
            <w:r>
              <w:rPr>
                <w:rFonts w:ascii="宋体" w:hAnsi="宋体" w:cs="仿宋"/>
                <w:szCs w:val="21"/>
              </w:rPr>
              <w:t>综合说明</w:t>
            </w:r>
          </w:p>
        </w:tc>
        <w:tc>
          <w:tcPr>
            <w:tcW w:w="7442" w:type="dxa"/>
            <w:vAlign w:val="center"/>
          </w:tcPr>
          <w:p>
            <w:pPr>
              <w:spacing w:line="400" w:lineRule="exact"/>
              <w:ind w:firstLine="420"/>
              <w:rPr>
                <w:rFonts w:ascii="宋体" w:hAnsi="宋体" w:cs="仿宋"/>
                <w:szCs w:val="21"/>
              </w:rPr>
            </w:pPr>
            <w:r>
              <w:rPr>
                <w:rFonts w:hint="eastAsia" w:ascii="宋体" w:hAnsi="宋体" w:cs="仿宋"/>
                <w:szCs w:val="21"/>
              </w:rPr>
              <w:t>1）项目名称：会宁县第二人民医院医疗设备采购项目</w:t>
            </w:r>
          </w:p>
          <w:p>
            <w:pPr>
              <w:spacing w:line="400" w:lineRule="exact"/>
              <w:ind w:firstLine="420"/>
              <w:rPr>
                <w:rFonts w:ascii="宋体" w:hAnsi="宋体" w:cs="仿宋"/>
                <w:szCs w:val="21"/>
              </w:rPr>
            </w:pPr>
            <w:r>
              <w:rPr>
                <w:rFonts w:hint="eastAsia" w:ascii="宋体" w:hAnsi="宋体" w:cs="仿宋"/>
                <w:szCs w:val="21"/>
              </w:rPr>
              <w:t>2）招标内容：包一：检验及监护类设备一批；包二：高压灭菌及手术室类设备一批。（参数详见招标文件）</w:t>
            </w:r>
          </w:p>
          <w:p>
            <w:pPr>
              <w:spacing w:line="400" w:lineRule="exact"/>
              <w:ind w:firstLine="420"/>
              <w:rPr>
                <w:rFonts w:ascii="宋体" w:hAnsi="宋体" w:cs="仿宋"/>
                <w:szCs w:val="21"/>
              </w:rPr>
            </w:pPr>
            <w:r>
              <w:rPr>
                <w:rFonts w:hint="eastAsia" w:ascii="宋体" w:hAnsi="宋体" w:cs="仿宋"/>
                <w:szCs w:val="21"/>
              </w:rPr>
              <w:t>3）采购预算：包一：80万元，包二：43.6万元，总预算为123.6万元</w:t>
            </w:r>
          </w:p>
          <w:p>
            <w:pPr>
              <w:spacing w:line="400" w:lineRule="exact"/>
              <w:ind w:firstLine="420"/>
              <w:rPr>
                <w:rFonts w:ascii="宋体" w:hAnsi="宋体" w:cs="仿宋"/>
                <w:szCs w:val="21"/>
              </w:rPr>
            </w:pPr>
            <w:r>
              <w:rPr>
                <w:rFonts w:hint="eastAsia" w:ascii="宋体" w:hAnsi="宋体" w:cs="仿宋"/>
                <w:szCs w:val="21"/>
              </w:rPr>
              <w:t>4）招标方式：公开招标</w:t>
            </w:r>
          </w:p>
          <w:p>
            <w:pPr>
              <w:spacing w:line="400" w:lineRule="exact"/>
              <w:ind w:firstLine="420"/>
              <w:rPr>
                <w:rFonts w:ascii="宋体" w:hAnsi="宋体" w:cs="仿宋"/>
                <w:szCs w:val="21"/>
              </w:rPr>
            </w:pPr>
            <w:r>
              <w:rPr>
                <w:rFonts w:hint="eastAsia" w:ascii="宋体" w:hAnsi="宋体" w:cs="仿宋"/>
                <w:szCs w:val="21"/>
              </w:rPr>
              <w:t>5）评标方法：综合评分法</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2.2</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采购人</w:t>
            </w:r>
          </w:p>
        </w:tc>
        <w:tc>
          <w:tcPr>
            <w:tcW w:w="7442" w:type="dxa"/>
            <w:vAlign w:val="center"/>
          </w:tcPr>
          <w:p>
            <w:pPr>
              <w:spacing w:line="400" w:lineRule="exact"/>
              <w:ind w:firstLine="420"/>
              <w:rPr>
                <w:rFonts w:ascii="宋体" w:hAnsi="宋体"/>
                <w:szCs w:val="21"/>
              </w:rPr>
            </w:pPr>
            <w:r>
              <w:rPr>
                <w:rFonts w:hint="eastAsia" w:ascii="宋体" w:hAnsi="宋体" w:cs="仿宋"/>
                <w:szCs w:val="21"/>
              </w:rPr>
              <w:t>1）</w:t>
            </w:r>
            <w:r>
              <w:rPr>
                <w:rFonts w:hint="eastAsia" w:ascii="宋体" w:hAnsi="宋体"/>
                <w:szCs w:val="21"/>
              </w:rPr>
              <w:t>单位名称：</w:t>
            </w:r>
            <w:r>
              <w:rPr>
                <w:rFonts w:hint="eastAsia" w:ascii="宋体" w:hAnsi="宋体" w:cs="仿宋"/>
                <w:szCs w:val="21"/>
              </w:rPr>
              <w:t>会宁县第二人民医院</w:t>
            </w:r>
          </w:p>
          <w:p>
            <w:pPr>
              <w:spacing w:line="400" w:lineRule="exact"/>
              <w:ind w:firstLine="420"/>
              <w:rPr>
                <w:rFonts w:ascii="宋体" w:hAnsi="宋体"/>
                <w:szCs w:val="21"/>
              </w:rPr>
            </w:pPr>
            <w:r>
              <w:rPr>
                <w:rFonts w:hint="eastAsia" w:ascii="宋体" w:hAnsi="宋体"/>
                <w:szCs w:val="21"/>
              </w:rPr>
              <w:t>2）联 系 人：沈娟丽</w:t>
            </w:r>
          </w:p>
          <w:p>
            <w:pPr>
              <w:spacing w:line="400" w:lineRule="exact"/>
              <w:ind w:firstLine="420"/>
              <w:rPr>
                <w:rFonts w:ascii="宋体" w:hAnsi="宋体"/>
                <w:szCs w:val="21"/>
              </w:rPr>
            </w:pPr>
            <w:r>
              <w:rPr>
                <w:rFonts w:hint="eastAsia" w:ascii="宋体" w:hAnsi="宋体"/>
                <w:szCs w:val="21"/>
              </w:rPr>
              <w:t>3）联系电话：15213903554</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87" w:hRule="exact"/>
          <w:jc w:val="center"/>
        </w:trPr>
        <w:tc>
          <w:tcPr>
            <w:tcW w:w="967" w:type="dxa"/>
            <w:vAlign w:val="center"/>
          </w:tcPr>
          <w:p>
            <w:pPr>
              <w:ind w:firstLine="0" w:firstLineChars="0"/>
              <w:jc w:val="center"/>
              <w:rPr>
                <w:rFonts w:ascii="宋体" w:hAnsi="宋体"/>
                <w:szCs w:val="21"/>
              </w:rPr>
            </w:pPr>
            <w:r>
              <w:rPr>
                <w:rFonts w:hint="eastAsia" w:ascii="宋体" w:hAnsi="宋体"/>
                <w:szCs w:val="21"/>
              </w:rPr>
              <w:t>2.3</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代理机构</w:t>
            </w:r>
          </w:p>
        </w:tc>
        <w:tc>
          <w:tcPr>
            <w:tcW w:w="7442" w:type="dxa"/>
            <w:vAlign w:val="center"/>
          </w:tcPr>
          <w:p>
            <w:pPr>
              <w:spacing w:line="400" w:lineRule="exact"/>
              <w:ind w:firstLine="420"/>
              <w:rPr>
                <w:rFonts w:ascii="宋体" w:hAnsi="宋体"/>
                <w:szCs w:val="21"/>
              </w:rPr>
            </w:pPr>
            <w:r>
              <w:rPr>
                <w:rFonts w:hint="eastAsia" w:ascii="宋体" w:hAnsi="宋体"/>
                <w:szCs w:val="21"/>
              </w:rPr>
              <w:t>1）单位名称：甘肃源和工程咨询有限公司</w:t>
            </w:r>
          </w:p>
          <w:p>
            <w:pPr>
              <w:tabs>
                <w:tab w:val="left" w:pos="240"/>
              </w:tabs>
              <w:spacing w:line="400" w:lineRule="exact"/>
              <w:ind w:firstLine="420"/>
              <w:rPr>
                <w:rFonts w:ascii="仿宋_GB2312" w:eastAsia="仿宋_GB2312"/>
                <w:sz w:val="24"/>
                <w:szCs w:val="24"/>
              </w:rPr>
            </w:pPr>
            <w:r>
              <w:rPr>
                <w:rFonts w:hint="eastAsia" w:ascii="宋体" w:hAnsi="宋体"/>
                <w:szCs w:val="21"/>
              </w:rPr>
              <w:t>2）联 系 人：邢铭娟</w:t>
            </w:r>
          </w:p>
          <w:p>
            <w:pPr>
              <w:tabs>
                <w:tab w:val="left" w:pos="240"/>
              </w:tabs>
              <w:spacing w:line="400" w:lineRule="exact"/>
              <w:ind w:firstLine="420"/>
              <w:rPr>
                <w:rFonts w:ascii="宋体" w:hAnsi="宋体"/>
                <w:szCs w:val="21"/>
              </w:rPr>
            </w:pPr>
            <w:r>
              <w:rPr>
                <w:rFonts w:hint="eastAsia" w:ascii="宋体" w:hAnsi="宋体"/>
                <w:szCs w:val="21"/>
              </w:rPr>
              <w:t>3）联系电话</w:t>
            </w:r>
            <w:r>
              <w:rPr>
                <w:rFonts w:ascii="宋体" w:hAnsi="宋体"/>
                <w:szCs w:val="21"/>
              </w:rPr>
              <w:t>：</w:t>
            </w:r>
            <w:r>
              <w:rPr>
                <w:rFonts w:hint="eastAsia" w:ascii="宋体" w:hAnsi="宋体"/>
                <w:szCs w:val="21"/>
              </w:rPr>
              <w:t>18993950215</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2.4</w:t>
            </w:r>
          </w:p>
        </w:tc>
        <w:tc>
          <w:tcPr>
            <w:tcW w:w="1418" w:type="dxa"/>
            <w:vAlign w:val="center"/>
          </w:tcPr>
          <w:p>
            <w:pPr>
              <w:spacing w:line="420" w:lineRule="exact"/>
              <w:ind w:firstLine="0" w:firstLineChars="0"/>
              <w:jc w:val="center"/>
              <w:rPr>
                <w:rFonts w:ascii="宋体" w:hAnsi="宋体"/>
                <w:szCs w:val="21"/>
              </w:rPr>
            </w:pPr>
            <w:r>
              <w:rPr>
                <w:rFonts w:hint="eastAsia" w:ascii="宋体" w:hAnsi="宋体"/>
                <w:szCs w:val="21"/>
              </w:rPr>
              <w:t>付款方式</w:t>
            </w:r>
          </w:p>
        </w:tc>
        <w:tc>
          <w:tcPr>
            <w:tcW w:w="7442" w:type="dxa"/>
            <w:vAlign w:val="center"/>
          </w:tcPr>
          <w:p>
            <w:pPr>
              <w:spacing w:line="420" w:lineRule="exact"/>
              <w:ind w:firstLine="420"/>
              <w:rPr>
                <w:rFonts w:ascii="宋体" w:hAnsi="宋体"/>
                <w:szCs w:val="21"/>
              </w:rPr>
            </w:pPr>
            <w:r>
              <w:rPr>
                <w:rFonts w:hint="eastAsia" w:ascii="宋体" w:hAnsi="宋体"/>
                <w:szCs w:val="21"/>
              </w:rPr>
              <w:t>经需方验收合格后，凭验收合格证明及按合同总价开据的发票（完税价），由需方支付货款95%，5%为履约保证金一年期满后无质量问题将无息支付。</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2.5</w:t>
            </w:r>
          </w:p>
        </w:tc>
        <w:tc>
          <w:tcPr>
            <w:tcW w:w="1418" w:type="dxa"/>
            <w:vAlign w:val="center"/>
          </w:tcPr>
          <w:p>
            <w:pPr>
              <w:spacing w:line="440" w:lineRule="exact"/>
              <w:ind w:firstLine="0" w:firstLineChars="0"/>
              <w:jc w:val="center"/>
              <w:rPr>
                <w:rFonts w:ascii="宋体" w:hAnsi="宋体"/>
                <w:szCs w:val="21"/>
              </w:rPr>
            </w:pPr>
            <w:r>
              <w:rPr>
                <w:rFonts w:ascii="宋体" w:hAnsi="宋体"/>
                <w:szCs w:val="21"/>
              </w:rPr>
              <w:t>投标人资</w:t>
            </w:r>
            <w:r>
              <w:rPr>
                <w:rFonts w:hint="eastAsia" w:ascii="宋体" w:hAnsi="宋体"/>
                <w:szCs w:val="21"/>
              </w:rPr>
              <w:t>质文件要求：</w:t>
            </w:r>
          </w:p>
          <w:p>
            <w:pPr>
              <w:spacing w:line="440" w:lineRule="exact"/>
              <w:ind w:firstLine="0" w:firstLineChars="0"/>
              <w:jc w:val="center"/>
              <w:rPr>
                <w:rFonts w:ascii="宋体" w:hAnsi="宋体"/>
                <w:szCs w:val="21"/>
              </w:rPr>
            </w:pPr>
            <w:r>
              <w:rPr>
                <w:rFonts w:hint="eastAsia" w:ascii="宋体" w:hAnsi="宋体"/>
                <w:szCs w:val="21"/>
              </w:rPr>
              <w:t>（未做说明的资料复印件加盖鲜章，原件携带备查。)</w:t>
            </w:r>
          </w:p>
        </w:tc>
        <w:tc>
          <w:tcPr>
            <w:tcW w:w="7442" w:type="dxa"/>
            <w:vAlign w:val="center"/>
          </w:tcPr>
          <w:p>
            <w:pPr>
              <w:ind w:firstLine="420"/>
            </w:pPr>
            <w:r>
              <w:rPr>
                <w:rFonts w:hint="eastAsia"/>
              </w:rPr>
              <w:t>1）</w:t>
            </w:r>
            <w:r>
              <w:t>提供年检合格的工商营业执照、税务登记证、组织机构代码证等证件的副本</w:t>
            </w:r>
            <w:r>
              <w:rPr>
                <w:rFonts w:hint="eastAsia"/>
              </w:rPr>
              <w:t>或具有统一社会信用代码的营业执照副本（复印件）；</w:t>
            </w:r>
          </w:p>
          <w:p>
            <w:pPr>
              <w:ind w:firstLine="420"/>
            </w:pPr>
            <w:r>
              <w:rPr>
                <w:rFonts w:hint="eastAsia"/>
              </w:rPr>
              <w:t>2）法定代表人资格证明（原件）、身份证（正、反面复印件）（法定代表人</w:t>
            </w:r>
          </w:p>
          <w:p>
            <w:pPr>
              <w:ind w:firstLine="0" w:firstLineChars="0"/>
            </w:pPr>
            <w:r>
              <w:rPr>
                <w:rFonts w:hint="eastAsia"/>
              </w:rPr>
              <w:t>参与投标时提供）（1式2份 1份装入投标文件正本，1份带至开标现场）；</w:t>
            </w:r>
          </w:p>
          <w:p>
            <w:pPr>
              <w:ind w:firstLine="420"/>
            </w:pPr>
            <w:r>
              <w:rPr>
                <w:rFonts w:hint="eastAsia"/>
              </w:rPr>
              <w:t>3）法人授权函（原件）及被授权人身份证（正、反面复印件）（非法定代</w:t>
            </w:r>
          </w:p>
          <w:p>
            <w:pPr>
              <w:ind w:firstLine="0" w:firstLineChars="0"/>
            </w:pPr>
            <w:r>
              <w:rPr>
                <w:rFonts w:hint="eastAsia"/>
              </w:rPr>
              <w:t>表人参与投标时提供）（1式2份 1份装入投标文件正本，1份带至开标现场）；</w:t>
            </w:r>
          </w:p>
          <w:p>
            <w:pPr>
              <w:ind w:firstLine="420"/>
            </w:pPr>
            <w:r>
              <w:rPr>
                <w:rFonts w:hint="eastAsia"/>
              </w:rPr>
              <w:t>4）提供2016</w:t>
            </w:r>
            <w:r>
              <w:rPr>
                <w:rFonts w:hint="eastAsia"/>
                <w:lang w:eastAsia="zh-CN"/>
              </w:rPr>
              <w:t>或</w:t>
            </w:r>
            <w:r>
              <w:rPr>
                <w:rFonts w:hint="eastAsia"/>
                <w:lang w:val="en-US" w:eastAsia="zh-CN"/>
              </w:rPr>
              <w:t>2017</w:t>
            </w:r>
            <w:r>
              <w:rPr>
                <w:rFonts w:hint="eastAsia"/>
              </w:rPr>
              <w:t>年度财务审计报告（新成立企业或审计报告未完成的企业提供基本开户银行出具的资信证明），投标截止日期前三个月依法缴纳税收和社会保障资金的相关材料；</w:t>
            </w:r>
          </w:p>
          <w:p>
            <w:pPr>
              <w:ind w:firstLine="420"/>
            </w:pPr>
            <w:r>
              <w:rPr>
                <w:rFonts w:hint="eastAsia"/>
              </w:rPr>
              <w:t>5）提供由供应商所</w:t>
            </w:r>
            <w:r>
              <w:rPr>
                <w:rFonts w:hint="eastAsia"/>
                <w:lang w:eastAsia="zh-CN"/>
              </w:rPr>
              <w:t>在</w:t>
            </w:r>
            <w:r>
              <w:rPr>
                <w:rFonts w:hint="eastAsia"/>
              </w:rPr>
              <w:t>地或者业务发生地市（州）、县（区）人民检察院出具的行贿犯罪档案查询结果告知函原件（原件装入投标文件正本，并作为资格审查的必要条件）；</w:t>
            </w:r>
          </w:p>
          <w:p>
            <w:pPr>
              <w:ind w:firstLine="420"/>
            </w:pPr>
            <w:r>
              <w:rPr>
                <w:rFonts w:hint="eastAsia"/>
              </w:rPr>
              <w:t>6）提供参加政府采购活动前3年内在经营活动中没有重大违法记录的书面声明（原件装入投标文件正本，并作为资格审查的必要条件）；</w:t>
            </w:r>
          </w:p>
          <w:p>
            <w:pPr>
              <w:ind w:firstLine="420"/>
            </w:pPr>
            <w:r>
              <w:rPr>
                <w:rFonts w:hint="eastAsia"/>
              </w:rPr>
              <w:t>7）具有医疗器械生产或经营许可证；</w:t>
            </w:r>
          </w:p>
          <w:p>
            <w:pPr>
              <w:ind w:firstLine="420"/>
            </w:pPr>
            <w:r>
              <w:rPr>
                <w:rFonts w:hint="eastAsia"/>
              </w:rPr>
              <w:t>8）本项目不接受联合体投标。</w:t>
            </w:r>
          </w:p>
          <w:p>
            <w:pPr>
              <w:ind w:firstLine="422"/>
              <w:rPr>
                <w:b/>
              </w:rPr>
            </w:pPr>
            <w:r>
              <w:rPr>
                <w:rFonts w:hint="eastAsia"/>
                <w:b/>
              </w:rPr>
              <w:t>以上条款为所有投标项目必须提供的文件，其中1）必须提供原件且在有效期内，所有证书复印件必须加盖投标人公章。证书未按规定年检、复审或未按上述要求制作标书的，将视为无效投标。</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2.6</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投标文件递交截止时间</w:t>
            </w:r>
          </w:p>
        </w:tc>
        <w:tc>
          <w:tcPr>
            <w:tcW w:w="7442" w:type="dxa"/>
            <w:vAlign w:val="center"/>
          </w:tcPr>
          <w:p>
            <w:pPr>
              <w:spacing w:line="400" w:lineRule="exact"/>
              <w:ind w:firstLine="840" w:firstLineChars="400"/>
              <w:rPr>
                <w:rFonts w:ascii="宋体" w:hAnsi="宋体"/>
                <w:szCs w:val="21"/>
              </w:rPr>
            </w:pPr>
            <w:r>
              <w:rPr>
                <w:rFonts w:hint="eastAsia" w:ascii="宋体" w:hAnsi="宋体"/>
                <w:szCs w:val="21"/>
              </w:rPr>
              <w:t>201</w:t>
            </w:r>
            <w:r>
              <w:rPr>
                <w:rFonts w:hint="eastAsia" w:ascii="宋体" w:hAnsi="宋体"/>
                <w:szCs w:val="21"/>
                <w:lang w:val="en-US" w:eastAsia="zh-CN"/>
              </w:rPr>
              <w:t>8</w:t>
            </w:r>
            <w:r>
              <w:rPr>
                <w:rFonts w:hint="eastAsia" w:ascii="宋体" w:hAnsi="宋体"/>
                <w:szCs w:val="21"/>
              </w:rPr>
              <w:t xml:space="preserve"> 年</w:t>
            </w:r>
            <w:r>
              <w:rPr>
                <w:rFonts w:hint="eastAsia" w:ascii="宋体" w:hAnsi="宋体"/>
                <w:szCs w:val="21"/>
                <w:lang w:val="en-US" w:eastAsia="zh-CN"/>
              </w:rPr>
              <w:t>1</w:t>
            </w:r>
            <w:r>
              <w:rPr>
                <w:rFonts w:hint="eastAsia" w:ascii="宋体" w:hAnsi="宋体"/>
                <w:szCs w:val="21"/>
              </w:rPr>
              <w:t>月</w:t>
            </w:r>
            <w:r>
              <w:rPr>
                <w:rFonts w:hint="eastAsia" w:ascii="宋体" w:hAnsi="宋体"/>
                <w:szCs w:val="21"/>
                <w:lang w:val="en-US" w:eastAsia="zh-CN"/>
              </w:rPr>
              <w:t>31</w:t>
            </w:r>
            <w:r>
              <w:rPr>
                <w:rFonts w:hint="eastAsia" w:ascii="宋体" w:hAnsi="宋体"/>
                <w:szCs w:val="21"/>
              </w:rPr>
              <w:t>日</w:t>
            </w:r>
            <w:r>
              <w:rPr>
                <w:rFonts w:hint="eastAsia" w:ascii="宋体" w:hAnsi="宋体"/>
                <w:szCs w:val="21"/>
                <w:lang w:val="en-US" w:eastAsia="zh-CN"/>
              </w:rPr>
              <w:t>15:00</w:t>
            </w:r>
            <w:r>
              <w:rPr>
                <w:rFonts w:hint="eastAsia" w:ascii="宋体" w:hAnsi="宋体"/>
                <w:szCs w:val="21"/>
              </w:rPr>
              <w:t>时（北京时间）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2.7</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供货期</w:t>
            </w:r>
          </w:p>
        </w:tc>
        <w:tc>
          <w:tcPr>
            <w:tcW w:w="7442" w:type="dxa"/>
            <w:vAlign w:val="center"/>
          </w:tcPr>
          <w:p>
            <w:pPr>
              <w:spacing w:line="400" w:lineRule="exact"/>
              <w:ind w:firstLine="420"/>
              <w:rPr>
                <w:rFonts w:ascii="宋体" w:hAnsi="宋体"/>
                <w:color w:val="FF0000"/>
                <w:szCs w:val="21"/>
              </w:rPr>
            </w:pPr>
            <w:r>
              <w:rPr>
                <w:rFonts w:hint="eastAsia" w:ascii="宋体" w:hAnsi="宋体"/>
                <w:szCs w:val="21"/>
              </w:rPr>
              <w:t>合同签订后60日内完成</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2.8</w:t>
            </w:r>
          </w:p>
        </w:tc>
        <w:tc>
          <w:tcPr>
            <w:tcW w:w="1418" w:type="dxa"/>
            <w:vAlign w:val="center"/>
          </w:tcPr>
          <w:p>
            <w:pPr>
              <w:spacing w:line="400" w:lineRule="exact"/>
              <w:ind w:firstLine="0" w:firstLineChars="0"/>
              <w:jc w:val="center"/>
              <w:rPr>
                <w:rFonts w:ascii="宋体" w:hAnsi="宋体"/>
                <w:szCs w:val="21"/>
              </w:rPr>
            </w:pPr>
            <w:r>
              <w:rPr>
                <w:rFonts w:ascii="宋体" w:hAnsi="宋体"/>
                <w:szCs w:val="21"/>
              </w:rPr>
              <w:t>投标有效期</w:t>
            </w:r>
          </w:p>
        </w:tc>
        <w:tc>
          <w:tcPr>
            <w:tcW w:w="7442" w:type="dxa"/>
            <w:vAlign w:val="center"/>
          </w:tcPr>
          <w:p>
            <w:pPr>
              <w:spacing w:line="400" w:lineRule="exact"/>
              <w:ind w:firstLine="420"/>
              <w:rPr>
                <w:rFonts w:ascii="宋体" w:hAnsi="宋体"/>
                <w:szCs w:val="21"/>
              </w:rPr>
            </w:pPr>
            <w:r>
              <w:rPr>
                <w:rFonts w:hint="eastAsia" w:ascii="宋体" w:hAnsi="宋体"/>
                <w:szCs w:val="21"/>
                <w:u w:val="single"/>
              </w:rPr>
              <w:t>60</w:t>
            </w:r>
            <w:r>
              <w:rPr>
                <w:rFonts w:ascii="宋体" w:hAnsi="宋体"/>
                <w:szCs w:val="21"/>
              </w:rPr>
              <w:t>天</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2.9</w:t>
            </w:r>
          </w:p>
        </w:tc>
        <w:tc>
          <w:tcPr>
            <w:tcW w:w="1418" w:type="dxa"/>
            <w:vAlign w:val="center"/>
          </w:tcPr>
          <w:p>
            <w:pPr>
              <w:spacing w:line="440" w:lineRule="exact"/>
              <w:ind w:firstLine="0" w:firstLineChars="0"/>
              <w:jc w:val="center"/>
              <w:rPr>
                <w:rFonts w:ascii="宋体" w:hAnsi="宋体"/>
                <w:szCs w:val="21"/>
              </w:rPr>
            </w:pPr>
            <w:r>
              <w:rPr>
                <w:rFonts w:ascii="宋体" w:hAnsi="宋体"/>
                <w:szCs w:val="21"/>
              </w:rPr>
              <w:t>投标保证金数额</w:t>
            </w:r>
            <w:r>
              <w:rPr>
                <w:rFonts w:hint="eastAsia" w:ascii="宋体" w:hAnsi="宋体"/>
                <w:szCs w:val="21"/>
              </w:rPr>
              <w:t>及交纳方式</w:t>
            </w:r>
          </w:p>
        </w:tc>
        <w:tc>
          <w:tcPr>
            <w:tcW w:w="7442" w:type="dxa"/>
            <w:vAlign w:val="center"/>
          </w:tcPr>
          <w:p>
            <w:pPr>
              <w:spacing w:line="440" w:lineRule="exact"/>
              <w:ind w:firstLine="420"/>
              <w:rPr>
                <w:rFonts w:ascii="宋体" w:hAnsi="宋体"/>
                <w:szCs w:val="21"/>
              </w:rPr>
            </w:pPr>
            <w:r>
              <w:rPr>
                <w:rFonts w:hint="eastAsia" w:ascii="宋体" w:hAnsi="宋体"/>
                <w:szCs w:val="21"/>
              </w:rPr>
              <w:t>金额：包一：</w:t>
            </w:r>
            <w:r>
              <w:rPr>
                <w:rFonts w:hint="eastAsia" w:ascii="宋体" w:hAnsi="宋体"/>
              </w:rPr>
              <w:t>￥</w:t>
            </w:r>
            <w:r>
              <w:rPr>
                <w:rFonts w:hint="eastAsia" w:ascii="宋体" w:hAnsi="宋体"/>
                <w:szCs w:val="21"/>
              </w:rPr>
              <w:t>15000.00元（壹万伍仟元整）；包二：</w:t>
            </w:r>
            <w:r>
              <w:rPr>
                <w:rFonts w:hint="eastAsia" w:ascii="宋体" w:hAnsi="宋体"/>
              </w:rPr>
              <w:t>￥</w:t>
            </w:r>
            <w:r>
              <w:rPr>
                <w:rFonts w:hint="eastAsia" w:ascii="宋体" w:hAnsi="宋体"/>
                <w:szCs w:val="21"/>
              </w:rPr>
              <w:t>8000.00元（捌仟元整）</w:t>
            </w:r>
          </w:p>
          <w:p>
            <w:pPr>
              <w:spacing w:line="440" w:lineRule="exact"/>
              <w:ind w:firstLine="420"/>
              <w:rPr>
                <w:rFonts w:ascii="宋体" w:hAnsi="宋体"/>
                <w:szCs w:val="21"/>
              </w:rPr>
            </w:pPr>
            <w:r>
              <w:rPr>
                <w:rFonts w:hint="eastAsia" w:ascii="宋体" w:hAnsi="宋体"/>
                <w:szCs w:val="21"/>
              </w:rPr>
              <w:t>交纳方式：详见第一章招标公告第九条</w:t>
            </w:r>
          </w:p>
          <w:p>
            <w:pPr>
              <w:spacing w:line="440" w:lineRule="exact"/>
              <w:ind w:firstLine="420"/>
              <w:rPr>
                <w:rFonts w:ascii="宋体" w:hAnsi="宋体"/>
                <w:szCs w:val="21"/>
              </w:rPr>
            </w:pPr>
            <w:r>
              <w:rPr>
                <w:rFonts w:hint="eastAsia" w:ascii="宋体" w:hAnsi="宋体"/>
                <w:szCs w:val="21"/>
              </w:rPr>
              <w:t>投标人应于开标前将投标保证金包一：</w:t>
            </w:r>
            <w:r>
              <w:rPr>
                <w:rFonts w:hint="eastAsia" w:ascii="宋体" w:hAnsi="宋体"/>
              </w:rPr>
              <w:t>￥</w:t>
            </w:r>
            <w:r>
              <w:rPr>
                <w:rFonts w:hint="eastAsia" w:ascii="宋体" w:hAnsi="宋体"/>
                <w:szCs w:val="21"/>
              </w:rPr>
              <w:t>15000.00元（壹万伍仟元整）；包二：</w:t>
            </w:r>
            <w:r>
              <w:rPr>
                <w:rFonts w:hint="eastAsia" w:ascii="宋体" w:hAnsi="宋体"/>
              </w:rPr>
              <w:t>￥</w:t>
            </w:r>
            <w:r>
              <w:rPr>
                <w:rFonts w:hint="eastAsia" w:ascii="宋体" w:hAnsi="宋体"/>
                <w:szCs w:val="21"/>
              </w:rPr>
              <w:t>8000.00元（捌仟元整）按照上述要求足额进账到白银市公共资源交易中心指定的账号，过期视为无效标。同时投标人须在投标文件中提交本项目投标保证金电汇凭证等银行证明文件（复印件）。</w:t>
            </w:r>
          </w:p>
          <w:p>
            <w:pPr>
              <w:spacing w:line="440" w:lineRule="exact"/>
              <w:ind w:firstLine="210" w:firstLineChars="100"/>
              <w:rPr>
                <w:rFonts w:ascii="宋体" w:hAnsi="宋体"/>
                <w:szCs w:val="21"/>
              </w:rPr>
            </w:pPr>
            <w:r>
              <w:rPr>
                <w:rFonts w:hint="eastAsia" w:ascii="宋体" w:hAnsi="宋体"/>
                <w:szCs w:val="21"/>
              </w:rPr>
              <w:t>（开户名称：白银市公共资源交易中心，开户银行：甘肃银行股份有限公司白银区支行，帐号：</w:t>
            </w:r>
            <w:r>
              <w:rPr>
                <w:rFonts w:ascii="宋体" w:hAnsi="宋体"/>
                <w:szCs w:val="21"/>
              </w:rPr>
              <w:t>662202012635500020）</w:t>
            </w:r>
          </w:p>
          <w:p>
            <w:pPr>
              <w:spacing w:line="440" w:lineRule="exact"/>
              <w:ind w:firstLine="420"/>
              <w:rPr>
                <w:rFonts w:ascii="宋体" w:hAnsi="宋体"/>
                <w:szCs w:val="21"/>
              </w:rPr>
            </w:pPr>
            <w:r>
              <w:rPr>
                <w:rFonts w:hint="eastAsia" w:ascii="宋体" w:hAnsi="宋体"/>
                <w:szCs w:val="21"/>
              </w:rPr>
              <w:t>保证金递交截止时间：同投标文件递交截止时间。</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2.10</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投标文件的份数</w:t>
            </w:r>
          </w:p>
        </w:tc>
        <w:tc>
          <w:tcPr>
            <w:tcW w:w="7442" w:type="dxa"/>
            <w:vAlign w:val="center"/>
          </w:tcPr>
          <w:p>
            <w:pPr>
              <w:tabs>
                <w:tab w:val="left" w:pos="170"/>
                <w:tab w:val="left" w:pos="1200"/>
              </w:tabs>
              <w:spacing w:line="400" w:lineRule="exact"/>
              <w:ind w:firstLine="420"/>
              <w:rPr>
                <w:rFonts w:ascii="宋体" w:hAnsi="宋体"/>
                <w:szCs w:val="21"/>
              </w:rPr>
            </w:pPr>
            <w:r>
              <w:rPr>
                <w:rFonts w:hint="eastAsia" w:ascii="宋体" w:hAnsi="宋体"/>
                <w:szCs w:val="21"/>
              </w:rPr>
              <w:t>1、投标文件份数：制作投标文件正本</w:t>
            </w:r>
            <w:r>
              <w:rPr>
                <w:rFonts w:ascii="宋体" w:hAnsi="宋体"/>
                <w:szCs w:val="21"/>
                <w:u w:val="single"/>
              </w:rPr>
              <w:t xml:space="preserve"> 1 </w:t>
            </w:r>
            <w:r>
              <w:rPr>
                <w:rFonts w:hint="eastAsia" w:ascii="宋体" w:hAnsi="宋体"/>
                <w:szCs w:val="21"/>
              </w:rPr>
              <w:t>份，副本</w:t>
            </w:r>
            <w:r>
              <w:rPr>
                <w:rFonts w:hint="eastAsia" w:ascii="宋体" w:hAnsi="宋体"/>
                <w:szCs w:val="21"/>
                <w:u w:val="single"/>
              </w:rPr>
              <w:t>2</w:t>
            </w:r>
            <w:r>
              <w:rPr>
                <w:rFonts w:hint="eastAsia" w:ascii="宋体" w:hAnsi="宋体"/>
                <w:szCs w:val="21"/>
              </w:rPr>
              <w:t>份,电子版</w:t>
            </w:r>
            <w:r>
              <w:rPr>
                <w:rFonts w:hint="eastAsia" w:ascii="宋体" w:hAnsi="宋体"/>
                <w:szCs w:val="21"/>
                <w:u w:val="single"/>
              </w:rPr>
              <w:t xml:space="preserve"> 1</w:t>
            </w:r>
            <w:r>
              <w:rPr>
                <w:rFonts w:hint="eastAsia" w:ascii="宋体" w:hAnsi="宋体"/>
                <w:szCs w:val="21"/>
              </w:rPr>
              <w:t>份。(有分包按分包制作、无分包按整包制作)。</w:t>
            </w:r>
          </w:p>
          <w:p>
            <w:pPr>
              <w:tabs>
                <w:tab w:val="left" w:pos="170"/>
                <w:tab w:val="left" w:pos="1200"/>
              </w:tabs>
              <w:spacing w:line="400" w:lineRule="exact"/>
              <w:ind w:firstLine="420"/>
              <w:rPr>
                <w:rFonts w:ascii="宋体" w:hAnsi="宋体"/>
                <w:szCs w:val="21"/>
              </w:rPr>
            </w:pPr>
            <w:r>
              <w:rPr>
                <w:rFonts w:hint="eastAsia" w:ascii="宋体" w:hAnsi="宋体"/>
                <w:szCs w:val="21"/>
              </w:rPr>
              <w:t>2、投标文件须建立清晰目录并胶装成册。</w:t>
            </w:r>
          </w:p>
          <w:p>
            <w:pPr>
              <w:spacing w:line="400" w:lineRule="exact"/>
              <w:ind w:firstLine="420"/>
              <w:rPr>
                <w:rFonts w:ascii="宋体" w:hAnsi="宋体"/>
                <w:szCs w:val="21"/>
              </w:rPr>
            </w:pPr>
            <w:r>
              <w:rPr>
                <w:rFonts w:hint="eastAsia" w:ascii="宋体" w:hAnsi="宋体"/>
                <w:szCs w:val="21"/>
              </w:rPr>
              <w:t>未按该要求制作标书的，投标文件将被拒绝，对投标人产生的不利因素由其自行承担。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2.11</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是否接受联合体投标</w:t>
            </w:r>
          </w:p>
        </w:tc>
        <w:tc>
          <w:tcPr>
            <w:tcW w:w="7442" w:type="dxa"/>
            <w:vAlign w:val="center"/>
          </w:tcPr>
          <w:p>
            <w:pPr>
              <w:spacing w:line="400" w:lineRule="exact"/>
              <w:ind w:firstLine="420"/>
              <w:rPr>
                <w:rFonts w:ascii="宋体" w:hAnsi="宋体"/>
                <w:szCs w:val="21"/>
              </w:rPr>
            </w:pPr>
            <w:r>
              <w:rPr>
                <w:rFonts w:ascii="宋体" w:hAnsi="宋体"/>
                <w:szCs w:val="21"/>
              </w:rPr>
              <w:object>
                <v:shape id="_x0000_i1025" o:spt="201" alt="" type="#_x0000_t201" style="height:15.75pt;width:11.25pt;" o:ole="t" filled="f" o:preferrelative="t" stroked="f" coordsize="21600,21600">
                  <v:path/>
                  <v:fill on="f" focussize="0,0"/>
                  <v:stroke on="f"/>
                  <v:imagedata r:id="rId12" o:title=""/>
                  <o:lock v:ext="edit" aspectratio="t"/>
                  <w10:wrap type="none"/>
                  <w10:anchorlock/>
                </v:shape>
                <w:control r:id="rId11" w:name="Control 1" w:shapeid="_x0000_i1025"/>
              </w:object>
            </w:r>
            <w:r>
              <w:rPr>
                <w:rFonts w:hint="eastAsia" w:ascii="宋体" w:hAnsi="宋体"/>
                <w:szCs w:val="21"/>
              </w:rPr>
              <w:t xml:space="preserve">  不接受 </w:t>
            </w:r>
          </w:p>
          <w:p>
            <w:pPr>
              <w:spacing w:line="400" w:lineRule="exact"/>
              <w:ind w:firstLine="420"/>
              <w:rPr>
                <w:rFonts w:ascii="宋体" w:hAnsi="宋体"/>
                <w:szCs w:val="21"/>
              </w:rPr>
            </w:pPr>
            <w:r>
              <w:rPr>
                <w:rFonts w:ascii="宋体" w:hAnsi="宋体"/>
                <w:szCs w:val="21"/>
              </w:rPr>
              <w:object>
                <v:shape id="_x0000_i1026" o:spt="201" alt="" type="#_x0000_t201" style="height:15.75pt;width:11.25pt;" o:ole="t" filled="f" o:preferrelative="t" stroked="f" coordsize="21600,21600">
                  <v:path/>
                  <v:fill on="f" focussize="0,0"/>
                  <v:stroke on="f"/>
                  <v:imagedata r:id="rId14" o:title=""/>
                  <o:lock v:ext="edit" aspectratio="t"/>
                  <w10:wrap type="none"/>
                  <w10:anchorlock/>
                </v:shape>
                <w:control r:id="rId13" w:name="Control 2" w:shapeid="_x0000_i1026"/>
              </w:object>
            </w:r>
            <w:r>
              <w:rPr>
                <w:rFonts w:hint="eastAsia" w:ascii="宋体" w:hAnsi="宋体"/>
                <w:szCs w:val="21"/>
              </w:rPr>
              <w:t xml:space="preserve">  接受         应满足下列要求：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2.12</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答疑会</w:t>
            </w:r>
          </w:p>
        </w:tc>
        <w:tc>
          <w:tcPr>
            <w:tcW w:w="7442" w:type="dxa"/>
            <w:vAlign w:val="center"/>
          </w:tcPr>
          <w:p>
            <w:pPr>
              <w:spacing w:line="400" w:lineRule="exact"/>
              <w:ind w:firstLine="420"/>
              <w:rPr>
                <w:rFonts w:ascii="宋体" w:hAnsi="宋体"/>
                <w:szCs w:val="21"/>
              </w:rPr>
            </w:pPr>
            <w:r>
              <w:rPr>
                <w:rFonts w:ascii="宋体" w:hAnsi="宋体"/>
                <w:szCs w:val="21"/>
              </w:rPr>
              <w:object>
                <v:shape id="_x0000_i1027" o:spt="201" alt="" type="#_x0000_t201" style="height:15.75pt;width:11.25pt;" o:ole="t" filled="f" o:preferrelative="t" stroked="f" coordsize="21600,21600">
                  <v:path/>
                  <v:fill on="f" focussize="0,0"/>
                  <v:stroke on="f"/>
                  <v:imagedata r:id="rId16" o:title=""/>
                  <o:lock v:ext="edit" aspectratio="t"/>
                  <w10:wrap type="none"/>
                  <w10:anchorlock/>
                </v:shape>
                <w:control r:id="rId15" w:name="Control 3" w:shapeid="_x0000_i1027"/>
              </w:object>
            </w:r>
            <w:r>
              <w:rPr>
                <w:rFonts w:hint="eastAsia" w:ascii="宋体" w:hAnsi="宋体"/>
                <w:szCs w:val="21"/>
              </w:rPr>
              <w:t xml:space="preserve">  不召开</w:t>
            </w:r>
          </w:p>
          <w:p>
            <w:pPr>
              <w:spacing w:line="400" w:lineRule="exact"/>
              <w:ind w:firstLine="420"/>
              <w:rPr>
                <w:rFonts w:ascii="宋体" w:hAnsi="宋体"/>
                <w:szCs w:val="21"/>
              </w:rPr>
            </w:pPr>
            <w:r>
              <w:rPr>
                <w:rFonts w:ascii="宋体" w:hAnsi="宋体"/>
                <w:szCs w:val="21"/>
              </w:rPr>
              <w:object>
                <v:shape id="_x0000_i1028" o:spt="201" alt="" type="#_x0000_t201" style="height:15.75pt;width:11.25pt;" o:ole="t" filled="f" o:preferrelative="t" stroked="f" coordsize="21600,21600">
                  <v:path/>
                  <v:fill on="f" focussize="0,0"/>
                  <v:stroke on="f"/>
                  <v:imagedata r:id="rId18" o:title=""/>
                  <o:lock v:ext="edit" aspectratio="t"/>
                  <w10:wrap type="none"/>
                  <w10:anchorlock/>
                </v:shape>
                <w:control r:id="rId17" w:name="Control 4" w:shapeid="_x0000_i1028"/>
              </w:object>
            </w:r>
            <w:r>
              <w:rPr>
                <w:rFonts w:hint="eastAsia" w:ascii="宋体" w:hAnsi="宋体"/>
                <w:szCs w:val="21"/>
              </w:rPr>
              <w:t xml:space="preserve">  召开    召开时间:</w:t>
            </w:r>
          </w:p>
          <w:p>
            <w:pPr>
              <w:spacing w:line="400" w:lineRule="exact"/>
              <w:ind w:firstLine="1680" w:firstLineChars="800"/>
              <w:rPr>
                <w:rFonts w:ascii="宋体" w:hAnsi="宋体"/>
                <w:szCs w:val="21"/>
              </w:rPr>
            </w:pPr>
            <w:r>
              <w:rPr>
                <w:rFonts w:hint="eastAsia" w:ascii="宋体" w:hAnsi="宋体"/>
                <w:szCs w:val="21"/>
              </w:rPr>
              <w:t>召开地点: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2.13</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现场</w:t>
            </w:r>
            <w:r>
              <w:rPr>
                <w:rFonts w:ascii="宋体" w:hAnsi="宋体"/>
                <w:szCs w:val="21"/>
              </w:rPr>
              <w:t>考察</w:t>
            </w:r>
          </w:p>
        </w:tc>
        <w:tc>
          <w:tcPr>
            <w:tcW w:w="7442" w:type="dxa"/>
            <w:vAlign w:val="center"/>
          </w:tcPr>
          <w:p>
            <w:pPr>
              <w:spacing w:line="400" w:lineRule="exact"/>
              <w:ind w:firstLine="420"/>
              <w:rPr>
                <w:rFonts w:ascii="宋体" w:hAnsi="宋体"/>
                <w:szCs w:val="21"/>
              </w:rPr>
            </w:pPr>
            <w:r>
              <w:rPr>
                <w:rFonts w:ascii="宋体" w:hAnsi="宋体"/>
                <w:szCs w:val="21"/>
              </w:rPr>
              <w:object>
                <v:shape id="_x0000_i1029" o:spt="201" alt="" type="#_x0000_t201" style="height:15.75pt;width:11.25pt;" o:ole="t" filled="f" o:preferrelative="t" stroked="f" coordsize="21600,21600">
                  <v:path/>
                  <v:fill on="f" focussize="0,0"/>
                  <v:stroke on="f"/>
                  <v:imagedata r:id="rId20" o:title=""/>
                  <o:lock v:ext="edit" aspectratio="t"/>
                  <w10:wrap type="none"/>
                  <w10:anchorlock/>
                </v:shape>
                <w:control r:id="rId19" w:name="Control 5" w:shapeid="_x0000_i1029"/>
              </w:object>
            </w:r>
            <w:r>
              <w:rPr>
                <w:rFonts w:hint="eastAsia" w:ascii="宋体" w:hAnsi="宋体"/>
                <w:szCs w:val="21"/>
              </w:rPr>
              <w:t xml:space="preserve">  不组织</w:t>
            </w:r>
          </w:p>
          <w:p>
            <w:pPr>
              <w:spacing w:line="400" w:lineRule="exact"/>
              <w:ind w:firstLine="420"/>
              <w:rPr>
                <w:rFonts w:ascii="宋体" w:hAnsi="宋体"/>
                <w:szCs w:val="21"/>
              </w:rPr>
            </w:pPr>
            <w:r>
              <w:rPr>
                <w:rFonts w:ascii="宋体" w:hAnsi="宋体"/>
                <w:szCs w:val="21"/>
              </w:rPr>
              <w:object>
                <v:shape id="_x0000_i1030" o:spt="201" alt="" type="#_x0000_t201" style="height:15.75pt;width:11.25pt;" o:ole="t" filled="f" o:preferrelative="t" stroked="f" coordsize="21600,21600">
                  <v:path/>
                  <v:fill on="f" focussize="0,0"/>
                  <v:stroke on="f"/>
                  <v:imagedata r:id="rId22" o:title=""/>
                  <o:lock v:ext="edit" aspectratio="t"/>
                  <w10:wrap type="none"/>
                  <w10:anchorlock/>
                </v:shape>
                <w:control r:id="rId21" w:name="Control 6" w:shapeid="_x0000_i1030"/>
              </w:object>
            </w:r>
            <w:r>
              <w:rPr>
                <w:rFonts w:hint="eastAsia" w:ascii="宋体" w:hAnsi="宋体"/>
                <w:szCs w:val="21"/>
              </w:rPr>
              <w:t xml:space="preserve">  组织       考察时间：</w:t>
            </w:r>
          </w:p>
          <w:p>
            <w:pPr>
              <w:spacing w:line="400" w:lineRule="exact"/>
              <w:ind w:firstLine="1995" w:firstLineChars="950"/>
              <w:rPr>
                <w:rFonts w:ascii="宋体" w:hAnsi="宋体"/>
                <w:szCs w:val="21"/>
              </w:rPr>
            </w:pPr>
            <w:r>
              <w:rPr>
                <w:rFonts w:hint="eastAsia" w:ascii="宋体" w:hAnsi="宋体"/>
                <w:szCs w:val="21"/>
              </w:rPr>
              <w:t>考察集中地点：</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2.14</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是否退还投标文件</w:t>
            </w:r>
          </w:p>
        </w:tc>
        <w:tc>
          <w:tcPr>
            <w:tcW w:w="7442" w:type="dxa"/>
            <w:vAlign w:val="center"/>
          </w:tcPr>
          <w:p>
            <w:pPr>
              <w:spacing w:line="400" w:lineRule="exact"/>
              <w:ind w:firstLine="420"/>
              <w:rPr>
                <w:rFonts w:ascii="宋体" w:hAnsi="宋体"/>
                <w:szCs w:val="21"/>
              </w:rPr>
            </w:pPr>
            <w:r>
              <w:rPr>
                <w:rFonts w:ascii="宋体" w:hAnsi="宋体"/>
                <w:szCs w:val="21"/>
              </w:rPr>
              <w:object>
                <v:shape id="_x0000_i1031" o:spt="201" alt="" type="#_x0000_t201" style="height:15.75pt;width:11.25pt;" o:ole="t" filled="f" o:preferrelative="t" stroked="f" coordsize="21600,21600">
                  <v:path/>
                  <v:fill on="f" focussize="0,0"/>
                  <v:stroke on="f"/>
                  <v:imagedata r:id="rId24" o:title=""/>
                  <o:lock v:ext="edit" aspectratio="t"/>
                  <w10:wrap type="none"/>
                  <w10:anchorlock/>
                </v:shape>
                <w:control r:id="rId23" w:name="Control 7" w:shapeid="_x0000_i1031"/>
              </w:object>
            </w:r>
            <w:r>
              <w:rPr>
                <w:rFonts w:hint="eastAsia" w:ascii="宋体" w:hAnsi="宋体"/>
                <w:szCs w:val="21"/>
              </w:rPr>
              <w:t xml:space="preserve">  否</w:t>
            </w:r>
          </w:p>
          <w:p>
            <w:pPr>
              <w:spacing w:line="400" w:lineRule="exact"/>
              <w:ind w:firstLine="420"/>
              <w:rPr>
                <w:rFonts w:ascii="宋体" w:hAnsi="宋体"/>
                <w:szCs w:val="21"/>
              </w:rPr>
            </w:pPr>
            <w:r>
              <w:rPr>
                <w:rFonts w:ascii="宋体" w:hAnsi="宋体"/>
                <w:szCs w:val="21"/>
              </w:rPr>
              <w:object>
                <v:shape id="_x0000_i1032" o:spt="201" alt="" type="#_x0000_t201" style="height:15.75pt;width:11.25pt;" o:ole="t" filled="f" o:preferrelative="t" stroked="f" coordsize="21600,21600">
                  <v:path/>
                  <v:fill on="f" focussize="0,0"/>
                  <v:stroke on="f"/>
                  <v:imagedata r:id="rId26" o:title=""/>
                  <o:lock v:ext="edit" aspectratio="t"/>
                  <w10:wrap type="none"/>
                  <w10:anchorlock/>
                </v:shape>
                <w:control r:id="rId25" w:name="Control 8" w:shapeid="_x0000_i1032"/>
              </w:object>
            </w:r>
            <w:r>
              <w:rPr>
                <w:rFonts w:hint="eastAsia" w:ascii="宋体" w:hAnsi="宋体"/>
                <w:szCs w:val="21"/>
              </w:rPr>
              <w:t xml:space="preserve">  是</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2.15</w:t>
            </w:r>
          </w:p>
        </w:tc>
        <w:tc>
          <w:tcPr>
            <w:tcW w:w="1418" w:type="dxa"/>
            <w:vAlign w:val="center"/>
          </w:tcPr>
          <w:p>
            <w:pPr>
              <w:spacing w:line="400" w:lineRule="exact"/>
              <w:ind w:firstLine="0" w:firstLineChars="0"/>
              <w:jc w:val="center"/>
              <w:rPr>
                <w:rFonts w:ascii="宋体" w:hAnsi="宋体"/>
                <w:szCs w:val="21"/>
              </w:rPr>
            </w:pPr>
            <w:r>
              <w:rPr>
                <w:rFonts w:ascii="宋体" w:hAnsi="宋体"/>
                <w:szCs w:val="21"/>
              </w:rPr>
              <w:t>招标公告的发布</w:t>
            </w:r>
          </w:p>
        </w:tc>
        <w:tc>
          <w:tcPr>
            <w:tcW w:w="7442" w:type="dxa"/>
            <w:vAlign w:val="center"/>
          </w:tcPr>
          <w:p>
            <w:pPr>
              <w:spacing w:line="400" w:lineRule="exact"/>
              <w:ind w:firstLine="420"/>
              <w:rPr>
                <w:rFonts w:ascii="宋体" w:hAnsi="宋体"/>
                <w:szCs w:val="21"/>
              </w:rPr>
            </w:pPr>
            <w:r>
              <w:rPr>
                <w:rFonts w:hint="eastAsia" w:ascii="宋体" w:hAnsi="宋体"/>
                <w:szCs w:val="21"/>
              </w:rPr>
              <w:t>本项目时间安排以甘肃政府采购网发布信息为准。</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2.16</w:t>
            </w:r>
          </w:p>
        </w:tc>
        <w:tc>
          <w:tcPr>
            <w:tcW w:w="1418" w:type="dxa"/>
            <w:vAlign w:val="center"/>
          </w:tcPr>
          <w:p>
            <w:pPr>
              <w:spacing w:line="400" w:lineRule="exact"/>
              <w:ind w:firstLine="0" w:firstLineChars="0"/>
              <w:jc w:val="center"/>
              <w:rPr>
                <w:rFonts w:ascii="宋体" w:hAnsi="宋体"/>
                <w:szCs w:val="21"/>
              </w:rPr>
            </w:pPr>
            <w:r>
              <w:rPr>
                <w:rFonts w:hint="eastAsia" w:ascii="宋体" w:hAnsi="宋体"/>
                <w:szCs w:val="21"/>
              </w:rPr>
              <w:t>供应商</w:t>
            </w:r>
            <w:r>
              <w:rPr>
                <w:rFonts w:ascii="宋体" w:hAnsi="宋体"/>
                <w:szCs w:val="21"/>
              </w:rPr>
              <w:t>家数计算</w:t>
            </w:r>
          </w:p>
        </w:tc>
        <w:tc>
          <w:tcPr>
            <w:tcW w:w="7442" w:type="dxa"/>
            <w:vAlign w:val="center"/>
          </w:tcPr>
          <w:p>
            <w:pPr>
              <w:spacing w:line="400" w:lineRule="exact"/>
              <w:ind w:firstLine="420"/>
              <w:rPr>
                <w:rFonts w:ascii="宋体" w:hAnsi="宋体"/>
                <w:szCs w:val="21"/>
              </w:rPr>
            </w:pPr>
            <w:r>
              <w:rPr>
                <w:rFonts w:hint="eastAsia" w:ascii="宋体" w:hAnsi="宋体"/>
                <w:szCs w:val="21"/>
              </w:rPr>
              <w:t>按照政府采购货物和服务招标投标管理办法（财政部令第87号）第三十一条执行。</w:t>
            </w:r>
          </w:p>
          <w:p>
            <w:pPr>
              <w:spacing w:line="400" w:lineRule="exact"/>
              <w:ind w:firstLine="420"/>
              <w:rPr>
                <w:rFonts w:ascii="宋体" w:hAnsi="宋体"/>
                <w:szCs w:val="21"/>
              </w:rPr>
            </w:pPr>
            <w:r>
              <w:rPr>
                <w:rFonts w:hint="eastAsia" w:ascii="宋体" w:hAnsi="宋体"/>
                <w:szCs w:val="21"/>
              </w:rPr>
              <w:t>详见投标人须知3.6.3</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2168"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2.17</w:t>
            </w:r>
          </w:p>
        </w:tc>
        <w:tc>
          <w:tcPr>
            <w:tcW w:w="1418" w:type="dxa"/>
            <w:vAlign w:val="center"/>
          </w:tcPr>
          <w:p>
            <w:pPr>
              <w:spacing w:line="400" w:lineRule="exact"/>
              <w:ind w:firstLine="0" w:firstLineChars="0"/>
              <w:jc w:val="center"/>
              <w:rPr>
                <w:rFonts w:ascii="宋体" w:hAnsi="宋体"/>
                <w:color w:val="000000"/>
                <w:szCs w:val="21"/>
              </w:rPr>
            </w:pPr>
            <w:r>
              <w:rPr>
                <w:rFonts w:ascii="宋体" w:hAnsi="宋体"/>
                <w:color w:val="000000"/>
                <w:szCs w:val="21"/>
              </w:rPr>
              <w:t>需要落实的政府采购政策</w:t>
            </w:r>
          </w:p>
        </w:tc>
        <w:tc>
          <w:tcPr>
            <w:tcW w:w="7442" w:type="dxa"/>
            <w:vAlign w:val="center"/>
          </w:tcPr>
          <w:p>
            <w:pPr>
              <w:spacing w:line="400" w:lineRule="exact"/>
              <w:ind w:firstLine="420"/>
              <w:rPr>
                <w:rFonts w:ascii="宋体" w:hAnsi="宋体"/>
                <w:color w:val="000000"/>
                <w:szCs w:val="21"/>
              </w:rPr>
            </w:pPr>
            <w:r>
              <w:rPr>
                <w:rFonts w:hint="eastAsia" w:ascii="宋体" w:hAnsi="宋体"/>
                <w:color w:val="000000"/>
                <w:szCs w:val="21"/>
              </w:rPr>
              <w:t>本项目对小型和微型企业产品价格的扣除比例：6%</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967" w:type="dxa"/>
            <w:vAlign w:val="center"/>
          </w:tcPr>
          <w:p>
            <w:pPr>
              <w:ind w:firstLine="0" w:firstLineChars="0"/>
              <w:jc w:val="center"/>
              <w:rPr>
                <w:rFonts w:ascii="宋体" w:hAnsi="宋体"/>
                <w:szCs w:val="21"/>
              </w:rPr>
            </w:pPr>
            <w:r>
              <w:rPr>
                <w:rFonts w:hint="eastAsia" w:ascii="宋体" w:hAnsi="宋体"/>
                <w:szCs w:val="21"/>
              </w:rPr>
              <w:t>2.18</w:t>
            </w:r>
          </w:p>
        </w:tc>
        <w:tc>
          <w:tcPr>
            <w:tcW w:w="1418" w:type="dxa"/>
            <w:vAlign w:val="center"/>
          </w:tcPr>
          <w:p>
            <w:pPr>
              <w:spacing w:line="400" w:lineRule="exact"/>
              <w:ind w:firstLine="0" w:firstLineChars="0"/>
              <w:jc w:val="center"/>
              <w:rPr>
                <w:rFonts w:ascii="宋体" w:hAnsi="宋体"/>
                <w:color w:val="000000"/>
                <w:szCs w:val="21"/>
              </w:rPr>
            </w:pPr>
            <w:r>
              <w:rPr>
                <w:rFonts w:hint="eastAsia" w:ascii="宋体" w:hAnsi="宋体"/>
                <w:color w:val="000000"/>
                <w:szCs w:val="21"/>
              </w:rPr>
              <w:t>招标代理费</w:t>
            </w:r>
          </w:p>
        </w:tc>
        <w:tc>
          <w:tcPr>
            <w:tcW w:w="7442" w:type="dxa"/>
            <w:vAlign w:val="center"/>
          </w:tcPr>
          <w:p>
            <w:pPr>
              <w:spacing w:line="400" w:lineRule="exact"/>
              <w:ind w:firstLine="420"/>
              <w:rPr>
                <w:rFonts w:ascii="宋体" w:hAnsi="宋体"/>
                <w:color w:val="000000"/>
                <w:szCs w:val="21"/>
              </w:rPr>
            </w:pPr>
            <w:r>
              <w:rPr>
                <w:rFonts w:ascii="宋体" w:hAnsi="宋体"/>
                <w:color w:val="000000"/>
                <w:szCs w:val="21"/>
              </w:rPr>
              <w:object>
                <v:shape id="_x0000_i1033" o:spt="201" alt="" type="#_x0000_t201" style="height:18pt;width:11.25pt;" o:ole="t" filled="f" o:preferrelative="t" stroked="f" coordsize="21600,21600">
                  <v:path/>
                  <v:fill on="f" focussize="0,0"/>
                  <v:stroke on="f"/>
                  <v:imagedata r:id="rId28" o:title=""/>
                  <o:lock v:ext="edit" aspectratio="t"/>
                  <w10:wrap type="none"/>
                  <w10:anchorlock/>
                </v:shape>
                <w:control r:id="rId27" w:name="Control 9" w:shapeid="_x0000_i1033"/>
              </w:object>
            </w:r>
            <w:r>
              <w:rPr>
                <w:rFonts w:hint="eastAsia" w:ascii="宋体" w:hAnsi="宋体"/>
                <w:color w:val="000000"/>
                <w:szCs w:val="21"/>
              </w:rPr>
              <w:t>本项目的招标代理费由</w:t>
            </w:r>
            <w:r>
              <w:rPr>
                <w:rFonts w:hint="eastAsia" w:ascii="宋体" w:hAnsi="宋体"/>
                <w:color w:val="000000"/>
                <w:szCs w:val="21"/>
                <w:u w:val="single"/>
              </w:rPr>
              <w:t>中标人</w:t>
            </w:r>
            <w:r>
              <w:rPr>
                <w:rFonts w:hint="eastAsia" w:ascii="宋体" w:hAnsi="宋体"/>
                <w:color w:val="000000"/>
                <w:szCs w:val="21"/>
              </w:rPr>
              <w:t>支付</w:t>
            </w:r>
          </w:p>
          <w:p>
            <w:pPr>
              <w:spacing w:line="400" w:lineRule="exact"/>
              <w:ind w:firstLine="420"/>
              <w:rPr>
                <w:rFonts w:ascii="宋体" w:hAnsi="宋体"/>
                <w:color w:val="000000"/>
                <w:szCs w:val="21"/>
              </w:rPr>
            </w:pPr>
            <w:r>
              <w:rPr>
                <w:rFonts w:ascii="宋体" w:hAnsi="宋体"/>
                <w:color w:val="000000"/>
                <w:szCs w:val="21"/>
              </w:rPr>
              <w:object>
                <v:shape id="_x0000_i1034" o:spt="201" alt="" type="#_x0000_t201" style="height:18pt;width:11.25pt;" o:ole="t" filled="f" o:preferrelative="t" stroked="f" coordsize="21600,21600">
                  <v:path/>
                  <v:fill on="f" focussize="0,0"/>
                  <v:stroke on="f"/>
                  <v:imagedata r:id="rId30" o:title=""/>
                  <o:lock v:ext="edit" aspectratio="t"/>
                  <w10:wrap type="none"/>
                  <w10:anchorlock/>
                </v:shape>
                <w:control r:id="rId29" w:name="Control 10" w:shapeid="_x0000_i1034"/>
              </w:object>
            </w:r>
            <w:r>
              <w:rPr>
                <w:rFonts w:hint="eastAsia" w:ascii="宋体" w:hAnsi="宋体"/>
                <w:color w:val="000000"/>
                <w:szCs w:val="21"/>
              </w:rPr>
              <w:t>本项目的招标代理费由</w:t>
            </w:r>
            <w:r>
              <w:rPr>
                <w:rFonts w:hint="eastAsia" w:ascii="宋体" w:hAnsi="宋体"/>
                <w:color w:val="000000"/>
                <w:szCs w:val="21"/>
                <w:u w:val="single"/>
              </w:rPr>
              <w:t>采购人</w:t>
            </w:r>
            <w:r>
              <w:rPr>
                <w:rFonts w:hint="eastAsia" w:ascii="宋体" w:hAnsi="宋体"/>
                <w:color w:val="000000"/>
                <w:szCs w:val="21"/>
              </w:rPr>
              <w:t>支付</w:t>
            </w:r>
          </w:p>
          <w:p>
            <w:pPr>
              <w:spacing w:line="400" w:lineRule="exact"/>
              <w:ind w:firstLine="420"/>
              <w:rPr>
                <w:rFonts w:ascii="宋体" w:hAnsi="宋体"/>
                <w:color w:val="000000"/>
                <w:szCs w:val="21"/>
              </w:rPr>
            </w:pPr>
            <w:r>
              <w:rPr>
                <w:rFonts w:hint="eastAsia" w:ascii="宋体" w:hAnsi="宋体"/>
                <w:color w:val="000000"/>
                <w:szCs w:val="21"/>
              </w:rPr>
              <w:t>收费标准详见投标人须知3.11</w:t>
            </w:r>
          </w:p>
        </w:tc>
      </w:tr>
    </w:tbl>
    <w:p>
      <w:pPr>
        <w:ind w:firstLine="420"/>
      </w:pPr>
    </w:p>
    <w:p>
      <w:pPr>
        <w:pStyle w:val="2"/>
        <w:ind w:firstLine="643"/>
        <w:rPr>
          <w:kern w:val="2"/>
        </w:rPr>
      </w:pPr>
      <w:r>
        <w:br w:type="page"/>
      </w:r>
      <w:bookmarkStart w:id="7" w:name="_Toc493008664"/>
      <w:bookmarkStart w:id="8" w:name="_Toc459622955"/>
      <w:bookmarkStart w:id="9" w:name="_Toc447207013"/>
      <w:bookmarkStart w:id="10" w:name="_Toc7470"/>
      <w:bookmarkStart w:id="11" w:name="_Toc447272150"/>
      <w:bookmarkStart w:id="12" w:name="_Toc239"/>
      <w:bookmarkStart w:id="13" w:name="_Toc139965332"/>
      <w:bookmarkStart w:id="14" w:name="_Toc128372058"/>
      <w:bookmarkStart w:id="15" w:name="_Toc128372736"/>
      <w:r>
        <w:rPr>
          <w:rFonts w:hint="eastAsia"/>
          <w:kern w:val="2"/>
        </w:rPr>
        <w:t>第三章  投标人须知</w:t>
      </w:r>
      <w:bookmarkEnd w:id="7"/>
      <w:bookmarkEnd w:id="8"/>
      <w:bookmarkEnd w:id="9"/>
      <w:bookmarkEnd w:id="10"/>
      <w:bookmarkEnd w:id="11"/>
      <w:bookmarkEnd w:id="12"/>
    </w:p>
    <w:p>
      <w:pPr>
        <w:pStyle w:val="3"/>
        <w:jc w:val="left"/>
        <w:rPr>
          <w:rFonts w:ascii="宋体" w:hAnsi="宋体"/>
          <w:szCs w:val="28"/>
        </w:rPr>
      </w:pPr>
      <w:bookmarkStart w:id="16" w:name="_Toc8243"/>
      <w:bookmarkStart w:id="17" w:name="_Toc18260"/>
      <w:bookmarkStart w:id="18" w:name="_Toc22594"/>
      <w:bookmarkStart w:id="19" w:name="_Toc459622956"/>
      <w:bookmarkStart w:id="20" w:name="_Toc493008665"/>
      <w:bookmarkStart w:id="21" w:name="_Toc447207014"/>
      <w:bookmarkStart w:id="22" w:name="_Toc447272151"/>
      <w:bookmarkStart w:id="23" w:name="_Toc25405"/>
      <w:r>
        <w:rPr>
          <w:rFonts w:hint="eastAsia" w:ascii="宋体" w:hAnsi="宋体"/>
          <w:szCs w:val="28"/>
        </w:rPr>
        <w:t>3.1 招标文件涉及术语的内涵及解释</w:t>
      </w:r>
      <w:bookmarkEnd w:id="16"/>
      <w:bookmarkEnd w:id="17"/>
      <w:bookmarkEnd w:id="18"/>
      <w:bookmarkEnd w:id="19"/>
      <w:bookmarkEnd w:id="20"/>
      <w:bookmarkEnd w:id="21"/>
      <w:bookmarkEnd w:id="22"/>
      <w:bookmarkEnd w:id="23"/>
    </w:p>
    <w:p>
      <w:pPr>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 “政府采购当事人”是指在政府采购活动中享有权利和承担义务的各类主体，包括采购人、供应商和采购代理机构等。</w:t>
      </w:r>
    </w:p>
    <w:p>
      <w:pPr>
        <w:ind w:firstLine="480"/>
        <w:rPr>
          <w:sz w:val="24"/>
        </w:rPr>
      </w:pPr>
      <w:r>
        <w:rPr>
          <w:rFonts w:hint="eastAsia" w:ascii="宋体" w:hAnsi="宋体"/>
          <w:sz w:val="24"/>
        </w:rPr>
        <w:t>（2） “采购人”和“需方”是指依法进行政府采购的国家机关、事业单位、团体组织。本项目是指</w:t>
      </w:r>
      <w:r>
        <w:rPr>
          <w:rFonts w:hint="eastAsia" w:ascii="宋体" w:hAnsi="宋体"/>
          <w:sz w:val="24"/>
          <w:szCs w:val="24"/>
        </w:rPr>
        <w:t>会宁县第二人民医院</w:t>
      </w:r>
      <w:r>
        <w:rPr>
          <w:rFonts w:hint="eastAsia" w:ascii="宋体" w:hAnsi="宋体"/>
          <w:sz w:val="24"/>
        </w:rPr>
        <w:t>。</w:t>
      </w:r>
    </w:p>
    <w:p>
      <w:pPr>
        <w:ind w:firstLine="480"/>
        <w:rPr>
          <w:rFonts w:ascii="宋体"/>
          <w:sz w:val="24"/>
          <w:szCs w:val="30"/>
          <w:u w:val="single"/>
        </w:rPr>
      </w:pPr>
      <w:r>
        <w:rPr>
          <w:rFonts w:hint="eastAsia" w:ascii="宋体" w:hAnsi="宋体"/>
          <w:sz w:val="24"/>
        </w:rPr>
        <w:t>（3）“招标人”是指</w:t>
      </w:r>
      <w:r>
        <w:rPr>
          <w:rFonts w:hint="eastAsia" w:ascii="宋体" w:hAnsi="宋体"/>
          <w:sz w:val="24"/>
          <w:szCs w:val="24"/>
        </w:rPr>
        <w:t>会宁县第二人民医院</w:t>
      </w:r>
      <w:r>
        <w:rPr>
          <w:rFonts w:hint="eastAsia" w:ascii="宋体" w:hAnsi="宋体"/>
          <w:sz w:val="24"/>
        </w:rPr>
        <w:t>和甘肃源和工程咨询有限公司。</w:t>
      </w:r>
    </w:p>
    <w:p>
      <w:pPr>
        <w:ind w:firstLine="480"/>
        <w:rPr>
          <w:rFonts w:ascii="宋体"/>
          <w:sz w:val="24"/>
        </w:rPr>
      </w:pPr>
      <w:r>
        <w:rPr>
          <w:rFonts w:hint="eastAsia" w:ascii="宋体" w:hAnsi="宋体"/>
          <w:sz w:val="24"/>
        </w:rPr>
        <w:t>（4）“投标人”是指向本次招标人提交投标文件的供应商。</w:t>
      </w:r>
    </w:p>
    <w:p>
      <w:pPr>
        <w:ind w:firstLine="480"/>
        <w:rPr>
          <w:rFonts w:ascii="宋体"/>
          <w:sz w:val="24"/>
        </w:rPr>
      </w:pPr>
      <w:r>
        <w:rPr>
          <w:rFonts w:hint="eastAsia" w:ascii="宋体" w:hAnsi="宋体"/>
          <w:sz w:val="24"/>
        </w:rPr>
        <w:t>（5）“供应商”是指向采购人提供货物、工程或者服务的法人、其他组织或者自然人。</w:t>
      </w:r>
    </w:p>
    <w:p>
      <w:pPr>
        <w:ind w:firstLine="480"/>
        <w:rPr>
          <w:rFonts w:ascii="宋体"/>
          <w:color w:val="000000"/>
          <w:sz w:val="24"/>
        </w:rPr>
      </w:pPr>
      <w:r>
        <w:rPr>
          <w:rFonts w:hint="eastAsia" w:ascii="宋体" w:hAnsi="宋体"/>
          <w:color w:val="000000"/>
          <w:sz w:val="24"/>
        </w:rPr>
        <w:t>（6）“招标文件”是指由招标人发出的文本、文件，包括全部章节和附件及答疑会议纪要及其他相关补充材料和相关变更内容。</w:t>
      </w:r>
    </w:p>
    <w:p>
      <w:pPr>
        <w:ind w:firstLine="480"/>
        <w:rPr>
          <w:rFonts w:ascii="宋体"/>
          <w:color w:val="000000"/>
          <w:sz w:val="24"/>
        </w:rPr>
      </w:pPr>
      <w:r>
        <w:rPr>
          <w:rFonts w:hint="eastAsia" w:ascii="宋体" w:hAnsi="宋体"/>
          <w:color w:val="000000"/>
          <w:sz w:val="24"/>
        </w:rPr>
        <w:t>（7）“投标文件”是指投标人根据本招标文件向招标人提交的全部文件。</w:t>
      </w:r>
    </w:p>
    <w:p>
      <w:pPr>
        <w:ind w:firstLine="480"/>
        <w:rPr>
          <w:rFonts w:ascii="宋体"/>
          <w:color w:val="000000"/>
          <w:sz w:val="24"/>
        </w:rPr>
      </w:pPr>
      <w:r>
        <w:rPr>
          <w:rFonts w:hint="eastAsia" w:ascii="宋体" w:hAnsi="宋体"/>
          <w:color w:val="000000"/>
          <w:sz w:val="24"/>
        </w:rPr>
        <w:t>（8）“采购文件”是指包括采购活动记录、采购预算、招标文件、投标文件、评标标准、评标报告、定标文件、合同文本、验收证明、质疑答复、投诉处理决定及其他有关文件、资料。</w:t>
      </w:r>
    </w:p>
    <w:p>
      <w:pPr>
        <w:ind w:firstLine="480"/>
        <w:rPr>
          <w:rFonts w:ascii="宋体"/>
          <w:color w:val="000000"/>
          <w:sz w:val="24"/>
        </w:rPr>
      </w:pPr>
      <w:r>
        <w:rPr>
          <w:rFonts w:hint="eastAsia" w:ascii="宋体" w:hAnsi="宋体"/>
          <w:color w:val="000000"/>
          <w:sz w:val="24"/>
        </w:rPr>
        <w:t>（9）“货物”是指投标人中标后根据招标文件和合同的规定须向采购人提供的各种形态和种类的物品，包括原材料、燃料、设备等。</w:t>
      </w:r>
    </w:p>
    <w:p>
      <w:pPr>
        <w:ind w:firstLine="480"/>
        <w:rPr>
          <w:rFonts w:ascii="宋体"/>
          <w:color w:val="000000"/>
          <w:sz w:val="24"/>
        </w:rPr>
      </w:pPr>
      <w:r>
        <w:rPr>
          <w:rFonts w:hint="eastAsia" w:ascii="宋体" w:hAnsi="宋体"/>
          <w:color w:val="000000"/>
          <w:sz w:val="24"/>
        </w:rPr>
        <w:t>（10）“工程”是指建设工程，包括建筑物和构筑物的新建、改建、扩建、装修、拆除、修缮等。</w:t>
      </w:r>
    </w:p>
    <w:p>
      <w:pPr>
        <w:ind w:firstLine="480"/>
        <w:rPr>
          <w:rFonts w:ascii="宋体"/>
          <w:color w:val="000000"/>
          <w:sz w:val="24"/>
        </w:rPr>
      </w:pPr>
      <w:r>
        <w:rPr>
          <w:rFonts w:hint="eastAsia" w:ascii="宋体" w:hAnsi="宋体"/>
          <w:color w:val="000000"/>
          <w:sz w:val="24"/>
        </w:rPr>
        <w:t>（11）“服务”是指投标人中标后根据招标文件和合同的规定承担与供货、安装有关的服务，包括运输、仓储、保险以及其它的伴随服务，如售后、维修、更换和应承担的其它义务。</w:t>
      </w:r>
    </w:p>
    <w:p>
      <w:pPr>
        <w:ind w:firstLine="480"/>
        <w:rPr>
          <w:rFonts w:ascii="宋体"/>
          <w:color w:val="000000"/>
          <w:sz w:val="24"/>
        </w:rPr>
      </w:pPr>
      <w:r>
        <w:rPr>
          <w:rFonts w:hint="eastAsia" w:ascii="宋体" w:hAnsi="宋体"/>
          <w:color w:val="000000"/>
          <w:sz w:val="24"/>
        </w:rPr>
        <w:t>（12）“自主创新产品”是指纳入财政部公布的《政府采购自主创新产品目录》</w:t>
      </w:r>
      <w:r>
        <w:rPr>
          <w:rFonts w:ascii="宋体" w:hAnsi="宋体"/>
          <w:color w:val="000000"/>
          <w:sz w:val="24"/>
        </w:rPr>
        <w:t>(</w:t>
      </w:r>
      <w:r>
        <w:rPr>
          <w:rFonts w:hint="eastAsia" w:ascii="宋体" w:hAnsi="宋体"/>
          <w:color w:val="000000"/>
          <w:sz w:val="24"/>
        </w:rPr>
        <w:t>以下简称目录</w:t>
      </w:r>
      <w:r>
        <w:rPr>
          <w:rFonts w:ascii="宋体" w:hAnsi="宋体"/>
          <w:color w:val="000000"/>
          <w:sz w:val="24"/>
        </w:rPr>
        <w:t>)</w:t>
      </w:r>
      <w:r>
        <w:rPr>
          <w:rFonts w:hint="eastAsia" w:ascii="宋体" w:hAnsi="宋体"/>
          <w:color w:val="000000"/>
          <w:sz w:val="24"/>
        </w:rPr>
        <w:t>的货物和服务。目录由财政部会同科技部等有关部门在国家认定的自主创新产品范围内研究制订。</w:t>
      </w:r>
    </w:p>
    <w:p>
      <w:pPr>
        <w:ind w:firstLine="480"/>
        <w:rPr>
          <w:rFonts w:ascii="宋体"/>
          <w:color w:val="000000"/>
          <w:sz w:val="24"/>
        </w:rPr>
      </w:pPr>
      <w:r>
        <w:rPr>
          <w:rFonts w:hint="eastAsia" w:ascii="宋体" w:hAnsi="宋体"/>
          <w:color w:val="000000"/>
          <w:sz w:val="24"/>
        </w:rPr>
        <w:t>（13）“书面形式”是指任何手写、打印或印刷的各种函件，不包括电传、电报、传真、电子邮件。</w:t>
      </w:r>
      <w:bookmarkStart w:id="24" w:name="_Toc128372054"/>
      <w:bookmarkStart w:id="25" w:name="_Toc139965328"/>
      <w:bookmarkStart w:id="26" w:name="_Toc128372732"/>
    </w:p>
    <w:bookmarkEnd w:id="24"/>
    <w:bookmarkEnd w:id="25"/>
    <w:bookmarkEnd w:id="26"/>
    <w:p>
      <w:pPr>
        <w:pStyle w:val="3"/>
      </w:pPr>
      <w:bookmarkStart w:id="27" w:name="_Toc493008666"/>
      <w:bookmarkStart w:id="28" w:name="_Toc447272152"/>
      <w:bookmarkStart w:id="29" w:name="_Toc459622957"/>
      <w:bookmarkStart w:id="30" w:name="_Toc447207015"/>
      <w:bookmarkStart w:id="31" w:name="_Toc5317"/>
      <w:bookmarkStart w:id="32" w:name="_Toc23629"/>
      <w:bookmarkStart w:id="33" w:name="_Toc12927"/>
      <w:bookmarkStart w:id="34" w:name="_Toc17341"/>
      <w:r>
        <w:rPr>
          <w:rFonts w:hint="eastAsia"/>
        </w:rPr>
        <w:t>3.2 招标项目概况及投标人资格要求</w:t>
      </w:r>
      <w:bookmarkEnd w:id="27"/>
      <w:bookmarkEnd w:id="28"/>
      <w:bookmarkEnd w:id="29"/>
      <w:bookmarkEnd w:id="30"/>
      <w:bookmarkEnd w:id="31"/>
      <w:bookmarkEnd w:id="32"/>
      <w:bookmarkEnd w:id="33"/>
      <w:bookmarkEnd w:id="34"/>
    </w:p>
    <w:p>
      <w:pPr>
        <w:pStyle w:val="4"/>
        <w:ind w:firstLine="482"/>
      </w:pPr>
      <w:bookmarkStart w:id="35" w:name="_Toc10916"/>
      <w:bookmarkStart w:id="36" w:name="_Toc10391"/>
      <w:bookmarkStart w:id="37" w:name="_Toc3539"/>
      <w:bookmarkStart w:id="38" w:name="_Toc459622958"/>
      <w:bookmarkStart w:id="39" w:name="_Toc493008667"/>
      <w:bookmarkStart w:id="40" w:name="_Toc13299"/>
      <w:r>
        <w:rPr>
          <w:rFonts w:hint="eastAsia"/>
        </w:rPr>
        <w:t>3.2.1招标项目基本信息</w:t>
      </w:r>
      <w:bookmarkEnd w:id="35"/>
      <w:bookmarkEnd w:id="36"/>
      <w:bookmarkEnd w:id="37"/>
      <w:bookmarkEnd w:id="38"/>
      <w:bookmarkEnd w:id="39"/>
      <w:bookmarkEnd w:id="40"/>
    </w:p>
    <w:p>
      <w:pPr>
        <w:ind w:firstLine="480"/>
        <w:rPr>
          <w:rFonts w:ascii="宋体" w:hAnsi="宋体"/>
          <w:color w:val="000000"/>
          <w:sz w:val="24"/>
        </w:rPr>
      </w:pPr>
      <w:r>
        <w:rPr>
          <w:rFonts w:hint="eastAsia" w:ascii="宋体" w:hAnsi="宋体"/>
          <w:color w:val="000000"/>
          <w:sz w:val="24"/>
        </w:rPr>
        <w:t>详见投标人须知前附表2.1、2.2、2.3、2.4。</w:t>
      </w:r>
    </w:p>
    <w:p>
      <w:pPr>
        <w:pStyle w:val="4"/>
        <w:ind w:firstLine="482"/>
      </w:pPr>
      <w:bookmarkStart w:id="41" w:name="_Toc9922"/>
      <w:bookmarkStart w:id="42" w:name="_Toc26596"/>
      <w:bookmarkStart w:id="43" w:name="_Toc493008668"/>
      <w:bookmarkStart w:id="44" w:name="_Toc75"/>
      <w:bookmarkStart w:id="45" w:name="_Toc459622959"/>
      <w:bookmarkStart w:id="46" w:name="_Toc30308"/>
      <w:r>
        <w:rPr>
          <w:rFonts w:hint="eastAsia"/>
        </w:rPr>
        <w:t>3.2.2投标人资格要求</w:t>
      </w:r>
      <w:bookmarkEnd w:id="41"/>
      <w:bookmarkEnd w:id="42"/>
      <w:bookmarkEnd w:id="43"/>
      <w:bookmarkEnd w:id="44"/>
      <w:bookmarkEnd w:id="45"/>
      <w:bookmarkEnd w:id="46"/>
    </w:p>
    <w:p>
      <w:pPr>
        <w:ind w:firstLine="480"/>
        <w:jc w:val="left"/>
        <w:rPr>
          <w:rFonts w:ascii="宋体" w:hAnsi="宋体"/>
          <w:color w:val="000000"/>
          <w:sz w:val="24"/>
        </w:rPr>
      </w:pPr>
      <w:r>
        <w:rPr>
          <w:rFonts w:hint="eastAsia" w:ascii="宋体" w:hAnsi="宋体"/>
          <w:color w:val="000000"/>
          <w:sz w:val="24"/>
        </w:rPr>
        <w:t>详见投标人须知前附表2.5。</w:t>
      </w:r>
    </w:p>
    <w:bookmarkEnd w:id="13"/>
    <w:bookmarkEnd w:id="14"/>
    <w:bookmarkEnd w:id="15"/>
    <w:p>
      <w:pPr>
        <w:pStyle w:val="3"/>
        <w:rPr>
          <w:rFonts w:ascii="宋体" w:hAnsi="宋体"/>
        </w:rPr>
      </w:pPr>
      <w:bookmarkStart w:id="47" w:name="_Toc447272153"/>
      <w:bookmarkStart w:id="48" w:name="_Toc493008669"/>
      <w:bookmarkStart w:id="49" w:name="_Toc18534"/>
      <w:bookmarkStart w:id="50" w:name="_Toc3578"/>
      <w:bookmarkStart w:id="51" w:name="_Toc22889"/>
      <w:bookmarkStart w:id="52" w:name="_Toc459622960"/>
      <w:bookmarkStart w:id="53" w:name="_Toc447207016"/>
      <w:bookmarkStart w:id="54" w:name="_Toc23880"/>
      <w:r>
        <w:rPr>
          <w:rFonts w:hint="eastAsia" w:ascii="宋体" w:hAnsi="宋体"/>
        </w:rPr>
        <w:t>3.3招标</w:t>
      </w:r>
      <w:bookmarkEnd w:id="47"/>
      <w:bookmarkEnd w:id="48"/>
      <w:bookmarkEnd w:id="49"/>
      <w:bookmarkEnd w:id="50"/>
      <w:bookmarkEnd w:id="51"/>
      <w:bookmarkEnd w:id="52"/>
      <w:bookmarkEnd w:id="53"/>
      <w:bookmarkEnd w:id="54"/>
    </w:p>
    <w:p>
      <w:pPr>
        <w:pStyle w:val="4"/>
        <w:ind w:firstLine="482"/>
      </w:pPr>
      <w:bookmarkStart w:id="55" w:name="_Toc27618"/>
      <w:bookmarkStart w:id="56" w:name="_Toc493008670"/>
      <w:bookmarkStart w:id="57" w:name="_Toc19168"/>
      <w:bookmarkStart w:id="58" w:name="_Toc459622961"/>
      <w:bookmarkStart w:id="59" w:name="_Toc15947"/>
      <w:bookmarkStart w:id="60" w:name="_Toc10152"/>
      <w:r>
        <w:rPr>
          <w:rFonts w:hint="eastAsia"/>
        </w:rPr>
        <w:t>3.</w:t>
      </w:r>
      <w:r>
        <w:t xml:space="preserve">3.1 </w:t>
      </w:r>
      <w:r>
        <w:rPr>
          <w:rFonts w:hint="eastAsia"/>
        </w:rPr>
        <w:t>综合说明</w:t>
      </w:r>
      <w:bookmarkEnd w:id="55"/>
      <w:bookmarkEnd w:id="56"/>
      <w:bookmarkEnd w:id="57"/>
      <w:bookmarkEnd w:id="58"/>
      <w:bookmarkEnd w:id="59"/>
      <w:bookmarkEnd w:id="60"/>
    </w:p>
    <w:p>
      <w:pPr>
        <w:ind w:firstLine="480"/>
        <w:rPr>
          <w:rFonts w:ascii="宋体"/>
          <w:color w:val="000000"/>
          <w:sz w:val="24"/>
        </w:rPr>
      </w:pPr>
      <w:r>
        <w:rPr>
          <w:rFonts w:hint="eastAsia" w:ascii="宋体" w:hAnsi="宋体"/>
          <w:color w:val="000000"/>
          <w:sz w:val="24"/>
        </w:rPr>
        <w:t>本项目按照《中华人民共和国政府采购法》及相关法规，已办理招标申请，并得到行业主管部门审核批准，现通过招标来择优选定货物服务的供货商。本招标文件包括本文所列内容及按本须知发出的全部和补充资料。投标人应认真阅读和充分理解本招标文件中所有的事项、格式、条款、技术规范等实质性的条件和要求。投标人被视为充分熟悉本招标项目的全部内容及与履行合同有关的全部内容，熟悉招标文件的格式、条件和范围。投标人没有按照招标文件的要求提交相关资料，或者投标人没有对招标文件相关内容都做出实质性响应是投标人的风险，并可能导致其投标无效,其风险自行承担。</w:t>
      </w:r>
    </w:p>
    <w:p>
      <w:pPr>
        <w:pStyle w:val="4"/>
        <w:spacing w:before="156" w:after="156"/>
        <w:ind w:firstLine="482"/>
      </w:pPr>
      <w:bookmarkStart w:id="61" w:name="_Toc493008671"/>
      <w:bookmarkStart w:id="62" w:name="_Toc28244"/>
      <w:bookmarkStart w:id="63" w:name="_Toc459622962"/>
      <w:bookmarkStart w:id="64" w:name="_Toc6595"/>
      <w:bookmarkStart w:id="65" w:name="_Toc18249"/>
      <w:bookmarkStart w:id="66" w:name="_Toc5856"/>
      <w:r>
        <w:rPr>
          <w:rFonts w:hint="eastAsia"/>
        </w:rPr>
        <w:t>3.</w:t>
      </w:r>
      <w:r>
        <w:t xml:space="preserve">3.2 </w:t>
      </w:r>
      <w:r>
        <w:rPr>
          <w:rFonts w:hint="eastAsia"/>
        </w:rPr>
        <w:t xml:space="preserve"> 招标公告时间</w:t>
      </w:r>
      <w:bookmarkEnd w:id="61"/>
      <w:bookmarkEnd w:id="62"/>
    </w:p>
    <w:p>
      <w:pPr>
        <w:ind w:firstLine="480"/>
        <w:rPr>
          <w:rFonts w:ascii="宋体" w:hAnsi="宋体"/>
          <w:color w:val="000000"/>
          <w:sz w:val="24"/>
        </w:rPr>
      </w:pPr>
      <w:r>
        <w:rPr>
          <w:rFonts w:hint="eastAsia" w:ascii="宋体" w:hAnsi="宋体"/>
          <w:color w:val="000000"/>
          <w:sz w:val="24"/>
        </w:rPr>
        <w:t>按照《政府采购信息公告管理办法》中华人民共和国财政部令第19号 第三章第十八条在各政府采购信息指定发布媒体上公告同一政府采购信息的时间不一致的，以在财政部指定的政府采购信息发布媒体上最早公告信息的时间为公告时间和政府采购当事人对有关事项应当知道的时间。</w:t>
      </w:r>
    </w:p>
    <w:p>
      <w:pPr>
        <w:pStyle w:val="4"/>
        <w:spacing w:before="156" w:after="156"/>
        <w:ind w:firstLine="482"/>
      </w:pPr>
      <w:bookmarkStart w:id="67" w:name="_Toc493008672"/>
      <w:bookmarkStart w:id="68" w:name="_Toc28"/>
      <w:r>
        <w:rPr>
          <w:rFonts w:hint="eastAsia"/>
        </w:rPr>
        <w:t>3.3.3  招标文件的构成</w:t>
      </w:r>
      <w:bookmarkEnd w:id="63"/>
      <w:bookmarkEnd w:id="64"/>
      <w:bookmarkEnd w:id="65"/>
      <w:bookmarkEnd w:id="66"/>
      <w:bookmarkEnd w:id="67"/>
      <w:bookmarkEnd w:id="68"/>
    </w:p>
    <w:p>
      <w:pPr>
        <w:ind w:firstLine="480"/>
        <w:rPr>
          <w:rFonts w:ascii="宋体"/>
          <w:color w:val="000000"/>
          <w:sz w:val="24"/>
        </w:rPr>
      </w:pPr>
      <w:r>
        <w:rPr>
          <w:rFonts w:hint="eastAsia" w:ascii="宋体" w:hAnsi="宋体"/>
          <w:color w:val="000000"/>
          <w:sz w:val="24"/>
        </w:rPr>
        <w:t>招标文件用以阐明招标项目所需的资质、技术、服务及报价等要求、招标投标程序、有关规定和注意事项以及合同主要条款等。本招标文件包括以下内容：</w:t>
      </w:r>
    </w:p>
    <w:p>
      <w:pPr>
        <w:ind w:firstLine="48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）招标公告；</w:t>
      </w:r>
    </w:p>
    <w:p>
      <w:pPr>
        <w:ind w:firstLine="48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）投标人须知前附表；</w:t>
      </w:r>
    </w:p>
    <w:p>
      <w:pPr>
        <w:ind w:firstLine="48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）投标人须知；</w:t>
      </w:r>
    </w:p>
    <w:p>
      <w:pPr>
        <w:ind w:firstLine="480"/>
        <w:rPr>
          <w:rFonts w:ascii="宋体" w:hAnsi="宋体"/>
          <w:color w:val="000000"/>
          <w:sz w:val="24"/>
        </w:rPr>
      </w:pPr>
      <w:r>
        <w:rPr>
          <w:rFonts w:hint="eastAsia" w:ascii="宋体" w:hAnsi="宋体"/>
          <w:color w:val="000000"/>
          <w:sz w:val="24"/>
        </w:rPr>
        <w:t>（4）项目需求；</w:t>
      </w:r>
    </w:p>
    <w:p>
      <w:pPr>
        <w:ind w:firstLine="480"/>
        <w:rPr>
          <w:rFonts w:ascii="宋体" w:hAnsi="宋体"/>
          <w:color w:val="000000"/>
          <w:sz w:val="24"/>
        </w:rPr>
      </w:pPr>
      <w:r>
        <w:rPr>
          <w:rFonts w:hint="eastAsia" w:ascii="宋体" w:hAnsi="宋体"/>
          <w:color w:val="000000"/>
          <w:sz w:val="24"/>
        </w:rPr>
        <w:t>（5）评标办法；</w:t>
      </w:r>
    </w:p>
    <w:p>
      <w:pPr>
        <w:ind w:firstLine="480"/>
        <w:rPr>
          <w:rFonts w:ascii="宋体" w:hAnsi="宋体"/>
          <w:color w:val="000000"/>
          <w:sz w:val="24"/>
        </w:rPr>
      </w:pPr>
      <w:r>
        <w:rPr>
          <w:rFonts w:hint="eastAsia" w:ascii="宋体" w:hAnsi="宋体"/>
          <w:color w:val="000000"/>
          <w:sz w:val="24"/>
        </w:rPr>
        <w:t>（6）附件。</w:t>
      </w:r>
    </w:p>
    <w:p>
      <w:pPr>
        <w:pStyle w:val="4"/>
        <w:spacing w:before="156" w:after="156"/>
        <w:ind w:firstLine="482"/>
      </w:pPr>
      <w:bookmarkStart w:id="69" w:name="_Toc493008673"/>
      <w:bookmarkStart w:id="70" w:name="_Toc21456"/>
      <w:bookmarkStart w:id="71" w:name="_Toc128372061"/>
      <w:bookmarkStart w:id="72" w:name="_Toc139965335"/>
      <w:bookmarkStart w:id="73" w:name="_Toc13845"/>
      <w:bookmarkStart w:id="74" w:name="_Toc6506"/>
      <w:bookmarkStart w:id="75" w:name="_Toc459622963"/>
      <w:bookmarkStart w:id="76" w:name="_Toc2455"/>
      <w:bookmarkStart w:id="77" w:name="_Toc128372739"/>
      <w:r>
        <w:t>3.3</w:t>
      </w:r>
      <w:r>
        <w:rPr>
          <w:rFonts w:hint="eastAsia"/>
        </w:rPr>
        <w:t>.4   需要落实的政府采购政策</w:t>
      </w:r>
      <w:bookmarkEnd w:id="69"/>
      <w:bookmarkEnd w:id="70"/>
      <w:r>
        <w:t xml:space="preserve"> </w:t>
      </w:r>
    </w:p>
    <w:p>
      <w:pPr>
        <w:ind w:firstLine="480"/>
        <w:rPr>
          <w:rFonts w:ascii="宋体" w:hAnsi="宋体"/>
          <w:color w:val="000000"/>
          <w:sz w:val="24"/>
        </w:rPr>
      </w:pPr>
      <w:r>
        <w:rPr>
          <w:rFonts w:hint="eastAsia" w:ascii="宋体" w:hAnsi="宋体"/>
          <w:color w:val="000000"/>
          <w:sz w:val="24"/>
        </w:rPr>
        <w:t>本项目落实的政府采购政策详见投标人须知前附表2.17。</w:t>
      </w:r>
    </w:p>
    <w:p>
      <w:pPr>
        <w:ind w:firstLine="480"/>
        <w:rPr>
          <w:rFonts w:ascii="宋体" w:hAnsi="宋体"/>
          <w:color w:val="000000"/>
          <w:sz w:val="24"/>
        </w:rPr>
      </w:pPr>
      <w:r>
        <w:rPr>
          <w:rFonts w:hint="eastAsia" w:ascii="宋体" w:hAnsi="宋体"/>
          <w:color w:val="000000"/>
          <w:sz w:val="24"/>
        </w:rPr>
        <w:t>采购人应当在货物服务招标投标活动中落实节约能源、保护环境、扶持不发达地区和少数民族地区、促进中小企业发展等政府采购政策。</w:t>
      </w:r>
    </w:p>
    <w:p>
      <w:pPr>
        <w:pStyle w:val="4"/>
        <w:spacing w:before="156" w:after="156"/>
        <w:ind w:firstLine="482"/>
      </w:pPr>
      <w:bookmarkStart w:id="78" w:name="_Toc493008674"/>
      <w:bookmarkStart w:id="79" w:name="_Toc20030"/>
      <w:r>
        <w:rPr>
          <w:rFonts w:hint="eastAsia"/>
        </w:rPr>
        <w:t>3.3.5   招标文件的修改与补充</w:t>
      </w:r>
      <w:bookmarkEnd w:id="71"/>
      <w:bookmarkEnd w:id="72"/>
      <w:bookmarkEnd w:id="73"/>
      <w:bookmarkEnd w:id="74"/>
      <w:bookmarkEnd w:id="75"/>
      <w:bookmarkEnd w:id="76"/>
      <w:bookmarkEnd w:id="77"/>
      <w:bookmarkEnd w:id="78"/>
      <w:bookmarkEnd w:id="79"/>
    </w:p>
    <w:p>
      <w:pPr>
        <w:ind w:firstLine="480"/>
        <w:rPr>
          <w:rFonts w:ascii="宋体"/>
          <w:color w:val="000000"/>
          <w:sz w:val="24"/>
        </w:rPr>
      </w:pPr>
      <w:r>
        <w:rPr>
          <w:rFonts w:hint="eastAsia" w:ascii="宋体" w:hAnsi="宋体"/>
          <w:color w:val="000000"/>
          <w:sz w:val="24"/>
        </w:rPr>
        <w:t>投标截止日期</w:t>
      </w:r>
      <w:r>
        <w:rPr>
          <w:rFonts w:ascii="宋体" w:hAnsi="宋体"/>
          <w:color w:val="000000"/>
          <w:sz w:val="24"/>
        </w:rPr>
        <w:t>3</w:t>
      </w:r>
      <w:r>
        <w:rPr>
          <w:rFonts w:hint="eastAsia" w:ascii="宋体" w:hAnsi="宋体"/>
          <w:color w:val="000000"/>
          <w:sz w:val="24"/>
        </w:rPr>
        <w:t>天前，无论出于何种原因，采购人（招标代理机构）可主动或在解答投标人提出的问题时对招标文件进行修改。</w:t>
      </w:r>
    </w:p>
    <w:p>
      <w:pPr>
        <w:ind w:firstLine="480"/>
        <w:rPr>
          <w:rFonts w:ascii="宋体"/>
          <w:color w:val="000000"/>
          <w:sz w:val="24"/>
        </w:rPr>
      </w:pPr>
      <w:r>
        <w:rPr>
          <w:rFonts w:hint="eastAsia" w:ascii="宋体" w:hAnsi="宋体"/>
          <w:color w:val="000000"/>
          <w:sz w:val="24"/>
        </w:rPr>
        <w:t>采购人（招标代理机构）对已发出的招标文件进行澄清或者修改，将在招标文件要求的提交投标文件截止时间</w:t>
      </w:r>
      <w:r>
        <w:rPr>
          <w:rFonts w:ascii="宋体" w:hAnsi="宋体"/>
          <w:color w:val="000000"/>
          <w:sz w:val="24"/>
        </w:rPr>
        <w:t>15</w:t>
      </w:r>
      <w:r>
        <w:rPr>
          <w:rFonts w:hint="eastAsia" w:ascii="宋体" w:hAnsi="宋体"/>
          <w:color w:val="000000"/>
          <w:sz w:val="24"/>
        </w:rPr>
        <w:t>日前进行，并以书面形式将澄清或者修改的内容通知所有购买了招标文件的供应商；不足</w:t>
      </w:r>
      <w:r>
        <w:rPr>
          <w:rFonts w:ascii="宋体" w:hAnsi="宋体"/>
          <w:color w:val="000000"/>
          <w:sz w:val="24"/>
        </w:rPr>
        <w:t>15</w:t>
      </w:r>
      <w:r>
        <w:rPr>
          <w:rFonts w:hint="eastAsia" w:ascii="宋体" w:hAnsi="宋体"/>
          <w:color w:val="000000"/>
          <w:sz w:val="24"/>
        </w:rPr>
        <w:t>日的，采购人（招标代理机构）应当顺延提交投标文件的截止时间，投标截止日发生变化的应在指定媒体发变更公告。投标人在被告知、收到上述公告、通知或答疑书后，应立即向招标人回函确认。未确认情况应当视为对招标文件修改的知晓，也将视为对修改内容接受的默认。对于未在投标文件中对修改内容做实质性响应的，对其产生的不利因素由未确认者自行承担。</w:t>
      </w:r>
    </w:p>
    <w:p>
      <w:pPr>
        <w:ind w:firstLine="480"/>
        <w:rPr>
          <w:rFonts w:ascii="宋体"/>
          <w:color w:val="000000"/>
          <w:sz w:val="24"/>
        </w:rPr>
      </w:pPr>
      <w:r>
        <w:rPr>
          <w:rFonts w:hint="eastAsia" w:ascii="宋体" w:hAnsi="宋体"/>
          <w:color w:val="000000"/>
          <w:sz w:val="24"/>
        </w:rPr>
        <w:t>为使投标人准备投标时有充分时间对招标文件的补充或修改内容进行考虑和研究或由于其他原因，招标人应根据相关法律条例规定，决定是否延长投标文件递交截止时间和开标时间，并将此变更通知上述每一投标人。</w:t>
      </w:r>
    </w:p>
    <w:p>
      <w:pPr>
        <w:pStyle w:val="4"/>
        <w:spacing w:before="156" w:after="156"/>
        <w:ind w:firstLine="482"/>
      </w:pPr>
      <w:bookmarkStart w:id="80" w:name="_Toc27368"/>
      <w:bookmarkStart w:id="81" w:name="_Toc493008675"/>
      <w:bookmarkStart w:id="82" w:name="_Toc25187"/>
      <w:bookmarkStart w:id="83" w:name="_Toc459622964"/>
      <w:bookmarkStart w:id="84" w:name="_Toc17804"/>
      <w:bookmarkStart w:id="85" w:name="_Toc3138"/>
      <w:r>
        <w:t>3.</w:t>
      </w:r>
      <w:r>
        <w:rPr>
          <w:rFonts w:hint="eastAsia"/>
        </w:rPr>
        <w:t>3.6</w:t>
      </w:r>
      <w:r>
        <w:t xml:space="preserve"> </w:t>
      </w:r>
      <w:r>
        <w:rPr>
          <w:rFonts w:hint="eastAsia"/>
        </w:rPr>
        <w:t>答疑会和现场考察</w:t>
      </w:r>
      <w:bookmarkEnd w:id="80"/>
      <w:bookmarkEnd w:id="81"/>
      <w:bookmarkEnd w:id="82"/>
      <w:bookmarkEnd w:id="83"/>
      <w:bookmarkEnd w:id="84"/>
      <w:bookmarkEnd w:id="85"/>
    </w:p>
    <w:p>
      <w:pPr>
        <w:ind w:firstLine="480"/>
        <w:rPr>
          <w:rFonts w:ascii="宋体" w:hAnsi="宋体"/>
          <w:color w:val="000000"/>
          <w:sz w:val="24"/>
        </w:rPr>
      </w:pPr>
      <w:r>
        <w:rPr>
          <w:rFonts w:hint="eastAsia" w:ascii="宋体" w:hAnsi="宋体"/>
          <w:color w:val="000000"/>
          <w:sz w:val="24"/>
        </w:rPr>
        <w:t>本项目的答疑会详见投标人须知前附表2.12。</w:t>
      </w:r>
    </w:p>
    <w:p>
      <w:pPr>
        <w:ind w:firstLine="480"/>
      </w:pPr>
      <w:r>
        <w:rPr>
          <w:rFonts w:hint="eastAsia" w:ascii="宋体" w:hAnsi="宋体"/>
          <w:color w:val="000000"/>
          <w:sz w:val="24"/>
        </w:rPr>
        <w:t>本项目的现场考察详见投标人须知前附表2.13。</w:t>
      </w:r>
    </w:p>
    <w:p>
      <w:pPr>
        <w:ind w:firstLine="480"/>
        <w:rPr>
          <w:rFonts w:ascii="宋体" w:hAnsi="宋体"/>
          <w:color w:val="000000"/>
          <w:sz w:val="24"/>
        </w:rPr>
      </w:pPr>
      <w:r>
        <w:rPr>
          <w:rFonts w:hint="eastAsia" w:ascii="宋体" w:hAnsi="宋体"/>
          <w:color w:val="000000"/>
          <w:sz w:val="24"/>
        </w:rPr>
        <w:t>采购人或者采购代理机构可以在招标文件提供期限截止后，组织已获取招标文件的潜在投标人现场考察或者召开开标前答疑会。</w:t>
      </w:r>
    </w:p>
    <w:p>
      <w:pPr>
        <w:ind w:firstLine="480"/>
        <w:rPr>
          <w:rFonts w:ascii="宋体" w:hAnsi="宋体"/>
          <w:color w:val="000000"/>
          <w:sz w:val="24"/>
        </w:rPr>
      </w:pPr>
      <w:r>
        <w:rPr>
          <w:rFonts w:hint="eastAsia" w:ascii="宋体" w:hAnsi="宋体"/>
          <w:color w:val="000000"/>
          <w:sz w:val="24"/>
        </w:rPr>
        <w:t>组织现场考察或者召开答疑会的，应当在招标文件中载明，或者在招标文件提供期限截止后以书面形式通知所有获取招标文件的潜在投标人。</w:t>
      </w:r>
    </w:p>
    <w:p>
      <w:pPr>
        <w:ind w:firstLine="480"/>
        <w:rPr>
          <w:rFonts w:ascii="宋体" w:hAnsi="宋体"/>
          <w:color w:val="000000"/>
          <w:sz w:val="24"/>
        </w:rPr>
      </w:pPr>
      <w:r>
        <w:rPr>
          <w:rFonts w:hint="eastAsia" w:ascii="宋体" w:hAnsi="宋体"/>
          <w:color w:val="000000"/>
          <w:sz w:val="24"/>
        </w:rPr>
        <w:t>供应商现场考察所产生的一切费用及风险由供应商自己承担。</w:t>
      </w:r>
    </w:p>
    <w:p>
      <w:pPr>
        <w:pStyle w:val="3"/>
        <w:rPr>
          <w:rFonts w:ascii="宋体" w:hAnsi="宋体"/>
        </w:rPr>
      </w:pPr>
      <w:bookmarkStart w:id="86" w:name="_Toc447207017"/>
      <w:bookmarkStart w:id="87" w:name="_Toc18385"/>
      <w:bookmarkStart w:id="88" w:name="_Toc459622965"/>
      <w:bookmarkStart w:id="89" w:name="_Toc493008676"/>
      <w:bookmarkStart w:id="90" w:name="_Toc447272154"/>
      <w:bookmarkStart w:id="91" w:name="_Toc12602"/>
      <w:bookmarkStart w:id="92" w:name="_Toc17692"/>
      <w:bookmarkStart w:id="93" w:name="_Toc24695"/>
      <w:r>
        <w:rPr>
          <w:rFonts w:hint="eastAsia" w:ascii="宋体" w:hAnsi="宋体"/>
          <w:szCs w:val="28"/>
        </w:rPr>
        <w:t>3.4</w:t>
      </w:r>
      <w:r>
        <w:rPr>
          <w:rFonts w:ascii="宋体" w:hAnsi="宋体"/>
          <w:szCs w:val="28"/>
        </w:rPr>
        <w:t xml:space="preserve"> </w:t>
      </w:r>
      <w:r>
        <w:rPr>
          <w:rFonts w:hint="eastAsia" w:ascii="宋体" w:hAnsi="宋体"/>
          <w:szCs w:val="28"/>
        </w:rPr>
        <w:t xml:space="preserve"> 投标</w:t>
      </w:r>
      <w:bookmarkEnd w:id="86"/>
      <w:bookmarkEnd w:id="87"/>
      <w:bookmarkEnd w:id="88"/>
      <w:bookmarkEnd w:id="89"/>
      <w:bookmarkEnd w:id="90"/>
      <w:bookmarkEnd w:id="91"/>
      <w:bookmarkEnd w:id="92"/>
      <w:bookmarkEnd w:id="93"/>
    </w:p>
    <w:p>
      <w:pPr>
        <w:pStyle w:val="4"/>
        <w:spacing w:before="156" w:after="156"/>
        <w:ind w:firstLine="482"/>
      </w:pPr>
      <w:bookmarkStart w:id="94" w:name="_Toc1866"/>
      <w:bookmarkStart w:id="95" w:name="_Toc459622966"/>
      <w:bookmarkStart w:id="96" w:name="_Toc493008677"/>
      <w:bookmarkStart w:id="97" w:name="_Toc13973"/>
      <w:bookmarkStart w:id="98" w:name="_Toc25527"/>
      <w:bookmarkStart w:id="99" w:name="_Toc13959"/>
      <w:r>
        <w:rPr>
          <w:rFonts w:hint="eastAsia"/>
        </w:rPr>
        <w:t>3.</w:t>
      </w:r>
      <w:r>
        <w:t>4.1</w:t>
      </w:r>
      <w:r>
        <w:rPr>
          <w:rFonts w:hint="eastAsia"/>
        </w:rPr>
        <w:t>投标综合要求及说明</w:t>
      </w:r>
      <w:bookmarkEnd w:id="94"/>
      <w:bookmarkEnd w:id="95"/>
      <w:bookmarkEnd w:id="96"/>
      <w:bookmarkEnd w:id="97"/>
      <w:bookmarkEnd w:id="98"/>
      <w:bookmarkEnd w:id="99"/>
    </w:p>
    <w:p>
      <w:pPr>
        <w:ind w:firstLine="480"/>
        <w:rPr>
          <w:sz w:val="24"/>
        </w:rPr>
      </w:pPr>
      <w:r>
        <w:rPr>
          <w:rFonts w:hint="eastAsia"/>
          <w:sz w:val="24"/>
        </w:rPr>
        <w:t>（1）投标人投标只能报一个方案进行投标；</w:t>
      </w:r>
    </w:p>
    <w:p>
      <w:pPr>
        <w:ind w:firstLine="480"/>
        <w:rPr>
          <w:sz w:val="24"/>
        </w:rPr>
      </w:pPr>
      <w:r>
        <w:rPr>
          <w:rFonts w:hint="eastAsia"/>
          <w:sz w:val="24"/>
        </w:rPr>
        <w:t>（2）投标人对投标产品技术性能的描述因欠缺或漏报而影响对投标人投标文件的评比，不利后果由投标人自行承担；</w:t>
      </w:r>
    </w:p>
    <w:p>
      <w:pPr>
        <w:ind w:firstLine="480"/>
        <w:rPr>
          <w:sz w:val="24"/>
        </w:rPr>
      </w:pPr>
      <w:r>
        <w:rPr>
          <w:rFonts w:hint="eastAsia"/>
          <w:sz w:val="24"/>
        </w:rPr>
        <w:t>（3）投标人在本次项目中所提供的货物对于招标文件中的技术参数要求必须满足，否则视为无效投标；</w:t>
      </w:r>
    </w:p>
    <w:p>
      <w:pPr>
        <w:ind w:firstLine="480"/>
        <w:rPr>
          <w:sz w:val="24"/>
        </w:rPr>
      </w:pPr>
      <w:r>
        <w:rPr>
          <w:rFonts w:hint="eastAsia"/>
          <w:sz w:val="24"/>
        </w:rPr>
        <w:t>（4）招标人发现具有《政府采购法》第七十七条中第一至五项情形之一规定的情形的，有权宣布投标程序和结果无效，在涉标的公证性与违法问题的调查或检查中，中标供应商如拒绝有关部门的监督检查，视其情节，招标人也有权宣布中标结果视同无效。招标人同时报备同级财政部门确认，并对投、中标人的损失不承担任何责任；</w:t>
      </w:r>
    </w:p>
    <w:p>
      <w:pPr>
        <w:ind w:firstLine="480"/>
        <w:rPr>
          <w:sz w:val="24"/>
        </w:rPr>
      </w:pPr>
      <w:r>
        <w:rPr>
          <w:rFonts w:hint="eastAsia"/>
          <w:sz w:val="24"/>
        </w:rPr>
        <w:t>（5）</w:t>
      </w:r>
      <w:r>
        <w:rPr>
          <w:rFonts w:hint="eastAsia" w:ascii="宋体" w:hAnsi="宋体"/>
          <w:sz w:val="24"/>
        </w:rPr>
        <w:t>单位负责人为同一人或者存在直接控股、管理关系的不同供应商，不得参加同一合同项下的政府采购活动。</w:t>
      </w:r>
      <w:r>
        <w:rPr>
          <w:rFonts w:hint="eastAsia"/>
          <w:sz w:val="24"/>
        </w:rPr>
        <w:t>除单一来源采购项目外，为采购项目提供整体设计、规范编制或者项目管理、监理、检测等服务的供应商，不得再参加该采购项目的其他采购活动。</w:t>
      </w:r>
    </w:p>
    <w:p>
      <w:pPr>
        <w:ind w:firstLine="480"/>
        <w:rPr>
          <w:sz w:val="24"/>
        </w:rPr>
      </w:pPr>
      <w:r>
        <w:rPr>
          <w:rFonts w:hint="eastAsia"/>
          <w:sz w:val="24"/>
        </w:rPr>
        <w:t>（6）招标人可视投标品目价格情况适当增加或减少采购数量，并保留拆包或取消采购某些品目的权力；</w:t>
      </w:r>
    </w:p>
    <w:p>
      <w:pPr>
        <w:ind w:firstLine="480"/>
        <w:rPr>
          <w:sz w:val="24"/>
        </w:rPr>
      </w:pPr>
      <w:r>
        <w:rPr>
          <w:rFonts w:hint="eastAsia"/>
          <w:sz w:val="24"/>
        </w:rPr>
        <w:t>（7） 投标人应自行承担所有与准备和参加投标有关的费用。不论投标的结果如何，招标人无义务和责任承担相关费用。</w:t>
      </w:r>
    </w:p>
    <w:p>
      <w:pPr>
        <w:ind w:firstLine="480"/>
        <w:rPr>
          <w:sz w:val="24"/>
        </w:rPr>
      </w:pPr>
      <w:r>
        <w:rPr>
          <w:rFonts w:hint="eastAsia"/>
          <w:sz w:val="24"/>
        </w:rPr>
        <w:t>（8）投标人在制作投标文件时须按照资料内容编制目录。</w:t>
      </w:r>
    </w:p>
    <w:p>
      <w:pPr>
        <w:pStyle w:val="4"/>
        <w:spacing w:before="156" w:after="156"/>
        <w:ind w:firstLine="482"/>
      </w:pPr>
      <w:bookmarkStart w:id="100" w:name="_Toc459622967"/>
      <w:bookmarkStart w:id="101" w:name="_Toc17282"/>
      <w:bookmarkStart w:id="102" w:name="_Toc31366"/>
      <w:bookmarkStart w:id="103" w:name="_Toc493008678"/>
      <w:bookmarkStart w:id="104" w:name="_Toc31732"/>
      <w:bookmarkStart w:id="105" w:name="_Toc1020"/>
      <w:r>
        <w:rPr>
          <w:rFonts w:hint="eastAsia"/>
        </w:rPr>
        <w:t>3.4.2投标文件的语言</w:t>
      </w:r>
      <w:bookmarkEnd w:id="100"/>
      <w:bookmarkEnd w:id="101"/>
      <w:bookmarkEnd w:id="102"/>
      <w:bookmarkEnd w:id="103"/>
      <w:bookmarkEnd w:id="104"/>
      <w:bookmarkEnd w:id="105"/>
    </w:p>
    <w:p>
      <w:pPr>
        <w:ind w:firstLine="480"/>
        <w:rPr>
          <w:sz w:val="24"/>
        </w:rPr>
      </w:pPr>
      <w:bookmarkStart w:id="106" w:name="_Toc415577045"/>
      <w:r>
        <w:rPr>
          <w:rFonts w:hint="eastAsia"/>
          <w:sz w:val="24"/>
        </w:rPr>
        <w:t>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bookmarkEnd w:id="106"/>
    </w:p>
    <w:p>
      <w:pPr>
        <w:ind w:firstLine="480"/>
        <w:rPr>
          <w:sz w:val="24"/>
        </w:rPr>
      </w:pPr>
      <w:bookmarkStart w:id="107" w:name="_Toc415577046"/>
      <w:r>
        <w:rPr>
          <w:rFonts w:hint="eastAsia"/>
          <w:sz w:val="24"/>
        </w:rPr>
        <w:t>翻译的中文资料与外文资料如果出现差异和矛盾时，以中文为准。但不能故意错误翻译，否则，投标人的投标文件将作为无效投标处理。</w:t>
      </w:r>
      <w:bookmarkEnd w:id="107"/>
    </w:p>
    <w:p>
      <w:pPr>
        <w:pStyle w:val="4"/>
        <w:spacing w:before="156" w:after="156"/>
        <w:ind w:firstLine="482"/>
      </w:pPr>
      <w:bookmarkStart w:id="108" w:name="_Toc5104"/>
      <w:bookmarkStart w:id="109" w:name="_Toc493008679"/>
      <w:bookmarkStart w:id="110" w:name="_Toc13029"/>
      <w:bookmarkStart w:id="111" w:name="_Toc18789"/>
      <w:bookmarkStart w:id="112" w:name="_Toc459622968"/>
      <w:bookmarkStart w:id="113" w:name="_Toc5534"/>
      <w:r>
        <w:rPr>
          <w:rFonts w:hint="eastAsia"/>
        </w:rPr>
        <w:t>3.4.3计量单位</w:t>
      </w:r>
      <w:bookmarkEnd w:id="108"/>
      <w:bookmarkEnd w:id="109"/>
      <w:bookmarkEnd w:id="110"/>
      <w:bookmarkEnd w:id="111"/>
      <w:bookmarkEnd w:id="112"/>
      <w:bookmarkEnd w:id="113"/>
    </w:p>
    <w:p>
      <w:pPr>
        <w:ind w:firstLine="480"/>
        <w:rPr>
          <w:sz w:val="24"/>
        </w:rPr>
      </w:pPr>
      <w:bookmarkStart w:id="114" w:name="_Toc415577048"/>
      <w:r>
        <w:rPr>
          <w:rFonts w:hint="eastAsia"/>
          <w:sz w:val="24"/>
        </w:rPr>
        <w:t>除技术规格及要求中另有规定外，本采购项下的投标均采用国家法定的计量单位。</w:t>
      </w:r>
      <w:bookmarkEnd w:id="114"/>
    </w:p>
    <w:p>
      <w:pPr>
        <w:pStyle w:val="4"/>
        <w:spacing w:before="156" w:after="156"/>
        <w:ind w:firstLine="482"/>
      </w:pPr>
      <w:bookmarkStart w:id="115" w:name="_Toc459622969"/>
      <w:bookmarkStart w:id="116" w:name="_Toc8530"/>
      <w:bookmarkStart w:id="117" w:name="_Toc4724"/>
      <w:bookmarkStart w:id="118" w:name="_Toc1206"/>
      <w:bookmarkStart w:id="119" w:name="_Toc493008680"/>
      <w:bookmarkStart w:id="120" w:name="_Toc15331"/>
      <w:r>
        <w:rPr>
          <w:rFonts w:hint="eastAsia"/>
        </w:rPr>
        <w:t>3.</w:t>
      </w:r>
      <w:r>
        <w:t>4.</w:t>
      </w:r>
      <w:r>
        <w:rPr>
          <w:rFonts w:hint="eastAsia"/>
        </w:rPr>
        <w:t>4投标货币</w:t>
      </w:r>
      <w:bookmarkEnd w:id="115"/>
      <w:bookmarkEnd w:id="116"/>
      <w:bookmarkEnd w:id="117"/>
      <w:bookmarkEnd w:id="118"/>
      <w:bookmarkEnd w:id="119"/>
      <w:bookmarkEnd w:id="120"/>
    </w:p>
    <w:p>
      <w:pPr>
        <w:ind w:firstLine="480"/>
        <w:rPr>
          <w:sz w:val="24"/>
        </w:rPr>
      </w:pPr>
      <w:bookmarkStart w:id="121" w:name="_Toc415577050"/>
      <w:r>
        <w:rPr>
          <w:rFonts w:hint="eastAsia"/>
          <w:sz w:val="24"/>
        </w:rPr>
        <w:t>本次招标项目的投标均以人民币报价。</w:t>
      </w:r>
      <w:bookmarkEnd w:id="121"/>
    </w:p>
    <w:p>
      <w:pPr>
        <w:pStyle w:val="4"/>
        <w:spacing w:before="156" w:after="156"/>
        <w:ind w:firstLine="482"/>
      </w:pPr>
      <w:bookmarkStart w:id="122" w:name="_Toc19207"/>
      <w:bookmarkStart w:id="123" w:name="_Toc1843"/>
      <w:bookmarkStart w:id="124" w:name="_Toc459622970"/>
      <w:bookmarkStart w:id="125" w:name="_Toc493008681"/>
      <w:bookmarkStart w:id="126" w:name="_Toc4255"/>
      <w:bookmarkStart w:id="127" w:name="_Toc24081"/>
      <w:r>
        <w:rPr>
          <w:rFonts w:hint="eastAsia"/>
        </w:rPr>
        <w:t>3.</w:t>
      </w:r>
      <w:r>
        <w:t>4.</w:t>
      </w:r>
      <w:r>
        <w:rPr>
          <w:rFonts w:hint="eastAsia"/>
        </w:rPr>
        <w:t>5联合体投标</w:t>
      </w:r>
      <w:bookmarkEnd w:id="122"/>
      <w:bookmarkEnd w:id="123"/>
      <w:bookmarkEnd w:id="124"/>
      <w:bookmarkEnd w:id="125"/>
      <w:bookmarkEnd w:id="126"/>
      <w:bookmarkEnd w:id="127"/>
    </w:p>
    <w:p>
      <w:pPr>
        <w:ind w:firstLine="480"/>
        <w:rPr>
          <w:sz w:val="24"/>
        </w:rPr>
      </w:pPr>
      <w:bookmarkStart w:id="128" w:name="_Toc415577052"/>
      <w:r>
        <w:rPr>
          <w:rFonts w:hint="eastAsia"/>
          <w:sz w:val="24"/>
        </w:rPr>
        <w:t>本项目是否接受联合体投标详见投标人须知前附表2.11。</w:t>
      </w:r>
    </w:p>
    <w:p>
      <w:pPr>
        <w:ind w:firstLine="480"/>
        <w:rPr>
          <w:sz w:val="24"/>
        </w:rPr>
      </w:pPr>
      <w:r>
        <w:rPr>
          <w:rFonts w:hint="eastAsia"/>
          <w:sz w:val="24"/>
        </w:rPr>
        <w:t>两个以上供应商可以组成一个投标联合体，以一个投标人的身份投标。以联合体形式参加投标的，联合体各方均应当符合《政府采购法》第二十二条第一款规定的条件及实施条例的规定。</w:t>
      </w:r>
      <w:bookmarkEnd w:id="128"/>
    </w:p>
    <w:p>
      <w:pPr>
        <w:ind w:firstLine="480"/>
        <w:rPr>
          <w:sz w:val="24"/>
        </w:rPr>
      </w:pPr>
      <w:bookmarkStart w:id="129" w:name="_Toc415577053"/>
      <w:r>
        <w:rPr>
          <w:rFonts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bookmarkEnd w:id="129"/>
    </w:p>
    <w:p>
      <w:pPr>
        <w:ind w:firstLine="480"/>
        <w:rPr>
          <w:sz w:val="24"/>
        </w:rPr>
      </w:pPr>
      <w:bookmarkStart w:id="130" w:name="_Toc415577054"/>
      <w:r>
        <w:rPr>
          <w:rFonts w:hint="eastAsia"/>
          <w:sz w:val="24"/>
        </w:rPr>
        <w:t>联合体应当确定其中一个单位为投标的全权代表，负责参加投标的一切事务，并承担投标及履约中应承担的全部责任与义务。</w:t>
      </w:r>
      <w:bookmarkEnd w:id="130"/>
    </w:p>
    <w:p>
      <w:pPr>
        <w:ind w:firstLine="480"/>
        <w:rPr>
          <w:sz w:val="24"/>
        </w:rPr>
      </w:pPr>
      <w:bookmarkStart w:id="131" w:name="_Toc415577055"/>
      <w:r>
        <w:rPr>
          <w:rFonts w:hint="eastAsia"/>
          <w:sz w:val="24"/>
        </w:rPr>
        <w:t>联合体各方应当共同与采购人签订采购合同，就采购合同约定的事项对采购人承担连带责任。</w:t>
      </w:r>
      <w:bookmarkEnd w:id="131"/>
    </w:p>
    <w:p>
      <w:pPr>
        <w:pStyle w:val="4"/>
        <w:spacing w:before="156" w:after="156"/>
        <w:ind w:firstLine="482"/>
      </w:pPr>
      <w:bookmarkStart w:id="132" w:name="_Toc459622971"/>
      <w:bookmarkStart w:id="133" w:name="_Toc9657"/>
      <w:bookmarkStart w:id="134" w:name="_Toc493008682"/>
      <w:bookmarkStart w:id="135" w:name="_Toc22788"/>
      <w:bookmarkStart w:id="136" w:name="_Toc20332"/>
      <w:bookmarkStart w:id="137" w:name="_Toc24866"/>
      <w:r>
        <w:rPr>
          <w:rFonts w:hint="eastAsia"/>
        </w:rPr>
        <w:t>3.</w:t>
      </w:r>
      <w:r>
        <w:t>4.</w:t>
      </w:r>
      <w:r>
        <w:rPr>
          <w:rFonts w:hint="eastAsia"/>
        </w:rPr>
        <w:t>6知识产权</w:t>
      </w:r>
      <w:bookmarkEnd w:id="132"/>
      <w:bookmarkEnd w:id="133"/>
      <w:bookmarkEnd w:id="134"/>
      <w:bookmarkEnd w:id="135"/>
      <w:bookmarkEnd w:id="136"/>
      <w:bookmarkEnd w:id="137"/>
    </w:p>
    <w:p>
      <w:pPr>
        <w:ind w:firstLine="480"/>
        <w:rPr>
          <w:sz w:val="24"/>
        </w:rPr>
      </w:pPr>
      <w:bookmarkStart w:id="138" w:name="_Toc415577057"/>
      <w:r>
        <w:rPr>
          <w:rFonts w:hint="eastAsia"/>
          <w:sz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bookmarkEnd w:id="138"/>
    </w:p>
    <w:p>
      <w:pPr>
        <w:ind w:firstLine="480"/>
        <w:rPr>
          <w:sz w:val="24"/>
        </w:rPr>
      </w:pPr>
      <w:bookmarkStart w:id="139" w:name="_Toc415577058"/>
      <w:r>
        <w:rPr>
          <w:rFonts w:hint="eastAsia"/>
          <w:sz w:val="24"/>
        </w:rPr>
        <w:t>采购人享有本项目实施过程中产生的知识成果及知识产权。</w:t>
      </w:r>
      <w:bookmarkEnd w:id="139"/>
    </w:p>
    <w:p>
      <w:pPr>
        <w:ind w:firstLine="480"/>
        <w:rPr>
          <w:sz w:val="24"/>
        </w:rPr>
      </w:pPr>
      <w:bookmarkStart w:id="140" w:name="_Toc415577059"/>
      <w:r>
        <w:rPr>
          <w:rFonts w:hint="eastAsia"/>
          <w:sz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bookmarkEnd w:id="140"/>
    </w:p>
    <w:p>
      <w:pPr>
        <w:ind w:firstLine="480"/>
        <w:rPr>
          <w:rFonts w:ascii="宋体" w:hAnsi="宋体"/>
          <w:color w:val="FF0000"/>
          <w:sz w:val="24"/>
        </w:rPr>
      </w:pPr>
      <w:bookmarkStart w:id="141" w:name="_Toc415577060"/>
      <w:r>
        <w:rPr>
          <w:rFonts w:hint="eastAsia"/>
          <w:sz w:val="24"/>
        </w:rPr>
        <w:t>如采用投标人所不拥有的知识产权，则在投标报价中必须包括合法获取该知识产权的相关费用。</w:t>
      </w:r>
      <w:bookmarkEnd w:id="141"/>
    </w:p>
    <w:p>
      <w:pPr>
        <w:pStyle w:val="4"/>
        <w:spacing w:before="156" w:after="156"/>
        <w:ind w:firstLine="482"/>
      </w:pPr>
      <w:bookmarkStart w:id="142" w:name="_Toc493008683"/>
      <w:bookmarkStart w:id="143" w:name="_Toc22294"/>
      <w:bookmarkStart w:id="144" w:name="_Toc10722"/>
      <w:bookmarkStart w:id="145" w:name="_Toc4247"/>
      <w:bookmarkStart w:id="146" w:name="_Toc459622972"/>
      <w:bookmarkStart w:id="147" w:name="_Toc16206"/>
      <w:r>
        <w:rPr>
          <w:rFonts w:hint="eastAsia"/>
        </w:rPr>
        <w:t>3.</w:t>
      </w:r>
      <w:r>
        <w:t>4.</w:t>
      </w:r>
      <w:r>
        <w:rPr>
          <w:rFonts w:hint="eastAsia"/>
        </w:rPr>
        <w:t>7投标文件的组成</w:t>
      </w:r>
      <w:bookmarkEnd w:id="142"/>
      <w:bookmarkEnd w:id="143"/>
      <w:bookmarkEnd w:id="144"/>
      <w:bookmarkEnd w:id="145"/>
      <w:bookmarkEnd w:id="146"/>
      <w:bookmarkEnd w:id="147"/>
    </w:p>
    <w:p>
      <w:pPr>
        <w:ind w:firstLine="480"/>
        <w:rPr>
          <w:sz w:val="24"/>
        </w:rPr>
      </w:pPr>
      <w:r>
        <w:rPr>
          <w:rFonts w:hint="eastAsia"/>
          <w:sz w:val="24"/>
        </w:rPr>
        <w:t>投标人应按照招标文件的规定和要求编制投标文件</w:t>
      </w:r>
      <w:r>
        <w:rPr>
          <w:rFonts w:hint="eastAsia" w:ascii="宋体" w:hAnsi="宋体"/>
          <w:color w:val="000000"/>
          <w:sz w:val="24"/>
        </w:rPr>
        <w:t>。投标人中标后将中标项目的非主体、非关键性工作交由他人完成的，应当在投标文件中载明。</w:t>
      </w:r>
      <w:r>
        <w:rPr>
          <w:rFonts w:hint="eastAsia"/>
          <w:sz w:val="24"/>
        </w:rPr>
        <w:t>投标人编写的投标文件应包括下列部分：报价部分、技术部分、商务部分、售后服务。</w:t>
      </w:r>
    </w:p>
    <w:p>
      <w:pPr>
        <w:ind w:firstLine="482"/>
        <w:rPr>
          <w:sz w:val="24"/>
        </w:rPr>
      </w:pPr>
      <w:r>
        <w:rPr>
          <w:rFonts w:hint="eastAsia" w:ascii="宋体" w:hAnsi="宋体"/>
          <w:b/>
          <w:sz w:val="24"/>
        </w:rPr>
        <w:t>（1）报价部分。</w:t>
      </w:r>
      <w:r>
        <w:rPr>
          <w:rFonts w:hint="eastAsia"/>
          <w:sz w:val="24"/>
        </w:rPr>
        <w:t>须标明各品目单价、合计及总价，否则视为无效投标。</w:t>
      </w:r>
    </w:p>
    <w:p>
      <w:pPr>
        <w:ind w:firstLine="480"/>
        <w:rPr>
          <w:rFonts w:ascii="宋体"/>
          <w:sz w:val="24"/>
        </w:rPr>
      </w:pPr>
      <w:r>
        <w:rPr>
          <w:rFonts w:hint="eastAsia" w:ascii="宋体" w:hAnsi="宋体"/>
          <w:sz w:val="24"/>
        </w:rPr>
        <w:t>投标人按照招标文件要求填写“开标一览表”及“分项报价表”。本次招标报价要求：</w:t>
      </w:r>
    </w:p>
    <w:p>
      <w:pPr>
        <w:ind w:firstLine="480"/>
        <w:rPr>
          <w:rFonts w:ascii="宋体"/>
          <w:color w:val="000000"/>
          <w:sz w:val="24"/>
        </w:rPr>
      </w:pPr>
      <w:r>
        <w:rPr>
          <w:rFonts w:hint="eastAsia" w:ascii="宋体" w:hAnsi="宋体"/>
          <w:color w:val="000000"/>
          <w:sz w:val="24"/>
        </w:rPr>
        <w:t>①投标人的报价是投标人响应招标项目要求的全部工作内容的价格体现，包括投标人完成本项目所需的一切费用。</w:t>
      </w:r>
    </w:p>
    <w:p>
      <w:pPr>
        <w:ind w:firstLine="480"/>
        <w:rPr>
          <w:rFonts w:ascii="宋体"/>
          <w:color w:val="000000"/>
          <w:sz w:val="24"/>
        </w:rPr>
      </w:pPr>
      <w:r>
        <w:rPr>
          <w:rFonts w:hint="eastAsia" w:ascii="宋体" w:hAnsi="宋体"/>
          <w:color w:val="000000"/>
          <w:sz w:val="24"/>
        </w:rPr>
        <w:t>②投标人每种货物只允许有一个报价，并且在合同履行过程中是固定不变的，任何有选择或可调整的报价将不予接受，并按无效投标处理。</w:t>
      </w:r>
    </w:p>
    <w:p>
      <w:pPr>
        <w:ind w:firstLine="482"/>
        <w:rPr>
          <w:rFonts w:ascii="宋体"/>
          <w:sz w:val="24"/>
        </w:rPr>
      </w:pPr>
      <w:r>
        <w:rPr>
          <w:rFonts w:hint="eastAsia" w:ascii="宋体" w:hAnsi="宋体"/>
          <w:b/>
          <w:sz w:val="24"/>
        </w:rPr>
        <w:t>（2）技术部分。</w:t>
      </w:r>
      <w:r>
        <w:rPr>
          <w:rFonts w:hint="eastAsia" w:ascii="宋体" w:hAnsi="宋体"/>
          <w:sz w:val="24"/>
        </w:rPr>
        <w:t>投标人按照招标文件要求做出的技术应答，主要是针对招标项目的技术指标、参数和技术要求做出的实质性响应和满足。投标人的技术应答应包括下列内容：</w:t>
      </w:r>
    </w:p>
    <w:p>
      <w:pPr>
        <w:ind w:firstLine="720" w:firstLineChars="300"/>
        <w:rPr>
          <w:rFonts w:ascii="宋体"/>
          <w:sz w:val="24"/>
        </w:rPr>
      </w:pPr>
      <w:r>
        <w:rPr>
          <w:rFonts w:hint="eastAsia" w:ascii="宋体" w:hAnsi="宋体"/>
          <w:sz w:val="24"/>
        </w:rPr>
        <w:t>①投标产品的品牌、型号、配置；</w:t>
      </w:r>
    </w:p>
    <w:p>
      <w:pPr>
        <w:ind w:firstLine="720" w:firstLineChars="300"/>
        <w:rPr>
          <w:rFonts w:ascii="宋体"/>
          <w:color w:val="000000"/>
          <w:sz w:val="24"/>
        </w:rPr>
      </w:pPr>
      <w:r>
        <w:rPr>
          <w:rFonts w:hint="eastAsia" w:ascii="宋体" w:hAnsi="宋体"/>
          <w:color w:val="000000"/>
          <w:sz w:val="24"/>
        </w:rPr>
        <w:t>②详细的技术指标和参数；</w:t>
      </w:r>
    </w:p>
    <w:p>
      <w:pPr>
        <w:ind w:firstLine="720" w:firstLineChars="300"/>
        <w:rPr>
          <w:rFonts w:ascii="宋体"/>
          <w:color w:val="000000"/>
          <w:sz w:val="24"/>
        </w:rPr>
      </w:pPr>
      <w:r>
        <w:rPr>
          <w:rFonts w:hint="eastAsia" w:ascii="宋体" w:hAnsi="宋体"/>
          <w:color w:val="000000"/>
          <w:sz w:val="24"/>
        </w:rPr>
        <w:t>③技术方案、项目实施方案；</w:t>
      </w:r>
    </w:p>
    <w:p>
      <w:pPr>
        <w:ind w:firstLine="720" w:firstLineChars="300"/>
        <w:rPr>
          <w:rFonts w:ascii="宋体"/>
          <w:color w:val="000000"/>
          <w:sz w:val="24"/>
        </w:rPr>
      </w:pPr>
      <w:r>
        <w:rPr>
          <w:rFonts w:hint="eastAsia" w:ascii="宋体" w:hAnsi="宋体"/>
          <w:color w:val="000000"/>
          <w:sz w:val="24"/>
        </w:rPr>
        <w:t>④技术要求偏离表；</w:t>
      </w:r>
    </w:p>
    <w:p>
      <w:pPr>
        <w:ind w:firstLine="720" w:firstLineChars="300"/>
        <w:rPr>
          <w:rFonts w:ascii="宋体"/>
          <w:color w:val="000000"/>
          <w:sz w:val="24"/>
        </w:rPr>
      </w:pPr>
      <w:r>
        <w:rPr>
          <w:rFonts w:hint="eastAsia" w:ascii="宋体" w:hAnsi="宋体"/>
          <w:color w:val="000000"/>
          <w:sz w:val="24"/>
        </w:rPr>
        <w:t>⑤产品彩页资料；</w:t>
      </w:r>
    </w:p>
    <w:p>
      <w:pPr>
        <w:ind w:firstLine="720" w:firstLineChars="300"/>
        <w:rPr>
          <w:rFonts w:ascii="宋体"/>
          <w:color w:val="000000"/>
          <w:sz w:val="24"/>
        </w:rPr>
      </w:pPr>
      <w:r>
        <w:rPr>
          <w:rFonts w:hint="eastAsia" w:ascii="宋体" w:hAnsi="宋体"/>
          <w:color w:val="000000"/>
          <w:sz w:val="24"/>
        </w:rPr>
        <w:t>⑥产品工作环境条件；</w:t>
      </w:r>
    </w:p>
    <w:p>
      <w:pPr>
        <w:ind w:firstLine="720" w:firstLineChars="300"/>
        <w:rPr>
          <w:rFonts w:ascii="宋体"/>
          <w:color w:val="000000"/>
          <w:sz w:val="24"/>
        </w:rPr>
      </w:pPr>
      <w:r>
        <w:rPr>
          <w:rFonts w:hint="eastAsia" w:ascii="宋体" w:hAnsi="宋体"/>
          <w:color w:val="000000"/>
          <w:sz w:val="24"/>
        </w:rPr>
        <w:t>⑦产品验收标准和验收方法；</w:t>
      </w:r>
    </w:p>
    <w:p>
      <w:pPr>
        <w:ind w:firstLine="720" w:firstLineChars="300"/>
        <w:rPr>
          <w:rFonts w:ascii="宋体"/>
          <w:color w:val="000000"/>
          <w:sz w:val="24"/>
        </w:rPr>
      </w:pPr>
      <w:r>
        <w:rPr>
          <w:rFonts w:hint="eastAsia" w:ascii="宋体" w:hAnsi="宋体"/>
          <w:color w:val="000000"/>
          <w:sz w:val="24"/>
        </w:rPr>
        <w:t>⑧产品验收清单（注明各部件的品名、数量、价格、规格型号和原产地或生产厂家）。</w:t>
      </w:r>
    </w:p>
    <w:p>
      <w:pPr>
        <w:ind w:firstLine="720" w:firstLineChars="300"/>
        <w:rPr>
          <w:rFonts w:ascii="宋体"/>
          <w:color w:val="000000"/>
          <w:sz w:val="24"/>
        </w:rPr>
      </w:pPr>
      <w:r>
        <w:rPr>
          <w:rFonts w:hint="eastAsia" w:ascii="宋体" w:hAnsi="宋体"/>
          <w:color w:val="000000"/>
          <w:sz w:val="24"/>
        </w:rPr>
        <w:t>⑨投标人认为需要提供的文件和资料。</w:t>
      </w:r>
    </w:p>
    <w:p>
      <w:pPr>
        <w:ind w:firstLine="482"/>
        <w:rPr>
          <w:rFonts w:ascii="宋体"/>
          <w:sz w:val="24"/>
        </w:rPr>
      </w:pPr>
      <w:r>
        <w:rPr>
          <w:rFonts w:hint="eastAsia" w:ascii="宋体" w:hAnsi="宋体"/>
          <w:b/>
          <w:sz w:val="24"/>
        </w:rPr>
        <w:t>（3）商务部分。</w:t>
      </w:r>
      <w:r>
        <w:rPr>
          <w:rFonts w:hint="eastAsia" w:ascii="宋体" w:hAnsi="宋体"/>
          <w:sz w:val="24"/>
        </w:rPr>
        <w:t>投标人按照招标文件要求提供的有关资质证明文件,包括以下内容：（未特殊说明的，均应提供原件）</w:t>
      </w:r>
    </w:p>
    <w:p>
      <w:pPr>
        <w:ind w:firstLine="720" w:firstLineChars="300"/>
        <w:rPr>
          <w:rFonts w:ascii="宋体"/>
          <w:sz w:val="24"/>
        </w:rPr>
      </w:pPr>
      <w:r>
        <w:rPr>
          <w:rFonts w:hint="eastAsia" w:ascii="宋体" w:hAnsi="宋体"/>
          <w:sz w:val="24"/>
        </w:rPr>
        <w:t>①投标函；</w:t>
      </w:r>
    </w:p>
    <w:p>
      <w:pPr>
        <w:ind w:firstLine="720" w:firstLineChars="300"/>
        <w:rPr>
          <w:rFonts w:ascii="宋体" w:hAnsi="宋体"/>
          <w:sz w:val="24"/>
        </w:rPr>
      </w:pPr>
      <w:r>
        <w:rPr>
          <w:rFonts w:hint="eastAsia" w:ascii="宋体" w:hAnsi="宋体"/>
          <w:sz w:val="24"/>
        </w:rPr>
        <w:t>②</w:t>
      </w:r>
      <w:r>
        <w:rPr>
          <w:rFonts w:hint="eastAsia" w:ascii="宋体" w:hAnsi="宋体"/>
          <w:color w:val="000000"/>
          <w:sz w:val="24"/>
        </w:rPr>
        <w:t>证明投标人资格符合招标文件规定的证明文件（详见投标人须知前附表2.5）；</w:t>
      </w:r>
    </w:p>
    <w:p>
      <w:pPr>
        <w:ind w:firstLine="720" w:firstLineChars="300"/>
        <w:rPr>
          <w:rFonts w:ascii="宋体" w:hAnsi="宋体"/>
          <w:sz w:val="24"/>
        </w:rPr>
      </w:pPr>
      <w:r>
        <w:rPr>
          <w:rFonts w:hint="eastAsia" w:ascii="宋体" w:hAnsi="宋体"/>
          <w:sz w:val="24"/>
        </w:rPr>
        <w:t>③证明</w:t>
      </w:r>
      <w:r>
        <w:rPr>
          <w:rFonts w:hint="eastAsia" w:ascii="宋体" w:hAnsi="宋体"/>
          <w:color w:val="000000"/>
          <w:sz w:val="24"/>
        </w:rPr>
        <w:t>投标货物的合格性的证明文件；</w:t>
      </w:r>
    </w:p>
    <w:p>
      <w:pPr>
        <w:ind w:firstLine="720" w:firstLineChars="300"/>
        <w:rPr>
          <w:rFonts w:ascii="宋体"/>
          <w:sz w:val="24"/>
        </w:rPr>
      </w:pPr>
      <w:r>
        <w:rPr>
          <w:rFonts w:hint="eastAsia" w:ascii="宋体" w:hAnsi="宋体"/>
          <w:sz w:val="24"/>
        </w:rPr>
        <w:t>④投标保证金交纳凭证复印件；</w:t>
      </w:r>
    </w:p>
    <w:p>
      <w:pPr>
        <w:ind w:firstLine="720" w:firstLineChars="300"/>
        <w:rPr>
          <w:rFonts w:ascii="宋体"/>
          <w:sz w:val="24"/>
        </w:rPr>
      </w:pPr>
      <w:r>
        <w:rPr>
          <w:rFonts w:hint="eastAsia" w:ascii="宋体" w:hAnsi="宋体"/>
          <w:sz w:val="24"/>
        </w:rPr>
        <w:t>⑤投标人财务状况报告、依法缴纳税收和社会保障资金的相关证明材料复印件；</w:t>
      </w:r>
    </w:p>
    <w:p>
      <w:pPr>
        <w:ind w:firstLine="720" w:firstLineChars="300"/>
        <w:rPr>
          <w:rFonts w:ascii="宋体" w:hAnsi="宋体"/>
          <w:sz w:val="24"/>
        </w:rPr>
      </w:pPr>
      <w:r>
        <w:rPr>
          <w:rFonts w:hint="eastAsia" w:ascii="宋体" w:hAnsi="宋体"/>
          <w:sz w:val="24"/>
        </w:rPr>
        <w:t>⑥</w:t>
      </w:r>
      <w:r>
        <w:rPr>
          <w:rFonts w:hint="eastAsia" w:ascii="宋体" w:hAnsi="宋体"/>
          <w:color w:val="000000"/>
          <w:sz w:val="24"/>
        </w:rPr>
        <w:t>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供应商认定）；</w:t>
      </w:r>
    </w:p>
    <w:p>
      <w:pPr>
        <w:ind w:firstLine="720" w:firstLineChars="300"/>
        <w:rPr>
          <w:rFonts w:ascii="宋体"/>
          <w:sz w:val="24"/>
        </w:rPr>
      </w:pPr>
      <w:r>
        <w:rPr>
          <w:rFonts w:hint="eastAsia" w:ascii="宋体" w:hAnsi="宋体"/>
          <w:sz w:val="24"/>
        </w:rPr>
        <w:t>⑦</w:t>
      </w:r>
      <w:r>
        <w:rPr>
          <w:rFonts w:hint="eastAsia" w:ascii="宋体" w:hAnsi="宋体"/>
          <w:color w:val="000000"/>
          <w:sz w:val="24"/>
        </w:rPr>
        <w:t>证明投标人业绩和荣誉的有关材料；</w:t>
      </w:r>
    </w:p>
    <w:p>
      <w:pPr>
        <w:ind w:firstLine="720" w:firstLineChars="300"/>
        <w:rPr>
          <w:rFonts w:ascii="宋体"/>
          <w:color w:val="000000"/>
          <w:sz w:val="24"/>
        </w:rPr>
      </w:pPr>
      <w:r>
        <w:rPr>
          <w:rFonts w:hint="eastAsia" w:ascii="宋体" w:hAnsi="宋体"/>
          <w:color w:val="000000"/>
          <w:sz w:val="24"/>
        </w:rPr>
        <w:t>⑧商务条款偏离表；</w:t>
      </w:r>
    </w:p>
    <w:p>
      <w:pPr>
        <w:ind w:firstLine="720" w:firstLineChars="300"/>
        <w:rPr>
          <w:rFonts w:ascii="宋体" w:hAnsi="宋体"/>
          <w:sz w:val="24"/>
        </w:rPr>
      </w:pPr>
      <w:r>
        <w:rPr>
          <w:rFonts w:hint="eastAsia" w:ascii="宋体" w:hAnsi="宋体"/>
          <w:color w:val="000000"/>
          <w:sz w:val="24"/>
        </w:rPr>
        <w:t>⑨</w:t>
      </w:r>
      <w:r>
        <w:rPr>
          <w:rFonts w:hint="eastAsia" w:ascii="宋体" w:hAnsi="宋体"/>
          <w:sz w:val="24"/>
        </w:rPr>
        <w:t>投标人获得相应政府采购政策优惠的，应提供相关证明材料。</w:t>
      </w:r>
    </w:p>
    <w:p>
      <w:pPr>
        <w:ind w:firstLine="720" w:firstLineChars="300"/>
        <w:rPr>
          <w:rFonts w:ascii="宋体"/>
          <w:sz w:val="24"/>
        </w:rPr>
      </w:pPr>
      <w:r>
        <w:rPr>
          <w:rFonts w:hint="eastAsia" w:ascii="宋体" w:hAnsi="宋体"/>
          <w:sz w:val="24"/>
        </w:rPr>
        <w:t>⑩其他投标人认为需要提供的文件和资料。</w:t>
      </w:r>
    </w:p>
    <w:p>
      <w:pPr>
        <w:ind w:firstLine="482"/>
        <w:rPr>
          <w:rFonts w:ascii="宋体"/>
          <w:color w:val="000000"/>
          <w:sz w:val="24"/>
        </w:rPr>
      </w:pPr>
      <w:r>
        <w:rPr>
          <w:rFonts w:hint="eastAsia" w:ascii="宋体" w:hAnsi="宋体"/>
          <w:b/>
          <w:color w:val="000000"/>
          <w:sz w:val="24"/>
        </w:rPr>
        <w:t>注意：</w:t>
      </w:r>
      <w:r>
        <w:rPr>
          <w:rFonts w:hint="eastAsia" w:ascii="宋体" w:hAnsi="宋体"/>
          <w:color w:val="000000"/>
          <w:sz w:val="24"/>
        </w:rPr>
        <w:t>投标人按照招标文件中售后服务要求做出的积极响应和承诺。包括以下内容：</w:t>
      </w:r>
    </w:p>
    <w:p>
      <w:pPr>
        <w:ind w:firstLine="480"/>
        <w:rPr>
          <w:rFonts w:ascii="宋体"/>
          <w:color w:val="000000"/>
          <w:sz w:val="24"/>
        </w:rPr>
      </w:pPr>
      <w:r>
        <w:rPr>
          <w:rFonts w:hint="eastAsia" w:ascii="宋体" w:hAnsi="宋体"/>
          <w:color w:val="000000"/>
          <w:sz w:val="24"/>
        </w:rPr>
        <w:t>①产品制造厂家或投标人设立的售后服务机构网点清单、服务电话和维修人员名单（加盖公章）；</w:t>
      </w:r>
    </w:p>
    <w:p>
      <w:pPr>
        <w:ind w:firstLine="480"/>
        <w:rPr>
          <w:rFonts w:ascii="宋体"/>
          <w:color w:val="000000"/>
          <w:sz w:val="24"/>
        </w:rPr>
      </w:pPr>
      <w:r>
        <w:rPr>
          <w:rFonts w:hint="eastAsia" w:ascii="宋体" w:hAnsi="宋体"/>
          <w:color w:val="000000"/>
          <w:sz w:val="24"/>
        </w:rPr>
        <w:t>②说明投标产品的保修时间、保修期内的保修内容与范围、维修响应时间等。分别提供产品制造厂家和投标人的服务承诺和保障措施；</w:t>
      </w:r>
    </w:p>
    <w:p>
      <w:pPr>
        <w:ind w:firstLine="480"/>
        <w:rPr>
          <w:rFonts w:ascii="宋体"/>
          <w:color w:val="000000"/>
          <w:sz w:val="24"/>
        </w:rPr>
      </w:pPr>
      <w:r>
        <w:rPr>
          <w:rFonts w:hint="eastAsia" w:ascii="宋体" w:hAnsi="宋体"/>
          <w:color w:val="000000"/>
          <w:sz w:val="24"/>
        </w:rPr>
        <w:t>③培训措施：说明培训内容及培训的时间、地点、目标、培训人数、收费标准和办法；</w:t>
      </w:r>
    </w:p>
    <w:p>
      <w:pPr>
        <w:ind w:firstLine="480"/>
        <w:rPr>
          <w:rFonts w:ascii="宋体"/>
          <w:color w:val="000000"/>
          <w:sz w:val="24"/>
        </w:rPr>
      </w:pPr>
      <w:r>
        <w:rPr>
          <w:rFonts w:hint="eastAsia" w:ascii="宋体" w:hAnsi="宋体"/>
          <w:color w:val="000000"/>
          <w:sz w:val="24"/>
        </w:rPr>
        <w:t>④其他有利于用户的服务承诺。</w:t>
      </w:r>
    </w:p>
    <w:p>
      <w:pPr>
        <w:pStyle w:val="4"/>
        <w:spacing w:before="156" w:after="156"/>
        <w:ind w:firstLine="482"/>
      </w:pPr>
      <w:bookmarkStart w:id="148" w:name="_Toc493008684"/>
      <w:bookmarkStart w:id="149" w:name="_Toc27448"/>
      <w:bookmarkStart w:id="150" w:name="_Toc30036"/>
      <w:bookmarkStart w:id="151" w:name="_Toc459622973"/>
      <w:bookmarkStart w:id="152" w:name="_Toc18712"/>
      <w:bookmarkStart w:id="153" w:name="_Toc16927"/>
      <w:r>
        <w:rPr>
          <w:rFonts w:hint="eastAsia"/>
        </w:rPr>
        <w:t>3.</w:t>
      </w:r>
      <w:r>
        <w:t>4.</w:t>
      </w:r>
      <w:r>
        <w:rPr>
          <w:rFonts w:hint="eastAsia"/>
        </w:rPr>
        <w:t>8投标文件格式</w:t>
      </w:r>
      <w:bookmarkEnd w:id="148"/>
      <w:bookmarkEnd w:id="149"/>
      <w:bookmarkEnd w:id="150"/>
      <w:bookmarkEnd w:id="151"/>
      <w:bookmarkEnd w:id="152"/>
      <w:bookmarkEnd w:id="153"/>
    </w:p>
    <w:p>
      <w:pPr>
        <w:ind w:firstLine="480"/>
        <w:rPr>
          <w:rFonts w:ascii="宋体"/>
          <w:sz w:val="24"/>
        </w:rPr>
      </w:pPr>
      <w:r>
        <w:rPr>
          <w:rFonts w:hint="eastAsia" w:ascii="宋体" w:hAnsi="宋体"/>
          <w:sz w:val="24"/>
        </w:rPr>
        <w:t>（1）投标人在制作投标文件时须按照资料内容编制目录。</w:t>
      </w:r>
    </w:p>
    <w:p>
      <w:pPr>
        <w:ind w:firstLine="480"/>
        <w:rPr>
          <w:rFonts w:ascii="宋体"/>
          <w:sz w:val="24"/>
        </w:rPr>
      </w:pPr>
      <w:r>
        <w:rPr>
          <w:rFonts w:hint="eastAsia" w:ascii="宋体" w:hAnsi="宋体"/>
          <w:sz w:val="24"/>
        </w:rPr>
        <w:t>（2）投标人应严格按照招标文件第六章附件中提供的格式填写相关内容。除明确允许投标人可以自行编写的外，投标人不得以格式规定之外的方式填写相关内容。否则，投标人提供的投标文件将作为无效投标处理。</w:t>
      </w:r>
    </w:p>
    <w:p>
      <w:pPr>
        <w:ind w:firstLine="480"/>
        <w:rPr>
          <w:rFonts w:ascii="宋体" w:hAnsi="宋体"/>
          <w:sz w:val="24"/>
        </w:rPr>
      </w:pPr>
      <w:r>
        <w:rPr>
          <w:rFonts w:hint="eastAsia" w:ascii="宋体" w:hAnsi="宋体"/>
          <w:sz w:val="24"/>
        </w:rPr>
        <w:t>（3）对于招标文件中没有要求的表格内容由投标人自行编写。</w:t>
      </w:r>
    </w:p>
    <w:p>
      <w:pPr>
        <w:pStyle w:val="4"/>
        <w:spacing w:before="156" w:after="156"/>
        <w:ind w:firstLine="482"/>
      </w:pPr>
      <w:bookmarkStart w:id="154" w:name="_Toc459622974"/>
      <w:bookmarkStart w:id="155" w:name="_Toc493008685"/>
      <w:bookmarkStart w:id="156" w:name="_Toc28434"/>
      <w:bookmarkStart w:id="157" w:name="_Toc13977"/>
      <w:bookmarkStart w:id="158" w:name="_Toc32246"/>
      <w:bookmarkStart w:id="159" w:name="_Toc10075"/>
      <w:r>
        <w:rPr>
          <w:rFonts w:hint="eastAsia"/>
        </w:rPr>
        <w:t>3.4.9投标有效期</w:t>
      </w:r>
      <w:bookmarkEnd w:id="154"/>
      <w:bookmarkEnd w:id="155"/>
      <w:bookmarkEnd w:id="156"/>
      <w:bookmarkEnd w:id="157"/>
      <w:bookmarkEnd w:id="158"/>
      <w:bookmarkEnd w:id="159"/>
    </w:p>
    <w:p>
      <w:pPr>
        <w:ind w:firstLine="480"/>
        <w:rPr>
          <w:rFonts w:ascii="宋体"/>
          <w:color w:val="000000"/>
          <w:sz w:val="24"/>
        </w:rPr>
      </w:pPr>
      <w:r>
        <w:rPr>
          <w:rFonts w:hint="eastAsia" w:ascii="宋体" w:hAnsi="宋体"/>
          <w:color w:val="000000"/>
          <w:sz w:val="24"/>
        </w:rPr>
        <w:t>投标有效期详见投标人须知前附表2.8。</w:t>
      </w:r>
    </w:p>
    <w:p>
      <w:pPr>
        <w:pStyle w:val="4"/>
        <w:spacing w:before="156" w:after="156"/>
        <w:ind w:firstLine="482"/>
      </w:pPr>
      <w:bookmarkStart w:id="160" w:name="_Toc459622975"/>
      <w:bookmarkStart w:id="161" w:name="_Toc11197"/>
      <w:bookmarkStart w:id="162" w:name="_Toc493008686"/>
      <w:bookmarkStart w:id="163" w:name="_Toc7748"/>
      <w:bookmarkStart w:id="164" w:name="_Toc128372744"/>
      <w:bookmarkStart w:id="165" w:name="_Toc139965340"/>
      <w:bookmarkStart w:id="166" w:name="_Toc10694"/>
      <w:bookmarkStart w:id="167" w:name="_Toc128372066"/>
      <w:bookmarkStart w:id="168" w:name="_Toc7564"/>
      <w:r>
        <w:rPr>
          <w:rFonts w:hint="eastAsia"/>
        </w:rPr>
        <w:t>3.4</w:t>
      </w:r>
      <w:r>
        <w:t>.1</w:t>
      </w:r>
      <w:r>
        <w:rPr>
          <w:rFonts w:hint="eastAsia"/>
        </w:rPr>
        <w:t>0投标保证金</w:t>
      </w:r>
      <w:bookmarkEnd w:id="160"/>
      <w:bookmarkEnd w:id="161"/>
      <w:bookmarkEnd w:id="162"/>
      <w:bookmarkEnd w:id="163"/>
      <w:bookmarkEnd w:id="164"/>
      <w:bookmarkEnd w:id="165"/>
      <w:bookmarkEnd w:id="166"/>
      <w:bookmarkEnd w:id="167"/>
      <w:bookmarkEnd w:id="168"/>
    </w:p>
    <w:p>
      <w:pPr>
        <w:ind w:firstLine="480"/>
        <w:rPr>
          <w:rFonts w:ascii="宋体"/>
          <w:sz w:val="24"/>
        </w:rPr>
      </w:pPr>
      <w:r>
        <w:rPr>
          <w:rFonts w:hint="eastAsia" w:ascii="宋体" w:hAnsi="宋体"/>
          <w:color w:val="000000"/>
          <w:sz w:val="24"/>
        </w:rPr>
        <w:t>投标保证金数额及交纳方式详见投标人须知前附表2.9。</w:t>
      </w:r>
    </w:p>
    <w:p>
      <w:pPr>
        <w:ind w:firstLine="480"/>
        <w:rPr>
          <w:rFonts w:ascii="宋体" w:hAnsi="宋体"/>
          <w:sz w:val="24"/>
        </w:rPr>
      </w:pPr>
      <w:r>
        <w:rPr>
          <w:rFonts w:hint="eastAsia" w:ascii="宋体" w:hAnsi="宋体"/>
          <w:sz w:val="24"/>
        </w:rPr>
        <w:t>对于未能按招标文件要求交纳投标保证金的，投标无效。</w:t>
      </w:r>
    </w:p>
    <w:p>
      <w:pPr>
        <w:ind w:firstLine="480"/>
        <w:rPr>
          <w:rFonts w:ascii="宋体"/>
          <w:color w:val="000000"/>
          <w:sz w:val="24"/>
        </w:rPr>
      </w:pPr>
      <w:r>
        <w:rPr>
          <w:rFonts w:hint="eastAsia" w:ascii="宋体" w:hAnsi="宋体"/>
          <w:sz w:val="24"/>
        </w:rPr>
        <w:t>未中标投标人的投标保证金，在中标通知书发出之日起5个工作日内，投标单位联系采购代理机构办理退还事宜。中标商的投标保证金待与采购人签订合同后即予无息退还，</w:t>
      </w:r>
      <w:r>
        <w:rPr>
          <w:rFonts w:hint="eastAsia" w:ascii="宋体" w:hAnsi="宋体"/>
          <w:color w:val="000000"/>
          <w:sz w:val="24"/>
        </w:rPr>
        <w:t>履约</w:t>
      </w:r>
      <w:r>
        <w:rPr>
          <w:rFonts w:hint="eastAsia" w:ascii="宋体" w:hAnsi="宋体"/>
          <w:sz w:val="24"/>
        </w:rPr>
        <w:t>保证金为中标金额的</w:t>
      </w:r>
      <w:r>
        <w:rPr>
          <w:rFonts w:ascii="宋体" w:hAnsi="宋体"/>
          <w:sz w:val="24"/>
        </w:rPr>
        <w:t>5%</w:t>
      </w:r>
      <w:r>
        <w:rPr>
          <w:rFonts w:hint="eastAsia" w:ascii="宋体" w:hAnsi="宋体"/>
          <w:sz w:val="24"/>
        </w:rPr>
        <w:t>，一年期满无质量问题将无息退还）。</w:t>
      </w:r>
    </w:p>
    <w:p>
      <w:pPr>
        <w:ind w:firstLine="482"/>
        <w:rPr>
          <w:rFonts w:ascii="宋体"/>
          <w:b/>
          <w:color w:val="000000"/>
          <w:sz w:val="24"/>
        </w:rPr>
      </w:pPr>
      <w:r>
        <w:rPr>
          <w:rFonts w:hint="eastAsia" w:ascii="宋体" w:hAnsi="宋体"/>
          <w:b/>
          <w:color w:val="000000"/>
          <w:sz w:val="24"/>
        </w:rPr>
        <w:t>如投标人有下列情况，投标保证金不予退还：</w:t>
      </w:r>
    </w:p>
    <w:p>
      <w:pPr>
        <w:ind w:firstLine="48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）如果投标人在招标文件规定的投标有效期内撤回投标。</w:t>
      </w:r>
    </w:p>
    <w:p>
      <w:pPr>
        <w:ind w:firstLine="48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）由于中标人的原因未能按照招标文件的规定与采购人签订合同。</w:t>
      </w:r>
    </w:p>
    <w:p>
      <w:pPr>
        <w:ind w:firstLine="48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）由于中标人的原因未能按照招标文件的规定交纳履约保证金。</w:t>
      </w:r>
    </w:p>
    <w:p>
      <w:pPr>
        <w:ind w:firstLine="48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）投标有效期内，投标人在政府采购活动中有违规、违纪和违法的行为；</w:t>
      </w:r>
      <w:r>
        <w:rPr>
          <w:rFonts w:hint="eastAsia" w:ascii="宋体" w:hAnsi="宋体"/>
          <w:sz w:val="24"/>
        </w:rPr>
        <w:t>投标提供虚假材料谋取中标的。</w:t>
      </w:r>
    </w:p>
    <w:p>
      <w:pPr>
        <w:ind w:firstLine="480"/>
        <w:rPr>
          <w:rFonts w:ascii="宋体" w:hAnsi="宋体"/>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w:t>
      </w:r>
      <w:r>
        <w:rPr>
          <w:rFonts w:hint="eastAsia" w:ascii="宋体" w:hAnsi="宋体"/>
          <w:sz w:val="24"/>
        </w:rPr>
        <w:t>中标后，无正当理由不签订合同或转让、分包项目以及拒绝履行合同义务的</w:t>
      </w:r>
      <w:r>
        <w:rPr>
          <w:rFonts w:hint="eastAsia" w:ascii="宋体" w:hAnsi="宋体"/>
          <w:color w:val="000000"/>
          <w:sz w:val="24"/>
        </w:rPr>
        <w:t>。</w:t>
      </w:r>
    </w:p>
    <w:p>
      <w:pPr>
        <w:ind w:firstLine="480"/>
        <w:rPr>
          <w:rFonts w:ascii="宋体" w:hAnsi="宋体"/>
          <w:color w:val="000000"/>
          <w:sz w:val="24"/>
        </w:rPr>
      </w:pPr>
      <w:r>
        <w:rPr>
          <w:rFonts w:hint="eastAsia" w:ascii="宋体" w:hAnsi="宋体"/>
          <w:sz w:val="24"/>
        </w:rPr>
        <w:t>（6) 中标公示前和中标公示期间，中标候选人无正当理由放弃中标资格的。</w:t>
      </w:r>
    </w:p>
    <w:p>
      <w:pPr>
        <w:ind w:firstLine="480"/>
        <w:rPr>
          <w:rFonts w:ascii="宋体" w:hAnsi="宋体"/>
          <w:sz w:val="24"/>
        </w:rPr>
      </w:pPr>
      <w:r>
        <w:rPr>
          <w:rFonts w:hint="eastAsia" w:ascii="宋体" w:hAnsi="宋体"/>
          <w:color w:val="333333"/>
          <w:sz w:val="24"/>
        </w:rPr>
        <w:t xml:space="preserve">（7) </w:t>
      </w:r>
      <w:r>
        <w:rPr>
          <w:rFonts w:hint="eastAsia" w:ascii="宋体" w:hAnsi="宋体"/>
          <w:sz w:val="24"/>
        </w:rPr>
        <w:t>中标弃标的法律责任及处理方式：</w:t>
      </w:r>
      <w:r>
        <w:rPr>
          <w:rFonts w:ascii="宋体" w:hAnsi="宋体"/>
          <w:sz w:val="24"/>
        </w:rPr>
        <w:t>中标人的任何弃标行为都是违约行为（不可抗力导致的除外）。中标人放弃中标后，重新招标导致的时间延误和社会成本增加，顺延中标</w:t>
      </w:r>
      <w:r>
        <w:rPr>
          <w:rFonts w:hint="eastAsia" w:ascii="宋体" w:hAnsi="宋体"/>
          <w:sz w:val="24"/>
        </w:rPr>
        <w:t>结</w:t>
      </w:r>
      <w:r>
        <w:rPr>
          <w:rFonts w:ascii="宋体" w:hAnsi="宋体"/>
          <w:sz w:val="24"/>
        </w:rPr>
        <w:t>果导致合同价格抬升，采购人将蒙受合同价格损失。恶意弃标行为出现后，采购人有权要求弃标人依法承担赔偿合同差价损失</w:t>
      </w:r>
      <w:r>
        <w:rPr>
          <w:rFonts w:hint="eastAsia" w:ascii="宋体" w:hAnsi="宋体"/>
          <w:sz w:val="24"/>
        </w:rPr>
        <w:t>，并没收其</w:t>
      </w:r>
      <w:r>
        <w:rPr>
          <w:rFonts w:ascii="宋体" w:hAnsi="宋体"/>
          <w:sz w:val="24"/>
        </w:rPr>
        <w:t>投标保证金</w:t>
      </w:r>
      <w:r>
        <w:rPr>
          <w:rFonts w:hint="eastAsia" w:ascii="宋体" w:hAnsi="宋体"/>
          <w:sz w:val="24"/>
        </w:rPr>
        <w:t>，并报财政部门给予通报，禁止及3年内不得参与省内的投标活动。</w:t>
      </w:r>
    </w:p>
    <w:p>
      <w:pPr>
        <w:pStyle w:val="4"/>
        <w:spacing w:before="156" w:after="156"/>
        <w:ind w:firstLine="482"/>
      </w:pPr>
      <w:bookmarkStart w:id="169" w:name="_Toc139965341"/>
      <w:bookmarkStart w:id="170" w:name="_Toc128372068"/>
      <w:bookmarkStart w:id="171" w:name="_Toc128372746"/>
      <w:bookmarkStart w:id="172" w:name="_Toc459622976"/>
      <w:bookmarkStart w:id="173" w:name="_Toc15013"/>
      <w:bookmarkStart w:id="174" w:name="_Toc22124"/>
      <w:bookmarkStart w:id="175" w:name="_Toc27002"/>
      <w:bookmarkStart w:id="176" w:name="_Toc493008687"/>
      <w:bookmarkStart w:id="177" w:name="_Toc15486"/>
      <w:r>
        <w:rPr>
          <w:rFonts w:hint="eastAsia"/>
        </w:rPr>
        <w:t>3.</w:t>
      </w:r>
      <w:r>
        <w:t>4.</w:t>
      </w:r>
      <w:bookmarkEnd w:id="169"/>
      <w:bookmarkEnd w:id="170"/>
      <w:bookmarkEnd w:id="171"/>
      <w:bookmarkStart w:id="178" w:name="_Toc128372747"/>
      <w:bookmarkStart w:id="179" w:name="_Toc128372069"/>
      <w:bookmarkStart w:id="180" w:name="_Toc139965342"/>
      <w:r>
        <w:t>1</w:t>
      </w:r>
      <w:r>
        <w:rPr>
          <w:rFonts w:hint="eastAsia"/>
        </w:rPr>
        <w:t>1投标文件的份数和签署</w:t>
      </w:r>
      <w:bookmarkEnd w:id="172"/>
      <w:bookmarkEnd w:id="173"/>
      <w:bookmarkEnd w:id="174"/>
      <w:bookmarkEnd w:id="175"/>
      <w:bookmarkEnd w:id="176"/>
      <w:bookmarkEnd w:id="177"/>
      <w:bookmarkEnd w:id="178"/>
      <w:bookmarkEnd w:id="179"/>
      <w:bookmarkEnd w:id="180"/>
    </w:p>
    <w:p>
      <w:pPr>
        <w:ind w:firstLine="480"/>
        <w:rPr>
          <w:rFonts w:ascii="宋体" w:hAnsi="宋体"/>
          <w:sz w:val="24"/>
        </w:rPr>
      </w:pPr>
      <w:bookmarkStart w:id="181" w:name="_Toc139965345"/>
      <w:bookmarkStart w:id="182" w:name="_Toc128372072"/>
      <w:bookmarkStart w:id="183" w:name="_Toc128372750"/>
      <w:r>
        <w:rPr>
          <w:rFonts w:hint="eastAsia" w:ascii="宋体" w:hAnsi="宋体"/>
          <w:sz w:val="24"/>
        </w:rPr>
        <w:t>投标文件的份数详见投标人须知前附表2.10。</w:t>
      </w:r>
    </w:p>
    <w:p>
      <w:pPr>
        <w:ind w:firstLine="480"/>
        <w:rPr>
          <w:rFonts w:ascii="宋体"/>
          <w:color w:val="000000"/>
          <w:sz w:val="24"/>
        </w:rPr>
      </w:pPr>
      <w:r>
        <w:rPr>
          <w:rFonts w:hint="eastAsia" w:ascii="宋体" w:hAnsi="宋体"/>
          <w:color w:val="000000"/>
          <w:sz w:val="24"/>
        </w:rPr>
        <w:t>明确标明“正本”和“副本”字样，投标文件正本和副本如有不一致之处，以正本为准。</w:t>
      </w:r>
    </w:p>
    <w:p>
      <w:pPr>
        <w:ind w:firstLine="480"/>
        <w:rPr>
          <w:color w:val="000000"/>
          <w:sz w:val="24"/>
        </w:rPr>
      </w:pPr>
      <w:r>
        <w:rPr>
          <w:rFonts w:hint="eastAsia" w:ascii="宋体" w:hAnsi="宋体"/>
          <w:color w:val="000000"/>
          <w:sz w:val="24"/>
        </w:rPr>
        <w:t>投标文件中除要求由投标人法定代表人或被授权人签字的内容必须签字、盖章外，其他每页也须加盖公章。</w:t>
      </w:r>
      <w:r>
        <w:rPr>
          <w:rFonts w:hint="eastAsia"/>
          <w:color w:val="000000"/>
          <w:sz w:val="24"/>
        </w:rPr>
        <w:t>投标文件应使用不能擦去的墨水打印或书写。全套投标文件应无涂改和行间插字，除非这些删改是根据招标人的指示进行的，或者是投标人造成的必须修改的错误。修改处应由法人或授权的投标代表签字证明。</w:t>
      </w:r>
    </w:p>
    <w:p>
      <w:pPr>
        <w:pStyle w:val="4"/>
        <w:spacing w:before="120" w:after="120"/>
        <w:ind w:firstLine="482"/>
      </w:pPr>
      <w:bookmarkStart w:id="184" w:name="_Toc14181"/>
      <w:bookmarkStart w:id="185" w:name="_Toc139965344"/>
      <w:bookmarkStart w:id="186" w:name="_Toc27565"/>
      <w:bookmarkStart w:id="187" w:name="_Toc128372071"/>
      <w:bookmarkStart w:id="188" w:name="_Toc2277"/>
      <w:bookmarkStart w:id="189" w:name="_Toc128372749"/>
      <w:bookmarkStart w:id="190" w:name="_Toc459622977"/>
      <w:bookmarkStart w:id="191" w:name="_Toc493008688"/>
      <w:bookmarkStart w:id="192" w:name="_Toc16772"/>
      <w:r>
        <w:rPr>
          <w:rFonts w:hint="eastAsia"/>
        </w:rPr>
        <w:t>3.</w:t>
      </w:r>
      <w:r>
        <w:t>4.1</w:t>
      </w:r>
      <w:r>
        <w:rPr>
          <w:rFonts w:hint="eastAsia"/>
        </w:rPr>
        <w:t>2投标文件的密封</w:t>
      </w:r>
      <w:bookmarkEnd w:id="184"/>
      <w:bookmarkEnd w:id="185"/>
      <w:bookmarkEnd w:id="186"/>
      <w:bookmarkEnd w:id="187"/>
      <w:bookmarkEnd w:id="188"/>
      <w:bookmarkEnd w:id="189"/>
      <w:bookmarkEnd w:id="190"/>
      <w:bookmarkEnd w:id="191"/>
      <w:bookmarkEnd w:id="192"/>
    </w:p>
    <w:p>
      <w:pPr>
        <w:ind w:firstLine="480"/>
        <w:rPr>
          <w:rFonts w:ascii="宋体"/>
          <w:color w:val="000000"/>
          <w:sz w:val="24"/>
        </w:rPr>
      </w:pPr>
      <w:r>
        <w:rPr>
          <w:rFonts w:hint="eastAsia" w:ascii="宋体" w:hAnsi="宋体"/>
          <w:sz w:val="24"/>
        </w:rPr>
        <w:t>投标人的投标文件（包括正、副本、电子版）用信封密封，并在信封上标明“项目名称”、“招标编号”、“投标商名称”（盖公章），在封口处加盖骑缝章。有多个标段（包）的，投标文件按标段（包）分别密封包装。</w:t>
      </w:r>
    </w:p>
    <w:p>
      <w:pPr>
        <w:ind w:firstLine="480"/>
        <w:rPr>
          <w:rFonts w:ascii="宋体"/>
          <w:color w:val="000000"/>
          <w:sz w:val="32"/>
        </w:rPr>
      </w:pPr>
      <w:r>
        <w:rPr>
          <w:rFonts w:hint="eastAsia" w:ascii="宋体" w:hAnsi="宋体"/>
          <w:color w:val="000000"/>
          <w:sz w:val="24"/>
        </w:rPr>
        <w:t>为方便招标人唱标，投标人请另做一份由投标人法定代表人或被授权人签字、盖投标人公章的书面投标报价表，即开标一览表（格式见附件5）</w:t>
      </w:r>
      <w:r>
        <w:rPr>
          <w:rFonts w:hint="eastAsia" w:ascii="宋体" w:hAnsi="宋体"/>
          <w:sz w:val="24"/>
        </w:rPr>
        <w:t>，单独密封于一小信封内，（</w:t>
      </w:r>
      <w:r>
        <w:rPr>
          <w:rFonts w:hint="eastAsia" w:ascii="宋体" w:hAnsi="宋体"/>
          <w:color w:val="000000"/>
          <w:sz w:val="24"/>
        </w:rPr>
        <w:t>密封要求与投标文件密封要求相同），同投标文件一同单独递交。</w:t>
      </w:r>
    </w:p>
    <w:p>
      <w:pPr>
        <w:pStyle w:val="4"/>
        <w:spacing w:before="156" w:after="156"/>
        <w:ind w:firstLine="482"/>
      </w:pPr>
      <w:bookmarkStart w:id="193" w:name="_Toc493008689"/>
      <w:bookmarkStart w:id="194" w:name="_Toc459622978"/>
      <w:bookmarkStart w:id="195" w:name="_Toc6141"/>
      <w:bookmarkStart w:id="196" w:name="_Toc10090"/>
      <w:bookmarkStart w:id="197" w:name="_Toc17713"/>
      <w:bookmarkStart w:id="198" w:name="_Toc6545"/>
      <w:r>
        <w:rPr>
          <w:rFonts w:hint="eastAsia"/>
        </w:rPr>
        <w:t>3.</w:t>
      </w:r>
      <w:r>
        <w:t>4.1</w:t>
      </w:r>
      <w:r>
        <w:rPr>
          <w:rFonts w:hint="eastAsia"/>
        </w:rPr>
        <w:t>3投标文件递交</w:t>
      </w:r>
      <w:bookmarkEnd w:id="181"/>
      <w:bookmarkEnd w:id="182"/>
      <w:bookmarkEnd w:id="183"/>
      <w:bookmarkEnd w:id="193"/>
      <w:bookmarkEnd w:id="194"/>
      <w:bookmarkEnd w:id="195"/>
      <w:bookmarkEnd w:id="196"/>
      <w:bookmarkEnd w:id="197"/>
      <w:bookmarkEnd w:id="198"/>
    </w:p>
    <w:p>
      <w:pPr>
        <w:ind w:firstLine="480"/>
        <w:rPr>
          <w:rFonts w:ascii="宋体"/>
          <w:sz w:val="24"/>
          <w:szCs w:val="30"/>
        </w:rPr>
      </w:pPr>
      <w:r>
        <w:rPr>
          <w:rFonts w:hint="eastAsia" w:ascii="宋体" w:hAnsi="宋体"/>
          <w:sz w:val="24"/>
          <w:szCs w:val="30"/>
        </w:rPr>
        <w:t>投标文件应在投标文件递交时间内送达</w:t>
      </w:r>
      <w:r>
        <w:rPr>
          <w:rFonts w:hint="eastAsia" w:ascii="宋体" w:hAnsi="宋体"/>
          <w:sz w:val="24"/>
        </w:rPr>
        <w:t>招标文件指定地点，招标</w:t>
      </w:r>
      <w:r>
        <w:rPr>
          <w:rFonts w:hint="eastAsia" w:ascii="宋体" w:hAnsi="宋体"/>
          <w:sz w:val="24"/>
          <w:szCs w:val="30"/>
        </w:rPr>
        <w:t>人将拒绝接受在投标截止时间后递交的投标文件。</w:t>
      </w:r>
    </w:p>
    <w:p>
      <w:pPr>
        <w:pStyle w:val="4"/>
        <w:spacing w:before="156" w:after="156"/>
        <w:ind w:firstLine="482"/>
      </w:pPr>
      <w:bookmarkStart w:id="199" w:name="_Toc139965346"/>
      <w:bookmarkStart w:id="200" w:name="_Toc128372073"/>
      <w:bookmarkStart w:id="201" w:name="_Toc128372751"/>
      <w:bookmarkStart w:id="202" w:name="_Toc15483"/>
      <w:bookmarkStart w:id="203" w:name="_Toc10133"/>
      <w:bookmarkStart w:id="204" w:name="_Toc21950"/>
      <w:bookmarkStart w:id="205" w:name="_Toc459622979"/>
      <w:bookmarkStart w:id="206" w:name="_Toc493008690"/>
      <w:bookmarkStart w:id="207" w:name="_Toc30207"/>
      <w:r>
        <w:rPr>
          <w:rFonts w:hint="eastAsia"/>
        </w:rPr>
        <w:t>3.</w:t>
      </w:r>
      <w:r>
        <w:t>4.1</w:t>
      </w:r>
      <w:r>
        <w:rPr>
          <w:rFonts w:hint="eastAsia"/>
        </w:rPr>
        <w:t>4投标</w:t>
      </w:r>
      <w:bookmarkEnd w:id="199"/>
      <w:bookmarkEnd w:id="200"/>
      <w:bookmarkEnd w:id="201"/>
      <w:r>
        <w:rPr>
          <w:rFonts w:hint="eastAsia"/>
        </w:rPr>
        <w:t>文件递交截止时间</w:t>
      </w:r>
      <w:bookmarkEnd w:id="202"/>
      <w:bookmarkEnd w:id="203"/>
      <w:bookmarkEnd w:id="204"/>
      <w:bookmarkEnd w:id="205"/>
      <w:bookmarkEnd w:id="206"/>
      <w:bookmarkEnd w:id="207"/>
    </w:p>
    <w:p>
      <w:pPr>
        <w:ind w:firstLine="600" w:firstLineChars="250"/>
        <w:rPr>
          <w:rFonts w:ascii="宋体" w:hAnsi="宋体"/>
          <w:sz w:val="24"/>
        </w:rPr>
      </w:pPr>
      <w:r>
        <w:rPr>
          <w:rFonts w:hint="eastAsia" w:ascii="宋体" w:hAnsi="宋体"/>
          <w:sz w:val="24"/>
        </w:rPr>
        <w:t>投标文件递交截止时间详见投标人须知前附表2.6。</w:t>
      </w:r>
    </w:p>
    <w:p>
      <w:pPr>
        <w:ind w:firstLine="600" w:firstLineChars="250"/>
        <w:rPr>
          <w:rFonts w:ascii="宋体" w:hAnsi="宋体"/>
          <w:sz w:val="24"/>
        </w:rPr>
      </w:pPr>
      <w:r>
        <w:rPr>
          <w:rFonts w:hint="eastAsia" w:ascii="宋体" w:hAnsi="宋体"/>
          <w:sz w:val="24"/>
        </w:rPr>
        <w:t>招标人或代理机构可视具体情况，延长投标截止时间和开标时间，但应当在提交投标文件截止时间3日前。变更时间应当在《甘肃政府采购网》《白银市公共资源交易中心网》发布。</w:t>
      </w:r>
    </w:p>
    <w:p>
      <w:pPr>
        <w:pStyle w:val="4"/>
        <w:spacing w:before="156" w:after="156"/>
        <w:ind w:firstLine="482"/>
      </w:pPr>
      <w:bookmarkStart w:id="208" w:name="_Toc17854"/>
      <w:bookmarkStart w:id="209" w:name="_Toc32664"/>
      <w:bookmarkStart w:id="210" w:name="_Toc128372752"/>
      <w:bookmarkStart w:id="211" w:name="_Toc17945"/>
      <w:bookmarkStart w:id="212" w:name="_Toc459622980"/>
      <w:bookmarkStart w:id="213" w:name="_Toc139965347"/>
      <w:bookmarkStart w:id="214" w:name="_Toc128372074"/>
      <w:bookmarkStart w:id="215" w:name="_Toc493008691"/>
      <w:bookmarkStart w:id="216" w:name="_Toc9506"/>
      <w:r>
        <w:rPr>
          <w:rFonts w:hint="eastAsia"/>
        </w:rPr>
        <w:t>3.</w:t>
      </w:r>
      <w:r>
        <w:t>4.1</w:t>
      </w:r>
      <w:r>
        <w:rPr>
          <w:rFonts w:hint="eastAsia"/>
        </w:rPr>
        <w:t>5投标文件的修改与撤回</w:t>
      </w:r>
      <w:bookmarkEnd w:id="208"/>
      <w:bookmarkEnd w:id="209"/>
      <w:bookmarkEnd w:id="210"/>
      <w:bookmarkEnd w:id="211"/>
      <w:bookmarkEnd w:id="212"/>
      <w:bookmarkEnd w:id="213"/>
      <w:bookmarkEnd w:id="214"/>
      <w:bookmarkEnd w:id="215"/>
      <w:bookmarkEnd w:id="216"/>
    </w:p>
    <w:p>
      <w:pPr>
        <w:ind w:firstLine="480"/>
        <w:rPr>
          <w:rFonts w:ascii="宋体"/>
          <w:color w:val="000000"/>
          <w:sz w:val="24"/>
        </w:rPr>
      </w:pPr>
      <w:r>
        <w:rPr>
          <w:rFonts w:hint="eastAsia" w:ascii="宋体" w:hAnsi="宋体"/>
          <w:color w:val="000000"/>
          <w:sz w:val="24"/>
        </w:rPr>
        <w:t>投标人可以在递交投标文件以后，在规定的投标截止时间之前，可以书面形式向招标人递交修改或撤回其投标文件的通知。在投标截止时间以后，不能更改投标文件。</w:t>
      </w:r>
    </w:p>
    <w:p>
      <w:pPr>
        <w:ind w:firstLine="480"/>
        <w:rPr>
          <w:rFonts w:ascii="宋体" w:hAnsi="宋体"/>
          <w:color w:val="000000"/>
          <w:sz w:val="24"/>
        </w:rPr>
      </w:pPr>
      <w:r>
        <w:rPr>
          <w:rFonts w:hint="eastAsia" w:ascii="宋体" w:hAnsi="宋体"/>
          <w:color w:val="000000"/>
          <w:sz w:val="24"/>
        </w:rPr>
        <w:t>投标人的修改或撤回通知，应单独密封在一个信封中，在信封上注明“修改”或“撤回”的字样。同时，信封上还须按投标文件的密封要求加写标志。</w:t>
      </w:r>
    </w:p>
    <w:p>
      <w:pPr>
        <w:pStyle w:val="4"/>
        <w:spacing w:before="156" w:after="156"/>
        <w:ind w:firstLine="482"/>
      </w:pPr>
      <w:bookmarkStart w:id="217" w:name="_Toc14774"/>
      <w:bookmarkStart w:id="218" w:name="_Toc5924"/>
      <w:bookmarkStart w:id="219" w:name="_Toc9793"/>
      <w:bookmarkStart w:id="220" w:name="_Toc493008692"/>
      <w:bookmarkStart w:id="221" w:name="_Toc459622981"/>
      <w:bookmarkStart w:id="222" w:name="_Toc13286"/>
      <w:r>
        <w:rPr>
          <w:rFonts w:hint="eastAsia"/>
        </w:rPr>
        <w:t>3.4.16特殊情形的规定</w:t>
      </w:r>
      <w:bookmarkEnd w:id="217"/>
      <w:bookmarkEnd w:id="218"/>
      <w:bookmarkEnd w:id="219"/>
      <w:bookmarkEnd w:id="220"/>
      <w:bookmarkEnd w:id="221"/>
      <w:bookmarkEnd w:id="222"/>
    </w:p>
    <w:p>
      <w:pPr>
        <w:pStyle w:val="20"/>
        <w:snapToGrid w:val="0"/>
        <w:spacing w:line="360" w:lineRule="auto"/>
        <w:ind w:firstLine="480"/>
        <w:jc w:val="left"/>
        <w:rPr>
          <w:rFonts w:hAnsi="宋体"/>
          <w:sz w:val="24"/>
          <w:szCs w:val="24"/>
        </w:rPr>
      </w:pPr>
      <w:r>
        <w:rPr>
          <w:rFonts w:hint="eastAsia" w:hAnsi="宋体"/>
          <w:sz w:val="24"/>
          <w:szCs w:val="24"/>
        </w:rPr>
        <w:t>特殊情形是指：在规定的投标截止时间</w:t>
      </w:r>
      <w:r>
        <w:rPr>
          <w:rFonts w:hint="eastAsia" w:hAnsi="宋体" w:cs="宋体"/>
          <w:sz w:val="24"/>
          <w:szCs w:val="24"/>
          <w:lang w:val="zh-CN"/>
        </w:rPr>
        <w:t>递交投标文件或者经评审实质性响应招标文件要求的供应商不足3家的情形。</w:t>
      </w:r>
    </w:p>
    <w:p>
      <w:pPr>
        <w:tabs>
          <w:tab w:val="left" w:pos="570"/>
          <w:tab w:val="left" w:pos="7560"/>
          <w:tab w:val="left" w:pos="7740"/>
          <w:tab w:val="left" w:pos="8280"/>
        </w:tabs>
        <w:adjustRightInd w:val="0"/>
        <w:snapToGrid w:val="0"/>
        <w:ind w:right="31" w:rightChars="15" w:firstLine="480"/>
        <w:jc w:val="left"/>
        <w:rPr>
          <w:rFonts w:ascii="宋体" w:hAnsi="宋体"/>
          <w:sz w:val="24"/>
        </w:rPr>
      </w:pPr>
      <w:r>
        <w:rPr>
          <w:rFonts w:hint="eastAsia" w:ascii="宋体" w:hAnsi="宋体"/>
          <w:sz w:val="24"/>
        </w:rPr>
        <w:t>（1）根据政府采购货物和服务招标投标管理办法（财政部令第87号）第四十一条的规定，投标人不足3家的，不得开标。</w:t>
      </w:r>
    </w:p>
    <w:p>
      <w:pPr>
        <w:tabs>
          <w:tab w:val="left" w:pos="570"/>
          <w:tab w:val="left" w:pos="7560"/>
          <w:tab w:val="left" w:pos="7740"/>
          <w:tab w:val="left" w:pos="8280"/>
        </w:tabs>
        <w:adjustRightInd w:val="0"/>
        <w:snapToGrid w:val="0"/>
        <w:ind w:right="31" w:rightChars="15" w:firstLine="480"/>
        <w:jc w:val="left"/>
        <w:rPr>
          <w:rFonts w:ascii="宋体" w:hAnsi="宋体"/>
          <w:sz w:val="24"/>
        </w:rPr>
      </w:pPr>
      <w:r>
        <w:rPr>
          <w:rFonts w:hint="eastAsia" w:ascii="宋体" w:hAnsi="宋体"/>
          <w:sz w:val="24"/>
        </w:rPr>
        <w:t>（2）公开招标数额标准以上的采购项目，投标截止后投标人不足3家或者通过资格审查或符合性审查的投标人不足3家的，除采购任务取消情形外，按照以下方式处理：</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hAnsi="宋体"/>
          <w:sz w:val="24"/>
        </w:rPr>
      </w:pPr>
      <w:r>
        <w:rPr>
          <w:rFonts w:hint="eastAsia" w:ascii="宋体" w:hAnsi="宋体"/>
          <w:sz w:val="24"/>
        </w:rPr>
        <w:t>①招标文件存在不合理条款或者招标程序不符合规定的，采购人、采购代理机构改正后依法重新招标；</w:t>
      </w:r>
    </w:p>
    <w:p>
      <w:pPr>
        <w:tabs>
          <w:tab w:val="left" w:pos="570"/>
          <w:tab w:val="left" w:pos="7560"/>
          <w:tab w:val="left" w:pos="7740"/>
          <w:tab w:val="left" w:pos="8280"/>
        </w:tabs>
        <w:adjustRightInd w:val="0"/>
        <w:snapToGrid w:val="0"/>
        <w:ind w:left="359" w:leftChars="171" w:right="31" w:rightChars="15" w:firstLine="240" w:firstLineChars="100"/>
        <w:jc w:val="left"/>
        <w:rPr>
          <w:rFonts w:ascii="宋体" w:hAnsi="宋体"/>
          <w:b/>
          <w:color w:val="FF0000"/>
          <w:sz w:val="24"/>
        </w:rPr>
      </w:pPr>
      <w:r>
        <w:rPr>
          <w:rFonts w:hint="eastAsia" w:ascii="宋体" w:hAnsi="宋体"/>
          <w:sz w:val="24"/>
        </w:rPr>
        <w:t>②招标文件没有不合理条款、招标程序符合规定，需要采用其他采购方式采购的，采购人应当依法报财政部门批准。</w:t>
      </w:r>
    </w:p>
    <w:p>
      <w:pPr>
        <w:pStyle w:val="4"/>
        <w:ind w:firstLine="482"/>
      </w:pPr>
      <w:bookmarkStart w:id="223" w:name="_Toc14018"/>
      <w:r>
        <w:rPr>
          <w:rFonts w:hint="eastAsia"/>
        </w:rPr>
        <w:t>3.4.17投标人出现以下情况，采购人（代理机构）将拒收其递交的投标文件。</w:t>
      </w:r>
      <w:bookmarkEnd w:id="223"/>
    </w:p>
    <w:p>
      <w:pPr>
        <w:ind w:firstLine="600" w:firstLineChars="250"/>
        <w:rPr>
          <w:rFonts w:ascii="宋体" w:hAnsi="宋体"/>
          <w:color w:val="000000"/>
          <w:sz w:val="24"/>
        </w:rPr>
      </w:pPr>
      <w:r>
        <w:rPr>
          <w:rFonts w:hint="eastAsia" w:ascii="宋体" w:hAnsi="宋体"/>
          <w:color w:val="000000"/>
          <w:sz w:val="24"/>
        </w:rPr>
        <w:t>（1）逾期送达投标文件的。</w:t>
      </w:r>
    </w:p>
    <w:p>
      <w:pPr>
        <w:ind w:firstLine="600" w:firstLineChars="250"/>
        <w:rPr>
          <w:rFonts w:ascii="宋体" w:hAnsi="宋体"/>
          <w:color w:val="000000"/>
          <w:sz w:val="24"/>
        </w:rPr>
      </w:pPr>
      <w:r>
        <w:rPr>
          <w:rFonts w:hint="eastAsia" w:ascii="宋体" w:hAnsi="宋体"/>
          <w:color w:val="000000"/>
          <w:sz w:val="24"/>
        </w:rPr>
        <w:t>（2）未按招标文件要求密封投标文件的。</w:t>
      </w:r>
    </w:p>
    <w:p>
      <w:pPr>
        <w:ind w:firstLine="600" w:firstLineChars="250"/>
        <w:rPr>
          <w:rFonts w:ascii="宋体" w:hAnsi="宋体"/>
          <w:color w:val="000000"/>
          <w:sz w:val="24"/>
        </w:rPr>
      </w:pPr>
      <w:r>
        <w:rPr>
          <w:rFonts w:hint="eastAsia" w:ascii="宋体" w:hAnsi="宋体"/>
          <w:color w:val="000000"/>
          <w:sz w:val="24"/>
        </w:rPr>
        <w:t>（3）未按规定交纳保证金的。</w:t>
      </w:r>
    </w:p>
    <w:p>
      <w:pPr>
        <w:ind w:firstLine="600" w:firstLineChars="250"/>
        <w:rPr>
          <w:rFonts w:ascii="宋体" w:hAnsi="宋体"/>
          <w:color w:val="000000"/>
          <w:sz w:val="24"/>
        </w:rPr>
      </w:pPr>
      <w:r>
        <w:rPr>
          <w:rFonts w:hint="eastAsia" w:ascii="宋体" w:hAnsi="宋体"/>
          <w:color w:val="000000"/>
          <w:sz w:val="24"/>
        </w:rPr>
        <w:t>（4）投标单位出席开标会议时，法定代表人不能出具法人代表证明材料的或授权代表不能出具授权委托书原件的。</w:t>
      </w:r>
    </w:p>
    <w:p>
      <w:pPr>
        <w:pStyle w:val="3"/>
        <w:jc w:val="left"/>
        <w:rPr>
          <w:rFonts w:ascii="宋体" w:hAnsi="宋体"/>
          <w:szCs w:val="28"/>
        </w:rPr>
      </w:pPr>
      <w:bookmarkStart w:id="224" w:name="_Toc447272155"/>
      <w:bookmarkStart w:id="225" w:name="_Toc128372753"/>
      <w:bookmarkStart w:id="226" w:name="_Toc18545"/>
      <w:bookmarkStart w:id="227" w:name="_Toc493008693"/>
      <w:bookmarkStart w:id="228" w:name="_Toc128372075"/>
      <w:bookmarkStart w:id="229" w:name="_Toc5604"/>
      <w:bookmarkStart w:id="230" w:name="_Toc22312"/>
      <w:bookmarkStart w:id="231" w:name="_Toc447207018"/>
      <w:bookmarkStart w:id="232" w:name="_Toc139965348"/>
      <w:bookmarkStart w:id="233" w:name="_Toc459622982"/>
      <w:bookmarkStart w:id="234" w:name="_Toc21926"/>
      <w:r>
        <w:rPr>
          <w:rFonts w:hint="eastAsia" w:ascii="宋体" w:hAnsi="宋体"/>
          <w:szCs w:val="28"/>
        </w:rPr>
        <w:t>3.5 开标</w:t>
      </w:r>
      <w:bookmarkEnd w:id="224"/>
      <w:bookmarkEnd w:id="225"/>
      <w:bookmarkEnd w:id="226"/>
      <w:bookmarkEnd w:id="227"/>
      <w:bookmarkEnd w:id="228"/>
      <w:bookmarkEnd w:id="229"/>
      <w:bookmarkEnd w:id="230"/>
      <w:bookmarkEnd w:id="231"/>
      <w:bookmarkEnd w:id="232"/>
      <w:bookmarkEnd w:id="233"/>
      <w:bookmarkEnd w:id="234"/>
    </w:p>
    <w:p>
      <w:pPr>
        <w:pStyle w:val="4"/>
        <w:ind w:firstLine="482"/>
      </w:pPr>
      <w:bookmarkStart w:id="235" w:name="_Toc9392"/>
      <w:bookmarkStart w:id="236" w:name="_Toc493008694"/>
      <w:bookmarkStart w:id="237" w:name="_Toc31595"/>
      <w:bookmarkStart w:id="238" w:name="_Toc11482"/>
      <w:bookmarkStart w:id="239" w:name="_Toc459622983"/>
      <w:bookmarkStart w:id="240" w:name="_Toc9158"/>
      <w:r>
        <w:rPr>
          <w:rFonts w:hint="eastAsia"/>
        </w:rPr>
        <w:t>3.5.1  开标内容及注意事项</w:t>
      </w:r>
      <w:bookmarkEnd w:id="235"/>
      <w:bookmarkEnd w:id="236"/>
      <w:bookmarkEnd w:id="237"/>
      <w:bookmarkEnd w:id="238"/>
      <w:bookmarkEnd w:id="239"/>
      <w:bookmarkEnd w:id="240"/>
    </w:p>
    <w:p>
      <w:pPr>
        <w:ind w:firstLine="480"/>
        <w:rPr>
          <w:rFonts w:ascii="宋体" w:hAnsi="宋体"/>
          <w:color w:val="000000"/>
          <w:sz w:val="24"/>
        </w:rPr>
      </w:pPr>
      <w:r>
        <w:rPr>
          <w:rFonts w:hint="eastAsia" w:ascii="宋体" w:hAnsi="宋体"/>
          <w:color w:val="000000"/>
          <w:sz w:val="24"/>
        </w:rPr>
        <w:t>（1）招标人将于本招标文件规定的开标时间和地点举行开标会议，投标人代表必须参加开标会议。</w:t>
      </w:r>
    </w:p>
    <w:p>
      <w:pPr>
        <w:ind w:firstLine="480"/>
        <w:rPr>
          <w:rFonts w:ascii="宋体"/>
          <w:color w:val="000000"/>
          <w:sz w:val="24"/>
        </w:rPr>
      </w:pPr>
      <w:r>
        <w:rPr>
          <w:rFonts w:hint="eastAsia" w:ascii="宋体"/>
          <w:color w:val="000000"/>
          <w:sz w:val="24"/>
        </w:rPr>
        <w:t>（2）投标人代表为法定代表人的，投标时应出示其身份证原件和《法定代表人资格证明书》 （式样见第六章附件）；非法定代表人的，除出示其身份证原件外，还须持有《法定代表人授权委托书》（式样见第六章附件）</w:t>
      </w:r>
    </w:p>
    <w:p>
      <w:pPr>
        <w:ind w:firstLine="480"/>
        <w:rPr>
          <w:rFonts w:ascii="宋体"/>
          <w:color w:val="000000"/>
          <w:sz w:val="24"/>
        </w:rPr>
      </w:pPr>
      <w:r>
        <w:rPr>
          <w:rFonts w:hint="eastAsia" w:ascii="宋体" w:hAnsi="宋体"/>
          <w:color w:val="000000"/>
          <w:sz w:val="24"/>
        </w:rPr>
        <w:t>（3）开标会议在有关监督部门及投标人的监督下，由招标人组织并主持，除投标截止时间后递交的投标文件外，由投标人代表和监督人检查投标文件是否符合招标文件的密封要求，未按招标文件要求密封的，将被视为无效投标文件。</w:t>
      </w:r>
    </w:p>
    <w:p>
      <w:pPr>
        <w:ind w:firstLine="480"/>
        <w:rPr>
          <w:rFonts w:ascii="宋体"/>
          <w:color w:val="000000"/>
          <w:sz w:val="24"/>
        </w:rPr>
      </w:pPr>
      <w:r>
        <w:rPr>
          <w:rFonts w:hint="eastAsia" w:ascii="宋体" w:hAnsi="宋体"/>
          <w:color w:val="000000"/>
          <w:sz w:val="24"/>
        </w:rPr>
        <w:t>（4）开标后，将由招标人按照递交投标文件的逆顺序，公开宣读有效投标人的开标一览表所有内容，以及招标人认为必要的其它内容。</w:t>
      </w:r>
    </w:p>
    <w:p>
      <w:pPr>
        <w:ind w:firstLine="480"/>
        <w:rPr>
          <w:rFonts w:ascii="宋体"/>
          <w:color w:val="000000"/>
          <w:sz w:val="24"/>
        </w:rPr>
      </w:pPr>
      <w:r>
        <w:rPr>
          <w:rFonts w:hint="eastAsia" w:ascii="宋体" w:hAnsi="宋体"/>
          <w:color w:val="000000"/>
          <w:sz w:val="24"/>
        </w:rPr>
        <w:t>（5）招标人有权就投标文件中含混之处向投标人提出询问或澄清要求。</w:t>
      </w:r>
    </w:p>
    <w:p>
      <w:pPr>
        <w:ind w:firstLine="480"/>
        <w:rPr>
          <w:rFonts w:ascii="宋体"/>
          <w:color w:val="000000"/>
          <w:sz w:val="24"/>
        </w:rPr>
      </w:pPr>
      <w:r>
        <w:rPr>
          <w:rFonts w:hint="eastAsia" w:ascii="宋体" w:hAnsi="宋体"/>
          <w:color w:val="000000"/>
          <w:sz w:val="24"/>
        </w:rPr>
        <w:t>（6）公开开标后，直到向中标的投标人授予合同时止，凡与审查、澄清、评价和比较投标的有关资料以及授标意见等均不得向投标人及与投标无关的其他人透露。</w:t>
      </w:r>
    </w:p>
    <w:p>
      <w:pPr>
        <w:pStyle w:val="3"/>
        <w:rPr>
          <w:rFonts w:ascii="宋体" w:hAnsi="宋体"/>
        </w:rPr>
      </w:pPr>
      <w:bookmarkStart w:id="241" w:name="_Toc459622984"/>
      <w:bookmarkStart w:id="242" w:name="_Toc447207019"/>
      <w:bookmarkStart w:id="243" w:name="_Toc447272156"/>
      <w:bookmarkStart w:id="244" w:name="_Toc9701"/>
      <w:bookmarkStart w:id="245" w:name="_Toc493008695"/>
      <w:bookmarkStart w:id="246" w:name="_Toc21680"/>
      <w:bookmarkStart w:id="247" w:name="_Toc20407"/>
      <w:bookmarkStart w:id="248" w:name="_Toc5489"/>
      <w:r>
        <w:rPr>
          <w:rFonts w:hint="eastAsia" w:ascii="宋体" w:hAnsi="宋体"/>
        </w:rPr>
        <w:t>3.6 评标</w:t>
      </w:r>
      <w:bookmarkEnd w:id="241"/>
      <w:bookmarkEnd w:id="242"/>
      <w:bookmarkEnd w:id="243"/>
      <w:bookmarkEnd w:id="244"/>
      <w:bookmarkEnd w:id="245"/>
      <w:bookmarkEnd w:id="246"/>
      <w:bookmarkEnd w:id="247"/>
      <w:bookmarkEnd w:id="248"/>
    </w:p>
    <w:p>
      <w:pPr>
        <w:pStyle w:val="4"/>
        <w:ind w:firstLine="482"/>
        <w:rPr>
          <w:rFonts w:ascii="宋体" w:hAnsi="宋体"/>
        </w:rPr>
      </w:pPr>
      <w:bookmarkStart w:id="249" w:name="_Toc1438"/>
      <w:bookmarkStart w:id="250" w:name="_Toc459622985"/>
      <w:bookmarkStart w:id="251" w:name="_Toc493008696"/>
      <w:bookmarkStart w:id="252" w:name="_Toc7253"/>
      <w:bookmarkStart w:id="253" w:name="_Toc29278"/>
      <w:bookmarkStart w:id="254" w:name="_Toc22270"/>
      <w:r>
        <w:rPr>
          <w:rFonts w:hint="eastAsia" w:ascii="宋体" w:hAnsi="宋体"/>
        </w:rPr>
        <w:t>3.6.1评标流程</w:t>
      </w:r>
      <w:bookmarkEnd w:id="249"/>
      <w:bookmarkEnd w:id="250"/>
      <w:bookmarkEnd w:id="251"/>
      <w:bookmarkEnd w:id="252"/>
      <w:bookmarkEnd w:id="253"/>
      <w:bookmarkEnd w:id="254"/>
    </w:p>
    <w:p>
      <w:pPr>
        <w:ind w:firstLine="480"/>
        <w:rPr>
          <w:rFonts w:ascii="宋体" w:hAnsi="宋体"/>
          <w:color w:val="000000"/>
          <w:sz w:val="24"/>
        </w:rPr>
      </w:pPr>
      <w:r>
        <w:rPr>
          <w:rFonts w:hint="eastAsia" w:ascii="宋体" w:hAnsi="宋体"/>
          <w:color w:val="000000"/>
          <w:sz w:val="24"/>
        </w:rPr>
        <w:t>评标工作由招标人依法组建的评标委员</w:t>
      </w:r>
      <w:r>
        <w:rPr>
          <w:rFonts w:hint="eastAsia" w:ascii="宋体" w:hAnsi="宋体" w:cs="宋体"/>
          <w:color w:val="000000"/>
          <w:spacing w:val="4"/>
          <w:sz w:val="24"/>
          <w:szCs w:val="20"/>
          <w:lang w:val="zh-CN"/>
        </w:rPr>
        <w:t>会（以下简称评委会）负</w:t>
      </w:r>
      <w:r>
        <w:rPr>
          <w:rFonts w:hint="eastAsia" w:ascii="宋体" w:hAnsi="宋体"/>
          <w:color w:val="000000"/>
          <w:sz w:val="24"/>
        </w:rPr>
        <w:t>责。</w:t>
      </w:r>
    </w:p>
    <w:p>
      <w:pPr>
        <w:ind w:firstLine="496"/>
        <w:rPr>
          <w:rFonts w:ascii="宋体" w:hAnsi="宋体"/>
          <w:color w:val="000000"/>
          <w:sz w:val="24"/>
        </w:rPr>
      </w:pPr>
      <w:r>
        <w:rPr>
          <w:rFonts w:hint="eastAsia" w:ascii="宋体" w:hAnsi="宋体"/>
          <w:color w:val="000000"/>
          <w:spacing w:val="4"/>
          <w:sz w:val="24"/>
          <w:szCs w:val="24"/>
        </w:rPr>
        <w:t>评标流程详见第五章评标办法5.2。</w:t>
      </w:r>
    </w:p>
    <w:p>
      <w:pPr>
        <w:ind w:firstLine="480"/>
        <w:rPr>
          <w:rFonts w:ascii="宋体"/>
          <w:color w:val="000000"/>
          <w:sz w:val="24"/>
        </w:rPr>
      </w:pPr>
      <w:r>
        <w:rPr>
          <w:rFonts w:hint="eastAsia" w:ascii="宋体" w:hAnsi="宋体"/>
          <w:color w:val="000000"/>
          <w:sz w:val="24"/>
        </w:rPr>
        <w:t>评标方法分为综合评分法或最低评标价法。</w:t>
      </w:r>
    </w:p>
    <w:p>
      <w:pPr>
        <w:ind w:firstLine="600" w:firstLineChars="250"/>
        <w:rPr>
          <w:rFonts w:ascii="宋体"/>
          <w:color w:val="000000"/>
          <w:sz w:val="24"/>
        </w:rPr>
      </w:pPr>
      <w:r>
        <w:rPr>
          <w:rFonts w:hint="eastAsia" w:ascii="宋体" w:hAnsi="宋体"/>
          <w:color w:val="000000"/>
          <w:sz w:val="24"/>
        </w:rPr>
        <w:t>1）综合评分法：是指投标文件满足招标文件全部实质性要求且按照评审因素的量化指标评审得分最高的供应商为中标候选人的评标方法。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color w:val="000000"/>
          <w:sz w:val="24"/>
        </w:rPr>
        <w:t>/</w:t>
      </w:r>
      <w:r>
        <w:rPr>
          <w:rFonts w:hint="eastAsia" w:ascii="宋体" w:hAnsi="宋体"/>
          <w:color w:val="000000"/>
          <w:sz w:val="24"/>
        </w:rPr>
        <w:t>投标报价）×价格权值×</w:t>
      </w:r>
      <w:r>
        <w:rPr>
          <w:rFonts w:ascii="宋体" w:hAnsi="宋体"/>
          <w:color w:val="000000"/>
          <w:sz w:val="24"/>
        </w:rPr>
        <w:t>100</w:t>
      </w:r>
      <w:r>
        <w:rPr>
          <w:rFonts w:hint="eastAsia" w:ascii="宋体" w:hAnsi="宋体"/>
          <w:color w:val="000000"/>
          <w:sz w:val="24"/>
        </w:rPr>
        <w:t>。</w:t>
      </w:r>
    </w:p>
    <w:p>
      <w:pPr>
        <w:ind w:firstLine="600" w:firstLineChars="250"/>
        <w:rPr>
          <w:rFonts w:ascii="宋体" w:hAnsi="宋体"/>
          <w:color w:val="000000"/>
          <w:sz w:val="24"/>
        </w:rPr>
      </w:pPr>
      <w:r>
        <w:rPr>
          <w:rFonts w:hint="eastAsia" w:ascii="宋体" w:hAnsi="宋体"/>
          <w:color w:val="000000"/>
          <w:sz w:val="24"/>
        </w:rPr>
        <w:t>2）最低评标价法：是指投标文件满足招标文件全部实质性要求且投标报价最低的供应商为中标候选人的评标方法。</w:t>
      </w:r>
    </w:p>
    <w:p>
      <w:pPr>
        <w:ind w:firstLine="480"/>
        <w:rPr>
          <w:rFonts w:ascii="宋体"/>
          <w:color w:val="000000"/>
          <w:sz w:val="24"/>
        </w:rPr>
      </w:pPr>
      <w:r>
        <w:rPr>
          <w:rFonts w:hint="eastAsia" w:ascii="宋体" w:hAnsi="宋体"/>
          <w:color w:val="000000"/>
          <w:sz w:val="24"/>
        </w:rPr>
        <w:t>（3）评委会出具书面评标报告。</w:t>
      </w:r>
    </w:p>
    <w:p>
      <w:pPr>
        <w:pStyle w:val="4"/>
        <w:spacing w:before="156" w:after="156"/>
        <w:ind w:firstLine="482"/>
      </w:pPr>
      <w:bookmarkStart w:id="255" w:name="_Toc9945"/>
      <w:bookmarkStart w:id="256" w:name="_Toc459622986"/>
      <w:bookmarkStart w:id="257" w:name="_Toc493008697"/>
      <w:bookmarkStart w:id="258" w:name="_Toc6700"/>
      <w:bookmarkStart w:id="259" w:name="_Toc18231"/>
      <w:bookmarkStart w:id="260" w:name="_Toc3738"/>
      <w:r>
        <w:rPr>
          <w:rFonts w:hint="eastAsia"/>
        </w:rPr>
        <w:t>3.6.2注意事项</w:t>
      </w:r>
      <w:bookmarkEnd w:id="255"/>
      <w:bookmarkEnd w:id="256"/>
      <w:bookmarkEnd w:id="257"/>
      <w:bookmarkEnd w:id="258"/>
      <w:bookmarkEnd w:id="259"/>
      <w:bookmarkEnd w:id="260"/>
    </w:p>
    <w:p>
      <w:pPr>
        <w:ind w:firstLine="480"/>
        <w:rPr>
          <w:rFonts w:ascii="宋体"/>
          <w:color w:val="000000"/>
          <w:sz w:val="24"/>
        </w:rPr>
      </w:pPr>
      <w:r>
        <w:rPr>
          <w:rFonts w:hint="eastAsia" w:ascii="宋体" w:hAnsi="宋体"/>
          <w:color w:val="000000"/>
          <w:sz w:val="24"/>
        </w:rPr>
        <w:t>在评标期间，评标过程严格保密。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ind w:firstLine="480"/>
        <w:rPr>
          <w:rFonts w:ascii="宋体"/>
          <w:color w:val="000000"/>
          <w:sz w:val="24"/>
        </w:rPr>
      </w:pPr>
      <w:r>
        <w:rPr>
          <w:rFonts w:hint="eastAsia" w:ascii="宋体" w:hAnsi="宋体"/>
          <w:color w:val="000000"/>
          <w:sz w:val="24"/>
        </w:rPr>
        <w:t>如果投标文件没有实质性响应招标文件的要求，评委会将予以拒绝。</w:t>
      </w:r>
    </w:p>
    <w:p>
      <w:pPr>
        <w:ind w:firstLine="480"/>
        <w:rPr>
          <w:rFonts w:ascii="宋体" w:hAnsi="宋体"/>
          <w:color w:val="000000"/>
          <w:sz w:val="24"/>
        </w:rPr>
      </w:pPr>
      <w:r>
        <w:rPr>
          <w:rFonts w:hint="eastAsia" w:ascii="宋体" w:hAnsi="宋体"/>
          <w:color w:val="000000"/>
          <w:sz w:val="24"/>
        </w:rPr>
        <w:t>评委会只对确定为实质性响应招标文件要求的投标文件，根据招标文件的要求采用相同的评标程序、评分办法及标准进行评价和比较。</w:t>
      </w:r>
    </w:p>
    <w:p>
      <w:pPr>
        <w:pStyle w:val="4"/>
        <w:spacing w:before="156" w:after="156"/>
        <w:ind w:firstLine="482"/>
      </w:pPr>
      <w:bookmarkStart w:id="261" w:name="_Toc493008698"/>
      <w:bookmarkStart w:id="262" w:name="_Toc29487"/>
      <w:r>
        <w:rPr>
          <w:rFonts w:hint="eastAsia"/>
        </w:rPr>
        <w:t xml:space="preserve">3.6.3 </w:t>
      </w:r>
      <w:bookmarkEnd w:id="261"/>
      <w:r>
        <w:rPr>
          <w:rFonts w:hint="eastAsia"/>
        </w:rPr>
        <w:t>供应商家数计算</w:t>
      </w:r>
      <w:bookmarkEnd w:id="262"/>
    </w:p>
    <w:p>
      <w:pPr>
        <w:ind w:firstLine="480"/>
        <w:rPr>
          <w:rFonts w:ascii="宋体" w:hAnsi="宋体"/>
          <w:color w:val="000000"/>
          <w:sz w:val="24"/>
        </w:rPr>
      </w:pPr>
      <w:r>
        <w:rPr>
          <w:rFonts w:hint="eastAsia" w:ascii="宋体" w:hAnsi="宋体"/>
          <w:color w:val="000000"/>
          <w:sz w:val="24"/>
        </w:rPr>
        <w:t>（1）</w:t>
      </w:r>
      <w:r>
        <w:rPr>
          <w:rFonts w:ascii="宋体" w:hAnsi="宋体"/>
          <w:color w:val="000000"/>
          <w:sz w:val="24"/>
        </w:rPr>
        <w:t xml:space="preserve">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ind w:firstLine="480"/>
        <w:rPr>
          <w:rFonts w:ascii="宋体" w:hAnsi="宋体"/>
          <w:color w:val="000000"/>
          <w:sz w:val="24"/>
        </w:rPr>
      </w:pPr>
      <w:r>
        <w:rPr>
          <w:rFonts w:hint="eastAsia" w:ascii="宋体" w:hAnsi="宋体"/>
          <w:color w:val="000000"/>
          <w:sz w:val="24"/>
        </w:rPr>
        <w:t>（2）</w:t>
      </w:r>
      <w:r>
        <w:rPr>
          <w:rFonts w:ascii="宋体" w:hAnsi="宋体"/>
          <w:color w:val="000000"/>
          <w:sz w:val="24"/>
        </w:rPr>
        <w:t>使用综合评分法的采购项目，提供相同品牌产品且通过资格审查、符合性审查的不同投标人参加同一合同项下投标的，按一家投标人计算，评审后得分最高的同品牌投标人获得中标人推荐资格</w:t>
      </w:r>
      <w:r>
        <w:rPr>
          <w:rFonts w:hint="eastAsia" w:ascii="宋体" w:hAnsi="宋体"/>
          <w:color w:val="000000"/>
          <w:sz w:val="24"/>
        </w:rPr>
        <w:t>；</w:t>
      </w:r>
      <w:r>
        <w:rPr>
          <w:rFonts w:ascii="宋体" w:hAnsi="宋体"/>
          <w:color w:val="000000"/>
          <w:sz w:val="24"/>
        </w:rPr>
        <w:t xml:space="preserve">评审得分相同的，由采购人或者采购人委托评标委员会按照招标文件规定的方式确定一个投标人获得中标人推荐资格，招标文件未规定的采取随机抽取方式确定，其他同品牌投标人不作为中标候选人。 </w:t>
      </w:r>
    </w:p>
    <w:p>
      <w:pPr>
        <w:ind w:firstLine="480"/>
        <w:rPr>
          <w:rFonts w:ascii="宋体" w:hAnsi="宋体"/>
          <w:color w:val="000000"/>
          <w:sz w:val="24"/>
        </w:rPr>
      </w:pPr>
      <w:r>
        <w:rPr>
          <w:rFonts w:hint="eastAsia" w:ascii="宋体" w:hAnsi="宋体"/>
          <w:color w:val="000000"/>
          <w:sz w:val="24"/>
        </w:rPr>
        <w:t>（3）</w:t>
      </w:r>
      <w:r>
        <w:rPr>
          <w:rFonts w:ascii="宋体" w:hAnsi="宋体"/>
          <w:color w:val="000000"/>
          <w:sz w:val="24"/>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color w:val="000000"/>
          <w:sz w:val="24"/>
        </w:rPr>
        <w:t>。</w:t>
      </w:r>
    </w:p>
    <w:p>
      <w:pPr>
        <w:pStyle w:val="3"/>
        <w:rPr>
          <w:rFonts w:ascii="宋体" w:hAnsi="宋体"/>
        </w:rPr>
      </w:pPr>
      <w:bookmarkStart w:id="263" w:name="_Toc447207020"/>
      <w:bookmarkStart w:id="264" w:name="_Toc20291"/>
      <w:bookmarkStart w:id="265" w:name="_Toc459622987"/>
      <w:bookmarkStart w:id="266" w:name="_Toc447272157"/>
      <w:bookmarkStart w:id="267" w:name="_Toc493008699"/>
      <w:bookmarkStart w:id="268" w:name="_Toc14757"/>
      <w:bookmarkStart w:id="269" w:name="_Toc9584"/>
      <w:bookmarkStart w:id="270" w:name="_Toc25254"/>
      <w:r>
        <w:rPr>
          <w:rFonts w:hint="eastAsia" w:ascii="宋体" w:hAnsi="宋体"/>
        </w:rPr>
        <w:t>3.7 定标</w:t>
      </w:r>
      <w:bookmarkEnd w:id="263"/>
      <w:bookmarkEnd w:id="264"/>
      <w:bookmarkEnd w:id="265"/>
      <w:bookmarkEnd w:id="266"/>
      <w:bookmarkEnd w:id="267"/>
      <w:bookmarkEnd w:id="268"/>
      <w:bookmarkEnd w:id="269"/>
      <w:bookmarkEnd w:id="270"/>
    </w:p>
    <w:p>
      <w:pPr>
        <w:pStyle w:val="4"/>
        <w:ind w:firstLine="482"/>
      </w:pPr>
      <w:bookmarkStart w:id="271" w:name="_Toc15955"/>
      <w:r>
        <w:rPr>
          <w:rFonts w:hint="eastAsia"/>
        </w:rPr>
        <w:t>3.7.1 定标原则</w:t>
      </w:r>
      <w:bookmarkEnd w:id="271"/>
    </w:p>
    <w:p>
      <w:pPr>
        <w:ind w:firstLine="480"/>
        <w:rPr>
          <w:rFonts w:ascii="宋体"/>
          <w:color w:val="000000"/>
          <w:sz w:val="24"/>
        </w:rPr>
      </w:pPr>
      <w:r>
        <w:rPr>
          <w:rFonts w:hint="eastAsia" w:ascii="宋体" w:hAnsi="宋体"/>
          <w:color w:val="000000"/>
          <w:sz w:val="24"/>
        </w:rPr>
        <w:t>采购人根据评委会推荐的中标候选人名单，按顺序确定中标人。</w:t>
      </w:r>
    </w:p>
    <w:p>
      <w:pPr>
        <w:pStyle w:val="4"/>
        <w:ind w:firstLine="482"/>
      </w:pPr>
      <w:bookmarkStart w:id="272" w:name="_Toc26630"/>
      <w:r>
        <w:rPr>
          <w:rFonts w:hint="eastAsia"/>
        </w:rPr>
        <w:t>3.7.2 定标程序</w:t>
      </w:r>
      <w:bookmarkEnd w:id="272"/>
    </w:p>
    <w:p>
      <w:pPr>
        <w:ind w:firstLine="480"/>
        <w:rPr>
          <w:rFonts w:ascii="宋体" w:hAnsi="宋体"/>
          <w:sz w:val="24"/>
          <w:szCs w:val="24"/>
        </w:rPr>
      </w:pPr>
      <w:bookmarkStart w:id="273" w:name="_Toc31462"/>
      <w:bookmarkStart w:id="274" w:name="_Toc447207021"/>
      <w:bookmarkStart w:id="275" w:name="_Toc23895"/>
      <w:bookmarkStart w:id="276" w:name="_Toc139965352"/>
      <w:bookmarkStart w:id="277" w:name="_Toc128372079"/>
      <w:bookmarkStart w:id="278" w:name="_Toc447272158"/>
      <w:bookmarkStart w:id="279" w:name="_Toc459622988"/>
      <w:bookmarkStart w:id="280" w:name="_Toc128372757"/>
      <w:bookmarkStart w:id="281" w:name="_Toc14012"/>
      <w:bookmarkStart w:id="282" w:name="_Toc128372756"/>
      <w:bookmarkStart w:id="283" w:name="_Toc139965351"/>
      <w:bookmarkStart w:id="284" w:name="_Toc128372078"/>
      <w:r>
        <w:rPr>
          <w:rFonts w:hint="eastAsia" w:ascii="宋体" w:hAnsi="宋体"/>
          <w:sz w:val="24"/>
          <w:szCs w:val="24"/>
        </w:rPr>
        <w:t xml:space="preserve">采购人或者采购代理机构应当自中标人确定之日起2个工作日内，在省级以上财政部门指定的媒体上公告中标结果，招标文件应当随中标结果同时公告。 </w:t>
      </w:r>
    </w:p>
    <w:p>
      <w:pPr>
        <w:ind w:firstLine="480"/>
        <w:rPr>
          <w:rFonts w:ascii="宋体" w:hAnsi="宋体"/>
          <w:sz w:val="24"/>
          <w:szCs w:val="24"/>
        </w:rPr>
      </w:pPr>
      <w:r>
        <w:rPr>
          <w:rFonts w:hint="eastAsia" w:ascii="宋体" w:hAnsi="宋体"/>
          <w:sz w:val="24"/>
          <w:szCs w:val="24"/>
        </w:rPr>
        <w:t xml:space="preserve">中标结果公告内容应当包括采购人及其委托的采购代理机构的名称、地址、联系方式，项目名称和项目编号，中标人名称、地址和中标金额，主要中标标的的名称、规格型号、数量、单价、服务要求，中标公告期限以及评审专家名单。 </w:t>
      </w:r>
    </w:p>
    <w:p>
      <w:pPr>
        <w:ind w:firstLine="480"/>
        <w:rPr>
          <w:rFonts w:ascii="宋体" w:hAnsi="宋体"/>
          <w:sz w:val="24"/>
          <w:szCs w:val="24"/>
        </w:rPr>
      </w:pPr>
      <w:r>
        <w:rPr>
          <w:rFonts w:hint="eastAsia" w:ascii="宋体" w:hAnsi="宋体"/>
          <w:sz w:val="24"/>
          <w:szCs w:val="24"/>
        </w:rPr>
        <w:t xml:space="preserve">中标公告期限为1个工作日。 </w:t>
      </w:r>
    </w:p>
    <w:p>
      <w:pPr>
        <w:ind w:firstLine="480"/>
        <w:rPr>
          <w:rFonts w:ascii="宋体" w:hAnsi="宋体"/>
          <w:sz w:val="24"/>
          <w:szCs w:val="24"/>
        </w:rPr>
      </w:pPr>
      <w:r>
        <w:rPr>
          <w:rFonts w:hint="eastAsia" w:ascii="宋体" w:hAnsi="宋体"/>
          <w:sz w:val="24"/>
          <w:szCs w:val="24"/>
        </w:rPr>
        <w:t xml:space="preserve">邀请招标采购人采用书面推荐方式产生符合资格条件的潜在投标人的，还应当将所有被推荐供应商名单和推荐理由随中标结果同时公告。 </w:t>
      </w:r>
    </w:p>
    <w:p>
      <w:pPr>
        <w:pStyle w:val="3"/>
        <w:rPr>
          <w:rFonts w:ascii="宋体" w:hAnsi="宋体"/>
        </w:rPr>
      </w:pPr>
      <w:bookmarkStart w:id="285" w:name="_Toc493008700"/>
      <w:bookmarkStart w:id="286" w:name="_Toc17390"/>
      <w:r>
        <w:rPr>
          <w:rFonts w:hint="eastAsia" w:ascii="宋体" w:hAnsi="宋体"/>
        </w:rPr>
        <w:t>3.8 发放中标通知书</w:t>
      </w:r>
      <w:bookmarkEnd w:id="273"/>
      <w:bookmarkEnd w:id="274"/>
      <w:bookmarkEnd w:id="275"/>
      <w:bookmarkEnd w:id="276"/>
      <w:bookmarkEnd w:id="277"/>
      <w:bookmarkEnd w:id="278"/>
      <w:bookmarkEnd w:id="279"/>
      <w:bookmarkEnd w:id="280"/>
      <w:bookmarkEnd w:id="281"/>
      <w:bookmarkEnd w:id="285"/>
      <w:bookmarkEnd w:id="286"/>
    </w:p>
    <w:p>
      <w:pPr>
        <w:ind w:firstLine="480"/>
        <w:rPr>
          <w:rFonts w:ascii="宋体"/>
          <w:color w:val="000000"/>
          <w:sz w:val="24"/>
        </w:rPr>
      </w:pPr>
      <w:r>
        <w:rPr>
          <w:rFonts w:hint="eastAsia" w:ascii="宋体" w:hAnsi="宋体"/>
          <w:color w:val="000000"/>
          <w:sz w:val="24"/>
        </w:rPr>
        <w:t>在公告中标结果的同时，采购人或者采购代理机构应当向中标人发出中标通知书;对未通过资格审查的投标人，应当告知其未通过的原因;采用综合评分法评审的，还应当告知未中标人本人的评审得分与排序。</w:t>
      </w:r>
    </w:p>
    <w:p>
      <w:pPr>
        <w:ind w:firstLine="480"/>
        <w:rPr>
          <w:rFonts w:ascii="宋体"/>
          <w:color w:val="000000"/>
          <w:sz w:val="24"/>
        </w:rPr>
      </w:pPr>
      <w:r>
        <w:rPr>
          <w:rFonts w:hint="eastAsia" w:ascii="宋体" w:hAnsi="宋体"/>
          <w:color w:val="000000"/>
          <w:sz w:val="24"/>
        </w:rPr>
        <w:t>中标通知书对采购人和中标人均具有法律效力。中标通知书发出后，采购人改变中标结果，或者中标人无正当理由放弃中标的，应当承担相应的法律责任。</w:t>
      </w:r>
    </w:p>
    <w:p>
      <w:pPr>
        <w:ind w:firstLine="480"/>
        <w:rPr>
          <w:rFonts w:ascii="宋体" w:hAnsi="宋体"/>
          <w:color w:val="000000"/>
          <w:sz w:val="24"/>
        </w:rPr>
      </w:pPr>
      <w:r>
        <w:rPr>
          <w:rFonts w:hint="eastAsia" w:ascii="宋体" w:hAnsi="宋体"/>
          <w:color w:val="000000"/>
          <w:sz w:val="24"/>
        </w:rPr>
        <w:t>中标人的投标文件本应作为无效投标处理或者有政府采购法律法规规章制度规定的中标无效情形的，采购人应当宣布发出的中标通知书无效，并收回发出的中标通知书（中标人也应当交回），依法重新确定中标人或者重新开展采购活动。</w:t>
      </w:r>
    </w:p>
    <w:p>
      <w:pPr>
        <w:pStyle w:val="3"/>
        <w:rPr>
          <w:rFonts w:ascii="宋体" w:hAnsi="宋体"/>
        </w:rPr>
      </w:pPr>
      <w:bookmarkStart w:id="287" w:name="_Toc16253"/>
      <w:bookmarkStart w:id="288" w:name="_Toc24206"/>
      <w:bookmarkStart w:id="289" w:name="_Toc3186"/>
      <w:bookmarkStart w:id="290" w:name="_Toc447207022"/>
      <w:bookmarkStart w:id="291" w:name="_Toc493008701"/>
      <w:bookmarkStart w:id="292" w:name="_Toc459622989"/>
      <w:bookmarkStart w:id="293" w:name="_Toc447272159"/>
      <w:bookmarkStart w:id="294" w:name="_Toc14240"/>
      <w:r>
        <w:rPr>
          <w:rFonts w:hint="eastAsia" w:ascii="宋体" w:hAnsi="宋体"/>
        </w:rPr>
        <w:t>3.9 签订政府采购合同</w:t>
      </w:r>
      <w:bookmarkEnd w:id="287"/>
      <w:bookmarkEnd w:id="288"/>
      <w:bookmarkEnd w:id="289"/>
      <w:bookmarkEnd w:id="290"/>
      <w:bookmarkEnd w:id="291"/>
      <w:bookmarkEnd w:id="292"/>
      <w:bookmarkEnd w:id="293"/>
      <w:bookmarkEnd w:id="294"/>
    </w:p>
    <w:p>
      <w:pPr>
        <w:pStyle w:val="4"/>
        <w:spacing w:before="156" w:after="156"/>
        <w:ind w:firstLine="482"/>
      </w:pPr>
      <w:bookmarkStart w:id="295" w:name="_Toc493008702"/>
      <w:bookmarkStart w:id="296" w:name="_Toc30362"/>
      <w:bookmarkStart w:id="297" w:name="_Toc10796"/>
      <w:bookmarkStart w:id="298" w:name="_Toc7186"/>
      <w:bookmarkStart w:id="299" w:name="_Toc459622990"/>
      <w:bookmarkStart w:id="300" w:name="_Toc20219"/>
      <w:r>
        <w:rPr>
          <w:rFonts w:hint="eastAsia"/>
        </w:rPr>
        <w:t>3.9.1合同授予</w:t>
      </w:r>
      <w:bookmarkEnd w:id="282"/>
      <w:bookmarkEnd w:id="283"/>
      <w:bookmarkEnd w:id="284"/>
      <w:r>
        <w:rPr>
          <w:rFonts w:hint="eastAsia"/>
        </w:rPr>
        <w:t>原则</w:t>
      </w:r>
      <w:bookmarkEnd w:id="295"/>
      <w:bookmarkEnd w:id="296"/>
      <w:bookmarkEnd w:id="297"/>
      <w:bookmarkEnd w:id="298"/>
      <w:bookmarkEnd w:id="299"/>
      <w:bookmarkEnd w:id="300"/>
    </w:p>
    <w:p>
      <w:pPr>
        <w:ind w:firstLine="480"/>
        <w:rPr>
          <w:rFonts w:ascii="宋体"/>
          <w:color w:val="000000"/>
          <w:sz w:val="24"/>
        </w:rPr>
      </w:pPr>
      <w:r>
        <w:rPr>
          <w:rFonts w:hint="eastAsia" w:ascii="宋体" w:hAnsi="宋体"/>
          <w:color w:val="000000"/>
          <w:sz w:val="24"/>
        </w:rPr>
        <w:t>招标人将把合同授予经评委会评议推荐采购人确认的投标人。若因中标人违约或因不可抗力等原因不能被授予合同，则合同将授予排序在该投标人之后的下一个投标人。</w:t>
      </w:r>
    </w:p>
    <w:p>
      <w:pPr>
        <w:ind w:firstLine="480"/>
        <w:rPr>
          <w:rFonts w:ascii="宋体"/>
          <w:color w:val="000000"/>
          <w:sz w:val="24"/>
        </w:rPr>
      </w:pPr>
      <w:r>
        <w:rPr>
          <w:rFonts w:hint="eastAsia" w:ascii="宋体" w:hAnsi="宋体"/>
          <w:color w:val="000000"/>
          <w:sz w:val="24"/>
        </w:rPr>
        <w:t>招标人保留在签订合同时调整方案需求和变动所购设备或材料数量的权力。</w:t>
      </w:r>
    </w:p>
    <w:p>
      <w:pPr>
        <w:pStyle w:val="4"/>
        <w:spacing w:before="156" w:after="156"/>
        <w:ind w:firstLine="482"/>
      </w:pPr>
      <w:bookmarkStart w:id="301" w:name="_Toc128372758"/>
      <w:bookmarkStart w:id="302" w:name="_Toc128372080"/>
      <w:bookmarkStart w:id="303" w:name="_Toc139965353"/>
      <w:bookmarkStart w:id="304" w:name="_Toc28809"/>
      <w:bookmarkStart w:id="305" w:name="_Toc493008703"/>
      <w:bookmarkStart w:id="306" w:name="_Toc15235"/>
      <w:bookmarkStart w:id="307" w:name="_Toc459622991"/>
      <w:bookmarkStart w:id="308" w:name="_Toc5086"/>
      <w:bookmarkStart w:id="309" w:name="_Toc22409"/>
      <w:r>
        <w:rPr>
          <w:rFonts w:hint="eastAsia"/>
        </w:rPr>
        <w:t>3.9.2合同的签署</w:t>
      </w:r>
      <w:bookmarkEnd w:id="301"/>
      <w:bookmarkEnd w:id="302"/>
      <w:bookmarkEnd w:id="303"/>
      <w:r>
        <w:rPr>
          <w:rFonts w:hint="eastAsia"/>
        </w:rPr>
        <w:t>、履行及验收</w:t>
      </w:r>
      <w:bookmarkEnd w:id="304"/>
      <w:bookmarkEnd w:id="305"/>
      <w:bookmarkEnd w:id="306"/>
      <w:bookmarkEnd w:id="307"/>
      <w:bookmarkEnd w:id="308"/>
      <w:bookmarkEnd w:id="309"/>
    </w:p>
    <w:p>
      <w:pPr>
        <w:adjustRightInd w:val="0"/>
        <w:snapToGrid w:val="0"/>
        <w:spacing w:beforeLines="50"/>
        <w:ind w:firstLine="480"/>
        <w:jc w:val="left"/>
        <w:rPr>
          <w:rFonts w:ascii="宋体" w:hAnsi="宋体"/>
          <w:szCs w:val="21"/>
        </w:rPr>
      </w:pPr>
      <w:r>
        <w:rPr>
          <w:rFonts w:hint="eastAsia" w:ascii="宋体" w:hAnsi="宋体"/>
          <w:color w:val="000000"/>
          <w:sz w:val="24"/>
        </w:rPr>
        <w:t>中标人于中标通知书中</w:t>
      </w:r>
      <w:r>
        <w:rPr>
          <w:rFonts w:hint="eastAsia" w:ascii="宋体" w:hAnsi="宋体"/>
          <w:sz w:val="24"/>
        </w:rPr>
        <w:t>发出之日起30日内</w:t>
      </w:r>
      <w:r>
        <w:rPr>
          <w:rFonts w:hint="eastAsia" w:ascii="宋体" w:hAnsi="宋体"/>
          <w:color w:val="000000"/>
          <w:sz w:val="24"/>
        </w:rPr>
        <w:t>，</w:t>
      </w:r>
      <w:r>
        <w:rPr>
          <w:rFonts w:hint="eastAsia" w:ascii="宋体" w:hAnsi="宋体"/>
          <w:sz w:val="24"/>
        </w:rPr>
        <w:t>按中标通知书指定的时间、地点与中标人签订政府采购合同</w:t>
      </w:r>
      <w:r>
        <w:rPr>
          <w:rFonts w:hint="eastAsia" w:ascii="宋体" w:hAnsi="宋体"/>
          <w:color w:val="000000"/>
          <w:sz w:val="24"/>
        </w:rPr>
        <w:t>。</w:t>
      </w:r>
      <w:r>
        <w:rPr>
          <w:rFonts w:hint="eastAsia" w:ascii="宋体" w:hAnsi="宋体"/>
          <w:sz w:val="24"/>
        </w:rPr>
        <w:t>招标文件、中标人的投标文件均为签订合同的依据，</w:t>
      </w:r>
      <w:r>
        <w:rPr>
          <w:rFonts w:hint="eastAsia" w:ascii="宋体" w:hAnsi="宋体"/>
          <w:color w:val="000000"/>
          <w:sz w:val="24"/>
        </w:rPr>
        <w:t>需方与中标人是合同权利与义务的直接、全部责任承担人。招标人所发出的中标通知书对需方和中标供应商具有同等法律效力。</w:t>
      </w:r>
    </w:p>
    <w:p>
      <w:pPr>
        <w:ind w:firstLine="480"/>
        <w:rPr>
          <w:rFonts w:ascii="宋体"/>
          <w:color w:val="000000"/>
          <w:sz w:val="24"/>
        </w:rPr>
      </w:pPr>
      <w:r>
        <w:rPr>
          <w:rFonts w:hint="eastAsia" w:ascii="宋体" w:hAnsi="宋体"/>
          <w:color w:val="000000"/>
          <w:sz w:val="24"/>
        </w:rPr>
        <w:t>中标通知书发出后，需方拒绝签订供货合同或擅自改变中标内容，按照《中华人民共和国合同法》定金罚则及损害赔偿的原则处罚并办理。若中标人不能在规定时间内与需方签订合同，或变相签订合同，招标人依监督职能可采取取消其中标资格并没收其投标保证金等措施，并可</w:t>
      </w:r>
      <w:r>
        <w:rPr>
          <w:rFonts w:hint="eastAsia" w:ascii="宋体" w:hAnsi="宋体"/>
          <w:sz w:val="24"/>
        </w:rPr>
        <w:t>按照财政部令</w:t>
      </w:r>
      <w:r>
        <w:rPr>
          <w:rFonts w:ascii="宋体" w:hAnsi="宋体"/>
          <w:sz w:val="24"/>
        </w:rPr>
        <w:t>[2</w:t>
      </w:r>
      <w:r>
        <w:rPr>
          <w:rFonts w:hint="eastAsia" w:ascii="宋体" w:hAnsi="宋体"/>
          <w:sz w:val="24"/>
        </w:rPr>
        <w:t>017</w:t>
      </w:r>
      <w:r>
        <w:rPr>
          <w:rFonts w:ascii="宋体" w:hAnsi="宋体"/>
          <w:sz w:val="24"/>
        </w:rPr>
        <w:t>]</w:t>
      </w:r>
      <w:r>
        <w:rPr>
          <w:rFonts w:hint="eastAsia" w:ascii="宋体" w:hAnsi="宋体"/>
          <w:sz w:val="24"/>
        </w:rPr>
        <w:t>第87号第七十一条、第七十二条、第七十三条规定办理。</w:t>
      </w:r>
      <w:r>
        <w:rPr>
          <w:rFonts w:hint="eastAsia" w:ascii="宋体" w:hAnsi="宋体"/>
          <w:color w:val="000000"/>
          <w:sz w:val="24"/>
        </w:rPr>
        <w:t>此时可由招标人按照排名顺序与下一投标人签订合同。</w:t>
      </w:r>
    </w:p>
    <w:p>
      <w:pPr>
        <w:ind w:firstLine="480"/>
        <w:rPr>
          <w:rFonts w:ascii="宋体" w:cs="宋体"/>
          <w:sz w:val="24"/>
        </w:rPr>
      </w:pPr>
      <w:bookmarkStart w:id="310" w:name="_Toc415577078"/>
      <w:bookmarkStart w:id="311" w:name="_Toc139965354"/>
      <w:bookmarkStart w:id="312" w:name="_Toc128372759"/>
      <w:bookmarkStart w:id="313" w:name="_Toc128372081"/>
      <w:r>
        <w:rPr>
          <w:rFonts w:hint="eastAsia" w:ascii="宋体" w:hAnsi="宋体" w:cs="宋体"/>
          <w:sz w:val="24"/>
        </w:rPr>
        <w:t>如果中标人在规定的合同签订时间内，没有按照招标文件的规定交纳履约保证金，且又无正当理由的，将视为放弃中标，其交纳的投标保证金将不予退还。</w:t>
      </w:r>
      <w:bookmarkEnd w:id="310"/>
    </w:p>
    <w:p>
      <w:pPr>
        <w:ind w:firstLine="482"/>
        <w:rPr>
          <w:rFonts w:ascii="宋体" w:cs="宋体"/>
          <w:b/>
          <w:bCs/>
          <w:sz w:val="24"/>
        </w:rPr>
      </w:pPr>
      <w:bookmarkStart w:id="314" w:name="_Toc415577079"/>
      <w:r>
        <w:rPr>
          <w:rFonts w:hint="eastAsia" w:ascii="宋体" w:hAnsi="宋体" w:cs="宋体"/>
          <w:b/>
          <w:bCs/>
          <w:sz w:val="24"/>
        </w:rPr>
        <w:t>履行合同</w:t>
      </w:r>
      <w:bookmarkEnd w:id="314"/>
    </w:p>
    <w:p>
      <w:pPr>
        <w:ind w:firstLine="480"/>
        <w:rPr>
          <w:rFonts w:ascii="宋体" w:cs="宋体"/>
          <w:sz w:val="24"/>
        </w:rPr>
      </w:pPr>
      <w:bookmarkStart w:id="315" w:name="_Toc415577080"/>
      <w:r>
        <w:rPr>
          <w:rFonts w:hint="eastAsia" w:ascii="宋体" w:hAnsi="宋体" w:cs="宋体"/>
          <w:sz w:val="24"/>
        </w:rPr>
        <w:t>中标人与采购人签订合同后，合同双方应严格执行合同条款，履行合同规定的义务，保证合同的顺利完成。</w:t>
      </w:r>
      <w:bookmarkEnd w:id="315"/>
    </w:p>
    <w:p>
      <w:pPr>
        <w:ind w:firstLine="480"/>
        <w:rPr>
          <w:rFonts w:ascii="宋体" w:cs="宋体"/>
          <w:sz w:val="24"/>
        </w:rPr>
      </w:pPr>
      <w:bookmarkStart w:id="316" w:name="_Toc415577081"/>
      <w:r>
        <w:rPr>
          <w:rFonts w:hint="eastAsia" w:ascii="宋体" w:hAnsi="宋体" w:cs="宋体"/>
          <w:sz w:val="24"/>
        </w:rPr>
        <w:t>在合同履行过程中，如发生合同纠纷，合同双方应按照《合同法》的有关规定进行处理。</w:t>
      </w:r>
      <w:bookmarkEnd w:id="316"/>
    </w:p>
    <w:p>
      <w:pPr>
        <w:ind w:firstLine="482"/>
        <w:rPr>
          <w:rFonts w:ascii="宋体" w:cs="宋体"/>
          <w:b/>
          <w:bCs/>
          <w:sz w:val="24"/>
        </w:rPr>
      </w:pPr>
      <w:bookmarkStart w:id="317" w:name="_Toc415577082"/>
      <w:r>
        <w:rPr>
          <w:rFonts w:hint="eastAsia" w:ascii="宋体" w:hAnsi="宋体" w:cs="宋体"/>
          <w:b/>
          <w:bCs/>
          <w:sz w:val="24"/>
        </w:rPr>
        <w:t>验收</w:t>
      </w:r>
      <w:bookmarkEnd w:id="317"/>
    </w:p>
    <w:p>
      <w:pPr>
        <w:ind w:firstLine="480"/>
        <w:rPr>
          <w:rFonts w:ascii="宋体" w:cs="宋体"/>
          <w:sz w:val="24"/>
        </w:rPr>
      </w:pPr>
      <w:r>
        <w:rPr>
          <w:rFonts w:hint="eastAsia" w:ascii="宋体" w:hAnsi="宋体" w:cs="宋体"/>
          <w:sz w:val="24"/>
        </w:rPr>
        <w:t>采购人应当及时对采购项目进行验收。采购人可以邀请参加本项目的其他投标人或者第三方机构参与验收。参与验收的投标人或者第三方机构的意见作为验收书的参考资料一并存档。</w:t>
      </w:r>
    </w:p>
    <w:p>
      <w:pPr>
        <w:pStyle w:val="4"/>
        <w:ind w:firstLine="482"/>
      </w:pPr>
      <w:bookmarkStart w:id="318" w:name="_Toc28070"/>
      <w:bookmarkStart w:id="319" w:name="_Toc15635"/>
      <w:bookmarkStart w:id="320" w:name="_Toc25373"/>
      <w:bookmarkStart w:id="321" w:name="_Toc459622992"/>
      <w:bookmarkStart w:id="322" w:name="_Toc493008704"/>
      <w:bookmarkStart w:id="323" w:name="_Toc8245"/>
      <w:r>
        <w:rPr>
          <w:rFonts w:hint="eastAsia"/>
        </w:rPr>
        <w:t>3.9.3其他</w:t>
      </w:r>
      <w:bookmarkEnd w:id="311"/>
      <w:bookmarkEnd w:id="312"/>
      <w:bookmarkEnd w:id="313"/>
      <w:bookmarkEnd w:id="318"/>
      <w:bookmarkEnd w:id="319"/>
      <w:bookmarkEnd w:id="320"/>
      <w:bookmarkEnd w:id="321"/>
      <w:bookmarkEnd w:id="322"/>
      <w:bookmarkEnd w:id="323"/>
    </w:p>
    <w:p>
      <w:pPr>
        <w:ind w:firstLine="480"/>
        <w:rPr>
          <w:rFonts w:ascii="宋体"/>
          <w:color w:val="000000"/>
          <w:sz w:val="24"/>
        </w:rPr>
      </w:pPr>
      <w:r>
        <w:rPr>
          <w:rFonts w:hint="eastAsia" w:ascii="宋体" w:hAnsi="宋体"/>
          <w:color w:val="000000"/>
          <w:sz w:val="24"/>
        </w:rPr>
        <w:t>中标后招标文件和投标文件未尽事宜另行商定。本招标文件由招标人负责解释。</w:t>
      </w:r>
    </w:p>
    <w:p>
      <w:pPr>
        <w:pStyle w:val="3"/>
        <w:jc w:val="left"/>
        <w:rPr>
          <w:rFonts w:ascii="宋体" w:hAnsi="宋体"/>
          <w:szCs w:val="28"/>
        </w:rPr>
      </w:pPr>
      <w:bookmarkStart w:id="324" w:name="_Toc15669"/>
      <w:bookmarkStart w:id="325" w:name="_Toc459622993"/>
      <w:bookmarkStart w:id="326" w:name="_Toc8160"/>
      <w:bookmarkStart w:id="327" w:name="_Toc28896"/>
      <w:bookmarkStart w:id="328" w:name="_Toc493008705"/>
      <w:bookmarkStart w:id="329" w:name="_Toc447272160"/>
      <w:bookmarkStart w:id="330" w:name="_Toc447207023"/>
      <w:bookmarkStart w:id="331" w:name="_Toc29852"/>
      <w:r>
        <w:rPr>
          <w:rFonts w:hint="eastAsia" w:ascii="宋体" w:hAnsi="宋体"/>
          <w:szCs w:val="28"/>
        </w:rPr>
        <w:t>3.10、质疑与答复</w:t>
      </w:r>
      <w:bookmarkEnd w:id="324"/>
      <w:bookmarkEnd w:id="325"/>
      <w:bookmarkEnd w:id="326"/>
      <w:bookmarkEnd w:id="327"/>
      <w:bookmarkEnd w:id="328"/>
      <w:bookmarkEnd w:id="329"/>
      <w:bookmarkEnd w:id="330"/>
      <w:bookmarkEnd w:id="331"/>
    </w:p>
    <w:p>
      <w:pPr>
        <w:pStyle w:val="4"/>
        <w:spacing w:before="156" w:after="156"/>
        <w:ind w:firstLine="482"/>
      </w:pPr>
      <w:bookmarkStart w:id="332" w:name="_Toc493008706"/>
      <w:bookmarkStart w:id="333" w:name="_Toc30697"/>
      <w:bookmarkStart w:id="334" w:name="_Toc13201"/>
      <w:bookmarkStart w:id="335" w:name="_Toc5761"/>
      <w:bookmarkStart w:id="336" w:name="_Toc459622994"/>
      <w:bookmarkStart w:id="337" w:name="_Toc11219"/>
      <w:r>
        <w:rPr>
          <w:rFonts w:hint="eastAsia"/>
        </w:rPr>
        <w:t>3.10</w:t>
      </w:r>
      <w:r>
        <w:t xml:space="preserve">.1 </w:t>
      </w:r>
      <w:r>
        <w:rPr>
          <w:rFonts w:hint="eastAsia"/>
        </w:rPr>
        <w:t>综合说明</w:t>
      </w:r>
      <w:bookmarkEnd w:id="332"/>
      <w:bookmarkEnd w:id="333"/>
      <w:bookmarkEnd w:id="334"/>
      <w:bookmarkEnd w:id="335"/>
      <w:bookmarkEnd w:id="336"/>
      <w:bookmarkEnd w:id="337"/>
    </w:p>
    <w:p>
      <w:pPr>
        <w:ind w:firstLine="480"/>
        <w:rPr>
          <w:rFonts w:ascii="宋体" w:hAnsi="宋体"/>
          <w:color w:val="000000"/>
          <w:sz w:val="24"/>
        </w:rPr>
      </w:pPr>
      <w:r>
        <w:rPr>
          <w:rFonts w:hint="eastAsia" w:ascii="宋体" w:hAnsi="宋体"/>
          <w:color w:val="000000"/>
          <w:sz w:val="24"/>
        </w:rPr>
        <w:t>投标人对政府采购活动事项有疑问的，可以向招标人提出询问，招标人应当及时予以答复，但答复的内容不得涉及商业秘密；投标人</w:t>
      </w:r>
      <w:r>
        <w:rPr>
          <w:rFonts w:hint="eastAsia" w:ascii="宋体" w:hAnsi="宋体" w:cs="宋体"/>
          <w:kern w:val="0"/>
          <w:sz w:val="24"/>
        </w:rPr>
        <w:t>认为招标文件、招标过程或中标结果使自己的权益受到损害的，可以在规定期限内，以书面形式向招标人提出质疑。</w:t>
      </w:r>
      <w:r>
        <w:rPr>
          <w:rFonts w:hint="eastAsia" w:ascii="宋体" w:hAnsi="宋体"/>
          <w:color w:val="000000"/>
          <w:sz w:val="24"/>
        </w:rPr>
        <w:t>投标人质疑实行实名制，质疑应当有事实根据，不得进行虚假、恶意质疑，干扰政府采购正常的工作秩序。</w:t>
      </w:r>
    </w:p>
    <w:p>
      <w:pPr>
        <w:ind w:firstLine="480"/>
        <w:rPr>
          <w:rFonts w:ascii="宋体" w:hAnsi="宋体"/>
          <w:color w:val="000000"/>
          <w:sz w:val="24"/>
        </w:rPr>
      </w:pPr>
      <w:r>
        <w:rPr>
          <w:rFonts w:hint="eastAsia" w:ascii="宋体" w:hAnsi="宋体"/>
          <w:color w:val="000000"/>
          <w:sz w:val="24"/>
        </w:rPr>
        <w:t>招标人应当在收到投标人的书面质疑后及时作出答复，但答复的内容不得涉及商业秘密。</w:t>
      </w:r>
    </w:p>
    <w:p>
      <w:pPr>
        <w:pStyle w:val="4"/>
        <w:spacing w:before="156" w:after="156"/>
        <w:ind w:firstLine="482"/>
      </w:pPr>
      <w:bookmarkStart w:id="338" w:name="_Toc8558"/>
      <w:bookmarkStart w:id="339" w:name="_Toc31365"/>
      <w:bookmarkStart w:id="340" w:name="_Toc459622995"/>
      <w:bookmarkStart w:id="341" w:name="_Toc22181"/>
      <w:bookmarkStart w:id="342" w:name="_Toc493008707"/>
      <w:bookmarkStart w:id="343" w:name="_Toc27099"/>
      <w:r>
        <w:rPr>
          <w:rFonts w:hint="eastAsia"/>
        </w:rPr>
        <w:t>3.10.2质疑和答复的时限</w:t>
      </w:r>
      <w:bookmarkEnd w:id="338"/>
      <w:bookmarkEnd w:id="339"/>
      <w:bookmarkEnd w:id="340"/>
      <w:bookmarkEnd w:id="341"/>
      <w:bookmarkEnd w:id="342"/>
      <w:bookmarkEnd w:id="343"/>
    </w:p>
    <w:p>
      <w:pPr>
        <w:ind w:firstLine="480"/>
        <w:rPr>
          <w:rFonts w:ascii="宋体" w:hAnsi="宋体"/>
          <w:color w:val="000000"/>
          <w:sz w:val="24"/>
        </w:rPr>
      </w:pPr>
      <w:r>
        <w:rPr>
          <w:rFonts w:hint="eastAsia" w:ascii="宋体" w:hAnsi="宋体"/>
          <w:color w:val="000000"/>
          <w:sz w:val="24"/>
        </w:rPr>
        <w:t>（1）</w:t>
      </w:r>
      <w:r>
        <w:rPr>
          <w:rFonts w:hint="eastAsia" w:ascii="宋体" w:hAnsi="宋体"/>
          <w:sz w:val="24"/>
        </w:rPr>
        <w:t>投标商对政府采购活动事项有疑问的，可以向采购人或采购代理机构提出询问。采购人或采购代理机构将在3个工作日内作出答复。</w:t>
      </w:r>
    </w:p>
    <w:p>
      <w:pPr>
        <w:adjustRightInd w:val="0"/>
        <w:snapToGrid w:val="0"/>
        <w:ind w:firstLine="480"/>
        <w:jc w:val="left"/>
        <w:rPr>
          <w:rFonts w:ascii="宋体" w:hAnsi="宋体"/>
          <w:sz w:val="24"/>
        </w:rPr>
      </w:pPr>
      <w:r>
        <w:rPr>
          <w:rFonts w:hint="eastAsia" w:ascii="宋体" w:hAnsi="宋体"/>
          <w:color w:val="000000"/>
          <w:sz w:val="24"/>
        </w:rPr>
        <w:t>（2）</w:t>
      </w:r>
      <w:r>
        <w:rPr>
          <w:rFonts w:hint="eastAsia" w:ascii="宋体" w:hAnsi="宋体"/>
          <w:sz w:val="24"/>
        </w:rPr>
        <w:t>投标人若认为采购过程和中标结果使自己的权益受到损害，应当在下列时间内以书面形式向采购人或采购代理机构提出：</w:t>
      </w:r>
    </w:p>
    <w:p>
      <w:pPr>
        <w:adjustRightInd w:val="0"/>
        <w:snapToGrid w:val="0"/>
        <w:ind w:left="359" w:leftChars="171" w:firstLine="480"/>
        <w:jc w:val="left"/>
        <w:rPr>
          <w:rFonts w:ascii="宋体" w:hAnsi="宋体"/>
          <w:sz w:val="24"/>
        </w:rPr>
      </w:pPr>
      <w:r>
        <w:rPr>
          <w:rFonts w:hint="eastAsia" w:ascii="宋体" w:hAnsi="宋体"/>
          <w:sz w:val="24"/>
        </w:rPr>
        <w:t>①关于招标文件的质疑，应在收到招标文件之日或者招标文件公告期限届满之日起7个工作日内提出。</w:t>
      </w:r>
    </w:p>
    <w:p>
      <w:pPr>
        <w:adjustRightInd w:val="0"/>
        <w:snapToGrid w:val="0"/>
        <w:ind w:firstLine="840" w:firstLineChars="350"/>
        <w:jc w:val="left"/>
        <w:rPr>
          <w:rFonts w:ascii="宋体" w:hAnsi="宋体"/>
          <w:sz w:val="24"/>
        </w:rPr>
      </w:pPr>
      <w:r>
        <w:rPr>
          <w:rFonts w:hint="eastAsia" w:ascii="宋体" w:hAnsi="宋体"/>
          <w:sz w:val="24"/>
        </w:rPr>
        <w:t>②关于采购过程的质疑，应在采购程序环节结束之日起7个工作日内提出。</w:t>
      </w:r>
    </w:p>
    <w:p>
      <w:pPr>
        <w:ind w:firstLine="840" w:firstLineChars="350"/>
        <w:rPr>
          <w:rFonts w:ascii="宋体" w:hAnsi="宋体"/>
          <w:color w:val="000000"/>
          <w:sz w:val="24"/>
        </w:rPr>
      </w:pPr>
      <w:r>
        <w:rPr>
          <w:rFonts w:hint="eastAsia" w:ascii="宋体" w:hAnsi="宋体"/>
          <w:color w:val="000000"/>
          <w:sz w:val="24"/>
        </w:rPr>
        <w:t>③</w:t>
      </w:r>
      <w:r>
        <w:rPr>
          <w:rFonts w:hint="eastAsia" w:ascii="宋体" w:hAnsi="宋体"/>
          <w:sz w:val="24"/>
        </w:rPr>
        <w:t>关于中标结果的质疑，应在中标结果信息发布后7个工作日内提出。</w:t>
      </w:r>
    </w:p>
    <w:p>
      <w:pPr>
        <w:ind w:firstLine="480"/>
        <w:rPr>
          <w:rFonts w:ascii="宋体" w:hAnsi="宋体"/>
          <w:color w:val="000000"/>
          <w:sz w:val="24"/>
        </w:rPr>
      </w:pPr>
      <w:r>
        <w:rPr>
          <w:rFonts w:hint="eastAsia" w:ascii="宋体" w:hAnsi="宋体"/>
          <w:color w:val="000000"/>
          <w:sz w:val="24"/>
        </w:rPr>
        <w:t>（3）采购人应当在收到供应商的书面质疑后7个工作日内作出答复。</w:t>
      </w:r>
    </w:p>
    <w:p>
      <w:pPr>
        <w:pStyle w:val="4"/>
        <w:spacing w:before="156" w:after="156"/>
        <w:ind w:firstLine="482"/>
      </w:pPr>
      <w:bookmarkStart w:id="344" w:name="_Toc459622996"/>
      <w:bookmarkStart w:id="345" w:name="_Toc14127"/>
      <w:bookmarkStart w:id="346" w:name="_Toc1620"/>
      <w:bookmarkStart w:id="347" w:name="_Toc493008708"/>
      <w:bookmarkStart w:id="348" w:name="_Toc16320"/>
      <w:bookmarkStart w:id="349" w:name="_Toc16874"/>
      <w:r>
        <w:rPr>
          <w:rFonts w:hint="eastAsia"/>
        </w:rPr>
        <w:t>3.10.3投标人提起质疑应当符合下列条件：</w:t>
      </w:r>
      <w:bookmarkEnd w:id="344"/>
      <w:bookmarkEnd w:id="345"/>
      <w:bookmarkEnd w:id="346"/>
      <w:bookmarkEnd w:id="347"/>
      <w:bookmarkEnd w:id="348"/>
      <w:bookmarkEnd w:id="349"/>
    </w:p>
    <w:p>
      <w:pPr>
        <w:ind w:firstLine="480"/>
        <w:rPr>
          <w:rFonts w:ascii="宋体" w:hAnsi="宋体"/>
          <w:color w:val="000000"/>
          <w:sz w:val="24"/>
        </w:rPr>
      </w:pPr>
      <w:r>
        <w:rPr>
          <w:rFonts w:hint="eastAsia" w:ascii="宋体" w:hAnsi="宋体"/>
          <w:color w:val="000000"/>
          <w:sz w:val="24"/>
        </w:rPr>
        <w:t>（1）必须是参与被质疑项目的投标人；</w:t>
      </w:r>
    </w:p>
    <w:p>
      <w:pPr>
        <w:ind w:firstLine="480"/>
        <w:rPr>
          <w:rFonts w:ascii="宋体" w:hAnsi="宋体"/>
          <w:color w:val="000000"/>
          <w:sz w:val="24"/>
        </w:rPr>
      </w:pPr>
      <w:r>
        <w:rPr>
          <w:rFonts w:hint="eastAsia" w:ascii="宋体" w:hAnsi="宋体"/>
          <w:color w:val="000000"/>
          <w:sz w:val="24"/>
        </w:rPr>
        <w:t>（2）必须在规定的质疑有效期内提起质疑；</w:t>
      </w:r>
    </w:p>
    <w:p>
      <w:pPr>
        <w:ind w:firstLine="480"/>
        <w:rPr>
          <w:rFonts w:ascii="宋体" w:hAnsi="宋体"/>
          <w:color w:val="000000"/>
          <w:sz w:val="24"/>
        </w:rPr>
      </w:pPr>
      <w:r>
        <w:rPr>
          <w:rFonts w:hint="eastAsia" w:ascii="宋体" w:hAnsi="宋体"/>
          <w:color w:val="000000"/>
          <w:sz w:val="24"/>
        </w:rPr>
        <w:t>（3）政府采购监督管理部门规定的其他条件。</w:t>
      </w:r>
    </w:p>
    <w:p>
      <w:pPr>
        <w:pStyle w:val="4"/>
        <w:ind w:firstLine="482"/>
      </w:pPr>
      <w:bookmarkStart w:id="350" w:name="_Toc3129"/>
      <w:bookmarkStart w:id="351" w:name="_Toc459622997"/>
      <w:bookmarkStart w:id="352" w:name="_Toc27240"/>
      <w:bookmarkStart w:id="353" w:name="_Toc2414"/>
      <w:bookmarkStart w:id="354" w:name="_Toc493008709"/>
      <w:bookmarkStart w:id="355" w:name="_Toc3000"/>
      <w:r>
        <w:rPr>
          <w:rFonts w:hint="eastAsia"/>
        </w:rPr>
        <w:t>3.10.4质疑函的递交</w:t>
      </w:r>
      <w:bookmarkEnd w:id="350"/>
      <w:bookmarkEnd w:id="351"/>
      <w:bookmarkEnd w:id="352"/>
      <w:bookmarkEnd w:id="353"/>
      <w:r>
        <w:rPr>
          <w:rFonts w:hint="eastAsia"/>
        </w:rPr>
        <w:t>及地点</w:t>
      </w:r>
      <w:bookmarkEnd w:id="354"/>
      <w:bookmarkEnd w:id="355"/>
    </w:p>
    <w:p>
      <w:pPr>
        <w:ind w:firstLine="482"/>
        <w:rPr>
          <w:rFonts w:ascii="宋体" w:hAnsi="宋体"/>
          <w:b/>
          <w:sz w:val="24"/>
          <w:szCs w:val="24"/>
        </w:rPr>
      </w:pPr>
      <w:r>
        <w:rPr>
          <w:rFonts w:hint="eastAsia" w:ascii="宋体" w:hAnsi="宋体"/>
          <w:b/>
          <w:sz w:val="24"/>
          <w:szCs w:val="24"/>
        </w:rPr>
        <w:t>（1）质疑函应当包括下列主要内容：</w:t>
      </w:r>
    </w:p>
    <w:p>
      <w:pPr>
        <w:ind w:firstLine="960" w:firstLineChars="400"/>
        <w:rPr>
          <w:rFonts w:ascii="宋体" w:hAnsi="宋体"/>
          <w:color w:val="000000"/>
          <w:sz w:val="24"/>
        </w:rPr>
      </w:pPr>
      <w:r>
        <w:rPr>
          <w:rFonts w:hint="eastAsia" w:ascii="宋体" w:hAnsi="宋体"/>
          <w:color w:val="000000"/>
          <w:sz w:val="24"/>
        </w:rPr>
        <w:t>①提起质疑的投标人名称、地址及</w:t>
      </w:r>
      <w:r>
        <w:rPr>
          <w:rFonts w:hint="eastAsia" w:hAnsi="宋体"/>
          <w:sz w:val="24"/>
        </w:rPr>
        <w:t>有效</w:t>
      </w:r>
      <w:r>
        <w:rPr>
          <w:rFonts w:hint="eastAsia" w:ascii="宋体" w:hAnsi="宋体"/>
          <w:color w:val="000000"/>
          <w:sz w:val="24"/>
        </w:rPr>
        <w:t>联系方式；</w:t>
      </w:r>
    </w:p>
    <w:p>
      <w:pPr>
        <w:ind w:firstLine="960" w:firstLineChars="400"/>
        <w:rPr>
          <w:rFonts w:ascii="宋体" w:hAnsi="宋体"/>
          <w:color w:val="000000"/>
          <w:sz w:val="24"/>
        </w:rPr>
      </w:pPr>
      <w:r>
        <w:rPr>
          <w:rFonts w:hint="eastAsia" w:ascii="宋体" w:hAnsi="宋体"/>
          <w:color w:val="000000"/>
          <w:sz w:val="24"/>
        </w:rPr>
        <w:t>②质疑事项；</w:t>
      </w:r>
    </w:p>
    <w:p>
      <w:pPr>
        <w:ind w:firstLine="960" w:firstLineChars="400"/>
        <w:rPr>
          <w:rFonts w:ascii="宋体" w:hAnsi="宋体"/>
          <w:color w:val="000000"/>
          <w:sz w:val="24"/>
        </w:rPr>
      </w:pPr>
      <w:r>
        <w:rPr>
          <w:rFonts w:hint="eastAsia" w:ascii="宋体" w:hAnsi="宋体"/>
          <w:color w:val="000000"/>
          <w:sz w:val="24"/>
        </w:rPr>
        <w:t>③</w:t>
      </w:r>
      <w:r>
        <w:rPr>
          <w:rFonts w:hint="eastAsia" w:hAnsi="宋体"/>
          <w:sz w:val="24"/>
        </w:rPr>
        <w:t>事实依据及相关证明材料；</w:t>
      </w:r>
    </w:p>
    <w:p>
      <w:pPr>
        <w:ind w:firstLine="960" w:firstLineChars="400"/>
        <w:rPr>
          <w:rFonts w:ascii="宋体" w:hAnsi="宋体"/>
          <w:color w:val="000000"/>
          <w:sz w:val="24"/>
        </w:rPr>
      </w:pPr>
      <w:r>
        <w:rPr>
          <w:rFonts w:hint="eastAsia" w:ascii="宋体" w:hAnsi="宋体"/>
          <w:color w:val="000000"/>
          <w:sz w:val="24"/>
        </w:rPr>
        <w:t>④请求和主张。</w:t>
      </w:r>
    </w:p>
    <w:p>
      <w:pPr>
        <w:pStyle w:val="20"/>
        <w:snapToGrid w:val="0"/>
        <w:spacing w:line="360" w:lineRule="auto"/>
        <w:ind w:firstLine="480"/>
        <w:jc w:val="left"/>
        <w:rPr>
          <w:rFonts w:hAnsi="宋体"/>
          <w:sz w:val="24"/>
          <w:szCs w:val="24"/>
        </w:rPr>
      </w:pPr>
      <w:r>
        <w:rPr>
          <w:rFonts w:hint="eastAsia" w:hAnsi="宋体"/>
          <w:color w:val="000000"/>
          <w:sz w:val="24"/>
        </w:rPr>
        <w:t>质疑函</w:t>
      </w:r>
      <w:r>
        <w:rPr>
          <w:rFonts w:hint="eastAsia" w:hAnsi="宋体"/>
          <w:sz w:val="24"/>
          <w:szCs w:val="24"/>
        </w:rPr>
        <w:t>应当由投标人法定代表人或其授权的代理人签字并加盖投标人单位公章，质疑函由授权的代理人签字的应附投标人法定代表人委托授权书。</w:t>
      </w:r>
    </w:p>
    <w:p>
      <w:pPr>
        <w:pStyle w:val="20"/>
        <w:snapToGrid w:val="0"/>
        <w:spacing w:line="360" w:lineRule="auto"/>
        <w:ind w:firstLine="480"/>
        <w:jc w:val="left"/>
        <w:rPr>
          <w:rFonts w:hAnsi="宋体"/>
          <w:color w:val="000000"/>
          <w:sz w:val="24"/>
        </w:rPr>
      </w:pPr>
      <w:r>
        <w:rPr>
          <w:rFonts w:hint="eastAsia" w:hAnsi="宋体"/>
          <w:color w:val="000000"/>
          <w:sz w:val="24"/>
        </w:rPr>
        <w:t>质疑地点：（采购人）、（招标代理机构）</w:t>
      </w:r>
    </w:p>
    <w:p>
      <w:pPr>
        <w:ind w:firstLine="482"/>
        <w:rPr>
          <w:rFonts w:hAnsi="宋体"/>
          <w:sz w:val="24"/>
          <w:szCs w:val="24"/>
        </w:rPr>
      </w:pPr>
      <w:r>
        <w:rPr>
          <w:rFonts w:hint="eastAsia" w:ascii="宋体" w:hAnsi="宋体"/>
          <w:b/>
          <w:sz w:val="24"/>
          <w:szCs w:val="24"/>
        </w:rPr>
        <w:t>（2）质疑函的递交应当采取当面递交的形式。</w:t>
      </w:r>
    </w:p>
    <w:p>
      <w:pPr>
        <w:ind w:firstLine="480"/>
        <w:rPr>
          <w:rFonts w:ascii="宋体" w:hAnsi="宋体"/>
          <w:sz w:val="24"/>
        </w:rPr>
      </w:pPr>
      <w:r>
        <w:rPr>
          <w:rFonts w:hint="eastAsia" w:ascii="宋体" w:hAnsi="宋体"/>
          <w:color w:val="000000"/>
          <w:sz w:val="24"/>
        </w:rPr>
        <w:t>由法定代表人递交质疑函时，提供法定代表人身份证复印件；由授权投标人递交质疑函时，还须提供法人投标授权函和质</w:t>
      </w:r>
      <w:r>
        <w:rPr>
          <w:rFonts w:hint="eastAsia" w:ascii="宋体" w:hAnsi="宋体"/>
          <w:sz w:val="24"/>
        </w:rPr>
        <w:t>疑授权函（均为原件）及被授权投标人的身份证复印件。</w:t>
      </w:r>
      <w:r>
        <w:rPr>
          <w:rFonts w:hint="eastAsia"/>
          <w:bCs/>
          <w:sz w:val="24"/>
        </w:rPr>
        <w:t>身份证复印件须正反面清晰、有效，并要求由该身份证持有人在复印件正反面非空白位置注明</w:t>
      </w:r>
      <w:r>
        <w:rPr>
          <w:rFonts w:hint="eastAsia" w:cs="Arial"/>
          <w:bCs/>
          <w:sz w:val="24"/>
        </w:rPr>
        <w:t>“</w:t>
      </w:r>
      <w:r>
        <w:rPr>
          <w:rFonts w:hint="eastAsia"/>
          <w:bCs/>
          <w:sz w:val="24"/>
        </w:rPr>
        <w:t>该复印件用于</w:t>
      </w:r>
      <w:r>
        <w:rPr>
          <w:rFonts w:ascii="宋体" w:hAnsi="宋体"/>
          <w:sz w:val="24"/>
        </w:rPr>
        <w:t>XXX</w:t>
      </w:r>
      <w:r>
        <w:rPr>
          <w:rFonts w:hint="eastAsia"/>
          <w:bCs/>
          <w:sz w:val="24"/>
        </w:rPr>
        <w:t>项目质疑使用</w:t>
      </w:r>
      <w:r>
        <w:rPr>
          <w:rFonts w:hint="eastAsia" w:cs="Arial"/>
          <w:bCs/>
          <w:sz w:val="24"/>
        </w:rPr>
        <w:t>”</w:t>
      </w:r>
      <w:r>
        <w:rPr>
          <w:rFonts w:hint="eastAsia"/>
          <w:bCs/>
          <w:sz w:val="24"/>
        </w:rPr>
        <w:t>字样，并由身份证持有人签字确认</w:t>
      </w:r>
      <w:r>
        <w:rPr>
          <w:rFonts w:hint="eastAsia" w:ascii="宋体" w:hAnsi="宋体"/>
          <w:sz w:val="24"/>
        </w:rPr>
        <w:t>。上述资料均须加盖公章。</w:t>
      </w:r>
    </w:p>
    <w:p>
      <w:pPr>
        <w:ind w:firstLine="482"/>
        <w:rPr>
          <w:rFonts w:ascii="宋体" w:hAnsi="宋体"/>
          <w:b/>
          <w:sz w:val="24"/>
          <w:szCs w:val="24"/>
        </w:rPr>
      </w:pPr>
      <w:r>
        <w:rPr>
          <w:rFonts w:hint="eastAsia" w:ascii="宋体" w:hAnsi="宋体"/>
          <w:b/>
          <w:sz w:val="24"/>
          <w:szCs w:val="24"/>
        </w:rPr>
        <w:t>（3）采购人或采购代理机构收到质疑函后，应当向质疑供应商签收回执。</w:t>
      </w:r>
    </w:p>
    <w:p>
      <w:pPr>
        <w:pStyle w:val="4"/>
        <w:ind w:firstLine="482"/>
      </w:pPr>
      <w:bookmarkStart w:id="356" w:name="_Toc459622998"/>
      <w:bookmarkStart w:id="357" w:name="_Toc21251"/>
      <w:bookmarkStart w:id="358" w:name="_Toc493008710"/>
      <w:bookmarkStart w:id="359" w:name="_Toc23158"/>
      <w:bookmarkStart w:id="360" w:name="_Toc14558"/>
      <w:bookmarkStart w:id="361" w:name="_Toc24335"/>
      <w:r>
        <w:rPr>
          <w:rFonts w:hint="eastAsia"/>
        </w:rPr>
        <w:t>3.10.5对供应商质疑的答复</w:t>
      </w:r>
      <w:bookmarkEnd w:id="356"/>
      <w:bookmarkEnd w:id="357"/>
      <w:bookmarkEnd w:id="358"/>
      <w:bookmarkEnd w:id="359"/>
      <w:bookmarkEnd w:id="360"/>
      <w:bookmarkEnd w:id="361"/>
    </w:p>
    <w:p>
      <w:pPr>
        <w:ind w:firstLine="480"/>
        <w:rPr>
          <w:rFonts w:ascii="宋体" w:hAnsi="宋体"/>
          <w:color w:val="000000"/>
          <w:sz w:val="24"/>
        </w:rPr>
      </w:pPr>
      <w:r>
        <w:rPr>
          <w:rFonts w:hint="eastAsia" w:ascii="宋体" w:hAnsi="宋体"/>
          <w:sz w:val="24"/>
        </w:rPr>
        <w:t>招标人应在收到质疑函7个工作日内根据澄清或质疑函的具体内容相应作出答复或不予答复，答复内容不得涉及商业秘密。作出答复的将以书面形式通知提出澄清或质疑的投标人和其他有关投标人，或在指定媒体上</w:t>
      </w:r>
      <w:r>
        <w:rPr>
          <w:rFonts w:hint="eastAsia" w:ascii="宋体" w:hAnsi="宋体"/>
          <w:color w:val="000000"/>
          <w:sz w:val="24"/>
        </w:rPr>
        <w:t>予以公布。</w:t>
      </w:r>
    </w:p>
    <w:p>
      <w:pPr>
        <w:ind w:firstLine="480"/>
        <w:rPr>
          <w:rFonts w:ascii="宋体"/>
          <w:color w:val="000000"/>
          <w:sz w:val="24"/>
        </w:rPr>
      </w:pPr>
      <w:r>
        <w:rPr>
          <w:rFonts w:hint="eastAsia" w:ascii="宋体" w:hAnsi="宋体"/>
          <w:color w:val="000000"/>
          <w:sz w:val="24"/>
        </w:rPr>
        <w:t>递交质疑的投标人和其他有关投标人在被告知、收到上述公告、通知或答疑书后，应立即向招标人回函确认。未确认情况应当视为对质疑答复的知晓，也将视为对质疑答复内容接受的默认。对于未在投标文件中对修改内容做实质性响应的，对其产生的不利因素由未确认者自行承担。同时招标人可以酌情延长投标截止时间。</w:t>
      </w:r>
    </w:p>
    <w:p>
      <w:pPr>
        <w:pStyle w:val="4"/>
        <w:ind w:firstLine="482"/>
      </w:pPr>
      <w:bookmarkStart w:id="362" w:name="_Toc493008711"/>
      <w:bookmarkStart w:id="363" w:name="_Toc14322"/>
      <w:bookmarkStart w:id="364" w:name="_Toc459622999"/>
      <w:bookmarkStart w:id="365" w:name="_Toc5210"/>
      <w:bookmarkStart w:id="366" w:name="_Toc22004"/>
      <w:bookmarkStart w:id="367" w:name="_Toc7860"/>
      <w:r>
        <w:rPr>
          <w:rFonts w:hint="eastAsia"/>
        </w:rPr>
        <w:t>3.10</w:t>
      </w:r>
      <w:r>
        <w:t>.</w:t>
      </w:r>
      <w:r>
        <w:rPr>
          <w:rFonts w:hint="eastAsia"/>
        </w:rPr>
        <w:t>6质疑不予受理的情况</w:t>
      </w:r>
      <w:bookmarkEnd w:id="362"/>
      <w:bookmarkEnd w:id="363"/>
      <w:bookmarkEnd w:id="364"/>
      <w:bookmarkEnd w:id="365"/>
      <w:bookmarkEnd w:id="366"/>
      <w:bookmarkEnd w:id="367"/>
    </w:p>
    <w:p>
      <w:pPr>
        <w:widowControl/>
        <w:ind w:firstLine="480"/>
        <w:rPr>
          <w:rFonts w:ascii="宋体" w:cs="宋体"/>
          <w:color w:val="000000"/>
          <w:kern w:val="0"/>
          <w:sz w:val="24"/>
        </w:rPr>
      </w:pPr>
      <w:r>
        <w:rPr>
          <w:rFonts w:hint="eastAsia" w:ascii="宋体" w:hAnsi="宋体" w:cs="宋体"/>
          <w:color w:val="000000"/>
          <w:kern w:val="0"/>
          <w:sz w:val="24"/>
        </w:rPr>
        <w:t>有下列情形之一的，属于无效质疑，被质疑人不予受理，</w:t>
      </w:r>
      <w:r>
        <w:rPr>
          <w:rFonts w:hint="eastAsia"/>
          <w:color w:val="000000"/>
          <w:sz w:val="24"/>
        </w:rPr>
        <w:t>由此产生的影响由投标人自行承担</w:t>
      </w:r>
      <w:r>
        <w:rPr>
          <w:rFonts w:hint="eastAsia" w:ascii="宋体" w:hAnsi="宋体" w:cs="宋体"/>
          <w:color w:val="000000"/>
          <w:kern w:val="0"/>
          <w:sz w:val="24"/>
        </w:rPr>
        <w:t>：</w:t>
      </w:r>
    </w:p>
    <w:p>
      <w:pPr>
        <w:widowControl/>
        <w:ind w:firstLine="480"/>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1</w:t>
      </w:r>
      <w:r>
        <w:rPr>
          <w:rFonts w:ascii="宋体" w:hAnsi="宋体" w:cs="宋体"/>
          <w:color w:val="000000"/>
          <w:kern w:val="0"/>
          <w:sz w:val="24"/>
        </w:rPr>
        <w:t>)</w:t>
      </w:r>
      <w:r>
        <w:rPr>
          <w:rFonts w:hint="eastAsia" w:ascii="宋体" w:hAnsi="宋体" w:cs="宋体"/>
          <w:color w:val="000000"/>
          <w:kern w:val="0"/>
          <w:sz w:val="24"/>
        </w:rPr>
        <w:t>不是参与该政府采购项目活动供应商的</w:t>
      </w:r>
      <w:r>
        <w:rPr>
          <w:rFonts w:ascii="宋体" w:hAnsi="宋体" w:cs="宋体"/>
          <w:color w:val="000000"/>
          <w:kern w:val="0"/>
          <w:sz w:val="24"/>
        </w:rPr>
        <w:t>;</w:t>
      </w:r>
    </w:p>
    <w:p>
      <w:pPr>
        <w:widowControl/>
        <w:ind w:firstLine="480"/>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2</w:t>
      </w:r>
      <w:r>
        <w:rPr>
          <w:rFonts w:ascii="宋体" w:hAnsi="宋体" w:cs="宋体"/>
          <w:color w:val="000000"/>
          <w:kern w:val="0"/>
          <w:sz w:val="24"/>
        </w:rPr>
        <w:t>)</w:t>
      </w:r>
      <w:r>
        <w:rPr>
          <w:rFonts w:hint="eastAsia" w:ascii="宋体" w:hAnsi="宋体" w:cs="宋体"/>
          <w:color w:val="000000"/>
          <w:kern w:val="0"/>
          <w:sz w:val="24"/>
        </w:rPr>
        <w:t>被质疑人为采购人或政府采购代理机构之外的；</w:t>
      </w:r>
    </w:p>
    <w:p>
      <w:pPr>
        <w:widowControl/>
        <w:ind w:firstLine="480"/>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3</w:t>
      </w:r>
      <w:r>
        <w:rPr>
          <w:rFonts w:ascii="宋体" w:hAnsi="宋体" w:cs="宋体"/>
          <w:color w:val="000000"/>
          <w:kern w:val="0"/>
          <w:sz w:val="24"/>
        </w:rPr>
        <w:t>)</w:t>
      </w:r>
      <w:r>
        <w:rPr>
          <w:rFonts w:hint="eastAsia" w:ascii="宋体" w:hAnsi="宋体" w:cs="宋体"/>
          <w:color w:val="000000"/>
          <w:kern w:val="0"/>
          <w:sz w:val="24"/>
        </w:rPr>
        <w:t>所有质疑事项超过质疑有效期的；</w:t>
      </w:r>
    </w:p>
    <w:p>
      <w:pPr>
        <w:widowControl/>
        <w:ind w:firstLine="480"/>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4</w:t>
      </w:r>
      <w:r>
        <w:rPr>
          <w:rFonts w:ascii="宋体" w:hAnsi="宋体" w:cs="宋体"/>
          <w:color w:val="000000"/>
          <w:kern w:val="0"/>
          <w:sz w:val="24"/>
        </w:rPr>
        <w:t>)</w:t>
      </w:r>
      <w:r>
        <w:rPr>
          <w:rFonts w:hint="eastAsia" w:ascii="宋体" w:hAnsi="宋体" w:cs="宋体"/>
          <w:color w:val="000000"/>
          <w:kern w:val="0"/>
          <w:sz w:val="24"/>
        </w:rPr>
        <w:t>以具有法律效力的文书送达之外方式提出的；</w:t>
      </w:r>
    </w:p>
    <w:p>
      <w:pPr>
        <w:widowControl/>
        <w:ind w:firstLine="480"/>
        <w:rPr>
          <w:rFonts w:asci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5</w:t>
      </w:r>
      <w:r>
        <w:rPr>
          <w:rFonts w:ascii="宋体" w:hAnsi="宋体" w:cs="宋体"/>
          <w:color w:val="000000"/>
          <w:kern w:val="0"/>
          <w:sz w:val="24"/>
        </w:rPr>
        <w:t>)</w:t>
      </w:r>
      <w:r>
        <w:rPr>
          <w:rFonts w:hint="eastAsia"/>
          <w:color w:val="000000"/>
          <w:sz w:val="24"/>
        </w:rPr>
        <w:t>未按上述规定递交澄清或质疑函的</w:t>
      </w:r>
      <w:r>
        <w:rPr>
          <w:rFonts w:hint="eastAsia" w:ascii="宋体" w:hAnsi="宋体" w:cs="宋体"/>
          <w:color w:val="000000"/>
          <w:kern w:val="0"/>
          <w:sz w:val="24"/>
        </w:rPr>
        <w:t>；</w:t>
      </w:r>
    </w:p>
    <w:p>
      <w:pPr>
        <w:adjustRightInd w:val="0"/>
        <w:ind w:firstLine="480"/>
        <w:rPr>
          <w:rFonts w:ascii="宋体" w:hAnsi="宋体" w:cs="宋体"/>
          <w:color w:val="000000"/>
          <w:kern w:val="0"/>
          <w:sz w:val="24"/>
        </w:rPr>
      </w:pPr>
      <w:r>
        <w:rPr>
          <w:rFonts w:ascii="宋体" w:hAnsi="宋体" w:cs="宋体"/>
          <w:color w:val="000000"/>
          <w:kern w:val="0"/>
          <w:sz w:val="24"/>
        </w:rPr>
        <w:t>(</w:t>
      </w:r>
      <w:r>
        <w:rPr>
          <w:rFonts w:hint="eastAsia" w:ascii="宋体" w:hAnsi="宋体" w:cs="宋体"/>
          <w:color w:val="000000"/>
          <w:kern w:val="0"/>
          <w:sz w:val="24"/>
        </w:rPr>
        <w:t>6</w:t>
      </w:r>
      <w:r>
        <w:rPr>
          <w:rFonts w:ascii="宋体" w:hAnsi="宋体" w:cs="宋体"/>
          <w:color w:val="000000"/>
          <w:kern w:val="0"/>
          <w:sz w:val="24"/>
        </w:rPr>
        <w:t xml:space="preserve">) </w:t>
      </w:r>
      <w:r>
        <w:rPr>
          <w:rFonts w:hint="eastAsia" w:ascii="宋体" w:hAnsi="宋体" w:cs="宋体"/>
          <w:color w:val="000000"/>
          <w:kern w:val="0"/>
          <w:sz w:val="24"/>
        </w:rPr>
        <w:t>其它不符合受理条件的情形。</w:t>
      </w:r>
    </w:p>
    <w:p>
      <w:pPr>
        <w:pStyle w:val="4"/>
        <w:ind w:firstLine="482"/>
      </w:pPr>
      <w:bookmarkStart w:id="368" w:name="_Toc27568"/>
      <w:bookmarkStart w:id="369" w:name="_Toc25269"/>
      <w:bookmarkStart w:id="370" w:name="_Toc25456"/>
      <w:bookmarkStart w:id="371" w:name="_Toc493008712"/>
      <w:bookmarkStart w:id="372" w:name="_Toc459623000"/>
      <w:bookmarkStart w:id="373" w:name="_Toc3834"/>
      <w:r>
        <w:rPr>
          <w:rFonts w:hint="eastAsia"/>
        </w:rPr>
        <w:t>3.10.7投诉</w:t>
      </w:r>
      <w:bookmarkEnd w:id="368"/>
      <w:bookmarkEnd w:id="369"/>
      <w:bookmarkEnd w:id="370"/>
      <w:bookmarkEnd w:id="371"/>
      <w:bookmarkEnd w:id="372"/>
      <w:bookmarkEnd w:id="373"/>
    </w:p>
    <w:p>
      <w:pPr>
        <w:ind w:firstLine="480"/>
        <w:rPr>
          <w:rFonts w:ascii="宋体" w:hAnsi="宋体"/>
          <w:sz w:val="24"/>
        </w:rPr>
      </w:pPr>
      <w:r>
        <w:rPr>
          <w:rFonts w:hint="eastAsia" w:ascii="宋体" w:hAnsi="宋体"/>
          <w:sz w:val="24"/>
        </w:rPr>
        <w:t>投标人对采购人或采购代理机构的答复不满意，或采购人或采购代理机构未在规定的期限作出答复的，可在答复期满后15个工作日内，按政府采购相关法律法规规章的规定及程序，向同级财政部门提出投诉。15个工作日过后视为放弃投诉。</w:t>
      </w:r>
    </w:p>
    <w:p>
      <w:pPr>
        <w:pStyle w:val="3"/>
      </w:pPr>
      <w:bookmarkStart w:id="374" w:name="_Toc23547"/>
      <w:r>
        <w:rPr>
          <w:rFonts w:hint="eastAsia"/>
        </w:rPr>
        <w:t>3.11、招标代理费</w:t>
      </w:r>
      <w:bookmarkEnd w:id="374"/>
    </w:p>
    <w:p>
      <w:pPr>
        <w:ind w:firstLine="480"/>
        <w:jc w:val="left"/>
        <w:rPr>
          <w:rFonts w:ascii="宋体" w:hAnsi="宋体"/>
          <w:sz w:val="24"/>
          <w:szCs w:val="24"/>
        </w:rPr>
      </w:pPr>
      <w:r>
        <w:rPr>
          <w:rFonts w:hint="eastAsia" w:ascii="宋体" w:hAnsi="宋体"/>
          <w:sz w:val="24"/>
          <w:szCs w:val="24"/>
        </w:rPr>
        <w:t>招标结束后五个工作日内，代理机构应按照国家计委颁发的《招标代理服务收费管理暂行办法》（计价格[2002]1980号）和发改办价格[2003]857号文件收取代理费，除此之外不得向中标商收取其他费用。</w:t>
      </w:r>
    </w:p>
    <w:p>
      <w:pPr>
        <w:pStyle w:val="2"/>
        <w:ind w:firstLine="643"/>
      </w:pPr>
      <w:r>
        <w:rPr>
          <w:rFonts w:hint="eastAsia"/>
        </w:rPr>
        <w:t xml:space="preserve"> </w:t>
      </w:r>
      <w:r>
        <w:br w:type="page"/>
      </w:r>
      <w:bookmarkStart w:id="375" w:name="_Toc447207024"/>
      <w:bookmarkStart w:id="376" w:name="_Toc459623001"/>
      <w:bookmarkStart w:id="377" w:name="_Toc32641"/>
      <w:bookmarkStart w:id="378" w:name="_Toc493008713"/>
      <w:bookmarkStart w:id="379" w:name="_Toc447272161"/>
      <w:bookmarkStart w:id="380" w:name="_Toc22828"/>
      <w:r>
        <w:rPr>
          <w:rFonts w:hint="eastAsia"/>
        </w:rPr>
        <w:t>第四章  项目需求</w:t>
      </w:r>
      <w:bookmarkEnd w:id="375"/>
      <w:bookmarkEnd w:id="376"/>
      <w:bookmarkEnd w:id="377"/>
      <w:bookmarkEnd w:id="378"/>
      <w:bookmarkEnd w:id="379"/>
      <w:bookmarkEnd w:id="380"/>
    </w:p>
    <w:p>
      <w:pPr>
        <w:pStyle w:val="3"/>
      </w:pPr>
      <w:bookmarkStart w:id="381" w:name="_Toc493008714"/>
      <w:bookmarkStart w:id="382" w:name="_Toc1889"/>
      <w:bookmarkStart w:id="383" w:name="_Toc15337"/>
      <w:r>
        <w:rPr>
          <w:rFonts w:hint="eastAsia"/>
        </w:rPr>
        <w:t>4.1 货物需求一览表</w:t>
      </w:r>
      <w:bookmarkEnd w:id="381"/>
      <w:bookmarkEnd w:id="382"/>
      <w:bookmarkEnd w:id="383"/>
    </w:p>
    <w:p>
      <w:pPr>
        <w:ind w:firstLine="0" w:firstLineChars="0"/>
        <w:rPr>
          <w:rFonts w:ascii="宋体" w:hAnsi="宋体" w:cs="宋体"/>
          <w:b/>
          <w:bCs/>
          <w:sz w:val="24"/>
          <w:szCs w:val="24"/>
        </w:rPr>
      </w:pPr>
      <w:r>
        <w:rPr>
          <w:rFonts w:hint="eastAsia" w:ascii="宋体" w:hAnsi="宋体" w:cs="宋体"/>
          <w:b/>
          <w:bCs/>
          <w:sz w:val="24"/>
          <w:szCs w:val="24"/>
        </w:rPr>
        <w:t>包一：检验及监护类</w:t>
      </w:r>
    </w:p>
    <w:tbl>
      <w:tblPr>
        <w:tblStyle w:val="41"/>
        <w:tblW w:w="9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6015"/>
        <w:gridCol w:w="2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3" w:hRule="atLeast"/>
        </w:trPr>
        <w:tc>
          <w:tcPr>
            <w:tcW w:w="1400" w:type="dxa"/>
            <w:vAlign w:val="center"/>
          </w:tcPr>
          <w:p>
            <w:pPr>
              <w:spacing w:line="560" w:lineRule="exact"/>
              <w:ind w:firstLine="0" w:firstLineChars="0"/>
              <w:jc w:val="center"/>
              <w:rPr>
                <w:rFonts w:ascii="宋体" w:hAnsi="宋体" w:cs="宋体"/>
                <w:spacing w:val="-6"/>
                <w:sz w:val="24"/>
                <w:szCs w:val="24"/>
              </w:rPr>
            </w:pPr>
            <w:r>
              <w:rPr>
                <w:rFonts w:hint="eastAsia" w:ascii="宋体" w:hAnsi="宋体" w:cs="宋体"/>
                <w:spacing w:val="-6"/>
                <w:sz w:val="24"/>
                <w:szCs w:val="24"/>
              </w:rPr>
              <w:t>序号</w:t>
            </w:r>
          </w:p>
        </w:tc>
        <w:tc>
          <w:tcPr>
            <w:tcW w:w="6015"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产品名称</w:t>
            </w:r>
          </w:p>
        </w:tc>
        <w:tc>
          <w:tcPr>
            <w:tcW w:w="2385" w:type="dxa"/>
            <w:vAlign w:val="center"/>
          </w:tcPr>
          <w:p>
            <w:pPr>
              <w:spacing w:line="560" w:lineRule="exact"/>
              <w:ind w:firstLine="480"/>
              <w:rPr>
                <w:rFonts w:ascii="宋体" w:hAnsi="宋体" w:cs="宋体"/>
                <w:sz w:val="24"/>
                <w:szCs w:val="24"/>
              </w:rPr>
            </w:pPr>
            <w:r>
              <w:rPr>
                <w:rFonts w:hint="eastAsia" w:ascii="宋体" w:hAnsi="宋体" w:cs="宋体"/>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00" w:type="dxa"/>
            <w:vAlign w:val="center"/>
          </w:tcPr>
          <w:p>
            <w:pPr>
              <w:spacing w:line="560" w:lineRule="exact"/>
              <w:ind w:firstLine="0" w:firstLineChars="0"/>
              <w:jc w:val="center"/>
              <w:rPr>
                <w:rFonts w:ascii="宋体" w:hAnsi="宋体" w:cs="宋体"/>
                <w:spacing w:val="-6"/>
                <w:sz w:val="24"/>
                <w:szCs w:val="24"/>
              </w:rPr>
            </w:pPr>
            <w:r>
              <w:rPr>
                <w:rFonts w:hint="eastAsia" w:ascii="宋体" w:hAnsi="宋体" w:cs="宋体"/>
                <w:spacing w:val="-6"/>
                <w:sz w:val="24"/>
                <w:szCs w:val="24"/>
              </w:rPr>
              <w:t>1</w:t>
            </w:r>
          </w:p>
        </w:tc>
        <w:tc>
          <w:tcPr>
            <w:tcW w:w="6015"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全自动化学发光分析仪</w:t>
            </w:r>
          </w:p>
        </w:tc>
        <w:tc>
          <w:tcPr>
            <w:tcW w:w="2385" w:type="dxa"/>
            <w:vAlign w:val="center"/>
          </w:tcPr>
          <w:p>
            <w:pPr>
              <w:spacing w:line="560" w:lineRule="exact"/>
              <w:ind w:firstLine="480"/>
              <w:rPr>
                <w:rFonts w:ascii="宋体" w:hAnsi="宋体" w:cs="宋体"/>
                <w:sz w:val="24"/>
                <w:szCs w:val="24"/>
              </w:rPr>
            </w:pPr>
            <w:r>
              <w:rPr>
                <w:rFonts w:hint="eastAsia" w:ascii="宋体" w:hAnsi="宋体" w:cs="宋体"/>
                <w:sz w:val="24"/>
                <w:szCs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400" w:type="dxa"/>
            <w:vAlign w:val="center"/>
          </w:tcPr>
          <w:p>
            <w:pPr>
              <w:spacing w:line="560" w:lineRule="exact"/>
              <w:ind w:firstLine="0" w:firstLineChars="0"/>
              <w:jc w:val="center"/>
              <w:rPr>
                <w:rFonts w:ascii="宋体" w:hAnsi="宋体" w:cs="宋体"/>
                <w:spacing w:val="-6"/>
                <w:sz w:val="24"/>
                <w:szCs w:val="24"/>
              </w:rPr>
            </w:pPr>
            <w:r>
              <w:rPr>
                <w:rFonts w:hint="eastAsia" w:ascii="宋体" w:hAnsi="宋体" w:cs="宋体"/>
                <w:spacing w:val="-6"/>
                <w:sz w:val="24"/>
                <w:szCs w:val="24"/>
              </w:rPr>
              <w:t>2</w:t>
            </w:r>
          </w:p>
        </w:tc>
        <w:tc>
          <w:tcPr>
            <w:tcW w:w="6015"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中高端监护仪</w:t>
            </w:r>
          </w:p>
        </w:tc>
        <w:tc>
          <w:tcPr>
            <w:tcW w:w="2385" w:type="dxa"/>
            <w:vAlign w:val="center"/>
          </w:tcPr>
          <w:p>
            <w:pPr>
              <w:spacing w:line="560" w:lineRule="exact"/>
              <w:ind w:firstLine="480"/>
              <w:rPr>
                <w:rFonts w:ascii="宋体" w:hAnsi="宋体" w:cs="宋体"/>
                <w:sz w:val="24"/>
                <w:szCs w:val="24"/>
              </w:rPr>
            </w:pPr>
            <w:r>
              <w:rPr>
                <w:rFonts w:hint="eastAsia" w:ascii="宋体" w:hAnsi="宋体" w:cs="宋体"/>
                <w:sz w:val="24"/>
                <w:szCs w:val="24"/>
              </w:rPr>
              <w:t>2台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400" w:type="dxa"/>
            <w:vAlign w:val="center"/>
          </w:tcPr>
          <w:p>
            <w:pPr>
              <w:spacing w:line="560" w:lineRule="exact"/>
              <w:ind w:firstLine="0" w:firstLineChars="0"/>
              <w:jc w:val="center"/>
              <w:rPr>
                <w:rFonts w:ascii="宋体" w:hAnsi="宋体" w:cs="宋体"/>
                <w:spacing w:val="-6"/>
                <w:sz w:val="24"/>
                <w:szCs w:val="24"/>
              </w:rPr>
            </w:pPr>
            <w:r>
              <w:rPr>
                <w:rFonts w:hint="eastAsia" w:ascii="宋体" w:hAnsi="宋体" w:cs="宋体"/>
                <w:spacing w:val="-6"/>
                <w:sz w:val="24"/>
                <w:szCs w:val="24"/>
              </w:rPr>
              <w:t>3</w:t>
            </w:r>
          </w:p>
        </w:tc>
        <w:tc>
          <w:tcPr>
            <w:tcW w:w="6015"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五分类血液分析仪</w:t>
            </w:r>
          </w:p>
        </w:tc>
        <w:tc>
          <w:tcPr>
            <w:tcW w:w="2385" w:type="dxa"/>
            <w:vAlign w:val="center"/>
          </w:tcPr>
          <w:p>
            <w:pPr>
              <w:spacing w:line="560" w:lineRule="exact"/>
              <w:ind w:firstLine="480"/>
              <w:rPr>
                <w:rFonts w:ascii="宋体" w:hAnsi="宋体" w:cs="宋体"/>
                <w:sz w:val="24"/>
                <w:szCs w:val="24"/>
              </w:rPr>
            </w:pPr>
            <w:r>
              <w:rPr>
                <w:rFonts w:hint="eastAsia" w:ascii="宋体" w:hAnsi="宋体" w:cs="宋体"/>
                <w:sz w:val="24"/>
                <w:szCs w:val="24"/>
              </w:rPr>
              <w:t>1台</w:t>
            </w:r>
          </w:p>
        </w:tc>
      </w:tr>
    </w:tbl>
    <w:p>
      <w:pPr>
        <w:ind w:firstLine="0" w:firstLineChars="0"/>
        <w:rPr>
          <w:rFonts w:ascii="宋体" w:hAnsi="宋体" w:cs="宋体"/>
          <w:b/>
          <w:bCs/>
          <w:sz w:val="24"/>
          <w:szCs w:val="24"/>
        </w:rPr>
      </w:pPr>
      <w:r>
        <w:rPr>
          <w:rFonts w:hint="eastAsia" w:ascii="宋体" w:hAnsi="宋体" w:cs="宋体"/>
          <w:b/>
          <w:bCs/>
          <w:sz w:val="24"/>
          <w:szCs w:val="24"/>
        </w:rPr>
        <w:t>包二：高压灭菌及手术室类</w:t>
      </w:r>
    </w:p>
    <w:tbl>
      <w:tblPr>
        <w:tblStyle w:val="41"/>
        <w:tblW w:w="9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4"/>
        <w:gridCol w:w="6011"/>
        <w:gridCol w:w="2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404" w:type="dxa"/>
            <w:vAlign w:val="center"/>
          </w:tcPr>
          <w:p>
            <w:pPr>
              <w:spacing w:line="560" w:lineRule="exact"/>
              <w:ind w:firstLine="0" w:firstLineChars="0"/>
              <w:jc w:val="center"/>
              <w:rPr>
                <w:rFonts w:ascii="宋体" w:hAnsi="宋体" w:cs="宋体"/>
                <w:sz w:val="24"/>
                <w:szCs w:val="24"/>
              </w:rPr>
            </w:pPr>
            <w:r>
              <w:rPr>
                <w:rFonts w:hint="eastAsia" w:ascii="宋体" w:hAnsi="宋体" w:cs="宋体"/>
                <w:sz w:val="24"/>
                <w:szCs w:val="24"/>
              </w:rPr>
              <w:t>序号</w:t>
            </w:r>
          </w:p>
        </w:tc>
        <w:tc>
          <w:tcPr>
            <w:tcW w:w="6011"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产品名称</w:t>
            </w:r>
          </w:p>
        </w:tc>
        <w:tc>
          <w:tcPr>
            <w:tcW w:w="2405" w:type="dxa"/>
            <w:vAlign w:val="center"/>
          </w:tcPr>
          <w:p>
            <w:pPr>
              <w:spacing w:line="560" w:lineRule="exact"/>
              <w:ind w:firstLine="0" w:firstLineChars="0"/>
              <w:jc w:val="center"/>
              <w:rPr>
                <w:rFonts w:ascii="宋体" w:hAnsi="宋体" w:cs="宋体"/>
                <w:sz w:val="24"/>
                <w:szCs w:val="24"/>
              </w:rPr>
            </w:pPr>
            <w:r>
              <w:rPr>
                <w:rFonts w:hint="eastAsia" w:ascii="宋体" w:hAnsi="宋体" w:cs="宋体"/>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04" w:type="dxa"/>
            <w:vAlign w:val="center"/>
          </w:tcPr>
          <w:p>
            <w:pPr>
              <w:spacing w:line="560" w:lineRule="exact"/>
              <w:ind w:firstLine="0" w:firstLineChars="0"/>
              <w:jc w:val="center"/>
              <w:rPr>
                <w:rFonts w:ascii="宋体" w:hAnsi="宋体" w:cs="宋体"/>
                <w:sz w:val="24"/>
                <w:szCs w:val="24"/>
              </w:rPr>
            </w:pPr>
            <w:r>
              <w:rPr>
                <w:rFonts w:hint="eastAsia" w:ascii="宋体" w:hAnsi="宋体" w:cs="宋体"/>
                <w:sz w:val="24"/>
                <w:szCs w:val="24"/>
              </w:rPr>
              <w:t>1</w:t>
            </w:r>
          </w:p>
        </w:tc>
        <w:tc>
          <w:tcPr>
            <w:tcW w:w="6011"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脉动真空灭菌器</w:t>
            </w:r>
          </w:p>
        </w:tc>
        <w:tc>
          <w:tcPr>
            <w:tcW w:w="2405" w:type="dxa"/>
            <w:vAlign w:val="center"/>
          </w:tcPr>
          <w:p>
            <w:pPr>
              <w:spacing w:line="560" w:lineRule="exact"/>
              <w:ind w:firstLine="480"/>
              <w:rPr>
                <w:rFonts w:ascii="宋体" w:hAnsi="宋体" w:cs="宋体"/>
                <w:sz w:val="24"/>
                <w:szCs w:val="24"/>
              </w:rPr>
            </w:pPr>
            <w:r>
              <w:rPr>
                <w:rFonts w:hint="eastAsia" w:ascii="宋体" w:hAnsi="宋体" w:cs="宋体"/>
                <w:sz w:val="24"/>
                <w:szCs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404" w:type="dxa"/>
            <w:vAlign w:val="center"/>
          </w:tcPr>
          <w:p>
            <w:pPr>
              <w:spacing w:line="560" w:lineRule="exact"/>
              <w:ind w:firstLine="0" w:firstLineChars="0"/>
              <w:jc w:val="center"/>
              <w:rPr>
                <w:rFonts w:ascii="宋体" w:hAnsi="宋体" w:cs="宋体"/>
                <w:sz w:val="24"/>
                <w:szCs w:val="24"/>
              </w:rPr>
            </w:pPr>
            <w:r>
              <w:rPr>
                <w:rFonts w:hint="eastAsia" w:ascii="宋体" w:hAnsi="宋体" w:cs="宋体"/>
                <w:sz w:val="24"/>
                <w:szCs w:val="24"/>
              </w:rPr>
              <w:t>2</w:t>
            </w:r>
          </w:p>
        </w:tc>
        <w:tc>
          <w:tcPr>
            <w:tcW w:w="6011"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可视软性喉镜</w:t>
            </w:r>
          </w:p>
        </w:tc>
        <w:tc>
          <w:tcPr>
            <w:tcW w:w="2405" w:type="dxa"/>
            <w:vAlign w:val="center"/>
          </w:tcPr>
          <w:p>
            <w:pPr>
              <w:spacing w:line="560" w:lineRule="exact"/>
              <w:ind w:firstLine="480"/>
              <w:rPr>
                <w:rFonts w:ascii="宋体" w:hAnsi="宋体" w:cs="宋体"/>
                <w:sz w:val="24"/>
                <w:szCs w:val="24"/>
              </w:rPr>
            </w:pPr>
            <w:r>
              <w:rPr>
                <w:rFonts w:hint="eastAsia" w:ascii="宋体" w:hAnsi="宋体" w:cs="宋体"/>
                <w:sz w:val="24"/>
                <w:szCs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404" w:type="dxa"/>
            <w:vAlign w:val="center"/>
          </w:tcPr>
          <w:p>
            <w:pPr>
              <w:spacing w:line="560" w:lineRule="exact"/>
              <w:ind w:firstLine="0" w:firstLineChars="0"/>
              <w:jc w:val="center"/>
              <w:rPr>
                <w:rFonts w:ascii="宋体" w:hAnsi="宋体" w:cs="宋体"/>
                <w:sz w:val="24"/>
                <w:szCs w:val="24"/>
              </w:rPr>
            </w:pPr>
            <w:r>
              <w:rPr>
                <w:rFonts w:hint="eastAsia" w:ascii="宋体" w:hAnsi="宋体" w:cs="宋体"/>
                <w:sz w:val="24"/>
                <w:szCs w:val="24"/>
              </w:rPr>
              <w:t>3</w:t>
            </w:r>
          </w:p>
        </w:tc>
        <w:tc>
          <w:tcPr>
            <w:tcW w:w="6011" w:type="dxa"/>
            <w:vAlign w:val="center"/>
          </w:tcPr>
          <w:p>
            <w:pPr>
              <w:spacing w:line="560" w:lineRule="exact"/>
              <w:ind w:firstLine="480"/>
              <w:jc w:val="center"/>
              <w:rPr>
                <w:rFonts w:ascii="宋体" w:hAnsi="宋体" w:cs="宋体"/>
                <w:sz w:val="24"/>
                <w:szCs w:val="24"/>
              </w:rPr>
            </w:pPr>
            <w:r>
              <w:rPr>
                <w:rFonts w:hint="eastAsia" w:ascii="宋体" w:hAnsi="宋体" w:cs="宋体"/>
                <w:sz w:val="24"/>
                <w:szCs w:val="24"/>
              </w:rPr>
              <w:t>ABS病人交换车</w:t>
            </w:r>
          </w:p>
        </w:tc>
        <w:tc>
          <w:tcPr>
            <w:tcW w:w="2405" w:type="dxa"/>
            <w:vAlign w:val="center"/>
          </w:tcPr>
          <w:p>
            <w:pPr>
              <w:spacing w:line="560" w:lineRule="exact"/>
              <w:ind w:firstLine="480"/>
              <w:rPr>
                <w:rFonts w:ascii="宋体" w:hAnsi="宋体" w:cs="宋体"/>
                <w:sz w:val="24"/>
                <w:szCs w:val="24"/>
              </w:rPr>
            </w:pPr>
            <w:r>
              <w:rPr>
                <w:rFonts w:hint="eastAsia" w:ascii="宋体" w:hAnsi="宋体" w:cs="宋体"/>
                <w:sz w:val="24"/>
                <w:szCs w:val="24"/>
              </w:rPr>
              <w:t>1台</w:t>
            </w:r>
          </w:p>
        </w:tc>
      </w:tr>
    </w:tbl>
    <w:p>
      <w:pPr>
        <w:spacing w:line="720" w:lineRule="auto"/>
        <w:ind w:firstLine="0" w:firstLineChars="0"/>
        <w:jc w:val="center"/>
        <w:rPr>
          <w:rFonts w:ascii="宋体" w:hAnsi="宋体" w:cs="宋体"/>
          <w:b/>
          <w:sz w:val="24"/>
          <w:szCs w:val="24"/>
        </w:rPr>
      </w:pPr>
      <w:bookmarkStart w:id="384" w:name="_Toc7637"/>
      <w:bookmarkStart w:id="385" w:name="_Toc29820"/>
      <w:bookmarkStart w:id="386" w:name="_Toc459623003"/>
      <w:bookmarkStart w:id="387" w:name="_Toc11542"/>
      <w:bookmarkStart w:id="388" w:name="_Toc493008715"/>
      <w:bookmarkStart w:id="389" w:name="_Toc139965355"/>
      <w:bookmarkStart w:id="390" w:name="_Toc128372082"/>
      <w:bookmarkStart w:id="391" w:name="_Toc128372760"/>
      <w:r>
        <w:rPr>
          <w:rFonts w:hint="eastAsia" w:ascii="宋体" w:hAnsi="宋体" w:cs="宋体"/>
          <w:b/>
          <w:sz w:val="24"/>
          <w:szCs w:val="24"/>
        </w:rPr>
        <w:t>包一技术参数</w:t>
      </w:r>
    </w:p>
    <w:p>
      <w:pPr>
        <w:spacing w:line="720" w:lineRule="auto"/>
        <w:ind w:firstLine="0" w:firstLineChars="0"/>
        <w:jc w:val="left"/>
        <w:rPr>
          <w:rFonts w:ascii="宋体" w:hAnsi="宋体" w:cs="宋体"/>
          <w:b/>
          <w:sz w:val="24"/>
          <w:szCs w:val="24"/>
        </w:rPr>
      </w:pPr>
      <w:r>
        <w:rPr>
          <w:rFonts w:hint="eastAsia" w:ascii="宋体" w:hAnsi="宋体" w:cs="宋体"/>
          <w:b/>
          <w:sz w:val="24"/>
          <w:szCs w:val="24"/>
        </w:rPr>
        <w:t>全自动化学发光分析仪:</w:t>
      </w:r>
    </w:p>
    <w:p>
      <w:pPr>
        <w:numPr>
          <w:ilvl w:val="0"/>
          <w:numId w:val="1"/>
        </w:numPr>
        <w:ind w:firstLine="480"/>
        <w:rPr>
          <w:rFonts w:ascii="宋体" w:hAnsi="宋体" w:cs="宋体"/>
          <w:bCs/>
          <w:sz w:val="24"/>
          <w:szCs w:val="24"/>
        </w:rPr>
      </w:pPr>
      <w:r>
        <w:rPr>
          <w:rFonts w:hint="eastAsia" w:ascii="宋体" w:hAnsi="宋体" w:cs="宋体"/>
          <w:bCs/>
          <w:sz w:val="24"/>
          <w:szCs w:val="24"/>
        </w:rPr>
        <w:t>发光原理：非酶参与的直接化学发光，标记物为异鲁米诺衍生物。</w:t>
      </w:r>
    </w:p>
    <w:p>
      <w:pPr>
        <w:numPr>
          <w:ilvl w:val="0"/>
          <w:numId w:val="1"/>
        </w:numPr>
        <w:ind w:firstLine="480"/>
        <w:rPr>
          <w:rFonts w:ascii="宋体" w:hAnsi="宋体" w:cs="宋体"/>
          <w:bCs/>
          <w:sz w:val="24"/>
          <w:szCs w:val="24"/>
        </w:rPr>
      </w:pPr>
      <w:r>
        <w:rPr>
          <w:rFonts w:hint="eastAsia" w:ascii="宋体" w:hAnsi="宋体"/>
          <w:sz w:val="24"/>
        </w:rPr>
        <w:t>★</w:t>
      </w:r>
      <w:r>
        <w:rPr>
          <w:rFonts w:hint="eastAsia" w:ascii="宋体" w:hAnsi="宋体" w:cs="宋体"/>
          <w:bCs/>
          <w:sz w:val="24"/>
          <w:szCs w:val="24"/>
        </w:rPr>
        <w:t xml:space="preserve"> 测试速度：</w:t>
      </w:r>
      <w:r>
        <w:rPr>
          <w:rFonts w:hint="eastAsia" w:ascii="宋体" w:hAnsi="宋体" w:cs="宋体"/>
          <w:bCs/>
          <w:color w:val="000000"/>
          <w:sz w:val="24"/>
          <w:szCs w:val="24"/>
        </w:rPr>
        <w:t>≥200测试/小时</w:t>
      </w:r>
    </w:p>
    <w:p>
      <w:pPr>
        <w:numPr>
          <w:ilvl w:val="0"/>
          <w:numId w:val="1"/>
        </w:numPr>
        <w:ind w:firstLine="480"/>
        <w:rPr>
          <w:rFonts w:ascii="宋体" w:hAnsi="宋体" w:cs="宋体"/>
          <w:bCs/>
          <w:sz w:val="24"/>
          <w:szCs w:val="24"/>
        </w:rPr>
      </w:pPr>
      <w:r>
        <w:rPr>
          <w:rFonts w:hint="eastAsia" w:ascii="宋体" w:hAnsi="宋体"/>
          <w:sz w:val="24"/>
        </w:rPr>
        <w:t>★</w:t>
      </w:r>
      <w:r>
        <w:rPr>
          <w:rFonts w:hint="eastAsia" w:ascii="宋体" w:hAnsi="宋体" w:cs="宋体"/>
          <w:bCs/>
          <w:color w:val="000000"/>
          <w:sz w:val="24"/>
          <w:szCs w:val="24"/>
        </w:rPr>
        <w:t>第一份结果出来所用时间:≤17分钟</w:t>
      </w:r>
    </w:p>
    <w:p>
      <w:pPr>
        <w:numPr>
          <w:ilvl w:val="0"/>
          <w:numId w:val="1"/>
        </w:numPr>
        <w:ind w:firstLine="480"/>
        <w:rPr>
          <w:rFonts w:ascii="宋体" w:hAnsi="宋体" w:cs="宋体"/>
          <w:bCs/>
          <w:sz w:val="24"/>
          <w:szCs w:val="24"/>
        </w:rPr>
      </w:pPr>
      <w:r>
        <w:rPr>
          <w:rFonts w:hint="eastAsia" w:ascii="宋体" w:hAnsi="宋体" w:cs="宋体"/>
          <w:bCs/>
          <w:sz w:val="24"/>
          <w:szCs w:val="24"/>
        </w:rPr>
        <w:t>样本处理模式：随机、急诊、批处理</w:t>
      </w:r>
    </w:p>
    <w:p>
      <w:pPr>
        <w:numPr>
          <w:ilvl w:val="0"/>
          <w:numId w:val="1"/>
        </w:numPr>
        <w:ind w:firstLine="480"/>
        <w:rPr>
          <w:rFonts w:ascii="宋体" w:hAnsi="宋体" w:cs="宋体"/>
          <w:bCs/>
          <w:sz w:val="24"/>
          <w:szCs w:val="24"/>
        </w:rPr>
      </w:pPr>
      <w:r>
        <w:rPr>
          <w:rFonts w:hint="eastAsia" w:ascii="宋体" w:hAnsi="宋体" w:cs="宋体"/>
          <w:color w:val="000000"/>
          <w:sz w:val="24"/>
          <w:szCs w:val="24"/>
        </w:rPr>
        <w:t>样本位：≥140个，测试过程中可连续装载，急诊优</w:t>
      </w:r>
    </w:p>
    <w:p>
      <w:pPr>
        <w:numPr>
          <w:ilvl w:val="0"/>
          <w:numId w:val="1"/>
        </w:numPr>
        <w:ind w:firstLine="480"/>
        <w:rPr>
          <w:rFonts w:ascii="宋体" w:hAnsi="宋体" w:cs="宋体"/>
          <w:bCs/>
          <w:sz w:val="24"/>
          <w:szCs w:val="24"/>
        </w:rPr>
      </w:pPr>
      <w:r>
        <w:rPr>
          <w:rFonts w:hint="eastAsia" w:ascii="宋体" w:hAnsi="宋体" w:cs="宋体"/>
          <w:color w:val="000000"/>
          <w:sz w:val="24"/>
          <w:szCs w:val="24"/>
        </w:rPr>
        <w:t>采样针：特氟龙涂层，具备液面探测、凝块探测功能</w:t>
      </w:r>
    </w:p>
    <w:p>
      <w:pPr>
        <w:numPr>
          <w:ilvl w:val="0"/>
          <w:numId w:val="1"/>
        </w:numPr>
        <w:ind w:firstLine="480"/>
        <w:rPr>
          <w:rFonts w:ascii="宋体" w:hAnsi="宋体" w:cs="宋体"/>
          <w:bCs/>
          <w:sz w:val="24"/>
          <w:szCs w:val="24"/>
        </w:rPr>
      </w:pPr>
      <w:r>
        <w:rPr>
          <w:rFonts w:hint="eastAsia" w:ascii="宋体" w:hAnsi="宋体" w:cs="宋体"/>
          <w:bCs/>
          <w:sz w:val="24"/>
          <w:szCs w:val="24"/>
        </w:rPr>
        <w:t>试剂位：</w:t>
      </w:r>
      <w:r>
        <w:rPr>
          <w:rFonts w:hint="eastAsia" w:ascii="宋体" w:hAnsi="宋体" w:cs="宋体"/>
          <w:color w:val="000000"/>
          <w:sz w:val="24"/>
          <w:szCs w:val="24"/>
        </w:rPr>
        <w:t>≥25个，可随时装载、替换</w:t>
      </w:r>
    </w:p>
    <w:p>
      <w:pPr>
        <w:numPr>
          <w:ilvl w:val="0"/>
          <w:numId w:val="1"/>
        </w:numPr>
        <w:ind w:firstLine="480"/>
        <w:rPr>
          <w:rFonts w:ascii="宋体" w:hAnsi="宋体" w:cs="宋体"/>
          <w:bCs/>
          <w:sz w:val="24"/>
          <w:szCs w:val="24"/>
        </w:rPr>
      </w:pPr>
      <w:r>
        <w:rPr>
          <w:rFonts w:hint="eastAsia" w:ascii="宋体" w:hAnsi="宋体"/>
          <w:sz w:val="24"/>
        </w:rPr>
        <w:t>★</w:t>
      </w:r>
      <w:r>
        <w:rPr>
          <w:rFonts w:hint="eastAsia" w:ascii="宋体" w:hAnsi="宋体" w:cs="宋体"/>
          <w:sz w:val="24"/>
          <w:szCs w:val="24"/>
        </w:rPr>
        <w:t>试剂种类：</w:t>
      </w:r>
      <w:r>
        <w:rPr>
          <w:rFonts w:hint="eastAsia" w:ascii="宋体" w:hAnsi="宋体" w:cs="宋体"/>
          <w:bCs/>
          <w:sz w:val="24"/>
          <w:szCs w:val="24"/>
        </w:rPr>
        <w:t>≥90种项目，包含：</w:t>
      </w:r>
      <w:r>
        <w:rPr>
          <w:rFonts w:hint="eastAsia" w:ascii="宋体" w:hAnsi="宋体" w:cs="宋体"/>
          <w:sz w:val="24"/>
          <w:szCs w:val="24"/>
        </w:rPr>
        <w:t>性腺、甲状腺、肝纤维化、肿瘤标志物、产前筛查、肾功能、骨代谢、心血管及心肌标志物类、炎症监测等</w:t>
      </w:r>
    </w:p>
    <w:p>
      <w:pPr>
        <w:numPr>
          <w:ilvl w:val="0"/>
          <w:numId w:val="1"/>
        </w:numPr>
        <w:ind w:firstLine="480"/>
        <w:rPr>
          <w:rFonts w:ascii="宋体" w:hAnsi="宋体" w:cs="宋体"/>
          <w:bCs/>
          <w:sz w:val="24"/>
          <w:szCs w:val="24"/>
        </w:rPr>
      </w:pPr>
      <w:r>
        <w:rPr>
          <w:rFonts w:hint="eastAsia" w:ascii="宋体" w:hAnsi="宋体" w:cs="宋体"/>
          <w:bCs/>
          <w:color w:val="000000"/>
          <w:sz w:val="24"/>
          <w:szCs w:val="24"/>
        </w:rPr>
        <w:t>试剂包装：集成式试剂盒，无需预处理，即开即用</w:t>
      </w:r>
    </w:p>
    <w:p>
      <w:pPr>
        <w:numPr>
          <w:ilvl w:val="0"/>
          <w:numId w:val="1"/>
        </w:numPr>
        <w:ind w:firstLine="480"/>
        <w:rPr>
          <w:rFonts w:ascii="宋体" w:hAnsi="宋体" w:cs="宋体"/>
          <w:bCs/>
          <w:sz w:val="24"/>
          <w:szCs w:val="24"/>
        </w:rPr>
      </w:pPr>
      <w:r>
        <w:rPr>
          <w:rFonts w:hint="eastAsia" w:ascii="宋体" w:hAnsi="宋体" w:cs="宋体"/>
          <w:bCs/>
          <w:color w:val="000000"/>
          <w:sz w:val="24"/>
          <w:szCs w:val="24"/>
        </w:rPr>
        <w:t>试剂辨别：采用射频识别技术读取试剂盒全部信息，瞬间完成</w:t>
      </w:r>
    </w:p>
    <w:p>
      <w:pPr>
        <w:numPr>
          <w:ilvl w:val="0"/>
          <w:numId w:val="1"/>
        </w:numPr>
        <w:ind w:firstLine="480"/>
        <w:rPr>
          <w:rFonts w:ascii="宋体" w:hAnsi="宋体" w:cs="宋体"/>
          <w:bCs/>
          <w:sz w:val="24"/>
          <w:szCs w:val="24"/>
        </w:rPr>
      </w:pPr>
      <w:r>
        <w:rPr>
          <w:rFonts w:hint="eastAsia" w:ascii="宋体" w:hAnsi="宋体" w:cs="宋体"/>
          <w:bCs/>
          <w:color w:val="000000"/>
          <w:sz w:val="24"/>
          <w:szCs w:val="24"/>
        </w:rPr>
        <w:t>试剂仓：具备冷藏功能，独立电源控制，保持试剂稳定</w:t>
      </w:r>
    </w:p>
    <w:p>
      <w:pPr>
        <w:numPr>
          <w:ilvl w:val="0"/>
          <w:numId w:val="1"/>
        </w:numPr>
        <w:ind w:firstLine="480"/>
        <w:rPr>
          <w:rFonts w:ascii="宋体" w:hAnsi="宋体" w:cs="宋体"/>
          <w:bCs/>
          <w:color w:val="000000"/>
          <w:sz w:val="24"/>
          <w:szCs w:val="24"/>
        </w:rPr>
      </w:pPr>
      <w:r>
        <w:rPr>
          <w:rFonts w:hint="eastAsia" w:ascii="宋体" w:hAnsi="宋体"/>
          <w:sz w:val="24"/>
        </w:rPr>
        <w:t>★</w:t>
      </w:r>
      <w:r>
        <w:rPr>
          <w:rFonts w:hint="eastAsia" w:ascii="宋体" w:hAnsi="宋体" w:cs="宋体"/>
          <w:bCs/>
          <w:color w:val="000000"/>
          <w:sz w:val="24"/>
          <w:szCs w:val="24"/>
        </w:rPr>
        <w:t>标准品：每盒试剂自带标准品，无需另购，电子标签内置主曲线</w:t>
      </w:r>
    </w:p>
    <w:p>
      <w:pPr>
        <w:numPr>
          <w:ilvl w:val="0"/>
          <w:numId w:val="1"/>
        </w:numPr>
        <w:ind w:firstLine="480"/>
        <w:rPr>
          <w:rFonts w:ascii="宋体" w:hAnsi="宋体" w:cs="宋体"/>
          <w:bCs/>
          <w:sz w:val="24"/>
          <w:szCs w:val="24"/>
        </w:rPr>
      </w:pPr>
      <w:r>
        <w:rPr>
          <w:rFonts w:hint="eastAsia" w:ascii="宋体" w:hAnsi="宋体" w:cs="宋体"/>
          <w:bCs/>
          <w:sz w:val="24"/>
          <w:szCs w:val="24"/>
        </w:rPr>
        <w:t>定标方式：两点定标修正主曲线，稳定期</w:t>
      </w:r>
      <w:r>
        <w:rPr>
          <w:rFonts w:hint="eastAsia" w:ascii="宋体" w:hAnsi="宋体" w:cs="宋体"/>
          <w:bCs/>
          <w:color w:val="000000"/>
          <w:sz w:val="24"/>
          <w:szCs w:val="24"/>
        </w:rPr>
        <w:t>≥</w:t>
      </w:r>
      <w:r>
        <w:rPr>
          <w:rFonts w:hint="eastAsia" w:ascii="宋体" w:hAnsi="宋体" w:cs="宋体"/>
          <w:bCs/>
          <w:sz w:val="24"/>
          <w:szCs w:val="24"/>
        </w:rPr>
        <w:t>4周</w:t>
      </w:r>
    </w:p>
    <w:p>
      <w:pPr>
        <w:numPr>
          <w:ilvl w:val="0"/>
          <w:numId w:val="1"/>
        </w:numPr>
        <w:ind w:firstLine="480"/>
        <w:rPr>
          <w:rFonts w:ascii="宋体" w:hAnsi="宋体" w:cs="宋体"/>
          <w:bCs/>
          <w:sz w:val="24"/>
          <w:szCs w:val="24"/>
        </w:rPr>
      </w:pPr>
      <w:r>
        <w:rPr>
          <w:rFonts w:hint="eastAsia" w:ascii="宋体" w:hAnsi="宋体" w:cs="宋体"/>
          <w:bCs/>
          <w:sz w:val="24"/>
          <w:szCs w:val="24"/>
        </w:rPr>
        <w:t>软件功能：标本稀释比例可任意选定，可汇总、存储、查询病人信息</w:t>
      </w:r>
    </w:p>
    <w:p>
      <w:pPr>
        <w:numPr>
          <w:ilvl w:val="0"/>
          <w:numId w:val="1"/>
        </w:numPr>
        <w:ind w:firstLine="480"/>
        <w:rPr>
          <w:rFonts w:ascii="宋体" w:hAnsi="宋体" w:cs="宋体"/>
          <w:bCs/>
          <w:sz w:val="24"/>
          <w:szCs w:val="24"/>
        </w:rPr>
      </w:pPr>
      <w:r>
        <w:rPr>
          <w:rFonts w:hint="eastAsia" w:ascii="宋体" w:hAnsi="宋体" w:cs="宋体"/>
          <w:bCs/>
          <w:sz w:val="24"/>
          <w:szCs w:val="24"/>
        </w:rPr>
        <w:t>电脑配置：品牌电脑，正版WINDOWS 7系统、双核CPU、宽频触摸显示器</w:t>
      </w:r>
    </w:p>
    <w:p>
      <w:pPr>
        <w:numPr>
          <w:ilvl w:val="0"/>
          <w:numId w:val="1"/>
        </w:numPr>
        <w:ind w:firstLine="480"/>
        <w:rPr>
          <w:rFonts w:ascii="宋体" w:hAnsi="宋体" w:cs="宋体"/>
          <w:sz w:val="24"/>
          <w:szCs w:val="24"/>
        </w:rPr>
      </w:pPr>
      <w:r>
        <w:rPr>
          <w:rFonts w:hint="eastAsia" w:ascii="宋体" w:hAnsi="宋体" w:cs="宋体"/>
          <w:bCs/>
          <w:sz w:val="24"/>
          <w:szCs w:val="24"/>
        </w:rPr>
        <w:t>联网功能：可通过COM口或网卡与医院LIS系统连续，实现远程数据共享</w:t>
      </w:r>
    </w:p>
    <w:p>
      <w:pPr>
        <w:spacing w:line="720" w:lineRule="auto"/>
        <w:ind w:firstLine="0" w:firstLineChars="0"/>
        <w:jc w:val="left"/>
        <w:rPr>
          <w:rFonts w:ascii="宋体" w:hAnsi="宋体" w:cs="宋体"/>
          <w:b/>
          <w:sz w:val="24"/>
          <w:szCs w:val="24"/>
        </w:rPr>
      </w:pPr>
      <w:r>
        <w:rPr>
          <w:rFonts w:hint="eastAsia" w:ascii="宋体" w:hAnsi="宋体" w:cs="宋体"/>
          <w:b/>
          <w:sz w:val="24"/>
          <w:szCs w:val="24"/>
        </w:rPr>
        <w:t>五分类血液分析仪:</w:t>
      </w:r>
    </w:p>
    <w:tbl>
      <w:tblPr>
        <w:tblStyle w:val="41"/>
        <w:tblW w:w="967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889"/>
        <w:gridCol w:w="6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45" w:type="dxa"/>
          </w:tcPr>
          <w:p>
            <w:pPr>
              <w:ind w:firstLine="0" w:firstLineChars="0"/>
              <w:jc w:val="left"/>
              <w:rPr>
                <w:rFonts w:ascii="宋体" w:hAnsi="宋体" w:cs="宋体"/>
                <w:sz w:val="24"/>
                <w:szCs w:val="24"/>
              </w:rPr>
            </w:pPr>
            <w:r>
              <w:rPr>
                <w:rFonts w:hint="eastAsia" w:ascii="宋体" w:hAnsi="宋体" w:cs="宋体"/>
                <w:sz w:val="24"/>
                <w:szCs w:val="24"/>
              </w:rPr>
              <w:t>序号</w:t>
            </w:r>
          </w:p>
        </w:tc>
        <w:tc>
          <w:tcPr>
            <w:tcW w:w="1889" w:type="dxa"/>
          </w:tcPr>
          <w:p>
            <w:pPr>
              <w:ind w:firstLine="480"/>
              <w:jc w:val="center"/>
              <w:rPr>
                <w:rFonts w:ascii="宋体" w:hAnsi="宋体" w:cs="宋体"/>
                <w:sz w:val="24"/>
                <w:szCs w:val="24"/>
              </w:rPr>
            </w:pPr>
            <w:r>
              <w:rPr>
                <w:rFonts w:hint="eastAsia" w:ascii="宋体" w:hAnsi="宋体" w:cs="宋体"/>
                <w:sz w:val="24"/>
                <w:szCs w:val="24"/>
              </w:rPr>
              <w:t>项目名称</w:t>
            </w:r>
          </w:p>
        </w:tc>
        <w:tc>
          <w:tcPr>
            <w:tcW w:w="6541" w:type="dxa"/>
          </w:tcPr>
          <w:p>
            <w:pPr>
              <w:ind w:firstLine="480"/>
              <w:jc w:val="center"/>
              <w:rPr>
                <w:rFonts w:ascii="宋体" w:hAnsi="宋体" w:cs="宋体"/>
                <w:sz w:val="24"/>
                <w:szCs w:val="24"/>
              </w:rPr>
            </w:pPr>
            <w:r>
              <w:rPr>
                <w:rFonts w:hint="eastAsia" w:ascii="宋体" w:hAnsi="宋体" w:cs="宋体"/>
                <w:sz w:val="24"/>
                <w:szCs w:val="24"/>
              </w:rPr>
              <w:t>技术性能要求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245" w:type="dxa"/>
          </w:tcPr>
          <w:p>
            <w:pPr>
              <w:ind w:firstLine="120" w:firstLineChars="50"/>
              <w:jc w:val="left"/>
              <w:rPr>
                <w:rFonts w:ascii="宋体" w:hAnsi="宋体" w:cs="宋体"/>
                <w:sz w:val="24"/>
                <w:szCs w:val="24"/>
              </w:rPr>
            </w:pPr>
            <w:r>
              <w:rPr>
                <w:rFonts w:hint="eastAsia" w:ascii="宋体" w:hAnsi="宋体"/>
                <w:sz w:val="24"/>
              </w:rPr>
              <w:t>★</w:t>
            </w:r>
            <w:r>
              <w:rPr>
                <w:rFonts w:hint="eastAsia" w:ascii="宋体" w:hAnsi="宋体" w:cs="宋体"/>
                <w:sz w:val="24"/>
                <w:szCs w:val="24"/>
              </w:rPr>
              <w:t>1</w:t>
            </w:r>
          </w:p>
        </w:tc>
        <w:tc>
          <w:tcPr>
            <w:tcW w:w="1889" w:type="dxa"/>
          </w:tcPr>
          <w:p>
            <w:pPr>
              <w:ind w:firstLine="480"/>
              <w:rPr>
                <w:rFonts w:ascii="宋体" w:hAnsi="宋体" w:cs="宋体"/>
                <w:sz w:val="24"/>
                <w:szCs w:val="24"/>
              </w:rPr>
            </w:pPr>
            <w:r>
              <w:rPr>
                <w:rFonts w:hint="eastAsia" w:ascii="宋体" w:hAnsi="宋体" w:cs="宋体"/>
                <w:sz w:val="24"/>
                <w:szCs w:val="24"/>
              </w:rPr>
              <w:t>产品要求</w:t>
            </w:r>
          </w:p>
        </w:tc>
        <w:tc>
          <w:tcPr>
            <w:tcW w:w="6541" w:type="dxa"/>
          </w:tcPr>
          <w:p>
            <w:pPr>
              <w:ind w:firstLine="0" w:firstLineChars="0"/>
              <w:rPr>
                <w:rFonts w:ascii="宋体" w:hAnsi="宋体" w:cs="宋体"/>
                <w:sz w:val="24"/>
                <w:szCs w:val="24"/>
              </w:rPr>
            </w:pPr>
            <w:r>
              <w:rPr>
                <w:rFonts w:hint="eastAsia" w:ascii="宋体" w:hAnsi="宋体" w:cs="宋体"/>
                <w:color w:val="000000" w:themeColor="text1"/>
                <w:sz w:val="24"/>
                <w:szCs w:val="24"/>
              </w:rPr>
              <w:t>国内品牌</w:t>
            </w:r>
            <w:r>
              <w:rPr>
                <w:rFonts w:hint="eastAsia" w:ascii="宋体" w:hAnsi="宋体" w:cs="宋体"/>
                <w:sz w:val="24"/>
                <w:szCs w:val="24"/>
              </w:rPr>
              <w:t>，全自动白细胞五分类，系统性能稳定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w:t>
            </w:r>
          </w:p>
        </w:tc>
        <w:tc>
          <w:tcPr>
            <w:tcW w:w="8430" w:type="dxa"/>
            <w:gridSpan w:val="2"/>
          </w:tcPr>
          <w:p>
            <w:pPr>
              <w:ind w:firstLine="480"/>
              <w:rPr>
                <w:rFonts w:ascii="宋体" w:hAnsi="宋体" w:cs="宋体"/>
                <w:sz w:val="24"/>
                <w:szCs w:val="24"/>
              </w:rPr>
            </w:pPr>
            <w:r>
              <w:rPr>
                <w:rFonts w:hint="eastAsia" w:ascii="宋体" w:hAnsi="宋体" w:cs="宋体"/>
                <w:sz w:val="24"/>
                <w:szCs w:val="24"/>
              </w:rPr>
              <w:t>主要技术性能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w:t>
            </w:r>
          </w:p>
        </w:tc>
        <w:tc>
          <w:tcPr>
            <w:tcW w:w="1889" w:type="dxa"/>
          </w:tcPr>
          <w:p>
            <w:pPr>
              <w:ind w:firstLine="480"/>
              <w:rPr>
                <w:rFonts w:ascii="宋体" w:hAnsi="宋体" w:cs="宋体"/>
                <w:sz w:val="24"/>
                <w:szCs w:val="24"/>
              </w:rPr>
            </w:pPr>
            <w:r>
              <w:rPr>
                <w:rFonts w:hint="eastAsia" w:ascii="宋体" w:hAnsi="宋体" w:cs="宋体"/>
                <w:sz w:val="24"/>
                <w:szCs w:val="24"/>
              </w:rPr>
              <w:t>测试项目</w:t>
            </w:r>
          </w:p>
        </w:tc>
        <w:tc>
          <w:tcPr>
            <w:tcW w:w="6541" w:type="dxa"/>
          </w:tcPr>
          <w:p>
            <w:pPr>
              <w:ind w:firstLine="0" w:firstLineChars="0"/>
              <w:rPr>
                <w:rFonts w:ascii="宋体" w:hAnsi="宋体" w:cs="宋体"/>
                <w:sz w:val="24"/>
                <w:szCs w:val="24"/>
              </w:rPr>
            </w:pPr>
            <w:r>
              <w:rPr>
                <w:rFonts w:hint="eastAsia" w:ascii="宋体" w:hAnsi="宋体" w:cs="宋体"/>
                <w:sz w:val="24"/>
                <w:szCs w:val="24"/>
              </w:rPr>
              <w:t xml:space="preserve">≥ 29项（含散点图、直方图），白细胞五分类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2.2</w:t>
            </w:r>
          </w:p>
        </w:tc>
        <w:tc>
          <w:tcPr>
            <w:tcW w:w="1889" w:type="dxa"/>
          </w:tcPr>
          <w:p>
            <w:pPr>
              <w:ind w:firstLine="480"/>
              <w:rPr>
                <w:rFonts w:ascii="宋体" w:hAnsi="宋体" w:cs="宋体"/>
                <w:sz w:val="24"/>
                <w:szCs w:val="24"/>
              </w:rPr>
            </w:pPr>
            <w:r>
              <w:rPr>
                <w:rFonts w:hint="eastAsia" w:ascii="宋体" w:hAnsi="宋体" w:cs="宋体"/>
                <w:sz w:val="24"/>
                <w:szCs w:val="24"/>
              </w:rPr>
              <w:t>测量方法</w:t>
            </w:r>
          </w:p>
        </w:tc>
        <w:tc>
          <w:tcPr>
            <w:tcW w:w="6541" w:type="dxa"/>
          </w:tcPr>
          <w:p>
            <w:pPr>
              <w:ind w:firstLine="0" w:firstLineChars="0"/>
              <w:rPr>
                <w:rFonts w:ascii="宋体" w:hAnsi="宋体" w:cs="宋体"/>
                <w:sz w:val="24"/>
                <w:szCs w:val="24"/>
              </w:rPr>
            </w:pPr>
            <w:r>
              <w:rPr>
                <w:rFonts w:hint="eastAsia" w:ascii="宋体" w:hAnsi="宋体" w:cs="宋体"/>
                <w:sz w:val="24"/>
                <w:szCs w:val="24"/>
              </w:rPr>
              <w:t>半导体激光流式细胞技术结合化学染色法，电阻抗法，比色法；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2.3</w:t>
            </w:r>
          </w:p>
        </w:tc>
        <w:tc>
          <w:tcPr>
            <w:tcW w:w="1889" w:type="dxa"/>
          </w:tcPr>
          <w:p>
            <w:pPr>
              <w:ind w:firstLine="480"/>
              <w:rPr>
                <w:rFonts w:ascii="宋体" w:hAnsi="宋体" w:cs="宋体"/>
                <w:sz w:val="24"/>
                <w:szCs w:val="24"/>
              </w:rPr>
            </w:pPr>
            <w:r>
              <w:rPr>
                <w:rFonts w:hint="eastAsia" w:ascii="宋体" w:hAnsi="宋体" w:cs="宋体"/>
                <w:sz w:val="24"/>
                <w:szCs w:val="24"/>
              </w:rPr>
              <w:t>检测模式</w:t>
            </w:r>
          </w:p>
        </w:tc>
        <w:tc>
          <w:tcPr>
            <w:tcW w:w="6541" w:type="dxa"/>
          </w:tcPr>
          <w:p>
            <w:pPr>
              <w:ind w:firstLine="0" w:firstLineChars="0"/>
              <w:rPr>
                <w:rFonts w:ascii="宋体" w:hAnsi="宋体" w:cs="宋体"/>
                <w:sz w:val="24"/>
                <w:szCs w:val="24"/>
              </w:rPr>
            </w:pPr>
            <w:r>
              <w:rPr>
                <w:rFonts w:hint="eastAsia" w:ascii="宋体" w:hAnsi="宋体" w:cs="宋体"/>
                <w:sz w:val="24"/>
                <w:szCs w:val="24"/>
              </w:rPr>
              <w:t>预稀释末梢血模式、全血模式；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2.4</w:t>
            </w:r>
          </w:p>
        </w:tc>
        <w:tc>
          <w:tcPr>
            <w:tcW w:w="1889" w:type="dxa"/>
          </w:tcPr>
          <w:p>
            <w:pPr>
              <w:ind w:firstLine="480"/>
              <w:rPr>
                <w:rFonts w:ascii="宋体" w:hAnsi="宋体" w:cs="宋体"/>
                <w:b/>
                <w:sz w:val="24"/>
                <w:szCs w:val="24"/>
              </w:rPr>
            </w:pPr>
            <w:r>
              <w:rPr>
                <w:rFonts w:hint="eastAsia" w:ascii="宋体" w:hAnsi="宋体" w:cs="宋体"/>
                <w:sz w:val="24"/>
                <w:szCs w:val="24"/>
              </w:rPr>
              <w:t>样本用量</w:t>
            </w:r>
          </w:p>
        </w:tc>
        <w:tc>
          <w:tcPr>
            <w:tcW w:w="6541" w:type="dxa"/>
          </w:tcPr>
          <w:p>
            <w:pPr>
              <w:ind w:firstLine="480"/>
              <w:rPr>
                <w:rFonts w:ascii="宋体" w:hAnsi="宋体" w:cs="宋体"/>
                <w:sz w:val="24"/>
                <w:szCs w:val="24"/>
              </w:rPr>
            </w:pPr>
            <w:r>
              <w:rPr>
                <w:rFonts w:hint="eastAsia" w:ascii="宋体" w:hAnsi="宋体" w:cs="宋体"/>
                <w:sz w:val="24"/>
                <w:szCs w:val="24"/>
              </w:rPr>
              <w:t>末梢血</w:t>
            </w:r>
            <w:r>
              <w:rPr>
                <w:rFonts w:hint="eastAsia" w:ascii="宋体" w:hAnsi="宋体" w:cs="宋体"/>
                <w:color w:val="000000"/>
                <w:sz w:val="24"/>
                <w:szCs w:val="24"/>
              </w:rPr>
              <w:t>≤</w:t>
            </w:r>
            <w:r>
              <w:rPr>
                <w:rFonts w:hint="eastAsia" w:ascii="宋体" w:hAnsi="宋体" w:cs="宋体"/>
                <w:sz w:val="24"/>
                <w:szCs w:val="24"/>
              </w:rPr>
              <w:t>20μl，全血</w:t>
            </w:r>
            <w:r>
              <w:rPr>
                <w:rFonts w:hint="eastAsia" w:ascii="宋体" w:hAnsi="宋体" w:cs="宋体"/>
                <w:color w:val="000000"/>
                <w:sz w:val="24"/>
                <w:szCs w:val="24"/>
              </w:rPr>
              <w:t>≤</w:t>
            </w:r>
            <w:r>
              <w:rPr>
                <w:rFonts w:hint="eastAsia" w:ascii="宋体" w:hAnsi="宋体" w:cs="宋体"/>
                <w:sz w:val="24"/>
                <w:szCs w:val="24"/>
              </w:rPr>
              <w:t>20μl；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5" w:type="dxa"/>
          </w:tcPr>
          <w:p>
            <w:pPr>
              <w:ind w:firstLine="120" w:firstLineChars="50"/>
              <w:jc w:val="left"/>
              <w:rPr>
                <w:rFonts w:ascii="宋体" w:hAnsi="宋体" w:cs="宋体"/>
                <w:sz w:val="24"/>
                <w:szCs w:val="24"/>
              </w:rPr>
            </w:pPr>
            <w:r>
              <w:rPr>
                <w:rFonts w:hint="eastAsia" w:ascii="宋体" w:hAnsi="宋体"/>
                <w:sz w:val="24"/>
              </w:rPr>
              <w:t>★</w:t>
            </w:r>
            <w:r>
              <w:rPr>
                <w:rFonts w:hint="eastAsia" w:ascii="宋体" w:hAnsi="宋体" w:cs="宋体"/>
                <w:sz w:val="24"/>
                <w:szCs w:val="24"/>
              </w:rPr>
              <w:t>2.5</w:t>
            </w:r>
          </w:p>
        </w:tc>
        <w:tc>
          <w:tcPr>
            <w:tcW w:w="1889" w:type="dxa"/>
          </w:tcPr>
          <w:p>
            <w:pPr>
              <w:ind w:firstLine="0" w:firstLineChars="0"/>
              <w:rPr>
                <w:rFonts w:ascii="宋体" w:hAnsi="宋体" w:cs="宋体"/>
                <w:sz w:val="24"/>
                <w:szCs w:val="24"/>
              </w:rPr>
            </w:pPr>
            <w:r>
              <w:rPr>
                <w:rFonts w:hint="eastAsia" w:ascii="宋体" w:hAnsi="宋体" w:cs="宋体"/>
                <w:sz w:val="24"/>
                <w:szCs w:val="24"/>
              </w:rPr>
              <w:t>WBC分类通道</w:t>
            </w:r>
          </w:p>
        </w:tc>
        <w:tc>
          <w:tcPr>
            <w:tcW w:w="6541" w:type="dxa"/>
          </w:tcPr>
          <w:p>
            <w:pPr>
              <w:ind w:firstLine="480"/>
              <w:rPr>
                <w:rFonts w:ascii="宋体" w:hAnsi="宋体" w:cs="宋体"/>
                <w:sz w:val="24"/>
                <w:szCs w:val="24"/>
              </w:rPr>
            </w:pPr>
            <w:r>
              <w:rPr>
                <w:rFonts w:hint="eastAsia" w:ascii="宋体" w:hAnsi="宋体" w:cs="宋体"/>
                <w:sz w:val="24"/>
                <w:szCs w:val="24"/>
              </w:rPr>
              <w:t>≥2个，有单独的嗜碱性粒细胞分类通道；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2.6</w:t>
            </w:r>
          </w:p>
        </w:tc>
        <w:tc>
          <w:tcPr>
            <w:tcW w:w="1889" w:type="dxa"/>
          </w:tcPr>
          <w:p>
            <w:pPr>
              <w:ind w:firstLine="480"/>
              <w:rPr>
                <w:rFonts w:ascii="宋体" w:hAnsi="宋体" w:cs="宋体"/>
                <w:sz w:val="24"/>
                <w:szCs w:val="24"/>
              </w:rPr>
            </w:pPr>
            <w:r>
              <w:rPr>
                <w:rFonts w:hint="eastAsia" w:ascii="宋体" w:hAnsi="宋体" w:cs="宋体"/>
                <w:sz w:val="24"/>
                <w:szCs w:val="24"/>
              </w:rPr>
              <w:t>试剂</w:t>
            </w:r>
          </w:p>
        </w:tc>
        <w:tc>
          <w:tcPr>
            <w:tcW w:w="6541" w:type="dxa"/>
          </w:tcPr>
          <w:p>
            <w:pPr>
              <w:ind w:firstLine="480"/>
              <w:rPr>
                <w:rFonts w:ascii="宋体" w:hAnsi="宋体" w:cs="宋体"/>
                <w:sz w:val="24"/>
                <w:szCs w:val="24"/>
              </w:rPr>
            </w:pPr>
            <w:r>
              <w:rPr>
                <w:rFonts w:hint="eastAsia" w:ascii="宋体" w:hAnsi="宋体" w:cs="宋体"/>
                <w:sz w:val="24"/>
                <w:szCs w:val="24"/>
              </w:rPr>
              <w:t>无毒环保型溶血剂；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1245" w:type="dxa"/>
          </w:tcPr>
          <w:p>
            <w:pPr>
              <w:ind w:firstLine="120" w:firstLineChars="50"/>
              <w:jc w:val="left"/>
              <w:rPr>
                <w:rFonts w:ascii="宋体" w:hAnsi="宋体" w:cs="宋体"/>
                <w:sz w:val="24"/>
                <w:szCs w:val="24"/>
              </w:rPr>
            </w:pPr>
            <w:r>
              <w:rPr>
                <w:rFonts w:hint="eastAsia" w:ascii="宋体" w:hAnsi="宋体"/>
                <w:sz w:val="24"/>
              </w:rPr>
              <w:t>★</w:t>
            </w:r>
            <w:r>
              <w:rPr>
                <w:rFonts w:hint="eastAsia" w:ascii="宋体" w:hAnsi="宋体" w:cs="宋体"/>
                <w:sz w:val="24"/>
                <w:szCs w:val="24"/>
              </w:rPr>
              <w:t>2.7</w:t>
            </w:r>
          </w:p>
        </w:tc>
        <w:tc>
          <w:tcPr>
            <w:tcW w:w="1889" w:type="dxa"/>
          </w:tcPr>
          <w:p>
            <w:pPr>
              <w:ind w:firstLine="240" w:firstLineChars="100"/>
              <w:rPr>
                <w:rFonts w:ascii="宋体" w:hAnsi="宋体" w:cs="宋体"/>
                <w:sz w:val="24"/>
                <w:szCs w:val="24"/>
              </w:rPr>
            </w:pPr>
            <w:r>
              <w:rPr>
                <w:rFonts w:hint="eastAsia" w:ascii="宋体" w:hAnsi="宋体" w:cs="宋体"/>
                <w:sz w:val="24"/>
                <w:szCs w:val="24"/>
              </w:rPr>
              <w:t>研究性参数</w:t>
            </w:r>
          </w:p>
        </w:tc>
        <w:tc>
          <w:tcPr>
            <w:tcW w:w="6541" w:type="dxa"/>
          </w:tcPr>
          <w:p>
            <w:pPr>
              <w:ind w:firstLine="480"/>
              <w:rPr>
                <w:rFonts w:ascii="宋体" w:hAnsi="宋体" w:cs="宋体"/>
                <w:sz w:val="24"/>
                <w:szCs w:val="24"/>
              </w:rPr>
            </w:pPr>
            <w:r>
              <w:rPr>
                <w:rFonts w:hint="eastAsia" w:ascii="宋体" w:hAnsi="宋体" w:cs="宋体"/>
                <w:sz w:val="24"/>
                <w:szCs w:val="24"/>
              </w:rPr>
              <w:t>≥8个，包含原始细胞、异常淋巴细胞、巨大未成熟细胞、有核红细胞参数的计数及百分比；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2.8</w:t>
            </w:r>
          </w:p>
        </w:tc>
        <w:tc>
          <w:tcPr>
            <w:tcW w:w="1889" w:type="dxa"/>
          </w:tcPr>
          <w:p>
            <w:pPr>
              <w:ind w:firstLine="480"/>
              <w:rPr>
                <w:rFonts w:ascii="宋体" w:hAnsi="宋体" w:cs="宋体"/>
                <w:b/>
                <w:sz w:val="24"/>
                <w:szCs w:val="24"/>
              </w:rPr>
            </w:pPr>
            <w:r>
              <w:rPr>
                <w:rFonts w:hint="eastAsia" w:ascii="宋体" w:hAnsi="宋体" w:cs="宋体"/>
                <w:sz w:val="24"/>
                <w:szCs w:val="24"/>
              </w:rPr>
              <w:t>进样方式</w:t>
            </w:r>
          </w:p>
        </w:tc>
        <w:tc>
          <w:tcPr>
            <w:tcW w:w="6541" w:type="dxa"/>
          </w:tcPr>
          <w:p>
            <w:pPr>
              <w:ind w:firstLine="480"/>
              <w:rPr>
                <w:rFonts w:ascii="宋体" w:hAnsi="宋体" w:cs="宋体"/>
                <w:sz w:val="24"/>
                <w:szCs w:val="24"/>
              </w:rPr>
            </w:pPr>
            <w:r>
              <w:rPr>
                <w:rFonts w:hint="eastAsia" w:ascii="宋体" w:hAnsi="宋体" w:cs="宋体"/>
                <w:sz w:val="24"/>
                <w:szCs w:val="24"/>
              </w:rPr>
              <w:t>具有全自动进样方式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2.9</w:t>
            </w:r>
          </w:p>
        </w:tc>
        <w:tc>
          <w:tcPr>
            <w:tcW w:w="1889" w:type="dxa"/>
          </w:tcPr>
          <w:p>
            <w:pPr>
              <w:ind w:firstLine="480"/>
              <w:rPr>
                <w:rFonts w:ascii="宋体" w:hAnsi="宋体" w:cs="宋体"/>
                <w:sz w:val="24"/>
                <w:szCs w:val="24"/>
              </w:rPr>
            </w:pPr>
            <w:r>
              <w:rPr>
                <w:rFonts w:hint="eastAsia" w:ascii="宋体" w:hAnsi="宋体" w:cs="宋体"/>
                <w:sz w:val="24"/>
                <w:szCs w:val="24"/>
              </w:rPr>
              <w:t>急诊位</w:t>
            </w:r>
          </w:p>
        </w:tc>
        <w:tc>
          <w:tcPr>
            <w:tcW w:w="6541" w:type="dxa"/>
          </w:tcPr>
          <w:p>
            <w:pPr>
              <w:ind w:firstLine="480"/>
              <w:rPr>
                <w:rFonts w:ascii="宋体" w:hAnsi="宋体" w:cs="宋体"/>
                <w:sz w:val="24"/>
                <w:szCs w:val="24"/>
              </w:rPr>
            </w:pPr>
            <w:r>
              <w:rPr>
                <w:rFonts w:hint="eastAsia" w:ascii="宋体" w:hAnsi="宋体" w:cs="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2.10</w:t>
            </w:r>
          </w:p>
        </w:tc>
        <w:tc>
          <w:tcPr>
            <w:tcW w:w="1889" w:type="dxa"/>
          </w:tcPr>
          <w:p>
            <w:pPr>
              <w:ind w:firstLine="480"/>
              <w:rPr>
                <w:rFonts w:ascii="宋体" w:hAnsi="宋体" w:cs="宋体"/>
                <w:sz w:val="24"/>
                <w:szCs w:val="24"/>
              </w:rPr>
            </w:pPr>
            <w:r>
              <w:rPr>
                <w:rFonts w:hint="eastAsia" w:ascii="宋体" w:hAnsi="宋体" w:cs="宋体"/>
                <w:sz w:val="24"/>
                <w:szCs w:val="24"/>
              </w:rPr>
              <w:t>样本位</w:t>
            </w:r>
          </w:p>
        </w:tc>
        <w:tc>
          <w:tcPr>
            <w:tcW w:w="6541" w:type="dxa"/>
          </w:tcPr>
          <w:p>
            <w:pPr>
              <w:ind w:firstLine="480"/>
              <w:rPr>
                <w:rFonts w:ascii="宋体" w:hAnsi="宋体" w:cs="宋体"/>
                <w:sz w:val="24"/>
                <w:szCs w:val="24"/>
              </w:rPr>
            </w:pPr>
            <w:r>
              <w:rPr>
                <w:rFonts w:hint="eastAsia" w:ascii="宋体" w:hAnsi="宋体" w:cs="宋体"/>
                <w:sz w:val="24"/>
                <w:szCs w:val="24"/>
              </w:rPr>
              <w:t>一次性放置样本≥50个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2.11</w:t>
            </w:r>
          </w:p>
        </w:tc>
        <w:tc>
          <w:tcPr>
            <w:tcW w:w="1889" w:type="dxa"/>
          </w:tcPr>
          <w:p>
            <w:pPr>
              <w:ind w:firstLine="480"/>
              <w:rPr>
                <w:rFonts w:ascii="宋体" w:hAnsi="宋体" w:cs="宋体"/>
                <w:b/>
                <w:sz w:val="24"/>
                <w:szCs w:val="24"/>
              </w:rPr>
            </w:pPr>
            <w:r>
              <w:rPr>
                <w:rFonts w:hint="eastAsia" w:ascii="宋体" w:hAnsi="宋体" w:cs="宋体"/>
                <w:sz w:val="24"/>
                <w:szCs w:val="24"/>
              </w:rPr>
              <w:t>分析速度</w:t>
            </w:r>
          </w:p>
        </w:tc>
        <w:tc>
          <w:tcPr>
            <w:tcW w:w="6541" w:type="dxa"/>
          </w:tcPr>
          <w:p>
            <w:pPr>
              <w:ind w:firstLine="480"/>
              <w:rPr>
                <w:rFonts w:ascii="宋体" w:hAnsi="宋体" w:cs="宋体"/>
                <w:sz w:val="24"/>
                <w:szCs w:val="24"/>
              </w:rPr>
            </w:pPr>
            <w:r>
              <w:rPr>
                <w:rFonts w:hint="eastAsia" w:ascii="宋体" w:hAnsi="宋体" w:cs="宋体"/>
                <w:sz w:val="24"/>
                <w:szCs w:val="24"/>
              </w:rPr>
              <w:t>≥60样本/小时；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2.12</w:t>
            </w:r>
          </w:p>
        </w:tc>
        <w:tc>
          <w:tcPr>
            <w:tcW w:w="1889" w:type="dxa"/>
          </w:tcPr>
          <w:p>
            <w:pPr>
              <w:ind w:firstLine="480"/>
              <w:rPr>
                <w:rFonts w:ascii="宋体" w:hAnsi="宋体" w:cs="宋体"/>
                <w:sz w:val="24"/>
                <w:szCs w:val="24"/>
              </w:rPr>
            </w:pPr>
            <w:r>
              <w:rPr>
                <w:rFonts w:hint="eastAsia" w:ascii="宋体" w:hAnsi="宋体" w:cs="宋体"/>
                <w:sz w:val="24"/>
                <w:szCs w:val="24"/>
              </w:rPr>
              <w:t>排堵方式</w:t>
            </w:r>
          </w:p>
        </w:tc>
        <w:tc>
          <w:tcPr>
            <w:tcW w:w="6541" w:type="dxa"/>
          </w:tcPr>
          <w:p>
            <w:pPr>
              <w:ind w:firstLine="480"/>
              <w:rPr>
                <w:rFonts w:ascii="宋体" w:hAnsi="宋体" w:cs="宋体"/>
                <w:sz w:val="24"/>
                <w:szCs w:val="24"/>
              </w:rPr>
            </w:pPr>
            <w:r>
              <w:rPr>
                <w:rFonts w:hint="eastAsia" w:ascii="宋体" w:hAnsi="宋体" w:cs="宋体"/>
                <w:sz w:val="24"/>
                <w:szCs w:val="24"/>
              </w:rPr>
              <w:t>正反冲，高压烧灼；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2.13</w:t>
            </w:r>
          </w:p>
        </w:tc>
        <w:tc>
          <w:tcPr>
            <w:tcW w:w="1889" w:type="dxa"/>
          </w:tcPr>
          <w:p>
            <w:pPr>
              <w:ind w:firstLine="480"/>
              <w:rPr>
                <w:rFonts w:ascii="宋体" w:hAnsi="宋体" w:cs="宋体"/>
                <w:sz w:val="24"/>
                <w:szCs w:val="24"/>
              </w:rPr>
            </w:pPr>
            <w:r>
              <w:rPr>
                <w:rFonts w:hint="eastAsia" w:ascii="宋体" w:hAnsi="宋体" w:cs="宋体"/>
                <w:sz w:val="24"/>
                <w:szCs w:val="24"/>
              </w:rPr>
              <w:t>操作界面</w:t>
            </w:r>
          </w:p>
        </w:tc>
        <w:tc>
          <w:tcPr>
            <w:tcW w:w="6541" w:type="dxa"/>
          </w:tcPr>
          <w:p>
            <w:pPr>
              <w:ind w:firstLine="480"/>
              <w:rPr>
                <w:rFonts w:ascii="宋体" w:hAnsi="宋体" w:cs="宋体"/>
                <w:sz w:val="24"/>
                <w:szCs w:val="24"/>
              </w:rPr>
            </w:pPr>
            <w:r>
              <w:rPr>
                <w:rFonts w:hint="eastAsia" w:ascii="宋体" w:hAnsi="宋体" w:cs="宋体"/>
                <w:sz w:val="24"/>
                <w:szCs w:val="24"/>
              </w:rPr>
              <w:t>全中文界面；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2.14</w:t>
            </w:r>
          </w:p>
        </w:tc>
        <w:tc>
          <w:tcPr>
            <w:tcW w:w="1889" w:type="dxa"/>
          </w:tcPr>
          <w:p>
            <w:pPr>
              <w:ind w:firstLine="480"/>
              <w:rPr>
                <w:rFonts w:ascii="宋体" w:hAnsi="宋体" w:cs="宋体"/>
                <w:sz w:val="24"/>
                <w:szCs w:val="24"/>
              </w:rPr>
            </w:pPr>
            <w:r>
              <w:rPr>
                <w:rFonts w:hint="eastAsia" w:ascii="宋体" w:hAnsi="宋体" w:cs="宋体"/>
                <w:sz w:val="24"/>
                <w:szCs w:val="24"/>
              </w:rPr>
              <w:t>报告单</w:t>
            </w:r>
          </w:p>
        </w:tc>
        <w:tc>
          <w:tcPr>
            <w:tcW w:w="6541" w:type="dxa"/>
          </w:tcPr>
          <w:p>
            <w:pPr>
              <w:ind w:firstLine="480"/>
              <w:rPr>
                <w:rFonts w:ascii="宋体" w:hAnsi="宋体" w:cs="宋体"/>
                <w:sz w:val="24"/>
                <w:szCs w:val="24"/>
              </w:rPr>
            </w:pPr>
            <w:r>
              <w:rPr>
                <w:rFonts w:hint="eastAsia" w:ascii="宋体" w:hAnsi="宋体" w:cs="宋体"/>
                <w:sz w:val="24"/>
                <w:szCs w:val="24"/>
              </w:rPr>
              <w:t>可显示、输出全中文报告；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1245" w:type="dxa"/>
            <w:vAlign w:val="center"/>
          </w:tcPr>
          <w:p>
            <w:pPr>
              <w:ind w:firstLine="120" w:firstLineChars="50"/>
              <w:rPr>
                <w:rFonts w:ascii="宋体" w:hAnsi="宋体" w:cs="宋体"/>
                <w:sz w:val="24"/>
                <w:szCs w:val="24"/>
              </w:rPr>
            </w:pPr>
            <w:r>
              <w:rPr>
                <w:rFonts w:hint="eastAsia" w:ascii="宋体" w:hAnsi="宋体" w:cs="宋体"/>
                <w:sz w:val="24"/>
                <w:szCs w:val="24"/>
              </w:rPr>
              <w:t>2.15</w:t>
            </w:r>
          </w:p>
        </w:tc>
        <w:tc>
          <w:tcPr>
            <w:tcW w:w="1889" w:type="dxa"/>
            <w:vAlign w:val="center"/>
          </w:tcPr>
          <w:p>
            <w:pPr>
              <w:ind w:firstLine="480"/>
              <w:rPr>
                <w:rFonts w:ascii="宋体" w:hAnsi="宋体" w:cs="宋体"/>
                <w:sz w:val="24"/>
                <w:szCs w:val="24"/>
              </w:rPr>
            </w:pPr>
            <w:r>
              <w:rPr>
                <w:rFonts w:hint="eastAsia" w:ascii="宋体" w:hAnsi="宋体" w:cs="宋体"/>
                <w:sz w:val="24"/>
                <w:szCs w:val="24"/>
              </w:rPr>
              <w:t>通讯</w:t>
            </w:r>
          </w:p>
        </w:tc>
        <w:tc>
          <w:tcPr>
            <w:tcW w:w="6541" w:type="dxa"/>
          </w:tcPr>
          <w:p>
            <w:pPr>
              <w:ind w:firstLine="480"/>
              <w:rPr>
                <w:rFonts w:ascii="宋体" w:hAnsi="宋体" w:cs="宋体"/>
                <w:sz w:val="24"/>
                <w:szCs w:val="24"/>
              </w:rPr>
            </w:pPr>
            <w:r>
              <w:rPr>
                <w:rFonts w:hint="eastAsia" w:ascii="宋体" w:hAnsi="宋体" w:cs="宋体"/>
                <w:sz w:val="24"/>
                <w:szCs w:val="24"/>
              </w:rPr>
              <w:t>配有标准RS232接口与计算机双向通讯；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2.16</w:t>
            </w:r>
          </w:p>
        </w:tc>
        <w:tc>
          <w:tcPr>
            <w:tcW w:w="1889" w:type="dxa"/>
          </w:tcPr>
          <w:p>
            <w:pPr>
              <w:ind w:firstLine="480"/>
              <w:rPr>
                <w:rFonts w:ascii="宋体" w:hAnsi="宋体" w:cs="宋体"/>
                <w:sz w:val="24"/>
                <w:szCs w:val="24"/>
              </w:rPr>
            </w:pPr>
            <w:r>
              <w:rPr>
                <w:rFonts w:hint="eastAsia" w:ascii="宋体" w:hAnsi="宋体" w:cs="宋体"/>
                <w:sz w:val="24"/>
                <w:szCs w:val="24"/>
              </w:rPr>
              <w:t>条码扫描</w:t>
            </w:r>
          </w:p>
        </w:tc>
        <w:tc>
          <w:tcPr>
            <w:tcW w:w="6541" w:type="dxa"/>
          </w:tcPr>
          <w:p>
            <w:pPr>
              <w:ind w:firstLine="480"/>
              <w:rPr>
                <w:rFonts w:ascii="宋体" w:hAnsi="宋体" w:cs="宋体"/>
                <w:sz w:val="24"/>
                <w:szCs w:val="24"/>
              </w:rPr>
            </w:pPr>
            <w:r>
              <w:rPr>
                <w:rFonts w:hint="eastAsia" w:ascii="宋体" w:hAnsi="宋体" w:cs="宋体"/>
                <w:sz w:val="24"/>
                <w:szCs w:val="24"/>
              </w:rPr>
              <w:t>配有条码阅读器接口，具有条码识别功能；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245" w:type="dxa"/>
            <w:vAlign w:val="center"/>
          </w:tcPr>
          <w:p>
            <w:pPr>
              <w:ind w:firstLine="120" w:firstLineChars="50"/>
              <w:rPr>
                <w:rFonts w:ascii="宋体" w:hAnsi="宋体" w:cs="宋体"/>
                <w:sz w:val="24"/>
                <w:szCs w:val="24"/>
              </w:rPr>
            </w:pPr>
            <w:r>
              <w:rPr>
                <w:rFonts w:hint="eastAsia" w:ascii="宋体" w:hAnsi="宋体" w:cs="宋体"/>
                <w:sz w:val="24"/>
                <w:szCs w:val="24"/>
              </w:rPr>
              <w:t>2.17</w:t>
            </w:r>
          </w:p>
        </w:tc>
        <w:tc>
          <w:tcPr>
            <w:tcW w:w="1889" w:type="dxa"/>
            <w:vAlign w:val="center"/>
          </w:tcPr>
          <w:p>
            <w:pPr>
              <w:ind w:firstLine="480"/>
              <w:rPr>
                <w:rFonts w:ascii="宋体" w:hAnsi="宋体" w:cs="宋体"/>
                <w:sz w:val="24"/>
                <w:szCs w:val="24"/>
              </w:rPr>
            </w:pPr>
            <w:r>
              <w:rPr>
                <w:rFonts w:hint="eastAsia" w:ascii="宋体" w:hAnsi="宋体" w:cs="宋体"/>
                <w:sz w:val="24"/>
                <w:szCs w:val="24"/>
              </w:rPr>
              <w:t>质控方法</w:t>
            </w:r>
          </w:p>
        </w:tc>
        <w:tc>
          <w:tcPr>
            <w:tcW w:w="6541" w:type="dxa"/>
          </w:tcPr>
          <w:p>
            <w:pPr>
              <w:ind w:firstLine="480"/>
              <w:rPr>
                <w:rFonts w:ascii="宋体" w:hAnsi="宋体" w:cs="宋体"/>
                <w:sz w:val="24"/>
                <w:szCs w:val="24"/>
              </w:rPr>
            </w:pPr>
            <w:r>
              <w:rPr>
                <w:rFonts w:hint="eastAsia" w:ascii="宋体" w:hAnsi="宋体" w:cs="宋体"/>
                <w:sz w:val="24"/>
                <w:szCs w:val="24"/>
              </w:rPr>
              <w:t>L-J、</w:t>
            </w:r>
            <w:r>
              <w:rPr>
                <w:rFonts w:hint="eastAsia" w:ascii="宋体" w:hAnsi="宋体" w:cs="宋体"/>
                <w:position w:val="-4"/>
                <w:sz w:val="24"/>
                <w:szCs w:val="24"/>
              </w:rPr>
              <w:object>
                <v:shape id="_x0000_i1035" o:spt="75" type="#_x0000_t75" style="height:15.75pt;width:14.25pt;" o:ole="t" filled="f" o:preferrelative="t" stroked="f" coordsize="21600,21600">
                  <v:path/>
                  <v:fill on="f" focussize="0,0"/>
                  <v:stroke on="f" joinstyle="miter"/>
                  <v:imagedata r:id="rId32" o:title=""/>
                  <o:lock v:ext="edit" aspectratio="t"/>
                  <w10:wrap type="none"/>
                  <w10:anchorlock/>
                </v:shape>
                <o:OLEObject Type="Embed" ProgID="Equation.3" ShapeID="_x0000_i1035" DrawAspect="Content" ObjectID="_1468075725" r:id="rId31">
                  <o:LockedField>false</o:LockedField>
                </o:OLEObject>
              </w:object>
            </w:r>
            <w:r>
              <w:rPr>
                <w:rFonts w:hint="eastAsia" w:ascii="宋体" w:hAnsi="宋体" w:cs="宋体"/>
                <w:sz w:val="24"/>
                <w:szCs w:val="24"/>
              </w:rPr>
              <w:t>、X-B三种质控方式；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2.18</w:t>
            </w:r>
          </w:p>
        </w:tc>
        <w:tc>
          <w:tcPr>
            <w:tcW w:w="1889" w:type="dxa"/>
          </w:tcPr>
          <w:p>
            <w:pPr>
              <w:ind w:firstLine="480"/>
              <w:rPr>
                <w:rFonts w:ascii="宋体" w:hAnsi="宋体" w:cs="宋体"/>
                <w:sz w:val="24"/>
                <w:szCs w:val="24"/>
              </w:rPr>
            </w:pPr>
            <w:r>
              <w:rPr>
                <w:rFonts w:hint="eastAsia" w:ascii="宋体" w:hAnsi="宋体" w:cs="宋体"/>
                <w:sz w:val="24"/>
                <w:szCs w:val="24"/>
              </w:rPr>
              <w:t>校准</w:t>
            </w:r>
          </w:p>
        </w:tc>
        <w:tc>
          <w:tcPr>
            <w:tcW w:w="6541" w:type="dxa"/>
          </w:tcPr>
          <w:p>
            <w:pPr>
              <w:ind w:firstLine="0" w:firstLineChars="0"/>
              <w:rPr>
                <w:rFonts w:ascii="宋体" w:hAnsi="宋体" w:cs="宋体"/>
                <w:sz w:val="24"/>
                <w:szCs w:val="24"/>
              </w:rPr>
            </w:pPr>
            <w:r>
              <w:rPr>
                <w:rFonts w:hint="eastAsia" w:ascii="宋体" w:hAnsi="宋体" w:cs="宋体"/>
                <w:sz w:val="24"/>
                <w:szCs w:val="24"/>
              </w:rPr>
              <w:t>可对仪器进行自动校准、人工校准、新鲜血校准；具有报警功能、故障提示功能、定期提示保养维护；仪器具有自检功能；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2.19</w:t>
            </w:r>
          </w:p>
        </w:tc>
        <w:tc>
          <w:tcPr>
            <w:tcW w:w="1889" w:type="dxa"/>
          </w:tcPr>
          <w:p>
            <w:pPr>
              <w:ind w:firstLine="480"/>
              <w:rPr>
                <w:rFonts w:ascii="宋体" w:hAnsi="宋体" w:cs="宋体"/>
                <w:sz w:val="24"/>
                <w:szCs w:val="24"/>
              </w:rPr>
            </w:pPr>
            <w:r>
              <w:rPr>
                <w:rFonts w:hint="eastAsia" w:ascii="宋体" w:hAnsi="宋体" w:cs="宋体"/>
                <w:sz w:val="24"/>
                <w:szCs w:val="24"/>
              </w:rPr>
              <w:t>数据存储</w:t>
            </w:r>
          </w:p>
        </w:tc>
        <w:tc>
          <w:tcPr>
            <w:tcW w:w="6541" w:type="dxa"/>
          </w:tcPr>
          <w:p>
            <w:pPr>
              <w:ind w:firstLine="0" w:firstLineChars="0"/>
              <w:rPr>
                <w:rFonts w:ascii="宋体" w:hAnsi="宋体" w:cs="宋体"/>
                <w:sz w:val="24"/>
                <w:szCs w:val="24"/>
              </w:rPr>
            </w:pPr>
            <w:r>
              <w:rPr>
                <w:rFonts w:hint="eastAsia" w:ascii="宋体" w:hAnsi="宋体" w:cs="宋体"/>
                <w:sz w:val="24"/>
                <w:szCs w:val="24"/>
              </w:rPr>
              <w:t>≥90000个样本（包括散点图、直方图），并可按病人信息及时间段检索，打印；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245" w:type="dxa"/>
          </w:tcPr>
          <w:p>
            <w:pPr>
              <w:ind w:firstLine="120" w:firstLineChars="50"/>
              <w:jc w:val="left"/>
              <w:rPr>
                <w:rFonts w:ascii="宋体" w:hAnsi="宋体" w:cs="宋体"/>
                <w:sz w:val="24"/>
                <w:szCs w:val="24"/>
              </w:rPr>
            </w:pPr>
            <w:r>
              <w:rPr>
                <w:rFonts w:hint="eastAsia" w:ascii="宋体" w:hAnsi="宋体" w:cs="宋体"/>
                <w:sz w:val="24"/>
                <w:szCs w:val="24"/>
              </w:rPr>
              <w:t>2.20</w:t>
            </w:r>
          </w:p>
        </w:tc>
        <w:tc>
          <w:tcPr>
            <w:tcW w:w="1889" w:type="dxa"/>
          </w:tcPr>
          <w:p>
            <w:pPr>
              <w:ind w:firstLine="480"/>
              <w:rPr>
                <w:rFonts w:ascii="宋体" w:hAnsi="宋体" w:cs="宋体"/>
                <w:sz w:val="24"/>
                <w:szCs w:val="24"/>
              </w:rPr>
            </w:pPr>
            <w:r>
              <w:rPr>
                <w:rFonts w:hint="eastAsia" w:ascii="宋体" w:hAnsi="宋体" w:cs="宋体"/>
                <w:sz w:val="24"/>
                <w:szCs w:val="24"/>
              </w:rPr>
              <w:t>系统维护</w:t>
            </w:r>
          </w:p>
        </w:tc>
        <w:tc>
          <w:tcPr>
            <w:tcW w:w="6541" w:type="dxa"/>
          </w:tcPr>
          <w:p>
            <w:pPr>
              <w:ind w:firstLine="0" w:firstLineChars="0"/>
              <w:rPr>
                <w:rFonts w:ascii="宋体" w:hAnsi="宋体" w:cs="宋体"/>
                <w:sz w:val="24"/>
                <w:szCs w:val="24"/>
              </w:rPr>
            </w:pPr>
            <w:r>
              <w:rPr>
                <w:rFonts w:hint="eastAsia" w:ascii="宋体" w:hAnsi="宋体" w:cs="宋体"/>
                <w:sz w:val="24"/>
                <w:szCs w:val="24"/>
              </w:rPr>
              <w:t>设备具备固定标本量后的自动系统维护功能</w:t>
            </w:r>
          </w:p>
        </w:tc>
      </w:tr>
    </w:tbl>
    <w:p>
      <w:pPr>
        <w:spacing w:line="720" w:lineRule="auto"/>
        <w:ind w:firstLine="0" w:firstLineChars="0"/>
        <w:jc w:val="left"/>
        <w:rPr>
          <w:rFonts w:ascii="宋体" w:hAnsi="宋体" w:cs="宋体"/>
          <w:b/>
          <w:sz w:val="24"/>
          <w:szCs w:val="24"/>
        </w:rPr>
      </w:pPr>
      <w:r>
        <w:rPr>
          <w:rFonts w:hint="eastAsia" w:ascii="宋体" w:hAnsi="宋体" w:cs="宋体"/>
          <w:b/>
          <w:sz w:val="24"/>
          <w:szCs w:val="24"/>
        </w:rPr>
        <w:t>中高端监护仪:</w:t>
      </w:r>
    </w:p>
    <w:p>
      <w:pPr>
        <w:pStyle w:val="88"/>
        <w:ind w:firstLine="0" w:firstLineChars="0"/>
        <w:rPr>
          <w:rFonts w:ascii="宋体" w:hAnsi="宋体" w:cs="宋体"/>
          <w:sz w:val="24"/>
        </w:rPr>
      </w:pPr>
      <w:r>
        <w:rPr>
          <w:rFonts w:hint="eastAsia" w:ascii="宋体" w:hAnsi="宋体" w:cs="宋体"/>
          <w:sz w:val="24"/>
        </w:rPr>
        <w:t>1、</w:t>
      </w:r>
      <w:r>
        <w:rPr>
          <w:rFonts w:hint="eastAsia" w:ascii="宋体" w:hAnsi="宋体"/>
          <w:sz w:val="24"/>
        </w:rPr>
        <w:t>★</w:t>
      </w:r>
      <w:r>
        <w:rPr>
          <w:rFonts w:hint="eastAsia" w:ascii="宋体" w:hAnsi="宋体" w:cs="宋体"/>
          <w:color w:val="000000" w:themeColor="text1"/>
          <w:sz w:val="24"/>
        </w:rPr>
        <w:t>进口品牌，全</w:t>
      </w:r>
      <w:r>
        <w:rPr>
          <w:rFonts w:hint="eastAsia" w:ascii="宋体" w:hAnsi="宋体" w:cs="宋体"/>
          <w:sz w:val="24"/>
        </w:rPr>
        <w:t>插件式设计，多参数模块可插拔，可通过更换参数模块升级监测参数，可外接插件箱，插件箱插槽≥8个。</w:t>
      </w:r>
    </w:p>
    <w:p>
      <w:pPr>
        <w:ind w:firstLine="0" w:firstLineChars="0"/>
        <w:rPr>
          <w:rFonts w:ascii="宋体" w:hAnsi="宋体" w:cs="宋体"/>
          <w:sz w:val="24"/>
          <w:szCs w:val="24"/>
        </w:rPr>
      </w:pPr>
      <w:r>
        <w:rPr>
          <w:rFonts w:hint="eastAsia" w:ascii="宋体" w:hAnsi="宋体" w:cs="宋体"/>
          <w:sz w:val="24"/>
          <w:szCs w:val="24"/>
        </w:rPr>
        <w:t>2、可监测参数: 心电(ECG)、呼吸(RESP)、无创血压(NIBP)、血氧饱和度(SpO2)、脉率(PR)、双体温(TEMP)；可升级进口血氧模块、12导心电、呼末二氧化碳(EtCO2)、有创血压(IBP)、麻醉气体模块。</w:t>
      </w:r>
    </w:p>
    <w:p>
      <w:pPr>
        <w:ind w:firstLine="0" w:firstLineChars="0"/>
        <w:rPr>
          <w:rFonts w:ascii="宋体" w:hAnsi="宋体" w:cs="宋体"/>
          <w:b/>
          <w:sz w:val="24"/>
          <w:szCs w:val="24"/>
        </w:rPr>
      </w:pPr>
      <w:r>
        <w:rPr>
          <w:rFonts w:hint="eastAsia" w:ascii="宋体" w:hAnsi="宋体" w:cs="宋体"/>
          <w:sz w:val="24"/>
          <w:szCs w:val="24"/>
        </w:rPr>
        <w:t>3、</w:t>
      </w:r>
      <w:r>
        <w:rPr>
          <w:rFonts w:hint="eastAsia" w:ascii="宋体" w:hAnsi="宋体"/>
          <w:sz w:val="24"/>
        </w:rPr>
        <w:t>★</w:t>
      </w:r>
      <w:r>
        <w:rPr>
          <w:rFonts w:hint="eastAsia" w:ascii="宋体" w:hAnsi="宋体" w:cs="宋体"/>
          <w:sz w:val="24"/>
          <w:szCs w:val="24"/>
        </w:rPr>
        <w:t>显示器尺寸≥12.1”可观察波形通道≥8道, 并可外接显示器。</w:t>
      </w:r>
    </w:p>
    <w:p>
      <w:pPr>
        <w:pStyle w:val="88"/>
        <w:ind w:firstLine="0" w:firstLineChars="0"/>
        <w:rPr>
          <w:rFonts w:ascii="宋体" w:hAnsi="宋体" w:cs="宋体"/>
          <w:sz w:val="24"/>
        </w:rPr>
      </w:pPr>
      <w:r>
        <w:rPr>
          <w:rFonts w:hint="eastAsia" w:ascii="宋体" w:hAnsi="宋体" w:cs="宋体"/>
          <w:sz w:val="24"/>
        </w:rPr>
        <w:t>4、报警：监护仪可根据病人的监护数据自动生成一组宽带报警和窄带报警限，并可供选择。</w:t>
      </w:r>
    </w:p>
    <w:p>
      <w:pPr>
        <w:pStyle w:val="88"/>
        <w:ind w:firstLine="0" w:firstLineChars="0"/>
        <w:rPr>
          <w:rFonts w:ascii="宋体" w:hAnsi="宋体" w:cs="宋体"/>
          <w:sz w:val="24"/>
        </w:rPr>
      </w:pPr>
      <w:r>
        <w:rPr>
          <w:rFonts w:hint="eastAsia" w:ascii="宋体" w:hAnsi="宋体" w:cs="宋体"/>
          <w:sz w:val="24"/>
        </w:rPr>
        <w:t>5、心电：心电3/5导可选，在5导的情况下，支持同屏心电7导联显示，需同屏显示肢体导联Ⅰ、Ⅱ、Ⅲ，肢体加压导联AVR、AVL、AVF，及任意一个胸导联V1~V6。心电扫描速度扫描速度 6.25/12.5/25/50 mm/s。</w:t>
      </w:r>
    </w:p>
    <w:p>
      <w:pPr>
        <w:pStyle w:val="88"/>
        <w:ind w:firstLine="0" w:firstLineChars="0"/>
        <w:rPr>
          <w:rFonts w:ascii="宋体" w:hAnsi="宋体" w:cs="宋体"/>
          <w:sz w:val="24"/>
        </w:rPr>
      </w:pPr>
      <w:r>
        <w:rPr>
          <w:rFonts w:hint="eastAsia" w:ascii="宋体" w:hAnsi="宋体" w:cs="宋体"/>
          <w:sz w:val="24"/>
        </w:rPr>
        <w:t>6、在心电5导的情况下，可实现4通道ST段分析。</w:t>
      </w:r>
    </w:p>
    <w:p>
      <w:pPr>
        <w:pStyle w:val="88"/>
        <w:ind w:firstLine="0" w:firstLineChars="0"/>
        <w:rPr>
          <w:rFonts w:ascii="宋体" w:hAnsi="宋体" w:cs="宋体"/>
          <w:sz w:val="24"/>
        </w:rPr>
      </w:pPr>
      <w:r>
        <w:rPr>
          <w:rFonts w:hint="eastAsia" w:ascii="宋体" w:hAnsi="宋体" w:cs="宋体"/>
          <w:sz w:val="24"/>
        </w:rPr>
        <w:t xml:space="preserve">7、ST段测量范围在诊断模式下-2.5 mV－+ 2.5 mV。 </w:t>
      </w:r>
    </w:p>
    <w:p>
      <w:pPr>
        <w:ind w:firstLine="0" w:firstLineChars="0"/>
        <w:rPr>
          <w:rFonts w:ascii="宋体" w:hAnsi="宋体" w:cs="宋体"/>
          <w:sz w:val="24"/>
          <w:szCs w:val="24"/>
        </w:rPr>
      </w:pPr>
      <w:r>
        <w:rPr>
          <w:rFonts w:hint="eastAsia" w:ascii="宋体" w:hAnsi="宋体" w:cs="宋体"/>
          <w:sz w:val="24"/>
          <w:szCs w:val="24"/>
        </w:rPr>
        <w:t>8、具备心率变异分析功能，可对病人窦性心律在一定时间内周期性改变情况进行分析，并对心率变异分析结果进行统计，以饼状图形式显示。</w:t>
      </w:r>
    </w:p>
    <w:p>
      <w:pPr>
        <w:tabs>
          <w:tab w:val="left" w:pos="360"/>
          <w:tab w:val="left" w:pos="425"/>
        </w:tabs>
        <w:ind w:firstLine="0" w:firstLineChars="0"/>
        <w:rPr>
          <w:rFonts w:ascii="宋体" w:hAnsi="宋体" w:cs="宋体"/>
          <w:sz w:val="24"/>
          <w:szCs w:val="24"/>
        </w:rPr>
      </w:pPr>
      <w:r>
        <w:rPr>
          <w:rFonts w:hint="eastAsia" w:ascii="宋体" w:hAnsi="宋体" w:cs="宋体"/>
          <w:sz w:val="24"/>
          <w:szCs w:val="24"/>
        </w:rPr>
        <w:t>9、</w:t>
      </w:r>
      <w:r>
        <w:rPr>
          <w:rFonts w:hint="eastAsia" w:ascii="宋体" w:hAnsi="宋体"/>
          <w:sz w:val="24"/>
        </w:rPr>
        <w:t>★</w:t>
      </w:r>
      <w:r>
        <w:rPr>
          <w:rFonts w:hint="eastAsia" w:ascii="宋体" w:hAnsi="宋体" w:cs="宋体"/>
          <w:sz w:val="24"/>
          <w:szCs w:val="24"/>
        </w:rPr>
        <w:t xml:space="preserve">具备动态血压分析功能，可自动统计分析24小时内血压变化，自动显示平均血压、白天和夜间平均血压、血压高于正常百分比等参数，并以柱状图形式显示，为降压药的使用起指示作用。具有收缩压和舒张压血压差报警功能 </w:t>
      </w:r>
      <w:r>
        <w:rPr>
          <w:rFonts w:hint="eastAsia" w:ascii="宋体" w:hAnsi="宋体" w:cs="宋体"/>
          <w:color w:val="000000"/>
          <w:sz w:val="24"/>
          <w:szCs w:val="24"/>
        </w:rPr>
        <w:t>。</w:t>
      </w:r>
    </w:p>
    <w:p>
      <w:pPr>
        <w:ind w:firstLine="0" w:firstLineChars="0"/>
        <w:rPr>
          <w:rFonts w:ascii="宋体" w:hAnsi="宋体" w:cs="宋体"/>
          <w:sz w:val="24"/>
          <w:szCs w:val="24"/>
        </w:rPr>
      </w:pPr>
      <w:r>
        <w:rPr>
          <w:rFonts w:hint="eastAsia" w:ascii="宋体" w:hAnsi="宋体" w:cs="宋体"/>
          <w:sz w:val="24"/>
          <w:szCs w:val="24"/>
        </w:rPr>
        <w:t>10、呼吸导联≥4导，RA-LA、RA-LL、LA-RL、LL-RL可选。在右上RA电极片无法满足测量要求时（如右胸烧伤、创伤），仍然能测量呼吸。</w:t>
      </w:r>
    </w:p>
    <w:p>
      <w:pPr>
        <w:ind w:firstLine="0" w:firstLineChars="0"/>
        <w:rPr>
          <w:rFonts w:ascii="宋体" w:hAnsi="宋体" w:cs="宋体"/>
          <w:sz w:val="24"/>
          <w:szCs w:val="24"/>
        </w:rPr>
      </w:pPr>
      <w:r>
        <w:rPr>
          <w:rFonts w:hint="eastAsia" w:ascii="宋体" w:hAnsi="宋体" w:cs="宋体"/>
          <w:sz w:val="24"/>
          <w:szCs w:val="24"/>
        </w:rPr>
        <w:t>11、</w:t>
      </w:r>
      <w:r>
        <w:rPr>
          <w:rFonts w:hint="eastAsia" w:ascii="宋体" w:hAnsi="宋体"/>
          <w:sz w:val="24"/>
        </w:rPr>
        <w:t>★</w:t>
      </w:r>
      <w:r>
        <w:rPr>
          <w:rFonts w:hint="eastAsia" w:ascii="宋体" w:hAnsi="宋体"/>
          <w:sz w:val="24"/>
          <w:lang w:eastAsia="zh-CN"/>
        </w:rPr>
        <w:t>可选配</w:t>
      </w:r>
      <w:r>
        <w:rPr>
          <w:rFonts w:hint="eastAsia" w:ascii="宋体" w:hAnsi="宋体" w:cs="宋体"/>
          <w:color w:val="000000" w:themeColor="text1"/>
          <w:sz w:val="24"/>
          <w:szCs w:val="24"/>
        </w:rPr>
        <w:t>进口血氧，</w:t>
      </w:r>
      <w:r>
        <w:rPr>
          <w:rFonts w:hint="eastAsia" w:ascii="宋体" w:hAnsi="宋体" w:cs="宋体"/>
          <w:sz w:val="24"/>
          <w:szCs w:val="24"/>
        </w:rPr>
        <w:t>专利技术，防运动、抗弱灌注，具有灌注度指数显示功能</w:t>
      </w:r>
    </w:p>
    <w:p>
      <w:pPr>
        <w:ind w:firstLine="0" w:firstLineChars="0"/>
        <w:rPr>
          <w:rFonts w:ascii="宋体" w:hAnsi="宋体" w:cs="宋体"/>
          <w:sz w:val="24"/>
          <w:szCs w:val="24"/>
        </w:rPr>
      </w:pPr>
      <w:r>
        <w:rPr>
          <w:rFonts w:hint="eastAsia" w:ascii="宋体" w:hAnsi="宋体" w:cs="宋体"/>
          <w:sz w:val="24"/>
          <w:szCs w:val="24"/>
        </w:rPr>
        <w:t>12、</w:t>
      </w:r>
      <w:r>
        <w:rPr>
          <w:rFonts w:hint="eastAsia" w:ascii="宋体" w:hAnsi="宋体"/>
          <w:sz w:val="24"/>
        </w:rPr>
        <w:t>★</w:t>
      </w:r>
      <w:r>
        <w:rPr>
          <w:rFonts w:hint="eastAsia" w:ascii="宋体" w:hAnsi="宋体" w:cs="宋体"/>
          <w:sz w:val="24"/>
          <w:szCs w:val="24"/>
        </w:rPr>
        <w:t>可选配微流呼气末二氧化碳技术，不需要集水器，采样速率≤50ml/min，适用于潮气量小的新生儿。</w:t>
      </w:r>
    </w:p>
    <w:p>
      <w:pPr>
        <w:pStyle w:val="88"/>
        <w:ind w:firstLine="0" w:firstLineChars="0"/>
        <w:rPr>
          <w:rFonts w:ascii="宋体" w:hAnsi="宋体" w:cs="宋体"/>
          <w:sz w:val="24"/>
        </w:rPr>
      </w:pPr>
      <w:r>
        <w:rPr>
          <w:rFonts w:hint="eastAsia" w:ascii="宋体" w:hAnsi="宋体" w:cs="宋体"/>
          <w:sz w:val="24"/>
        </w:rPr>
        <w:t>13、有创血压测量范围：-50 mmHg ～400 mmHg</w:t>
      </w:r>
    </w:p>
    <w:p>
      <w:pPr>
        <w:ind w:firstLine="0" w:firstLineChars="0"/>
        <w:rPr>
          <w:rFonts w:ascii="宋体" w:hAnsi="宋体" w:cs="宋体"/>
          <w:sz w:val="24"/>
          <w:szCs w:val="24"/>
        </w:rPr>
      </w:pPr>
      <w:r>
        <w:rPr>
          <w:rFonts w:hint="eastAsia" w:ascii="宋体" w:hAnsi="宋体" w:cs="宋体"/>
          <w:sz w:val="24"/>
          <w:szCs w:val="24"/>
        </w:rPr>
        <w:t>14、无需存储卡或中央站监护仪，可存储NIBP数据列表1500组</w:t>
      </w:r>
    </w:p>
    <w:p>
      <w:pPr>
        <w:ind w:firstLine="0" w:firstLineChars="0"/>
        <w:rPr>
          <w:rFonts w:ascii="宋体" w:hAnsi="宋体" w:cs="宋体"/>
          <w:sz w:val="24"/>
          <w:szCs w:val="24"/>
        </w:rPr>
      </w:pPr>
      <w:r>
        <w:rPr>
          <w:rFonts w:hint="eastAsia" w:ascii="宋体" w:hAnsi="宋体" w:cs="宋体"/>
          <w:sz w:val="24"/>
          <w:szCs w:val="24"/>
        </w:rPr>
        <w:t xml:space="preserve">15、无需存储卡或中央站， 监护仪的趋势存储回放时间1000小时 </w:t>
      </w:r>
    </w:p>
    <w:p>
      <w:pPr>
        <w:ind w:firstLine="0" w:firstLineChars="0"/>
        <w:rPr>
          <w:rFonts w:ascii="宋体" w:hAnsi="宋体" w:cs="宋体"/>
          <w:sz w:val="24"/>
          <w:szCs w:val="24"/>
        </w:rPr>
      </w:pPr>
      <w:r>
        <w:rPr>
          <w:rFonts w:hint="eastAsia" w:ascii="宋体" w:hAnsi="宋体" w:cs="宋体"/>
          <w:sz w:val="24"/>
          <w:szCs w:val="24"/>
        </w:rPr>
        <w:t>16、无需存储卡或中央站，监护仪的全息心电波形存储回放时间100分钟</w:t>
      </w:r>
    </w:p>
    <w:p>
      <w:pPr>
        <w:ind w:firstLine="0" w:firstLineChars="0"/>
        <w:rPr>
          <w:rFonts w:ascii="宋体" w:hAnsi="宋体" w:cs="宋体"/>
          <w:sz w:val="24"/>
          <w:szCs w:val="24"/>
        </w:rPr>
      </w:pPr>
      <w:r>
        <w:rPr>
          <w:rFonts w:hint="eastAsia" w:ascii="宋体" w:hAnsi="宋体" w:cs="宋体"/>
          <w:sz w:val="24"/>
          <w:szCs w:val="24"/>
        </w:rPr>
        <w:t>17、无需存储卡或中央站，监护仪可存储200组ARR分析</w:t>
      </w:r>
    </w:p>
    <w:p>
      <w:pPr>
        <w:ind w:firstLine="0" w:firstLineChars="0"/>
        <w:rPr>
          <w:rFonts w:ascii="宋体" w:hAnsi="宋体" w:cs="宋体"/>
          <w:sz w:val="24"/>
          <w:szCs w:val="24"/>
        </w:rPr>
      </w:pPr>
      <w:r>
        <w:rPr>
          <w:rFonts w:hint="eastAsia" w:ascii="宋体" w:hAnsi="宋体" w:cs="宋体"/>
          <w:sz w:val="24"/>
          <w:szCs w:val="24"/>
        </w:rPr>
        <w:t>18、无需存储卡或中央站，监护仪可记录200组报警信息</w:t>
      </w:r>
    </w:p>
    <w:p>
      <w:pPr>
        <w:ind w:firstLine="0" w:firstLineChars="0"/>
        <w:rPr>
          <w:rFonts w:ascii="宋体" w:hAnsi="宋体" w:cs="宋体"/>
          <w:sz w:val="24"/>
          <w:szCs w:val="24"/>
        </w:rPr>
      </w:pPr>
      <w:r>
        <w:rPr>
          <w:rFonts w:hint="eastAsia" w:ascii="宋体" w:hAnsi="宋体" w:cs="宋体"/>
          <w:sz w:val="24"/>
          <w:szCs w:val="24"/>
        </w:rPr>
        <w:t>19、标配通气计算、血流动力计算、氧合计算、多种药物的计算和滴定表显示功能。</w:t>
      </w:r>
    </w:p>
    <w:p>
      <w:pPr>
        <w:ind w:firstLine="0" w:firstLineChars="0"/>
        <w:rPr>
          <w:rFonts w:ascii="宋体" w:hAnsi="宋体" w:cs="宋体"/>
          <w:sz w:val="24"/>
          <w:szCs w:val="24"/>
        </w:rPr>
      </w:pPr>
      <w:r>
        <w:rPr>
          <w:rFonts w:hint="eastAsia" w:ascii="宋体" w:hAnsi="宋体" w:cs="宋体"/>
          <w:sz w:val="24"/>
          <w:szCs w:val="24"/>
        </w:rPr>
        <w:t>20、可升级内置三通道热阵记录仪，能实时或报警触发打印波形和文本</w:t>
      </w:r>
    </w:p>
    <w:p>
      <w:pPr>
        <w:ind w:firstLine="0" w:firstLineChars="0"/>
        <w:rPr>
          <w:rFonts w:ascii="宋体" w:hAnsi="宋体" w:cs="宋体"/>
          <w:sz w:val="24"/>
          <w:szCs w:val="24"/>
        </w:rPr>
      </w:pPr>
      <w:r>
        <w:rPr>
          <w:rFonts w:hint="eastAsia" w:ascii="宋体" w:hAnsi="宋体" w:cs="宋体"/>
          <w:sz w:val="24"/>
          <w:szCs w:val="24"/>
        </w:rPr>
        <w:t>21、可通过有线和无线的方式跟中央站连接构成中央监护系统</w:t>
      </w:r>
    </w:p>
    <w:p>
      <w:pPr>
        <w:ind w:firstLine="0" w:firstLineChars="0"/>
        <w:rPr>
          <w:rFonts w:ascii="宋体" w:hAnsi="宋体" w:cs="宋体"/>
          <w:sz w:val="24"/>
          <w:szCs w:val="24"/>
        </w:rPr>
      </w:pPr>
      <w:r>
        <w:rPr>
          <w:rFonts w:hint="eastAsia" w:ascii="宋体" w:hAnsi="宋体" w:cs="宋体"/>
          <w:sz w:val="24"/>
          <w:szCs w:val="24"/>
        </w:rPr>
        <w:t>22、公司通过ISO13485、ISO9001质量管理体系和ISO14001环境管理体系认证。</w:t>
      </w:r>
    </w:p>
    <w:p>
      <w:pPr>
        <w:spacing w:line="720" w:lineRule="auto"/>
        <w:ind w:firstLine="0" w:firstLineChars="0"/>
        <w:jc w:val="center"/>
        <w:rPr>
          <w:rFonts w:ascii="宋体" w:hAnsi="宋体" w:cs="宋体"/>
          <w:sz w:val="24"/>
          <w:szCs w:val="24"/>
        </w:rPr>
      </w:pPr>
      <w:r>
        <w:rPr>
          <w:rFonts w:hint="eastAsia" w:ascii="宋体" w:hAnsi="宋体" w:cs="宋体"/>
          <w:b/>
          <w:sz w:val="24"/>
          <w:szCs w:val="24"/>
        </w:rPr>
        <w:t>包二技术参数</w:t>
      </w:r>
    </w:p>
    <w:p>
      <w:pPr>
        <w:spacing w:line="720" w:lineRule="auto"/>
        <w:ind w:firstLine="0" w:firstLineChars="0"/>
        <w:jc w:val="left"/>
        <w:rPr>
          <w:rFonts w:hint="eastAsia" w:ascii="宋体" w:hAnsi="宋体" w:cs="宋体"/>
          <w:b/>
          <w:sz w:val="24"/>
          <w:szCs w:val="24"/>
        </w:rPr>
      </w:pPr>
      <w:r>
        <w:rPr>
          <w:rFonts w:hint="eastAsia" w:ascii="宋体" w:hAnsi="宋体" w:cs="宋体"/>
          <w:b/>
          <w:sz w:val="24"/>
          <w:szCs w:val="24"/>
          <w:lang w:eastAsia="zh-CN"/>
        </w:rPr>
        <w:t>一、</w:t>
      </w:r>
      <w:r>
        <w:rPr>
          <w:rFonts w:hint="eastAsia" w:ascii="宋体" w:hAnsi="宋体" w:cs="宋体"/>
          <w:b/>
          <w:sz w:val="24"/>
          <w:szCs w:val="24"/>
        </w:rPr>
        <w:t>脉动真空灭菌器参数</w:t>
      </w:r>
    </w:p>
    <w:tbl>
      <w:tblPr>
        <w:tblStyle w:val="41"/>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621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b/>
                <w:color w:val="000000"/>
                <w:szCs w:val="21"/>
              </w:rPr>
            </w:pPr>
            <w:r>
              <w:rPr>
                <w:rFonts w:hint="eastAsia" w:ascii="宋体" w:hAnsi="宋体" w:cs="宋体"/>
                <w:b/>
                <w:color w:val="000000"/>
                <w:szCs w:val="21"/>
              </w:rPr>
              <w:t>序号</w:t>
            </w:r>
          </w:p>
        </w:tc>
        <w:tc>
          <w:tcPr>
            <w:tcW w:w="6214" w:type="dxa"/>
          </w:tcPr>
          <w:p>
            <w:pPr>
              <w:tabs>
                <w:tab w:val="left" w:pos="3360"/>
              </w:tabs>
              <w:spacing w:line="360" w:lineRule="auto"/>
              <w:rPr>
                <w:rFonts w:ascii="宋体" w:hAnsi="宋体" w:cs="宋体"/>
                <w:b/>
                <w:color w:val="000000"/>
                <w:szCs w:val="21"/>
              </w:rPr>
            </w:pPr>
            <w:r>
              <w:rPr>
                <w:rFonts w:hint="eastAsia" w:ascii="宋体" w:hAnsi="宋体" w:cs="宋体"/>
                <w:b/>
                <w:color w:val="000000"/>
                <w:szCs w:val="21"/>
              </w:rPr>
              <w:t>品名：</w:t>
            </w:r>
            <w:r>
              <w:rPr>
                <w:rFonts w:hint="eastAsia" w:ascii="宋体" w:hAnsi="宋体" w:cs="宋体"/>
                <w:b/>
                <w:bCs/>
                <w:szCs w:val="21"/>
              </w:rPr>
              <w:t>脉动真空灭菌器</w:t>
            </w:r>
          </w:p>
        </w:tc>
        <w:tc>
          <w:tcPr>
            <w:tcW w:w="1125" w:type="dxa"/>
          </w:tcPr>
          <w:p>
            <w:pPr>
              <w:tabs>
                <w:tab w:val="left" w:pos="3360"/>
              </w:tabs>
              <w:spacing w:line="360" w:lineRule="auto"/>
              <w:ind w:left="0" w:leftChars="0" w:firstLine="0" w:firstLineChars="0"/>
              <w:jc w:val="both"/>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数量</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1台</w:t>
            </w:r>
          </w:p>
        </w:tc>
        <w:tc>
          <w:tcPr>
            <w:tcW w:w="1125" w:type="dxa"/>
          </w:tcPr>
          <w:p>
            <w:pPr>
              <w:tabs>
                <w:tab w:val="left" w:pos="3360"/>
              </w:tabs>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用途</w:t>
            </w:r>
          </w:p>
        </w:tc>
        <w:tc>
          <w:tcPr>
            <w:tcW w:w="6214" w:type="dxa"/>
          </w:tcPr>
          <w:p>
            <w:pPr>
              <w:tabs>
                <w:tab w:val="left" w:pos="3360"/>
              </w:tabs>
              <w:spacing w:line="360" w:lineRule="auto"/>
              <w:ind w:left="0" w:leftChars="0" w:firstLine="0" w:firstLineChars="0"/>
              <w:rPr>
                <w:rFonts w:ascii="宋体" w:hAnsi="宋体" w:cs="宋体"/>
                <w:color w:val="000000"/>
                <w:szCs w:val="21"/>
              </w:rPr>
            </w:pPr>
            <w:r>
              <w:rPr>
                <w:rFonts w:hint="eastAsia" w:ascii="宋体" w:hAnsi="宋体" w:cs="宋体"/>
                <w:szCs w:val="21"/>
              </w:rPr>
              <w:t>为医疗、制药等单位提供医用液体、手术器械、敷料织物等灭菌</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81" w:type="dxa"/>
          </w:tcPr>
          <w:p>
            <w:pPr>
              <w:tabs>
                <w:tab w:val="left" w:pos="3360"/>
              </w:tabs>
              <w:spacing w:line="360" w:lineRule="auto"/>
              <w:rPr>
                <w:rFonts w:ascii="宋体" w:hAnsi="宋体" w:cs="宋体"/>
                <w:color w:val="000000"/>
                <w:szCs w:val="21"/>
              </w:rPr>
            </w:pPr>
            <w:r>
              <w:rPr>
                <w:rFonts w:hint="eastAsia" w:ascii="宋体" w:hAnsi="宋体" w:cs="宋体"/>
                <w:bCs/>
                <w:color w:val="252525" w:themeColor="text1" w:themeTint="D9"/>
                <w:szCs w:val="21"/>
              </w:rPr>
              <w:t>★</w:t>
            </w:r>
            <w:r>
              <w:rPr>
                <w:rFonts w:hint="eastAsia" w:ascii="宋体" w:hAnsi="宋体" w:cs="宋体"/>
                <w:color w:val="000000"/>
                <w:szCs w:val="21"/>
              </w:rPr>
              <w:t>加热方式</w:t>
            </w:r>
          </w:p>
        </w:tc>
        <w:tc>
          <w:tcPr>
            <w:tcW w:w="6214" w:type="dxa"/>
          </w:tcPr>
          <w:p>
            <w:pPr>
              <w:tabs>
                <w:tab w:val="left" w:pos="3360"/>
              </w:tabs>
              <w:spacing w:line="360" w:lineRule="auto"/>
              <w:rPr>
                <w:rFonts w:ascii="宋体" w:hAnsi="宋体" w:cs="宋体"/>
                <w:szCs w:val="21"/>
              </w:rPr>
            </w:pPr>
            <w:r>
              <w:rPr>
                <w:rFonts w:hint="eastAsia" w:ascii="宋体" w:hAnsi="宋体" w:cs="宋体"/>
                <w:color w:val="000000"/>
                <w:szCs w:val="21"/>
              </w:rPr>
              <w:t>设备自带蒸汽发生器，无须外接蒸汽蒸汽供给方便快捷。</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灭菌室容积</w:t>
            </w:r>
          </w:p>
        </w:tc>
        <w:tc>
          <w:tcPr>
            <w:tcW w:w="6214" w:type="dxa"/>
          </w:tcPr>
          <w:p>
            <w:pPr>
              <w:tabs>
                <w:tab w:val="left" w:pos="3360"/>
              </w:tabs>
              <w:spacing w:line="360" w:lineRule="auto"/>
              <w:ind w:right="-113" w:rightChars="-54"/>
              <w:rPr>
                <w:rFonts w:ascii="宋体" w:hAnsi="宋体" w:cs="宋体"/>
                <w:bCs/>
                <w:color w:val="000000"/>
                <w:szCs w:val="21"/>
              </w:rPr>
            </w:pPr>
            <w:r>
              <w:rPr>
                <w:rFonts w:hint="eastAsia" w:ascii="宋体" w:hAnsi="宋体" w:cs="宋体"/>
                <w:color w:val="000000"/>
                <w:szCs w:val="21"/>
              </w:rPr>
              <w:t>灭菌容积</w:t>
            </w:r>
            <w:r>
              <w:rPr>
                <w:rFonts w:hint="eastAsia" w:ascii="宋体" w:hAnsi="宋体" w:cs="宋体"/>
                <w:bCs/>
                <w:color w:val="000000"/>
                <w:szCs w:val="21"/>
              </w:rPr>
              <w:t>≥650L</w:t>
            </w:r>
          </w:p>
        </w:tc>
        <w:tc>
          <w:tcPr>
            <w:tcW w:w="1125"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密封门</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双门通道型、带有压力安全联锁装置、门障碍报警、双门互锁以保证有菌区与无菌区的有效隔离，电机齿轮链条驱动门板上下移动，侧开门式开启柜门。（需提供压力安全连锁证书）</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门密封圈</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圆形门胶圈，医用透明高抗撕硅橡胶材质，压缩气密封。</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设计压力</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 xml:space="preserve">0.28Mpa </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252525" w:themeColor="text1" w:themeTint="D9"/>
                <w:szCs w:val="21"/>
              </w:rPr>
            </w:pPr>
            <w:r>
              <w:rPr>
                <w:rFonts w:hint="eastAsia" w:ascii="宋体" w:hAnsi="宋体" w:cs="宋体"/>
                <w:color w:val="252525" w:themeColor="text1" w:themeTint="D9"/>
                <w:szCs w:val="21"/>
              </w:rPr>
              <w:t>设计温度</w:t>
            </w:r>
          </w:p>
        </w:tc>
        <w:tc>
          <w:tcPr>
            <w:tcW w:w="6214" w:type="dxa"/>
          </w:tcPr>
          <w:p>
            <w:pPr>
              <w:tabs>
                <w:tab w:val="left" w:pos="3360"/>
              </w:tabs>
              <w:spacing w:line="360" w:lineRule="auto"/>
              <w:rPr>
                <w:rFonts w:ascii="宋体" w:hAnsi="宋体" w:cs="宋体"/>
                <w:color w:val="252525" w:themeColor="text1" w:themeTint="D9"/>
                <w:szCs w:val="21"/>
              </w:rPr>
            </w:pPr>
            <w:r>
              <w:rPr>
                <w:rFonts w:hint="eastAsia" w:ascii="宋体" w:hAnsi="宋体" w:cs="宋体"/>
                <w:color w:val="252525" w:themeColor="text1" w:themeTint="D9"/>
                <w:szCs w:val="21"/>
              </w:rPr>
              <w:t>138℃</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bCs/>
                <w:color w:val="252525" w:themeColor="text1" w:themeTint="D9"/>
                <w:szCs w:val="21"/>
              </w:rPr>
              <w:t>★</w:t>
            </w:r>
            <w:r>
              <w:rPr>
                <w:rFonts w:hint="eastAsia" w:ascii="宋体" w:hAnsi="宋体" w:cs="宋体"/>
                <w:color w:val="000000"/>
                <w:szCs w:val="21"/>
              </w:rPr>
              <w:t xml:space="preserve">灭菌器主体寿命 </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主体设计</w:t>
            </w:r>
            <w:r>
              <w:rPr>
                <w:rFonts w:hint="eastAsia" w:ascii="宋体" w:hAnsi="宋体" w:cs="宋体"/>
                <w:b/>
                <w:color w:val="000000"/>
                <w:szCs w:val="21"/>
              </w:rPr>
              <w:t>10</w:t>
            </w:r>
            <w:r>
              <w:rPr>
                <w:rFonts w:hint="eastAsia" w:ascii="宋体" w:hAnsi="宋体" w:cs="宋体"/>
                <w:color w:val="000000"/>
                <w:szCs w:val="21"/>
              </w:rPr>
              <w:t>年，20000次循环，提供</w:t>
            </w:r>
            <w:r>
              <w:rPr>
                <w:rFonts w:hint="eastAsia" w:ascii="宋体" w:hAnsi="宋体" w:cs="宋体"/>
                <w:color w:val="000000"/>
                <w:szCs w:val="21"/>
                <w:lang w:eastAsia="zh-CN"/>
              </w:rPr>
              <w:t>生产厂家所在地质监部门出具</w:t>
            </w:r>
            <w:r>
              <w:rPr>
                <w:rFonts w:hint="eastAsia" w:ascii="宋体" w:hAnsi="宋体" w:cs="宋体"/>
                <w:color w:val="000000"/>
                <w:szCs w:val="21"/>
              </w:rPr>
              <w:t>证明材料</w:t>
            </w:r>
            <w:r>
              <w:rPr>
                <w:rFonts w:hint="eastAsia" w:ascii="宋体" w:hAnsi="宋体" w:cs="宋体"/>
                <w:color w:val="000000"/>
                <w:szCs w:val="21"/>
                <w:lang w:eastAsia="zh-CN"/>
              </w:rPr>
              <w:t>（复印件加盖生产厂家公章）</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bCs/>
                <w:color w:val="FF0000"/>
                <w:szCs w:val="21"/>
              </w:rPr>
            </w:pPr>
            <w:r>
              <w:rPr>
                <w:rFonts w:hint="eastAsia" w:ascii="宋体" w:hAnsi="宋体" w:cs="宋体"/>
                <w:bCs/>
                <w:color w:val="252525" w:themeColor="text1" w:themeTint="D9"/>
                <w:szCs w:val="21"/>
              </w:rPr>
              <w:t>★</w:t>
            </w:r>
            <w:r>
              <w:rPr>
                <w:rFonts w:hint="eastAsia" w:ascii="宋体" w:hAnsi="宋体" w:cs="宋体"/>
                <w:color w:val="000000"/>
                <w:szCs w:val="21"/>
              </w:rPr>
              <w:t>主体结构</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环形加强筋结构，内腔强度和稳定性更高；多点进汽，多段加热，温度梯度便于内腔蒸汽对流，温度分布更均匀；节省蒸汽消耗；灭菌器整体重量更轻。</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bCs/>
                <w:color w:val="FF0000"/>
                <w:szCs w:val="21"/>
              </w:rPr>
            </w:pPr>
            <w:r>
              <w:rPr>
                <w:rFonts w:hint="eastAsia" w:ascii="宋体" w:hAnsi="宋体" w:cs="宋体"/>
                <w:color w:val="000000"/>
                <w:szCs w:val="21"/>
              </w:rPr>
              <w:t>主体焊接工艺</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全自动焊接机器人焊接保证焊缝质量；氩气保护，自动控制无过烧现象。能有效消除不锈钢晶体间腐蚀倾向，极大地延长使用寿命。</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bCs/>
                <w:color w:val="FF0000"/>
                <w:szCs w:val="21"/>
              </w:rPr>
            </w:pPr>
            <w:r>
              <w:rPr>
                <w:rFonts w:hint="eastAsia" w:ascii="宋体" w:hAnsi="宋体" w:cs="宋体"/>
                <w:bCs/>
                <w:szCs w:val="21"/>
              </w:rPr>
              <w:t>主体、内壳、门板材质</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内壳SUS304 不锈钢≥5mm，夹套SUS304 不锈钢，≥6mm；门板SUS304不锈钢</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主控制系统</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PLC控制并且前端配有彩色触摸屏人机操作界面，灭菌程序的压力、温度、时间等参数可根据需要自行设定，灭菌过程中参数保存在电脑中，可以随时查看过程参数，可以打印报表和趋势。</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操作界面</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配有 7.6 吋以上的彩色触摸屏人机操作界面； 中文操作界面 可显示所有过程参数</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控制功能</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szCs w:val="21"/>
              </w:rPr>
              <w:t>控制系统配备有一套完整的自测及校正程序，可以实现不同海拔高度下、不同地区的压力、温度等参数的校正；还具有多级控制保护、帮助功能。</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记录方式</w:t>
            </w:r>
          </w:p>
        </w:tc>
        <w:tc>
          <w:tcPr>
            <w:tcW w:w="6214" w:type="dxa"/>
          </w:tcPr>
          <w:p>
            <w:pPr>
              <w:tabs>
                <w:tab w:val="left" w:pos="3360"/>
              </w:tabs>
              <w:spacing w:line="360" w:lineRule="auto"/>
              <w:rPr>
                <w:rFonts w:ascii="宋体" w:hAnsi="宋体" w:cs="宋体"/>
                <w:szCs w:val="21"/>
              </w:rPr>
            </w:pPr>
            <w:r>
              <w:rPr>
                <w:rFonts w:hint="eastAsia" w:ascii="宋体" w:hAnsi="宋体" w:cs="宋体"/>
                <w:szCs w:val="21"/>
              </w:rPr>
              <w:t>灭菌过程的温度、压力、时间、过程阶段、预置参数等均在触摸屏上自动显示，通过监控电脑将程序运行中参数可以永久保存在电脑中。</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信息接口</w:t>
            </w:r>
          </w:p>
        </w:tc>
        <w:tc>
          <w:tcPr>
            <w:tcW w:w="6214" w:type="dxa"/>
          </w:tcPr>
          <w:p>
            <w:pPr>
              <w:tabs>
                <w:tab w:val="left" w:pos="3360"/>
              </w:tabs>
              <w:spacing w:line="360" w:lineRule="auto"/>
              <w:ind w:right="-113" w:rightChars="-54"/>
              <w:rPr>
                <w:rFonts w:ascii="宋体" w:hAnsi="宋体" w:cs="宋体"/>
                <w:color w:val="000000"/>
                <w:szCs w:val="21"/>
              </w:rPr>
            </w:pPr>
            <w:r>
              <w:rPr>
                <w:rFonts w:hint="eastAsia" w:ascii="宋体" w:hAnsi="宋体" w:cs="宋体"/>
                <w:color w:val="000000"/>
                <w:szCs w:val="21"/>
              </w:rPr>
              <w:t>必须与信息管理与质量追溯系统电脑进行连接，自动传输数据给信息管理与质量追溯系统；与医院HIS系统兼容，并开放端口。</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条码扫描功能</w:t>
            </w:r>
          </w:p>
        </w:tc>
        <w:tc>
          <w:tcPr>
            <w:tcW w:w="6214" w:type="dxa"/>
          </w:tcPr>
          <w:p>
            <w:pPr>
              <w:tabs>
                <w:tab w:val="left" w:pos="3360"/>
              </w:tabs>
              <w:spacing w:line="360" w:lineRule="auto"/>
              <w:ind w:right="-113" w:rightChars="-54"/>
              <w:rPr>
                <w:rFonts w:ascii="宋体" w:hAnsi="宋体" w:cs="宋体"/>
                <w:szCs w:val="21"/>
              </w:rPr>
            </w:pPr>
            <w:r>
              <w:rPr>
                <w:rFonts w:hint="eastAsia" w:ascii="宋体" w:hAnsi="宋体" w:cs="宋体"/>
                <w:szCs w:val="21"/>
              </w:rPr>
              <w:t>必须具备此项功能；2把/台前端扫描仪可通过扫描包裹上面的条形码记录包裹进入灭菌器的过程；后端扫描仪可确认并记录灭菌的情况，如灭菌失败信息等；</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管路系统</w:t>
            </w:r>
          </w:p>
        </w:tc>
        <w:tc>
          <w:tcPr>
            <w:tcW w:w="6214" w:type="dxa"/>
          </w:tcPr>
          <w:p>
            <w:pPr>
              <w:tabs>
                <w:tab w:val="left" w:pos="3360"/>
              </w:tabs>
              <w:spacing w:line="360" w:lineRule="auto"/>
              <w:rPr>
                <w:rFonts w:ascii="宋体" w:hAnsi="宋体" w:cs="宋体"/>
                <w:szCs w:val="21"/>
              </w:rPr>
            </w:pPr>
            <w:r>
              <w:rPr>
                <w:rFonts w:hint="eastAsia" w:ascii="宋体" w:hAnsi="宋体" w:cs="宋体"/>
                <w:szCs w:val="21"/>
              </w:rPr>
              <w:t>不锈钢卫生级管路，卡箍链接；节能带有降噪系统和水循环利用系统；</w:t>
            </w:r>
          </w:p>
          <w:p>
            <w:pPr>
              <w:tabs>
                <w:tab w:val="left" w:pos="3360"/>
              </w:tabs>
              <w:spacing w:line="360" w:lineRule="auto"/>
              <w:rPr>
                <w:rFonts w:ascii="宋体" w:hAnsi="宋体" w:cs="宋体"/>
                <w:szCs w:val="21"/>
              </w:rPr>
            </w:pPr>
            <w:r>
              <w:rPr>
                <w:rFonts w:hint="eastAsia" w:ascii="宋体" w:hAnsi="宋体" w:cs="宋体"/>
                <w:szCs w:val="21"/>
              </w:rPr>
              <w:t>换热器采用进口板式换热器；</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szCs w:val="21"/>
              </w:rPr>
            </w:pPr>
            <w:r>
              <w:rPr>
                <w:rFonts w:hint="eastAsia" w:ascii="宋体" w:hAnsi="宋体" w:cs="宋体"/>
                <w:szCs w:val="21"/>
              </w:rPr>
              <w:t>程序选择</w:t>
            </w:r>
          </w:p>
        </w:tc>
        <w:tc>
          <w:tcPr>
            <w:tcW w:w="6214" w:type="dxa"/>
          </w:tcPr>
          <w:p>
            <w:pPr>
              <w:tabs>
                <w:tab w:val="left" w:pos="3360"/>
              </w:tabs>
              <w:spacing w:line="360" w:lineRule="auto"/>
              <w:rPr>
                <w:rFonts w:ascii="宋体" w:hAnsi="宋体" w:cs="宋体"/>
                <w:szCs w:val="21"/>
              </w:rPr>
            </w:pPr>
            <w:r>
              <w:rPr>
                <w:rFonts w:hint="eastAsia" w:ascii="宋体" w:hAnsi="宋体" w:cs="宋体"/>
                <w:szCs w:val="21"/>
              </w:rPr>
              <w:t>设备具有织物、器械、橡胶、重负载、快速、液体、自定义一、自定义二程序、BD、PCD、泄露测试、干燥程序和预热程序。。整个过程自动控制、有低温、高温报警和误操作保护。</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500" w:lineRule="exact"/>
              <w:rPr>
                <w:rFonts w:ascii="宋体" w:hAnsi="宋体" w:cs="宋体"/>
                <w:szCs w:val="21"/>
              </w:rPr>
            </w:pPr>
            <w:r>
              <w:rPr>
                <w:rFonts w:hint="eastAsia" w:ascii="宋体" w:hAnsi="宋体" w:cs="宋体"/>
                <w:szCs w:val="21"/>
              </w:rPr>
              <w:t>抽真空能力：</w:t>
            </w:r>
          </w:p>
        </w:tc>
        <w:tc>
          <w:tcPr>
            <w:tcW w:w="6214" w:type="dxa"/>
          </w:tcPr>
          <w:p>
            <w:pPr>
              <w:tabs>
                <w:tab w:val="left" w:pos="3360"/>
              </w:tabs>
              <w:spacing w:line="360" w:lineRule="auto"/>
              <w:rPr>
                <w:rFonts w:ascii="宋体" w:hAnsi="宋体" w:cs="宋体"/>
                <w:szCs w:val="21"/>
              </w:rPr>
            </w:pPr>
            <w:r>
              <w:rPr>
                <w:rFonts w:hint="eastAsia" w:ascii="宋体" w:hAnsi="宋体" w:cs="宋体"/>
                <w:szCs w:val="21"/>
              </w:rPr>
              <w:t>直联式真空泵，噪音低、稳定性好，真空泵安装在设备的侧面，与主体保持一定的间距； 真空度达到-0.095MPa</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气动阀门</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szCs w:val="21"/>
              </w:rPr>
              <w:t>角座式气动阀,气动阀保证400万次无故障运行.</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抽空装置</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szCs w:val="21"/>
              </w:rPr>
              <w:t>Nash_elmo直连式水环真空泵</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252525" w:themeColor="text1" w:themeTint="D9"/>
                <w:szCs w:val="21"/>
              </w:rPr>
            </w:pPr>
            <w:r>
              <w:rPr>
                <w:rFonts w:hint="eastAsia" w:ascii="宋体" w:hAnsi="宋体" w:cs="宋体"/>
                <w:color w:val="252525" w:themeColor="text1" w:themeTint="D9"/>
                <w:szCs w:val="21"/>
              </w:rPr>
              <w:t>灭菌物品装载</w:t>
            </w:r>
          </w:p>
        </w:tc>
        <w:tc>
          <w:tcPr>
            <w:tcW w:w="6214" w:type="dxa"/>
          </w:tcPr>
          <w:p>
            <w:pPr>
              <w:tabs>
                <w:tab w:val="left" w:pos="3360"/>
              </w:tabs>
              <w:spacing w:line="360" w:lineRule="auto"/>
              <w:rPr>
                <w:rFonts w:ascii="宋体" w:hAnsi="宋体" w:cs="宋体"/>
                <w:color w:val="252525" w:themeColor="text1" w:themeTint="D9"/>
                <w:szCs w:val="21"/>
              </w:rPr>
            </w:pPr>
            <w:r>
              <w:rPr>
                <w:rFonts w:hint="eastAsia" w:ascii="宋体" w:hAnsi="宋体" w:cs="宋体"/>
                <w:color w:val="252525" w:themeColor="text1" w:themeTint="D9"/>
                <w:szCs w:val="21"/>
              </w:rPr>
              <w:t>每台设备配置：不锈钢消毒内车1辆，外搬运车2辆</w:t>
            </w:r>
          </w:p>
        </w:tc>
        <w:tc>
          <w:tcPr>
            <w:tcW w:w="1125" w:type="dxa"/>
          </w:tcPr>
          <w:p>
            <w:pPr>
              <w:tabs>
                <w:tab w:val="left" w:pos="3360"/>
              </w:tabs>
              <w:spacing w:line="360" w:lineRule="auto"/>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ind w:firstLine="525" w:firstLineChars="250"/>
              <w:rPr>
                <w:rFonts w:ascii="宋体" w:hAnsi="宋体" w:cs="宋体"/>
                <w:color w:val="000000"/>
                <w:szCs w:val="21"/>
              </w:rPr>
            </w:pPr>
            <w:r>
              <w:rPr>
                <w:rFonts w:hint="eastAsia" w:ascii="宋体" w:hAnsi="宋体" w:cs="宋体"/>
                <w:color w:val="000000"/>
                <w:szCs w:val="21"/>
              </w:rPr>
              <w:t>功率</w:t>
            </w:r>
          </w:p>
        </w:tc>
        <w:tc>
          <w:tcPr>
            <w:tcW w:w="6214" w:type="dxa"/>
          </w:tcPr>
          <w:p>
            <w:pPr>
              <w:tabs>
                <w:tab w:val="left" w:pos="3360"/>
              </w:tabs>
              <w:spacing w:line="360" w:lineRule="auto"/>
              <w:rPr>
                <w:rFonts w:ascii="宋体" w:hAnsi="宋体" w:cs="宋体"/>
                <w:szCs w:val="21"/>
              </w:rPr>
            </w:pPr>
            <w:r>
              <w:rPr>
                <w:rFonts w:ascii="宋体" w:hAnsi="宋体" w:cs="宋体"/>
                <w:szCs w:val="21"/>
              </w:rPr>
              <w:t>46</w:t>
            </w:r>
            <w:r>
              <w:rPr>
                <w:rFonts w:hint="eastAsia" w:ascii="宋体" w:hAnsi="宋体" w:cs="宋体"/>
                <w:szCs w:val="21"/>
              </w:rPr>
              <w:t>kw</w:t>
            </w:r>
          </w:p>
        </w:tc>
        <w:tc>
          <w:tcPr>
            <w:tcW w:w="1125" w:type="dxa"/>
          </w:tcPr>
          <w:p>
            <w:pPr>
              <w:tabs>
                <w:tab w:val="left" w:pos="3360"/>
              </w:tabs>
              <w:spacing w:line="360" w:lineRule="auto"/>
              <w:jc w:val="center"/>
              <w:rPr>
                <w:rFonts w:ascii="宋体" w:hAnsi="宋体" w:cs="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重量</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约1370KG</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外型尺寸</w:t>
            </w:r>
          </w:p>
        </w:tc>
        <w:tc>
          <w:tcPr>
            <w:tcW w:w="6214"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约</w:t>
            </w:r>
            <w:r>
              <w:rPr>
                <w:rFonts w:ascii="宋体" w:hAnsi="宋体" w:cs="宋体"/>
                <w:color w:val="000000"/>
                <w:szCs w:val="21"/>
              </w:rPr>
              <w:t>1310X2070X1420</w:t>
            </w:r>
            <w:r>
              <w:rPr>
                <w:rFonts w:hint="eastAsia" w:ascii="宋体" w:hAnsi="宋体" w:cs="宋体"/>
                <w:color w:val="000000"/>
                <w:szCs w:val="21"/>
              </w:rPr>
              <w:t xml:space="preserve"> (宽×长×高（mm）</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360" w:lineRule="auto"/>
              <w:rPr>
                <w:rFonts w:ascii="宋体" w:hAnsi="宋体" w:cs="宋体"/>
                <w:color w:val="000000"/>
                <w:szCs w:val="21"/>
              </w:rPr>
            </w:pPr>
            <w:r>
              <w:rPr>
                <w:rFonts w:hint="eastAsia" w:ascii="宋体" w:hAnsi="宋体" w:cs="宋体"/>
                <w:color w:val="000000"/>
                <w:szCs w:val="21"/>
              </w:rPr>
              <w:t>内室尺寸</w:t>
            </w:r>
          </w:p>
        </w:tc>
        <w:tc>
          <w:tcPr>
            <w:tcW w:w="6214" w:type="dxa"/>
          </w:tcPr>
          <w:p>
            <w:pPr>
              <w:rPr>
                <w:rFonts w:ascii="Arial" w:hAnsi="Arial" w:cs="Arial"/>
                <w:szCs w:val="21"/>
              </w:rPr>
            </w:pPr>
            <w:r>
              <w:rPr>
                <w:rFonts w:hint="eastAsia" w:ascii="Arial" w:hAnsi="Arial" w:cs="Arial"/>
                <w:szCs w:val="21"/>
              </w:rPr>
              <w:t>约</w:t>
            </w:r>
            <w:r>
              <w:rPr>
                <w:rFonts w:ascii="Arial" w:hAnsi="Arial" w:cs="Arial"/>
                <w:szCs w:val="21"/>
              </w:rPr>
              <w:t>610X910X1180</w:t>
            </w:r>
            <w:r>
              <w:rPr>
                <w:rFonts w:hint="eastAsia" w:ascii="宋体" w:hAnsi="宋体" w:cs="宋体"/>
                <w:color w:val="000000"/>
                <w:szCs w:val="21"/>
              </w:rPr>
              <w:t xml:space="preserve"> (宽×长×高（mm）</w:t>
            </w:r>
          </w:p>
        </w:tc>
        <w:tc>
          <w:tcPr>
            <w:tcW w:w="1125" w:type="dxa"/>
          </w:tcPr>
          <w:p>
            <w:pPr>
              <w:tabs>
                <w:tab w:val="left" w:pos="3360"/>
              </w:tabs>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tabs>
                <w:tab w:val="left" w:pos="3360"/>
              </w:tabs>
              <w:spacing w:line="500" w:lineRule="exact"/>
              <w:ind w:left="0" w:leftChars="0" w:firstLine="0" w:firstLineChars="0"/>
              <w:rPr>
                <w:rFonts w:ascii="宋体" w:hAnsi="宋体" w:cs="宋体"/>
                <w:szCs w:val="21"/>
              </w:rPr>
            </w:pPr>
            <w:r>
              <w:rPr>
                <w:rFonts w:hint="eastAsia" w:ascii="宋体" w:hAnsi="宋体" w:cs="宋体"/>
                <w:color w:val="000000"/>
                <w:szCs w:val="21"/>
              </w:rPr>
              <w:t>产品资质要求：</w:t>
            </w:r>
          </w:p>
        </w:tc>
        <w:tc>
          <w:tcPr>
            <w:tcW w:w="6214" w:type="dxa"/>
          </w:tcPr>
          <w:p>
            <w:pPr>
              <w:tabs>
                <w:tab w:val="left" w:pos="3360"/>
              </w:tabs>
              <w:spacing w:line="440" w:lineRule="exact"/>
              <w:ind w:left="-103"/>
              <w:rPr>
                <w:rFonts w:ascii="宋体" w:hAnsi="宋体" w:cs="宋体"/>
                <w:szCs w:val="21"/>
              </w:rPr>
            </w:pPr>
            <w:r>
              <w:rPr>
                <w:rFonts w:hint="eastAsia" w:ascii="宋体" w:hAnsi="宋体" w:cs="宋体"/>
                <w:color w:val="000000" w:themeColor="text1"/>
                <w:szCs w:val="21"/>
              </w:rPr>
              <w:t>提供</w:t>
            </w:r>
            <w:r>
              <w:rPr>
                <w:rFonts w:hint="eastAsia" w:ascii="宋体" w:hAnsi="宋体" w:cs="宋体"/>
                <w:color w:val="000000" w:themeColor="text1"/>
                <w:szCs w:val="21"/>
                <w:lang w:eastAsia="zh-CN"/>
              </w:rPr>
              <w:t>相关卫生部门出具</w:t>
            </w:r>
            <w:r>
              <w:rPr>
                <w:rFonts w:hint="eastAsia" w:ascii="宋体" w:hAnsi="宋体" w:cs="宋体"/>
                <w:color w:val="000000" w:themeColor="text1"/>
                <w:szCs w:val="21"/>
              </w:rPr>
              <w:t>卫生安全评价报告、</w:t>
            </w:r>
            <w:r>
              <w:rPr>
                <w:rFonts w:hint="eastAsia" w:ascii="宋体" w:hAnsi="宋体" w:cs="宋体"/>
                <w:szCs w:val="21"/>
              </w:rPr>
              <w:t>灭菌效果检测报告、电气安全性能检测报告、门安全连锁装置证书、压力容器制造许可证、压力容器设计许可证 、电磁兼容检测报告。提供设备医疗器械注册证证件</w:t>
            </w:r>
          </w:p>
        </w:tc>
        <w:tc>
          <w:tcPr>
            <w:tcW w:w="1125" w:type="dxa"/>
          </w:tcPr>
          <w:p>
            <w:pPr>
              <w:tabs>
                <w:tab w:val="left" w:pos="3360"/>
              </w:tabs>
              <w:spacing w:line="50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widowControl/>
              <w:ind w:left="0" w:leftChars="0" w:firstLine="0" w:firstLineChars="0"/>
              <w:rPr>
                <w:rFonts w:ascii="宋体" w:hAnsi="宋体" w:cs="宋体"/>
                <w:szCs w:val="21"/>
              </w:rPr>
            </w:pPr>
            <w:r>
              <w:rPr>
                <w:rFonts w:hint="eastAsia" w:ascii="宋体" w:hAnsi="宋体" w:cs="宋体"/>
                <w:szCs w:val="21"/>
              </w:rPr>
              <w:t>厂家认证要求：</w:t>
            </w:r>
          </w:p>
        </w:tc>
        <w:tc>
          <w:tcPr>
            <w:tcW w:w="6214" w:type="dxa"/>
            <w:vAlign w:val="center"/>
          </w:tcPr>
          <w:p>
            <w:pPr>
              <w:tabs>
                <w:tab w:val="left" w:pos="3360"/>
              </w:tabs>
              <w:spacing w:line="440" w:lineRule="exact"/>
              <w:ind w:left="-103"/>
              <w:rPr>
                <w:rFonts w:ascii="宋体" w:hAnsi="宋体" w:cs="宋体"/>
                <w:szCs w:val="21"/>
              </w:rPr>
            </w:pPr>
            <w:r>
              <w:rPr>
                <w:rFonts w:hint="eastAsia" w:ascii="宋体" w:hAnsi="宋体" w:cs="宋体"/>
                <w:szCs w:val="21"/>
              </w:rPr>
              <w:t>专业生产清洗消毒灭菌设备厂家，通过ISO9001认证，ISO13485认证，CE认证、环境管理体系认证证书、职业健康安全管理体系认证证书</w:t>
            </w:r>
          </w:p>
        </w:tc>
        <w:tc>
          <w:tcPr>
            <w:tcW w:w="1125" w:type="dxa"/>
          </w:tcPr>
          <w:p>
            <w:pPr>
              <w:tabs>
                <w:tab w:val="left" w:pos="3360"/>
              </w:tabs>
              <w:spacing w:line="50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tcPr>
          <w:p>
            <w:pPr>
              <w:widowControl/>
              <w:rPr>
                <w:rFonts w:ascii="宋体" w:hAnsi="宋体" w:cs="宋体"/>
                <w:szCs w:val="21"/>
              </w:rPr>
            </w:pPr>
            <w:r>
              <w:rPr>
                <w:rFonts w:hint="eastAsia" w:ascii="宋体" w:hAnsi="宋体" w:cs="宋体"/>
                <w:szCs w:val="21"/>
              </w:rPr>
              <w:t>售后服务</w:t>
            </w:r>
          </w:p>
        </w:tc>
        <w:tc>
          <w:tcPr>
            <w:tcW w:w="6214" w:type="dxa"/>
          </w:tcPr>
          <w:p>
            <w:pPr>
              <w:widowControl/>
              <w:rPr>
                <w:rFonts w:ascii="宋体" w:hAnsi="宋体" w:cs="宋体"/>
                <w:szCs w:val="21"/>
              </w:rPr>
            </w:pPr>
            <w:r>
              <w:rPr>
                <w:rFonts w:hint="eastAsia" w:ascii="宋体" w:hAnsi="宋体" w:cs="宋体"/>
                <w:szCs w:val="21"/>
              </w:rPr>
              <w:t>省内有办事处（提供机构证明材料），客服工程师数量≥12名，提供客服工程师姓名和联系方式，设备免费保修1年。</w:t>
            </w:r>
          </w:p>
        </w:tc>
        <w:tc>
          <w:tcPr>
            <w:tcW w:w="1125" w:type="dxa"/>
          </w:tcPr>
          <w:p>
            <w:pPr>
              <w:tabs>
                <w:tab w:val="left" w:pos="3360"/>
              </w:tabs>
              <w:spacing w:line="500" w:lineRule="exact"/>
              <w:rPr>
                <w:rFonts w:ascii="宋体" w:hAnsi="宋体" w:cs="宋体"/>
                <w:szCs w:val="21"/>
              </w:rPr>
            </w:pPr>
          </w:p>
        </w:tc>
      </w:tr>
    </w:tbl>
    <w:p>
      <w:pPr>
        <w:spacing w:line="720" w:lineRule="auto"/>
        <w:ind w:firstLine="0" w:firstLineChars="0"/>
        <w:jc w:val="left"/>
        <w:rPr>
          <w:rFonts w:hint="eastAsia" w:ascii="宋体" w:hAnsi="宋体" w:cs="宋体"/>
          <w:b/>
          <w:sz w:val="24"/>
          <w:szCs w:val="24"/>
        </w:rPr>
      </w:pPr>
      <w:r>
        <w:rPr>
          <w:rFonts w:hint="eastAsia" w:ascii="宋体" w:hAnsi="宋体" w:cs="宋体"/>
          <w:b/>
          <w:sz w:val="24"/>
          <w:szCs w:val="24"/>
        </w:rPr>
        <w:t>二、可视软性喉镜技术参数</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整机参数</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分辨率: ≥</w:t>
      </w:r>
      <w:r>
        <w:rPr>
          <w:rFonts w:hint="eastAsia" w:ascii="宋体" w:hAnsi="宋体"/>
          <w:sz w:val="24"/>
        </w:rPr>
        <w:t>9.9</w:t>
      </w:r>
      <w:r>
        <w:rPr>
          <w:rFonts w:ascii="宋体" w:hAnsi="宋体"/>
          <w:sz w:val="24"/>
        </w:rPr>
        <w:t>2</w:t>
      </w:r>
      <w:r>
        <w:rPr>
          <w:rFonts w:hint="eastAsia" w:ascii="宋体" w:hAnsi="宋体"/>
          <w:sz w:val="24"/>
        </w:rPr>
        <w:t xml:space="preserve"> </w:t>
      </w:r>
      <w:r>
        <w:rPr>
          <w:rFonts w:ascii="宋体" w:hAnsi="宋体"/>
          <w:sz w:val="24"/>
        </w:rPr>
        <w:t>LP/mm</w:t>
      </w:r>
    </w:p>
    <w:p>
      <w:pPr>
        <w:spacing w:line="360" w:lineRule="auto"/>
        <w:ind w:firstLine="720" w:firstLineChars="300"/>
        <w:rPr>
          <w:rFonts w:ascii="宋体" w:hAnsi="宋体"/>
          <w:sz w:val="24"/>
        </w:rPr>
      </w:pPr>
      <w:r>
        <w:rPr>
          <w:rFonts w:hint="eastAsia" w:ascii="宋体" w:hAnsi="宋体"/>
          <w:sz w:val="24"/>
        </w:rPr>
        <w:t>1.2</w:t>
      </w:r>
      <w:r>
        <w:rPr>
          <w:rFonts w:ascii="宋体" w:hAnsi="宋体"/>
          <w:sz w:val="24"/>
        </w:rPr>
        <w:t>液晶屏像素：</w:t>
      </w:r>
      <w:r>
        <w:rPr>
          <w:rFonts w:hint="eastAsia" w:ascii="宋体" w:hAnsi="宋体"/>
          <w:sz w:val="24"/>
        </w:rPr>
        <w:t>640*480</w:t>
      </w:r>
    </w:p>
    <w:p>
      <w:pPr>
        <w:spacing w:line="360" w:lineRule="auto"/>
        <w:ind w:firstLine="720" w:firstLineChars="300"/>
        <w:rPr>
          <w:rFonts w:ascii="宋体" w:hAnsi="宋体"/>
          <w:sz w:val="24"/>
        </w:rPr>
      </w:pPr>
      <w:r>
        <w:rPr>
          <w:rFonts w:hint="eastAsia" w:ascii="宋体" w:hAnsi="宋体"/>
          <w:sz w:val="24"/>
        </w:rPr>
        <w:t>1.3</w:t>
      </w:r>
      <w:r>
        <w:rPr>
          <w:rFonts w:ascii="宋体" w:hAnsi="宋体"/>
          <w:sz w:val="24"/>
        </w:rPr>
        <w:t>视场角:</w:t>
      </w:r>
      <w:r>
        <w:rPr>
          <w:rFonts w:hint="eastAsia" w:ascii="宋体" w:hAnsi="宋体"/>
          <w:sz w:val="24"/>
        </w:rPr>
        <w:t>90</w:t>
      </w:r>
      <w:r>
        <w:rPr>
          <w:rFonts w:ascii="宋体" w:hAnsi="宋体"/>
          <w:sz w:val="24"/>
        </w:rPr>
        <w:t>º±</w:t>
      </w:r>
      <w:r>
        <w:rPr>
          <w:rFonts w:hint="eastAsia" w:ascii="宋体" w:hAnsi="宋体"/>
          <w:sz w:val="24"/>
        </w:rPr>
        <w:t>10</w:t>
      </w:r>
      <w:r>
        <w:rPr>
          <w:rFonts w:ascii="宋体" w:hAnsi="宋体"/>
          <w:sz w:val="24"/>
        </w:rPr>
        <w:t>º</w:t>
      </w:r>
    </w:p>
    <w:p>
      <w:pPr>
        <w:spacing w:line="360" w:lineRule="auto"/>
        <w:ind w:firstLine="720" w:firstLineChars="300"/>
        <w:rPr>
          <w:rFonts w:ascii="宋体" w:hAnsi="宋体"/>
          <w:sz w:val="24"/>
        </w:rPr>
      </w:pPr>
      <w:r>
        <w:rPr>
          <w:rFonts w:hint="eastAsia" w:ascii="宋体" w:hAnsi="宋体"/>
          <w:sz w:val="24"/>
        </w:rPr>
        <w:t>1.4</w:t>
      </w:r>
      <w:r>
        <w:rPr>
          <w:rFonts w:ascii="宋体" w:hAnsi="宋体"/>
          <w:sz w:val="24"/>
        </w:rPr>
        <w:t>视向角：0度</w:t>
      </w:r>
    </w:p>
    <w:p>
      <w:pPr>
        <w:spacing w:line="360" w:lineRule="auto"/>
        <w:ind w:firstLine="720" w:firstLineChars="300"/>
        <w:rPr>
          <w:rFonts w:ascii="宋体" w:hAnsi="宋体"/>
          <w:sz w:val="24"/>
        </w:rPr>
      </w:pPr>
      <w:r>
        <w:rPr>
          <w:rFonts w:hint="eastAsia" w:ascii="宋体" w:hAnsi="宋体"/>
          <w:sz w:val="24"/>
        </w:rPr>
        <w:t>1.5</w:t>
      </w:r>
      <w:r>
        <w:rPr>
          <w:rFonts w:ascii="宋体" w:hAnsi="宋体"/>
          <w:sz w:val="24"/>
        </w:rPr>
        <w:t>镜管</w:t>
      </w:r>
      <w:r>
        <w:rPr>
          <w:rFonts w:hint="eastAsia" w:ascii="宋体" w:hAnsi="宋体"/>
          <w:sz w:val="24"/>
        </w:rPr>
        <w:t>规格：</w:t>
      </w:r>
    </w:p>
    <w:p>
      <w:pPr>
        <w:spacing w:line="360" w:lineRule="auto"/>
        <w:ind w:firstLine="700" w:firstLineChars="350"/>
        <w:rPr>
          <w:rFonts w:ascii="宋体" w:hAnsi="宋体"/>
          <w:sz w:val="24"/>
        </w:rPr>
      </w:pPr>
      <w:r>
        <w:rPr>
          <w:rFonts w:hint="eastAsia" w:ascii="宋体" w:hAnsi="宋体" w:cs="宋体"/>
          <w:color w:val="333333"/>
          <w:sz w:val="20"/>
          <w:szCs w:val="20"/>
          <w:shd w:val="clear" w:color="auto" w:fill="FFFFFF"/>
        </w:rPr>
        <w:t>①</w:t>
      </w:r>
      <w:r>
        <w:rPr>
          <w:rFonts w:ascii="宋体" w:hAnsi="宋体"/>
          <w:sz w:val="24"/>
        </w:rPr>
        <w:t>直径：</w:t>
      </w:r>
      <w:r>
        <w:rPr>
          <w:rFonts w:hint="eastAsia" w:ascii="宋体" w:hAnsi="宋体"/>
          <w:sz w:val="24"/>
        </w:rPr>
        <w:t>3</w:t>
      </w:r>
      <w:r>
        <w:rPr>
          <w:rFonts w:ascii="宋体" w:hAnsi="宋体"/>
          <w:sz w:val="24"/>
        </w:rPr>
        <w:t>.</w:t>
      </w:r>
      <w:r>
        <w:rPr>
          <w:rFonts w:hint="eastAsia" w:ascii="宋体" w:hAnsi="宋体"/>
          <w:sz w:val="24"/>
        </w:rPr>
        <w:t>8</w:t>
      </w:r>
      <w:r>
        <w:rPr>
          <w:rFonts w:ascii="宋体" w:hAnsi="宋体"/>
          <w:sz w:val="24"/>
        </w:rPr>
        <w:t>mm</w:t>
      </w:r>
      <w:r>
        <w:rPr>
          <w:rFonts w:hint="eastAsia" w:ascii="宋体" w:hAnsi="宋体"/>
          <w:sz w:val="24"/>
        </w:rPr>
        <w:t xml:space="preserve">   （不带吸痰和活检，只有给药功能）（可选）</w:t>
      </w:r>
    </w:p>
    <w:p>
      <w:pPr>
        <w:spacing w:line="480" w:lineRule="exact"/>
        <w:rPr>
          <w:rFonts w:ascii="宋体" w:hAnsi="宋体"/>
          <w:sz w:val="24"/>
        </w:rPr>
      </w:pPr>
      <w:r>
        <w:rPr>
          <w:rFonts w:hint="eastAsia" w:ascii="宋体" w:hAnsi="宋体"/>
          <w:sz w:val="24"/>
        </w:rPr>
        <w:t xml:space="preserve">  </w:t>
      </w:r>
      <w:r>
        <w:rPr>
          <w:rFonts w:hint="eastAsia" w:ascii="宋体" w:hAnsi="宋体" w:cs="宋体"/>
          <w:color w:val="333333"/>
          <w:sz w:val="20"/>
          <w:szCs w:val="20"/>
          <w:shd w:val="clear" w:color="auto" w:fill="FFFFFF"/>
        </w:rPr>
        <w:t>②</w:t>
      </w:r>
      <w:r>
        <w:rPr>
          <w:rFonts w:ascii="宋体" w:hAnsi="宋体"/>
          <w:sz w:val="24"/>
        </w:rPr>
        <w:t>直径：</w:t>
      </w:r>
      <w:r>
        <w:rPr>
          <w:rFonts w:hint="eastAsia" w:ascii="宋体" w:hAnsi="宋体"/>
          <w:sz w:val="24"/>
        </w:rPr>
        <w:t>4.8mm     吸引活检通道：1.5mm（带有吸痰功能）（可选）</w:t>
      </w:r>
    </w:p>
    <w:p>
      <w:pPr>
        <w:spacing w:line="480" w:lineRule="exact"/>
        <w:ind w:firstLine="700" w:firstLineChars="350"/>
        <w:rPr>
          <w:rFonts w:asciiTheme="minorEastAsia" w:hAnsiTheme="minorEastAsia"/>
          <w:sz w:val="28"/>
          <w:szCs w:val="28"/>
        </w:rPr>
      </w:pPr>
      <w:r>
        <w:rPr>
          <w:rFonts w:hint="eastAsia" w:ascii="宋体" w:hAnsi="宋体" w:cs="宋体"/>
          <w:color w:val="333333"/>
          <w:sz w:val="20"/>
          <w:szCs w:val="20"/>
          <w:shd w:val="clear" w:color="auto" w:fill="FFFFFF"/>
        </w:rPr>
        <w:t>③</w:t>
      </w:r>
      <w:r>
        <w:rPr>
          <w:rFonts w:ascii="宋体" w:hAnsi="宋体"/>
          <w:sz w:val="24"/>
        </w:rPr>
        <w:t>直径：</w:t>
      </w:r>
      <w:r>
        <w:rPr>
          <w:rFonts w:hint="eastAsia" w:ascii="宋体" w:hAnsi="宋体"/>
          <w:sz w:val="24"/>
        </w:rPr>
        <w:t>5.8mm     吸引活检通道：2.4mm（带有吸痰功能）（可选）</w:t>
      </w:r>
    </w:p>
    <w:p>
      <w:pPr>
        <w:spacing w:line="360" w:lineRule="auto"/>
        <w:ind w:firstLine="465"/>
        <w:rPr>
          <w:sz w:val="24"/>
        </w:rPr>
      </w:pPr>
      <w:r>
        <w:rPr>
          <w:rFonts w:hint="eastAsia" w:ascii="宋体" w:hAnsi="宋体"/>
          <w:sz w:val="24"/>
        </w:rPr>
        <w:t>★</w:t>
      </w:r>
      <w:r>
        <w:rPr>
          <w:rFonts w:hint="eastAsia" w:ascii="宋体" w:hAnsi="宋体" w:cs="宋体"/>
          <w:color w:val="333333"/>
          <w:sz w:val="20"/>
          <w:szCs w:val="20"/>
          <w:shd w:val="clear" w:color="auto" w:fill="FFFFFF"/>
        </w:rPr>
        <w:t>④</w:t>
      </w:r>
      <w:r>
        <w:rPr>
          <w:rFonts w:hint="eastAsia"/>
          <w:sz w:val="24"/>
        </w:rPr>
        <w:t>软管特殊工艺，抗折、抗弯曲（不可对折），</w:t>
      </w:r>
      <w:r>
        <w:rPr>
          <w:rFonts w:hint="eastAsia" w:asciiTheme="minorEastAsia" w:hAnsiTheme="minorEastAsia"/>
          <w:sz w:val="24"/>
        </w:rPr>
        <w:t xml:space="preserve">弯曲部弯角范围：向上弯曲大于等于150度，向下弯曲大于等于90度  </w:t>
      </w:r>
    </w:p>
    <w:p>
      <w:pPr>
        <w:spacing w:line="360" w:lineRule="auto"/>
        <w:ind w:firstLine="480" w:firstLineChars="200"/>
        <w:rPr>
          <w:rFonts w:ascii="宋体" w:hAnsi="宋体"/>
          <w:sz w:val="24"/>
        </w:rPr>
      </w:pPr>
      <w:r>
        <w:rPr>
          <w:rFonts w:hint="eastAsia" w:ascii="宋体" w:hAnsi="宋体"/>
          <w:sz w:val="24"/>
        </w:rPr>
        <w:t>★1.6特有注液孔，能直接注射药物，注液孔直径Φ1.5mm</w:t>
      </w:r>
    </w:p>
    <w:p>
      <w:pPr>
        <w:spacing w:line="360" w:lineRule="auto"/>
        <w:ind w:firstLine="720" w:firstLineChars="300"/>
        <w:rPr>
          <w:rFonts w:ascii="宋体" w:hAnsi="宋体"/>
          <w:sz w:val="24"/>
        </w:rPr>
      </w:pPr>
      <w:r>
        <w:rPr>
          <w:rFonts w:hint="eastAsia" w:ascii="宋体" w:hAnsi="宋体"/>
          <w:sz w:val="24"/>
        </w:rPr>
        <w:t>1.7</w:t>
      </w:r>
      <w:r>
        <w:rPr>
          <w:rFonts w:ascii="宋体" w:hAnsi="宋体"/>
          <w:sz w:val="24"/>
        </w:rPr>
        <w:t>管径长度：600mm</w:t>
      </w:r>
      <w:r>
        <w:rPr>
          <w:rFonts w:hint="eastAsia" w:ascii="宋体" w:hAnsi="宋体"/>
          <w:sz w:val="24"/>
        </w:rPr>
        <w:t>±25</w:t>
      </w:r>
    </w:p>
    <w:p>
      <w:pPr>
        <w:spacing w:line="360" w:lineRule="auto"/>
        <w:ind w:firstLine="720" w:firstLineChars="300"/>
        <w:rPr>
          <w:rFonts w:ascii="宋体" w:hAnsi="宋体"/>
          <w:sz w:val="24"/>
        </w:rPr>
      </w:pPr>
      <w:r>
        <w:rPr>
          <w:rFonts w:hint="eastAsia" w:ascii="宋体" w:hAnsi="宋体"/>
          <w:sz w:val="24"/>
        </w:rPr>
        <w:t>1.8</w:t>
      </w:r>
      <w:r>
        <w:rPr>
          <w:rFonts w:ascii="宋体" w:hAnsi="宋体"/>
          <w:sz w:val="24"/>
        </w:rPr>
        <w:t>弯曲角度：向上≥</w:t>
      </w:r>
      <w:r>
        <w:rPr>
          <w:rFonts w:hint="eastAsia" w:ascii="宋体" w:hAnsi="宋体"/>
          <w:sz w:val="24"/>
        </w:rPr>
        <w:t>15</w:t>
      </w:r>
      <w:r>
        <w:rPr>
          <w:rFonts w:ascii="宋体" w:hAnsi="宋体"/>
          <w:sz w:val="24"/>
        </w:rPr>
        <w:t>0°，向下≥90°</w:t>
      </w:r>
    </w:p>
    <w:p>
      <w:pPr>
        <w:spacing w:line="360" w:lineRule="auto"/>
        <w:ind w:firstLine="480" w:firstLineChars="200"/>
        <w:rPr>
          <w:rFonts w:ascii="宋体" w:hAnsi="宋体"/>
          <w:sz w:val="24"/>
        </w:rPr>
      </w:pPr>
      <w:r>
        <w:rPr>
          <w:rFonts w:hint="eastAsia" w:ascii="宋体" w:hAnsi="宋体"/>
          <w:sz w:val="24"/>
        </w:rPr>
        <w:t>★1.9</w:t>
      </w:r>
      <w:r>
        <w:rPr>
          <w:rFonts w:ascii="宋体" w:hAnsi="宋体"/>
          <w:sz w:val="24"/>
        </w:rPr>
        <w:t>景深：</w:t>
      </w:r>
      <w:r>
        <w:rPr>
          <w:rFonts w:hint="eastAsia" w:ascii="宋体" w:hAnsi="宋体"/>
          <w:sz w:val="24"/>
        </w:rPr>
        <w:t>3</w:t>
      </w:r>
      <w:r>
        <w:rPr>
          <w:rFonts w:ascii="宋体" w:hAnsi="宋体"/>
          <w:sz w:val="24"/>
        </w:rPr>
        <w:t>～</w:t>
      </w:r>
      <w:r>
        <w:rPr>
          <w:rFonts w:hint="eastAsia" w:ascii="宋体" w:hAnsi="宋体"/>
          <w:sz w:val="24"/>
        </w:rPr>
        <w:t>5</w:t>
      </w:r>
      <w:r>
        <w:rPr>
          <w:rFonts w:ascii="宋体" w:hAnsi="宋体"/>
          <w:sz w:val="24"/>
        </w:rPr>
        <w:t>0mm</w:t>
      </w:r>
    </w:p>
    <w:p>
      <w:pPr>
        <w:spacing w:line="360" w:lineRule="auto"/>
        <w:ind w:firstLine="480" w:firstLineChars="200"/>
        <w:rPr>
          <w:rFonts w:ascii="宋体" w:hAnsi="宋体"/>
          <w:sz w:val="24"/>
        </w:rPr>
      </w:pPr>
      <w:r>
        <w:rPr>
          <w:rFonts w:hint="eastAsia" w:ascii="宋体" w:hAnsi="宋体"/>
          <w:sz w:val="24"/>
        </w:rPr>
        <w:t>★1.10</w:t>
      </w:r>
      <w:r>
        <w:rPr>
          <w:rFonts w:ascii="宋体" w:hAnsi="宋体"/>
          <w:sz w:val="24"/>
        </w:rPr>
        <w:t>显示屏：3.</w:t>
      </w:r>
      <w:r>
        <w:rPr>
          <w:rFonts w:hint="eastAsia" w:ascii="宋体" w:hAnsi="宋体"/>
          <w:sz w:val="24"/>
        </w:rPr>
        <w:t>5</w:t>
      </w:r>
      <w:r>
        <w:rPr>
          <w:rFonts w:ascii="宋体" w:hAnsi="宋体"/>
          <w:sz w:val="24"/>
        </w:rPr>
        <w:t>″</w:t>
      </w:r>
      <w:r>
        <w:rPr>
          <w:rFonts w:hint="eastAsia" w:ascii="宋体" w:hAnsi="宋体"/>
          <w:sz w:val="24"/>
        </w:rPr>
        <w:t>进口</w:t>
      </w:r>
      <w:r>
        <w:rPr>
          <w:rFonts w:ascii="宋体" w:hAnsi="宋体"/>
          <w:sz w:val="24"/>
        </w:rPr>
        <w:t>TFT屏</w:t>
      </w:r>
      <w:r>
        <w:rPr>
          <w:rFonts w:hint="eastAsia" w:ascii="宋体" w:hAnsi="宋体"/>
          <w:sz w:val="24"/>
        </w:rPr>
        <w:t>，</w:t>
      </w:r>
      <w:r>
        <w:rPr>
          <w:rFonts w:hint="eastAsia" w:asciiTheme="minorEastAsia" w:hAnsiTheme="minorEastAsia"/>
          <w:sz w:val="24"/>
        </w:rPr>
        <w:t>操作手柄和显示屏外框全部采用轻质铝镁合金。</w:t>
      </w:r>
    </w:p>
    <w:p>
      <w:pPr>
        <w:spacing w:line="360" w:lineRule="auto"/>
        <w:ind w:firstLine="480" w:firstLineChars="200"/>
        <w:rPr>
          <w:rFonts w:ascii="宋体" w:hAnsi="宋体"/>
          <w:sz w:val="24"/>
        </w:rPr>
      </w:pPr>
      <w:r>
        <w:rPr>
          <w:rFonts w:hint="eastAsia" w:ascii="宋体" w:hAnsi="宋体"/>
          <w:sz w:val="24"/>
        </w:rPr>
        <w:t>★1.11</w:t>
      </w:r>
      <w:r>
        <w:rPr>
          <w:rFonts w:ascii="宋体" w:hAnsi="宋体"/>
          <w:sz w:val="24"/>
        </w:rPr>
        <w:t>显示屏转动角度：左右0º～</w:t>
      </w:r>
      <w:r>
        <w:rPr>
          <w:rFonts w:hint="eastAsia" w:ascii="宋体" w:hAnsi="宋体"/>
          <w:sz w:val="24"/>
        </w:rPr>
        <w:t>360</w:t>
      </w:r>
      <w:r>
        <w:rPr>
          <w:rFonts w:ascii="宋体" w:hAnsi="宋体"/>
          <w:sz w:val="24"/>
        </w:rPr>
        <w:t>º，上下：0º～</w:t>
      </w:r>
      <w:r>
        <w:rPr>
          <w:rFonts w:hint="eastAsia" w:ascii="宋体" w:hAnsi="宋体"/>
          <w:sz w:val="24"/>
        </w:rPr>
        <w:t>18</w:t>
      </w:r>
      <w:r>
        <w:rPr>
          <w:rFonts w:ascii="宋体" w:hAnsi="宋体"/>
          <w:sz w:val="24"/>
        </w:rPr>
        <w:t>0º</w:t>
      </w:r>
    </w:p>
    <w:p>
      <w:pPr>
        <w:spacing w:line="360" w:lineRule="auto"/>
        <w:ind w:firstLine="720" w:firstLineChars="300"/>
        <w:rPr>
          <w:rFonts w:ascii="宋体" w:hAnsi="宋体"/>
          <w:sz w:val="24"/>
        </w:rPr>
      </w:pPr>
      <w:r>
        <w:rPr>
          <w:rFonts w:hint="eastAsia" w:ascii="宋体" w:hAnsi="宋体"/>
          <w:sz w:val="24"/>
        </w:rPr>
        <w:t>1.12</w:t>
      </w:r>
      <w:r>
        <w:rPr>
          <w:rFonts w:ascii="宋体" w:hAnsi="宋体"/>
          <w:sz w:val="24"/>
        </w:rPr>
        <w:t>记忆功能：支持摄像、拍照、存储功能。</w:t>
      </w:r>
    </w:p>
    <w:p>
      <w:pPr>
        <w:spacing w:line="360" w:lineRule="auto"/>
        <w:ind w:firstLine="480" w:firstLineChars="200"/>
        <w:rPr>
          <w:rFonts w:ascii="宋体" w:hAnsi="宋体"/>
          <w:sz w:val="24"/>
        </w:rPr>
      </w:pPr>
      <w:r>
        <w:rPr>
          <w:rFonts w:hint="eastAsia" w:ascii="宋体" w:hAnsi="宋体"/>
          <w:sz w:val="24"/>
        </w:rPr>
        <w:t xml:space="preserve">★1.13 </w:t>
      </w:r>
      <w:r>
        <w:rPr>
          <w:rFonts w:ascii="宋体" w:hAnsi="宋体"/>
          <w:sz w:val="24"/>
        </w:rPr>
        <w:t>TF卡内存：</w:t>
      </w:r>
      <w:r>
        <w:rPr>
          <w:rFonts w:hint="eastAsia" w:ascii="宋体" w:hAnsi="宋体"/>
          <w:sz w:val="24"/>
        </w:rPr>
        <w:t>16</w:t>
      </w:r>
      <w:r>
        <w:rPr>
          <w:rFonts w:ascii="宋体" w:hAnsi="宋体"/>
          <w:sz w:val="24"/>
        </w:rPr>
        <w:t>G，最大支持32G内存卡</w:t>
      </w:r>
      <w:r>
        <w:rPr>
          <w:rFonts w:hint="eastAsia" w:ascii="宋体" w:hAnsi="宋体"/>
          <w:sz w:val="24"/>
        </w:rPr>
        <w:t>，可存储照片数量＞10万张或可存储录像时长4小时</w:t>
      </w:r>
    </w:p>
    <w:p>
      <w:pPr>
        <w:spacing w:line="360" w:lineRule="auto"/>
        <w:rPr>
          <w:rFonts w:ascii="宋体" w:hAnsi="宋体"/>
          <w:sz w:val="24"/>
        </w:rPr>
      </w:pPr>
      <w:r>
        <w:rPr>
          <w:rFonts w:hint="eastAsia" w:ascii="宋体" w:hAnsi="宋体"/>
          <w:sz w:val="24"/>
        </w:rPr>
        <w:t xml:space="preserve">  1.14</w:t>
      </w:r>
      <w:r>
        <w:rPr>
          <w:rFonts w:ascii="宋体" w:hAnsi="宋体"/>
          <w:sz w:val="24"/>
        </w:rPr>
        <w:t>光照度</w:t>
      </w:r>
      <w:r>
        <w:rPr>
          <w:rFonts w:hint="eastAsia" w:ascii="宋体" w:hAnsi="宋体"/>
          <w:sz w:val="24"/>
        </w:rPr>
        <w:t>：</w:t>
      </w:r>
      <w:r>
        <w:rPr>
          <w:rFonts w:ascii="宋体" w:hAnsi="宋体"/>
          <w:sz w:val="24"/>
        </w:rPr>
        <w:t>≥</w:t>
      </w:r>
      <w:r>
        <w:rPr>
          <w:rFonts w:hint="eastAsia" w:ascii="宋体" w:hAnsi="宋体"/>
          <w:sz w:val="24"/>
        </w:rPr>
        <w:t>800Lux</w:t>
      </w:r>
    </w:p>
    <w:p>
      <w:pPr>
        <w:spacing w:line="360" w:lineRule="auto"/>
        <w:ind w:firstLine="480" w:firstLineChars="200"/>
        <w:rPr>
          <w:rFonts w:ascii="宋体" w:hAnsi="宋体"/>
          <w:sz w:val="24"/>
        </w:rPr>
      </w:pPr>
      <w:r>
        <w:rPr>
          <w:rFonts w:hint="eastAsia" w:ascii="宋体" w:hAnsi="宋体"/>
          <w:sz w:val="24"/>
        </w:rPr>
        <w:t>★1.15</w:t>
      </w:r>
      <w:r>
        <w:rPr>
          <w:rFonts w:ascii="宋体" w:hAnsi="宋体"/>
          <w:sz w:val="24"/>
        </w:rPr>
        <w:t>成像原理:数字化电子成像</w:t>
      </w:r>
      <w:r>
        <w:rPr>
          <w:rFonts w:hint="eastAsia" w:ascii="宋体" w:hAnsi="宋体"/>
          <w:sz w:val="24"/>
        </w:rPr>
        <w:t>,支持有线视频输出。</w:t>
      </w:r>
    </w:p>
    <w:p>
      <w:pPr>
        <w:spacing w:line="360" w:lineRule="auto"/>
        <w:ind w:firstLine="480" w:firstLineChars="200"/>
        <w:rPr>
          <w:rFonts w:ascii="宋体" w:hAnsi="宋体"/>
          <w:sz w:val="24"/>
        </w:rPr>
      </w:pPr>
      <w:r>
        <w:rPr>
          <w:rFonts w:hint="eastAsia" w:asciiTheme="minorEastAsia" w:hAnsiTheme="minorEastAsia"/>
          <w:sz w:val="24"/>
        </w:rPr>
        <w:t>★</w:t>
      </w:r>
      <w:r>
        <w:rPr>
          <w:rFonts w:hint="eastAsia" w:ascii="宋体"/>
          <w:sz w:val="24"/>
        </w:rPr>
        <w:t>连接器：</w:t>
      </w:r>
      <w:r>
        <w:rPr>
          <w:rFonts w:hint="eastAsia" w:asciiTheme="majorEastAsia" w:hAnsiTheme="majorEastAsia" w:eastAsiaTheme="majorEastAsia"/>
          <w:sz w:val="24"/>
        </w:rPr>
        <w:t>显示器和操作手柄电路连接国际先进航空技术对插，确保画面清晰，避免长时间使用后接触不良造成死机。</w:t>
      </w:r>
    </w:p>
    <w:p>
      <w:pPr>
        <w:spacing w:line="360" w:lineRule="auto"/>
        <w:ind w:firstLine="720" w:firstLineChars="300"/>
        <w:rPr>
          <w:rFonts w:ascii="宋体" w:hAnsi="宋体"/>
          <w:sz w:val="24"/>
        </w:rPr>
      </w:pPr>
      <w:r>
        <w:rPr>
          <w:rFonts w:hint="eastAsia" w:ascii="宋体" w:hAnsi="宋体"/>
          <w:sz w:val="24"/>
        </w:rPr>
        <w:t>1.16电池放电时间：</w:t>
      </w:r>
      <w:r>
        <w:rPr>
          <w:rFonts w:ascii="宋体" w:hAnsi="宋体"/>
          <w:sz w:val="24"/>
        </w:rPr>
        <w:t>≥</w:t>
      </w:r>
      <w:r>
        <w:rPr>
          <w:rFonts w:hint="eastAsia" w:ascii="宋体" w:hAnsi="宋体"/>
          <w:sz w:val="24"/>
        </w:rPr>
        <w:t>2小时</w:t>
      </w:r>
    </w:p>
    <w:p>
      <w:pPr>
        <w:spacing w:line="360" w:lineRule="auto"/>
        <w:ind w:firstLine="720" w:firstLineChars="300"/>
        <w:rPr>
          <w:rFonts w:ascii="宋体" w:hAnsi="宋体"/>
          <w:sz w:val="24"/>
        </w:rPr>
      </w:pPr>
      <w:r>
        <w:rPr>
          <w:rFonts w:hint="eastAsia" w:ascii="宋体" w:hAnsi="宋体"/>
          <w:sz w:val="24"/>
        </w:rPr>
        <w:t>1.17充电次数＞300次</w:t>
      </w:r>
    </w:p>
    <w:p>
      <w:pPr>
        <w:spacing w:line="360" w:lineRule="auto"/>
        <w:ind w:firstLine="720" w:firstLineChars="300"/>
        <w:rPr>
          <w:rFonts w:ascii="宋体" w:hAnsi="宋体"/>
          <w:sz w:val="24"/>
        </w:rPr>
      </w:pPr>
      <w:r>
        <w:rPr>
          <w:rFonts w:hint="eastAsia" w:ascii="宋体" w:hAnsi="宋体"/>
          <w:sz w:val="24"/>
        </w:rPr>
        <w:t>1.18重量：400g</w:t>
      </w:r>
      <w:r>
        <w:rPr>
          <w:rFonts w:ascii="宋体" w:hAnsi="宋体"/>
          <w:sz w:val="24"/>
        </w:rPr>
        <w:t>—</w:t>
      </w:r>
      <w:r>
        <w:rPr>
          <w:rFonts w:hint="eastAsia" w:ascii="宋体" w:hAnsi="宋体"/>
          <w:sz w:val="24"/>
        </w:rPr>
        <w:t>700g</w:t>
      </w:r>
    </w:p>
    <w:p>
      <w:pPr>
        <w:spacing w:line="360" w:lineRule="auto"/>
        <w:ind w:firstLine="720" w:firstLineChars="300"/>
        <w:rPr>
          <w:rFonts w:ascii="宋体" w:hAnsi="宋体"/>
          <w:sz w:val="24"/>
        </w:rPr>
      </w:pPr>
      <w:r>
        <w:rPr>
          <w:rFonts w:hint="eastAsia" w:ascii="宋体" w:hAnsi="宋体"/>
          <w:sz w:val="24"/>
        </w:rPr>
        <w:t>2.</w:t>
      </w:r>
      <w:r>
        <w:rPr>
          <w:rFonts w:ascii="宋体" w:hAnsi="宋体"/>
          <w:sz w:val="24"/>
        </w:rPr>
        <w:t>充电器</w:t>
      </w:r>
      <w:r>
        <w:rPr>
          <w:rFonts w:ascii="宋体" w:hAnsi="宋体"/>
          <w:sz w:val="24"/>
        </w:rPr>
        <w:tab/>
      </w:r>
    </w:p>
    <w:p>
      <w:pPr>
        <w:spacing w:line="360" w:lineRule="auto"/>
        <w:ind w:firstLine="720" w:firstLineChars="300"/>
        <w:rPr>
          <w:rFonts w:ascii="微软雅黑" w:hAnsi="微软雅黑" w:eastAsia="微软雅黑" w:cs="微软雅黑"/>
          <w:sz w:val="18"/>
          <w:szCs w:val="18"/>
        </w:rPr>
      </w:pPr>
      <w:r>
        <w:rPr>
          <w:rFonts w:hint="eastAsia" w:ascii="宋体" w:hAnsi="宋体"/>
          <w:sz w:val="24"/>
        </w:rPr>
        <w:t>2.1</w:t>
      </w:r>
      <w:r>
        <w:rPr>
          <w:rFonts w:ascii="宋体" w:hAnsi="宋体"/>
          <w:sz w:val="24"/>
        </w:rPr>
        <w:t>充电器输入：220V 50Hz，充电器输出：</w:t>
      </w:r>
      <w:r>
        <w:rPr>
          <w:rFonts w:hint="eastAsia" w:ascii="宋体" w:hAnsi="宋体"/>
          <w:sz w:val="24"/>
        </w:rPr>
        <w:t>5V 1A</w:t>
      </w:r>
    </w:p>
    <w:p>
      <w:pPr>
        <w:spacing w:line="360" w:lineRule="auto"/>
        <w:ind w:firstLine="720" w:firstLineChars="300"/>
        <w:rPr>
          <w:rFonts w:ascii="宋体" w:hAnsi="宋体"/>
          <w:sz w:val="24"/>
        </w:rPr>
      </w:pPr>
      <w:r>
        <w:rPr>
          <w:rFonts w:hint="eastAsia" w:ascii="宋体" w:hAnsi="宋体"/>
          <w:sz w:val="24"/>
        </w:rPr>
        <w:t>2.2</w:t>
      </w:r>
      <w:r>
        <w:rPr>
          <w:rFonts w:ascii="宋体" w:hAnsi="宋体"/>
          <w:sz w:val="24"/>
        </w:rPr>
        <w:t>充电时间：﹤4小时</w:t>
      </w:r>
    </w:p>
    <w:p>
      <w:pPr>
        <w:spacing w:line="360" w:lineRule="auto"/>
        <w:ind w:firstLine="720" w:firstLineChars="300"/>
      </w:pPr>
      <w:r>
        <w:rPr>
          <w:rFonts w:hint="eastAsia" w:ascii="宋体" w:hAnsi="宋体"/>
          <w:sz w:val="24"/>
        </w:rPr>
        <w:t>3.</w:t>
      </w:r>
      <w:r>
        <w:rPr>
          <w:rFonts w:ascii="宋体" w:hAnsi="宋体"/>
          <w:sz w:val="24"/>
        </w:rPr>
        <w:t>配置：</w:t>
      </w:r>
      <w:r>
        <w:rPr>
          <w:rFonts w:hint="eastAsia" w:ascii="宋体" w:hAnsi="宋体"/>
          <w:sz w:val="24"/>
        </w:rPr>
        <w:t>1条</w:t>
      </w:r>
      <w:r>
        <w:rPr>
          <w:rFonts w:ascii="宋体" w:hAnsi="宋体"/>
          <w:sz w:val="24"/>
        </w:rPr>
        <w:t>镜子主机</w:t>
      </w:r>
      <w:r>
        <w:rPr>
          <w:rFonts w:hint="eastAsia" w:ascii="宋体" w:hAnsi="宋体"/>
          <w:sz w:val="24"/>
        </w:rPr>
        <w:t>+ 1个</w:t>
      </w:r>
      <w:r>
        <w:rPr>
          <w:rFonts w:ascii="宋体" w:hAnsi="宋体"/>
          <w:sz w:val="24"/>
        </w:rPr>
        <w:t>显示器</w:t>
      </w:r>
      <w:r>
        <w:rPr>
          <w:rFonts w:hint="eastAsia" w:ascii="宋体" w:hAnsi="宋体"/>
          <w:sz w:val="24"/>
        </w:rPr>
        <w:t>+ 1</w:t>
      </w:r>
      <w:r>
        <w:rPr>
          <w:rFonts w:ascii="宋体" w:hAnsi="宋体"/>
          <w:sz w:val="24"/>
        </w:rPr>
        <w:t>个电池</w:t>
      </w:r>
      <w:r>
        <w:rPr>
          <w:rFonts w:hint="eastAsia" w:ascii="宋体" w:hAnsi="宋体"/>
          <w:sz w:val="24"/>
        </w:rPr>
        <w:t>（内置）+1张</w:t>
      </w:r>
      <w:r>
        <w:rPr>
          <w:rFonts w:ascii="宋体" w:hAnsi="宋体"/>
          <w:sz w:val="24"/>
        </w:rPr>
        <w:t>储存卡</w:t>
      </w:r>
      <w:r>
        <w:rPr>
          <w:rFonts w:hint="eastAsia" w:ascii="宋体" w:hAnsi="宋体"/>
          <w:sz w:val="24"/>
        </w:rPr>
        <w:t>（内置）+1条数据线+1</w:t>
      </w:r>
      <w:r>
        <w:rPr>
          <w:rFonts w:ascii="宋体" w:hAnsi="宋体"/>
          <w:sz w:val="24"/>
        </w:rPr>
        <w:t>个电源适配器</w:t>
      </w:r>
      <w:r>
        <w:rPr>
          <w:rFonts w:hint="eastAsia" w:ascii="宋体" w:hAnsi="宋体"/>
          <w:sz w:val="24"/>
        </w:rPr>
        <w:t>+1个测漏器+1个</w:t>
      </w:r>
      <w:r>
        <w:rPr>
          <w:rFonts w:ascii="宋体" w:hAnsi="宋体"/>
          <w:sz w:val="24"/>
        </w:rPr>
        <w:t>手提箱</w:t>
      </w:r>
    </w:p>
    <w:p>
      <w:pPr>
        <w:spacing w:line="720" w:lineRule="auto"/>
        <w:ind w:firstLine="0" w:firstLineChars="0"/>
        <w:jc w:val="left"/>
        <w:rPr>
          <w:rFonts w:hint="eastAsia" w:ascii="宋体" w:hAnsi="宋体" w:cs="宋体"/>
          <w:b/>
          <w:sz w:val="24"/>
          <w:szCs w:val="24"/>
        </w:rPr>
      </w:pPr>
      <w:r>
        <w:rPr>
          <w:rFonts w:hint="eastAsia" w:ascii="宋体" w:hAnsi="宋体" w:cs="宋体"/>
          <w:b/>
          <w:sz w:val="24"/>
          <w:szCs w:val="24"/>
        </w:rPr>
        <w:t>三、ABS病人交换车技术参数</w:t>
      </w:r>
    </w:p>
    <w:p>
      <w:pPr>
        <w:ind w:firstLine="480"/>
        <w:rPr>
          <w:rFonts w:hint="eastAsia" w:ascii="宋体" w:hAnsi="宋体"/>
          <w:sz w:val="24"/>
          <w:lang w:val="en-US" w:eastAsia="zh-CN"/>
        </w:rPr>
      </w:pPr>
      <w:r>
        <w:rPr>
          <w:rFonts w:hint="eastAsia" w:ascii="宋体" w:hAnsi="宋体"/>
          <w:sz w:val="24"/>
          <w:lang w:val="en-US" w:eastAsia="zh-CN"/>
        </w:rPr>
        <w:t>1、规格：3650mm*760mm*680-900mm。</w:t>
      </w:r>
    </w:p>
    <w:p>
      <w:pPr>
        <w:ind w:firstLine="480"/>
        <w:rPr>
          <w:rFonts w:hint="eastAsia" w:ascii="宋体" w:hAnsi="宋体"/>
          <w:sz w:val="24"/>
          <w:lang w:val="en-US" w:eastAsia="zh-CN"/>
        </w:rPr>
      </w:pPr>
      <w:r>
        <w:rPr>
          <w:rFonts w:hint="eastAsia" w:ascii="宋体" w:hAnsi="宋体"/>
          <w:sz w:val="24"/>
          <w:lang w:val="en-US" w:eastAsia="zh-CN"/>
        </w:rPr>
        <w:t>2、由内外推车及担架三部分组成。内外以轨道对接，担架部分可在轨道上滑动。对接锁紧装置灵活，安全可靠，分离内外车时只需在一端操作，方便简洁。</w:t>
      </w:r>
    </w:p>
    <w:p>
      <w:pPr>
        <w:ind w:firstLine="480"/>
        <w:rPr>
          <w:rFonts w:hint="eastAsia" w:ascii="宋体" w:hAnsi="宋体"/>
          <w:sz w:val="24"/>
          <w:lang w:val="en-US" w:eastAsia="zh-CN"/>
        </w:rPr>
      </w:pPr>
      <w:r>
        <w:rPr>
          <w:rFonts w:hint="eastAsia" w:ascii="宋体" w:hAnsi="宋体"/>
          <w:sz w:val="24"/>
          <w:lang w:val="en-US" w:eastAsia="zh-CN"/>
        </w:rPr>
        <w:t>3、床面及主要结构采用优质高级ABS工程塑料一次性注塑成型，床面两侧带不锈钢弯管护栏，护栏侧向受力强度≥100公斤不发生形变且不影响使用，护栏升起后护栏上缘距离床面37CM,有效防治患者发生坠床风险，护栏锁紧机构可靠，美观实用。</w:t>
      </w:r>
    </w:p>
    <w:p>
      <w:pPr>
        <w:ind w:firstLine="480"/>
        <w:rPr>
          <w:rFonts w:hint="eastAsia" w:ascii="宋体" w:hAnsi="宋体"/>
          <w:sz w:val="24"/>
          <w:lang w:val="en-US" w:eastAsia="zh-CN"/>
        </w:rPr>
      </w:pPr>
      <w:r>
        <w:rPr>
          <w:rFonts w:hint="eastAsia" w:ascii="宋体" w:hAnsi="宋体"/>
          <w:sz w:val="24"/>
          <w:lang w:val="en-US" w:eastAsia="zh-CN"/>
        </w:rPr>
        <w:t>4、对接车对接轨道采用高强度铝合金型材，床面前后运动平稳、坚固、顺畅、可靠。</w:t>
      </w:r>
    </w:p>
    <w:p>
      <w:pPr>
        <w:ind w:firstLine="480"/>
        <w:rPr>
          <w:rFonts w:hint="eastAsia" w:ascii="宋体" w:hAnsi="宋体"/>
          <w:sz w:val="24"/>
          <w:lang w:val="en-US" w:eastAsia="zh-CN"/>
        </w:rPr>
      </w:pPr>
      <w:r>
        <w:rPr>
          <w:rFonts w:hint="eastAsia" w:ascii="宋体" w:hAnsi="宋体"/>
          <w:sz w:val="24"/>
          <w:lang w:val="en-US" w:eastAsia="zh-CN"/>
        </w:rPr>
        <w:t>5、该车底座采用合金压铸成型，采用国际同步的中控刹车制动系统，在运送病人对接时更可靠、更平稳、更顺畅。</w:t>
      </w:r>
    </w:p>
    <w:p>
      <w:pPr>
        <w:ind w:firstLine="480"/>
        <w:rPr>
          <w:rFonts w:hint="eastAsia" w:ascii="宋体" w:hAnsi="宋体"/>
          <w:sz w:val="24"/>
          <w:lang w:val="en-US" w:eastAsia="zh-CN"/>
        </w:rPr>
      </w:pPr>
      <w:r>
        <w:rPr>
          <w:rFonts w:hint="eastAsia" w:ascii="宋体" w:hAnsi="宋体"/>
          <w:sz w:val="24"/>
          <w:lang w:val="en-US" w:eastAsia="zh-CN"/>
        </w:rPr>
        <w:t>6、丝杆采用45#钢，由专用滚丝机滚挤压成型，丝口圆滑，操作轻松，丝杆具有双向过摇保护装置。摇把和丝杆之间采用“万向接”连接技术，“万向接”为钢件，不锈钢摇手带气动助力弹簧，操作灵活、轻松完成推车升降。</w:t>
      </w:r>
    </w:p>
    <w:p>
      <w:pPr>
        <w:ind w:firstLine="480"/>
        <w:rPr>
          <w:rFonts w:hint="eastAsia" w:ascii="宋体" w:hAnsi="宋体"/>
          <w:sz w:val="24"/>
          <w:lang w:val="en-US" w:eastAsia="zh-CN"/>
        </w:rPr>
      </w:pPr>
      <w:r>
        <w:rPr>
          <w:rFonts w:hint="eastAsia" w:ascii="宋体" w:hAnsi="宋体"/>
          <w:sz w:val="24"/>
          <w:lang w:val="en-US" w:eastAsia="zh-CN"/>
        </w:rPr>
        <w:t>7、每台推车均配4只5寸高级中控脚轮，外罩包ABS防缠绕，坚固耐用，外表美观，带脚踏侧刹；中央带定向轮，保证推车直线行走，脚踏控制，不用时可抬起悬空。</w:t>
      </w:r>
    </w:p>
    <w:p>
      <w:pPr>
        <w:ind w:firstLine="480"/>
        <w:rPr>
          <w:rFonts w:hint="eastAsia" w:ascii="宋体" w:hAnsi="宋体"/>
          <w:sz w:val="24"/>
          <w:lang w:val="en-US" w:eastAsia="zh-CN"/>
        </w:rPr>
      </w:pPr>
      <w:r>
        <w:rPr>
          <w:rFonts w:hint="eastAsia" w:ascii="宋体" w:hAnsi="宋体"/>
          <w:sz w:val="24"/>
          <w:lang w:val="en-US" w:eastAsia="zh-CN"/>
        </w:rPr>
        <w:t>8、配置不锈钢伸缩式输液杆，兰色布套床垫，带尼龙搭扣。</w:t>
      </w:r>
    </w:p>
    <w:p>
      <w:pPr>
        <w:pStyle w:val="3"/>
        <w:spacing w:line="360" w:lineRule="auto"/>
        <w:rPr>
          <w:rFonts w:ascii="宋体" w:hAnsi="宋体"/>
          <w:sz w:val="28"/>
          <w:szCs w:val="28"/>
        </w:rPr>
      </w:pPr>
      <w:bookmarkStart w:id="392" w:name="_Toc12272"/>
      <w:r>
        <w:rPr>
          <w:rFonts w:hint="eastAsia" w:ascii="宋体" w:hAnsi="宋体"/>
          <w:sz w:val="28"/>
          <w:szCs w:val="28"/>
        </w:rPr>
        <w:t>4.2</w:t>
      </w:r>
      <w:bookmarkEnd w:id="384"/>
      <w:bookmarkEnd w:id="385"/>
      <w:bookmarkEnd w:id="386"/>
      <w:bookmarkEnd w:id="387"/>
      <w:r>
        <w:rPr>
          <w:rFonts w:hint="eastAsia" w:ascii="宋体" w:hAnsi="宋体"/>
          <w:sz w:val="28"/>
          <w:szCs w:val="28"/>
        </w:rPr>
        <w:t xml:space="preserve"> 交货时间及地点</w:t>
      </w:r>
      <w:bookmarkEnd w:id="388"/>
      <w:bookmarkEnd w:id="392"/>
    </w:p>
    <w:p>
      <w:pPr>
        <w:pStyle w:val="17"/>
        <w:ind w:left="478" w:leftChars="228" w:firstLine="456"/>
        <w:rPr>
          <w:rFonts w:ascii="宋体" w:hAnsi="宋体"/>
          <w:b/>
          <w:bCs/>
          <w:spacing w:val="-6"/>
          <w:sz w:val="24"/>
          <w:szCs w:val="24"/>
        </w:rPr>
      </w:pPr>
      <w:r>
        <w:rPr>
          <w:rFonts w:hint="eastAsia" w:ascii="宋体" w:hAnsi="宋体"/>
          <w:spacing w:val="-6"/>
          <w:sz w:val="24"/>
          <w:szCs w:val="24"/>
        </w:rPr>
        <w:t>交货时间：详见投标人须知前附表2.7</w:t>
      </w:r>
    </w:p>
    <w:p>
      <w:pPr>
        <w:pStyle w:val="17"/>
        <w:ind w:left="478" w:leftChars="228" w:firstLine="456"/>
        <w:rPr>
          <w:rFonts w:ascii="宋体" w:hAnsi="宋体"/>
          <w:b/>
          <w:bCs/>
          <w:spacing w:val="-6"/>
          <w:sz w:val="24"/>
          <w:szCs w:val="24"/>
        </w:rPr>
      </w:pPr>
      <w:r>
        <w:rPr>
          <w:rFonts w:hint="eastAsia" w:ascii="宋体" w:hAnsi="宋体"/>
          <w:spacing w:val="-6"/>
          <w:sz w:val="24"/>
          <w:szCs w:val="24"/>
        </w:rPr>
        <w:t>交货地点：会宁县河畔镇</w:t>
      </w:r>
    </w:p>
    <w:p>
      <w:pPr>
        <w:pStyle w:val="3"/>
        <w:rPr>
          <w:rFonts w:ascii="宋体" w:hAnsi="宋体"/>
        </w:rPr>
      </w:pPr>
      <w:bookmarkStart w:id="393" w:name="_Toc447272163"/>
      <w:bookmarkStart w:id="394" w:name="_Toc447207026"/>
      <w:bookmarkStart w:id="395" w:name="OLE_LINK8"/>
      <w:bookmarkStart w:id="396" w:name="_Toc493008716"/>
      <w:bookmarkStart w:id="397" w:name="_Toc5159"/>
      <w:bookmarkStart w:id="398" w:name="_Toc459623004"/>
      <w:bookmarkStart w:id="399" w:name="_Toc15766"/>
      <w:r>
        <w:rPr>
          <w:rFonts w:hint="eastAsia" w:ascii="宋体" w:hAnsi="宋体"/>
        </w:rPr>
        <w:t>4.3</w:t>
      </w:r>
      <w:bookmarkEnd w:id="393"/>
      <w:bookmarkEnd w:id="394"/>
      <w:bookmarkEnd w:id="395"/>
      <w:r>
        <w:rPr>
          <w:rFonts w:hint="eastAsia" w:ascii="宋体" w:hAnsi="宋体"/>
        </w:rPr>
        <w:t xml:space="preserve"> 特别声明</w:t>
      </w:r>
      <w:bookmarkEnd w:id="396"/>
      <w:bookmarkEnd w:id="397"/>
      <w:bookmarkEnd w:id="398"/>
      <w:bookmarkEnd w:id="399"/>
    </w:p>
    <w:p>
      <w:pPr>
        <w:ind w:firstLine="480"/>
        <w:rPr>
          <w:b/>
          <w:sz w:val="24"/>
        </w:rPr>
      </w:pPr>
      <w:r>
        <w:rPr>
          <w:rFonts w:hint="eastAsia" w:ascii="宋体" w:hAnsi="宋体"/>
          <w:sz w:val="24"/>
        </w:rPr>
        <w:t>（1）不按设备真实参数投标，进行虚假应标者，经评委会确认，按无效投标处理。</w:t>
      </w:r>
    </w:p>
    <w:p>
      <w:pPr>
        <w:ind w:firstLine="480"/>
        <w:rPr>
          <w:b/>
          <w:sz w:val="24"/>
        </w:rPr>
      </w:pPr>
      <w:r>
        <w:rPr>
          <w:rFonts w:hint="eastAsia" w:ascii="宋体" w:hAnsi="宋体"/>
          <w:sz w:val="24"/>
        </w:rPr>
        <w:t>（2）本项目采购内容参数为最低要求，若出现指定性、倾向性要求均为无效标准，投标人可用同等或优于此标准参数投标，优于的参数应在货物偏离表中注明，并提供真实的证明材料为依据。</w:t>
      </w:r>
    </w:p>
    <w:bookmarkEnd w:id="389"/>
    <w:bookmarkEnd w:id="390"/>
    <w:bookmarkEnd w:id="391"/>
    <w:p>
      <w:pPr>
        <w:pStyle w:val="2"/>
        <w:ind w:firstLine="643"/>
      </w:pPr>
      <w:r>
        <w:br w:type="page"/>
      </w:r>
      <w:bookmarkStart w:id="400" w:name="_Toc493013071"/>
      <w:bookmarkStart w:id="401" w:name="_Toc23591"/>
      <w:r>
        <w:rPr>
          <w:rFonts w:hint="eastAsia"/>
        </w:rPr>
        <w:t>第五章  评标办法</w:t>
      </w:r>
      <w:bookmarkEnd w:id="400"/>
      <w:bookmarkEnd w:id="401"/>
    </w:p>
    <w:p>
      <w:pPr>
        <w:pStyle w:val="3"/>
      </w:pPr>
      <w:bookmarkStart w:id="402" w:name="_Toc493013072"/>
      <w:bookmarkStart w:id="403" w:name="_Toc459623006"/>
      <w:bookmarkStart w:id="404" w:name="_Toc447207029"/>
      <w:bookmarkStart w:id="405" w:name="_Toc447272166"/>
      <w:bookmarkStart w:id="406" w:name="_Toc6016"/>
      <w:bookmarkStart w:id="407" w:name="_Toc20319"/>
      <w:bookmarkStart w:id="408" w:name="_Toc24574"/>
      <w:bookmarkStart w:id="409" w:name="_Toc23512"/>
      <w:r>
        <w:rPr>
          <w:rFonts w:hint="eastAsia"/>
        </w:rPr>
        <w:t>5.1 评标原则及组织</w:t>
      </w:r>
      <w:bookmarkEnd w:id="402"/>
      <w:bookmarkEnd w:id="403"/>
      <w:bookmarkEnd w:id="404"/>
      <w:bookmarkEnd w:id="405"/>
      <w:bookmarkEnd w:id="406"/>
      <w:bookmarkEnd w:id="407"/>
      <w:bookmarkEnd w:id="408"/>
      <w:bookmarkEnd w:id="409"/>
    </w:p>
    <w:p>
      <w:pPr>
        <w:pStyle w:val="4"/>
        <w:spacing w:before="156" w:after="156"/>
        <w:ind w:firstLine="482"/>
      </w:pPr>
      <w:bookmarkStart w:id="410" w:name="_Toc499"/>
      <w:bookmarkStart w:id="411" w:name="_Toc14293"/>
      <w:bookmarkStart w:id="412" w:name="_Toc493013073"/>
      <w:bookmarkStart w:id="413" w:name="_Toc459623007"/>
      <w:bookmarkStart w:id="414" w:name="_Toc16134"/>
      <w:bookmarkStart w:id="415" w:name="_Toc29894"/>
      <w:r>
        <w:rPr>
          <w:rFonts w:hint="eastAsia"/>
        </w:rPr>
        <w:t>5.</w:t>
      </w:r>
      <w:r>
        <w:t>1.1</w:t>
      </w:r>
      <w:r>
        <w:rPr>
          <w:rFonts w:hint="eastAsia"/>
        </w:rPr>
        <w:t>原则</w:t>
      </w:r>
      <w:bookmarkEnd w:id="410"/>
      <w:bookmarkEnd w:id="411"/>
      <w:bookmarkEnd w:id="412"/>
      <w:bookmarkEnd w:id="413"/>
      <w:bookmarkEnd w:id="414"/>
      <w:bookmarkEnd w:id="415"/>
    </w:p>
    <w:p>
      <w:pPr>
        <w:pStyle w:val="17"/>
        <w:ind w:firstLine="480"/>
        <w:rPr>
          <w:rFonts w:ascii="宋体"/>
          <w:b/>
          <w:bCs/>
          <w:color w:val="000000"/>
          <w:sz w:val="24"/>
          <w:szCs w:val="24"/>
        </w:rPr>
      </w:pPr>
      <w:r>
        <w:rPr>
          <w:rFonts w:hint="eastAsia" w:ascii="宋体" w:hAnsi="宋体"/>
          <w:color w:val="000000"/>
          <w:sz w:val="24"/>
          <w:szCs w:val="24"/>
        </w:rPr>
        <w:t>招标人组织评标，在监督部门监督下</w:t>
      </w:r>
      <w:r>
        <w:rPr>
          <w:rFonts w:ascii="宋体"/>
          <w:color w:val="000000"/>
          <w:sz w:val="24"/>
          <w:szCs w:val="24"/>
        </w:rPr>
        <w:t>,</w:t>
      </w:r>
      <w:r>
        <w:rPr>
          <w:rFonts w:hint="eastAsia" w:ascii="宋体" w:hAnsi="宋体"/>
          <w:color w:val="000000"/>
          <w:sz w:val="24"/>
          <w:szCs w:val="24"/>
        </w:rPr>
        <w:t>根据《中华人民共和国政府采购法》组建评委会，由采购人代表和评标专家共同组成，评委会成员应坚持“公开、公平、公正”的宗旨</w:t>
      </w:r>
      <w:r>
        <w:rPr>
          <w:rFonts w:ascii="宋体"/>
          <w:color w:val="000000"/>
          <w:sz w:val="24"/>
          <w:szCs w:val="24"/>
        </w:rPr>
        <w:t>,</w:t>
      </w:r>
      <w:r>
        <w:rPr>
          <w:rFonts w:hint="eastAsia" w:ascii="宋体" w:hAnsi="宋体"/>
          <w:color w:val="000000"/>
          <w:sz w:val="24"/>
          <w:szCs w:val="24"/>
        </w:rPr>
        <w:t>认真细致地做好评标工作。</w:t>
      </w:r>
    </w:p>
    <w:p>
      <w:pPr>
        <w:ind w:firstLine="480"/>
        <w:rPr>
          <w:rFonts w:ascii="宋体"/>
          <w:color w:val="000000"/>
          <w:sz w:val="24"/>
        </w:rPr>
      </w:pPr>
      <w:r>
        <w:rPr>
          <w:rFonts w:hint="eastAsia" w:ascii="宋体" w:hAnsi="宋体"/>
          <w:color w:val="000000"/>
          <w:sz w:val="24"/>
        </w:rPr>
        <w:t>（1）评委会成员人数不少于</w:t>
      </w:r>
      <w:r>
        <w:rPr>
          <w:rFonts w:ascii="宋体" w:hAnsi="宋体"/>
          <w:color w:val="000000"/>
          <w:sz w:val="24"/>
        </w:rPr>
        <w:t>5</w:t>
      </w:r>
      <w:r>
        <w:rPr>
          <w:rFonts w:hint="eastAsia" w:ascii="宋体" w:hAnsi="宋体"/>
          <w:color w:val="000000"/>
          <w:sz w:val="24"/>
        </w:rPr>
        <w:t>人以上单数，其中评审专家不得少于成员总数的三分之二。</w:t>
      </w:r>
    </w:p>
    <w:p>
      <w:pPr>
        <w:ind w:firstLine="480"/>
        <w:rPr>
          <w:rFonts w:ascii="宋体"/>
          <w:color w:val="000000"/>
          <w:sz w:val="24"/>
        </w:rPr>
      </w:pPr>
      <w:r>
        <w:rPr>
          <w:rFonts w:hint="eastAsia" w:ascii="宋体" w:hAnsi="宋体"/>
          <w:color w:val="000000"/>
          <w:sz w:val="24"/>
        </w:rPr>
        <w:t>（2）评委会成员应当客观、公正的履行职责，遵守职业道德，对所提出的评审意见承担个人责任。</w:t>
      </w:r>
    </w:p>
    <w:p>
      <w:pPr>
        <w:ind w:firstLine="480"/>
        <w:rPr>
          <w:rFonts w:ascii="宋体" w:hAnsi="宋体"/>
          <w:b/>
          <w:bCs/>
          <w:sz w:val="24"/>
          <w:szCs w:val="24"/>
        </w:rPr>
      </w:pPr>
      <w:r>
        <w:rPr>
          <w:rFonts w:hint="eastAsia" w:ascii="宋体" w:hAnsi="宋体"/>
          <w:sz w:val="24"/>
          <w:szCs w:val="24"/>
        </w:rPr>
        <w:t>（3）评委会成员和与评标活动有关的工作人员不得透露对投标文件的评审和比较、中标候选人的推荐情况以及与评标有关的其他情况。</w:t>
      </w:r>
    </w:p>
    <w:p>
      <w:pPr>
        <w:pStyle w:val="4"/>
        <w:spacing w:before="156" w:after="156"/>
        <w:ind w:firstLine="482"/>
      </w:pPr>
      <w:bookmarkStart w:id="416" w:name="_Toc3769"/>
      <w:bookmarkStart w:id="417" w:name="_Toc493013074"/>
      <w:bookmarkStart w:id="418" w:name="_Toc459623008"/>
      <w:bookmarkStart w:id="419" w:name="_Toc10628"/>
      <w:bookmarkStart w:id="420" w:name="_Toc10886"/>
      <w:bookmarkStart w:id="421" w:name="_Toc9065"/>
      <w:r>
        <w:rPr>
          <w:rFonts w:hint="eastAsia"/>
        </w:rPr>
        <w:t>5.</w:t>
      </w:r>
      <w:r>
        <w:t xml:space="preserve">1.2 </w:t>
      </w:r>
      <w:r>
        <w:rPr>
          <w:rFonts w:hint="eastAsia"/>
        </w:rPr>
        <w:t>组织</w:t>
      </w:r>
      <w:bookmarkEnd w:id="416"/>
      <w:bookmarkEnd w:id="417"/>
      <w:bookmarkEnd w:id="418"/>
      <w:bookmarkEnd w:id="419"/>
      <w:bookmarkEnd w:id="420"/>
      <w:bookmarkEnd w:id="421"/>
    </w:p>
    <w:p>
      <w:pPr>
        <w:ind w:firstLine="480"/>
        <w:rPr>
          <w:rFonts w:ascii="宋体" w:hAnsi="宋体"/>
          <w:color w:val="000000"/>
          <w:sz w:val="24"/>
        </w:rPr>
      </w:pPr>
      <w:r>
        <w:rPr>
          <w:rFonts w:hint="eastAsia" w:ascii="宋体" w:hAnsi="宋体"/>
          <w:color w:val="000000"/>
          <w:sz w:val="24"/>
        </w:rPr>
        <w:t>（1）评委会：由采购人代表和从专家库随机抽取的专家组成评委会。</w:t>
      </w:r>
    </w:p>
    <w:p>
      <w:pPr>
        <w:ind w:firstLine="480"/>
        <w:rPr>
          <w:rFonts w:ascii="宋体"/>
          <w:color w:val="000000"/>
          <w:sz w:val="24"/>
        </w:rPr>
      </w:pPr>
      <w:r>
        <w:rPr>
          <w:rFonts w:hint="eastAsia" w:ascii="宋体" w:hAnsi="宋体"/>
          <w:color w:val="000000"/>
          <w:sz w:val="24"/>
        </w:rPr>
        <w:t>（2） 招标人</w:t>
      </w:r>
      <w:r>
        <w:rPr>
          <w:rFonts w:ascii="宋体" w:hAnsi="宋体"/>
          <w:color w:val="000000"/>
          <w:sz w:val="24"/>
        </w:rPr>
        <w:t>:</w:t>
      </w:r>
      <w:r>
        <w:rPr>
          <w:rFonts w:hint="eastAsia" w:ascii="宋体" w:hAnsi="宋体"/>
          <w:color w:val="000000"/>
          <w:sz w:val="24"/>
        </w:rPr>
        <w:t>由采购人和招标代理机构组成，负责对外联系并配合交易中心工作人员开标、评标的会务工作</w:t>
      </w:r>
      <w:r>
        <w:rPr>
          <w:rFonts w:ascii="宋体"/>
          <w:color w:val="000000"/>
          <w:sz w:val="24"/>
        </w:rPr>
        <w:t>,</w:t>
      </w:r>
      <w:r>
        <w:rPr>
          <w:rFonts w:hint="eastAsia" w:ascii="宋体" w:hAnsi="宋体"/>
          <w:color w:val="000000"/>
          <w:sz w:val="24"/>
        </w:rPr>
        <w:t>整理并向评标组分发投标资料、投标文件；做好开标和评标会议记录；对评标过程中的原始文件进行归档；随时印发需要的文件资料</w:t>
      </w:r>
      <w:r>
        <w:rPr>
          <w:rFonts w:ascii="宋体"/>
          <w:color w:val="000000"/>
          <w:sz w:val="24"/>
        </w:rPr>
        <w:t>,</w:t>
      </w:r>
      <w:r>
        <w:rPr>
          <w:rFonts w:hint="eastAsia" w:ascii="宋体" w:hAnsi="宋体"/>
          <w:color w:val="000000"/>
          <w:sz w:val="24"/>
        </w:rPr>
        <w:t>对各种咨询函件及档案文件的统收统发。</w:t>
      </w:r>
    </w:p>
    <w:p>
      <w:pPr>
        <w:ind w:firstLine="480"/>
        <w:rPr>
          <w:rFonts w:ascii="宋体"/>
          <w:color w:val="000000"/>
          <w:sz w:val="24"/>
        </w:rPr>
      </w:pPr>
      <w:r>
        <w:rPr>
          <w:rFonts w:hint="eastAsia" w:ascii="宋体" w:hAnsi="宋体"/>
          <w:color w:val="000000"/>
          <w:sz w:val="24"/>
        </w:rPr>
        <w:t>（3）监督部门：由</w:t>
      </w:r>
      <w:r>
        <w:rPr>
          <w:rFonts w:hint="eastAsia" w:ascii="Arial" w:hAnsi="Arial" w:cs="Arial"/>
          <w:color w:val="000000"/>
          <w:sz w:val="24"/>
        </w:rPr>
        <w:t>同级财政局采购办公室、市公共资源管理办公室、市公共资源交易中心监督科等有关监督部门组成，</w:t>
      </w:r>
      <w:r>
        <w:rPr>
          <w:rFonts w:hint="eastAsia" w:ascii="宋体" w:hAnsi="宋体"/>
          <w:color w:val="000000"/>
          <w:sz w:val="24"/>
        </w:rPr>
        <w:t>根据国家有关法律、法规及招标文件的规定</w:t>
      </w:r>
      <w:r>
        <w:rPr>
          <w:rFonts w:ascii="宋体"/>
          <w:color w:val="000000"/>
          <w:sz w:val="24"/>
        </w:rPr>
        <w:t>,</w:t>
      </w:r>
      <w:r>
        <w:rPr>
          <w:rFonts w:hint="eastAsia" w:ascii="宋体" w:hAnsi="宋体"/>
          <w:color w:val="000000"/>
          <w:sz w:val="24"/>
        </w:rPr>
        <w:t>对整个评标过程进行监督</w:t>
      </w:r>
      <w:r>
        <w:rPr>
          <w:rFonts w:ascii="宋体"/>
          <w:color w:val="000000"/>
          <w:sz w:val="24"/>
        </w:rPr>
        <w:t>,</w:t>
      </w:r>
      <w:r>
        <w:rPr>
          <w:rFonts w:hint="eastAsia" w:ascii="宋体" w:hAnsi="宋体"/>
          <w:color w:val="000000"/>
          <w:sz w:val="24"/>
        </w:rPr>
        <w:t>保证评标的公正性</w:t>
      </w:r>
      <w:r>
        <w:rPr>
          <w:rFonts w:ascii="宋体"/>
          <w:color w:val="000000"/>
          <w:sz w:val="24"/>
        </w:rPr>
        <w:t>,</w:t>
      </w:r>
      <w:r>
        <w:rPr>
          <w:rFonts w:hint="eastAsia" w:ascii="宋体" w:hAnsi="宋体"/>
          <w:color w:val="000000"/>
          <w:sz w:val="24"/>
        </w:rPr>
        <w:t>防止违法行为的产生。</w:t>
      </w:r>
    </w:p>
    <w:p>
      <w:pPr>
        <w:framePr w:w="1440" w:h="120" w:hRule="exact" w:wrap="around" w:vAnchor="page" w:hAnchor="page" w:x="361" w:y="541"/>
        <w:ind w:firstLine="480"/>
        <w:rPr>
          <w:rFonts w:ascii="宋体"/>
          <w:color w:val="000000"/>
          <w:sz w:val="24"/>
        </w:rPr>
      </w:pPr>
    </w:p>
    <w:p>
      <w:pPr>
        <w:pStyle w:val="3"/>
        <w:rPr>
          <w:rFonts w:ascii="宋体" w:hAnsi="宋体"/>
        </w:rPr>
      </w:pPr>
      <w:bookmarkStart w:id="422" w:name="_Toc493013075"/>
      <w:bookmarkStart w:id="423" w:name="_Toc447207031"/>
      <w:bookmarkStart w:id="424" w:name="_Toc7450"/>
      <w:bookmarkStart w:id="425" w:name="_Toc387"/>
      <w:bookmarkStart w:id="426" w:name="_Toc459623009"/>
      <w:bookmarkStart w:id="427" w:name="_Toc447272167"/>
      <w:bookmarkStart w:id="428" w:name="_Toc9284"/>
      <w:bookmarkStart w:id="429" w:name="_Toc9965"/>
      <w:r>
        <w:rPr>
          <w:rFonts w:hint="eastAsia" w:ascii="宋体" w:hAnsi="宋体"/>
        </w:rPr>
        <w:t>5.2 评标程序</w:t>
      </w:r>
      <w:bookmarkEnd w:id="422"/>
      <w:bookmarkEnd w:id="423"/>
      <w:bookmarkEnd w:id="424"/>
      <w:bookmarkEnd w:id="425"/>
      <w:bookmarkEnd w:id="426"/>
      <w:bookmarkEnd w:id="427"/>
      <w:bookmarkEnd w:id="428"/>
      <w:bookmarkEnd w:id="429"/>
    </w:p>
    <w:p>
      <w:pPr>
        <w:pStyle w:val="4"/>
        <w:spacing w:before="156" w:after="156"/>
        <w:ind w:firstLine="482"/>
      </w:pPr>
      <w:bookmarkStart w:id="430" w:name="_Toc15111"/>
      <w:r>
        <w:rPr>
          <w:rFonts w:hint="eastAsia"/>
        </w:rPr>
        <w:t>5.2</w:t>
      </w:r>
      <w:r>
        <w:t>.1</w:t>
      </w:r>
      <w:r>
        <w:rPr>
          <w:rFonts w:hint="eastAsia"/>
        </w:rPr>
        <w:t>投标文件的初审</w:t>
      </w:r>
      <w:bookmarkEnd w:id="430"/>
    </w:p>
    <w:p>
      <w:pPr>
        <w:adjustRightInd w:val="0"/>
        <w:snapToGrid w:val="0"/>
        <w:spacing w:beforeLines="50"/>
        <w:ind w:right="-109" w:rightChars="-52" w:firstLine="360" w:firstLineChars="150"/>
        <w:rPr>
          <w:rFonts w:ascii="宋体" w:hAnsi="宋体"/>
          <w:sz w:val="24"/>
        </w:rPr>
      </w:pPr>
      <w:r>
        <w:rPr>
          <w:rFonts w:hint="eastAsia" w:ascii="宋体" w:hAnsi="宋体"/>
          <w:b/>
          <w:bCs/>
          <w:sz w:val="24"/>
        </w:rPr>
        <w:t>（1）初审分为资格审查和符合性审查</w:t>
      </w:r>
    </w:p>
    <w:p>
      <w:pPr>
        <w:adjustRightInd w:val="0"/>
        <w:snapToGrid w:val="0"/>
        <w:spacing w:beforeLines="50"/>
        <w:ind w:left="478" w:leftChars="228" w:right="-109" w:rightChars="-52" w:firstLine="480"/>
        <w:rPr>
          <w:rFonts w:ascii="宋体" w:hAnsi="宋体"/>
          <w:sz w:val="24"/>
        </w:rPr>
      </w:pPr>
      <w:r>
        <w:rPr>
          <w:rFonts w:hint="eastAsia" w:ascii="宋体" w:hAnsi="宋体"/>
          <w:sz w:val="24"/>
        </w:rPr>
        <w:t>① 资格审查。根据法律法规和招标文件的规定，采购人或采购代理机构依法对投标人进行资格审查，或出具委托授权函委托评委会对投标人进行资格审查，以确定投标人是否具备投标资格。</w:t>
      </w:r>
    </w:p>
    <w:p>
      <w:pPr>
        <w:adjustRightInd w:val="0"/>
        <w:snapToGrid w:val="0"/>
        <w:spacing w:beforeLines="50"/>
        <w:ind w:left="478" w:leftChars="228" w:right="-109" w:rightChars="-52" w:firstLine="480"/>
        <w:rPr>
          <w:rFonts w:ascii="宋体" w:hAnsi="宋体"/>
          <w:sz w:val="24"/>
        </w:rPr>
      </w:pPr>
      <w:r>
        <w:rPr>
          <w:rFonts w:hint="eastAsia" w:ascii="宋体" w:hAnsi="宋体"/>
          <w:sz w:val="24"/>
        </w:rPr>
        <w:t>由采购人或采购代理机构对投标人进行资格审查的，采购人应当出具资格审查小组人员名单，并在资格审查结果表上签字。</w:t>
      </w:r>
    </w:p>
    <w:p>
      <w:pPr>
        <w:adjustRightInd w:val="0"/>
        <w:snapToGrid w:val="0"/>
        <w:spacing w:beforeLines="50"/>
        <w:ind w:left="478" w:leftChars="228" w:right="-109" w:rightChars="-52" w:firstLine="480"/>
        <w:rPr>
          <w:rFonts w:ascii="宋体" w:hAnsi="宋体"/>
          <w:sz w:val="24"/>
        </w:rPr>
      </w:pPr>
      <w:r>
        <w:rPr>
          <w:rFonts w:hint="eastAsia" w:ascii="宋体" w:hAnsi="宋体"/>
          <w:sz w:val="24"/>
        </w:rPr>
        <w:t>由评委会对投标人进行资格审查的，评委会成员应当在资格审查结果表上签字。</w:t>
      </w:r>
    </w:p>
    <w:p>
      <w:pPr>
        <w:adjustRightInd w:val="0"/>
        <w:snapToGrid w:val="0"/>
        <w:ind w:left="478" w:leftChars="228" w:right="-109" w:rightChars="-52" w:firstLine="480"/>
        <w:rPr>
          <w:rFonts w:ascii="宋体" w:hAnsi="宋体"/>
          <w:sz w:val="24"/>
        </w:rPr>
      </w:pPr>
      <w:r>
        <w:rPr>
          <w:rFonts w:hint="eastAsia" w:ascii="宋体" w:hAnsi="宋体"/>
          <w:sz w:val="24"/>
        </w:rPr>
        <w:t>资格审查要求详见投标人须知前附表2.5。</w:t>
      </w:r>
    </w:p>
    <w:p>
      <w:pPr>
        <w:adjustRightInd w:val="0"/>
        <w:snapToGrid w:val="0"/>
        <w:ind w:left="478" w:leftChars="228" w:right="-109" w:rightChars="-52" w:firstLine="480"/>
        <w:rPr>
          <w:rFonts w:ascii="宋体" w:hAnsi="宋体"/>
          <w:sz w:val="24"/>
        </w:rPr>
      </w:pPr>
      <w:r>
        <w:rPr>
          <w:rFonts w:hint="eastAsia" w:ascii="宋体" w:hAnsi="宋体"/>
          <w:sz w:val="24"/>
        </w:rPr>
        <w:t>② 符合性审查。评标委员会应当对符合资格的投标人的投标文件进行符合性审查，以确定其是否满足招标文件的实质性要求。</w:t>
      </w:r>
    </w:p>
    <w:p>
      <w:pPr>
        <w:adjustRightInd w:val="0"/>
        <w:snapToGrid w:val="0"/>
        <w:ind w:left="478" w:leftChars="228" w:right="-109" w:rightChars="-52" w:firstLine="600" w:firstLineChars="250"/>
        <w:rPr>
          <w:rFonts w:ascii="宋体" w:hAnsi="宋体"/>
          <w:sz w:val="24"/>
        </w:rPr>
      </w:pPr>
      <w:r>
        <w:rPr>
          <w:rFonts w:hint="eastAsia" w:ascii="宋体" w:hAnsi="宋体"/>
          <w:sz w:val="24"/>
        </w:rPr>
        <w:t>1）投标文件是否按照招标文件的规定编制、标注、密封、封装；</w:t>
      </w:r>
    </w:p>
    <w:p>
      <w:pPr>
        <w:adjustRightInd w:val="0"/>
        <w:snapToGrid w:val="0"/>
        <w:ind w:left="478" w:leftChars="228" w:right="-109" w:rightChars="-52" w:firstLine="600" w:firstLineChars="250"/>
        <w:rPr>
          <w:rFonts w:ascii="宋体" w:hAnsi="宋体"/>
          <w:sz w:val="24"/>
        </w:rPr>
      </w:pPr>
      <w:r>
        <w:rPr>
          <w:rFonts w:hint="eastAsia" w:ascii="宋体" w:hAnsi="宋体"/>
          <w:sz w:val="24"/>
        </w:rPr>
        <w:t>2）投标人是否按照招标文件的规定提交投标保证金（提供电汇凭证等银行证明材料）；</w:t>
      </w:r>
    </w:p>
    <w:p>
      <w:pPr>
        <w:adjustRightInd w:val="0"/>
        <w:snapToGrid w:val="0"/>
        <w:ind w:left="478" w:leftChars="228" w:right="-109" w:rightChars="-52" w:firstLine="600" w:firstLineChars="250"/>
        <w:rPr>
          <w:rFonts w:ascii="宋体" w:hAnsi="宋体"/>
          <w:sz w:val="24"/>
        </w:rPr>
      </w:pPr>
      <w:r>
        <w:rPr>
          <w:rFonts w:hint="eastAsia" w:ascii="宋体" w:hAnsi="宋体"/>
          <w:sz w:val="24"/>
        </w:rPr>
        <w:t>3）投标文件是否按照招标文件要求签署、盖章；</w:t>
      </w:r>
    </w:p>
    <w:p>
      <w:pPr>
        <w:adjustRightInd w:val="0"/>
        <w:snapToGrid w:val="0"/>
        <w:ind w:left="478" w:leftChars="228" w:right="-109" w:rightChars="-52" w:firstLine="600" w:firstLineChars="250"/>
        <w:rPr>
          <w:rFonts w:ascii="宋体" w:hAnsi="宋体"/>
          <w:sz w:val="24"/>
        </w:rPr>
      </w:pPr>
      <w:r>
        <w:rPr>
          <w:rFonts w:hint="eastAsia" w:ascii="宋体" w:hAnsi="宋体"/>
          <w:sz w:val="24"/>
        </w:rPr>
        <w:t>4）投标文件是否按照招标文件规定的格式填写相关内容；</w:t>
      </w:r>
    </w:p>
    <w:p>
      <w:pPr>
        <w:adjustRightInd w:val="0"/>
        <w:snapToGrid w:val="0"/>
        <w:ind w:left="478" w:leftChars="228" w:right="-109" w:rightChars="-52" w:firstLine="600" w:firstLineChars="250"/>
        <w:rPr>
          <w:rFonts w:ascii="宋体" w:hAnsi="宋体"/>
          <w:sz w:val="24"/>
        </w:rPr>
      </w:pPr>
      <w:r>
        <w:rPr>
          <w:rFonts w:hint="eastAsia" w:ascii="宋体" w:hAnsi="宋体"/>
          <w:sz w:val="24"/>
        </w:rPr>
        <w:t>5）投标报价是否在招标文件中规定的预算金额或者最高限价范围内；</w:t>
      </w:r>
    </w:p>
    <w:p>
      <w:pPr>
        <w:adjustRightInd w:val="0"/>
        <w:snapToGrid w:val="0"/>
        <w:ind w:left="478" w:leftChars="228" w:right="-109" w:rightChars="-52" w:firstLine="600" w:firstLineChars="250"/>
        <w:rPr>
          <w:rFonts w:ascii="宋体" w:hAnsi="宋体"/>
          <w:sz w:val="24"/>
        </w:rPr>
      </w:pPr>
      <w:r>
        <w:rPr>
          <w:rFonts w:hint="eastAsia" w:ascii="宋体" w:hAnsi="宋体"/>
          <w:sz w:val="24"/>
        </w:rPr>
        <w:t>6）投标文件是否对招标文件提出的商务、技术等要求作出实质性响应（资格要求除外）；</w:t>
      </w:r>
    </w:p>
    <w:p>
      <w:pPr>
        <w:adjustRightInd w:val="0"/>
        <w:snapToGrid w:val="0"/>
        <w:ind w:left="478" w:leftChars="228" w:right="-109" w:rightChars="-52" w:firstLine="600" w:firstLineChars="250"/>
        <w:rPr>
          <w:rFonts w:ascii="宋体" w:hAnsi="宋体"/>
          <w:sz w:val="24"/>
        </w:rPr>
      </w:pPr>
      <w:r>
        <w:rPr>
          <w:rFonts w:hint="eastAsia" w:ascii="宋体" w:hAnsi="宋体"/>
          <w:sz w:val="24"/>
        </w:rPr>
        <w:t>7）投标文件是否含有采购人不能接受的附加条件；</w:t>
      </w:r>
    </w:p>
    <w:p>
      <w:pPr>
        <w:adjustRightInd w:val="0"/>
        <w:snapToGrid w:val="0"/>
        <w:ind w:left="478" w:leftChars="228" w:right="-109" w:rightChars="-52" w:firstLine="600" w:firstLineChars="250"/>
        <w:rPr>
          <w:rFonts w:ascii="宋体" w:hAnsi="宋体"/>
          <w:sz w:val="24"/>
        </w:rPr>
      </w:pPr>
      <w:r>
        <w:rPr>
          <w:rFonts w:hint="eastAsia" w:ascii="宋体" w:hAnsi="宋体"/>
          <w:sz w:val="24"/>
        </w:rPr>
        <w:t>8）投标人能否按照评标委员会要求对投标文件进行澄清、说明或者补正。</w:t>
      </w:r>
    </w:p>
    <w:p>
      <w:pPr>
        <w:adjustRightInd w:val="0"/>
        <w:snapToGrid w:val="0"/>
        <w:ind w:right="-109" w:rightChars="-52" w:firstLine="960" w:firstLineChars="400"/>
        <w:rPr>
          <w:rFonts w:ascii="宋体" w:hAnsi="宋体"/>
          <w:sz w:val="24"/>
        </w:rPr>
      </w:pPr>
      <w:r>
        <w:rPr>
          <w:rFonts w:hint="eastAsia" w:ascii="宋体" w:hAnsi="宋体"/>
          <w:sz w:val="24"/>
        </w:rPr>
        <w:t>③ 评委会决定投标文件的响应性只根据投标文件真实无误的内容，而不依据外部的证据。</w:t>
      </w:r>
    </w:p>
    <w:p>
      <w:pPr>
        <w:adjustRightInd w:val="0"/>
        <w:snapToGrid w:val="0"/>
        <w:ind w:right="-109" w:rightChars="-52" w:firstLine="960" w:firstLineChars="400"/>
        <w:rPr>
          <w:rFonts w:ascii="宋体" w:hAnsi="宋体"/>
          <w:sz w:val="24"/>
        </w:rPr>
      </w:pPr>
      <w:r>
        <w:rPr>
          <w:rFonts w:hint="eastAsia" w:ascii="宋体" w:hAnsi="宋体"/>
          <w:sz w:val="24"/>
        </w:rPr>
        <w:t>④ 投标人不得通过修正或撤销不合要求的偏离从而使其投标成为实质上响应的投标。</w:t>
      </w:r>
    </w:p>
    <w:p>
      <w:pPr>
        <w:adjustRightInd w:val="0"/>
        <w:snapToGrid w:val="0"/>
        <w:spacing w:beforeLines="50"/>
        <w:ind w:right="-109" w:rightChars="-52" w:firstLine="360" w:firstLineChars="150"/>
        <w:rPr>
          <w:rFonts w:ascii="宋体" w:hAnsi="宋体" w:cs="宋体"/>
          <w:color w:val="000000"/>
          <w:sz w:val="24"/>
          <w:lang w:val="zh-CN"/>
        </w:rPr>
      </w:pPr>
      <w:r>
        <w:rPr>
          <w:rFonts w:hint="eastAsia" w:ascii="宋体" w:hAnsi="宋体"/>
          <w:b/>
          <w:bCs/>
          <w:sz w:val="24"/>
        </w:rPr>
        <w:t>（2）投标文件的校核</w:t>
      </w:r>
    </w:p>
    <w:p>
      <w:pPr>
        <w:tabs>
          <w:tab w:val="left" w:pos="8640"/>
        </w:tabs>
        <w:ind w:firstLine="480"/>
        <w:rPr>
          <w:rFonts w:ascii="宋体" w:hAnsi="宋体" w:cs="宋体"/>
          <w:sz w:val="24"/>
          <w:lang w:val="zh-CN"/>
        </w:rPr>
      </w:pPr>
      <w:r>
        <w:rPr>
          <w:rFonts w:hint="eastAsia" w:ascii="宋体" w:hAnsi="宋体" w:cs="宋体"/>
          <w:sz w:val="24"/>
          <w:lang w:val="zh-CN"/>
        </w:rPr>
        <w:t xml:space="preserve">投标文件报价出现前后不一致的，除招标文件另有规定外，按照下列规定修正： </w:t>
      </w:r>
    </w:p>
    <w:p>
      <w:pPr>
        <w:tabs>
          <w:tab w:val="left" w:pos="8640"/>
        </w:tabs>
        <w:ind w:left="119" w:leftChars="57" w:firstLine="600" w:firstLineChars="250"/>
        <w:rPr>
          <w:rFonts w:ascii="宋体" w:hAnsi="宋体" w:cs="宋体"/>
          <w:sz w:val="24"/>
          <w:lang w:val="zh-CN"/>
        </w:rPr>
      </w:pPr>
      <w:r>
        <w:rPr>
          <w:rFonts w:hint="eastAsia" w:ascii="宋体" w:hAnsi="宋体" w:cs="宋体"/>
          <w:sz w:val="24"/>
          <w:lang w:val="zh-CN"/>
        </w:rPr>
        <w:t xml:space="preserve">①投标文件中开标一览表(报价表)内容与投标文件中相应内容不一致的，以开标一览表(报价表)为准;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②大写金额和小写金额不一致的，以大写金额为准;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③单价金额小数点或者百分比有明显错位的，以开标一览表的总价为准，并修改单价; </w:t>
      </w:r>
    </w:p>
    <w:p>
      <w:pPr>
        <w:tabs>
          <w:tab w:val="left" w:pos="8640"/>
        </w:tabs>
        <w:ind w:firstLine="720" w:firstLineChars="300"/>
        <w:rPr>
          <w:rFonts w:ascii="宋体" w:hAnsi="宋体" w:cs="宋体"/>
          <w:sz w:val="24"/>
          <w:lang w:val="zh-CN"/>
        </w:rPr>
      </w:pPr>
      <w:r>
        <w:rPr>
          <w:rFonts w:hint="eastAsia" w:ascii="宋体" w:hAnsi="宋体" w:cs="宋体"/>
          <w:sz w:val="24"/>
          <w:lang w:val="zh-CN"/>
        </w:rPr>
        <w:t xml:space="preserve">④总价金额与按单价汇总金额不一致的，以单价金额计算结果为准。 </w:t>
      </w:r>
    </w:p>
    <w:p>
      <w:pPr>
        <w:tabs>
          <w:tab w:val="left" w:pos="8640"/>
        </w:tabs>
        <w:ind w:firstLine="480"/>
        <w:rPr>
          <w:rFonts w:ascii="宋体" w:cs="宋体"/>
          <w:sz w:val="24"/>
        </w:rPr>
      </w:pPr>
      <w:r>
        <w:rPr>
          <w:rFonts w:hint="eastAsia" w:ascii="宋体" w:hAnsi="宋体" w:cs="宋体"/>
          <w:sz w:val="24"/>
          <w:lang w:val="zh-CN"/>
        </w:rPr>
        <w:t>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adjustRightInd w:val="0"/>
        <w:snapToGrid w:val="0"/>
        <w:spacing w:beforeLines="50"/>
        <w:ind w:right="-109" w:rightChars="-52" w:firstLine="360" w:firstLineChars="150"/>
        <w:rPr>
          <w:rFonts w:ascii="宋体" w:hAnsi="宋体"/>
          <w:b/>
          <w:bCs/>
          <w:sz w:val="24"/>
        </w:rPr>
      </w:pPr>
      <w:r>
        <w:rPr>
          <w:rFonts w:hint="eastAsia" w:ascii="宋体" w:hAnsi="宋体"/>
          <w:b/>
          <w:bCs/>
          <w:sz w:val="24"/>
        </w:rPr>
        <w:t>（3）无效投标</w:t>
      </w:r>
    </w:p>
    <w:p>
      <w:pPr>
        <w:adjustRightInd w:val="0"/>
        <w:snapToGrid w:val="0"/>
        <w:spacing w:beforeLines="50"/>
        <w:ind w:right="-109" w:rightChars="-52" w:firstLine="360" w:firstLineChars="150"/>
        <w:rPr>
          <w:rFonts w:ascii="宋体" w:hAnsi="宋体"/>
          <w:bCs/>
          <w:sz w:val="24"/>
        </w:rPr>
      </w:pPr>
      <w:r>
        <w:rPr>
          <w:rFonts w:hint="eastAsia" w:ascii="宋体" w:hAnsi="宋体"/>
          <w:bCs/>
          <w:sz w:val="24"/>
        </w:rPr>
        <w:t>投标文件属下列情况之一的，应在资格审查、符合性审查时按照无效投标处理</w:t>
      </w:r>
      <w:r>
        <w:rPr>
          <w:rFonts w:ascii="宋体" w:hAnsi="宋体"/>
          <w:bCs/>
          <w:sz w:val="24"/>
        </w:rPr>
        <w:t>:</w:t>
      </w:r>
    </w:p>
    <w:p>
      <w:pPr>
        <w:adjustRightInd w:val="0"/>
        <w:snapToGrid w:val="0"/>
        <w:ind w:right="-109" w:rightChars="-52" w:firstLine="600" w:firstLineChars="250"/>
        <w:rPr>
          <w:rFonts w:ascii="宋体" w:hAnsi="宋体"/>
          <w:sz w:val="24"/>
        </w:rPr>
      </w:pPr>
      <w:r>
        <w:rPr>
          <w:rFonts w:hint="eastAsia" w:ascii="宋体" w:hAnsi="宋体"/>
          <w:color w:val="000000"/>
          <w:sz w:val="24"/>
        </w:rPr>
        <w:t>①投标人未按要求交纳投标保证金或金额不足的（详见投标人须知前附表2.9）；</w:t>
      </w:r>
    </w:p>
    <w:p>
      <w:pPr>
        <w:adjustRightInd w:val="0"/>
        <w:snapToGrid w:val="0"/>
        <w:ind w:right="-109" w:rightChars="-52" w:firstLine="600" w:firstLineChars="250"/>
        <w:rPr>
          <w:rFonts w:ascii="宋体" w:hAnsi="宋体"/>
          <w:sz w:val="24"/>
        </w:rPr>
      </w:pPr>
      <w:r>
        <w:rPr>
          <w:rFonts w:hint="eastAsia" w:ascii="宋体" w:hAnsi="宋体"/>
          <w:color w:val="000000"/>
          <w:sz w:val="24"/>
        </w:rPr>
        <w:t>②投标人未按要求提交</w:t>
      </w:r>
      <w:r>
        <w:rPr>
          <w:rFonts w:hint="eastAsia" w:ascii="宋体" w:hAnsi="宋体"/>
          <w:color w:val="000000"/>
          <w:spacing w:val="-6"/>
          <w:sz w:val="24"/>
        </w:rPr>
        <w:t>本项目投标保证金电汇凭证等银行证明文件的；</w:t>
      </w:r>
    </w:p>
    <w:p>
      <w:pPr>
        <w:adjustRightInd w:val="0"/>
        <w:snapToGrid w:val="0"/>
        <w:ind w:right="-109" w:rightChars="-52" w:firstLine="600" w:firstLineChars="250"/>
        <w:rPr>
          <w:rFonts w:ascii="宋体" w:hAnsi="宋体"/>
          <w:color w:val="000000"/>
          <w:sz w:val="24"/>
        </w:rPr>
      </w:pPr>
      <w:r>
        <w:rPr>
          <w:rFonts w:hint="eastAsia" w:ascii="宋体" w:hAnsi="宋体"/>
          <w:color w:val="000000"/>
          <w:sz w:val="24"/>
        </w:rPr>
        <w:t>③投标文件未按规定编制、标注、密封、封装的；</w:t>
      </w:r>
    </w:p>
    <w:p>
      <w:pPr>
        <w:adjustRightInd w:val="0"/>
        <w:snapToGrid w:val="0"/>
        <w:ind w:right="-109" w:rightChars="-52" w:firstLine="600" w:firstLineChars="250"/>
        <w:rPr>
          <w:rFonts w:ascii="宋体" w:hAnsi="宋体"/>
          <w:sz w:val="24"/>
        </w:rPr>
      </w:pPr>
      <w:r>
        <w:rPr>
          <w:rFonts w:hint="eastAsia" w:ascii="宋体" w:hAnsi="宋体"/>
          <w:color w:val="000000"/>
          <w:sz w:val="24"/>
        </w:rPr>
        <w:t>④报价超过招标文件中规定的预算金额或者最高限价的；</w:t>
      </w:r>
    </w:p>
    <w:p>
      <w:pPr>
        <w:adjustRightInd w:val="0"/>
        <w:snapToGrid w:val="0"/>
        <w:ind w:right="-109" w:rightChars="-52" w:firstLine="600" w:firstLineChars="250"/>
        <w:rPr>
          <w:rFonts w:ascii="宋体" w:hAnsi="宋体"/>
          <w:sz w:val="24"/>
        </w:rPr>
      </w:pPr>
      <w:r>
        <w:rPr>
          <w:rFonts w:hint="eastAsia" w:ascii="宋体" w:hAnsi="宋体"/>
          <w:color w:val="000000"/>
          <w:sz w:val="24"/>
        </w:rPr>
        <w:t>⑤投标文件无投标人公章和法人或者法人授权代理人的印章或签字的；</w:t>
      </w:r>
    </w:p>
    <w:p>
      <w:pPr>
        <w:adjustRightInd w:val="0"/>
        <w:snapToGrid w:val="0"/>
        <w:ind w:right="-109" w:rightChars="-52" w:firstLine="600" w:firstLineChars="250"/>
        <w:rPr>
          <w:rFonts w:ascii="宋体" w:hAnsi="宋体"/>
          <w:sz w:val="24"/>
        </w:rPr>
      </w:pPr>
      <w:r>
        <w:rPr>
          <w:rFonts w:hint="eastAsia" w:ascii="宋体" w:hAnsi="宋体"/>
          <w:color w:val="000000"/>
          <w:sz w:val="24"/>
        </w:rPr>
        <w:t>⑥投标人未能提供法人授权函等证明文件和资料的，或提供的证件不齐或无效；</w:t>
      </w:r>
    </w:p>
    <w:p>
      <w:pPr>
        <w:adjustRightInd w:val="0"/>
        <w:snapToGrid w:val="0"/>
        <w:ind w:left="119" w:leftChars="57" w:right="-109" w:rightChars="-52" w:firstLine="480"/>
        <w:rPr>
          <w:rFonts w:ascii="宋体" w:hAnsi="宋体"/>
          <w:sz w:val="24"/>
        </w:rPr>
      </w:pPr>
      <w:r>
        <w:rPr>
          <w:rFonts w:hint="eastAsia" w:ascii="宋体" w:hAnsi="宋体"/>
          <w:color w:val="000000"/>
          <w:sz w:val="24"/>
        </w:rPr>
        <w:t>⑦投标文件未按照招标文件规定的格式填写，或者填写的内容不全，或者辨认不清产生歧义，或者涂改处未加盖投标人公章及法人或法人授权的代理人的印章或签字的；</w:t>
      </w:r>
    </w:p>
    <w:p>
      <w:pPr>
        <w:adjustRightInd w:val="0"/>
        <w:snapToGrid w:val="0"/>
        <w:ind w:right="-109" w:rightChars="-52" w:firstLine="600" w:firstLineChars="250"/>
        <w:rPr>
          <w:rFonts w:ascii="宋体" w:hAnsi="宋体"/>
          <w:sz w:val="24"/>
        </w:rPr>
      </w:pPr>
      <w:r>
        <w:rPr>
          <w:rFonts w:hint="eastAsia" w:ascii="宋体" w:hAnsi="宋体"/>
          <w:color w:val="000000"/>
          <w:sz w:val="24"/>
        </w:rPr>
        <w:t>⑧投标文件中以两个及两个以上的方案进行投标的（招标文件另有规定的除外）；</w:t>
      </w:r>
    </w:p>
    <w:p>
      <w:pPr>
        <w:adjustRightInd w:val="0"/>
        <w:snapToGrid w:val="0"/>
        <w:ind w:right="-109" w:rightChars="-52" w:firstLine="600" w:firstLineChars="250"/>
        <w:rPr>
          <w:rFonts w:ascii="宋体" w:hAnsi="宋体"/>
          <w:sz w:val="24"/>
        </w:rPr>
      </w:pPr>
      <w:r>
        <w:rPr>
          <w:rFonts w:hint="eastAsia" w:ascii="宋体" w:hAnsi="宋体"/>
          <w:color w:val="000000"/>
          <w:sz w:val="24"/>
        </w:rPr>
        <w:t>⑨投标文件未能对招标文件提出的要求和条件作出实质性响应的；</w:t>
      </w:r>
    </w:p>
    <w:p>
      <w:pPr>
        <w:adjustRightInd w:val="0"/>
        <w:snapToGrid w:val="0"/>
        <w:ind w:right="-109" w:rightChars="-52" w:firstLine="600" w:firstLineChars="250"/>
        <w:rPr>
          <w:rFonts w:ascii="宋体" w:hAnsi="宋体"/>
          <w:sz w:val="24"/>
        </w:rPr>
      </w:pPr>
      <w:r>
        <w:rPr>
          <w:rFonts w:hint="eastAsia" w:ascii="宋体" w:hAnsi="宋体"/>
          <w:color w:val="000000"/>
          <w:sz w:val="24"/>
        </w:rPr>
        <w:t>⑩投标人资格条件不符合国家有关规定和招标文件要求的，或者拒不按照要求对投标文件进行澄清、说明或者补正的；</w:t>
      </w:r>
    </w:p>
    <w:p>
      <w:pPr>
        <w:adjustRightInd w:val="0"/>
        <w:snapToGrid w:val="0"/>
        <w:ind w:right="-109" w:rightChars="-52" w:firstLine="600" w:firstLineChars="250"/>
        <w:rPr>
          <w:rFonts w:ascii="宋体" w:hAnsi="宋体"/>
          <w:sz w:val="24"/>
        </w:rPr>
      </w:pPr>
      <w:r>
        <w:rPr>
          <w:rFonts w:ascii="MS Mincho" w:hAnsi="MS Mincho" w:cs="Cambria Math"/>
          <w:color w:val="000000"/>
          <w:sz w:val="24"/>
        </w:rPr>
        <w:t>⑪</w:t>
      </w:r>
      <w:r>
        <w:rPr>
          <w:rFonts w:hint="eastAsia" w:ascii="宋体" w:hAnsi="宋体"/>
          <w:color w:val="000000"/>
          <w:sz w:val="24"/>
        </w:rPr>
        <w:t>投标文件附有招标人不能接受的条件的；</w:t>
      </w:r>
    </w:p>
    <w:p>
      <w:pPr>
        <w:adjustRightInd w:val="0"/>
        <w:snapToGrid w:val="0"/>
        <w:ind w:right="-109" w:rightChars="-52" w:firstLine="600" w:firstLineChars="250"/>
        <w:rPr>
          <w:rFonts w:ascii="宋体" w:hAnsi="宋体"/>
          <w:color w:val="000000"/>
          <w:sz w:val="24"/>
        </w:rPr>
      </w:pPr>
      <w:r>
        <w:rPr>
          <w:rFonts w:ascii="MS Mincho" w:hAnsi="MS Mincho"/>
          <w:color w:val="000000"/>
          <w:sz w:val="24"/>
        </w:rPr>
        <w:t>⑫</w:t>
      </w:r>
      <w:r>
        <w:rPr>
          <w:rFonts w:hint="eastAsia" w:ascii="宋体" w:hAnsi="宋体"/>
          <w:color w:val="000000"/>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adjustRightInd w:val="0"/>
        <w:snapToGrid w:val="0"/>
        <w:ind w:right="-109" w:rightChars="-52" w:firstLine="600" w:firstLineChars="250"/>
        <w:rPr>
          <w:rFonts w:ascii="宋体" w:hAnsi="宋体"/>
          <w:sz w:val="24"/>
        </w:rPr>
      </w:pPr>
      <w:r>
        <w:rPr>
          <w:rFonts w:ascii="MS Mincho" w:hAnsi="MS Mincho" w:cs="MS Mincho"/>
          <w:color w:val="000000"/>
          <w:sz w:val="24"/>
        </w:rPr>
        <w:t>⑬</w:t>
      </w:r>
      <w:r>
        <w:rPr>
          <w:rFonts w:hint="eastAsia" w:ascii="宋体" w:hAnsi="宋体"/>
          <w:color w:val="000000"/>
          <w:sz w:val="24"/>
        </w:rPr>
        <w:t>投标有效期不足</w:t>
      </w:r>
      <w:r>
        <w:rPr>
          <w:rFonts w:ascii="宋体" w:hAnsi="宋体"/>
          <w:color w:val="000000"/>
          <w:sz w:val="24"/>
        </w:rPr>
        <w:t>60</w:t>
      </w:r>
      <w:r>
        <w:rPr>
          <w:rFonts w:hint="eastAsia" w:ascii="宋体" w:hAnsi="宋体"/>
          <w:color w:val="000000"/>
          <w:sz w:val="24"/>
        </w:rPr>
        <w:t>天的；</w:t>
      </w:r>
    </w:p>
    <w:p>
      <w:pPr>
        <w:adjustRightInd w:val="0"/>
        <w:snapToGrid w:val="0"/>
        <w:ind w:right="-109" w:rightChars="-52" w:firstLine="600" w:firstLineChars="250"/>
        <w:rPr>
          <w:rFonts w:ascii="宋体" w:hAnsi="宋体"/>
          <w:color w:val="000000"/>
          <w:sz w:val="24"/>
        </w:rPr>
      </w:pPr>
      <w:r>
        <w:rPr>
          <w:rFonts w:ascii="MS Mincho" w:hAnsi="MS Mincho" w:cs="MS Mincho"/>
          <w:color w:val="000000"/>
          <w:sz w:val="24"/>
        </w:rPr>
        <w:t>⑭</w:t>
      </w:r>
      <w:r>
        <w:rPr>
          <w:rFonts w:hint="eastAsia" w:ascii="宋体" w:hAnsi="宋体"/>
          <w:color w:val="000000"/>
          <w:sz w:val="24"/>
        </w:rPr>
        <w:t>有下列情形之一的，视为投标人串通投标，其投标无效：</w:t>
      </w:r>
    </w:p>
    <w:p>
      <w:pPr>
        <w:adjustRightInd w:val="0"/>
        <w:snapToGrid w:val="0"/>
        <w:ind w:right="-109" w:rightChars="-52" w:firstLine="480"/>
        <w:rPr>
          <w:rFonts w:ascii="宋体" w:hAnsi="宋体"/>
          <w:color w:val="000000"/>
          <w:sz w:val="24"/>
        </w:rPr>
      </w:pPr>
      <w:r>
        <w:rPr>
          <w:rFonts w:hint="eastAsia" w:ascii="宋体" w:hAnsi="宋体"/>
          <w:color w:val="000000"/>
          <w:sz w:val="24"/>
        </w:rPr>
        <w:t xml:space="preserve">  1）不同投标人的投标文件由同一单位或者个人编制；</w:t>
      </w:r>
    </w:p>
    <w:p>
      <w:pPr>
        <w:adjustRightInd w:val="0"/>
        <w:snapToGrid w:val="0"/>
        <w:ind w:right="-109" w:rightChars="-52" w:firstLine="720" w:firstLineChars="300"/>
        <w:rPr>
          <w:rFonts w:ascii="宋体" w:hAnsi="宋体"/>
          <w:color w:val="000000"/>
          <w:sz w:val="24"/>
        </w:rPr>
      </w:pPr>
      <w:r>
        <w:rPr>
          <w:rFonts w:hint="eastAsia" w:ascii="宋体" w:hAnsi="宋体"/>
          <w:color w:val="000000"/>
          <w:sz w:val="24"/>
        </w:rPr>
        <w:t>2）不同投标人委托同一单位或者个人办理投标事宜；</w:t>
      </w:r>
    </w:p>
    <w:p>
      <w:pPr>
        <w:adjustRightInd w:val="0"/>
        <w:snapToGrid w:val="0"/>
        <w:ind w:right="-109" w:rightChars="-52" w:firstLine="720" w:firstLineChars="300"/>
        <w:rPr>
          <w:rFonts w:ascii="宋体" w:hAnsi="宋体"/>
          <w:color w:val="000000"/>
          <w:sz w:val="24"/>
        </w:rPr>
      </w:pPr>
      <w:r>
        <w:rPr>
          <w:rFonts w:hint="eastAsia" w:ascii="宋体" w:hAnsi="宋体"/>
          <w:color w:val="000000"/>
          <w:sz w:val="24"/>
        </w:rPr>
        <w:t>3）不同投标人的投标文件载明的项目管理成员或者联系人员为同一人；</w:t>
      </w:r>
    </w:p>
    <w:p>
      <w:pPr>
        <w:adjustRightInd w:val="0"/>
        <w:snapToGrid w:val="0"/>
        <w:ind w:right="-109" w:rightChars="-52" w:firstLine="720" w:firstLineChars="300"/>
        <w:rPr>
          <w:rFonts w:ascii="宋体" w:hAnsi="宋体"/>
          <w:color w:val="000000"/>
          <w:sz w:val="24"/>
        </w:rPr>
      </w:pPr>
      <w:r>
        <w:rPr>
          <w:rFonts w:hint="eastAsia" w:ascii="宋体" w:hAnsi="宋体"/>
          <w:color w:val="000000"/>
          <w:sz w:val="24"/>
        </w:rPr>
        <w:t>4）不同投标人的投标文件异常一致或者投标报价呈规律性差异；</w:t>
      </w:r>
    </w:p>
    <w:p>
      <w:pPr>
        <w:adjustRightInd w:val="0"/>
        <w:snapToGrid w:val="0"/>
        <w:ind w:right="-109" w:rightChars="-52" w:firstLine="720" w:firstLineChars="300"/>
        <w:rPr>
          <w:rFonts w:ascii="宋体" w:hAnsi="宋体"/>
          <w:color w:val="000000"/>
          <w:sz w:val="24"/>
        </w:rPr>
      </w:pPr>
      <w:r>
        <w:rPr>
          <w:rFonts w:hint="eastAsia" w:ascii="宋体" w:hAnsi="宋体"/>
          <w:color w:val="000000"/>
          <w:sz w:val="24"/>
        </w:rPr>
        <w:t>5）不同投标人的投标文件相互混装；</w:t>
      </w:r>
    </w:p>
    <w:p>
      <w:pPr>
        <w:adjustRightInd w:val="0"/>
        <w:snapToGrid w:val="0"/>
        <w:ind w:right="-109" w:rightChars="-52" w:firstLine="720" w:firstLineChars="300"/>
        <w:rPr>
          <w:rFonts w:ascii="宋体" w:hAnsi="宋体"/>
          <w:color w:val="000000"/>
          <w:sz w:val="24"/>
        </w:rPr>
      </w:pPr>
      <w:r>
        <w:rPr>
          <w:rFonts w:hint="eastAsia" w:ascii="宋体" w:hAnsi="宋体"/>
          <w:color w:val="000000"/>
          <w:sz w:val="24"/>
        </w:rPr>
        <w:t>6）不同投标人的投标保证金从同一单位或者个人的账户转出。</w:t>
      </w:r>
      <w:r>
        <w:rPr>
          <w:rFonts w:hint="eastAsia" w:ascii="宋体" w:hAnsi="宋体"/>
          <w:color w:val="000000"/>
          <w:sz w:val="24"/>
        </w:rPr>
        <w:tab/>
      </w:r>
    </w:p>
    <w:p>
      <w:pPr>
        <w:adjustRightInd w:val="0"/>
        <w:snapToGrid w:val="0"/>
        <w:ind w:right="-109" w:rightChars="-52" w:firstLine="480"/>
        <w:rPr>
          <w:rFonts w:ascii="宋体" w:hAnsi="宋体"/>
          <w:sz w:val="24"/>
        </w:rPr>
      </w:pPr>
      <w:r>
        <w:rPr>
          <w:rFonts w:ascii="MS Mincho" w:hAnsi="MS Mincho" w:cs="Cambria Math"/>
          <w:color w:val="000000"/>
          <w:sz w:val="24"/>
        </w:rPr>
        <w:t>⑮</w:t>
      </w:r>
      <w:r>
        <w:rPr>
          <w:rFonts w:hint="eastAsia" w:ascii="宋体" w:hAnsi="宋体"/>
          <w:color w:val="000000"/>
          <w:sz w:val="24"/>
        </w:rPr>
        <w:t>招标文件规定的其它无效投标条件。</w:t>
      </w:r>
    </w:p>
    <w:p>
      <w:pPr>
        <w:pStyle w:val="4"/>
        <w:spacing w:before="156" w:after="156"/>
        <w:ind w:firstLine="482"/>
      </w:pPr>
      <w:bookmarkStart w:id="431" w:name="_Toc493013076"/>
      <w:bookmarkStart w:id="432" w:name="_Toc11580"/>
      <w:bookmarkStart w:id="433" w:name="_Toc17184"/>
      <w:bookmarkStart w:id="434" w:name="_Toc16457"/>
      <w:bookmarkStart w:id="435" w:name="_Toc459623010"/>
      <w:bookmarkStart w:id="436" w:name="_Toc31738"/>
      <w:r>
        <w:rPr>
          <w:rFonts w:hint="eastAsia"/>
        </w:rPr>
        <w:t>5.2</w:t>
      </w:r>
      <w:r>
        <w:t>.2</w:t>
      </w:r>
      <w:r>
        <w:rPr>
          <w:rFonts w:hint="eastAsia"/>
        </w:rPr>
        <w:t>比较与评价</w:t>
      </w:r>
      <w:bookmarkEnd w:id="431"/>
      <w:bookmarkEnd w:id="432"/>
      <w:bookmarkEnd w:id="433"/>
      <w:bookmarkEnd w:id="434"/>
      <w:bookmarkEnd w:id="435"/>
      <w:bookmarkEnd w:id="436"/>
    </w:p>
    <w:p>
      <w:pPr>
        <w:ind w:firstLine="480"/>
        <w:rPr>
          <w:rFonts w:ascii="宋体"/>
          <w:color w:val="000000"/>
          <w:sz w:val="24"/>
        </w:rPr>
      </w:pPr>
      <w:r>
        <w:rPr>
          <w:rFonts w:hint="eastAsia" w:ascii="宋体" w:hAnsi="宋体"/>
          <w:color w:val="000000"/>
          <w:sz w:val="24"/>
        </w:rPr>
        <w:t>评标委员会应当按照招标文件中规定的评标方法和标准，对符合性审查合格的投标文件进行商务和技术评估，综合比较与评价。</w:t>
      </w:r>
    </w:p>
    <w:p>
      <w:pPr>
        <w:pStyle w:val="4"/>
        <w:spacing w:before="156" w:after="156"/>
        <w:ind w:firstLine="482"/>
      </w:pPr>
      <w:bookmarkStart w:id="437" w:name="_Toc493013077"/>
      <w:bookmarkStart w:id="438" w:name="_Toc5226"/>
      <w:bookmarkStart w:id="439" w:name="_Toc16488"/>
      <w:bookmarkStart w:id="440" w:name="_Toc28663"/>
      <w:bookmarkStart w:id="441" w:name="_Toc459623011"/>
      <w:bookmarkStart w:id="442" w:name="_Toc30153"/>
      <w:r>
        <w:rPr>
          <w:rFonts w:hint="eastAsia"/>
        </w:rPr>
        <w:t>5.2</w:t>
      </w:r>
      <w:r>
        <w:t>.</w:t>
      </w:r>
      <w:r>
        <w:rPr>
          <w:rFonts w:hint="eastAsia"/>
        </w:rPr>
        <w:t>3评标方法</w:t>
      </w:r>
      <w:bookmarkEnd w:id="437"/>
      <w:bookmarkEnd w:id="438"/>
      <w:bookmarkEnd w:id="439"/>
      <w:bookmarkEnd w:id="440"/>
      <w:bookmarkEnd w:id="441"/>
      <w:bookmarkEnd w:id="442"/>
    </w:p>
    <w:p>
      <w:pPr>
        <w:ind w:firstLine="480"/>
        <w:rPr>
          <w:rFonts w:ascii="宋体" w:hAnsi="宋体"/>
          <w:color w:val="000000"/>
          <w:sz w:val="24"/>
        </w:rPr>
      </w:pPr>
      <w:r>
        <w:rPr>
          <w:rFonts w:hint="eastAsia" w:ascii="宋体" w:hAnsi="宋体"/>
          <w:color w:val="000000"/>
          <w:sz w:val="24"/>
        </w:rPr>
        <w:t>本项目采用“综合评分法”，即是指在最大限度地满足招标文件实质性要求前提下，按照招标文件中规定的各项因素进行综合评审后，以评标总得分最高的投标人作为排名第一的中标候选人。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color w:val="000000"/>
          <w:sz w:val="24"/>
        </w:rPr>
        <w:t>/</w:t>
      </w:r>
      <w:r>
        <w:rPr>
          <w:rFonts w:hint="eastAsia" w:ascii="宋体" w:hAnsi="宋体"/>
          <w:color w:val="000000"/>
          <w:sz w:val="24"/>
        </w:rPr>
        <w:t>投标报价）×价格权值×</w:t>
      </w:r>
      <w:r>
        <w:rPr>
          <w:rFonts w:ascii="宋体" w:hAnsi="宋体"/>
          <w:color w:val="000000"/>
          <w:sz w:val="24"/>
        </w:rPr>
        <w:t>100</w:t>
      </w:r>
      <w:r>
        <w:rPr>
          <w:rFonts w:hint="eastAsia" w:ascii="宋体" w:hAnsi="宋体"/>
          <w:color w:val="000000"/>
          <w:sz w:val="24"/>
        </w:rPr>
        <w:t>。</w:t>
      </w:r>
    </w:p>
    <w:p>
      <w:pPr>
        <w:widowControl/>
        <w:ind w:firstLine="424" w:firstLineChars="177"/>
        <w:jc w:val="left"/>
        <w:rPr>
          <w:sz w:val="24"/>
        </w:rPr>
      </w:pPr>
      <w:r>
        <w:rPr>
          <w:rFonts w:hint="eastAsia" w:cs="宋体"/>
          <w:sz w:val="24"/>
        </w:rPr>
        <w:t>法律、法规、规章和省级以上财政部门涉及政府采购政策功能及其他规定，见招标文件前附表。评委会应根据招标文件规定，优先推荐节能环保产品，优先考虑中小企业。</w:t>
      </w:r>
    </w:p>
    <w:p>
      <w:pPr>
        <w:widowControl/>
        <w:ind w:firstLine="424" w:firstLineChars="177"/>
        <w:jc w:val="left"/>
        <w:rPr>
          <w:sz w:val="24"/>
        </w:rPr>
      </w:pPr>
      <w:r>
        <w:rPr>
          <w:rFonts w:hint="eastAsia" w:cs="宋体"/>
          <w:sz w:val="24"/>
        </w:rPr>
        <w:t>投标人获得相应政府采购政策优惠的，应提供相关证明材料。</w:t>
      </w:r>
    </w:p>
    <w:p>
      <w:pPr>
        <w:widowControl/>
        <w:ind w:firstLine="424" w:firstLineChars="177"/>
        <w:jc w:val="left"/>
        <w:rPr>
          <w:rFonts w:cs="宋体"/>
          <w:sz w:val="24"/>
        </w:rPr>
      </w:pPr>
      <w:r>
        <w:rPr>
          <w:rFonts w:hint="eastAsia" w:cs="宋体"/>
          <w:sz w:val="24"/>
        </w:rPr>
        <w:t>对中小微企业执行财库〔</w:t>
      </w:r>
      <w:r>
        <w:rPr>
          <w:sz w:val="24"/>
        </w:rPr>
        <w:t>2011</w:t>
      </w:r>
      <w:r>
        <w:rPr>
          <w:rFonts w:hint="eastAsia" w:cs="宋体"/>
          <w:sz w:val="24"/>
        </w:rPr>
        <w:t>〕</w:t>
      </w:r>
      <w:r>
        <w:rPr>
          <w:sz w:val="24"/>
        </w:rPr>
        <w:t>181</w:t>
      </w:r>
      <w:r>
        <w:rPr>
          <w:rFonts w:hint="eastAsia" w:cs="宋体"/>
          <w:sz w:val="24"/>
        </w:rPr>
        <w:t>号文件的规定，对其投标报价按</w:t>
      </w:r>
      <w:r>
        <w:rPr>
          <w:sz w:val="24"/>
        </w:rPr>
        <w:t>6%</w:t>
      </w:r>
      <w:r>
        <w:rPr>
          <w:rFonts w:hint="eastAsia" w:cs="宋体"/>
          <w:sz w:val="24"/>
        </w:rPr>
        <w:t>扣除后的价格作为其评标价。不符合财库〔</w:t>
      </w:r>
      <w:r>
        <w:rPr>
          <w:sz w:val="24"/>
        </w:rPr>
        <w:t>2011</w:t>
      </w:r>
      <w:r>
        <w:rPr>
          <w:rFonts w:hint="eastAsia" w:cs="宋体"/>
          <w:sz w:val="24"/>
        </w:rPr>
        <w:t>〕</w:t>
      </w:r>
      <w:r>
        <w:rPr>
          <w:sz w:val="24"/>
        </w:rPr>
        <w:t>181</w:t>
      </w:r>
      <w:r>
        <w:rPr>
          <w:rFonts w:hint="eastAsia" w:cs="宋体"/>
          <w:sz w:val="24"/>
        </w:rPr>
        <w:t>号文件的规定企业的产品价格不予扣除，其投标报价即为评标价。</w:t>
      </w:r>
    </w:p>
    <w:p>
      <w:pPr>
        <w:spacing w:line="500" w:lineRule="exact"/>
        <w:ind w:firstLine="480"/>
        <w:rPr>
          <w:rFonts w:ascii="宋体" w:hAnsi="宋体"/>
          <w:sz w:val="24"/>
        </w:rPr>
      </w:pPr>
      <w:bookmarkStart w:id="443" w:name="_Toc493013078"/>
      <w:r>
        <w:rPr>
          <w:rFonts w:hint="eastAsia" w:ascii="宋体" w:hAnsi="宋体"/>
          <w:sz w:val="24"/>
        </w:rPr>
        <w:t>一、价格35分</w:t>
      </w:r>
    </w:p>
    <w:p>
      <w:pPr>
        <w:spacing w:line="500" w:lineRule="exact"/>
        <w:ind w:firstLine="480"/>
        <w:rPr>
          <w:rFonts w:ascii="宋体" w:hAnsi="宋体"/>
          <w:sz w:val="24"/>
        </w:rPr>
      </w:pPr>
      <w:r>
        <w:rPr>
          <w:rFonts w:hint="eastAsia" w:ascii="宋体" w:hAnsi="宋体"/>
          <w:sz w:val="24"/>
        </w:rPr>
        <w:t>在价格评分时，满足招标文件要求且合理的最低评标价为评标基准价，其价格分为满分。其他供应商的价格分统一按照下列公式计算：</w:t>
      </w:r>
    </w:p>
    <w:p>
      <w:pPr>
        <w:pStyle w:val="80"/>
        <w:spacing w:before="0" w:after="0" w:line="500" w:lineRule="exact"/>
        <w:ind w:firstLine="480"/>
        <w:rPr>
          <w:rFonts w:ascii="宋体" w:hAnsi="宋体"/>
          <w:szCs w:val="24"/>
        </w:rPr>
      </w:pPr>
      <w:r>
        <w:rPr>
          <w:rFonts w:hint="eastAsia" w:ascii="宋体" w:hAnsi="宋体"/>
        </w:rPr>
        <w:t>评标价</w:t>
      </w:r>
      <w:r>
        <w:rPr>
          <w:rFonts w:hint="eastAsia" w:ascii="宋体" w:hAnsi="宋体"/>
          <w:szCs w:val="24"/>
        </w:rPr>
        <w:t>得分 =（评标基准价/</w:t>
      </w:r>
      <w:r>
        <w:rPr>
          <w:rFonts w:hint="eastAsia" w:ascii="宋体" w:hAnsi="宋体"/>
        </w:rPr>
        <w:t>评标价</w:t>
      </w:r>
      <w:r>
        <w:rPr>
          <w:rFonts w:hint="eastAsia" w:ascii="宋体" w:hAnsi="宋体"/>
          <w:szCs w:val="24"/>
        </w:rPr>
        <w:t>）×35%×100</w:t>
      </w:r>
    </w:p>
    <w:p>
      <w:pPr>
        <w:spacing w:line="500" w:lineRule="exact"/>
        <w:ind w:firstLine="480"/>
        <w:rPr>
          <w:rFonts w:ascii="宋体" w:hAnsi="宋体"/>
          <w:sz w:val="24"/>
        </w:rPr>
      </w:pPr>
      <w:r>
        <w:rPr>
          <w:rFonts w:hint="eastAsia" w:ascii="宋体" w:hAnsi="宋体"/>
          <w:sz w:val="24"/>
        </w:rPr>
        <w:t>二、技术47分</w:t>
      </w:r>
    </w:p>
    <w:p>
      <w:pPr>
        <w:spacing w:line="500" w:lineRule="exact"/>
        <w:ind w:firstLine="480"/>
        <w:rPr>
          <w:rFonts w:ascii="宋体" w:hAnsi="宋体"/>
          <w:sz w:val="24"/>
        </w:rPr>
      </w:pPr>
      <w:r>
        <w:rPr>
          <w:rFonts w:hint="eastAsia" w:ascii="宋体" w:hAnsi="宋体"/>
          <w:sz w:val="24"/>
        </w:rPr>
        <w:t>1.</w:t>
      </w:r>
      <w:r>
        <w:rPr>
          <w:rFonts w:hint="eastAsia"/>
        </w:rPr>
        <w:t xml:space="preserve"> </w:t>
      </w:r>
      <w:r>
        <w:rPr>
          <w:rFonts w:hint="eastAsia" w:ascii="宋体" w:hAnsi="宋体"/>
          <w:sz w:val="24"/>
        </w:rPr>
        <w:t>投标产品技术性能满足或优于招标文件要求得35分；关键技术参数★项每负偏离一项扣5分,3项负偏离则本部分不得分；非关键性参数每负偏离一项扣3分，扣完该项分为止。（满分35分）</w:t>
      </w:r>
    </w:p>
    <w:p>
      <w:pPr>
        <w:spacing w:line="500" w:lineRule="exact"/>
        <w:ind w:firstLine="480"/>
        <w:rPr>
          <w:rFonts w:ascii="宋体" w:hAnsi="宋体"/>
          <w:sz w:val="24"/>
        </w:rPr>
      </w:pPr>
      <w:r>
        <w:rPr>
          <w:rFonts w:hint="eastAsia" w:ascii="宋体" w:hAnsi="宋体"/>
          <w:sz w:val="24"/>
        </w:rPr>
        <w:t>2.产品选型综合评价：供应商所提供设备的质量、性能、先进程度、运行的稳定性和可靠性：优秀得5分，良好得3分，一般得1分。（满分5分)</w:t>
      </w:r>
    </w:p>
    <w:p>
      <w:pPr>
        <w:spacing w:line="500" w:lineRule="exact"/>
        <w:ind w:firstLine="480"/>
        <w:rPr>
          <w:rFonts w:ascii="宋体" w:hAnsi="宋体"/>
          <w:sz w:val="24"/>
        </w:rPr>
      </w:pPr>
      <w:r>
        <w:rPr>
          <w:rFonts w:hint="eastAsia" w:ascii="宋体" w:hAnsi="宋体"/>
          <w:sz w:val="24"/>
        </w:rPr>
        <w:t>3.实施方案：专业技术人员配备齐全（提供相关人员资质证书），提供产品安装、调试及培训方案。优得7分，良得</w:t>
      </w:r>
      <w:r>
        <w:rPr>
          <w:rFonts w:hint="eastAsia" w:ascii="宋体" w:hAnsi="宋体"/>
          <w:sz w:val="24"/>
          <w:lang w:val="en-US" w:eastAsia="zh-CN"/>
        </w:rPr>
        <w:t>4</w:t>
      </w:r>
      <w:r>
        <w:rPr>
          <w:rFonts w:hint="eastAsia" w:ascii="宋体" w:hAnsi="宋体"/>
          <w:sz w:val="24"/>
        </w:rPr>
        <w:t>分，一般得</w:t>
      </w:r>
      <w:r>
        <w:rPr>
          <w:rFonts w:hint="eastAsia" w:ascii="宋体" w:hAnsi="宋体"/>
          <w:sz w:val="24"/>
          <w:lang w:val="en-US" w:eastAsia="zh-CN"/>
        </w:rPr>
        <w:t>2</w:t>
      </w:r>
      <w:r>
        <w:rPr>
          <w:rFonts w:hint="eastAsia" w:ascii="宋体" w:hAnsi="宋体"/>
          <w:sz w:val="24"/>
        </w:rPr>
        <w:t>分.（满分7分）</w:t>
      </w:r>
    </w:p>
    <w:p>
      <w:pPr>
        <w:spacing w:line="500" w:lineRule="exact"/>
        <w:ind w:firstLine="480"/>
        <w:rPr>
          <w:rFonts w:ascii="宋体" w:hAnsi="宋体"/>
          <w:sz w:val="24"/>
        </w:rPr>
      </w:pPr>
      <w:r>
        <w:rPr>
          <w:rFonts w:hint="eastAsia" w:ascii="宋体" w:hAnsi="宋体"/>
          <w:sz w:val="24"/>
        </w:rPr>
        <w:t>三、商务  18分</w:t>
      </w:r>
    </w:p>
    <w:p>
      <w:pPr>
        <w:spacing w:line="500" w:lineRule="exact"/>
        <w:ind w:firstLine="480"/>
        <w:rPr>
          <w:rFonts w:ascii="宋体" w:hAnsi="宋体"/>
          <w:sz w:val="24"/>
        </w:rPr>
      </w:pPr>
      <w:r>
        <w:rPr>
          <w:rFonts w:hint="eastAsia" w:ascii="宋体" w:hAnsi="宋体"/>
          <w:sz w:val="24"/>
        </w:rPr>
        <w:t>1、投标文件制作（5分）</w:t>
      </w:r>
    </w:p>
    <w:p>
      <w:pPr>
        <w:spacing w:line="500" w:lineRule="exact"/>
        <w:ind w:firstLine="480"/>
        <w:rPr>
          <w:rFonts w:ascii="宋体" w:hAnsi="宋体"/>
          <w:sz w:val="24"/>
        </w:rPr>
      </w:pPr>
      <w:r>
        <w:rPr>
          <w:rFonts w:hint="eastAsia" w:ascii="宋体" w:hAnsi="宋体"/>
          <w:sz w:val="24"/>
        </w:rPr>
        <w:t>投标文件制作规范、明确、附件齐全，能够完全响应招标文件得5分，否则不得分。</w:t>
      </w:r>
    </w:p>
    <w:p>
      <w:pPr>
        <w:spacing w:line="500" w:lineRule="exact"/>
        <w:ind w:firstLine="480"/>
        <w:rPr>
          <w:rFonts w:ascii="宋体" w:hAnsi="宋体"/>
          <w:sz w:val="24"/>
        </w:rPr>
      </w:pPr>
      <w:r>
        <w:rPr>
          <w:rFonts w:hint="eastAsia" w:ascii="宋体" w:hAnsi="宋体"/>
          <w:sz w:val="24"/>
        </w:rPr>
        <w:t>2、财务状况（3分）</w:t>
      </w:r>
    </w:p>
    <w:p>
      <w:pPr>
        <w:spacing w:line="500" w:lineRule="exact"/>
        <w:ind w:firstLine="480"/>
        <w:rPr>
          <w:rFonts w:ascii="宋体" w:hAnsi="宋体"/>
          <w:sz w:val="24"/>
        </w:rPr>
      </w:pPr>
      <w:r>
        <w:rPr>
          <w:rFonts w:hint="eastAsia" w:ascii="宋体" w:hAnsi="宋体"/>
          <w:sz w:val="24"/>
        </w:rPr>
        <w:t>近三年资产负债率均小于50%，得3分（以经会计师事务所审计的财务报告为准</w:t>
      </w:r>
      <w:r>
        <w:rPr>
          <w:rFonts w:hint="eastAsia" w:ascii="宋体" w:hAnsi="宋体"/>
          <w:sz w:val="24"/>
          <w:lang w:eastAsia="zh-CN"/>
        </w:rPr>
        <w:t>，</w:t>
      </w:r>
      <w:r>
        <w:rPr>
          <w:rFonts w:hint="eastAsia" w:ascii="宋体" w:hAnsi="宋体"/>
          <w:sz w:val="24"/>
          <w:lang w:val="en-US" w:eastAsia="zh-CN"/>
        </w:rPr>
        <w:t>2017年以后</w:t>
      </w:r>
      <w:r>
        <w:rPr>
          <w:rFonts w:hint="eastAsia" w:ascii="宋体" w:hAnsi="宋体"/>
          <w:sz w:val="24"/>
          <w:lang w:eastAsia="zh-CN"/>
        </w:rPr>
        <w:t>成立的公司以银行出具的资信证明为依据</w:t>
      </w:r>
      <w:r>
        <w:rPr>
          <w:rFonts w:hint="eastAsia" w:ascii="宋体" w:hAnsi="宋体"/>
          <w:sz w:val="24"/>
        </w:rPr>
        <w:t>）</w:t>
      </w:r>
      <w:r>
        <w:rPr>
          <w:rFonts w:hint="eastAsia" w:ascii="宋体" w:hAnsi="宋体"/>
          <w:sz w:val="24"/>
          <w:lang w:eastAsia="zh-CN"/>
        </w:rPr>
        <w:t>，</w:t>
      </w:r>
      <w:r>
        <w:rPr>
          <w:rFonts w:hint="eastAsia" w:ascii="宋体" w:hAnsi="宋体"/>
          <w:sz w:val="24"/>
        </w:rPr>
        <w:t xml:space="preserve">否则不得分。 </w:t>
      </w:r>
    </w:p>
    <w:p>
      <w:pPr>
        <w:spacing w:line="500" w:lineRule="exact"/>
        <w:ind w:firstLine="480"/>
        <w:rPr>
          <w:rFonts w:ascii="宋体" w:hAnsi="宋体"/>
          <w:sz w:val="24"/>
        </w:rPr>
      </w:pPr>
      <w:r>
        <w:rPr>
          <w:rFonts w:hint="eastAsia" w:ascii="宋体" w:hAnsi="宋体"/>
          <w:sz w:val="24"/>
        </w:rPr>
        <w:t>3、售后服务10分</w:t>
      </w:r>
    </w:p>
    <w:p>
      <w:pPr>
        <w:spacing w:line="440" w:lineRule="exact"/>
        <w:ind w:firstLine="480"/>
        <w:rPr>
          <w:rFonts w:ascii="宋体" w:hAnsi="宋体"/>
          <w:color w:val="0000FF"/>
          <w:sz w:val="24"/>
        </w:rPr>
      </w:pPr>
      <w:r>
        <w:rPr>
          <w:rFonts w:hint="eastAsia" w:ascii="宋体" w:hAnsi="宋体"/>
          <w:sz w:val="24"/>
        </w:rPr>
        <w:t>1)根据售后服务保证措施（质保期内、质保期外服务方式及应急响应时间及措施）售后服务响应情况及售后服务方案、服务内容、服务方式的可行性、全面性、完整性等情况打分。优秀得10分，良好得7分，一般得4分。（满分10分）</w:t>
      </w:r>
    </w:p>
    <w:p>
      <w:pPr>
        <w:pStyle w:val="4"/>
        <w:ind w:firstLine="482"/>
        <w:rPr>
          <w:color w:val="000000" w:themeColor="text1"/>
        </w:rPr>
      </w:pPr>
      <w:bookmarkStart w:id="444" w:name="_Toc29970"/>
      <w:r>
        <w:rPr>
          <w:rFonts w:hint="eastAsia"/>
          <w:color w:val="000000" w:themeColor="text1"/>
        </w:rPr>
        <w:t>5.2.4 变更采购方式后采用的评标方法</w:t>
      </w:r>
      <w:bookmarkEnd w:id="443"/>
      <w:bookmarkEnd w:id="444"/>
      <w:bookmarkStart w:id="531" w:name="_GoBack"/>
      <w:bookmarkEnd w:id="531"/>
    </w:p>
    <w:p>
      <w:pPr>
        <w:ind w:firstLine="480"/>
        <w:rPr>
          <w:lang w:val="zh-CN"/>
        </w:rPr>
      </w:pPr>
      <w:r>
        <w:rPr>
          <w:rFonts w:hint="eastAsia" w:ascii="宋体" w:hAnsi="宋体"/>
          <w:sz w:val="24"/>
        </w:rPr>
        <w:t>提交投标文件或经评审实质性响应招标文件的供应商只有两家的，经评标委员会认定，招标文件没有不合理条款、招标程序符合规定，报本级财政部门批准后，招标文件可视为竞争性谈判 文件，同时评标办法转为竞争性谈判成交原则。相应的，投标文件可视为谈判响应文件，原评标小组改为竞争性谈判小组，可继续进行竞争性谈判。</w:t>
      </w:r>
    </w:p>
    <w:p>
      <w:pPr>
        <w:pStyle w:val="4"/>
        <w:spacing w:before="156" w:after="156"/>
        <w:ind w:firstLine="482"/>
        <w:rPr>
          <w:sz w:val="28"/>
          <w:szCs w:val="28"/>
        </w:rPr>
      </w:pPr>
      <w:bookmarkStart w:id="445" w:name="_Toc459623012"/>
      <w:bookmarkStart w:id="446" w:name="_Toc5033"/>
      <w:bookmarkStart w:id="447" w:name="_Toc447207032"/>
      <w:bookmarkStart w:id="448" w:name="_Toc25955"/>
      <w:bookmarkStart w:id="449" w:name="_Toc8078"/>
      <w:bookmarkStart w:id="450" w:name="_Toc447272168"/>
      <w:bookmarkStart w:id="451" w:name="_Toc493013079"/>
      <w:bookmarkStart w:id="452" w:name="_Toc2312"/>
      <w:r>
        <w:rPr>
          <w:rFonts w:hint="eastAsia"/>
        </w:rPr>
        <w:t xml:space="preserve">5.2.5 </w:t>
      </w:r>
      <w:bookmarkEnd w:id="445"/>
      <w:bookmarkEnd w:id="446"/>
      <w:bookmarkEnd w:id="447"/>
      <w:bookmarkEnd w:id="448"/>
      <w:bookmarkEnd w:id="449"/>
      <w:bookmarkEnd w:id="450"/>
      <w:r>
        <w:rPr>
          <w:rFonts w:hint="eastAsia"/>
        </w:rPr>
        <w:t>评标报告</w:t>
      </w:r>
      <w:bookmarkEnd w:id="451"/>
      <w:bookmarkEnd w:id="452"/>
    </w:p>
    <w:p>
      <w:pPr>
        <w:ind w:firstLine="482"/>
        <w:rPr>
          <w:rFonts w:ascii="宋体" w:hAnsi="宋体"/>
          <w:sz w:val="24"/>
        </w:rPr>
      </w:pPr>
      <w:r>
        <w:rPr>
          <w:rStyle w:val="37"/>
          <w:rFonts w:hint="eastAsia" w:ascii="宋体" w:hAnsi="宋体" w:cs="Arial"/>
          <w:kern w:val="0"/>
          <w:sz w:val="24"/>
        </w:rPr>
        <w:t>（1）</w:t>
      </w:r>
      <w:r>
        <w:rPr>
          <w:rFonts w:hint="eastAsia" w:ascii="宋体" w:hAnsi="宋体"/>
          <w:sz w:val="24"/>
        </w:rPr>
        <w:t xml:space="preserve"> 评标委员会根据全体评标成员签字的原始评标记录和评标结果编写评标报告。评标报告应当包括以下内容： </w:t>
      </w:r>
    </w:p>
    <w:p>
      <w:pPr>
        <w:ind w:firstLine="480"/>
        <w:rPr>
          <w:rFonts w:ascii="宋体" w:hAnsi="宋体"/>
          <w:sz w:val="24"/>
        </w:rPr>
      </w:pPr>
      <w:r>
        <w:rPr>
          <w:rFonts w:hint="eastAsia" w:ascii="宋体" w:hAnsi="宋体"/>
          <w:sz w:val="24"/>
        </w:rPr>
        <w:t xml:space="preserve"> ①招标公告刊登的媒体名称、开标日期和地点; </w:t>
      </w:r>
    </w:p>
    <w:p>
      <w:pPr>
        <w:ind w:firstLine="480"/>
        <w:rPr>
          <w:rFonts w:ascii="宋体" w:hAnsi="宋体"/>
          <w:sz w:val="24"/>
        </w:rPr>
      </w:pPr>
      <w:r>
        <w:rPr>
          <w:rFonts w:hint="eastAsia" w:ascii="宋体" w:hAnsi="宋体"/>
          <w:sz w:val="24"/>
        </w:rPr>
        <w:t xml:space="preserve"> ②投标人名单和评标委员会成员名单; </w:t>
      </w:r>
    </w:p>
    <w:p>
      <w:pPr>
        <w:ind w:firstLine="480"/>
        <w:rPr>
          <w:rFonts w:ascii="宋体" w:hAnsi="宋体"/>
          <w:sz w:val="24"/>
        </w:rPr>
      </w:pPr>
      <w:r>
        <w:rPr>
          <w:rFonts w:hint="eastAsia" w:ascii="宋体" w:hAnsi="宋体"/>
          <w:sz w:val="24"/>
        </w:rPr>
        <w:t xml:space="preserve"> ③评标方法和标准; </w:t>
      </w:r>
    </w:p>
    <w:p>
      <w:pPr>
        <w:ind w:firstLine="480"/>
        <w:rPr>
          <w:rFonts w:ascii="宋体" w:hAnsi="宋体"/>
          <w:sz w:val="24"/>
        </w:rPr>
      </w:pPr>
      <w:r>
        <w:rPr>
          <w:rFonts w:hint="eastAsia" w:ascii="宋体" w:hAnsi="宋体"/>
          <w:sz w:val="24"/>
        </w:rPr>
        <w:t xml:space="preserve"> ④开标记录和评标情况及说明，包括无效投标人名单及原因; </w:t>
      </w:r>
    </w:p>
    <w:p>
      <w:pPr>
        <w:ind w:firstLine="480"/>
        <w:rPr>
          <w:rFonts w:ascii="宋体" w:hAnsi="宋体"/>
          <w:sz w:val="24"/>
        </w:rPr>
      </w:pPr>
      <w:r>
        <w:rPr>
          <w:rFonts w:hint="eastAsia" w:ascii="宋体" w:hAnsi="宋体"/>
          <w:sz w:val="24"/>
        </w:rPr>
        <w:t xml:space="preserve"> ⑤评标结果，确定的中标候选人名单或者经采购人委托直接确定的中标人; </w:t>
      </w:r>
    </w:p>
    <w:p>
      <w:pPr>
        <w:ind w:firstLine="480"/>
        <w:rPr>
          <w:rFonts w:ascii="宋体"/>
          <w:sz w:val="24"/>
        </w:rPr>
      </w:pPr>
      <w:r>
        <w:rPr>
          <w:rFonts w:hint="eastAsia" w:ascii="宋体" w:hAnsi="宋体"/>
          <w:sz w:val="24"/>
        </w:rPr>
        <w:t xml:space="preserve"> ⑥其他需要说明的情况，包括评标过程中投标人根据评标委员会要求进行的澄清、说明或者补正，评标委员会成员的更换等。</w:t>
      </w:r>
    </w:p>
    <w:p>
      <w:pPr>
        <w:ind w:firstLine="482"/>
        <w:rPr>
          <w:rFonts w:ascii="宋体" w:hAnsi="宋体"/>
          <w:sz w:val="24"/>
        </w:rPr>
      </w:pPr>
      <w:r>
        <w:rPr>
          <w:rStyle w:val="37"/>
          <w:rFonts w:hint="eastAsia" w:ascii="宋体" w:hAnsi="宋体" w:cs="Arial"/>
          <w:kern w:val="0"/>
          <w:sz w:val="24"/>
        </w:rPr>
        <w:t xml:space="preserve">（2） </w:t>
      </w:r>
      <w:r>
        <w:rPr>
          <w:rFonts w:hint="eastAsia" w:ascii="宋体" w:hAnsi="宋体"/>
          <w:sz w:val="24"/>
        </w:rPr>
        <w:t>评标报告由评委会全体成员签字。评标委员会成员对需要共同认定的事项存在争议的，应当按照少数服从多数的原则作出结论。持不同意见的评标委员会成员应当在评标报告上签署不同意见及理由，否则视为同意评标报告。评标报告签署前，经复核发现存在以下情形之一的，评标委员会应当当场修改评标结果，并在评标报告中记载：</w:t>
      </w:r>
    </w:p>
    <w:p>
      <w:pPr>
        <w:ind w:firstLine="480"/>
        <w:rPr>
          <w:rFonts w:ascii="宋体" w:hAnsi="宋体"/>
          <w:sz w:val="24"/>
        </w:rPr>
      </w:pPr>
      <w:r>
        <w:rPr>
          <w:rFonts w:hint="eastAsia" w:ascii="宋体" w:hAnsi="宋体"/>
          <w:sz w:val="24"/>
        </w:rPr>
        <w:t xml:space="preserve">①分值汇总计算错误的; </w:t>
      </w:r>
    </w:p>
    <w:p>
      <w:pPr>
        <w:ind w:firstLine="480"/>
        <w:rPr>
          <w:rFonts w:ascii="宋体" w:hAnsi="宋体"/>
          <w:sz w:val="24"/>
        </w:rPr>
      </w:pPr>
      <w:r>
        <w:rPr>
          <w:rFonts w:hint="eastAsia" w:ascii="宋体" w:hAnsi="宋体"/>
          <w:sz w:val="24"/>
        </w:rPr>
        <w:t xml:space="preserve">②分项评分超出评分标准范围的; </w:t>
      </w:r>
    </w:p>
    <w:p>
      <w:pPr>
        <w:ind w:firstLine="480"/>
        <w:rPr>
          <w:rFonts w:ascii="宋体" w:hAnsi="宋体"/>
          <w:sz w:val="24"/>
        </w:rPr>
      </w:pPr>
      <w:r>
        <w:rPr>
          <w:rFonts w:hint="eastAsia" w:ascii="宋体" w:hAnsi="宋体"/>
          <w:sz w:val="24"/>
        </w:rPr>
        <w:t xml:space="preserve">③评标委员会成员对客观评审因素评分不一致的; </w:t>
      </w:r>
    </w:p>
    <w:p>
      <w:pPr>
        <w:ind w:firstLine="480"/>
        <w:rPr>
          <w:rFonts w:ascii="宋体" w:hAnsi="宋体"/>
          <w:sz w:val="24"/>
        </w:rPr>
      </w:pPr>
      <w:r>
        <w:rPr>
          <w:rFonts w:hint="eastAsia" w:ascii="宋体" w:hAnsi="宋体"/>
          <w:sz w:val="24"/>
        </w:rPr>
        <w:t>④经评标委员会认定评分畸高、畸低的。</w:t>
      </w:r>
    </w:p>
    <w:p>
      <w:pPr>
        <w:pStyle w:val="3"/>
        <w:rPr>
          <w:rFonts w:ascii="宋体" w:hAnsi="宋体"/>
        </w:rPr>
      </w:pPr>
      <w:bookmarkStart w:id="453" w:name="_Toc447207033"/>
      <w:bookmarkStart w:id="454" w:name="_Toc447272169"/>
      <w:bookmarkStart w:id="455" w:name="_Toc30177"/>
      <w:bookmarkStart w:id="456" w:name="_Toc13930"/>
      <w:bookmarkStart w:id="457" w:name="_Toc493013080"/>
      <w:bookmarkStart w:id="458" w:name="_Toc1653"/>
      <w:bookmarkStart w:id="459" w:name="_Toc459623013"/>
      <w:bookmarkStart w:id="460" w:name="_Toc20453"/>
      <w:r>
        <w:rPr>
          <w:rFonts w:hint="eastAsia" w:ascii="宋体" w:hAnsi="宋体"/>
        </w:rPr>
        <w:t>5.3废标</w:t>
      </w:r>
      <w:bookmarkEnd w:id="453"/>
      <w:bookmarkEnd w:id="454"/>
      <w:bookmarkEnd w:id="455"/>
      <w:bookmarkEnd w:id="456"/>
      <w:bookmarkEnd w:id="457"/>
      <w:bookmarkEnd w:id="458"/>
      <w:bookmarkEnd w:id="459"/>
      <w:bookmarkEnd w:id="460"/>
    </w:p>
    <w:p>
      <w:pPr>
        <w:pStyle w:val="17"/>
        <w:ind w:left="359" w:leftChars="171" w:firstLine="120" w:firstLineChars="50"/>
        <w:rPr>
          <w:rFonts w:ascii="宋体"/>
          <w:b/>
          <w:bCs/>
          <w:sz w:val="24"/>
        </w:rPr>
      </w:pPr>
      <w:r>
        <w:rPr>
          <w:rFonts w:hint="eastAsia" w:ascii="宋体" w:hAnsi="宋体"/>
          <w:sz w:val="24"/>
        </w:rPr>
        <w:t>在招标采购中，出现下列情形之一的，应予废标：</w:t>
      </w:r>
    </w:p>
    <w:p>
      <w:pPr>
        <w:pStyle w:val="17"/>
        <w:spacing w:after="0"/>
        <w:ind w:left="478" w:leftChars="228" w:firstLine="480"/>
        <w:rPr>
          <w:rFonts w:ascii="宋体"/>
          <w:b/>
          <w:bCs/>
          <w:sz w:val="24"/>
          <w:u w:val="double"/>
        </w:rPr>
      </w:pPr>
      <w:r>
        <w:rPr>
          <w:rFonts w:hint="eastAsia" w:ascii="宋体" w:hAnsi="宋体"/>
          <w:sz w:val="24"/>
        </w:rPr>
        <w:t>①符合专业条件的供应商或者对招标文件作实质响应的供应商不足三家的（经同级政府采购监管部门审核批准的除外）；</w:t>
      </w:r>
    </w:p>
    <w:p>
      <w:pPr>
        <w:pStyle w:val="17"/>
        <w:spacing w:after="0"/>
        <w:ind w:left="0" w:leftChars="0" w:firstLine="960" w:firstLineChars="400"/>
        <w:rPr>
          <w:rFonts w:ascii="宋体"/>
          <w:b/>
          <w:bCs/>
          <w:sz w:val="24"/>
        </w:rPr>
      </w:pPr>
      <w:r>
        <w:rPr>
          <w:rFonts w:hint="eastAsia" w:ascii="宋体" w:hAnsi="宋体"/>
          <w:sz w:val="24"/>
        </w:rPr>
        <w:t>②出现影响采购公正的违法、违规行为的；</w:t>
      </w:r>
    </w:p>
    <w:p>
      <w:pPr>
        <w:pStyle w:val="17"/>
        <w:spacing w:after="0"/>
        <w:ind w:left="0" w:leftChars="0" w:firstLine="960" w:firstLineChars="400"/>
        <w:rPr>
          <w:rFonts w:ascii="宋体"/>
          <w:b/>
          <w:bCs/>
          <w:sz w:val="24"/>
        </w:rPr>
      </w:pPr>
      <w:r>
        <w:rPr>
          <w:rFonts w:hint="eastAsia" w:ascii="宋体" w:hAnsi="宋体"/>
          <w:sz w:val="24"/>
        </w:rPr>
        <w:t>③投标人的报价均超过了采购预算，采购人不能支付的；</w:t>
      </w:r>
    </w:p>
    <w:p>
      <w:pPr>
        <w:pStyle w:val="17"/>
        <w:spacing w:after="0"/>
        <w:ind w:left="478" w:leftChars="228" w:firstLine="480"/>
        <w:rPr>
          <w:rFonts w:ascii="宋体"/>
          <w:b/>
          <w:bCs/>
          <w:sz w:val="24"/>
        </w:rPr>
      </w:pPr>
      <w:r>
        <w:rPr>
          <w:rFonts w:hint="eastAsia" w:ascii="宋体" w:hAnsi="宋体"/>
          <w:sz w:val="24"/>
        </w:rPr>
        <w:t>④因重大变故，采购任务取消的。废标后，采购人应当将废标理由通知所有采购当事人。</w:t>
      </w:r>
    </w:p>
    <w:p>
      <w:pPr>
        <w:ind w:firstLine="420"/>
      </w:pPr>
    </w:p>
    <w:p>
      <w:pPr>
        <w:ind w:firstLine="420"/>
      </w:pPr>
    </w:p>
    <w:p>
      <w:pPr>
        <w:ind w:firstLine="420"/>
      </w:pPr>
    </w:p>
    <w:p>
      <w:pPr>
        <w:pStyle w:val="2"/>
        <w:ind w:firstLine="643"/>
      </w:pPr>
      <w:bookmarkStart w:id="461" w:name="_Toc447272170"/>
      <w:bookmarkStart w:id="462" w:name="_Toc7763"/>
      <w:bookmarkStart w:id="463" w:name="_Toc31"/>
      <w:bookmarkStart w:id="464" w:name="_Toc447207034"/>
      <w:bookmarkStart w:id="465" w:name="_Toc493013081"/>
      <w:bookmarkStart w:id="466" w:name="_Toc29221"/>
      <w:bookmarkStart w:id="467" w:name="_Toc459623014"/>
      <w:r>
        <w:br w:type="page"/>
      </w:r>
      <w:bookmarkStart w:id="468" w:name="_Toc2689"/>
      <w:r>
        <w:rPr>
          <w:rFonts w:hint="eastAsia"/>
        </w:rPr>
        <w:t>第六章  附件</w:t>
      </w:r>
      <w:bookmarkEnd w:id="461"/>
      <w:bookmarkEnd w:id="462"/>
      <w:bookmarkEnd w:id="463"/>
      <w:bookmarkEnd w:id="464"/>
      <w:bookmarkEnd w:id="465"/>
      <w:bookmarkEnd w:id="466"/>
      <w:bookmarkEnd w:id="467"/>
      <w:bookmarkEnd w:id="468"/>
    </w:p>
    <w:p>
      <w:pPr>
        <w:ind w:firstLine="480"/>
        <w:rPr>
          <w:color w:val="000000"/>
          <w:sz w:val="24"/>
        </w:rPr>
      </w:pPr>
      <w:r>
        <w:rPr>
          <w:rFonts w:hint="eastAsia"/>
          <w:color w:val="000000"/>
          <w:sz w:val="24"/>
        </w:rPr>
        <w:t>附件</w:t>
      </w:r>
      <w:r>
        <w:rPr>
          <w:color w:val="000000"/>
          <w:sz w:val="24"/>
        </w:rPr>
        <w:t>1</w:t>
      </w:r>
      <w:r>
        <w:rPr>
          <w:rFonts w:hint="eastAsia"/>
          <w:color w:val="000000"/>
          <w:sz w:val="24"/>
        </w:rPr>
        <w:t>：合同格式及条款(参考)</w:t>
      </w:r>
    </w:p>
    <w:p>
      <w:pPr>
        <w:ind w:firstLine="480"/>
        <w:rPr>
          <w:color w:val="000000"/>
          <w:sz w:val="24"/>
        </w:rPr>
      </w:pPr>
    </w:p>
    <w:p>
      <w:pPr>
        <w:ind w:firstLine="480"/>
        <w:rPr>
          <w:color w:val="000000"/>
          <w:sz w:val="24"/>
        </w:rPr>
      </w:pPr>
      <w:r>
        <w:rPr>
          <w:rFonts w:hint="eastAsia"/>
          <w:color w:val="000000"/>
          <w:sz w:val="24"/>
        </w:rPr>
        <w:t>附件</w:t>
      </w:r>
      <w:r>
        <w:rPr>
          <w:color w:val="000000"/>
          <w:sz w:val="24"/>
        </w:rPr>
        <w:t>2</w:t>
      </w:r>
      <w:r>
        <w:rPr>
          <w:rFonts w:hint="eastAsia"/>
          <w:color w:val="000000"/>
          <w:sz w:val="24"/>
        </w:rPr>
        <w:t>：投标函</w:t>
      </w:r>
    </w:p>
    <w:p>
      <w:pPr>
        <w:ind w:firstLine="480"/>
        <w:rPr>
          <w:color w:val="000000"/>
          <w:sz w:val="24"/>
        </w:rPr>
      </w:pPr>
    </w:p>
    <w:p>
      <w:pPr>
        <w:ind w:firstLine="480"/>
        <w:rPr>
          <w:color w:val="000000"/>
          <w:sz w:val="24"/>
        </w:rPr>
      </w:pPr>
      <w:r>
        <w:rPr>
          <w:rFonts w:hint="eastAsia"/>
          <w:color w:val="000000"/>
          <w:sz w:val="24"/>
        </w:rPr>
        <w:t>附件3：法定代表人资格证明</w:t>
      </w:r>
    </w:p>
    <w:p>
      <w:pPr>
        <w:ind w:firstLine="480"/>
        <w:rPr>
          <w:color w:val="000000"/>
          <w:sz w:val="24"/>
        </w:rPr>
      </w:pPr>
    </w:p>
    <w:p>
      <w:pPr>
        <w:ind w:firstLine="480"/>
        <w:rPr>
          <w:color w:val="000000"/>
          <w:sz w:val="24"/>
        </w:rPr>
      </w:pPr>
      <w:r>
        <w:rPr>
          <w:rFonts w:hint="eastAsia"/>
          <w:color w:val="000000"/>
          <w:sz w:val="24"/>
        </w:rPr>
        <w:t>附件4：法人授权函</w:t>
      </w:r>
    </w:p>
    <w:p>
      <w:pPr>
        <w:ind w:firstLine="480"/>
        <w:rPr>
          <w:color w:val="000000"/>
          <w:sz w:val="24"/>
        </w:rPr>
      </w:pPr>
    </w:p>
    <w:p>
      <w:pPr>
        <w:ind w:firstLine="480"/>
        <w:rPr>
          <w:color w:val="000000"/>
          <w:sz w:val="24"/>
        </w:rPr>
      </w:pPr>
      <w:r>
        <w:rPr>
          <w:rFonts w:hint="eastAsia"/>
          <w:color w:val="000000"/>
          <w:sz w:val="24"/>
        </w:rPr>
        <w:t>附件5：开标一览表</w:t>
      </w:r>
    </w:p>
    <w:p>
      <w:pPr>
        <w:ind w:firstLine="480"/>
        <w:rPr>
          <w:color w:val="000000"/>
          <w:sz w:val="24"/>
        </w:rPr>
      </w:pPr>
    </w:p>
    <w:p>
      <w:pPr>
        <w:ind w:firstLine="480"/>
        <w:rPr>
          <w:color w:val="000000"/>
          <w:sz w:val="24"/>
        </w:rPr>
      </w:pPr>
      <w:r>
        <w:rPr>
          <w:rFonts w:hint="eastAsia"/>
          <w:color w:val="000000"/>
          <w:sz w:val="24"/>
        </w:rPr>
        <w:t>附件6：分项报价表</w:t>
      </w:r>
    </w:p>
    <w:p>
      <w:pPr>
        <w:ind w:firstLine="480"/>
        <w:rPr>
          <w:color w:val="000000"/>
          <w:sz w:val="24"/>
        </w:rPr>
      </w:pPr>
    </w:p>
    <w:p>
      <w:pPr>
        <w:ind w:firstLine="480"/>
        <w:rPr>
          <w:color w:val="000000"/>
          <w:sz w:val="24"/>
        </w:rPr>
      </w:pPr>
      <w:r>
        <w:rPr>
          <w:rFonts w:hint="eastAsia"/>
          <w:color w:val="000000"/>
          <w:sz w:val="24"/>
        </w:rPr>
        <w:t>附件7：投标商务、货物偏离表</w:t>
      </w:r>
    </w:p>
    <w:p>
      <w:pPr>
        <w:ind w:firstLine="480"/>
        <w:rPr>
          <w:color w:val="000000"/>
          <w:sz w:val="24"/>
        </w:rPr>
      </w:pPr>
    </w:p>
    <w:p>
      <w:pPr>
        <w:ind w:firstLine="480"/>
        <w:rPr>
          <w:rFonts w:ascii="宋体" w:hAnsi="宋体"/>
          <w:sz w:val="24"/>
        </w:rPr>
      </w:pPr>
      <w:r>
        <w:rPr>
          <w:rFonts w:hint="eastAsia"/>
          <w:color w:val="000000"/>
          <w:sz w:val="24"/>
        </w:rPr>
        <w:t>附件8：</w:t>
      </w:r>
      <w:r>
        <w:rPr>
          <w:rFonts w:hint="eastAsia" w:ascii="宋体" w:hAnsi="宋体"/>
          <w:sz w:val="24"/>
        </w:rPr>
        <w:t>财政部工业和信息化部文件</w:t>
      </w:r>
    </w:p>
    <w:p>
      <w:pPr>
        <w:ind w:firstLine="480"/>
        <w:rPr>
          <w:rFonts w:ascii="宋体" w:hAnsi="宋体"/>
          <w:sz w:val="24"/>
        </w:rPr>
      </w:pPr>
    </w:p>
    <w:p>
      <w:pPr>
        <w:ind w:firstLine="420"/>
      </w:pPr>
      <w:r>
        <w:t xml:space="preserve"> (</w:t>
      </w:r>
      <w:r>
        <w:rPr>
          <w:rFonts w:hint="eastAsia"/>
        </w:rPr>
        <w:t>以上内容详见附件</w:t>
      </w:r>
      <w:r>
        <w:t>)</w:t>
      </w:r>
    </w:p>
    <w:p>
      <w:pPr>
        <w:pStyle w:val="4"/>
        <w:ind w:firstLine="198" w:firstLineChars="55"/>
      </w:pPr>
      <w:r>
        <w:rPr>
          <w:rStyle w:val="67"/>
          <w:rFonts w:ascii="宋体"/>
          <w:b w:val="0"/>
          <w:bCs w:val="0"/>
          <w:sz w:val="36"/>
          <w:szCs w:val="36"/>
        </w:rPr>
        <w:br w:type="page"/>
      </w:r>
      <w:bookmarkStart w:id="469" w:name="_Toc493013082"/>
      <w:bookmarkStart w:id="470" w:name="_Toc21163"/>
      <w:bookmarkStart w:id="471" w:name="_Toc13970"/>
      <w:bookmarkStart w:id="472" w:name="_Toc447207035"/>
      <w:bookmarkStart w:id="473" w:name="_Toc459623015"/>
      <w:bookmarkStart w:id="474" w:name="_Toc25035"/>
      <w:bookmarkStart w:id="475" w:name="_Toc447272171"/>
      <w:bookmarkStart w:id="476" w:name="_Toc9925"/>
      <w:r>
        <w:rPr>
          <w:rFonts w:hint="eastAsia"/>
        </w:rPr>
        <w:t>附件</w:t>
      </w:r>
      <w:r>
        <w:t>1</w:t>
      </w:r>
      <w:r>
        <w:rPr>
          <w:rFonts w:hint="eastAsia"/>
        </w:rPr>
        <w:t>：合同格式及条款</w:t>
      </w:r>
      <w:bookmarkEnd w:id="469"/>
      <w:bookmarkEnd w:id="470"/>
      <w:bookmarkEnd w:id="471"/>
      <w:bookmarkEnd w:id="472"/>
      <w:bookmarkEnd w:id="473"/>
      <w:bookmarkEnd w:id="474"/>
      <w:bookmarkEnd w:id="475"/>
      <w:bookmarkEnd w:id="476"/>
    </w:p>
    <w:p>
      <w:pPr>
        <w:ind w:firstLine="960"/>
        <w:jc w:val="center"/>
        <w:rPr>
          <w:rFonts w:ascii="宋体" w:cs="宋体"/>
          <w:sz w:val="48"/>
          <w:szCs w:val="48"/>
        </w:rPr>
      </w:pPr>
      <w:r>
        <w:rPr>
          <w:rFonts w:hint="eastAsia" w:ascii="宋体" w:hAnsi="宋体" w:cs="宋体"/>
          <w:sz w:val="48"/>
          <w:szCs w:val="48"/>
        </w:rPr>
        <w:t>政府采购供销合同</w:t>
      </w:r>
    </w:p>
    <w:p>
      <w:pPr>
        <w:spacing w:line="320" w:lineRule="exact"/>
        <w:ind w:firstLine="964"/>
        <w:rPr>
          <w:rFonts w:ascii="宋体" w:cs="宋体"/>
          <w:b/>
          <w:color w:val="000000"/>
          <w:sz w:val="48"/>
          <w:szCs w:val="48"/>
        </w:rPr>
      </w:pPr>
    </w:p>
    <w:p>
      <w:pPr>
        <w:spacing w:line="320" w:lineRule="exact"/>
        <w:ind w:firstLine="3477" w:firstLineChars="1159"/>
        <w:rPr>
          <w:rFonts w:ascii="仿宋_GB2312" w:hAnsi="仿宋" w:eastAsia="仿宋_GB2312"/>
          <w:b/>
          <w:sz w:val="30"/>
          <w:szCs w:val="30"/>
        </w:rPr>
      </w:pPr>
      <w:r>
        <w:rPr>
          <w:rFonts w:hint="eastAsia" w:ascii="宋体" w:hAnsi="宋体" w:cs="宋体"/>
          <w:b/>
          <w:color w:val="000000"/>
          <w:sz w:val="30"/>
          <w:szCs w:val="30"/>
        </w:rPr>
        <w:t>合同编号：</w:t>
      </w:r>
      <w:r>
        <w:rPr>
          <w:rFonts w:ascii="宋体" w:hAnsi="宋体" w:cs="宋体"/>
          <w:sz w:val="32"/>
          <w:szCs w:val="32"/>
        </w:rPr>
        <w:t>BGZJ-ZC1</w:t>
      </w:r>
      <w:r>
        <w:rPr>
          <w:rFonts w:hint="eastAsia" w:ascii="宋体" w:hAnsi="宋体" w:cs="宋体"/>
          <w:sz w:val="32"/>
          <w:szCs w:val="32"/>
        </w:rPr>
        <w:t>7</w:t>
      </w:r>
      <w:r>
        <w:rPr>
          <w:rFonts w:ascii="宋体" w:hAnsi="宋体" w:cs="宋体"/>
          <w:sz w:val="32"/>
          <w:szCs w:val="32"/>
        </w:rPr>
        <w:t>X</w:t>
      </w:r>
      <w:r>
        <w:rPr>
          <w:rFonts w:hint="eastAsia" w:ascii="宋体" w:hAnsi="宋体" w:cs="宋体"/>
          <w:sz w:val="32"/>
          <w:szCs w:val="32"/>
        </w:rPr>
        <w:t>XX</w:t>
      </w:r>
      <w:r>
        <w:rPr>
          <w:rFonts w:hint="eastAsia" w:ascii="仿宋_GB2312" w:hAnsi="仿宋" w:eastAsia="仿宋_GB2312"/>
          <w:b/>
          <w:sz w:val="30"/>
          <w:szCs w:val="30"/>
        </w:rPr>
        <w:t>号</w:t>
      </w:r>
    </w:p>
    <w:p>
      <w:pPr>
        <w:ind w:firstLine="480"/>
        <w:rPr>
          <w:rFonts w:ascii="仿宋_GB2312" w:hAnsi="仿宋" w:eastAsia="仿宋_GB2312"/>
          <w:color w:val="000000"/>
          <w:sz w:val="24"/>
        </w:rPr>
      </w:pPr>
    </w:p>
    <w:p>
      <w:pPr>
        <w:spacing w:line="480" w:lineRule="auto"/>
        <w:ind w:firstLine="480"/>
        <w:rPr>
          <w:rFonts w:ascii="宋体"/>
          <w:color w:val="000000"/>
          <w:sz w:val="24"/>
        </w:rPr>
      </w:pPr>
      <w:r>
        <w:rPr>
          <w:rFonts w:hint="eastAsia" w:ascii="宋体" w:hAnsi="宋体"/>
          <w:color w:val="000000"/>
          <w:sz w:val="24"/>
        </w:rPr>
        <w:t>需方：（采购人）：</w:t>
      </w:r>
    </w:p>
    <w:p>
      <w:pPr>
        <w:spacing w:line="480" w:lineRule="auto"/>
        <w:ind w:firstLine="480"/>
        <w:rPr>
          <w:rFonts w:ascii="宋体"/>
          <w:color w:val="000000"/>
          <w:sz w:val="24"/>
        </w:rPr>
      </w:pPr>
      <w:r>
        <w:rPr>
          <w:rFonts w:hint="eastAsia" w:ascii="宋体" w:hAnsi="宋体"/>
          <w:color w:val="000000"/>
          <w:sz w:val="24"/>
        </w:rPr>
        <w:t>供方：（供应商）：</w:t>
      </w:r>
    </w:p>
    <w:p>
      <w:pPr>
        <w:spacing w:line="420" w:lineRule="exact"/>
        <w:ind w:firstLine="480"/>
        <w:rPr>
          <w:rFonts w:ascii="宋体"/>
          <w:color w:val="000000"/>
          <w:sz w:val="24"/>
        </w:rPr>
      </w:pPr>
      <w:r>
        <w:rPr>
          <w:rFonts w:hint="eastAsia" w:ascii="宋体" w:hAnsi="宋体"/>
          <w:color w:val="000000"/>
          <w:sz w:val="24"/>
        </w:rPr>
        <w:t>为了保护供需双方的合法权益，根据《中华人民共和国政府采购法》《中华人民共和国合同法》等相关法规和政府采购招标文件、政府采购投标文件承诺的相关规定，签订本合同，以便共同遵照执行：</w:t>
      </w:r>
    </w:p>
    <w:p>
      <w:pPr>
        <w:spacing w:line="420" w:lineRule="exact"/>
        <w:ind w:firstLine="480"/>
        <w:rPr>
          <w:rFonts w:ascii="宋体"/>
          <w:color w:val="000000"/>
          <w:sz w:val="24"/>
        </w:rPr>
      </w:pPr>
      <w:r>
        <w:rPr>
          <w:rFonts w:hint="eastAsia" w:ascii="宋体" w:hAnsi="宋体"/>
          <w:color w:val="000000"/>
          <w:sz w:val="24"/>
        </w:rPr>
        <w:t>一、采购品目、型号、数量及金额（注：填写不下时，可按此表格自行打印清单）</w:t>
      </w:r>
    </w:p>
    <w:tbl>
      <w:tblPr>
        <w:tblStyle w:val="41"/>
        <w:tblW w:w="9640" w:type="dxa"/>
        <w:jc w:val="center"/>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551"/>
        <w:gridCol w:w="1276"/>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27" w:type="dxa"/>
            <w:vAlign w:val="center"/>
          </w:tcPr>
          <w:p>
            <w:pPr>
              <w:spacing w:line="420" w:lineRule="exact"/>
              <w:ind w:firstLine="480"/>
              <w:rPr>
                <w:rFonts w:ascii="宋体"/>
                <w:color w:val="000000"/>
                <w:sz w:val="24"/>
              </w:rPr>
            </w:pPr>
            <w:r>
              <w:rPr>
                <w:rFonts w:hint="eastAsia" w:ascii="宋体" w:hAnsi="宋体"/>
                <w:color w:val="000000"/>
                <w:sz w:val="24"/>
              </w:rPr>
              <w:t>项目</w:t>
            </w:r>
          </w:p>
        </w:tc>
        <w:tc>
          <w:tcPr>
            <w:tcW w:w="2551" w:type="dxa"/>
            <w:vAlign w:val="center"/>
          </w:tcPr>
          <w:p>
            <w:pPr>
              <w:spacing w:line="420" w:lineRule="exact"/>
              <w:ind w:firstLine="0" w:firstLineChars="0"/>
              <w:rPr>
                <w:rFonts w:ascii="宋体"/>
                <w:color w:val="000000"/>
                <w:sz w:val="24"/>
              </w:rPr>
            </w:pPr>
            <w:r>
              <w:rPr>
                <w:rFonts w:hint="eastAsia" w:ascii="宋体" w:hAnsi="宋体"/>
                <w:color w:val="000000"/>
                <w:sz w:val="24"/>
              </w:rPr>
              <w:t>型号及主要技术指标</w:t>
            </w:r>
          </w:p>
        </w:tc>
        <w:tc>
          <w:tcPr>
            <w:tcW w:w="1276" w:type="dxa"/>
            <w:vAlign w:val="center"/>
          </w:tcPr>
          <w:p>
            <w:pPr>
              <w:spacing w:line="420" w:lineRule="exact"/>
              <w:ind w:firstLine="0" w:firstLineChars="0"/>
              <w:rPr>
                <w:rFonts w:ascii="宋体"/>
                <w:color w:val="000000"/>
                <w:sz w:val="24"/>
              </w:rPr>
            </w:pPr>
            <w:r>
              <w:rPr>
                <w:rFonts w:hint="eastAsia" w:ascii="宋体" w:hAnsi="宋体"/>
                <w:color w:val="000000"/>
                <w:sz w:val="24"/>
              </w:rPr>
              <w:t>采购预算（万元）</w:t>
            </w:r>
          </w:p>
        </w:tc>
        <w:tc>
          <w:tcPr>
            <w:tcW w:w="1276" w:type="dxa"/>
            <w:vAlign w:val="center"/>
          </w:tcPr>
          <w:p>
            <w:pPr>
              <w:spacing w:line="420" w:lineRule="exact"/>
              <w:ind w:firstLine="0" w:firstLineChars="0"/>
              <w:rPr>
                <w:rFonts w:ascii="宋体"/>
                <w:color w:val="000000"/>
                <w:sz w:val="24"/>
              </w:rPr>
            </w:pPr>
            <w:r>
              <w:rPr>
                <w:rFonts w:hint="eastAsia" w:ascii="宋体" w:hAnsi="宋体"/>
                <w:color w:val="000000"/>
                <w:sz w:val="24"/>
              </w:rPr>
              <w:t>中标价（万元）</w:t>
            </w:r>
          </w:p>
        </w:tc>
        <w:tc>
          <w:tcPr>
            <w:tcW w:w="1276" w:type="dxa"/>
            <w:vAlign w:val="center"/>
          </w:tcPr>
          <w:p>
            <w:pPr>
              <w:spacing w:line="420" w:lineRule="exact"/>
              <w:ind w:firstLine="0" w:firstLineChars="0"/>
              <w:rPr>
                <w:rFonts w:ascii="宋体"/>
                <w:color w:val="000000"/>
                <w:sz w:val="24"/>
              </w:rPr>
            </w:pPr>
            <w:r>
              <w:rPr>
                <w:rFonts w:hint="eastAsia" w:ascii="宋体" w:hAnsi="宋体"/>
                <w:color w:val="000000"/>
                <w:sz w:val="24"/>
              </w:rPr>
              <w:t>节约资金（万元）</w:t>
            </w:r>
          </w:p>
        </w:tc>
        <w:tc>
          <w:tcPr>
            <w:tcW w:w="1134" w:type="dxa"/>
            <w:vAlign w:val="center"/>
          </w:tcPr>
          <w:p>
            <w:pPr>
              <w:spacing w:line="420" w:lineRule="exact"/>
              <w:ind w:firstLine="0" w:firstLineChars="0"/>
              <w:rPr>
                <w:rFonts w:ascii="宋体"/>
                <w:color w:val="000000"/>
                <w:sz w:val="24"/>
              </w:rPr>
            </w:pPr>
            <w:r>
              <w:rPr>
                <w:rFonts w:hint="eastAsia" w:ascii="宋体" w:hAnsi="宋体"/>
                <w:color w:val="000000"/>
                <w:sz w:val="24"/>
              </w:rPr>
              <w:t>节约率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127" w:type="dxa"/>
            <w:vAlign w:val="center"/>
          </w:tcPr>
          <w:p>
            <w:pPr>
              <w:spacing w:line="420" w:lineRule="exact"/>
              <w:ind w:firstLine="480"/>
              <w:jc w:val="center"/>
              <w:rPr>
                <w:rFonts w:ascii="宋体"/>
                <w:color w:val="000000"/>
                <w:sz w:val="24"/>
              </w:rPr>
            </w:pPr>
          </w:p>
        </w:tc>
        <w:tc>
          <w:tcPr>
            <w:tcW w:w="2551" w:type="dxa"/>
            <w:vAlign w:val="center"/>
          </w:tcPr>
          <w:p>
            <w:pPr>
              <w:spacing w:line="420" w:lineRule="exact"/>
              <w:ind w:firstLine="480"/>
              <w:jc w:val="center"/>
              <w:rPr>
                <w:rFonts w:ascii="宋体"/>
                <w:color w:val="000000"/>
                <w:sz w:val="24"/>
              </w:rPr>
            </w:pPr>
          </w:p>
        </w:tc>
        <w:tc>
          <w:tcPr>
            <w:tcW w:w="1276" w:type="dxa"/>
            <w:vAlign w:val="center"/>
          </w:tcPr>
          <w:p>
            <w:pPr>
              <w:spacing w:line="420" w:lineRule="exact"/>
              <w:ind w:firstLine="480"/>
              <w:jc w:val="center"/>
              <w:rPr>
                <w:rFonts w:ascii="宋体"/>
                <w:color w:val="000000"/>
                <w:sz w:val="24"/>
              </w:rPr>
            </w:pPr>
          </w:p>
        </w:tc>
        <w:tc>
          <w:tcPr>
            <w:tcW w:w="1276" w:type="dxa"/>
            <w:vAlign w:val="center"/>
          </w:tcPr>
          <w:p>
            <w:pPr>
              <w:spacing w:line="420" w:lineRule="exact"/>
              <w:ind w:firstLine="480"/>
              <w:jc w:val="center"/>
              <w:rPr>
                <w:rFonts w:ascii="宋体"/>
                <w:color w:val="000000"/>
                <w:sz w:val="24"/>
              </w:rPr>
            </w:pPr>
          </w:p>
        </w:tc>
        <w:tc>
          <w:tcPr>
            <w:tcW w:w="1276" w:type="dxa"/>
            <w:vAlign w:val="center"/>
          </w:tcPr>
          <w:p>
            <w:pPr>
              <w:spacing w:line="420" w:lineRule="exact"/>
              <w:ind w:firstLine="480"/>
              <w:jc w:val="center"/>
              <w:rPr>
                <w:rFonts w:ascii="宋体"/>
                <w:color w:val="000000"/>
                <w:sz w:val="24"/>
              </w:rPr>
            </w:pPr>
          </w:p>
        </w:tc>
        <w:tc>
          <w:tcPr>
            <w:tcW w:w="1134" w:type="dxa"/>
            <w:vAlign w:val="center"/>
          </w:tcPr>
          <w:p>
            <w:pPr>
              <w:spacing w:line="420" w:lineRule="exact"/>
              <w:ind w:firstLine="480"/>
              <w:jc w:val="center"/>
              <w:rPr>
                <w:rFonts w:ascii="宋体"/>
                <w:color w:val="000000"/>
                <w:sz w:val="24"/>
              </w:rPr>
            </w:pPr>
          </w:p>
        </w:tc>
      </w:tr>
    </w:tbl>
    <w:p>
      <w:pPr>
        <w:spacing w:line="420" w:lineRule="exact"/>
        <w:ind w:firstLine="480"/>
        <w:rPr>
          <w:rFonts w:ascii="宋体"/>
          <w:color w:val="000000"/>
          <w:sz w:val="24"/>
        </w:rPr>
      </w:pPr>
      <w:r>
        <w:rPr>
          <w:rFonts w:hint="eastAsia" w:ascii="宋体" w:hAnsi="宋体"/>
          <w:color w:val="000000"/>
          <w:sz w:val="24"/>
        </w:rPr>
        <w:t>二、交货地点、时间：</w:t>
      </w:r>
    </w:p>
    <w:p>
      <w:pPr>
        <w:spacing w:line="420" w:lineRule="exact"/>
        <w:ind w:firstLine="480"/>
        <w:rPr>
          <w:rFonts w:ascii="宋体"/>
          <w:color w:val="000000"/>
          <w:sz w:val="24"/>
        </w:rPr>
      </w:pPr>
      <w:r>
        <w:rPr>
          <w:rFonts w:hint="eastAsia" w:ascii="宋体" w:hAnsi="宋体"/>
          <w:color w:val="000000"/>
          <w:sz w:val="24"/>
        </w:rPr>
        <w:t>交货时间：于年月日到年月日前交货完毕。</w:t>
      </w:r>
    </w:p>
    <w:p>
      <w:pPr>
        <w:ind w:firstLine="480"/>
        <w:rPr>
          <w:rFonts w:ascii="宋体"/>
          <w:color w:val="000000"/>
          <w:sz w:val="24"/>
        </w:rPr>
      </w:pPr>
      <w:r>
        <w:rPr>
          <w:rFonts w:hint="eastAsia" w:ascii="宋体" w:hAnsi="宋体"/>
          <w:color w:val="000000"/>
          <w:sz w:val="24"/>
        </w:rPr>
        <w:t>收货单位名称：指定地点：</w:t>
      </w:r>
    </w:p>
    <w:p>
      <w:pPr>
        <w:spacing w:line="400" w:lineRule="exact"/>
        <w:ind w:firstLine="480"/>
        <w:rPr>
          <w:rFonts w:ascii="宋体"/>
          <w:color w:val="000000"/>
          <w:sz w:val="24"/>
        </w:rPr>
      </w:pPr>
      <w:r>
        <w:rPr>
          <w:rFonts w:hint="eastAsia" w:ascii="宋体" w:hAnsi="宋体"/>
          <w:color w:val="000000"/>
          <w:sz w:val="24"/>
        </w:rPr>
        <w:t>收货联系人：联系电话：</w:t>
      </w:r>
    </w:p>
    <w:p>
      <w:pPr>
        <w:spacing w:line="480" w:lineRule="exact"/>
        <w:ind w:firstLine="480"/>
        <w:rPr>
          <w:rFonts w:ascii="宋体"/>
          <w:color w:val="000000"/>
          <w:sz w:val="24"/>
        </w:rPr>
      </w:pPr>
      <w:r>
        <w:rPr>
          <w:rFonts w:hint="eastAsia" w:ascii="宋体" w:hAnsi="宋体"/>
          <w:color w:val="000000"/>
          <w:sz w:val="24"/>
        </w:rPr>
        <w:t>交货方式：</w:t>
      </w:r>
    </w:p>
    <w:p>
      <w:pPr>
        <w:spacing w:line="480" w:lineRule="exact"/>
        <w:ind w:firstLine="480"/>
        <w:rPr>
          <w:rFonts w:ascii="宋体"/>
          <w:color w:val="000000"/>
          <w:sz w:val="24"/>
        </w:rPr>
      </w:pPr>
      <w:r>
        <w:rPr>
          <w:rFonts w:ascii="宋体" w:hAnsi="宋体"/>
          <w:color w:val="000000"/>
          <w:sz w:val="24"/>
        </w:rPr>
        <w:t>1</w:t>
      </w:r>
      <w:r>
        <w:rPr>
          <w:rFonts w:hint="eastAsia" w:ascii="宋体" w:hAnsi="宋体"/>
          <w:color w:val="000000"/>
          <w:sz w:val="24"/>
        </w:rPr>
        <w:t>、供货方送货上门，供方将货物送到指定地点，交由指定收货人验收。此外，供方应在交货前向需方提供交货计划；运输、保险和装箱的费用由供方承担。</w:t>
      </w:r>
    </w:p>
    <w:p>
      <w:pPr>
        <w:spacing w:line="420" w:lineRule="exact"/>
        <w:ind w:firstLine="480"/>
        <w:rPr>
          <w:rFonts w:ascii="宋体"/>
          <w:color w:val="000000"/>
          <w:sz w:val="24"/>
        </w:rPr>
      </w:pPr>
      <w:r>
        <w:rPr>
          <w:rFonts w:ascii="宋体" w:hAnsi="宋体"/>
          <w:color w:val="000000"/>
          <w:sz w:val="24"/>
        </w:rPr>
        <w:t>2</w:t>
      </w:r>
      <w:r>
        <w:rPr>
          <w:rFonts w:hint="eastAsia" w:ascii="宋体" w:hAnsi="宋体"/>
          <w:color w:val="000000"/>
          <w:sz w:val="24"/>
        </w:rPr>
        <w:t>、供方有权要求需方在收到货物时在收货清单上加盖公章或由合同约定的收货联系人签字并提供身份证明进行签收，否则可以不交接货物并不承担可能造成的延期供货责任。</w:t>
      </w:r>
    </w:p>
    <w:p>
      <w:pPr>
        <w:spacing w:line="420" w:lineRule="exact"/>
        <w:ind w:firstLine="480"/>
        <w:rPr>
          <w:rFonts w:ascii="宋体"/>
          <w:color w:val="000000"/>
          <w:sz w:val="24"/>
        </w:rPr>
      </w:pPr>
      <w:r>
        <w:rPr>
          <w:rFonts w:hint="eastAsia" w:ascii="宋体" w:hAnsi="宋体"/>
          <w:color w:val="000000"/>
          <w:sz w:val="24"/>
        </w:rPr>
        <w:t>三、质量与验收标准及提出异议时间：</w:t>
      </w:r>
    </w:p>
    <w:p>
      <w:pPr>
        <w:spacing w:line="420" w:lineRule="exact"/>
        <w:ind w:firstLine="360" w:firstLineChars="150"/>
        <w:rPr>
          <w:rFonts w:ascii="宋体"/>
          <w:color w:val="000000"/>
          <w:sz w:val="24"/>
        </w:rPr>
      </w:pPr>
      <w:r>
        <w:rPr>
          <w:rFonts w:hint="eastAsia" w:ascii="宋体" w:hAnsi="宋体"/>
          <w:color w:val="000000"/>
          <w:sz w:val="24"/>
        </w:rPr>
        <w:t>质量和验收标准依据以装箱单和国家有关法规规定。</w:t>
      </w:r>
    </w:p>
    <w:p>
      <w:pPr>
        <w:spacing w:line="420" w:lineRule="exact"/>
        <w:ind w:firstLine="360" w:firstLineChars="150"/>
        <w:rPr>
          <w:rFonts w:ascii="宋体"/>
          <w:color w:val="000000"/>
          <w:sz w:val="24"/>
        </w:rPr>
      </w:pPr>
      <w:r>
        <w:rPr>
          <w:rFonts w:hint="eastAsia" w:ascii="宋体" w:hAnsi="宋体"/>
          <w:color w:val="000000"/>
          <w:sz w:val="24"/>
        </w:rPr>
        <w:t>（一）验收标准：</w:t>
      </w:r>
      <w:r>
        <w:rPr>
          <w:rFonts w:ascii="宋体" w:hAnsi="宋体"/>
          <w:color w:val="000000"/>
          <w:sz w:val="24"/>
        </w:rPr>
        <w:t>1</w:t>
      </w:r>
      <w:r>
        <w:rPr>
          <w:rFonts w:hint="eastAsia" w:ascii="宋体" w:hAnsi="宋体"/>
          <w:color w:val="000000"/>
          <w:sz w:val="24"/>
        </w:rPr>
        <w:t>、招投标文件要求和承诺质量标准；</w:t>
      </w:r>
      <w:r>
        <w:rPr>
          <w:rFonts w:ascii="宋体" w:hAnsi="宋体"/>
          <w:color w:val="000000"/>
          <w:sz w:val="24"/>
        </w:rPr>
        <w:t xml:space="preserve"> 2</w:t>
      </w:r>
      <w:r>
        <w:rPr>
          <w:rFonts w:hint="eastAsia" w:ascii="宋体" w:hAnsi="宋体"/>
          <w:color w:val="000000"/>
          <w:sz w:val="24"/>
        </w:rPr>
        <w:t>、合格证；</w:t>
      </w:r>
      <w:r>
        <w:rPr>
          <w:rFonts w:ascii="宋体" w:hAnsi="宋体"/>
          <w:color w:val="000000"/>
          <w:sz w:val="24"/>
        </w:rPr>
        <w:t>3</w:t>
      </w:r>
      <w:r>
        <w:rPr>
          <w:rFonts w:hint="eastAsia" w:ascii="宋体" w:hAnsi="宋体"/>
          <w:color w:val="000000"/>
          <w:sz w:val="24"/>
        </w:rPr>
        <w:t>、供方保证一次性合格率大于</w:t>
      </w:r>
      <w:r>
        <w:rPr>
          <w:rFonts w:ascii="宋体" w:hAnsi="宋体"/>
          <w:color w:val="000000"/>
          <w:sz w:val="24"/>
        </w:rPr>
        <w:t>98%</w:t>
      </w:r>
      <w:r>
        <w:rPr>
          <w:rFonts w:hint="eastAsia" w:ascii="宋体" w:hAnsi="宋体"/>
          <w:color w:val="000000"/>
          <w:sz w:val="24"/>
        </w:rPr>
        <w:t>（百分之九十八）。</w:t>
      </w:r>
    </w:p>
    <w:p>
      <w:pPr>
        <w:spacing w:line="420" w:lineRule="exact"/>
        <w:ind w:firstLine="360" w:firstLineChars="150"/>
        <w:rPr>
          <w:rFonts w:ascii="宋体"/>
          <w:color w:val="000000"/>
          <w:sz w:val="24"/>
        </w:rPr>
      </w:pPr>
      <w:r>
        <w:rPr>
          <w:rFonts w:hint="eastAsia" w:ascii="宋体" w:hAnsi="宋体"/>
          <w:color w:val="000000"/>
          <w:sz w:val="24"/>
        </w:rPr>
        <w:t>（二）提出异议时间截止</w:t>
      </w:r>
      <w:r>
        <w:rPr>
          <w:rFonts w:ascii="宋体" w:hAnsi="宋体"/>
          <w:color w:val="000000"/>
          <w:sz w:val="24"/>
        </w:rPr>
        <w:t>7</w:t>
      </w:r>
      <w:r>
        <w:rPr>
          <w:rFonts w:hint="eastAsia" w:ascii="宋体" w:hAnsi="宋体"/>
          <w:color w:val="000000"/>
          <w:sz w:val="24"/>
        </w:rPr>
        <w:t>天。</w:t>
      </w:r>
    </w:p>
    <w:p>
      <w:pPr>
        <w:spacing w:line="420" w:lineRule="exact"/>
        <w:ind w:firstLine="480"/>
        <w:rPr>
          <w:rFonts w:ascii="宋体"/>
          <w:color w:val="000000"/>
          <w:sz w:val="24"/>
        </w:rPr>
      </w:pPr>
      <w:r>
        <w:rPr>
          <w:rFonts w:hint="eastAsia" w:ascii="宋体" w:hAnsi="宋体"/>
          <w:color w:val="000000"/>
          <w:sz w:val="24"/>
        </w:rPr>
        <w:t>四、质量保证金：</w:t>
      </w:r>
    </w:p>
    <w:p>
      <w:pPr>
        <w:spacing w:line="420" w:lineRule="exact"/>
        <w:ind w:firstLine="480"/>
        <w:rPr>
          <w:rFonts w:ascii="宋体"/>
          <w:color w:val="000000"/>
          <w:sz w:val="24"/>
        </w:rPr>
      </w:pPr>
      <w:r>
        <w:rPr>
          <w:rFonts w:hint="eastAsia" w:ascii="宋体" w:hAnsi="宋体"/>
          <w:color w:val="000000"/>
          <w:sz w:val="24"/>
        </w:rPr>
        <w:t>中标供应商签订合同前必须向采购人（需方）交纳中标价</w:t>
      </w:r>
      <w:r>
        <w:rPr>
          <w:rFonts w:ascii="宋体" w:hAnsi="宋体"/>
          <w:color w:val="000000"/>
          <w:sz w:val="24"/>
        </w:rPr>
        <w:t xml:space="preserve">5% </w:t>
      </w:r>
      <w:r>
        <w:rPr>
          <w:rFonts w:hint="eastAsia" w:ascii="宋体" w:hAnsi="宋体"/>
          <w:color w:val="000000"/>
          <w:sz w:val="24"/>
        </w:rPr>
        <w:t>的履约保证金</w:t>
      </w:r>
      <w:r>
        <w:rPr>
          <w:rFonts w:ascii="宋体" w:hAnsi="宋体"/>
          <w:color w:val="000000"/>
          <w:sz w:val="24"/>
        </w:rPr>
        <w:t xml:space="preserve">, </w:t>
      </w:r>
      <w:r>
        <w:rPr>
          <w:rFonts w:hint="eastAsia" w:ascii="宋体" w:hAnsi="宋体"/>
          <w:color w:val="000000"/>
          <w:sz w:val="24"/>
        </w:rPr>
        <w:t>一年期满经需方验收合格后予以无息退还。</w:t>
      </w:r>
    </w:p>
    <w:p>
      <w:pPr>
        <w:spacing w:line="420" w:lineRule="exact"/>
        <w:ind w:firstLine="480"/>
        <w:rPr>
          <w:rFonts w:ascii="宋体"/>
          <w:color w:val="000000"/>
          <w:sz w:val="24"/>
        </w:rPr>
      </w:pPr>
      <w:r>
        <w:rPr>
          <w:rFonts w:hint="eastAsia" w:ascii="宋体" w:hAnsi="宋体"/>
          <w:color w:val="000000"/>
          <w:sz w:val="24"/>
        </w:rPr>
        <w:t>五、售后服务：</w:t>
      </w:r>
    </w:p>
    <w:p>
      <w:pPr>
        <w:spacing w:line="420" w:lineRule="exact"/>
        <w:ind w:firstLine="360" w:firstLineChars="150"/>
        <w:rPr>
          <w:rFonts w:ascii="宋体"/>
          <w:color w:val="000000"/>
          <w:sz w:val="24"/>
        </w:rPr>
      </w:pPr>
      <w:r>
        <w:rPr>
          <w:rFonts w:hint="eastAsia" w:ascii="宋体" w:hAnsi="宋体"/>
          <w:color w:val="000000"/>
          <w:sz w:val="24"/>
        </w:rPr>
        <w:t>以《装箱单》和国家有关法规规定为依据。产品服务标准以招标文件承诺服务标准提供服务。供方与需方另可补充达成如下条款：</w:t>
      </w:r>
    </w:p>
    <w:p>
      <w:pPr>
        <w:spacing w:line="420" w:lineRule="exact"/>
        <w:ind w:firstLine="240" w:firstLineChars="100"/>
        <w:rPr>
          <w:rFonts w:ascii="宋体"/>
          <w:color w:val="000000"/>
          <w:sz w:val="24"/>
        </w:rPr>
      </w:pPr>
      <w:r>
        <w:rPr>
          <w:rFonts w:ascii="宋体" w:hAnsi="宋体"/>
          <w:color w:val="000000"/>
          <w:sz w:val="24"/>
        </w:rPr>
        <w:t xml:space="preserve"> 1</w:t>
      </w:r>
      <w:r>
        <w:rPr>
          <w:rFonts w:hint="eastAsia" w:ascii="宋体" w:hAnsi="宋体"/>
          <w:color w:val="000000"/>
          <w:sz w:val="24"/>
        </w:rPr>
        <w:t>、供方必须按需方要求清单所需要的配置、参数、保质保量供货。</w:t>
      </w:r>
    </w:p>
    <w:p>
      <w:pPr>
        <w:spacing w:line="420" w:lineRule="exact"/>
        <w:ind w:firstLine="360" w:firstLineChars="150"/>
        <w:rPr>
          <w:rFonts w:ascii="宋体"/>
          <w:color w:val="000000"/>
          <w:sz w:val="24"/>
        </w:rPr>
      </w:pPr>
      <w:r>
        <w:rPr>
          <w:rFonts w:ascii="宋体" w:hAnsi="宋体"/>
          <w:color w:val="000000"/>
          <w:sz w:val="24"/>
        </w:rPr>
        <w:t>2</w:t>
      </w:r>
      <w:r>
        <w:rPr>
          <w:rFonts w:hint="eastAsia" w:ascii="宋体" w:hAnsi="宋体"/>
          <w:color w:val="000000"/>
          <w:sz w:val="24"/>
        </w:rPr>
        <w:t>、所提供的产品必须符合国家统一质量标准。</w:t>
      </w:r>
    </w:p>
    <w:p>
      <w:pPr>
        <w:spacing w:line="420" w:lineRule="exact"/>
        <w:ind w:firstLine="480"/>
        <w:rPr>
          <w:rFonts w:ascii="宋体"/>
          <w:color w:val="000000"/>
          <w:sz w:val="24"/>
        </w:rPr>
      </w:pPr>
      <w:r>
        <w:rPr>
          <w:rFonts w:hint="eastAsia" w:ascii="宋体" w:hAnsi="宋体"/>
          <w:color w:val="000000"/>
          <w:sz w:val="24"/>
        </w:rPr>
        <w:t>六、付款方式：</w:t>
      </w:r>
    </w:p>
    <w:p>
      <w:pPr>
        <w:spacing w:line="420" w:lineRule="exact"/>
        <w:ind w:firstLine="480"/>
        <w:rPr>
          <w:rFonts w:ascii="宋体" w:hAnsi="宋体"/>
          <w:color w:val="000000"/>
          <w:sz w:val="24"/>
        </w:rPr>
      </w:pPr>
      <w:r>
        <w:rPr>
          <w:rFonts w:ascii="宋体" w:hAnsi="宋体"/>
          <w:color w:val="000000"/>
          <w:sz w:val="24"/>
        </w:rPr>
        <w:t>XXX</w:t>
      </w:r>
    </w:p>
    <w:p>
      <w:pPr>
        <w:spacing w:line="420" w:lineRule="exact"/>
        <w:ind w:firstLine="480"/>
        <w:rPr>
          <w:rFonts w:ascii="宋体"/>
          <w:color w:val="000000"/>
          <w:sz w:val="24"/>
        </w:rPr>
      </w:pPr>
      <w:r>
        <w:rPr>
          <w:rFonts w:hint="eastAsia" w:ascii="宋体" w:hAnsi="宋体"/>
          <w:color w:val="000000"/>
          <w:sz w:val="24"/>
        </w:rPr>
        <w:t>七、违约责任：</w:t>
      </w:r>
    </w:p>
    <w:p>
      <w:pPr>
        <w:spacing w:line="420" w:lineRule="exact"/>
        <w:ind w:firstLine="360" w:firstLineChars="150"/>
        <w:rPr>
          <w:rFonts w:ascii="宋体"/>
          <w:color w:val="000000"/>
          <w:sz w:val="24"/>
        </w:rPr>
      </w:pPr>
      <w:r>
        <w:rPr>
          <w:rFonts w:ascii="宋体" w:hAnsi="宋体"/>
          <w:color w:val="000000"/>
          <w:sz w:val="24"/>
        </w:rPr>
        <w:t>1</w:t>
      </w:r>
      <w:r>
        <w:rPr>
          <w:rFonts w:hint="eastAsia" w:ascii="宋体" w:hAnsi="宋体"/>
          <w:color w:val="000000"/>
          <w:sz w:val="24"/>
        </w:rPr>
        <w:t>、供方未能按供货合同的约定近期完成交货或需方延期付款，每逾期一天，违约方应按合同总额</w:t>
      </w:r>
      <w:r>
        <w:rPr>
          <w:rFonts w:ascii="宋体" w:hAnsi="宋体"/>
          <w:color w:val="000000"/>
          <w:sz w:val="24"/>
        </w:rPr>
        <w:t>1%</w:t>
      </w:r>
      <w:r>
        <w:rPr>
          <w:rFonts w:hint="eastAsia" w:ascii="宋体" w:hAnsi="宋体"/>
          <w:color w:val="000000"/>
          <w:sz w:val="24"/>
        </w:rPr>
        <w:t>向对方支付违约金，但违约金最高金额不超过合同金额的</w:t>
      </w:r>
      <w:r>
        <w:rPr>
          <w:rFonts w:ascii="宋体" w:hAnsi="宋体"/>
          <w:color w:val="000000"/>
          <w:sz w:val="24"/>
        </w:rPr>
        <w:t>5%</w:t>
      </w:r>
      <w:r>
        <w:rPr>
          <w:rFonts w:hint="eastAsia" w:ascii="宋体" w:hAnsi="宋体"/>
          <w:color w:val="000000"/>
          <w:sz w:val="24"/>
        </w:rPr>
        <w:t>，逾期超过</w:t>
      </w:r>
      <w:r>
        <w:rPr>
          <w:rFonts w:ascii="宋体" w:hAnsi="宋体"/>
          <w:color w:val="000000"/>
          <w:sz w:val="24"/>
        </w:rPr>
        <w:t>5</w:t>
      </w:r>
      <w:r>
        <w:rPr>
          <w:rFonts w:hint="eastAsia" w:ascii="宋体" w:hAnsi="宋体"/>
          <w:color w:val="000000"/>
          <w:sz w:val="24"/>
        </w:rPr>
        <w:t>日，有权解除合同。</w:t>
      </w:r>
    </w:p>
    <w:p>
      <w:pPr>
        <w:spacing w:line="420" w:lineRule="exact"/>
        <w:ind w:firstLine="360" w:firstLineChars="150"/>
        <w:rPr>
          <w:rFonts w:ascii="宋体"/>
          <w:color w:val="000000"/>
          <w:sz w:val="24"/>
        </w:rPr>
      </w:pPr>
      <w:r>
        <w:rPr>
          <w:rFonts w:ascii="宋体" w:hAnsi="宋体"/>
          <w:color w:val="000000"/>
          <w:sz w:val="24"/>
        </w:rPr>
        <w:t>2</w:t>
      </w:r>
      <w:r>
        <w:rPr>
          <w:rFonts w:hint="eastAsia" w:ascii="宋体" w:hAnsi="宋体"/>
          <w:color w:val="000000"/>
          <w:sz w:val="24"/>
        </w:rPr>
        <w:t>、如因供方供应的设备质量问题，造成需方损失，供方应承担全部责任。</w:t>
      </w:r>
    </w:p>
    <w:p>
      <w:pPr>
        <w:spacing w:line="420" w:lineRule="exact"/>
        <w:ind w:firstLine="480"/>
        <w:rPr>
          <w:rFonts w:ascii="宋体"/>
          <w:color w:val="000000"/>
          <w:sz w:val="24"/>
        </w:rPr>
      </w:pPr>
      <w:r>
        <w:rPr>
          <w:rFonts w:hint="eastAsia" w:ascii="宋体" w:hAnsi="宋体"/>
          <w:color w:val="000000"/>
          <w:sz w:val="24"/>
        </w:rPr>
        <w:t>八、变更解除合同及解决纠纷方式：</w:t>
      </w:r>
    </w:p>
    <w:p>
      <w:pPr>
        <w:spacing w:line="420" w:lineRule="exact"/>
        <w:ind w:firstLine="360" w:firstLineChars="150"/>
        <w:rPr>
          <w:rFonts w:ascii="宋体"/>
          <w:color w:val="000000"/>
          <w:sz w:val="24"/>
        </w:rPr>
      </w:pPr>
      <w:r>
        <w:rPr>
          <w:rFonts w:ascii="宋体" w:hAnsi="宋体"/>
          <w:color w:val="000000"/>
          <w:sz w:val="24"/>
        </w:rPr>
        <w:t>1</w:t>
      </w:r>
      <w:r>
        <w:rPr>
          <w:rFonts w:hint="eastAsia" w:ascii="宋体" w:hAnsi="宋体"/>
          <w:color w:val="000000"/>
          <w:sz w:val="24"/>
        </w:rPr>
        <w:t>、供需双方如变更或解除本合同，需经同级政府采购办公室书面同意。</w:t>
      </w:r>
    </w:p>
    <w:p>
      <w:pPr>
        <w:spacing w:line="420" w:lineRule="exact"/>
        <w:ind w:firstLine="360" w:firstLineChars="150"/>
        <w:rPr>
          <w:rFonts w:ascii="宋体"/>
          <w:color w:val="000000"/>
          <w:sz w:val="24"/>
        </w:rPr>
      </w:pPr>
      <w:r>
        <w:rPr>
          <w:rFonts w:ascii="宋体" w:hAnsi="宋体"/>
          <w:color w:val="000000"/>
          <w:sz w:val="24"/>
        </w:rPr>
        <w:t>2</w:t>
      </w:r>
      <w:r>
        <w:rPr>
          <w:rFonts w:hint="eastAsia" w:ascii="宋体" w:hAnsi="宋体"/>
          <w:color w:val="000000"/>
          <w:sz w:val="24"/>
        </w:rPr>
        <w:t>、纠纷方式：双方协商□；向授权厂商投诉□；向财政部门投诉□；提请仲裁□；向人民法院提起诉讼□。</w:t>
      </w:r>
    </w:p>
    <w:p>
      <w:pPr>
        <w:spacing w:line="420" w:lineRule="exact"/>
        <w:ind w:firstLine="480"/>
        <w:rPr>
          <w:rFonts w:ascii="宋体"/>
          <w:color w:val="000000"/>
          <w:sz w:val="24"/>
        </w:rPr>
      </w:pPr>
      <w:r>
        <w:rPr>
          <w:rFonts w:hint="eastAsia" w:ascii="宋体" w:hAnsi="宋体"/>
          <w:color w:val="000000"/>
          <w:sz w:val="24"/>
        </w:rPr>
        <w:t>九、其他事项：</w:t>
      </w:r>
    </w:p>
    <w:p>
      <w:pPr>
        <w:spacing w:line="420" w:lineRule="exact"/>
        <w:ind w:firstLine="360" w:firstLineChars="150"/>
        <w:rPr>
          <w:rFonts w:ascii="宋体"/>
          <w:color w:val="000000"/>
          <w:sz w:val="24"/>
        </w:rPr>
      </w:pPr>
      <w:r>
        <w:rPr>
          <w:rFonts w:ascii="宋体" w:hAnsi="宋体"/>
          <w:color w:val="000000"/>
          <w:sz w:val="24"/>
        </w:rPr>
        <w:t>1</w:t>
      </w:r>
      <w:r>
        <w:rPr>
          <w:rFonts w:hint="eastAsia" w:ascii="宋体" w:hAnsi="宋体"/>
          <w:color w:val="000000"/>
          <w:sz w:val="24"/>
        </w:rPr>
        <w:t>、招标文件、投标文件和中标供应商承诺书、补充协议是本合同不可分割的部分，对采购人和中标供应商均具有法律效力，本合同未尽事宜，按相关法律规定办理。</w:t>
      </w:r>
    </w:p>
    <w:p>
      <w:pPr>
        <w:spacing w:line="420" w:lineRule="exact"/>
        <w:ind w:firstLine="360" w:firstLineChars="150"/>
        <w:rPr>
          <w:rFonts w:ascii="宋体" w:hAnsi="宋体"/>
          <w:color w:val="000000"/>
          <w:sz w:val="24"/>
        </w:rPr>
      </w:pPr>
      <w:r>
        <w:rPr>
          <w:rFonts w:ascii="宋体" w:hAnsi="宋体"/>
          <w:color w:val="000000"/>
          <w:sz w:val="24"/>
        </w:rPr>
        <w:t>2</w:t>
      </w:r>
      <w:r>
        <w:rPr>
          <w:rFonts w:hint="eastAsia" w:ascii="宋体" w:hAnsi="宋体"/>
          <w:color w:val="000000"/>
          <w:sz w:val="24"/>
        </w:rPr>
        <w:t>、本合同为供应商与采购人买卖合同。一式六份，双方各执二份，财政部门政府采购办公室备案一份、代理机构备案一份。</w:t>
      </w:r>
    </w:p>
    <w:p>
      <w:pPr>
        <w:spacing w:line="420" w:lineRule="exact"/>
        <w:ind w:firstLine="360" w:firstLineChars="150"/>
        <w:rPr>
          <w:rFonts w:ascii="宋体" w:hAnsi="宋体"/>
          <w:color w:val="000000"/>
          <w:sz w:val="24"/>
        </w:rPr>
      </w:pPr>
    </w:p>
    <w:p>
      <w:pPr>
        <w:spacing w:line="420" w:lineRule="exact"/>
        <w:ind w:firstLine="360" w:firstLineChars="150"/>
        <w:rPr>
          <w:rFonts w:ascii="宋体" w:hAnsi="宋体"/>
          <w:color w:val="000000"/>
          <w:sz w:val="24"/>
        </w:rPr>
      </w:pPr>
    </w:p>
    <w:p>
      <w:pPr>
        <w:spacing w:line="420" w:lineRule="exact"/>
        <w:ind w:firstLine="360" w:firstLineChars="150"/>
        <w:rPr>
          <w:rFonts w:ascii="宋体" w:hAnsi="宋体"/>
          <w:color w:val="000000"/>
          <w:sz w:val="24"/>
        </w:rPr>
      </w:pPr>
    </w:p>
    <w:p>
      <w:pPr>
        <w:spacing w:line="420" w:lineRule="exact"/>
        <w:ind w:firstLine="360" w:firstLineChars="150"/>
        <w:rPr>
          <w:rFonts w:ascii="宋体" w:hAnsi="宋体"/>
          <w:color w:val="000000"/>
          <w:sz w:val="24"/>
        </w:rPr>
      </w:pPr>
    </w:p>
    <w:p>
      <w:pPr>
        <w:spacing w:line="420" w:lineRule="exact"/>
        <w:ind w:firstLine="360" w:firstLineChars="150"/>
        <w:rPr>
          <w:rFonts w:ascii="宋体"/>
          <w:color w:val="000000"/>
          <w:sz w:val="24"/>
        </w:rPr>
      </w:pPr>
    </w:p>
    <w:tbl>
      <w:tblPr>
        <w:tblStyle w:val="41"/>
        <w:tblW w:w="8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5" w:hRule="atLeast"/>
          <w:jc w:val="center"/>
        </w:trPr>
        <w:tc>
          <w:tcPr>
            <w:tcW w:w="4095" w:type="dxa"/>
            <w:vAlign w:val="center"/>
          </w:tcPr>
          <w:p>
            <w:pPr>
              <w:spacing w:line="420" w:lineRule="exact"/>
              <w:ind w:firstLine="420"/>
              <w:rPr>
                <w:rFonts w:ascii="宋体"/>
                <w:color w:val="000000"/>
              </w:rPr>
            </w:pPr>
            <w:r>
              <w:rPr>
                <w:rFonts w:hint="eastAsia" w:ascii="宋体" w:hAnsi="宋体"/>
                <w:color w:val="000000"/>
              </w:rPr>
              <w:t>供方</w:t>
            </w:r>
            <w:r>
              <w:rPr>
                <w:rFonts w:ascii="宋体" w:hAnsi="宋体"/>
                <w:color w:val="000000"/>
              </w:rPr>
              <w:t>:</w:t>
            </w:r>
            <w:r>
              <w:rPr>
                <w:rFonts w:hint="eastAsia" w:ascii="宋体" w:hAnsi="宋体"/>
                <w:color w:val="000000"/>
              </w:rPr>
              <w:t>（章）</w:t>
            </w:r>
          </w:p>
          <w:p>
            <w:pPr>
              <w:spacing w:line="420" w:lineRule="exact"/>
              <w:ind w:firstLine="420"/>
              <w:rPr>
                <w:rFonts w:ascii="宋体"/>
                <w:color w:val="000000"/>
              </w:rPr>
            </w:pPr>
            <w:r>
              <w:rPr>
                <w:rFonts w:hint="eastAsia" w:ascii="宋体" w:hAnsi="宋体"/>
                <w:color w:val="000000"/>
              </w:rPr>
              <w:t>地址</w:t>
            </w:r>
            <w:r>
              <w:rPr>
                <w:rFonts w:ascii="宋体" w:hAnsi="宋体"/>
                <w:color w:val="000000"/>
              </w:rPr>
              <w:t>:</w:t>
            </w:r>
          </w:p>
          <w:p>
            <w:pPr>
              <w:spacing w:line="420" w:lineRule="exact"/>
              <w:ind w:firstLine="420"/>
              <w:rPr>
                <w:rFonts w:ascii="宋体"/>
                <w:color w:val="000000"/>
              </w:rPr>
            </w:pPr>
            <w:r>
              <w:rPr>
                <w:rFonts w:hint="eastAsia" w:ascii="宋体" w:hAnsi="宋体"/>
                <w:color w:val="000000"/>
              </w:rPr>
              <w:t>电话</w:t>
            </w:r>
            <w:r>
              <w:rPr>
                <w:rFonts w:ascii="宋体" w:hAnsi="宋体"/>
                <w:color w:val="000000"/>
              </w:rPr>
              <w:t>:</w:t>
            </w:r>
          </w:p>
          <w:p>
            <w:pPr>
              <w:spacing w:line="420" w:lineRule="exact"/>
              <w:ind w:firstLine="420"/>
              <w:rPr>
                <w:rFonts w:ascii="宋体"/>
                <w:color w:val="000000"/>
              </w:rPr>
            </w:pPr>
            <w:r>
              <w:rPr>
                <w:rFonts w:hint="eastAsia" w:ascii="宋体" w:hAnsi="宋体"/>
                <w:color w:val="000000"/>
              </w:rPr>
              <w:t>邮编</w:t>
            </w:r>
            <w:r>
              <w:rPr>
                <w:rFonts w:ascii="宋体" w:hAnsi="宋体"/>
                <w:color w:val="000000"/>
              </w:rPr>
              <w:t>:</w:t>
            </w:r>
          </w:p>
        </w:tc>
        <w:tc>
          <w:tcPr>
            <w:tcW w:w="4200" w:type="dxa"/>
            <w:vAlign w:val="center"/>
          </w:tcPr>
          <w:p>
            <w:pPr>
              <w:spacing w:line="420" w:lineRule="exact"/>
              <w:ind w:firstLine="420"/>
              <w:rPr>
                <w:rFonts w:ascii="宋体"/>
                <w:color w:val="000000"/>
              </w:rPr>
            </w:pPr>
            <w:r>
              <w:rPr>
                <w:rFonts w:hint="eastAsia" w:ascii="宋体" w:hAnsi="宋体"/>
                <w:color w:val="000000"/>
              </w:rPr>
              <w:t>需方</w:t>
            </w:r>
            <w:r>
              <w:rPr>
                <w:rFonts w:ascii="宋体" w:hAnsi="宋体"/>
                <w:color w:val="000000"/>
              </w:rPr>
              <w:t>:</w:t>
            </w:r>
            <w:r>
              <w:rPr>
                <w:rFonts w:hint="eastAsia" w:ascii="宋体" w:hAnsi="宋体"/>
                <w:color w:val="000000"/>
              </w:rPr>
              <w:t>（章）</w:t>
            </w:r>
          </w:p>
          <w:p>
            <w:pPr>
              <w:spacing w:line="420" w:lineRule="exact"/>
              <w:ind w:firstLine="420"/>
              <w:rPr>
                <w:rFonts w:ascii="宋体"/>
                <w:color w:val="000000"/>
              </w:rPr>
            </w:pPr>
            <w:r>
              <w:rPr>
                <w:rFonts w:hint="eastAsia" w:ascii="宋体" w:hAnsi="宋体"/>
                <w:color w:val="000000"/>
              </w:rPr>
              <w:t>地址</w:t>
            </w:r>
            <w:r>
              <w:rPr>
                <w:rFonts w:ascii="宋体" w:hAnsi="宋体"/>
                <w:color w:val="000000"/>
              </w:rPr>
              <w:t>:</w:t>
            </w:r>
          </w:p>
          <w:p>
            <w:pPr>
              <w:spacing w:line="420" w:lineRule="exact"/>
              <w:ind w:firstLine="420"/>
              <w:rPr>
                <w:rFonts w:ascii="宋体"/>
                <w:color w:val="000000"/>
              </w:rPr>
            </w:pPr>
            <w:r>
              <w:rPr>
                <w:rFonts w:hint="eastAsia" w:ascii="宋体" w:hAnsi="宋体"/>
                <w:color w:val="000000"/>
              </w:rPr>
              <w:t>电话</w:t>
            </w:r>
            <w:r>
              <w:rPr>
                <w:rFonts w:ascii="宋体" w:hAnsi="宋体"/>
                <w:color w:val="000000"/>
              </w:rPr>
              <w:t>:</w:t>
            </w:r>
          </w:p>
          <w:p>
            <w:pPr>
              <w:spacing w:line="420" w:lineRule="exact"/>
              <w:ind w:firstLine="420"/>
              <w:rPr>
                <w:rFonts w:ascii="宋体"/>
                <w:color w:val="000000"/>
              </w:rPr>
            </w:pPr>
            <w:r>
              <w:rPr>
                <w:rFonts w:hint="eastAsia" w:ascii="宋体" w:hAnsi="宋体"/>
                <w:color w:val="000000"/>
              </w:rPr>
              <w:t>邮编</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2" w:hRule="atLeast"/>
          <w:jc w:val="center"/>
        </w:trPr>
        <w:tc>
          <w:tcPr>
            <w:tcW w:w="4095" w:type="dxa"/>
            <w:vAlign w:val="center"/>
          </w:tcPr>
          <w:p>
            <w:pPr>
              <w:spacing w:line="420" w:lineRule="exact"/>
              <w:ind w:firstLine="420"/>
              <w:rPr>
                <w:rFonts w:ascii="宋体"/>
                <w:color w:val="000000"/>
              </w:rPr>
            </w:pPr>
            <w:r>
              <w:rPr>
                <w:rFonts w:hint="eastAsia" w:ascii="宋体" w:hAnsi="宋体"/>
                <w:color w:val="000000"/>
              </w:rPr>
              <w:t>法定代表人</w:t>
            </w:r>
            <w:r>
              <w:rPr>
                <w:rFonts w:ascii="宋体" w:hAnsi="宋体"/>
                <w:color w:val="000000"/>
              </w:rPr>
              <w:t>:</w:t>
            </w:r>
          </w:p>
          <w:p>
            <w:pPr>
              <w:spacing w:line="420" w:lineRule="exact"/>
              <w:ind w:firstLine="420"/>
              <w:rPr>
                <w:rFonts w:ascii="宋体"/>
                <w:color w:val="000000"/>
              </w:rPr>
            </w:pPr>
            <w:r>
              <w:rPr>
                <w:rFonts w:hint="eastAsia" w:ascii="宋体" w:hAnsi="宋体"/>
                <w:color w:val="000000"/>
              </w:rPr>
              <w:t>（或委托代理人）</w:t>
            </w:r>
          </w:p>
          <w:p>
            <w:pPr>
              <w:spacing w:line="420" w:lineRule="exact"/>
              <w:ind w:firstLine="420"/>
              <w:rPr>
                <w:rFonts w:ascii="宋体"/>
                <w:color w:val="000000"/>
              </w:rPr>
            </w:pPr>
            <w:r>
              <w:rPr>
                <w:rFonts w:hint="eastAsia" w:ascii="宋体" w:hAnsi="宋体"/>
                <w:color w:val="000000"/>
              </w:rPr>
              <w:t>签字日期</w:t>
            </w:r>
            <w:r>
              <w:rPr>
                <w:rFonts w:ascii="宋体" w:hAnsi="宋体"/>
                <w:color w:val="000000"/>
              </w:rPr>
              <w:t>:</w:t>
            </w:r>
          </w:p>
        </w:tc>
        <w:tc>
          <w:tcPr>
            <w:tcW w:w="4200" w:type="dxa"/>
            <w:vAlign w:val="center"/>
          </w:tcPr>
          <w:p>
            <w:pPr>
              <w:spacing w:line="420" w:lineRule="exact"/>
              <w:ind w:firstLine="420"/>
              <w:rPr>
                <w:rFonts w:ascii="宋体"/>
                <w:color w:val="000000"/>
              </w:rPr>
            </w:pPr>
            <w:r>
              <w:rPr>
                <w:rFonts w:hint="eastAsia" w:ascii="宋体" w:hAnsi="宋体"/>
                <w:color w:val="000000"/>
              </w:rPr>
              <w:t>法定代表人</w:t>
            </w:r>
            <w:r>
              <w:rPr>
                <w:rFonts w:ascii="宋体" w:hAnsi="宋体"/>
                <w:color w:val="000000"/>
              </w:rPr>
              <w:t>:</w:t>
            </w:r>
          </w:p>
          <w:p>
            <w:pPr>
              <w:spacing w:line="420" w:lineRule="exact"/>
              <w:ind w:firstLine="420"/>
              <w:rPr>
                <w:rFonts w:ascii="宋体"/>
                <w:color w:val="000000"/>
              </w:rPr>
            </w:pPr>
            <w:r>
              <w:rPr>
                <w:rFonts w:ascii="宋体" w:hAnsi="宋体"/>
                <w:color w:val="000000"/>
              </w:rPr>
              <w:t>(</w:t>
            </w:r>
            <w:r>
              <w:rPr>
                <w:rFonts w:hint="eastAsia" w:ascii="宋体" w:hAnsi="宋体"/>
                <w:color w:val="000000"/>
              </w:rPr>
              <w:t>或委托代理人</w:t>
            </w:r>
            <w:r>
              <w:rPr>
                <w:rFonts w:ascii="宋体" w:hAnsi="宋体"/>
                <w:color w:val="000000"/>
              </w:rPr>
              <w:t>)</w:t>
            </w:r>
          </w:p>
          <w:p>
            <w:pPr>
              <w:spacing w:line="420" w:lineRule="exact"/>
              <w:ind w:firstLine="420"/>
              <w:rPr>
                <w:rFonts w:ascii="宋体"/>
                <w:color w:val="000000"/>
              </w:rPr>
            </w:pPr>
            <w:r>
              <w:rPr>
                <w:rFonts w:hint="eastAsia" w:ascii="宋体" w:hAnsi="宋体"/>
                <w:color w:val="000000"/>
              </w:rPr>
              <w:t>签字日期</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2" w:hRule="exact"/>
          <w:jc w:val="center"/>
        </w:trPr>
        <w:tc>
          <w:tcPr>
            <w:tcW w:w="4095" w:type="dxa"/>
            <w:vAlign w:val="center"/>
          </w:tcPr>
          <w:p>
            <w:pPr>
              <w:spacing w:line="420" w:lineRule="exact"/>
              <w:ind w:firstLine="420"/>
              <w:rPr>
                <w:rFonts w:ascii="宋体"/>
                <w:color w:val="000000"/>
              </w:rPr>
            </w:pPr>
            <w:r>
              <w:rPr>
                <w:rFonts w:hint="eastAsia" w:ascii="宋体" w:hAnsi="宋体"/>
                <w:color w:val="000000"/>
              </w:rPr>
              <w:t>经办人</w:t>
            </w:r>
            <w:r>
              <w:rPr>
                <w:rFonts w:ascii="宋体" w:hAnsi="宋体"/>
                <w:color w:val="000000"/>
              </w:rPr>
              <w:t>:</w:t>
            </w:r>
          </w:p>
          <w:p>
            <w:pPr>
              <w:spacing w:line="420" w:lineRule="exact"/>
              <w:ind w:firstLine="420"/>
              <w:rPr>
                <w:rFonts w:ascii="宋体"/>
                <w:color w:val="000000"/>
              </w:rPr>
            </w:pPr>
            <w:r>
              <w:rPr>
                <w:rFonts w:hint="eastAsia" w:ascii="宋体" w:hAnsi="宋体"/>
                <w:color w:val="000000"/>
              </w:rPr>
              <w:t>签字日期</w:t>
            </w:r>
            <w:r>
              <w:rPr>
                <w:rFonts w:ascii="宋体" w:hAnsi="宋体"/>
                <w:color w:val="000000"/>
              </w:rPr>
              <w:t>:</w:t>
            </w:r>
          </w:p>
        </w:tc>
        <w:tc>
          <w:tcPr>
            <w:tcW w:w="4200" w:type="dxa"/>
            <w:vAlign w:val="center"/>
          </w:tcPr>
          <w:p>
            <w:pPr>
              <w:spacing w:line="420" w:lineRule="exact"/>
              <w:ind w:firstLine="420"/>
              <w:rPr>
                <w:rFonts w:ascii="宋体"/>
                <w:color w:val="000000"/>
              </w:rPr>
            </w:pPr>
            <w:r>
              <w:rPr>
                <w:rFonts w:hint="eastAsia" w:ascii="宋体" w:hAnsi="宋体"/>
                <w:color w:val="000000"/>
              </w:rPr>
              <w:t>经办人</w:t>
            </w:r>
            <w:r>
              <w:rPr>
                <w:rFonts w:ascii="宋体" w:hAnsi="宋体"/>
                <w:color w:val="000000"/>
              </w:rPr>
              <w:t>:</w:t>
            </w:r>
          </w:p>
          <w:p>
            <w:pPr>
              <w:spacing w:line="420" w:lineRule="exact"/>
              <w:ind w:firstLine="420"/>
              <w:rPr>
                <w:rFonts w:ascii="宋体"/>
                <w:color w:val="000000"/>
              </w:rPr>
            </w:pPr>
            <w:r>
              <w:rPr>
                <w:rFonts w:hint="eastAsia" w:ascii="宋体" w:hAnsi="宋体"/>
                <w:color w:val="000000"/>
              </w:rPr>
              <w:t>签字日期</w:t>
            </w:r>
            <w:r>
              <w:rPr>
                <w:rFonts w:ascii="宋体" w:hAnsi="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5" w:hRule="exact"/>
          <w:jc w:val="center"/>
        </w:trPr>
        <w:tc>
          <w:tcPr>
            <w:tcW w:w="4095" w:type="dxa"/>
            <w:tcBorders>
              <w:bottom w:val="single" w:color="auto" w:sz="12" w:space="0"/>
            </w:tcBorders>
            <w:vAlign w:val="center"/>
          </w:tcPr>
          <w:p>
            <w:pPr>
              <w:spacing w:line="420" w:lineRule="exact"/>
              <w:ind w:firstLine="420"/>
              <w:rPr>
                <w:rFonts w:ascii="宋体"/>
                <w:color w:val="000000"/>
              </w:rPr>
            </w:pPr>
            <w:r>
              <w:rPr>
                <w:rFonts w:hint="eastAsia" w:ascii="宋体" w:hAnsi="宋体"/>
                <w:color w:val="000000"/>
              </w:rPr>
              <w:t>开户行</w:t>
            </w:r>
            <w:r>
              <w:rPr>
                <w:rFonts w:ascii="宋体" w:hAnsi="宋体"/>
                <w:color w:val="000000"/>
              </w:rPr>
              <w:t>:</w:t>
            </w:r>
          </w:p>
          <w:p>
            <w:pPr>
              <w:spacing w:line="420" w:lineRule="exact"/>
              <w:ind w:firstLine="420"/>
              <w:rPr>
                <w:rFonts w:ascii="宋体"/>
                <w:color w:val="000000"/>
              </w:rPr>
            </w:pPr>
            <w:r>
              <w:rPr>
                <w:rFonts w:hint="eastAsia" w:ascii="宋体" w:hAnsi="宋体"/>
                <w:color w:val="000000"/>
              </w:rPr>
              <w:t>账号</w:t>
            </w:r>
            <w:r>
              <w:rPr>
                <w:rFonts w:ascii="宋体" w:hAnsi="宋体"/>
                <w:color w:val="000000"/>
              </w:rPr>
              <w:t>:</w:t>
            </w:r>
          </w:p>
        </w:tc>
        <w:tc>
          <w:tcPr>
            <w:tcW w:w="4200" w:type="dxa"/>
            <w:tcBorders>
              <w:bottom w:val="single" w:color="auto" w:sz="12" w:space="0"/>
            </w:tcBorders>
            <w:vAlign w:val="center"/>
          </w:tcPr>
          <w:p>
            <w:pPr>
              <w:spacing w:line="420" w:lineRule="exact"/>
              <w:ind w:firstLine="420"/>
              <w:rPr>
                <w:rFonts w:ascii="宋体"/>
                <w:color w:val="000000"/>
              </w:rPr>
            </w:pPr>
            <w:r>
              <w:rPr>
                <w:rFonts w:hint="eastAsia" w:ascii="宋体" w:hAnsi="宋体"/>
                <w:color w:val="000000"/>
              </w:rPr>
              <w:t>开户行</w:t>
            </w:r>
            <w:r>
              <w:rPr>
                <w:rFonts w:ascii="宋体" w:hAnsi="宋体"/>
                <w:color w:val="000000"/>
              </w:rPr>
              <w:t>:</w:t>
            </w:r>
          </w:p>
          <w:p>
            <w:pPr>
              <w:spacing w:line="420" w:lineRule="exact"/>
              <w:ind w:firstLine="420"/>
              <w:rPr>
                <w:rFonts w:ascii="宋体"/>
                <w:color w:val="000000"/>
              </w:rPr>
            </w:pPr>
            <w:r>
              <w:rPr>
                <w:rFonts w:hint="eastAsia" w:ascii="宋体" w:hAnsi="宋体"/>
                <w:color w:val="000000"/>
              </w:rPr>
              <w:t>账号</w:t>
            </w:r>
            <w:r>
              <w:rPr>
                <w:rFonts w:ascii="宋体" w:hAnsi="宋体"/>
                <w:color w:val="000000"/>
              </w:rPr>
              <w:t>:</w:t>
            </w:r>
          </w:p>
        </w:tc>
      </w:tr>
    </w:tbl>
    <w:p>
      <w:pPr>
        <w:pStyle w:val="4"/>
        <w:ind w:firstLine="198" w:firstLineChars="45"/>
      </w:pPr>
      <w:r>
        <w:rPr>
          <w:kern w:val="44"/>
          <w:sz w:val="44"/>
          <w:szCs w:val="44"/>
        </w:rPr>
        <w:br w:type="page"/>
      </w:r>
      <w:bookmarkStart w:id="477" w:name="_Toc15025"/>
      <w:bookmarkStart w:id="478" w:name="_Toc493013083"/>
      <w:bookmarkStart w:id="479" w:name="_Toc23752"/>
      <w:bookmarkStart w:id="480" w:name="_Toc459623016"/>
      <w:bookmarkStart w:id="481" w:name="_Toc447207036"/>
      <w:bookmarkStart w:id="482" w:name="_Toc15844"/>
      <w:bookmarkStart w:id="483" w:name="_Toc447272172"/>
      <w:bookmarkStart w:id="484" w:name="_Toc16544"/>
      <w:r>
        <w:rPr>
          <w:rFonts w:hint="eastAsia"/>
        </w:rPr>
        <w:t>附件</w:t>
      </w:r>
      <w:r>
        <w:t>2</w:t>
      </w:r>
      <w:r>
        <w:rPr>
          <w:rFonts w:hint="eastAsia"/>
        </w:rPr>
        <w:t>：</w:t>
      </w:r>
      <w:bookmarkStart w:id="485" w:name="_Toc139965361"/>
      <w:r>
        <w:rPr>
          <w:rFonts w:hint="eastAsia"/>
        </w:rPr>
        <w:t>投标函</w:t>
      </w:r>
      <w:bookmarkEnd w:id="477"/>
      <w:bookmarkEnd w:id="478"/>
      <w:bookmarkEnd w:id="479"/>
      <w:bookmarkEnd w:id="480"/>
      <w:bookmarkEnd w:id="481"/>
      <w:bookmarkEnd w:id="482"/>
      <w:bookmarkEnd w:id="483"/>
      <w:bookmarkEnd w:id="484"/>
    </w:p>
    <w:bookmarkEnd w:id="485"/>
    <w:p>
      <w:pPr>
        <w:ind w:firstLine="480"/>
        <w:rPr>
          <w:color w:val="000000"/>
          <w:sz w:val="24"/>
        </w:rPr>
      </w:pPr>
      <w:r>
        <w:rPr>
          <w:rFonts w:hint="eastAsia"/>
          <w:color w:val="000000"/>
          <w:sz w:val="24"/>
        </w:rPr>
        <w:t>致：</w:t>
      </w:r>
    </w:p>
    <w:p>
      <w:pPr>
        <w:ind w:firstLine="480"/>
        <w:rPr>
          <w:color w:val="000000"/>
          <w:sz w:val="24"/>
        </w:rPr>
      </w:pPr>
      <w:r>
        <w:rPr>
          <w:rFonts w:hint="eastAsia"/>
          <w:color w:val="000000"/>
          <w:sz w:val="24"/>
        </w:rPr>
        <w:t>根据已收到的招标编号为的</w:t>
      </w:r>
      <w:r>
        <w:rPr>
          <w:rFonts w:ascii="宋体"/>
          <w:bCs/>
          <w:color w:val="000000"/>
          <w:sz w:val="24"/>
        </w:rPr>
        <w:t>XXX</w:t>
      </w:r>
      <w:r>
        <w:rPr>
          <w:rFonts w:hint="eastAsia" w:ascii="宋体"/>
          <w:bCs/>
          <w:color w:val="000000"/>
          <w:sz w:val="24"/>
        </w:rPr>
        <w:t>所需</w:t>
      </w:r>
      <w:r>
        <w:rPr>
          <w:rFonts w:ascii="宋体"/>
          <w:bCs/>
          <w:color w:val="000000"/>
          <w:sz w:val="24"/>
        </w:rPr>
        <w:t>XXXX</w:t>
      </w:r>
      <w:r>
        <w:rPr>
          <w:rFonts w:hint="eastAsia" w:ascii="宋体"/>
          <w:bCs/>
          <w:color w:val="000000"/>
          <w:sz w:val="24"/>
        </w:rPr>
        <w:t>项目</w:t>
      </w:r>
      <w:r>
        <w:rPr>
          <w:rFonts w:hint="eastAsia"/>
          <w:color w:val="000000"/>
          <w:sz w:val="24"/>
        </w:rPr>
        <w:t>招标文件，我单位经认真研究上述招标文件，决定参加本次投标。我方提交投标文件正本份、副本份、电子版份并保证其真实性。我方愿承担该项目的实施和保修任务，履行招标文件中对中标单位的要求和应承担的责任和义务。同时我方郑重做出如下声明：</w:t>
      </w:r>
    </w:p>
    <w:p>
      <w:pPr>
        <w:ind w:firstLine="480"/>
        <w:rPr>
          <w:rFonts w:ascii="宋体"/>
          <w:color w:val="000000"/>
          <w:sz w:val="24"/>
        </w:rPr>
      </w:pPr>
      <w:r>
        <w:rPr>
          <w:rFonts w:ascii="宋体" w:hAnsi="宋体"/>
          <w:color w:val="000000"/>
          <w:sz w:val="24"/>
        </w:rPr>
        <w:t>1</w:t>
      </w:r>
      <w:r>
        <w:rPr>
          <w:rFonts w:hint="eastAsia" w:ascii="宋体" w:hAnsi="宋体"/>
          <w:color w:val="000000"/>
          <w:sz w:val="24"/>
        </w:rPr>
        <w:t>、我方完全接受招标文件中的内容，并将按招标文件的规定履行责任、义务。</w:t>
      </w:r>
    </w:p>
    <w:p>
      <w:pPr>
        <w:ind w:firstLine="480"/>
        <w:rPr>
          <w:rFonts w:ascii="宋体"/>
          <w:color w:val="000000"/>
          <w:sz w:val="24"/>
        </w:rPr>
      </w:pPr>
      <w:r>
        <w:rPr>
          <w:rFonts w:ascii="宋体" w:hAnsi="宋体"/>
          <w:color w:val="000000"/>
          <w:sz w:val="24"/>
        </w:rPr>
        <w:t>2</w:t>
      </w:r>
      <w:r>
        <w:rPr>
          <w:rFonts w:hint="eastAsia" w:ascii="宋体" w:hAnsi="宋体"/>
          <w:color w:val="000000"/>
          <w:sz w:val="24"/>
        </w:rPr>
        <w:t>、我方已详细审查全部招标文件，包括修改文件、参考资料及有关附件，无其他不明事项。</w:t>
      </w:r>
    </w:p>
    <w:p>
      <w:pPr>
        <w:ind w:firstLine="480"/>
        <w:rPr>
          <w:rFonts w:ascii="宋体"/>
          <w:color w:val="000000"/>
          <w:sz w:val="24"/>
        </w:rPr>
      </w:pPr>
      <w:r>
        <w:rPr>
          <w:rFonts w:ascii="宋体" w:hAnsi="宋体"/>
          <w:color w:val="000000"/>
          <w:sz w:val="24"/>
        </w:rPr>
        <w:t>3</w:t>
      </w:r>
      <w:r>
        <w:rPr>
          <w:rFonts w:hint="eastAsia" w:ascii="宋体" w:hAnsi="宋体"/>
          <w:color w:val="000000"/>
          <w:sz w:val="24"/>
        </w:rPr>
        <w:t>、我方同意提供贵方可能要求的与投标有关的任何证据或资料。</w:t>
      </w:r>
    </w:p>
    <w:p>
      <w:pPr>
        <w:ind w:firstLine="480"/>
        <w:rPr>
          <w:rFonts w:ascii="宋体"/>
          <w:color w:val="000000"/>
          <w:sz w:val="24"/>
        </w:rPr>
      </w:pPr>
      <w:r>
        <w:rPr>
          <w:rFonts w:ascii="宋体" w:hAnsi="宋体"/>
          <w:color w:val="000000"/>
          <w:sz w:val="24"/>
        </w:rPr>
        <w:t>4</w:t>
      </w:r>
      <w:r>
        <w:rPr>
          <w:rFonts w:hint="eastAsia" w:ascii="宋体" w:hAnsi="宋体"/>
          <w:color w:val="000000"/>
          <w:sz w:val="24"/>
        </w:rPr>
        <w:t>、如果我方中标，我方将按《中标通知书》要求签订、履行合同，承担责任、义务。</w:t>
      </w:r>
    </w:p>
    <w:p>
      <w:pPr>
        <w:ind w:firstLine="480"/>
        <w:rPr>
          <w:rFonts w:ascii="宋体"/>
          <w:color w:val="000000"/>
          <w:sz w:val="24"/>
        </w:rPr>
      </w:pPr>
      <w:r>
        <w:rPr>
          <w:rFonts w:ascii="宋体" w:hAnsi="宋体"/>
          <w:color w:val="000000"/>
          <w:sz w:val="24"/>
        </w:rPr>
        <w:t>5</w:t>
      </w:r>
      <w:r>
        <w:rPr>
          <w:rFonts w:hint="eastAsia" w:ascii="宋体" w:hAnsi="宋体"/>
          <w:color w:val="000000"/>
          <w:sz w:val="24"/>
        </w:rPr>
        <w:t>、我方同意所递交的投标文件在</w:t>
      </w:r>
      <w:r>
        <w:rPr>
          <w:rFonts w:ascii="宋体" w:hAnsi="宋体"/>
          <w:color w:val="000000"/>
          <w:sz w:val="24"/>
        </w:rPr>
        <w:t>60</w:t>
      </w:r>
      <w:r>
        <w:rPr>
          <w:rFonts w:hint="eastAsia" w:ascii="宋体" w:hAnsi="宋体"/>
          <w:color w:val="000000"/>
          <w:sz w:val="24"/>
        </w:rPr>
        <w:t>天的投标有效期内有效，在此期间我方将受此约束。</w:t>
      </w:r>
    </w:p>
    <w:p>
      <w:pPr>
        <w:ind w:firstLine="480"/>
        <w:rPr>
          <w:rFonts w:ascii="宋体"/>
          <w:color w:val="000000"/>
          <w:sz w:val="24"/>
        </w:rPr>
      </w:pPr>
      <w:r>
        <w:rPr>
          <w:rFonts w:ascii="宋体" w:hAnsi="宋体"/>
          <w:color w:val="000000"/>
          <w:sz w:val="24"/>
        </w:rPr>
        <w:t>6</w:t>
      </w:r>
      <w:r>
        <w:rPr>
          <w:rFonts w:hint="eastAsia" w:ascii="宋体" w:hAnsi="宋体"/>
          <w:color w:val="000000"/>
          <w:sz w:val="24"/>
        </w:rPr>
        <w:t>、我们理解贵方不一定要接受最低报价的投标或收到的任何投标。</w:t>
      </w:r>
    </w:p>
    <w:p>
      <w:pPr>
        <w:ind w:firstLine="480"/>
        <w:rPr>
          <w:rFonts w:ascii="宋体"/>
          <w:color w:val="000000"/>
          <w:sz w:val="24"/>
        </w:rPr>
      </w:pPr>
      <w:r>
        <w:rPr>
          <w:rFonts w:ascii="宋体" w:hAnsi="宋体"/>
          <w:color w:val="000000"/>
          <w:sz w:val="24"/>
        </w:rPr>
        <w:t>7</w:t>
      </w:r>
      <w:r>
        <w:rPr>
          <w:rFonts w:hint="eastAsia" w:ascii="宋体" w:hAnsi="宋体"/>
          <w:color w:val="000000"/>
          <w:sz w:val="24"/>
        </w:rPr>
        <w:t>、投标有关的一切资金往来请使用以下帐户：</w:t>
      </w:r>
    </w:p>
    <w:p>
      <w:pPr>
        <w:ind w:firstLine="900" w:firstLineChars="375"/>
        <w:rPr>
          <w:rFonts w:ascii="宋体"/>
          <w:color w:val="000000"/>
          <w:sz w:val="24"/>
        </w:rPr>
      </w:pPr>
      <w:r>
        <w:rPr>
          <w:rFonts w:hint="eastAsia" w:ascii="宋体" w:hAnsi="宋体"/>
          <w:color w:val="000000"/>
          <w:sz w:val="24"/>
        </w:rPr>
        <w:t>开户行：</w:t>
      </w:r>
    </w:p>
    <w:p>
      <w:pPr>
        <w:ind w:firstLine="900" w:firstLineChars="375"/>
        <w:rPr>
          <w:rFonts w:ascii="宋体"/>
          <w:color w:val="000000"/>
          <w:sz w:val="24"/>
        </w:rPr>
      </w:pPr>
      <w:r>
        <w:rPr>
          <w:rFonts w:hint="eastAsia" w:ascii="宋体" w:hAnsi="宋体"/>
          <w:color w:val="000000"/>
          <w:sz w:val="24"/>
        </w:rPr>
        <w:t>户名：</w:t>
      </w:r>
    </w:p>
    <w:p>
      <w:pPr>
        <w:ind w:firstLine="900" w:firstLineChars="375"/>
        <w:rPr>
          <w:rFonts w:ascii="宋体"/>
          <w:color w:val="000000"/>
          <w:sz w:val="24"/>
        </w:rPr>
      </w:pPr>
      <w:r>
        <w:rPr>
          <w:rFonts w:hint="eastAsia" w:ascii="宋体" w:hAnsi="宋体"/>
          <w:color w:val="000000"/>
          <w:sz w:val="24"/>
        </w:rPr>
        <w:t>账号：</w:t>
      </w:r>
    </w:p>
    <w:p>
      <w:pPr>
        <w:ind w:firstLine="480"/>
        <w:rPr>
          <w:rFonts w:ascii="宋体"/>
          <w:color w:val="000000"/>
          <w:sz w:val="24"/>
        </w:rPr>
      </w:pPr>
      <w:r>
        <w:rPr>
          <w:rFonts w:ascii="宋体" w:hAnsi="宋体"/>
          <w:color w:val="000000"/>
          <w:sz w:val="24"/>
        </w:rPr>
        <w:t>8</w:t>
      </w:r>
      <w:r>
        <w:rPr>
          <w:rFonts w:hint="eastAsia" w:ascii="宋体" w:hAnsi="宋体"/>
          <w:color w:val="000000"/>
          <w:sz w:val="24"/>
        </w:rPr>
        <w:t>、与投标有关的一切正式信函请使用以下地址：</w:t>
      </w:r>
    </w:p>
    <w:p>
      <w:pPr>
        <w:ind w:firstLine="900" w:firstLineChars="375"/>
        <w:rPr>
          <w:rFonts w:ascii="宋体"/>
          <w:color w:val="000000"/>
          <w:sz w:val="24"/>
        </w:rPr>
      </w:pPr>
      <w:r>
        <w:rPr>
          <w:rFonts w:hint="eastAsia" w:ascii="宋体" w:hAnsi="宋体"/>
          <w:color w:val="000000"/>
          <w:sz w:val="24"/>
        </w:rPr>
        <w:t>地址：</w:t>
      </w:r>
    </w:p>
    <w:p>
      <w:pPr>
        <w:ind w:firstLine="900" w:firstLineChars="375"/>
        <w:rPr>
          <w:color w:val="000000"/>
          <w:sz w:val="24"/>
        </w:rPr>
      </w:pPr>
      <w:r>
        <w:rPr>
          <w:rFonts w:hint="eastAsia"/>
          <w:color w:val="000000"/>
          <w:sz w:val="24"/>
        </w:rPr>
        <w:t>邮编：</w:t>
      </w:r>
    </w:p>
    <w:p>
      <w:pPr>
        <w:ind w:firstLine="900" w:firstLineChars="375"/>
        <w:rPr>
          <w:color w:val="000000"/>
          <w:sz w:val="24"/>
        </w:rPr>
      </w:pPr>
      <w:r>
        <w:rPr>
          <w:rFonts w:hint="eastAsia"/>
          <w:color w:val="000000"/>
          <w:sz w:val="24"/>
        </w:rPr>
        <w:t>电话：</w:t>
      </w:r>
    </w:p>
    <w:p>
      <w:pPr>
        <w:ind w:firstLine="900" w:firstLineChars="375"/>
        <w:rPr>
          <w:color w:val="000000"/>
          <w:sz w:val="24"/>
        </w:rPr>
      </w:pPr>
      <w:r>
        <w:rPr>
          <w:rFonts w:hint="eastAsia"/>
          <w:color w:val="000000"/>
          <w:sz w:val="24"/>
        </w:rPr>
        <w:t>传真：</w:t>
      </w:r>
    </w:p>
    <w:p>
      <w:pPr>
        <w:ind w:firstLine="900" w:firstLineChars="375"/>
        <w:rPr>
          <w:color w:val="000000"/>
          <w:sz w:val="24"/>
          <w:u w:val="single"/>
        </w:rPr>
      </w:pPr>
      <w:r>
        <w:rPr>
          <w:rFonts w:hint="eastAsia"/>
          <w:color w:val="000000"/>
          <w:sz w:val="24"/>
        </w:rPr>
        <w:t>单位公章：</w:t>
      </w:r>
    </w:p>
    <w:p>
      <w:pPr>
        <w:ind w:firstLine="900" w:firstLineChars="375"/>
        <w:rPr>
          <w:color w:val="000000"/>
          <w:sz w:val="24"/>
        </w:rPr>
      </w:pPr>
      <w:r>
        <w:rPr>
          <w:rFonts w:hint="eastAsia"/>
          <w:color w:val="000000"/>
          <w:sz w:val="24"/>
        </w:rPr>
        <w:t>法定代表人或授权代表人签字：</w:t>
      </w:r>
    </w:p>
    <w:p>
      <w:pPr>
        <w:pStyle w:val="22"/>
        <w:ind w:left="98" w:leftChars="47" w:firstLine="560"/>
        <w:jc w:val="right"/>
        <w:rPr>
          <w:color w:val="000000"/>
        </w:rPr>
      </w:pPr>
    </w:p>
    <w:p>
      <w:pPr>
        <w:pStyle w:val="22"/>
        <w:ind w:left="0" w:leftChars="0" w:right="560" w:firstLine="6300" w:firstLineChars="2250"/>
        <w:rPr>
          <w:color w:val="000000"/>
        </w:rPr>
      </w:pPr>
      <w:r>
        <w:rPr>
          <w:rFonts w:hint="eastAsia"/>
          <w:color w:val="000000"/>
        </w:rPr>
        <w:t>年  月  日</w:t>
      </w:r>
    </w:p>
    <w:p>
      <w:pPr>
        <w:pStyle w:val="4"/>
        <w:ind w:firstLine="196" w:firstLineChars="82"/>
      </w:pPr>
      <w:r>
        <w:br w:type="page"/>
      </w:r>
      <w:bookmarkStart w:id="486" w:name="_Toc30833"/>
      <w:bookmarkStart w:id="487" w:name="_Toc459623017"/>
      <w:bookmarkStart w:id="488" w:name="_Toc447272173"/>
      <w:bookmarkStart w:id="489" w:name="_Toc7914"/>
      <w:bookmarkStart w:id="490" w:name="_Toc493013084"/>
      <w:bookmarkStart w:id="491" w:name="_Toc20829"/>
      <w:bookmarkStart w:id="492" w:name="_Toc447207037"/>
      <w:bookmarkStart w:id="493" w:name="_Toc28233"/>
      <w:r>
        <w:rPr>
          <w:rFonts w:hint="eastAsia"/>
        </w:rPr>
        <w:t>附件</w:t>
      </w:r>
      <w:r>
        <w:t>3</w:t>
      </w:r>
      <w:r>
        <w:rPr>
          <w:rFonts w:hint="eastAsia"/>
        </w:rPr>
        <w:t>：</w:t>
      </w:r>
      <w:bookmarkStart w:id="494" w:name="_Toc139965362"/>
      <w:r>
        <w:rPr>
          <w:rFonts w:hint="eastAsia"/>
        </w:rPr>
        <w:t>法定代表人资格证明书</w:t>
      </w:r>
      <w:bookmarkEnd w:id="486"/>
      <w:bookmarkEnd w:id="487"/>
      <w:bookmarkEnd w:id="488"/>
      <w:bookmarkEnd w:id="489"/>
      <w:bookmarkEnd w:id="490"/>
      <w:bookmarkEnd w:id="491"/>
      <w:bookmarkEnd w:id="492"/>
      <w:bookmarkEnd w:id="493"/>
    </w:p>
    <w:p>
      <w:pPr>
        <w:ind w:firstLine="480"/>
        <w:rPr>
          <w:color w:val="000000"/>
          <w:sz w:val="24"/>
        </w:rPr>
      </w:pPr>
      <w:r>
        <w:rPr>
          <w:rFonts w:hint="eastAsia"/>
          <w:color w:val="000000"/>
          <w:sz w:val="24"/>
        </w:rPr>
        <w:t>致：</w:t>
      </w:r>
    </w:p>
    <w:p>
      <w:pPr>
        <w:ind w:firstLine="480"/>
        <w:rPr>
          <w:color w:val="000000"/>
          <w:sz w:val="24"/>
        </w:rPr>
      </w:pPr>
      <w:r>
        <w:rPr>
          <w:rFonts w:hint="eastAsia"/>
          <w:color w:val="000000"/>
          <w:sz w:val="24"/>
        </w:rPr>
        <w:t>姓名：</w:t>
      </w:r>
      <w:r>
        <w:rPr>
          <w:rFonts w:hint="eastAsia"/>
          <w:color w:val="000000"/>
          <w:sz w:val="24"/>
          <w:u w:val="single"/>
        </w:rPr>
        <w:t xml:space="preserve">        </w:t>
      </w:r>
      <w:r>
        <w:rPr>
          <w:rFonts w:hint="eastAsia"/>
          <w:color w:val="000000"/>
          <w:sz w:val="24"/>
        </w:rPr>
        <w:t>，性别：</w:t>
      </w:r>
      <w:r>
        <w:rPr>
          <w:rFonts w:hint="eastAsia"/>
          <w:color w:val="000000"/>
          <w:sz w:val="24"/>
          <w:u w:val="single"/>
        </w:rPr>
        <w:t xml:space="preserve">        </w:t>
      </w:r>
      <w:r>
        <w:rPr>
          <w:rFonts w:hint="eastAsia"/>
          <w:color w:val="000000"/>
          <w:sz w:val="24"/>
        </w:rPr>
        <w:t>，年龄：</w:t>
      </w:r>
      <w:r>
        <w:rPr>
          <w:rFonts w:hint="eastAsia"/>
          <w:color w:val="000000"/>
          <w:sz w:val="24"/>
          <w:u w:val="single"/>
        </w:rPr>
        <w:t xml:space="preserve">        </w:t>
      </w:r>
      <w:r>
        <w:rPr>
          <w:rFonts w:hint="eastAsia"/>
          <w:color w:val="000000"/>
          <w:sz w:val="24"/>
        </w:rPr>
        <w:t>，职务：</w:t>
      </w:r>
      <w:r>
        <w:rPr>
          <w:rFonts w:hint="eastAsia"/>
          <w:color w:val="000000"/>
          <w:sz w:val="24"/>
          <w:u w:val="single"/>
        </w:rPr>
        <w:t xml:space="preserve">        </w:t>
      </w:r>
      <w:r>
        <w:rPr>
          <w:rFonts w:hint="eastAsia"/>
          <w:color w:val="000000"/>
          <w:sz w:val="24"/>
        </w:rPr>
        <w:t xml:space="preserve"> ，身份证号码：</w:t>
      </w:r>
      <w:r>
        <w:rPr>
          <w:rFonts w:hint="eastAsia"/>
          <w:color w:val="000000"/>
          <w:sz w:val="24"/>
          <w:u w:val="single"/>
        </w:rPr>
        <w:t xml:space="preserve">         </w:t>
      </w:r>
      <w:r>
        <w:rPr>
          <w:rFonts w:hint="eastAsia"/>
          <w:color w:val="000000"/>
          <w:sz w:val="24"/>
        </w:rPr>
        <w:t>，系</w:t>
      </w:r>
      <w:r>
        <w:rPr>
          <w:rFonts w:hint="eastAsia"/>
          <w:color w:val="000000"/>
          <w:sz w:val="24"/>
          <w:u w:val="single"/>
        </w:rPr>
        <w:t>（供应商名称）</w:t>
      </w:r>
      <w:r>
        <w:rPr>
          <w:rFonts w:hint="eastAsia"/>
          <w:color w:val="000000"/>
          <w:sz w:val="24"/>
        </w:rPr>
        <w:t>的法定代表人/负责人。为招标编号为的</w:t>
      </w:r>
      <w:r>
        <w:rPr>
          <w:rFonts w:ascii="宋体"/>
          <w:bCs/>
          <w:color w:val="000000"/>
          <w:sz w:val="24"/>
        </w:rPr>
        <w:t>XXXX</w:t>
      </w:r>
      <w:r>
        <w:rPr>
          <w:rFonts w:hint="eastAsia" w:ascii="宋体"/>
          <w:bCs/>
          <w:color w:val="000000"/>
          <w:sz w:val="24"/>
        </w:rPr>
        <w:t>单位所需</w:t>
      </w:r>
      <w:r>
        <w:rPr>
          <w:rFonts w:ascii="宋体"/>
          <w:bCs/>
          <w:color w:val="000000"/>
          <w:sz w:val="24"/>
        </w:rPr>
        <w:t>XXXX</w:t>
      </w:r>
      <w:r>
        <w:rPr>
          <w:rFonts w:hint="eastAsia" w:ascii="宋体"/>
          <w:bCs/>
          <w:color w:val="000000"/>
          <w:sz w:val="24"/>
        </w:rPr>
        <w:t>项目</w:t>
      </w:r>
      <w:r>
        <w:rPr>
          <w:rFonts w:hint="eastAsia"/>
          <w:color w:val="000000"/>
          <w:sz w:val="24"/>
        </w:rPr>
        <w:t>投标活动签署投标文件、进行合同谈判、签署合同和全权处理与之有关的一切事务。</w:t>
      </w:r>
    </w:p>
    <w:p>
      <w:pPr>
        <w:ind w:firstLine="480"/>
        <w:rPr>
          <w:color w:val="000000"/>
          <w:sz w:val="24"/>
        </w:rPr>
      </w:pPr>
    </w:p>
    <w:p>
      <w:pPr>
        <w:ind w:firstLine="480"/>
        <w:rPr>
          <w:color w:val="000000"/>
          <w:sz w:val="24"/>
        </w:rPr>
      </w:pPr>
      <w:r>
        <w:rPr>
          <w:rFonts w:hint="eastAsia"/>
          <w:color w:val="000000"/>
          <w:sz w:val="24"/>
        </w:rPr>
        <w:t>特此证明。</w:t>
      </w:r>
    </w:p>
    <w:p>
      <w:pPr>
        <w:ind w:firstLine="480"/>
        <w:jc w:val="left"/>
        <w:rPr>
          <w:color w:val="000000"/>
          <w:sz w:val="24"/>
        </w:rPr>
      </w:pPr>
    </w:p>
    <w:p>
      <w:pPr>
        <w:ind w:firstLine="480"/>
        <w:jc w:val="left"/>
        <w:rPr>
          <w:color w:val="000000"/>
          <w:sz w:val="24"/>
          <w:u w:val="single"/>
        </w:rPr>
      </w:pPr>
      <w:r>
        <w:rPr>
          <w:rFonts w:hint="eastAsia"/>
          <w:color w:val="000000"/>
          <w:sz w:val="24"/>
        </w:rPr>
        <w:t>投标人名称：（公章）</w:t>
      </w:r>
    </w:p>
    <w:p>
      <w:pPr>
        <w:ind w:firstLine="480"/>
        <w:rPr>
          <w:color w:val="000000"/>
          <w:sz w:val="24"/>
          <w:u w:val="single"/>
        </w:rPr>
      </w:pPr>
      <w:r>
        <w:rPr>
          <w:rFonts w:hint="eastAsia"/>
          <w:color w:val="000000"/>
          <w:sz w:val="24"/>
        </w:rPr>
        <w:t>投标人地址：</w:t>
      </w:r>
    </w:p>
    <w:p>
      <w:pPr>
        <w:ind w:firstLine="480"/>
        <w:rPr>
          <w:color w:val="000000"/>
          <w:sz w:val="24"/>
          <w:u w:val="single"/>
        </w:rPr>
      </w:pPr>
    </w:p>
    <w:p>
      <w:pPr>
        <w:ind w:firstLine="480"/>
        <w:rPr>
          <w:color w:val="000000"/>
          <w:sz w:val="24"/>
          <w:u w:val="single"/>
        </w:rPr>
      </w:pPr>
    </w:p>
    <w:p>
      <w:pPr>
        <w:ind w:firstLine="480"/>
        <w:rPr>
          <w:color w:val="000000"/>
          <w:sz w:val="24"/>
        </w:rPr>
      </w:pPr>
      <w:r>
        <w:rPr>
          <w:rFonts w:hint="eastAsia"/>
          <w:color w:val="000000"/>
          <w:sz w:val="24"/>
        </w:rPr>
        <w:t>日期：   年   月   日</w:t>
      </w:r>
    </w:p>
    <w:p>
      <w:pPr>
        <w:ind w:firstLine="480"/>
        <w:rPr>
          <w:color w:val="000000"/>
          <w:sz w:val="24"/>
        </w:rPr>
      </w:pPr>
    </w:p>
    <w:p>
      <w:pPr>
        <w:ind w:firstLine="480"/>
        <w:rPr>
          <w:color w:val="000000"/>
          <w:sz w:val="24"/>
        </w:rPr>
      </w:pPr>
    </w:p>
    <w:p>
      <w:pPr>
        <w:ind w:firstLine="480"/>
        <w:rPr>
          <w:color w:val="000000"/>
          <w:sz w:val="24"/>
        </w:rPr>
      </w:pPr>
      <w:r>
        <w:rPr>
          <w:rFonts w:hint="eastAsia"/>
          <w:color w:val="000000"/>
          <w:sz w:val="24"/>
        </w:rPr>
        <w:t>注：本证明书投标人必须提供。此处所述“法定代表人”或“负责人”，须与投标申请人的“营业执照”上的内容一致。</w:t>
      </w:r>
    </w:p>
    <w:p>
      <w:pPr>
        <w:pStyle w:val="4"/>
        <w:ind w:firstLine="196" w:firstLineChars="82"/>
      </w:pPr>
      <w:r>
        <w:br w:type="page"/>
      </w:r>
      <w:bookmarkStart w:id="495" w:name="_Toc447272174"/>
      <w:bookmarkStart w:id="496" w:name="_Toc493013085"/>
      <w:bookmarkStart w:id="497" w:name="_Toc30873"/>
      <w:bookmarkStart w:id="498" w:name="_Toc6125"/>
      <w:bookmarkStart w:id="499" w:name="_Toc447207038"/>
      <w:bookmarkStart w:id="500" w:name="_Toc459623018"/>
      <w:bookmarkStart w:id="501" w:name="_Toc10533"/>
      <w:bookmarkStart w:id="502" w:name="_Toc24086"/>
      <w:r>
        <w:rPr>
          <w:rFonts w:hint="eastAsia"/>
        </w:rPr>
        <w:t>附件4：法人授权函</w:t>
      </w:r>
      <w:bookmarkEnd w:id="495"/>
      <w:bookmarkEnd w:id="496"/>
      <w:bookmarkEnd w:id="497"/>
      <w:bookmarkEnd w:id="498"/>
      <w:bookmarkEnd w:id="499"/>
      <w:bookmarkEnd w:id="500"/>
      <w:bookmarkEnd w:id="501"/>
      <w:bookmarkEnd w:id="502"/>
    </w:p>
    <w:bookmarkEnd w:id="494"/>
    <w:p>
      <w:pPr>
        <w:ind w:firstLine="480"/>
        <w:rPr>
          <w:color w:val="000000"/>
          <w:sz w:val="24"/>
        </w:rPr>
      </w:pPr>
      <w:r>
        <w:rPr>
          <w:rFonts w:hint="eastAsia"/>
          <w:color w:val="000000"/>
          <w:sz w:val="24"/>
        </w:rPr>
        <w:t>致：</w:t>
      </w:r>
    </w:p>
    <w:p>
      <w:pPr>
        <w:ind w:firstLine="480"/>
        <w:rPr>
          <w:color w:val="000000"/>
          <w:sz w:val="24"/>
        </w:rPr>
      </w:pPr>
      <w:r>
        <w:rPr>
          <w:rFonts w:hint="eastAsia"/>
          <w:color w:val="000000"/>
          <w:sz w:val="24"/>
        </w:rPr>
        <w:t>本授权函声明：</w:t>
      </w:r>
      <w:r>
        <w:rPr>
          <w:rFonts w:hint="eastAsia"/>
          <w:color w:val="000000"/>
          <w:sz w:val="24"/>
          <w:u w:val="single"/>
        </w:rPr>
        <w:t>（投标人全称）</w:t>
      </w:r>
      <w:r>
        <w:rPr>
          <w:rFonts w:hint="eastAsia"/>
          <w:color w:val="000000"/>
          <w:sz w:val="24"/>
        </w:rPr>
        <w:t>任命</w:t>
      </w:r>
      <w:r>
        <w:rPr>
          <w:rFonts w:hint="eastAsia"/>
          <w:color w:val="000000"/>
          <w:sz w:val="24"/>
          <w:u w:val="single"/>
        </w:rPr>
        <w:t>（被授权人姓名、职务）</w:t>
      </w:r>
      <w:r>
        <w:rPr>
          <w:rFonts w:hint="eastAsia"/>
          <w:color w:val="000000"/>
          <w:sz w:val="24"/>
        </w:rPr>
        <w:t>为我公司的授权代表人，参与招标编号为的</w:t>
      </w:r>
      <w:r>
        <w:rPr>
          <w:rFonts w:ascii="宋体"/>
          <w:bCs/>
          <w:color w:val="000000"/>
          <w:sz w:val="24"/>
        </w:rPr>
        <w:t>XXXX</w:t>
      </w:r>
      <w:r>
        <w:rPr>
          <w:rFonts w:hint="eastAsia" w:ascii="宋体"/>
          <w:bCs/>
          <w:color w:val="000000"/>
          <w:sz w:val="24"/>
        </w:rPr>
        <w:t>单位所需</w:t>
      </w:r>
      <w:r>
        <w:rPr>
          <w:rFonts w:ascii="宋体"/>
          <w:bCs/>
          <w:color w:val="000000"/>
          <w:sz w:val="24"/>
        </w:rPr>
        <w:t>XXXX</w:t>
      </w:r>
      <w:r>
        <w:rPr>
          <w:rFonts w:hint="eastAsia" w:ascii="宋体"/>
          <w:bCs/>
          <w:color w:val="000000"/>
          <w:sz w:val="24"/>
        </w:rPr>
        <w:t>项目</w:t>
      </w:r>
      <w:r>
        <w:rPr>
          <w:rFonts w:hint="eastAsia"/>
          <w:color w:val="000000"/>
          <w:sz w:val="24"/>
        </w:rPr>
        <w:t>投标活动，以投标人的名义签署投标文件、进行合同谈判、签署合同和全权处理与之有关的一切事务。</w:t>
      </w:r>
    </w:p>
    <w:p>
      <w:pPr>
        <w:ind w:firstLine="480"/>
        <w:rPr>
          <w:color w:val="000000"/>
          <w:sz w:val="24"/>
        </w:rPr>
      </w:pPr>
      <w:r>
        <w:rPr>
          <w:rFonts w:hint="eastAsia"/>
          <w:color w:val="000000"/>
          <w:sz w:val="24"/>
        </w:rPr>
        <w:t>特签字如下，以资证明。</w:t>
      </w:r>
    </w:p>
    <w:p>
      <w:pPr>
        <w:ind w:firstLine="480"/>
        <w:rPr>
          <w:color w:val="000000"/>
          <w:sz w:val="24"/>
        </w:rPr>
      </w:pPr>
    </w:p>
    <w:p>
      <w:pPr>
        <w:ind w:firstLine="480"/>
        <w:jc w:val="left"/>
        <w:rPr>
          <w:color w:val="000000"/>
          <w:sz w:val="24"/>
          <w:u w:val="single"/>
        </w:rPr>
      </w:pPr>
      <w:r>
        <w:rPr>
          <w:rFonts w:hint="eastAsia"/>
          <w:color w:val="000000"/>
          <w:sz w:val="24"/>
        </w:rPr>
        <w:t>投标人名称：（公章）</w:t>
      </w:r>
    </w:p>
    <w:p>
      <w:pPr>
        <w:ind w:firstLine="480"/>
        <w:rPr>
          <w:color w:val="000000"/>
          <w:sz w:val="24"/>
          <w:u w:val="single"/>
        </w:rPr>
      </w:pPr>
      <w:r>
        <w:rPr>
          <w:rFonts w:hint="eastAsia"/>
          <w:color w:val="000000"/>
          <w:sz w:val="24"/>
        </w:rPr>
        <w:t>投标人地址：</w:t>
      </w:r>
    </w:p>
    <w:p>
      <w:pPr>
        <w:ind w:firstLine="480"/>
        <w:rPr>
          <w:color w:val="000000"/>
          <w:sz w:val="24"/>
          <w:u w:val="single"/>
        </w:rPr>
      </w:pPr>
      <w:r>
        <w:rPr>
          <w:rFonts w:hint="eastAsia"/>
          <w:color w:val="000000"/>
          <w:sz w:val="24"/>
        </w:rPr>
        <w:t>法定代表人：（签字或印章）</w:t>
      </w:r>
    </w:p>
    <w:p>
      <w:pPr>
        <w:ind w:firstLine="480"/>
        <w:rPr>
          <w:color w:val="000000"/>
          <w:sz w:val="24"/>
          <w:u w:val="single"/>
        </w:rPr>
      </w:pPr>
      <w:r>
        <w:rPr>
          <w:rFonts w:hint="eastAsia"/>
          <w:color w:val="000000"/>
          <w:sz w:val="24"/>
        </w:rPr>
        <w:t>被授权人：（签字或印章）：</w:t>
      </w:r>
    </w:p>
    <w:p>
      <w:pPr>
        <w:spacing w:line="480" w:lineRule="auto"/>
        <w:ind w:firstLine="2160" w:firstLineChars="900"/>
        <w:rPr>
          <w:color w:val="000000"/>
          <w:sz w:val="24"/>
        </w:rPr>
      </w:pPr>
    </w:p>
    <w:p>
      <w:pPr>
        <w:spacing w:line="300" w:lineRule="auto"/>
        <w:ind w:firstLine="4560" w:firstLineChars="1900"/>
        <w:rPr>
          <w:color w:val="000000"/>
          <w:sz w:val="24"/>
        </w:rPr>
      </w:pPr>
      <w:r>
        <w:rPr>
          <w:rFonts w:hint="eastAsia"/>
          <w:color w:val="000000"/>
          <w:sz w:val="24"/>
        </w:rPr>
        <w:t>授权日期：    年   月   日</w:t>
      </w:r>
    </w:p>
    <w:p>
      <w:pPr>
        <w:spacing w:line="480" w:lineRule="auto"/>
        <w:ind w:firstLine="420"/>
        <w:rPr>
          <w:color w:val="000000"/>
          <w:sz w:val="24"/>
        </w:rPr>
      </w:pPr>
      <w:r>
        <w:pict>
          <v:shape id="Text Box 3" o:spid="_x0000_s1026" o:spt="202" type="#_x0000_t202" style="position:absolute;left:0pt;margin-left:261.45pt;margin-top:30.1pt;height:94.65pt;width:191.25pt;z-index:251657216;mso-width-relative:page;mso-height-relative:page;" coordsize="21600,21600" o:gfxdata="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WpdidkAAAAK&#10;AQAADwAAAAAAAAABACAAAAAiAAAAZHJzL2Rvd25yZXYueG1sUEsBAhQAFAAAAAgAh07iQHMzHdsb&#10;AgAARwQAAA4AAAAAAAAAAQAgAAAAKAEAAGRycy9lMm9Eb2MueG1sUEsFBgAAAAAGAAYAWQEAALUF&#10;AAAAAA==&#10;">
            <v:path/>
            <v:fill focussize="0,0"/>
            <v:stroke joinstyle="miter"/>
            <v:imagedata o:title=""/>
            <o:lock v:ext="edit"/>
            <v:textbox>
              <w:txbxContent>
                <w:p>
                  <w:pPr>
                    <w:ind w:firstLine="640"/>
                    <w:jc w:val="center"/>
                    <w:rPr>
                      <w:sz w:val="32"/>
                      <w:szCs w:val="32"/>
                    </w:rPr>
                  </w:pPr>
                </w:p>
                <w:p>
                  <w:pPr>
                    <w:ind w:firstLine="640"/>
                    <w:jc w:val="center"/>
                    <w:rPr>
                      <w:sz w:val="32"/>
                      <w:szCs w:val="32"/>
                    </w:rPr>
                  </w:pPr>
                  <w:r>
                    <w:rPr>
                      <w:rFonts w:hint="eastAsia"/>
                      <w:sz w:val="32"/>
                      <w:szCs w:val="32"/>
                    </w:rPr>
                    <w:t>背面</w:t>
                  </w:r>
                </w:p>
              </w:txbxContent>
            </v:textbox>
          </v:shape>
        </w:pict>
      </w:r>
      <w:r>
        <w:pict>
          <v:shape id="Text Box 2" o:spid="_x0000_s1029" o:spt="202" type="#_x0000_t202" style="position:absolute;left:0pt;margin-left:31.1pt;margin-top:30.05pt;height:95.95pt;width:195pt;z-index:251656192;mso-width-relative:page;mso-height-relative:page;" coordsize="21600,21600" o:gfxdata="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ssme2AAAAAkB&#10;AAAPAAAAAAAAAAEAIAAAACIAAABkcnMvZG93bnJldi54bWxQSwECFAAUAAAACACHTuJAo5aT3RsC&#10;AABHBAAADgAAAAAAAAABACAAAAAnAQAAZHJzL2Uyb0RvYy54bWxQSwUGAAAAAAYABgBZAQAAtAUA&#10;AAAA&#10;">
            <v:path/>
            <v:fill focussize="0,0"/>
            <v:stroke joinstyle="miter"/>
            <v:imagedata o:title=""/>
            <o:lock v:ext="edit"/>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w:r>
      <w:r>
        <w:rPr>
          <w:rFonts w:hint="eastAsia"/>
          <w:color w:val="000000"/>
          <w:sz w:val="24"/>
        </w:rPr>
        <w:t>法定代表人身份复印件：</w:t>
      </w:r>
    </w:p>
    <w:p>
      <w:pPr>
        <w:spacing w:line="480" w:lineRule="auto"/>
        <w:ind w:firstLine="2160" w:firstLineChars="900"/>
        <w:rPr>
          <w:color w:val="000000"/>
          <w:sz w:val="24"/>
        </w:rPr>
      </w:pPr>
    </w:p>
    <w:p>
      <w:pPr>
        <w:spacing w:line="480" w:lineRule="auto"/>
        <w:ind w:firstLine="2160" w:firstLineChars="900"/>
        <w:rPr>
          <w:color w:val="000000"/>
          <w:sz w:val="24"/>
        </w:rPr>
      </w:pPr>
    </w:p>
    <w:p>
      <w:pPr>
        <w:spacing w:line="480" w:lineRule="auto"/>
        <w:ind w:firstLine="2160" w:firstLineChars="900"/>
        <w:rPr>
          <w:color w:val="000000"/>
          <w:sz w:val="24"/>
          <w:u w:val="single"/>
        </w:rPr>
      </w:pPr>
    </w:p>
    <w:p>
      <w:pPr>
        <w:spacing w:line="480" w:lineRule="auto"/>
        <w:ind w:firstLine="480"/>
        <w:jc w:val="left"/>
        <w:rPr>
          <w:color w:val="000000"/>
          <w:sz w:val="24"/>
        </w:rPr>
      </w:pPr>
      <w:r>
        <w:rPr>
          <w:rFonts w:hint="eastAsia"/>
          <w:color w:val="000000"/>
          <w:sz w:val="24"/>
        </w:rPr>
        <w:t>授权人身份证复印件：</w:t>
      </w:r>
    </w:p>
    <w:p>
      <w:pPr>
        <w:spacing w:line="300" w:lineRule="auto"/>
        <w:ind w:firstLine="420"/>
        <w:rPr>
          <w:color w:val="000000"/>
          <w:sz w:val="24"/>
        </w:rPr>
      </w:pPr>
      <w:r>
        <w:pict>
          <v:shape id="Text Box 5" o:spid="_x0000_s1028" o:spt="202" type="#_x0000_t202" style="position:absolute;left:0pt;margin-left:261.45pt;margin-top:13.15pt;height:93.65pt;width:191.25pt;z-index:251659264;mso-width-relative:page;mso-height-relative:page;" coordsize="21600,21600" o:gfxdata="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z9EgK2QAA&#10;AAoBAAAPAAAAAAAAAAEAIAAAACIAAABkcnMvZG93bnJldi54bWxQSwECFAAUAAAACACHTuJAM6oI&#10;4h0CAABHBAAADgAAAAAAAAABACAAAAAoAQAAZHJzL2Uyb0RvYy54bWxQSwUGAAAAAAYABgBZAQAA&#10;twUAAAAA&#10;">
            <v:path/>
            <v:fill focussize="0,0"/>
            <v:stroke joinstyle="miter"/>
            <v:imagedata o:title=""/>
            <o:lock v:ext="edit"/>
            <v:textbox>
              <w:txbxContent>
                <w:p>
                  <w:pPr>
                    <w:ind w:firstLine="640"/>
                    <w:jc w:val="center"/>
                    <w:rPr>
                      <w:sz w:val="32"/>
                      <w:szCs w:val="32"/>
                    </w:rPr>
                  </w:pPr>
                </w:p>
                <w:p>
                  <w:pPr>
                    <w:ind w:firstLine="640"/>
                    <w:jc w:val="center"/>
                    <w:rPr>
                      <w:sz w:val="32"/>
                      <w:szCs w:val="32"/>
                    </w:rPr>
                  </w:pPr>
                  <w:r>
                    <w:rPr>
                      <w:rFonts w:hint="eastAsia"/>
                      <w:sz w:val="32"/>
                      <w:szCs w:val="32"/>
                    </w:rPr>
                    <w:t>背面</w:t>
                  </w:r>
                </w:p>
                <w:p>
                  <w:pPr>
                    <w:ind w:firstLine="420"/>
                  </w:pPr>
                </w:p>
              </w:txbxContent>
            </v:textbox>
          </v:shape>
        </w:pict>
      </w:r>
      <w:r>
        <w:pict>
          <v:shape id="Text Box 4" o:spid="_x0000_s1027" o:spt="202" type="#_x0000_t202" style="position:absolute;left:0pt;margin-left:31.1pt;margin-top:13.1pt;height:94.95pt;width:201pt;z-index:251658240;mso-width-relative:page;mso-height-relative:page;" coordsize="21600,21600" o:gfxdata="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w/G+DXAAAACQEA&#10;AA8AAAAAAAAAAQAgAAAAIgAAAGRycy9kb3ducmV2LnhtbFBLAQIUABQAAAAIAIdO4kD4ZinOGwIA&#10;AEcEAAAOAAAAAAAAAAEAIAAAACYBAABkcnMvZTJvRG9jLnhtbFBLBQYAAAAABgAGAFkBAACzBQAA&#10;AAA=&#10;">
            <v:path/>
            <v:fill focussize="0,0"/>
            <v:stroke joinstyle="miter"/>
            <v:imagedata o:title=""/>
            <o:lock v:ext="edit"/>
            <v:textbox>
              <w:txbxContent>
                <w:p>
                  <w:pPr>
                    <w:ind w:firstLine="640"/>
                    <w:jc w:val="center"/>
                    <w:rPr>
                      <w:sz w:val="32"/>
                      <w:szCs w:val="32"/>
                    </w:rPr>
                  </w:pPr>
                </w:p>
                <w:p>
                  <w:pPr>
                    <w:ind w:firstLine="640"/>
                    <w:jc w:val="center"/>
                    <w:rPr>
                      <w:sz w:val="32"/>
                      <w:szCs w:val="32"/>
                    </w:rPr>
                  </w:pPr>
                  <w:r>
                    <w:rPr>
                      <w:rFonts w:hint="eastAsia"/>
                      <w:sz w:val="32"/>
                      <w:szCs w:val="32"/>
                    </w:rPr>
                    <w:t>正面</w:t>
                  </w:r>
                </w:p>
              </w:txbxContent>
            </v:textbox>
          </v:shape>
        </w:pict>
      </w:r>
    </w:p>
    <w:p>
      <w:pPr>
        <w:spacing w:line="300" w:lineRule="auto"/>
        <w:ind w:firstLine="3360" w:firstLineChars="1400"/>
        <w:rPr>
          <w:color w:val="000000"/>
          <w:sz w:val="24"/>
        </w:rPr>
      </w:pPr>
    </w:p>
    <w:p>
      <w:pPr>
        <w:spacing w:line="300" w:lineRule="auto"/>
        <w:ind w:firstLine="480"/>
        <w:rPr>
          <w:color w:val="000000"/>
          <w:sz w:val="24"/>
        </w:rPr>
      </w:pPr>
    </w:p>
    <w:p>
      <w:pPr>
        <w:spacing w:line="300" w:lineRule="auto"/>
        <w:ind w:firstLine="480"/>
        <w:rPr>
          <w:color w:val="000000"/>
          <w:sz w:val="24"/>
        </w:rPr>
      </w:pPr>
    </w:p>
    <w:p>
      <w:pPr>
        <w:spacing w:line="300" w:lineRule="auto"/>
        <w:ind w:firstLine="199" w:firstLineChars="83"/>
        <w:rPr>
          <w:color w:val="000000"/>
          <w:sz w:val="24"/>
        </w:rPr>
        <w:sectPr>
          <w:headerReference r:id="rId5" w:type="first"/>
          <w:footerReference r:id="rId8" w:type="first"/>
          <w:headerReference r:id="rId3" w:type="default"/>
          <w:footerReference r:id="rId6" w:type="default"/>
          <w:headerReference r:id="rId4" w:type="even"/>
          <w:footerReference r:id="rId7" w:type="even"/>
          <w:pgSz w:w="11907" w:h="16840"/>
          <w:pgMar w:top="1440" w:right="794" w:bottom="1440" w:left="1247" w:header="851" w:footer="992" w:gutter="0"/>
          <w:cols w:space="0" w:num="1"/>
          <w:titlePg/>
          <w:docGrid w:type="linesAndChars" w:linePitch="312" w:charSpace="0"/>
        </w:sectPr>
      </w:pPr>
    </w:p>
    <w:p>
      <w:pPr>
        <w:pStyle w:val="4"/>
        <w:spacing w:before="0"/>
        <w:ind w:firstLine="0" w:firstLineChars="0"/>
      </w:pPr>
      <w:bookmarkStart w:id="503" w:name="_Toc2417"/>
      <w:bookmarkStart w:id="504" w:name="_Toc459623019"/>
      <w:bookmarkStart w:id="505" w:name="_Toc14064"/>
      <w:bookmarkStart w:id="506" w:name="_Toc447272175"/>
      <w:bookmarkStart w:id="507" w:name="_Toc493013086"/>
      <w:bookmarkStart w:id="508" w:name="_Toc7992"/>
      <w:bookmarkStart w:id="509" w:name="_Toc447207039"/>
      <w:bookmarkStart w:id="510" w:name="_Toc9476"/>
      <w:r>
        <w:rPr>
          <w:rFonts w:hint="eastAsia"/>
        </w:rPr>
        <w:t>附件5：开标一览表</w:t>
      </w:r>
      <w:bookmarkEnd w:id="503"/>
      <w:bookmarkEnd w:id="504"/>
      <w:bookmarkEnd w:id="505"/>
      <w:bookmarkEnd w:id="506"/>
      <w:bookmarkEnd w:id="507"/>
      <w:bookmarkEnd w:id="508"/>
      <w:bookmarkEnd w:id="509"/>
      <w:bookmarkEnd w:id="510"/>
    </w:p>
    <w:p>
      <w:pPr>
        <w:ind w:firstLine="0" w:firstLineChars="0"/>
        <w:rPr>
          <w:rFonts w:ascii="宋体"/>
          <w:bCs/>
          <w:color w:val="000000"/>
          <w:sz w:val="24"/>
          <w:u w:val="single"/>
        </w:rPr>
      </w:pPr>
      <w:r>
        <w:rPr>
          <w:rFonts w:hint="eastAsia"/>
          <w:color w:val="000000"/>
          <w:sz w:val="24"/>
        </w:rPr>
        <w:t>项目名称：</w:t>
      </w:r>
      <w:r>
        <w:rPr>
          <w:rFonts w:hint="eastAsia"/>
          <w:color w:val="000000"/>
          <w:sz w:val="24"/>
          <w:u w:val="single"/>
        </w:rPr>
        <w:t xml:space="preserve"> </w:t>
      </w:r>
    </w:p>
    <w:p>
      <w:pPr>
        <w:snapToGrid w:val="0"/>
        <w:ind w:firstLine="0" w:firstLineChars="0"/>
        <w:rPr>
          <w:bCs/>
          <w:color w:val="000000"/>
          <w:sz w:val="24"/>
        </w:rPr>
      </w:pPr>
      <w:r>
        <w:rPr>
          <w:rFonts w:hint="eastAsia"/>
          <w:color w:val="000000"/>
          <w:sz w:val="24"/>
        </w:rPr>
        <w:t>招标文件编号：</w:t>
      </w:r>
    </w:p>
    <w:tbl>
      <w:tblPr>
        <w:tblStyle w:val="41"/>
        <w:tblW w:w="88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511"/>
        <w:gridCol w:w="2340"/>
        <w:gridCol w:w="1260"/>
        <w:gridCol w:w="720"/>
        <w:gridCol w:w="900"/>
        <w:gridCol w:w="14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675" w:type="dxa"/>
            <w:vMerge w:val="restart"/>
            <w:tcBorders>
              <w:top w:val="single" w:color="auto" w:sz="4" w:space="0"/>
              <w:left w:val="single" w:color="auto" w:sz="4" w:space="0"/>
              <w:right w:val="single" w:color="auto" w:sz="4" w:space="0"/>
            </w:tcBorders>
            <w:vAlign w:val="center"/>
          </w:tcPr>
          <w:p>
            <w:pPr>
              <w:snapToGrid w:val="0"/>
              <w:spacing w:line="360" w:lineRule="atLeast"/>
              <w:ind w:firstLine="0" w:firstLineChars="0"/>
              <w:rPr>
                <w:rFonts w:ascii="宋体" w:hAnsi="宋体"/>
                <w:b/>
              </w:rPr>
            </w:pPr>
            <w:r>
              <w:rPr>
                <w:rFonts w:hint="eastAsia" w:ascii="宋体" w:hAnsi="宋体"/>
                <w:b/>
              </w:rPr>
              <w:t>序号</w:t>
            </w:r>
          </w:p>
        </w:tc>
        <w:tc>
          <w:tcPr>
            <w:tcW w:w="1511" w:type="dxa"/>
            <w:vMerge w:val="restart"/>
            <w:tcBorders>
              <w:top w:val="single" w:color="auto" w:sz="4" w:space="0"/>
              <w:left w:val="single" w:color="auto" w:sz="4" w:space="0"/>
              <w:right w:val="single" w:color="auto" w:sz="4" w:space="0"/>
            </w:tcBorders>
            <w:vAlign w:val="center"/>
          </w:tcPr>
          <w:p>
            <w:pPr>
              <w:snapToGrid w:val="0"/>
              <w:spacing w:line="360" w:lineRule="atLeast"/>
              <w:ind w:firstLine="0" w:firstLineChars="0"/>
              <w:rPr>
                <w:rFonts w:ascii="宋体" w:hAnsi="宋体"/>
                <w:b/>
              </w:rPr>
            </w:pPr>
            <w:r>
              <w:rPr>
                <w:rFonts w:hint="eastAsia" w:ascii="宋体" w:hAnsi="宋体"/>
                <w:b/>
              </w:rPr>
              <w:t>设备（货物）</w:t>
            </w:r>
          </w:p>
          <w:p>
            <w:pPr>
              <w:snapToGrid w:val="0"/>
              <w:spacing w:line="360" w:lineRule="atLeast"/>
              <w:ind w:firstLine="422"/>
              <w:rPr>
                <w:rFonts w:ascii="宋体" w:hAnsi="宋体"/>
                <w:b/>
              </w:rPr>
            </w:pPr>
            <w:r>
              <w:rPr>
                <w:rFonts w:hint="eastAsia" w:ascii="宋体" w:hAnsi="宋体"/>
                <w:b/>
              </w:rPr>
              <w:t>名称</w:t>
            </w:r>
          </w:p>
        </w:tc>
        <w:tc>
          <w:tcPr>
            <w:tcW w:w="2340" w:type="dxa"/>
            <w:vMerge w:val="restart"/>
            <w:tcBorders>
              <w:top w:val="single" w:color="auto" w:sz="4" w:space="0"/>
              <w:left w:val="single" w:color="auto" w:sz="4" w:space="0"/>
              <w:right w:val="single" w:color="auto" w:sz="4" w:space="0"/>
            </w:tcBorders>
            <w:vAlign w:val="center"/>
          </w:tcPr>
          <w:p>
            <w:pPr>
              <w:snapToGrid w:val="0"/>
              <w:spacing w:line="360" w:lineRule="atLeast"/>
              <w:ind w:firstLine="422"/>
              <w:rPr>
                <w:rFonts w:ascii="宋体" w:hAnsi="宋体"/>
                <w:b/>
              </w:rPr>
            </w:pPr>
            <w:r>
              <w:rPr>
                <w:rFonts w:hint="eastAsia" w:ascii="宋体" w:hAnsi="宋体"/>
                <w:b/>
              </w:rPr>
              <w:t>型号和规格</w:t>
            </w:r>
          </w:p>
        </w:tc>
        <w:tc>
          <w:tcPr>
            <w:tcW w:w="1260" w:type="dxa"/>
            <w:vMerge w:val="restart"/>
            <w:tcBorders>
              <w:top w:val="single" w:color="auto" w:sz="4" w:space="0"/>
              <w:left w:val="single" w:color="auto" w:sz="4" w:space="0"/>
              <w:right w:val="single" w:color="auto" w:sz="4" w:space="0"/>
            </w:tcBorders>
            <w:vAlign w:val="center"/>
          </w:tcPr>
          <w:p>
            <w:pPr>
              <w:snapToGrid w:val="0"/>
              <w:spacing w:line="360" w:lineRule="atLeast"/>
              <w:ind w:firstLine="0" w:firstLineChars="0"/>
              <w:jc w:val="center"/>
              <w:rPr>
                <w:rFonts w:ascii="宋体" w:hAnsi="宋体"/>
                <w:b/>
              </w:rPr>
            </w:pPr>
            <w:r>
              <w:rPr>
                <w:rFonts w:hint="eastAsia" w:ascii="宋体" w:hAnsi="宋体"/>
                <w:b/>
              </w:rPr>
              <w:t>数量</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98" w:firstLineChars="94"/>
              <w:rPr>
                <w:rFonts w:ascii="宋体" w:hAnsi="宋体"/>
                <w:b/>
              </w:rPr>
            </w:pPr>
            <w:r>
              <w:rPr>
                <w:rFonts w:hint="eastAsia" w:ascii="宋体" w:hAnsi="宋体"/>
                <w:b/>
                <w:kern w:val="0"/>
              </w:rPr>
              <w:t>投标价格</w:t>
            </w:r>
          </w:p>
        </w:tc>
        <w:tc>
          <w:tcPr>
            <w:tcW w:w="1489" w:type="dxa"/>
            <w:vMerge w:val="restart"/>
            <w:tcBorders>
              <w:top w:val="single" w:color="auto" w:sz="4" w:space="0"/>
              <w:left w:val="single" w:color="auto" w:sz="4" w:space="0"/>
              <w:right w:val="single" w:color="auto" w:sz="4" w:space="0"/>
            </w:tcBorders>
            <w:vAlign w:val="center"/>
          </w:tcPr>
          <w:p>
            <w:pPr>
              <w:snapToGrid w:val="0"/>
              <w:spacing w:line="360" w:lineRule="atLeast"/>
              <w:ind w:firstLine="0" w:firstLineChars="0"/>
              <w:jc w:val="center"/>
              <w:rPr>
                <w:rFonts w:ascii="宋体" w:hAnsi="宋体"/>
                <w:b/>
              </w:rPr>
            </w:pPr>
            <w:r>
              <w:rPr>
                <w:rFonts w:hint="eastAsia" w:ascii="宋体" w:hAnsi="宋体"/>
                <w:b/>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trPr>
        <w:tc>
          <w:tcPr>
            <w:tcW w:w="675" w:type="dxa"/>
            <w:vMerge w:val="continue"/>
            <w:tcBorders>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tc>
        <w:tc>
          <w:tcPr>
            <w:tcW w:w="1511" w:type="dxa"/>
            <w:vMerge w:val="continue"/>
            <w:tcBorders>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tc>
        <w:tc>
          <w:tcPr>
            <w:tcW w:w="2340" w:type="dxa"/>
            <w:vMerge w:val="continue"/>
            <w:tcBorders>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tc>
        <w:tc>
          <w:tcPr>
            <w:tcW w:w="1260" w:type="dxa"/>
            <w:vMerge w:val="continue"/>
            <w:tcBorders>
              <w:left w:val="single" w:color="auto" w:sz="4" w:space="0"/>
              <w:bottom w:val="single" w:color="auto" w:sz="4" w:space="0"/>
              <w:right w:val="single" w:color="auto" w:sz="4" w:space="0"/>
            </w:tcBorders>
            <w:vAlign w:val="center"/>
          </w:tcPr>
          <w:p>
            <w:pPr>
              <w:widowControl/>
              <w:ind w:firstLine="420"/>
              <w:jc w:val="left"/>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napToGrid w:val="0"/>
              <w:spacing w:line="360" w:lineRule="atLeast"/>
              <w:ind w:firstLine="0" w:firstLineChars="0"/>
              <w:jc w:val="center"/>
              <w:rPr>
                <w:rFonts w:ascii="宋体" w:hAnsi="宋体"/>
                <w:b/>
                <w:kern w:val="0"/>
              </w:rPr>
            </w:pPr>
            <w:r>
              <w:rPr>
                <w:rFonts w:hint="eastAsia" w:ascii="宋体" w:hAnsi="宋体"/>
                <w:b/>
                <w:kern w:val="0"/>
              </w:rPr>
              <w:t>单价</w:t>
            </w:r>
          </w:p>
        </w:tc>
        <w:tc>
          <w:tcPr>
            <w:tcW w:w="900" w:type="dxa"/>
            <w:tcBorders>
              <w:top w:val="single" w:color="auto" w:sz="4" w:space="0"/>
              <w:left w:val="single" w:color="auto" w:sz="4" w:space="0"/>
              <w:bottom w:val="single" w:color="auto" w:sz="4" w:space="0"/>
              <w:right w:val="single" w:color="auto" w:sz="4" w:space="0"/>
            </w:tcBorders>
          </w:tcPr>
          <w:p>
            <w:pPr>
              <w:snapToGrid w:val="0"/>
              <w:spacing w:line="360" w:lineRule="atLeast"/>
              <w:ind w:firstLine="0" w:firstLineChars="0"/>
              <w:jc w:val="center"/>
              <w:rPr>
                <w:rFonts w:ascii="宋体" w:hAnsi="宋体"/>
                <w:b/>
                <w:kern w:val="0"/>
              </w:rPr>
            </w:pPr>
            <w:r>
              <w:rPr>
                <w:rFonts w:hint="eastAsia" w:ascii="宋体" w:hAnsi="宋体"/>
                <w:b/>
                <w:kern w:val="0"/>
              </w:rPr>
              <w:t>总价</w:t>
            </w:r>
          </w:p>
        </w:tc>
        <w:tc>
          <w:tcPr>
            <w:tcW w:w="1489" w:type="dxa"/>
            <w:vMerge w:val="continue"/>
            <w:tcBorders>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99" w:firstLineChars="95"/>
              <w:rPr>
                <w:rFonts w:ascii="宋体" w:hAnsi="宋体"/>
              </w:rPr>
            </w:pPr>
            <w:r>
              <w:rPr>
                <w:rFonts w:hint="eastAsia" w:ascii="宋体" w:hAnsi="宋体"/>
              </w:rPr>
              <w:t>1</w:t>
            </w:r>
          </w:p>
        </w:tc>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rPr>
                <w:rFonts w:ascii="宋体" w:hAnsi="宋体"/>
              </w:rPr>
            </w:pPr>
            <w:r>
              <w:rPr>
                <w:rFonts w:hint="eastAsia" w:ascii="宋体" w:hAnsi="宋体"/>
              </w:rPr>
              <w:t> </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p>
            <w:pPr>
              <w:widowControl/>
              <w:ind w:firstLine="420"/>
              <w:jc w:val="left"/>
              <w:rPr>
                <w:rFonts w:ascii="宋体" w:hAnsi="宋体"/>
              </w:rPr>
            </w:pPr>
          </w:p>
          <w:p>
            <w:pPr>
              <w:snapToGrid w:val="0"/>
              <w:spacing w:line="360" w:lineRule="atLeast"/>
              <w:ind w:firstLine="420"/>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p>
            <w:pPr>
              <w:snapToGrid w:val="0"/>
              <w:spacing w:line="360" w:lineRule="atLeast"/>
              <w:ind w:firstLine="420"/>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99" w:firstLineChars="95"/>
              <w:rPr>
                <w:rFonts w:ascii="宋体" w:hAnsi="宋体"/>
              </w:rPr>
            </w:pPr>
            <w:r>
              <w:rPr>
                <w:rFonts w:hint="eastAsia" w:ascii="宋体" w:hAnsi="宋体"/>
              </w:rPr>
              <w:t>2</w:t>
            </w:r>
          </w:p>
        </w:tc>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rPr>
                <w:rFonts w:ascii="宋体" w:hAnsi="宋体"/>
              </w:rPr>
            </w:pPr>
            <w:r>
              <w:rPr>
                <w:rFonts w:hint="eastAsia" w:ascii="宋体" w:hAnsi="宋体"/>
              </w:rPr>
              <w:t> </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p>
            <w:pPr>
              <w:widowControl/>
              <w:ind w:firstLine="420"/>
              <w:jc w:val="left"/>
              <w:rPr>
                <w:rFonts w:ascii="宋体" w:hAnsi="宋体"/>
              </w:rPr>
            </w:pPr>
          </w:p>
          <w:p>
            <w:pPr>
              <w:snapToGrid w:val="0"/>
              <w:spacing w:line="360" w:lineRule="atLeast"/>
              <w:ind w:firstLine="420"/>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p>
            <w:pPr>
              <w:snapToGrid w:val="0"/>
              <w:spacing w:line="360" w:lineRule="atLeast"/>
              <w:ind w:firstLine="420"/>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99" w:firstLineChars="95"/>
              <w:rPr>
                <w:rFonts w:ascii="宋体" w:hAnsi="宋体"/>
              </w:rPr>
            </w:pPr>
            <w:r>
              <w:rPr>
                <w:rFonts w:hint="eastAsia" w:ascii="宋体" w:hAnsi="宋体"/>
              </w:rPr>
              <w:t>3</w:t>
            </w:r>
          </w:p>
        </w:tc>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rPr>
                <w:rFonts w:ascii="宋体" w:hAnsi="宋体"/>
              </w:rPr>
            </w:pPr>
            <w:r>
              <w:rPr>
                <w:rFonts w:hint="eastAsia" w:ascii="宋体" w:hAnsi="宋体"/>
              </w:rPr>
              <w:t> </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p>
            <w:pPr>
              <w:widowControl/>
              <w:ind w:firstLine="420"/>
              <w:jc w:val="left"/>
              <w:rPr>
                <w:rFonts w:ascii="宋体" w:hAnsi="宋体"/>
              </w:rPr>
            </w:pPr>
          </w:p>
          <w:p>
            <w:pPr>
              <w:snapToGrid w:val="0"/>
              <w:spacing w:line="360" w:lineRule="atLeast"/>
              <w:ind w:firstLine="420"/>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p>
            <w:pPr>
              <w:snapToGrid w:val="0"/>
              <w:spacing w:line="360" w:lineRule="atLeast"/>
              <w:ind w:firstLine="420"/>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675"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99" w:firstLineChars="95"/>
              <w:rPr>
                <w:rFonts w:ascii="宋体" w:hAnsi="宋体"/>
              </w:rPr>
            </w:pPr>
            <w:r>
              <w:rPr>
                <w:rFonts w:hint="eastAsia" w:ascii="宋体" w:hAnsi="宋体"/>
              </w:rPr>
              <w:t>…</w:t>
            </w:r>
          </w:p>
        </w:tc>
        <w:tc>
          <w:tcPr>
            <w:tcW w:w="1511"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rPr>
                <w:rFonts w:ascii="宋体" w:hAnsi="宋体"/>
              </w:rPr>
            </w:pPr>
            <w:r>
              <w:rPr>
                <w:rFonts w:hint="eastAsia" w:ascii="宋体" w:hAnsi="宋体"/>
              </w:rPr>
              <w:t> </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p>
            <w:pPr>
              <w:widowControl/>
              <w:ind w:firstLine="420"/>
              <w:jc w:val="left"/>
              <w:rPr>
                <w:rFonts w:ascii="宋体" w:hAnsi="宋体"/>
              </w:rPr>
            </w:pPr>
          </w:p>
          <w:p>
            <w:pPr>
              <w:snapToGrid w:val="0"/>
              <w:spacing w:line="360" w:lineRule="atLeast"/>
              <w:ind w:firstLine="420"/>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p>
          <w:p>
            <w:pPr>
              <w:snapToGrid w:val="0"/>
              <w:spacing w:line="360" w:lineRule="atLeast"/>
              <w:ind w:firstLine="420"/>
              <w:jc w:val="center"/>
              <w:rPr>
                <w:rFonts w:ascii="宋体" w:hAnsi="宋体"/>
              </w:rPr>
            </w:pP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c>
          <w:tcPr>
            <w:tcW w:w="1489" w:type="dxa"/>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420"/>
              <w:jc w:val="center"/>
              <w:rPr>
                <w:rFonts w:ascii="宋体" w:hAnsi="宋体"/>
              </w:rPr>
            </w:pPr>
            <w:r>
              <w:rPr>
                <w:rFonts w:hint="eastAsia" w:ascii="宋体" w:hAnsi="宋体"/>
              </w:rPr>
              <w:t> </w:t>
            </w:r>
          </w:p>
          <w:p>
            <w:pPr>
              <w:snapToGrid w:val="0"/>
              <w:spacing w:line="360" w:lineRule="atLeast"/>
              <w:ind w:firstLine="420"/>
              <w:jc w:val="cente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8895"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atLeast"/>
              <w:ind w:firstLine="105" w:firstLineChars="50"/>
              <w:rPr>
                <w:rFonts w:ascii="宋体" w:hAnsi="宋体"/>
              </w:rPr>
            </w:pPr>
            <w:r>
              <w:rPr>
                <w:rFonts w:hint="eastAsia" w:ascii="宋体" w:hAnsi="宋体"/>
              </w:rPr>
              <w:t>投标总价（已包含价格折扣）：</w:t>
            </w:r>
          </w:p>
          <w:p>
            <w:pPr>
              <w:snapToGrid w:val="0"/>
              <w:spacing w:line="360" w:lineRule="atLeast"/>
              <w:ind w:firstLine="105" w:firstLineChars="50"/>
              <w:rPr>
                <w:rFonts w:ascii="宋体" w:hAnsi="宋体"/>
                <w:u w:val="single"/>
              </w:rPr>
            </w:pPr>
            <w:r>
              <w:rPr>
                <w:rFonts w:hint="eastAsia" w:ascii="宋体" w:hAnsi="宋体"/>
              </w:rPr>
              <w:t>小写：</w:t>
            </w:r>
          </w:p>
          <w:p>
            <w:pPr>
              <w:snapToGrid w:val="0"/>
              <w:spacing w:line="360" w:lineRule="atLeast"/>
              <w:ind w:firstLine="105" w:firstLineChars="50"/>
              <w:rPr>
                <w:rFonts w:ascii="宋体" w:hAnsi="宋体"/>
                <w:u w:val="single"/>
              </w:rPr>
            </w:pPr>
            <w:r>
              <w:rPr>
                <w:rFonts w:hint="eastAsia" w:ascii="宋体" w:hAnsi="宋体"/>
              </w:rPr>
              <w:t>大写：</w:t>
            </w:r>
          </w:p>
          <w:p>
            <w:pPr>
              <w:snapToGrid w:val="0"/>
              <w:spacing w:line="360" w:lineRule="atLeast"/>
              <w:ind w:firstLine="420"/>
              <w:jc w:val="cente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5" w:hRule="atLeast"/>
        </w:trPr>
        <w:tc>
          <w:tcPr>
            <w:tcW w:w="8895" w:type="dxa"/>
            <w:gridSpan w:val="7"/>
            <w:tcBorders>
              <w:top w:val="single" w:color="auto" w:sz="4" w:space="0"/>
              <w:left w:val="single" w:color="auto" w:sz="4" w:space="0"/>
              <w:bottom w:val="single" w:color="auto" w:sz="4" w:space="0"/>
              <w:right w:val="single" w:color="auto" w:sz="4" w:space="0"/>
            </w:tcBorders>
          </w:tcPr>
          <w:p>
            <w:pPr>
              <w:adjustRightInd w:val="0"/>
              <w:snapToGrid w:val="0"/>
              <w:ind w:firstLine="422"/>
              <w:rPr>
                <w:rFonts w:ascii="宋体" w:hAnsi="宋体"/>
                <w:b/>
                <w:szCs w:val="21"/>
              </w:rPr>
            </w:pPr>
          </w:p>
          <w:p>
            <w:pPr>
              <w:adjustRightInd w:val="0"/>
              <w:snapToGrid w:val="0"/>
              <w:ind w:firstLine="422"/>
              <w:rPr>
                <w:rFonts w:ascii="宋体" w:hAnsi="宋体"/>
                <w:szCs w:val="21"/>
              </w:rPr>
            </w:pPr>
            <w:r>
              <w:rPr>
                <w:rFonts w:hint="eastAsia" w:ascii="宋体" w:hAnsi="宋体"/>
                <w:b/>
                <w:szCs w:val="21"/>
              </w:rPr>
              <w:t>投标保证金：</w:t>
            </w:r>
            <w:r>
              <w:rPr>
                <w:rFonts w:hint="eastAsia" w:ascii="宋体" w:hAnsi="宋体"/>
                <w:szCs w:val="21"/>
              </w:rPr>
              <w:t>金额：</w:t>
            </w:r>
          </w:p>
          <w:p>
            <w:pPr>
              <w:adjustRightInd w:val="0"/>
              <w:snapToGrid w:val="0"/>
              <w:ind w:firstLine="420"/>
              <w:rPr>
                <w:rFonts w:ascii="宋体" w:hAnsi="宋体"/>
                <w:szCs w:val="21"/>
              </w:rPr>
            </w:pPr>
          </w:p>
          <w:p>
            <w:pPr>
              <w:adjustRightInd w:val="0"/>
              <w:snapToGrid w:val="0"/>
              <w:ind w:firstLine="420"/>
              <w:rPr>
                <w:rFonts w:ascii="宋体" w:hAnsi="宋体"/>
              </w:rPr>
            </w:pPr>
            <w:r>
              <w:rPr>
                <w:rFonts w:hint="eastAsia" w:ascii="宋体" w:hAnsi="宋体"/>
                <w:szCs w:val="21"/>
              </w:rPr>
              <w:t>交纳形式： □</w:t>
            </w:r>
            <w:r>
              <w:rPr>
                <w:rFonts w:hint="eastAsia" w:ascii="宋体" w:hAnsi="宋体"/>
                <w:color w:val="000000"/>
                <w:szCs w:val="21"/>
              </w:rPr>
              <w:t>银行转账  □银行汇票</w:t>
            </w:r>
            <w:r>
              <w:rPr>
                <w:rFonts w:hint="eastAsia" w:ascii="宋体" w:hAnsi="宋体"/>
                <w:szCs w:val="21"/>
              </w:rPr>
              <w:t xml:space="preserve">  □银行电汇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46" w:hRule="atLeast"/>
        </w:trPr>
        <w:tc>
          <w:tcPr>
            <w:tcW w:w="8895" w:type="dxa"/>
            <w:gridSpan w:val="7"/>
            <w:tcBorders>
              <w:top w:val="single" w:color="auto" w:sz="4" w:space="0"/>
              <w:left w:val="single" w:color="auto" w:sz="4" w:space="0"/>
              <w:bottom w:val="single" w:color="auto" w:sz="4" w:space="0"/>
              <w:right w:val="single" w:color="auto" w:sz="4" w:space="0"/>
            </w:tcBorders>
          </w:tcPr>
          <w:p>
            <w:pPr>
              <w:snapToGrid w:val="0"/>
              <w:spacing w:line="360" w:lineRule="atLeast"/>
              <w:ind w:firstLine="420"/>
              <w:rPr>
                <w:rFonts w:ascii="宋体" w:hAnsi="宋体"/>
              </w:rPr>
            </w:pPr>
            <w:r>
              <w:rPr>
                <w:rFonts w:hint="eastAsia" w:ascii="宋体" w:hAnsi="宋体"/>
              </w:rPr>
              <w:t>其他事项申明：</w:t>
            </w: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p>
            <w:pPr>
              <w:snapToGrid w:val="0"/>
              <w:spacing w:line="360" w:lineRule="atLeast"/>
              <w:ind w:firstLine="420"/>
              <w:rPr>
                <w:rFonts w:ascii="宋体" w:hAnsi="宋体"/>
              </w:rPr>
            </w:pPr>
          </w:p>
        </w:tc>
      </w:tr>
    </w:tbl>
    <w:p>
      <w:pPr>
        <w:adjustRightInd w:val="0"/>
        <w:snapToGrid w:val="0"/>
        <w:ind w:firstLine="422"/>
        <w:rPr>
          <w:rFonts w:ascii="仿宋_GB2312" w:hAnsi="宋体" w:eastAsia="仿宋_GB2312"/>
          <w:b/>
          <w:szCs w:val="21"/>
        </w:rPr>
      </w:pPr>
    </w:p>
    <w:p>
      <w:pPr>
        <w:adjustRightInd w:val="0"/>
        <w:snapToGrid w:val="0"/>
        <w:ind w:firstLine="422"/>
        <w:rPr>
          <w:rFonts w:ascii="宋体" w:hAnsi="宋体"/>
          <w:b/>
          <w:szCs w:val="21"/>
        </w:rPr>
      </w:pPr>
      <w:r>
        <w:rPr>
          <w:rFonts w:hint="eastAsia" w:ascii="仿宋_GB2312" w:hAnsi="宋体" w:eastAsia="仿宋_GB2312"/>
          <w:b/>
          <w:szCs w:val="21"/>
        </w:rPr>
        <w:t>备注：</w:t>
      </w:r>
      <w:r>
        <w:rPr>
          <w:rFonts w:hint="eastAsia" w:ascii="黑体" w:hAnsi="宋体" w:eastAsia="黑体"/>
          <w:szCs w:val="21"/>
        </w:rPr>
        <w:t>投标人在投标总价外另有价格折扣的，应当直接在投标总价中给出</w:t>
      </w:r>
    </w:p>
    <w:p>
      <w:pPr>
        <w:shd w:val="clear" w:color="auto" w:fill="FFFFFF"/>
        <w:snapToGrid w:val="0"/>
        <w:spacing w:line="360" w:lineRule="atLeast"/>
        <w:ind w:left="851" w:firstLine="480"/>
        <w:rPr>
          <w:rFonts w:ascii="宋体" w:hAnsi="宋体"/>
          <w:sz w:val="24"/>
        </w:rPr>
      </w:pPr>
    </w:p>
    <w:p>
      <w:pPr>
        <w:shd w:val="clear" w:color="auto" w:fill="FFFFFF"/>
        <w:snapToGrid w:val="0"/>
        <w:ind w:firstLine="4494" w:firstLineChars="2140"/>
        <w:rPr>
          <w:rFonts w:ascii="宋体" w:hAnsi="宋体"/>
          <w:szCs w:val="21"/>
        </w:rPr>
      </w:pPr>
      <w:r>
        <w:rPr>
          <w:rFonts w:hint="eastAsia" w:ascii="宋体" w:hAnsi="宋体"/>
          <w:szCs w:val="21"/>
        </w:rPr>
        <w:t>投标人名称（单位章）：</w:t>
      </w:r>
    </w:p>
    <w:p>
      <w:pPr>
        <w:adjustRightInd w:val="0"/>
        <w:snapToGrid w:val="0"/>
        <w:ind w:firstLine="4515" w:firstLineChars="2150"/>
        <w:rPr>
          <w:rFonts w:ascii="宋体" w:hAnsi="宋体"/>
          <w:szCs w:val="21"/>
        </w:rPr>
      </w:pPr>
      <w:r>
        <w:rPr>
          <w:rFonts w:hint="eastAsia" w:ascii="宋体" w:hAnsi="宋体"/>
          <w:szCs w:val="21"/>
        </w:rPr>
        <w:t>法定代表人或其授权的代理人(签字)：</w:t>
      </w:r>
    </w:p>
    <w:p>
      <w:pPr>
        <w:adjustRightInd w:val="0"/>
        <w:snapToGrid w:val="0"/>
        <w:ind w:firstLine="4515" w:firstLineChars="2150"/>
        <w:rPr>
          <w:rFonts w:ascii="宋体" w:hAnsi="宋体"/>
          <w:b/>
          <w:szCs w:val="21"/>
        </w:rPr>
      </w:pPr>
      <w:r>
        <w:rPr>
          <w:rFonts w:hint="eastAsia" w:ascii="宋体" w:hAnsi="宋体"/>
          <w:szCs w:val="21"/>
        </w:rPr>
        <w:t>日期：    年    月    日</w:t>
      </w:r>
    </w:p>
    <w:p>
      <w:pPr>
        <w:pStyle w:val="4"/>
        <w:spacing w:before="0"/>
        <w:ind w:firstLine="198" w:firstLineChars="82"/>
      </w:pPr>
      <w:bookmarkStart w:id="511" w:name="_Toc21129"/>
      <w:bookmarkStart w:id="512" w:name="_Toc493013087"/>
      <w:bookmarkStart w:id="513" w:name="_Toc30335"/>
      <w:bookmarkStart w:id="514" w:name="_Toc27917"/>
      <w:bookmarkStart w:id="515" w:name="_Toc447207040"/>
      <w:bookmarkStart w:id="516" w:name="_Toc459623020"/>
      <w:bookmarkStart w:id="517" w:name="_Toc447272176"/>
      <w:bookmarkStart w:id="518" w:name="_Toc19240"/>
      <w:bookmarkStart w:id="519" w:name="_Toc139965363"/>
      <w:r>
        <w:rPr>
          <w:rFonts w:hint="eastAsia"/>
        </w:rPr>
        <w:t>附件6：分项报价表</w:t>
      </w:r>
      <w:bookmarkEnd w:id="511"/>
      <w:bookmarkEnd w:id="512"/>
      <w:bookmarkEnd w:id="513"/>
      <w:bookmarkEnd w:id="514"/>
      <w:bookmarkEnd w:id="515"/>
      <w:bookmarkEnd w:id="516"/>
      <w:bookmarkEnd w:id="517"/>
      <w:bookmarkEnd w:id="518"/>
    </w:p>
    <w:bookmarkEnd w:id="519"/>
    <w:p>
      <w:pPr>
        <w:ind w:firstLine="480"/>
        <w:rPr>
          <w:rFonts w:ascii="宋体"/>
          <w:bCs/>
          <w:color w:val="000000"/>
          <w:sz w:val="24"/>
        </w:rPr>
      </w:pPr>
      <w:r>
        <w:rPr>
          <w:rFonts w:hint="eastAsia"/>
          <w:color w:val="000000"/>
          <w:sz w:val="24"/>
        </w:rPr>
        <w:t>项目名称：</w:t>
      </w:r>
    </w:p>
    <w:p>
      <w:pPr>
        <w:snapToGrid w:val="0"/>
        <w:spacing w:line="300" w:lineRule="auto"/>
        <w:ind w:firstLine="480"/>
        <w:rPr>
          <w:bCs/>
          <w:color w:val="000000"/>
          <w:sz w:val="24"/>
        </w:rPr>
      </w:pPr>
      <w:r>
        <w:rPr>
          <w:rFonts w:hint="eastAsia"/>
          <w:color w:val="000000"/>
          <w:sz w:val="24"/>
        </w:rPr>
        <w:t>招标文件编号：</w:t>
      </w:r>
    </w:p>
    <w:tbl>
      <w:tblPr>
        <w:tblStyle w:val="41"/>
        <w:tblW w:w="9270"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28"/>
        <w:gridCol w:w="1397"/>
        <w:gridCol w:w="1559"/>
        <w:gridCol w:w="919"/>
        <w:gridCol w:w="1208"/>
        <w:gridCol w:w="952"/>
        <w:gridCol w:w="1080"/>
        <w:gridCol w:w="12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vMerge w:val="restart"/>
            <w:tcBorders>
              <w:top w:val="double" w:color="auto" w:sz="4" w:space="0"/>
              <w:left w:val="double" w:color="auto" w:sz="4" w:space="0"/>
              <w:right w:val="single" w:color="auto" w:sz="4" w:space="0"/>
            </w:tcBorders>
            <w:vAlign w:val="center"/>
          </w:tcPr>
          <w:p>
            <w:pPr>
              <w:ind w:firstLine="0" w:firstLineChars="0"/>
              <w:jc w:val="center"/>
              <w:rPr>
                <w:rFonts w:ascii="宋体" w:hAnsi="宋体"/>
                <w:szCs w:val="21"/>
              </w:rPr>
            </w:pPr>
            <w:r>
              <w:rPr>
                <w:rFonts w:hint="eastAsia" w:ascii="宋体" w:hAnsi="宋体"/>
                <w:szCs w:val="21"/>
              </w:rPr>
              <w:t>品目号</w:t>
            </w:r>
          </w:p>
        </w:tc>
        <w:tc>
          <w:tcPr>
            <w:tcW w:w="1397" w:type="dxa"/>
            <w:vMerge w:val="restart"/>
            <w:tcBorders>
              <w:top w:val="double" w:color="auto" w:sz="4" w:space="0"/>
              <w:left w:val="single" w:color="auto" w:sz="4" w:space="0"/>
              <w:right w:val="single" w:color="000000" w:sz="6" w:space="0"/>
            </w:tcBorders>
            <w:vAlign w:val="center"/>
          </w:tcPr>
          <w:p>
            <w:pPr>
              <w:ind w:firstLine="420"/>
              <w:jc w:val="center"/>
              <w:rPr>
                <w:rFonts w:ascii="宋体" w:hAnsi="宋体"/>
                <w:szCs w:val="21"/>
              </w:rPr>
            </w:pPr>
            <w:r>
              <w:rPr>
                <w:rFonts w:hint="eastAsia" w:ascii="宋体" w:hAnsi="宋体"/>
                <w:szCs w:val="21"/>
              </w:rPr>
              <w:t>货物名称</w:t>
            </w:r>
          </w:p>
        </w:tc>
        <w:tc>
          <w:tcPr>
            <w:tcW w:w="1559" w:type="dxa"/>
            <w:vMerge w:val="restart"/>
            <w:tcBorders>
              <w:top w:val="double" w:color="auto" w:sz="4" w:space="0"/>
              <w:left w:val="single" w:color="000000" w:sz="6" w:space="0"/>
              <w:right w:val="single" w:color="auto" w:sz="4" w:space="0"/>
            </w:tcBorders>
            <w:vAlign w:val="center"/>
          </w:tcPr>
          <w:p>
            <w:pPr>
              <w:ind w:firstLine="199" w:firstLineChars="95"/>
              <w:jc w:val="center"/>
              <w:rPr>
                <w:rFonts w:ascii="宋体" w:hAnsi="宋体"/>
                <w:szCs w:val="21"/>
              </w:rPr>
            </w:pPr>
            <w:r>
              <w:rPr>
                <w:rFonts w:hint="eastAsia" w:ascii="宋体" w:hAnsi="宋体"/>
                <w:szCs w:val="21"/>
              </w:rPr>
              <w:t>规格型号</w:t>
            </w:r>
          </w:p>
        </w:tc>
        <w:tc>
          <w:tcPr>
            <w:tcW w:w="919" w:type="dxa"/>
            <w:vMerge w:val="restart"/>
            <w:tcBorders>
              <w:top w:val="double" w:color="auto" w:sz="4" w:space="0"/>
              <w:left w:val="single" w:color="auto" w:sz="4"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原产地</w:t>
            </w:r>
          </w:p>
        </w:tc>
        <w:tc>
          <w:tcPr>
            <w:tcW w:w="1208" w:type="dxa"/>
            <w:vMerge w:val="restart"/>
            <w:tcBorders>
              <w:top w:val="double" w:color="auto" w:sz="4" w:space="0"/>
              <w:left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制造商名称</w:t>
            </w:r>
          </w:p>
        </w:tc>
        <w:tc>
          <w:tcPr>
            <w:tcW w:w="952" w:type="dxa"/>
            <w:vMerge w:val="restart"/>
            <w:tcBorders>
              <w:top w:val="double" w:color="auto" w:sz="4" w:space="0"/>
              <w:left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数量</w:t>
            </w:r>
          </w:p>
          <w:p>
            <w:pPr>
              <w:ind w:firstLine="0" w:firstLineChars="0"/>
              <w:jc w:val="center"/>
              <w:rPr>
                <w:rFonts w:ascii="宋体" w:hAnsi="宋体"/>
                <w:bCs/>
                <w:szCs w:val="21"/>
              </w:rPr>
            </w:pPr>
            <w:r>
              <w:rPr>
                <w:rFonts w:hint="eastAsia" w:ascii="宋体" w:hAnsi="宋体"/>
                <w:bCs/>
                <w:szCs w:val="21"/>
              </w:rPr>
              <w:t>（台/套）</w:t>
            </w:r>
          </w:p>
        </w:tc>
        <w:tc>
          <w:tcPr>
            <w:tcW w:w="2307" w:type="dxa"/>
            <w:gridSpan w:val="2"/>
            <w:tcBorders>
              <w:top w:val="doub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r>
              <w:rPr>
                <w:rFonts w:hint="eastAsia" w:ascii="宋体" w:hAnsi="宋体"/>
                <w:szCs w:val="21"/>
              </w:rPr>
              <w:t>价格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96" w:hRule="atLeast"/>
          <w:jc w:val="center"/>
        </w:trPr>
        <w:tc>
          <w:tcPr>
            <w:tcW w:w="928" w:type="dxa"/>
            <w:vMerge w:val="continue"/>
            <w:tcBorders>
              <w:left w:val="double" w:color="auto" w:sz="4" w:space="0"/>
              <w:bottom w:val="single" w:color="auto" w:sz="4" w:space="0"/>
              <w:right w:val="single" w:color="auto" w:sz="4" w:space="0"/>
            </w:tcBorders>
            <w:vAlign w:val="center"/>
          </w:tcPr>
          <w:p>
            <w:pPr>
              <w:ind w:firstLine="420"/>
              <w:jc w:val="center"/>
              <w:rPr>
                <w:rFonts w:ascii="宋体" w:hAnsi="宋体"/>
                <w:szCs w:val="21"/>
              </w:rPr>
            </w:pPr>
          </w:p>
        </w:tc>
        <w:tc>
          <w:tcPr>
            <w:tcW w:w="1397" w:type="dxa"/>
            <w:vMerge w:val="continue"/>
            <w:tcBorders>
              <w:left w:val="single" w:color="auto" w:sz="4" w:space="0"/>
              <w:bottom w:val="single" w:color="auto" w:sz="4" w:space="0"/>
              <w:right w:val="single" w:color="000000" w:sz="6" w:space="0"/>
            </w:tcBorders>
            <w:vAlign w:val="center"/>
          </w:tcPr>
          <w:p>
            <w:pPr>
              <w:ind w:firstLine="420"/>
              <w:jc w:val="center"/>
              <w:rPr>
                <w:rFonts w:ascii="宋体" w:hAnsi="宋体"/>
                <w:szCs w:val="21"/>
              </w:rPr>
            </w:pPr>
          </w:p>
        </w:tc>
        <w:tc>
          <w:tcPr>
            <w:tcW w:w="1559" w:type="dxa"/>
            <w:vMerge w:val="continue"/>
            <w:tcBorders>
              <w:left w:val="single" w:color="000000" w:sz="6" w:space="0"/>
              <w:bottom w:val="single" w:color="auto" w:sz="4" w:space="0"/>
              <w:right w:val="single" w:color="auto" w:sz="4" w:space="0"/>
            </w:tcBorders>
            <w:vAlign w:val="center"/>
          </w:tcPr>
          <w:p>
            <w:pPr>
              <w:ind w:firstLine="420"/>
              <w:jc w:val="center"/>
              <w:rPr>
                <w:rFonts w:ascii="宋体" w:hAnsi="宋体"/>
                <w:szCs w:val="21"/>
              </w:rPr>
            </w:pPr>
          </w:p>
        </w:tc>
        <w:tc>
          <w:tcPr>
            <w:tcW w:w="919" w:type="dxa"/>
            <w:vMerge w:val="continue"/>
            <w:tcBorders>
              <w:left w:val="single" w:color="auto" w:sz="4" w:space="0"/>
              <w:bottom w:val="single" w:color="auto" w:sz="4" w:space="0"/>
              <w:right w:val="single" w:color="000000" w:sz="6" w:space="0"/>
            </w:tcBorders>
            <w:vAlign w:val="center"/>
          </w:tcPr>
          <w:p>
            <w:pPr>
              <w:ind w:firstLine="420"/>
              <w:jc w:val="center"/>
              <w:rPr>
                <w:rFonts w:ascii="宋体" w:hAnsi="宋体"/>
                <w:szCs w:val="21"/>
              </w:rPr>
            </w:pPr>
          </w:p>
        </w:tc>
        <w:tc>
          <w:tcPr>
            <w:tcW w:w="1208" w:type="dxa"/>
            <w:vMerge w:val="continue"/>
            <w:tcBorders>
              <w:left w:val="single" w:color="000000" w:sz="6" w:space="0"/>
              <w:bottom w:val="single" w:color="auto" w:sz="4" w:space="0"/>
              <w:right w:val="single" w:color="000000" w:sz="6" w:space="0"/>
            </w:tcBorders>
            <w:vAlign w:val="center"/>
          </w:tcPr>
          <w:p>
            <w:pPr>
              <w:ind w:firstLine="420"/>
              <w:jc w:val="center"/>
              <w:rPr>
                <w:rFonts w:ascii="宋体" w:hAnsi="宋体"/>
                <w:szCs w:val="21"/>
              </w:rPr>
            </w:pPr>
          </w:p>
        </w:tc>
        <w:tc>
          <w:tcPr>
            <w:tcW w:w="952" w:type="dxa"/>
            <w:vMerge w:val="continue"/>
            <w:tcBorders>
              <w:left w:val="single" w:color="000000" w:sz="6" w:space="0"/>
              <w:bottom w:val="single" w:color="auto" w:sz="4" w:space="0"/>
              <w:right w:val="single" w:color="000000" w:sz="6" w:space="0"/>
            </w:tcBorders>
            <w:vAlign w:val="center"/>
          </w:tcPr>
          <w:p>
            <w:pPr>
              <w:ind w:firstLine="420"/>
              <w:jc w:val="center"/>
              <w:rPr>
                <w:rFonts w:ascii="宋体" w:hAnsi="宋体"/>
                <w:szCs w:val="21"/>
              </w:rPr>
            </w:pPr>
          </w:p>
        </w:tc>
        <w:tc>
          <w:tcPr>
            <w:tcW w:w="1080" w:type="dxa"/>
            <w:tcBorders>
              <w:top w:val="single" w:color="auto" w:sz="4" w:space="0"/>
              <w:left w:val="single" w:color="000000" w:sz="6" w:space="0"/>
              <w:bottom w:val="single" w:color="auto" w:sz="4" w:space="0"/>
              <w:right w:val="single" w:color="000000" w:sz="6" w:space="0"/>
            </w:tcBorders>
            <w:vAlign w:val="center"/>
          </w:tcPr>
          <w:p>
            <w:pPr>
              <w:ind w:firstLine="199" w:firstLineChars="95"/>
              <w:jc w:val="center"/>
              <w:rPr>
                <w:rFonts w:ascii="宋体" w:hAnsi="宋体"/>
                <w:szCs w:val="21"/>
              </w:rPr>
            </w:pPr>
            <w:r>
              <w:rPr>
                <w:rFonts w:hint="eastAsia" w:ascii="宋体" w:hAnsi="宋体"/>
                <w:szCs w:val="21"/>
              </w:rPr>
              <w:t>单价</w:t>
            </w:r>
          </w:p>
        </w:tc>
        <w:tc>
          <w:tcPr>
            <w:tcW w:w="1227" w:type="dxa"/>
            <w:tcBorders>
              <w:top w:val="single" w:color="auto" w:sz="4" w:space="0"/>
              <w:left w:val="single" w:color="000000" w:sz="6" w:space="0"/>
              <w:bottom w:val="single" w:color="auto" w:sz="4" w:space="0"/>
              <w:right w:val="double" w:color="auto" w:sz="4" w:space="0"/>
            </w:tcBorders>
            <w:vAlign w:val="center"/>
          </w:tcPr>
          <w:p>
            <w:pPr>
              <w:ind w:firstLine="199" w:firstLineChars="95"/>
              <w:jc w:val="center"/>
              <w:rPr>
                <w:rFonts w:ascii="宋体" w:hAnsi="宋体"/>
                <w:szCs w:val="21"/>
              </w:rPr>
            </w:pPr>
            <w:r>
              <w:rPr>
                <w:rFonts w:hint="eastAsia" w:ascii="宋体" w:hAnsi="宋体"/>
                <w:szCs w:val="21"/>
              </w:rPr>
              <w:t>合计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auto" w:sz="4" w:space="0"/>
              <w:left w:val="double" w:color="auto" w:sz="4" w:space="0"/>
              <w:bottom w:val="single" w:color="000000" w:sz="6" w:space="0"/>
              <w:right w:val="single" w:color="auto" w:sz="4" w:space="0"/>
            </w:tcBorders>
            <w:vAlign w:val="center"/>
          </w:tcPr>
          <w:p>
            <w:pPr>
              <w:ind w:firstLine="420"/>
              <w:rPr>
                <w:rFonts w:ascii="宋体" w:hAnsi="宋体"/>
                <w:szCs w:val="21"/>
              </w:rPr>
            </w:pPr>
            <w:r>
              <w:rPr>
                <w:rFonts w:hint="eastAsia" w:ascii="宋体" w:hAnsi="宋体"/>
                <w:szCs w:val="21"/>
              </w:rPr>
              <w:t>1</w:t>
            </w:r>
          </w:p>
        </w:tc>
        <w:tc>
          <w:tcPr>
            <w:tcW w:w="1397" w:type="dxa"/>
            <w:tcBorders>
              <w:top w:val="single" w:color="auto" w:sz="4" w:space="0"/>
              <w:left w:val="single" w:color="auto" w:sz="4" w:space="0"/>
              <w:bottom w:val="single" w:color="000000" w:sz="6" w:space="0"/>
              <w:right w:val="single" w:color="000000" w:sz="6" w:space="0"/>
            </w:tcBorders>
            <w:vAlign w:val="center"/>
          </w:tcPr>
          <w:p>
            <w:pPr>
              <w:ind w:firstLine="420"/>
              <w:jc w:val="center"/>
              <w:rPr>
                <w:rFonts w:ascii="宋体" w:hAnsi="宋体"/>
                <w:szCs w:val="21"/>
              </w:rPr>
            </w:pPr>
          </w:p>
        </w:tc>
        <w:tc>
          <w:tcPr>
            <w:tcW w:w="1559" w:type="dxa"/>
            <w:tcBorders>
              <w:top w:val="single" w:color="auto" w:sz="4" w:space="0"/>
              <w:left w:val="single" w:color="000000" w:sz="6" w:space="0"/>
              <w:bottom w:val="single" w:color="000000" w:sz="6" w:space="0"/>
              <w:right w:val="single" w:color="auto" w:sz="4" w:space="0"/>
            </w:tcBorders>
            <w:vAlign w:val="center"/>
          </w:tcPr>
          <w:p>
            <w:pPr>
              <w:ind w:firstLine="420"/>
              <w:jc w:val="center"/>
              <w:rPr>
                <w:rFonts w:ascii="宋体" w:hAnsi="宋体"/>
                <w:bCs/>
                <w:szCs w:val="21"/>
              </w:rPr>
            </w:pPr>
          </w:p>
        </w:tc>
        <w:tc>
          <w:tcPr>
            <w:tcW w:w="919" w:type="dxa"/>
            <w:tcBorders>
              <w:top w:val="single" w:color="auto" w:sz="4" w:space="0"/>
              <w:left w:val="single" w:color="auto" w:sz="4" w:space="0"/>
              <w:bottom w:val="single" w:color="000000" w:sz="6" w:space="0"/>
              <w:right w:val="single" w:color="000000" w:sz="6" w:space="0"/>
            </w:tcBorders>
            <w:vAlign w:val="center"/>
          </w:tcPr>
          <w:p>
            <w:pPr>
              <w:ind w:firstLine="420"/>
              <w:jc w:val="center"/>
              <w:rPr>
                <w:rFonts w:ascii="宋体" w:hAnsi="宋体"/>
                <w:bCs/>
                <w:szCs w:val="21"/>
              </w:rPr>
            </w:pPr>
          </w:p>
        </w:tc>
        <w:tc>
          <w:tcPr>
            <w:tcW w:w="1208" w:type="dxa"/>
            <w:tcBorders>
              <w:top w:val="single" w:color="auto" w:sz="4"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952" w:type="dxa"/>
            <w:tcBorders>
              <w:top w:val="single" w:color="auto" w:sz="4"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080" w:type="dxa"/>
            <w:tcBorders>
              <w:top w:val="single" w:color="auto" w:sz="4"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rPr>
                <w:rFonts w:ascii="宋体" w:hAnsi="宋体"/>
                <w:szCs w:val="21"/>
              </w:rPr>
            </w:pPr>
            <w:r>
              <w:rPr>
                <w:rFonts w:hint="eastAsia" w:ascii="宋体" w:hAnsi="宋体"/>
                <w:szCs w:val="21"/>
              </w:rPr>
              <w:t>2</w:t>
            </w: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rPr>
                <w:rFonts w:ascii="宋体" w:hAnsi="宋体"/>
                <w:szCs w:val="21"/>
              </w:rPr>
            </w:pPr>
            <w:r>
              <w:rPr>
                <w:rFonts w:ascii="宋体" w:hAnsi="宋体"/>
                <w:szCs w:val="21"/>
              </w:rPr>
              <w:t>…</w:t>
            </w: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szCs w:val="21"/>
              </w:rPr>
            </w:pPr>
          </w:p>
        </w:tc>
        <w:tc>
          <w:tcPr>
            <w:tcW w:w="1559" w:type="dxa"/>
            <w:tcBorders>
              <w:top w:val="single" w:color="000000" w:sz="6" w:space="0"/>
              <w:left w:val="single" w:color="000000" w:sz="6" w:space="0"/>
              <w:bottom w:val="single" w:color="000000" w:sz="6" w:space="0"/>
              <w:right w:val="single" w:color="auto" w:sz="4" w:space="0"/>
            </w:tcBorders>
            <w:vAlign w:val="center"/>
          </w:tcPr>
          <w:p>
            <w:pPr>
              <w:ind w:firstLine="420"/>
              <w:jc w:val="center"/>
              <w:rPr>
                <w:rFonts w:ascii="宋体" w:hAnsi="宋体"/>
                <w:bCs/>
                <w:szCs w:val="21"/>
              </w:rPr>
            </w:pPr>
          </w:p>
        </w:tc>
        <w:tc>
          <w:tcPr>
            <w:tcW w:w="919" w:type="dxa"/>
            <w:tcBorders>
              <w:top w:val="single" w:color="000000" w:sz="6" w:space="0"/>
              <w:left w:val="single" w:color="auto" w:sz="4" w:space="0"/>
              <w:bottom w:val="single" w:color="000000" w:sz="6" w:space="0"/>
              <w:right w:val="single" w:color="000000" w:sz="6" w:space="0"/>
            </w:tcBorders>
            <w:vAlign w:val="center"/>
          </w:tcPr>
          <w:p>
            <w:pPr>
              <w:ind w:firstLine="420"/>
              <w:jc w:val="center"/>
              <w:rPr>
                <w:rFonts w:ascii="宋体" w:hAnsi="宋体"/>
                <w:bCs/>
                <w:szCs w:val="21"/>
              </w:rPr>
            </w:pPr>
          </w:p>
        </w:tc>
        <w:tc>
          <w:tcPr>
            <w:tcW w:w="1208"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952"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080" w:type="dxa"/>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1227" w:type="dxa"/>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double" w:color="auto" w:sz="4"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double" w:color="auto" w:sz="4" w:space="0"/>
              <w:left w:val="single" w:color="auto" w:sz="4" w:space="0"/>
              <w:bottom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安装调试费</w:t>
            </w:r>
          </w:p>
        </w:tc>
        <w:tc>
          <w:tcPr>
            <w:tcW w:w="4638" w:type="dxa"/>
            <w:gridSpan w:val="4"/>
            <w:tcBorders>
              <w:top w:val="double" w:color="auto" w:sz="4"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doub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备品备件费</w:t>
            </w:r>
          </w:p>
        </w:tc>
        <w:tc>
          <w:tcPr>
            <w:tcW w:w="4638" w:type="dxa"/>
            <w:gridSpan w:val="4"/>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运输和保险费</w:t>
            </w:r>
          </w:p>
        </w:tc>
        <w:tc>
          <w:tcPr>
            <w:tcW w:w="4638" w:type="dxa"/>
            <w:gridSpan w:val="4"/>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ascii="宋体" w:hAnsi="宋体"/>
                <w:szCs w:val="21"/>
              </w:rPr>
            </w:pPr>
            <w:r>
              <w:rPr>
                <w:rFonts w:hint="eastAsia" w:ascii="宋体" w:hAnsi="宋体"/>
                <w:szCs w:val="21"/>
              </w:rPr>
              <w:t>技术服务费</w:t>
            </w:r>
          </w:p>
        </w:tc>
        <w:tc>
          <w:tcPr>
            <w:tcW w:w="4638" w:type="dxa"/>
            <w:gridSpan w:val="4"/>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199" w:firstLineChars="95"/>
              <w:jc w:val="center"/>
              <w:rPr>
                <w:rFonts w:ascii="宋体" w:hAnsi="宋体"/>
                <w:szCs w:val="21"/>
              </w:rPr>
            </w:pPr>
            <w:r>
              <w:rPr>
                <w:rFonts w:hint="eastAsia" w:ascii="宋体" w:hAnsi="宋体"/>
                <w:szCs w:val="21"/>
              </w:rPr>
              <w:t>税金</w:t>
            </w:r>
          </w:p>
        </w:tc>
        <w:tc>
          <w:tcPr>
            <w:tcW w:w="4638" w:type="dxa"/>
            <w:gridSpan w:val="4"/>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8" w:type="dxa"/>
            <w:tcBorders>
              <w:top w:val="single" w:color="000000" w:sz="6" w:space="0"/>
              <w:left w:val="double" w:color="auto" w:sz="4" w:space="0"/>
              <w:bottom w:val="single" w:color="000000" w:sz="6" w:space="0"/>
              <w:right w:val="single" w:color="auto" w:sz="4" w:space="0"/>
            </w:tcBorders>
            <w:vAlign w:val="center"/>
          </w:tcPr>
          <w:p>
            <w:pPr>
              <w:ind w:firstLine="420"/>
              <w:jc w:val="center"/>
              <w:rPr>
                <w:rFonts w:ascii="宋体" w:hAnsi="宋体"/>
                <w:szCs w:val="21"/>
              </w:rPr>
            </w:pPr>
          </w:p>
        </w:tc>
        <w:tc>
          <w:tcPr>
            <w:tcW w:w="1397" w:type="dxa"/>
            <w:tcBorders>
              <w:top w:val="single" w:color="000000" w:sz="6" w:space="0"/>
              <w:left w:val="single" w:color="auto" w:sz="4" w:space="0"/>
              <w:bottom w:val="single" w:color="000000" w:sz="6" w:space="0"/>
              <w:right w:val="single" w:color="000000" w:sz="6" w:space="0"/>
            </w:tcBorders>
            <w:vAlign w:val="center"/>
          </w:tcPr>
          <w:p>
            <w:pPr>
              <w:ind w:firstLine="199" w:firstLineChars="95"/>
              <w:jc w:val="center"/>
              <w:rPr>
                <w:rFonts w:ascii="宋体" w:hAnsi="宋体"/>
                <w:szCs w:val="21"/>
              </w:rPr>
            </w:pPr>
            <w:r>
              <w:rPr>
                <w:rFonts w:hint="eastAsia" w:ascii="宋体" w:hAnsi="宋体"/>
                <w:szCs w:val="21"/>
              </w:rPr>
              <w:t>其他</w:t>
            </w:r>
          </w:p>
        </w:tc>
        <w:tc>
          <w:tcPr>
            <w:tcW w:w="4638" w:type="dxa"/>
            <w:gridSpan w:val="4"/>
            <w:tcBorders>
              <w:top w:val="single" w:color="000000" w:sz="6" w:space="0"/>
              <w:left w:val="single" w:color="000000" w:sz="6" w:space="0"/>
              <w:bottom w:val="single" w:color="000000" w:sz="6" w:space="0"/>
              <w:right w:val="single" w:color="000000" w:sz="6" w:space="0"/>
            </w:tcBorders>
            <w:vAlign w:val="center"/>
          </w:tcPr>
          <w:p>
            <w:pPr>
              <w:ind w:firstLine="420"/>
              <w:jc w:val="center"/>
              <w:rPr>
                <w:rFonts w:ascii="宋体" w:hAnsi="宋体"/>
                <w:bCs/>
                <w:szCs w:val="21"/>
              </w:rPr>
            </w:pPr>
          </w:p>
        </w:tc>
        <w:tc>
          <w:tcPr>
            <w:tcW w:w="2307" w:type="dxa"/>
            <w:gridSpan w:val="2"/>
            <w:tcBorders>
              <w:top w:val="single" w:color="auto" w:sz="4" w:space="0"/>
              <w:left w:val="single" w:color="000000" w:sz="6" w:space="0"/>
              <w:bottom w:val="single" w:color="auto" w:sz="4" w:space="0"/>
              <w:right w:val="double" w:color="auto" w:sz="4" w:space="0"/>
            </w:tcBorders>
            <w:vAlign w:val="center"/>
          </w:tcPr>
          <w:p>
            <w:pPr>
              <w:ind w:firstLine="420"/>
              <w:jc w:val="center"/>
              <w:rPr>
                <w:rFonts w:ascii="宋体" w:hAnsi="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70" w:type="dxa"/>
            <w:gridSpan w:val="8"/>
            <w:tcBorders>
              <w:top w:val="single" w:color="000000" w:sz="6" w:space="0"/>
              <w:left w:val="double" w:color="auto" w:sz="4" w:space="0"/>
              <w:bottom w:val="single" w:color="000000" w:sz="6" w:space="0"/>
              <w:right w:val="double" w:color="auto" w:sz="4" w:space="0"/>
            </w:tcBorders>
            <w:vAlign w:val="center"/>
          </w:tcPr>
          <w:p>
            <w:pPr>
              <w:ind w:firstLine="420"/>
              <w:jc w:val="center"/>
              <w:rPr>
                <w:rFonts w:ascii="宋体" w:hAnsi="宋体"/>
                <w:szCs w:val="21"/>
              </w:rPr>
            </w:pPr>
            <w:r>
              <w:rPr>
                <w:rFonts w:hint="eastAsia" w:ascii="宋体" w:hAnsi="宋体"/>
                <w:bCs/>
                <w:szCs w:val="21"/>
              </w:rPr>
              <w:t>投标总价（小写）：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477" w:hRule="atLeast"/>
          <w:jc w:val="center"/>
        </w:trPr>
        <w:tc>
          <w:tcPr>
            <w:tcW w:w="9270" w:type="dxa"/>
            <w:gridSpan w:val="8"/>
            <w:tcBorders>
              <w:top w:val="single" w:color="000000" w:sz="6" w:space="0"/>
              <w:left w:val="double" w:color="auto" w:sz="4" w:space="0"/>
              <w:bottom w:val="double" w:color="auto" w:sz="4" w:space="0"/>
              <w:right w:val="double" w:color="auto" w:sz="4" w:space="0"/>
            </w:tcBorders>
            <w:vAlign w:val="center"/>
          </w:tcPr>
          <w:p>
            <w:pPr>
              <w:ind w:firstLine="420"/>
              <w:jc w:val="center"/>
              <w:rPr>
                <w:rFonts w:ascii="宋体" w:hAnsi="宋体"/>
                <w:szCs w:val="21"/>
              </w:rPr>
            </w:pPr>
            <w:r>
              <w:rPr>
                <w:rFonts w:hint="eastAsia" w:ascii="宋体" w:hAnsi="宋体"/>
                <w:szCs w:val="21"/>
              </w:rPr>
              <w:t>投标总价（大写）：</w:t>
            </w:r>
          </w:p>
        </w:tc>
      </w:tr>
    </w:tbl>
    <w:p>
      <w:pPr>
        <w:adjustRightInd w:val="0"/>
        <w:snapToGrid w:val="0"/>
        <w:spacing w:line="440" w:lineRule="exact"/>
        <w:ind w:left="-88" w:leftChars="-42" w:firstLine="422"/>
        <w:rPr>
          <w:bCs/>
          <w:color w:val="000000"/>
          <w:sz w:val="24"/>
        </w:rPr>
      </w:pPr>
      <w:r>
        <w:rPr>
          <w:rFonts w:hint="eastAsia" w:ascii="仿宋_GB2312" w:hAnsi="宋体" w:eastAsia="仿宋_GB2312"/>
          <w:b/>
          <w:szCs w:val="21"/>
        </w:rPr>
        <w:t>备注：</w:t>
      </w:r>
    </w:p>
    <w:p>
      <w:pPr>
        <w:spacing w:line="300" w:lineRule="auto"/>
        <w:ind w:firstLine="480"/>
        <w:rPr>
          <w:rFonts w:ascii="宋体" w:hAnsi="宋体"/>
          <w:bCs/>
          <w:color w:val="000000"/>
          <w:sz w:val="24"/>
        </w:rPr>
      </w:pPr>
      <w:r>
        <w:rPr>
          <w:rFonts w:hint="eastAsia" w:ascii="宋体" w:hAnsi="宋体"/>
          <w:bCs/>
          <w:color w:val="000000"/>
          <w:sz w:val="24"/>
        </w:rPr>
        <w:t>注：</w:t>
      </w:r>
      <w:r>
        <w:rPr>
          <w:rFonts w:ascii="宋体" w:hAnsi="宋体"/>
          <w:bCs/>
          <w:color w:val="000000"/>
          <w:sz w:val="24"/>
        </w:rPr>
        <w:t>1</w:t>
      </w:r>
      <w:r>
        <w:rPr>
          <w:rFonts w:hint="eastAsia" w:ascii="宋体" w:hAnsi="宋体"/>
          <w:bCs/>
          <w:color w:val="000000"/>
          <w:sz w:val="24"/>
        </w:rPr>
        <w:t>、为方便唱标，请将所投货物的商标、生产厂家为非中文名称的译为中文名称。</w:t>
      </w:r>
    </w:p>
    <w:p>
      <w:pPr>
        <w:adjustRightInd w:val="0"/>
        <w:snapToGrid w:val="0"/>
        <w:spacing w:line="440" w:lineRule="exact"/>
        <w:ind w:left="1037" w:leftChars="208" w:hanging="600" w:hangingChars="250"/>
        <w:rPr>
          <w:rFonts w:ascii="宋体" w:hAnsi="宋体"/>
          <w:sz w:val="24"/>
        </w:rPr>
      </w:pPr>
      <w:r>
        <w:rPr>
          <w:rFonts w:ascii="宋体" w:hAnsi="宋体"/>
          <w:color w:val="000000"/>
          <w:sz w:val="24"/>
        </w:rPr>
        <w:t>2</w:t>
      </w:r>
      <w:r>
        <w:rPr>
          <w:rFonts w:hint="eastAsia" w:ascii="宋体" w:hAnsi="宋体"/>
          <w:color w:val="000000"/>
          <w:sz w:val="24"/>
        </w:rPr>
        <w:t>、</w:t>
      </w:r>
      <w:r>
        <w:rPr>
          <w:rFonts w:hint="eastAsia" w:ascii="宋体" w:hAnsi="宋体"/>
          <w:sz w:val="24"/>
        </w:rPr>
        <w:t>单价应包括必不可少的部件、标准备件等费用。</w:t>
      </w:r>
    </w:p>
    <w:p>
      <w:pPr>
        <w:adjustRightInd w:val="0"/>
        <w:snapToGrid w:val="0"/>
        <w:spacing w:line="440" w:lineRule="exact"/>
        <w:ind w:left="-88" w:leftChars="-42" w:firstLine="480"/>
        <w:rPr>
          <w:rFonts w:ascii="宋体" w:hAnsi="宋体"/>
          <w:sz w:val="24"/>
        </w:rPr>
      </w:pPr>
      <w:r>
        <w:rPr>
          <w:rFonts w:hint="eastAsia" w:ascii="宋体" w:hAnsi="宋体"/>
          <w:sz w:val="24"/>
        </w:rPr>
        <w:t>3、如果单价与总价不符时，以单价为准，并修正总价。</w:t>
      </w:r>
    </w:p>
    <w:p>
      <w:pPr>
        <w:spacing w:line="300" w:lineRule="auto"/>
        <w:ind w:firstLine="480"/>
        <w:rPr>
          <w:bCs/>
          <w:color w:val="000000"/>
          <w:sz w:val="24"/>
        </w:rPr>
      </w:pPr>
    </w:p>
    <w:p>
      <w:pPr>
        <w:spacing w:line="300" w:lineRule="auto"/>
        <w:ind w:firstLine="3600" w:firstLineChars="1500"/>
        <w:rPr>
          <w:bCs/>
          <w:color w:val="000000"/>
          <w:sz w:val="24"/>
        </w:rPr>
      </w:pPr>
      <w:r>
        <w:rPr>
          <w:rFonts w:hint="eastAsia"/>
          <w:bCs/>
          <w:color w:val="000000"/>
          <w:sz w:val="24"/>
        </w:rPr>
        <w:t>投标人名称（盖章）：</w:t>
      </w:r>
    </w:p>
    <w:p>
      <w:pPr>
        <w:spacing w:line="300" w:lineRule="auto"/>
        <w:ind w:firstLine="480"/>
        <w:rPr>
          <w:bCs/>
          <w:color w:val="000000"/>
          <w:sz w:val="24"/>
        </w:rPr>
      </w:pPr>
    </w:p>
    <w:p>
      <w:pPr>
        <w:spacing w:line="300" w:lineRule="auto"/>
        <w:ind w:firstLine="3600" w:firstLineChars="1500"/>
        <w:rPr>
          <w:bCs/>
          <w:color w:val="000000"/>
          <w:sz w:val="24"/>
          <w:u w:val="single"/>
        </w:rPr>
      </w:pPr>
      <w:r>
        <w:rPr>
          <w:rFonts w:hint="eastAsia"/>
          <w:bCs/>
          <w:color w:val="000000"/>
          <w:sz w:val="24"/>
        </w:rPr>
        <w:t>法定代表人或授权代表人（签字</w:t>
      </w:r>
      <w:r>
        <w:rPr>
          <w:rFonts w:hint="eastAsia"/>
          <w:color w:val="000000"/>
          <w:sz w:val="24"/>
        </w:rPr>
        <w:t>或印章</w:t>
      </w:r>
      <w:r>
        <w:rPr>
          <w:rFonts w:hint="eastAsia"/>
          <w:bCs/>
          <w:color w:val="000000"/>
          <w:sz w:val="24"/>
        </w:rPr>
        <w:t>）：</w:t>
      </w:r>
    </w:p>
    <w:p>
      <w:pPr>
        <w:spacing w:line="300" w:lineRule="auto"/>
        <w:ind w:firstLine="480"/>
        <w:rPr>
          <w:bCs/>
          <w:color w:val="000000"/>
          <w:sz w:val="24"/>
          <w:u w:val="single"/>
        </w:rPr>
      </w:pPr>
    </w:p>
    <w:p>
      <w:pPr>
        <w:spacing w:line="300" w:lineRule="auto"/>
        <w:ind w:right="600" w:firstLine="5116" w:firstLineChars="2132"/>
        <w:rPr>
          <w:bCs/>
          <w:color w:val="000000"/>
          <w:sz w:val="24"/>
        </w:rPr>
      </w:pPr>
      <w:r>
        <w:rPr>
          <w:rFonts w:hint="eastAsia"/>
          <w:bCs/>
          <w:color w:val="000000"/>
          <w:sz w:val="24"/>
        </w:rPr>
        <w:t>年    月    日</w:t>
      </w:r>
    </w:p>
    <w:p>
      <w:pPr>
        <w:spacing w:line="300" w:lineRule="auto"/>
        <w:ind w:right="600" w:firstLine="6000" w:firstLineChars="2500"/>
        <w:rPr>
          <w:bCs/>
          <w:color w:val="000000"/>
          <w:sz w:val="24"/>
        </w:rPr>
      </w:pPr>
    </w:p>
    <w:p>
      <w:pPr>
        <w:pStyle w:val="4"/>
        <w:ind w:firstLine="0" w:firstLineChars="0"/>
      </w:pPr>
      <w:bookmarkStart w:id="520" w:name="_Toc30459"/>
      <w:bookmarkStart w:id="521" w:name="_Toc459623021"/>
      <w:bookmarkStart w:id="522" w:name="_Toc493013088"/>
      <w:bookmarkStart w:id="523" w:name="_Toc447272177"/>
      <w:bookmarkStart w:id="524" w:name="_Toc11946"/>
      <w:bookmarkStart w:id="525" w:name="_Toc447207041"/>
      <w:bookmarkStart w:id="526" w:name="_Toc15479"/>
      <w:bookmarkStart w:id="527" w:name="_Toc28201"/>
      <w:r>
        <w:rPr>
          <w:rFonts w:hint="eastAsia"/>
        </w:rPr>
        <w:t>附件7：</w:t>
      </w:r>
      <w:bookmarkStart w:id="528" w:name="_Toc139965364"/>
      <w:r>
        <w:rPr>
          <w:rFonts w:hint="eastAsia"/>
        </w:rPr>
        <w:t>投标商务、货物偏离表</w:t>
      </w:r>
      <w:bookmarkEnd w:id="520"/>
      <w:bookmarkEnd w:id="521"/>
      <w:bookmarkEnd w:id="522"/>
      <w:bookmarkEnd w:id="523"/>
      <w:bookmarkEnd w:id="524"/>
      <w:bookmarkEnd w:id="525"/>
      <w:bookmarkEnd w:id="526"/>
      <w:bookmarkEnd w:id="527"/>
    </w:p>
    <w:bookmarkEnd w:id="528"/>
    <w:p>
      <w:pPr>
        <w:ind w:firstLine="480"/>
        <w:rPr>
          <w:rFonts w:ascii="宋体"/>
          <w:bCs/>
          <w:color w:val="000000"/>
          <w:sz w:val="24"/>
        </w:rPr>
      </w:pPr>
      <w:r>
        <w:rPr>
          <w:rFonts w:hint="eastAsia"/>
          <w:color w:val="000000"/>
          <w:sz w:val="24"/>
        </w:rPr>
        <w:t>项目名称：</w:t>
      </w:r>
    </w:p>
    <w:p>
      <w:pPr>
        <w:snapToGrid w:val="0"/>
        <w:spacing w:line="300" w:lineRule="auto"/>
        <w:ind w:firstLine="480"/>
        <w:rPr>
          <w:bCs/>
          <w:color w:val="000000"/>
          <w:sz w:val="24"/>
        </w:rPr>
      </w:pPr>
      <w:r>
        <w:rPr>
          <w:rFonts w:hint="eastAsia"/>
          <w:color w:val="000000"/>
          <w:sz w:val="24"/>
        </w:rPr>
        <w:t>招标文件编号：</w:t>
      </w:r>
    </w:p>
    <w:tbl>
      <w:tblPr>
        <w:tblStyle w:val="41"/>
        <w:tblW w:w="9678" w:type="dxa"/>
        <w:jc w:val="center"/>
        <w:tblInd w:w="-165" w:type="dxa"/>
        <w:tblLayout w:type="fixed"/>
        <w:tblCellMar>
          <w:top w:w="0" w:type="dxa"/>
          <w:left w:w="0" w:type="dxa"/>
          <w:bottom w:w="0" w:type="dxa"/>
          <w:right w:w="0" w:type="dxa"/>
        </w:tblCellMar>
      </w:tblPr>
      <w:tblGrid>
        <w:gridCol w:w="606"/>
        <w:gridCol w:w="850"/>
        <w:gridCol w:w="1701"/>
        <w:gridCol w:w="2063"/>
        <w:gridCol w:w="2898"/>
        <w:gridCol w:w="1560"/>
      </w:tblGrid>
      <w:tr>
        <w:tblPrEx>
          <w:tblLayout w:type="fixed"/>
          <w:tblCellMar>
            <w:top w:w="0" w:type="dxa"/>
            <w:left w:w="0" w:type="dxa"/>
            <w:bottom w:w="0" w:type="dxa"/>
            <w:right w:w="0" w:type="dxa"/>
          </w:tblCellMar>
        </w:tblPrEx>
        <w:trPr>
          <w:cantSplit/>
          <w:trHeight w:val="402" w:hRule="atLeast"/>
          <w:jc w:val="center"/>
        </w:trPr>
        <w:tc>
          <w:tcPr>
            <w:tcW w:w="606"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hAnsi="宋体"/>
                <w:color w:val="000000"/>
                <w:sz w:val="24"/>
              </w:rPr>
              <w:t>序号</w:t>
            </w:r>
          </w:p>
        </w:tc>
        <w:tc>
          <w:tcPr>
            <w:tcW w:w="8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条目号</w:t>
            </w:r>
          </w:p>
        </w:tc>
        <w:tc>
          <w:tcPr>
            <w:tcW w:w="170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招标文件商务、货物实际要求</w:t>
            </w:r>
          </w:p>
        </w:tc>
        <w:tc>
          <w:tcPr>
            <w:tcW w:w="206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0" w:firstLineChars="0"/>
              <w:jc w:val="center"/>
              <w:rPr>
                <w:rFonts w:ascii="宋体"/>
                <w:color w:val="000000"/>
                <w:sz w:val="24"/>
              </w:rPr>
            </w:pPr>
            <w:r>
              <w:rPr>
                <w:rFonts w:hint="eastAsia" w:ascii="宋体"/>
                <w:color w:val="000000"/>
                <w:sz w:val="24"/>
              </w:rPr>
              <w:t>投标文件商务、货物实际要求</w:t>
            </w:r>
          </w:p>
        </w:tc>
        <w:tc>
          <w:tcPr>
            <w:tcW w:w="289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r>
              <w:rPr>
                <w:rFonts w:hint="eastAsia" w:ascii="宋体"/>
                <w:color w:val="000000"/>
                <w:sz w:val="24"/>
              </w:rPr>
              <w:t>响应情况</w:t>
            </w:r>
          </w:p>
        </w:tc>
        <w:tc>
          <w:tcPr>
            <w:tcW w:w="1560" w:type="dxa"/>
            <w:vMerge w:val="restart"/>
            <w:tcBorders>
              <w:top w:val="single" w:color="auto" w:sz="4" w:space="0"/>
              <w:left w:val="nil"/>
              <w:right w:val="single" w:color="auto" w:sz="4" w:space="0"/>
            </w:tcBorders>
            <w:vAlign w:val="center"/>
          </w:tcPr>
          <w:p>
            <w:pPr>
              <w:ind w:firstLine="0" w:firstLineChars="0"/>
              <w:jc w:val="center"/>
              <w:rPr>
                <w:rFonts w:ascii="宋体"/>
                <w:color w:val="000000"/>
                <w:sz w:val="24"/>
              </w:rPr>
            </w:pPr>
            <w:r>
              <w:rPr>
                <w:rFonts w:hint="eastAsia" w:ascii="宋体"/>
                <w:color w:val="000000"/>
                <w:sz w:val="24"/>
              </w:rPr>
              <w:t>说明及证明材料</w:t>
            </w:r>
          </w:p>
        </w:tc>
      </w:tr>
      <w:tr>
        <w:tblPrEx>
          <w:tblLayout w:type="fixed"/>
          <w:tblCellMar>
            <w:top w:w="0" w:type="dxa"/>
            <w:left w:w="0" w:type="dxa"/>
            <w:bottom w:w="0" w:type="dxa"/>
            <w:right w:w="0" w:type="dxa"/>
          </w:tblCellMar>
        </w:tblPrEx>
        <w:trPr>
          <w:cantSplit/>
          <w:trHeight w:val="402" w:hRule="atLeast"/>
          <w:jc w:val="center"/>
        </w:trPr>
        <w:tc>
          <w:tcPr>
            <w:tcW w:w="606"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2063" w:type="dxa"/>
            <w:vMerge w:val="continue"/>
            <w:tcBorders>
              <w:top w:val="single" w:color="auto" w:sz="4" w:space="0"/>
              <w:left w:val="single" w:color="auto" w:sz="4" w:space="0"/>
              <w:bottom w:val="single" w:color="auto" w:sz="4" w:space="0"/>
              <w:right w:val="single" w:color="auto" w:sz="4" w:space="0"/>
            </w:tcBorders>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20"/>
              <w:jc w:val="center"/>
              <w:rPr>
                <w:rFonts w:ascii="宋体"/>
                <w:color w:val="000000"/>
                <w:sz w:val="24"/>
              </w:rPr>
            </w:pPr>
            <w:r>
              <w:rPr>
                <w:rFonts w:hint="eastAsia" w:ascii="宋体" w:hAnsi="宋体"/>
                <w:szCs w:val="21"/>
              </w:rPr>
              <w:t>响应/偏离</w:t>
            </w:r>
          </w:p>
        </w:tc>
        <w:tc>
          <w:tcPr>
            <w:tcW w:w="1560" w:type="dxa"/>
            <w:vMerge w:val="continue"/>
            <w:tcBorders>
              <w:left w:val="nil"/>
              <w:bottom w:val="single" w:color="auto" w:sz="4" w:space="0"/>
              <w:right w:val="single" w:color="auto" w:sz="4" w:space="0"/>
            </w:tcBorders>
            <w:vAlign w:val="center"/>
          </w:tcPr>
          <w:p>
            <w:pPr>
              <w:ind w:right="458" w:rightChars="218" w:firstLine="480"/>
              <w:jc w:val="center"/>
              <w:rPr>
                <w:rFonts w:ascii="宋体"/>
                <w:color w:val="000000"/>
                <w:sz w:val="24"/>
              </w:rPr>
            </w:pPr>
          </w:p>
        </w:tc>
      </w:tr>
      <w:tr>
        <w:tblPrEx>
          <w:tblLayout w:type="fixed"/>
          <w:tblCellMar>
            <w:top w:w="0" w:type="dxa"/>
            <w:left w:w="0" w:type="dxa"/>
            <w:bottom w:w="0" w:type="dxa"/>
            <w:right w:w="0" w:type="dxa"/>
          </w:tblCellMar>
        </w:tblPrEx>
        <w:trPr>
          <w:trHeight w:val="390"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r>
        <w:tblPrEx>
          <w:tblLayout w:type="fixed"/>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left="-15" w:leftChars="-7"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r>
        <w:tblPrEx>
          <w:tblLayout w:type="fixed"/>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r>
        <w:tblPrEx>
          <w:tblLayout w:type="fixed"/>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r>
        <w:tblPrEx>
          <w:tblLayout w:type="fixed"/>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r>
        <w:tblPrEx>
          <w:tblLayout w:type="fixed"/>
          <w:tblCellMar>
            <w:top w:w="0" w:type="dxa"/>
            <w:left w:w="0" w:type="dxa"/>
            <w:bottom w:w="0" w:type="dxa"/>
            <w:right w:w="0" w:type="dxa"/>
          </w:tblCellMar>
        </w:tblPrEx>
        <w:trPr>
          <w:trHeight w:val="402" w:hRule="atLeast"/>
          <w:jc w:val="center"/>
        </w:trPr>
        <w:tc>
          <w:tcPr>
            <w:tcW w:w="60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850"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170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063"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tc>
        <w:tc>
          <w:tcPr>
            <w:tcW w:w="2898"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480"/>
              <w:jc w:val="center"/>
              <w:rPr>
                <w:rFonts w:ascii="宋体"/>
                <w:color w:val="000000"/>
                <w:sz w:val="24"/>
              </w:rPr>
            </w:pPr>
          </w:p>
          <w:p>
            <w:pPr>
              <w:ind w:firstLine="480"/>
              <w:jc w:val="center"/>
              <w:rPr>
                <w:rFonts w:ascii="宋体"/>
                <w:color w:val="000000"/>
                <w:sz w:val="24"/>
              </w:rPr>
            </w:pPr>
          </w:p>
        </w:tc>
        <w:tc>
          <w:tcPr>
            <w:tcW w:w="1560" w:type="dxa"/>
            <w:tcBorders>
              <w:top w:val="nil"/>
              <w:left w:val="nil"/>
              <w:bottom w:val="single" w:color="auto" w:sz="4" w:space="0"/>
              <w:right w:val="single" w:color="auto" w:sz="4" w:space="0"/>
            </w:tcBorders>
            <w:vAlign w:val="center"/>
          </w:tcPr>
          <w:p>
            <w:pPr>
              <w:ind w:firstLine="480"/>
              <w:jc w:val="center"/>
              <w:rPr>
                <w:rFonts w:ascii="宋体"/>
                <w:color w:val="000000"/>
                <w:sz w:val="24"/>
              </w:rPr>
            </w:pPr>
          </w:p>
        </w:tc>
      </w:tr>
    </w:tbl>
    <w:p>
      <w:pPr>
        <w:spacing w:line="300" w:lineRule="auto"/>
        <w:ind w:firstLine="480"/>
        <w:rPr>
          <w:bCs/>
          <w:color w:val="000000"/>
          <w:sz w:val="24"/>
        </w:rPr>
      </w:pPr>
    </w:p>
    <w:p>
      <w:pPr>
        <w:pStyle w:val="27"/>
        <w:ind w:firstLine="422"/>
      </w:pPr>
      <w:r>
        <w:rPr>
          <w:rFonts w:hint="eastAsia"/>
          <w:b/>
        </w:rPr>
        <w:t>备注</w:t>
      </w:r>
      <w:r>
        <w:rPr>
          <w:rFonts w:hint="eastAsia"/>
        </w:rPr>
        <w:t>：“响应/偏离”栏应注明“响应”或“偏离”。</w:t>
      </w:r>
    </w:p>
    <w:p>
      <w:pPr>
        <w:adjustRightInd w:val="0"/>
        <w:snapToGrid w:val="0"/>
        <w:ind w:left="-88" w:leftChars="-42" w:firstLine="420"/>
        <w:rPr>
          <w:rFonts w:ascii="仿宋_GB2312" w:hAnsi="宋体" w:eastAsia="仿宋_GB2312"/>
          <w:szCs w:val="21"/>
        </w:rPr>
      </w:pPr>
    </w:p>
    <w:p>
      <w:pPr>
        <w:spacing w:line="300" w:lineRule="auto"/>
        <w:ind w:firstLine="480"/>
        <w:rPr>
          <w:bCs/>
          <w:color w:val="000000"/>
          <w:sz w:val="24"/>
        </w:rPr>
      </w:pPr>
    </w:p>
    <w:p>
      <w:pPr>
        <w:spacing w:line="300" w:lineRule="auto"/>
        <w:ind w:firstLine="480"/>
        <w:rPr>
          <w:bCs/>
          <w:color w:val="000000"/>
          <w:sz w:val="24"/>
        </w:rPr>
      </w:pPr>
      <w:r>
        <w:rPr>
          <w:rFonts w:hint="eastAsia"/>
          <w:bCs/>
          <w:color w:val="000000"/>
          <w:sz w:val="24"/>
        </w:rPr>
        <w:t>投标人名称（盖章）：</w:t>
      </w:r>
    </w:p>
    <w:p>
      <w:pPr>
        <w:spacing w:line="300" w:lineRule="auto"/>
        <w:ind w:firstLine="480"/>
        <w:rPr>
          <w:bCs/>
          <w:color w:val="000000"/>
          <w:sz w:val="24"/>
        </w:rPr>
      </w:pPr>
    </w:p>
    <w:p>
      <w:pPr>
        <w:spacing w:line="300" w:lineRule="auto"/>
        <w:ind w:firstLine="480"/>
        <w:rPr>
          <w:bCs/>
          <w:color w:val="000000"/>
          <w:sz w:val="24"/>
        </w:rPr>
      </w:pPr>
    </w:p>
    <w:p>
      <w:pPr>
        <w:spacing w:line="300" w:lineRule="auto"/>
        <w:ind w:firstLine="480"/>
        <w:rPr>
          <w:bCs/>
          <w:color w:val="000000"/>
          <w:sz w:val="24"/>
        </w:rPr>
      </w:pPr>
    </w:p>
    <w:p>
      <w:pPr>
        <w:spacing w:line="300" w:lineRule="auto"/>
        <w:ind w:firstLine="480"/>
        <w:rPr>
          <w:bCs/>
          <w:color w:val="000000"/>
          <w:sz w:val="24"/>
          <w:u w:val="single"/>
        </w:rPr>
      </w:pPr>
      <w:r>
        <w:rPr>
          <w:rFonts w:hint="eastAsia"/>
          <w:bCs/>
          <w:color w:val="000000"/>
          <w:sz w:val="24"/>
        </w:rPr>
        <w:t>法定代表人或授权代表人（签字</w:t>
      </w:r>
      <w:r>
        <w:rPr>
          <w:rFonts w:hint="eastAsia"/>
          <w:color w:val="000000"/>
          <w:sz w:val="24"/>
        </w:rPr>
        <w:t>或印章</w:t>
      </w:r>
      <w:r>
        <w:rPr>
          <w:rFonts w:hint="eastAsia"/>
          <w:bCs/>
          <w:color w:val="000000"/>
          <w:sz w:val="24"/>
        </w:rPr>
        <w:t>）：</w:t>
      </w:r>
    </w:p>
    <w:p>
      <w:pPr>
        <w:spacing w:line="300" w:lineRule="auto"/>
        <w:ind w:firstLine="480"/>
        <w:rPr>
          <w:bCs/>
          <w:color w:val="000000"/>
          <w:sz w:val="24"/>
        </w:rPr>
      </w:pPr>
    </w:p>
    <w:p>
      <w:pPr>
        <w:spacing w:line="300" w:lineRule="auto"/>
        <w:ind w:firstLine="480"/>
        <w:rPr>
          <w:bCs/>
          <w:color w:val="000000"/>
          <w:sz w:val="24"/>
          <w:u w:val="single"/>
        </w:rPr>
      </w:pPr>
    </w:p>
    <w:p>
      <w:pPr>
        <w:snapToGrid w:val="0"/>
        <w:spacing w:line="300" w:lineRule="auto"/>
        <w:ind w:firstLine="5640" w:firstLineChars="2350"/>
        <w:rPr>
          <w:bCs/>
          <w:color w:val="000000"/>
          <w:sz w:val="24"/>
        </w:rPr>
      </w:pPr>
      <w:r>
        <w:rPr>
          <w:rFonts w:hint="eastAsia"/>
          <w:bCs/>
          <w:color w:val="000000"/>
          <w:sz w:val="24"/>
        </w:rPr>
        <w:t>年    月   日</w:t>
      </w:r>
      <w:r>
        <w:rPr>
          <w:rFonts w:ascii="宋体"/>
          <w:color w:val="000000"/>
        </w:rPr>
        <w:br w:type="page"/>
      </w:r>
      <w:bookmarkStart w:id="529" w:name="_Toc493013090"/>
      <w:bookmarkStart w:id="530" w:name="_Toc493509534"/>
      <w:r>
        <w:rPr>
          <w:rFonts w:hint="eastAsia" w:ascii="宋体" w:hAnsi="宋体"/>
          <w:b/>
          <w:sz w:val="28"/>
          <w:szCs w:val="28"/>
        </w:rPr>
        <w:t>附件8：财政部工业和信息化部文件</w:t>
      </w:r>
      <w:bookmarkEnd w:id="529"/>
      <w:bookmarkEnd w:id="530"/>
    </w:p>
    <w:p>
      <w:pPr>
        <w:spacing w:line="480" w:lineRule="exact"/>
        <w:ind w:firstLine="482"/>
        <w:jc w:val="center"/>
        <w:rPr>
          <w:rFonts w:ascii="宋体" w:hAnsi="宋体"/>
          <w:b/>
          <w:sz w:val="24"/>
        </w:rPr>
      </w:pPr>
      <w:r>
        <w:rPr>
          <w:rFonts w:hint="eastAsia" w:ascii="宋体" w:hAnsi="宋体"/>
          <w:b/>
          <w:sz w:val="24"/>
        </w:rPr>
        <w:t>财库〔2011〕181号</w:t>
      </w:r>
    </w:p>
    <w:p>
      <w:pPr>
        <w:spacing w:line="500" w:lineRule="exact"/>
        <w:ind w:firstLine="480"/>
        <w:rPr>
          <w:rFonts w:ascii="宋体" w:hAnsi="宋体"/>
          <w:sz w:val="24"/>
        </w:rPr>
      </w:pPr>
      <w:r>
        <w:rPr>
          <w:rFonts w:hint="eastAsia" w:ascii="宋体" w:hAnsi="宋体"/>
          <w:sz w:val="24"/>
        </w:rPr>
        <w:t>关于印发《政府采购促进中小企业发展暂行办法》的通知</w:t>
      </w:r>
    </w:p>
    <w:p>
      <w:pPr>
        <w:spacing w:line="500" w:lineRule="exact"/>
        <w:ind w:firstLine="480"/>
        <w:rPr>
          <w:rFonts w:ascii="宋体" w:hAnsi="宋体"/>
          <w:sz w:val="24"/>
        </w:rPr>
      </w:pPr>
      <w:r>
        <w:rPr>
          <w:rFonts w:hint="eastAsia" w:ascii="宋体" w:hAnsi="宋体"/>
          <w:sz w:val="24"/>
        </w:rPr>
        <w:t>党中央有关部门，国务院各部委、各直属机构，全国人大常委会办公厅，全国政协办公厅，高法院，高检院，有关人民团体，各省、自治区、直辖市、计划单列市财政厅（局）、工业和信息化主管部门，新疆生产建设兵团财务局、工业和信息化主管部门：</w:t>
      </w:r>
    </w:p>
    <w:p>
      <w:pPr>
        <w:spacing w:line="500" w:lineRule="exact"/>
        <w:ind w:firstLine="480"/>
        <w:rPr>
          <w:rFonts w:ascii="宋体" w:hAnsi="宋体"/>
          <w:sz w:val="24"/>
        </w:rPr>
      </w:pPr>
      <w:r>
        <w:rPr>
          <w:rFonts w:hint="eastAsia" w:ascii="宋体" w:hAnsi="宋体"/>
          <w:sz w:val="24"/>
        </w:rPr>
        <w:t>为贯彻落实《国务院关于进一步促进中小企业发展的若干意见》（国发[2009]36号），发挥政府采购的政策功能，促进中小企业发展，根据《中华人民共和国政府采购法》和《中华人民共和国中小企业促进法》，财政部、工业和信息化部制定了《政府采购促进中小企业发展暂行办法》。现印发给你们，请遵照执行。</w:t>
      </w:r>
    </w:p>
    <w:p>
      <w:pPr>
        <w:spacing w:line="500" w:lineRule="exact"/>
        <w:ind w:firstLine="480"/>
        <w:rPr>
          <w:rFonts w:ascii="宋体" w:hAnsi="宋体"/>
          <w:sz w:val="24"/>
        </w:rPr>
      </w:pPr>
      <w:r>
        <w:rPr>
          <w:rFonts w:hint="eastAsia" w:ascii="宋体" w:hAnsi="宋体"/>
          <w:sz w:val="24"/>
        </w:rPr>
        <w:t>附件：政府采购促进中小企业发展暂行办法</w:t>
      </w:r>
    </w:p>
    <w:p>
      <w:pPr>
        <w:spacing w:line="500" w:lineRule="exact"/>
        <w:ind w:firstLine="480"/>
        <w:rPr>
          <w:rFonts w:ascii="宋体" w:hAnsi="宋体"/>
          <w:sz w:val="24"/>
        </w:rPr>
      </w:pPr>
      <w:r>
        <w:rPr>
          <w:rFonts w:hint="eastAsia" w:ascii="宋体" w:hAnsi="宋体"/>
          <w:sz w:val="24"/>
        </w:rPr>
        <w:t>　　　　</w:t>
      </w:r>
    </w:p>
    <w:p>
      <w:pPr>
        <w:spacing w:line="500" w:lineRule="exact"/>
        <w:ind w:firstLine="480"/>
        <w:rPr>
          <w:rFonts w:ascii="宋体" w:hAnsi="宋体"/>
          <w:sz w:val="24"/>
        </w:rPr>
      </w:pPr>
      <w:r>
        <w:rPr>
          <w:rFonts w:hint="eastAsia" w:ascii="宋体" w:hAnsi="宋体"/>
          <w:sz w:val="24"/>
        </w:rPr>
        <w:t xml:space="preserve">   财政部</w:t>
      </w:r>
    </w:p>
    <w:p>
      <w:pPr>
        <w:spacing w:line="500" w:lineRule="exact"/>
        <w:ind w:firstLine="480"/>
        <w:rPr>
          <w:rFonts w:ascii="宋体" w:hAnsi="宋体"/>
          <w:sz w:val="24"/>
        </w:rPr>
      </w:pPr>
      <w:r>
        <w:rPr>
          <w:rFonts w:hint="eastAsia" w:ascii="宋体" w:hAnsi="宋体"/>
          <w:sz w:val="24"/>
        </w:rPr>
        <w:t xml:space="preserve">   工业和信息化部</w:t>
      </w:r>
    </w:p>
    <w:p>
      <w:pPr>
        <w:spacing w:line="500" w:lineRule="exact"/>
        <w:ind w:firstLine="480"/>
        <w:rPr>
          <w:rFonts w:ascii="宋体" w:hAnsi="宋体"/>
          <w:sz w:val="24"/>
        </w:rPr>
      </w:pPr>
      <w:r>
        <w:rPr>
          <w:rFonts w:hint="eastAsia" w:ascii="宋体" w:hAnsi="宋体"/>
          <w:sz w:val="24"/>
        </w:rPr>
        <w:t xml:space="preserve">   二〇一一年十二月二十九日</w:t>
      </w: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p>
    <w:p>
      <w:pPr>
        <w:spacing w:line="500" w:lineRule="exact"/>
        <w:ind w:firstLine="480"/>
        <w:rPr>
          <w:rFonts w:ascii="宋体" w:hAnsi="宋体"/>
          <w:sz w:val="24"/>
        </w:rPr>
      </w:pPr>
      <w:r>
        <w:rPr>
          <w:rFonts w:hint="eastAsia" w:ascii="宋体" w:hAnsi="宋体"/>
          <w:sz w:val="24"/>
        </w:rPr>
        <w:t>附件：</w:t>
      </w:r>
    </w:p>
    <w:p>
      <w:pPr>
        <w:spacing w:line="500" w:lineRule="exact"/>
        <w:ind w:firstLine="480"/>
        <w:jc w:val="center"/>
        <w:rPr>
          <w:rFonts w:ascii="方正小标宋简体" w:hAnsi="宋体" w:eastAsia="方正小标宋简体"/>
          <w:sz w:val="24"/>
        </w:rPr>
      </w:pPr>
      <w:r>
        <w:rPr>
          <w:rFonts w:hint="eastAsia" w:ascii="方正小标宋简体" w:hAnsi="宋体" w:eastAsia="方正小标宋简体"/>
          <w:sz w:val="24"/>
        </w:rPr>
        <w:t>政府采购促进中小企业发展暂行办法</w:t>
      </w:r>
    </w:p>
    <w:p>
      <w:pPr>
        <w:spacing w:line="500" w:lineRule="exact"/>
        <w:ind w:firstLine="480"/>
        <w:rPr>
          <w:rFonts w:ascii="宋体" w:hAnsi="宋体"/>
          <w:sz w:val="24"/>
        </w:rPr>
      </w:pPr>
      <w:r>
        <w:rPr>
          <w:rFonts w:hint="eastAsia" w:ascii="宋体" w:hAnsi="宋体"/>
          <w:sz w:val="24"/>
        </w:rPr>
        <w:t>第一条 为了发挥政府采购的政策功能，促进符合国家经济和社会发展政策目标，产品、服务、信誉较好的中小企业发展，根据《中华人民共和国政府采购法》、《中华人民共和国中小企业促进法》等有关法律法规，制定本办法。</w:t>
      </w:r>
    </w:p>
    <w:p>
      <w:pPr>
        <w:spacing w:line="500" w:lineRule="exact"/>
        <w:ind w:firstLine="480"/>
        <w:rPr>
          <w:rFonts w:ascii="宋体" w:hAnsi="宋体"/>
          <w:sz w:val="24"/>
        </w:rPr>
      </w:pPr>
      <w:r>
        <w:rPr>
          <w:rFonts w:hint="eastAsia" w:ascii="宋体" w:hAnsi="宋体"/>
          <w:sz w:val="24"/>
        </w:rPr>
        <w:t>第二条 本办法所称中小企业（含中型、小型、微型企业，下同）应当同时符合以下条件：</w:t>
      </w:r>
    </w:p>
    <w:p>
      <w:pPr>
        <w:spacing w:line="500" w:lineRule="exact"/>
        <w:ind w:firstLine="480"/>
        <w:rPr>
          <w:rFonts w:ascii="宋体" w:hAnsi="宋体"/>
          <w:sz w:val="24"/>
        </w:rPr>
      </w:pPr>
      <w:r>
        <w:rPr>
          <w:rFonts w:hint="eastAsia" w:ascii="宋体" w:hAnsi="宋体"/>
          <w:sz w:val="24"/>
        </w:rPr>
        <w:t>（一）符合中小企业划分标准；</w:t>
      </w:r>
    </w:p>
    <w:p>
      <w:pPr>
        <w:spacing w:line="500" w:lineRule="exact"/>
        <w:ind w:firstLine="480"/>
        <w:rPr>
          <w:rFonts w:ascii="宋体" w:hAnsi="宋体"/>
          <w:sz w:val="24"/>
        </w:rPr>
      </w:pPr>
      <w:r>
        <w:rPr>
          <w:rFonts w:hint="eastAsia" w:ascii="宋体" w:hAnsi="宋体"/>
          <w:sz w:val="24"/>
        </w:rPr>
        <w:t>（二）提供本企业制造的货物、承担的工程或者服务，或者提供其他中小企业制造的货物。本项所称货物不包括使用大型企业注册商标的货物。</w:t>
      </w:r>
    </w:p>
    <w:p>
      <w:pPr>
        <w:spacing w:line="500" w:lineRule="exact"/>
        <w:ind w:firstLine="480"/>
        <w:rPr>
          <w:rFonts w:ascii="宋体" w:hAnsi="宋体"/>
          <w:sz w:val="24"/>
        </w:rPr>
      </w:pPr>
      <w:r>
        <w:rPr>
          <w:rFonts w:hint="eastAsia" w:ascii="宋体" w:hAnsi="宋体"/>
          <w:sz w:val="24"/>
        </w:rPr>
        <w:t>本办法所称中小企业划分标准，是指国务院有关部门根据企业从业人员、营业收入、资产总额等指标制定的中小企业划型标准。</w:t>
      </w:r>
    </w:p>
    <w:p>
      <w:pPr>
        <w:spacing w:line="500" w:lineRule="exact"/>
        <w:ind w:firstLine="480"/>
        <w:rPr>
          <w:rFonts w:ascii="宋体" w:hAnsi="宋体"/>
          <w:sz w:val="24"/>
        </w:rPr>
      </w:pPr>
      <w:r>
        <w:rPr>
          <w:rFonts w:hint="eastAsia" w:ascii="宋体" w:hAnsi="宋体"/>
          <w:sz w:val="24"/>
        </w:rPr>
        <w:t>小型、微型企业提供中型企业制造的货物的，视同为中型企业。</w:t>
      </w:r>
    </w:p>
    <w:p>
      <w:pPr>
        <w:spacing w:line="500" w:lineRule="exact"/>
        <w:ind w:firstLine="480"/>
        <w:rPr>
          <w:rFonts w:ascii="宋体" w:hAnsi="宋体"/>
          <w:sz w:val="24"/>
        </w:rPr>
      </w:pPr>
      <w:r>
        <w:rPr>
          <w:rFonts w:hint="eastAsia" w:ascii="宋体" w:hAnsi="宋体"/>
          <w:sz w:val="24"/>
        </w:rPr>
        <w:t>第三条 任何单位和个人不得阻挠和限制中小企业自由进入本地区和本行业的政府采购市场，政府采购活动不得以注册资本金、资产总额、营业收入、从业人员、利润、纳税额等供应商的规模条件对中小企业实行差别待遇或者歧视待遇。</w:t>
      </w:r>
    </w:p>
    <w:p>
      <w:pPr>
        <w:spacing w:line="500" w:lineRule="exact"/>
        <w:ind w:firstLine="480"/>
        <w:rPr>
          <w:rFonts w:ascii="宋体" w:hAnsi="宋体"/>
          <w:sz w:val="24"/>
        </w:rPr>
      </w:pPr>
      <w:r>
        <w:rPr>
          <w:rFonts w:hint="eastAsia" w:ascii="宋体" w:hAnsi="宋体"/>
          <w:sz w:val="24"/>
        </w:rPr>
        <w:t>第四条 负有编制部门预算职责的各部门（以下简称各部门），应当加强政府采购计划的编制工作，制定向中小企业采购的具体方案，统筹确定本部门（含所属各单位，下同）面向中小企业采购的项目。在满足机构自身运转和提供公共服务基本需求的前提下，应当预留本部门年度政府采购项目预算总额的30%以上，专门面向中小企业采购，其中，预留给小型和微型企业的比例不低于60%。</w:t>
      </w:r>
    </w:p>
    <w:p>
      <w:pPr>
        <w:spacing w:line="500" w:lineRule="exact"/>
        <w:ind w:firstLine="480"/>
        <w:rPr>
          <w:rFonts w:ascii="宋体" w:hAnsi="宋体"/>
          <w:sz w:val="24"/>
        </w:rPr>
      </w:pPr>
      <w:r>
        <w:rPr>
          <w:rFonts w:hint="eastAsia" w:ascii="宋体" w:hAnsi="宋体"/>
          <w:sz w:val="24"/>
        </w:rPr>
        <w:t>采购人或者采购代理机构在组织采购活动时，应当在招标文件或谈判文件、询价文件中注明该项目专门面向中小企业或小型、微型企业采购。</w:t>
      </w:r>
    </w:p>
    <w:p>
      <w:pPr>
        <w:spacing w:line="500" w:lineRule="exact"/>
        <w:ind w:firstLine="480"/>
        <w:rPr>
          <w:rFonts w:ascii="宋体" w:hAnsi="宋体"/>
          <w:sz w:val="24"/>
        </w:rPr>
      </w:pPr>
      <w:r>
        <w:rPr>
          <w:rFonts w:hint="eastAsia" w:ascii="宋体" w:hAnsi="宋体"/>
          <w:sz w:val="24"/>
        </w:rPr>
        <w:t>第五条 对于非专门面向中小企业的项目，采购人或者采购代理机构应当在招标文件或者谈判文件、询价文件中作出规定，对小型和微型企业产品的价格给予6%-10%的扣除，用扣除后的价格参与评审，具体扣除比例由采购人或者采购代理机构确定。</w:t>
      </w:r>
    </w:p>
    <w:p>
      <w:pPr>
        <w:spacing w:line="500" w:lineRule="exact"/>
        <w:ind w:firstLine="480"/>
        <w:rPr>
          <w:rFonts w:ascii="宋体" w:hAnsi="宋体"/>
          <w:sz w:val="24"/>
        </w:rPr>
      </w:pPr>
      <w:r>
        <w:rPr>
          <w:rFonts w:hint="eastAsia" w:ascii="宋体" w:hAnsi="宋体"/>
          <w:sz w:val="24"/>
        </w:rPr>
        <w:t>参加政府采购活动的中小企业应当提供本办法规定的《中小企业声明函》（见附件）。</w:t>
      </w:r>
    </w:p>
    <w:p>
      <w:pPr>
        <w:spacing w:line="500" w:lineRule="exact"/>
        <w:ind w:firstLine="480"/>
        <w:rPr>
          <w:rFonts w:ascii="宋体" w:hAnsi="宋体"/>
          <w:sz w:val="24"/>
        </w:rPr>
      </w:pPr>
      <w:r>
        <w:rPr>
          <w:rFonts w:hint="eastAsia" w:ascii="宋体" w:hAnsi="宋体"/>
          <w:sz w:val="24"/>
        </w:rPr>
        <w:t>第六条 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pPr>
        <w:spacing w:line="500" w:lineRule="exact"/>
        <w:ind w:firstLine="480"/>
        <w:rPr>
          <w:rFonts w:ascii="宋体" w:hAnsi="宋体"/>
          <w:sz w:val="24"/>
        </w:rPr>
      </w:pPr>
      <w:r>
        <w:rPr>
          <w:rFonts w:hint="eastAsia" w:ascii="宋体" w:hAnsi="宋体"/>
          <w:sz w:val="24"/>
        </w:rPr>
        <w:t>联合体各方均为小型、微型企业的，联合体视同为小型、微型企业享受本办法第四条、第五条规定的扶持政策。</w:t>
      </w:r>
    </w:p>
    <w:p>
      <w:pPr>
        <w:spacing w:line="500" w:lineRule="exact"/>
        <w:ind w:firstLine="480"/>
        <w:rPr>
          <w:rFonts w:ascii="宋体" w:hAnsi="宋体"/>
          <w:sz w:val="24"/>
        </w:rPr>
      </w:pPr>
      <w:r>
        <w:rPr>
          <w:rFonts w:hint="eastAsia" w:ascii="宋体" w:hAnsi="宋体"/>
          <w:sz w:val="24"/>
        </w:rPr>
        <w:t xml:space="preserve">组成联合体的大中型企业和其他自然人、法人或者其他组织，与小型、微型企业之间不得存在投资关系。 </w:t>
      </w:r>
    </w:p>
    <w:p>
      <w:pPr>
        <w:spacing w:line="500" w:lineRule="exact"/>
        <w:ind w:firstLine="480"/>
        <w:rPr>
          <w:rFonts w:ascii="宋体" w:hAnsi="宋体"/>
          <w:sz w:val="24"/>
        </w:rPr>
      </w:pPr>
      <w:r>
        <w:rPr>
          <w:rFonts w:hint="eastAsia" w:ascii="宋体" w:hAnsi="宋体"/>
          <w:sz w:val="24"/>
        </w:rPr>
        <w:t>第七条 中小企业依据本办法第四条、第五条、第六条规定的政策获取政府采购合同后，小型、微型企业不得分包或转包给大型、中型企业，中型企业不得分包或转包给大型企业。</w:t>
      </w:r>
    </w:p>
    <w:p>
      <w:pPr>
        <w:spacing w:line="500" w:lineRule="exact"/>
        <w:ind w:firstLine="480"/>
        <w:rPr>
          <w:rFonts w:ascii="宋体" w:hAnsi="宋体"/>
          <w:sz w:val="24"/>
        </w:rPr>
      </w:pPr>
      <w:r>
        <w:rPr>
          <w:rFonts w:hint="eastAsia" w:ascii="宋体" w:hAnsi="宋体"/>
          <w:sz w:val="24"/>
        </w:rPr>
        <w:t>第八条 鼓励采购人允许获得政府采购合同的大型企业依法向中小企业分包。</w:t>
      </w:r>
    </w:p>
    <w:p>
      <w:pPr>
        <w:spacing w:line="500" w:lineRule="exact"/>
        <w:ind w:firstLine="480"/>
        <w:rPr>
          <w:rFonts w:ascii="宋体" w:hAnsi="宋体"/>
          <w:sz w:val="24"/>
        </w:rPr>
      </w:pPr>
      <w:r>
        <w:rPr>
          <w:rFonts w:hint="eastAsia" w:ascii="宋体" w:hAnsi="宋体"/>
          <w:sz w:val="24"/>
        </w:rPr>
        <w:t>大型企业向中小企业分包的金额，计入面向中小企业采购的统计数额。</w:t>
      </w:r>
    </w:p>
    <w:p>
      <w:pPr>
        <w:spacing w:line="500" w:lineRule="exact"/>
        <w:ind w:firstLine="480"/>
        <w:rPr>
          <w:rFonts w:ascii="宋体" w:hAnsi="宋体"/>
          <w:sz w:val="24"/>
        </w:rPr>
      </w:pPr>
      <w:r>
        <w:rPr>
          <w:rFonts w:hint="eastAsia" w:ascii="宋体" w:hAnsi="宋体"/>
          <w:sz w:val="24"/>
        </w:rPr>
        <w:t>第九条 鼓励采购人在与中小企业签订政府采购合同时，在履约保证金、付款期限、付款方式等方面给予中小企业适当支持。采购人应当按照合同约定按时足额支付采购资金。</w:t>
      </w:r>
    </w:p>
    <w:p>
      <w:pPr>
        <w:spacing w:line="500" w:lineRule="exact"/>
        <w:ind w:firstLine="480"/>
        <w:rPr>
          <w:rFonts w:ascii="宋体" w:hAnsi="宋体"/>
          <w:sz w:val="24"/>
        </w:rPr>
      </w:pPr>
      <w:r>
        <w:rPr>
          <w:rFonts w:hint="eastAsia" w:ascii="宋体" w:hAnsi="宋体"/>
          <w:sz w:val="24"/>
        </w:rPr>
        <w:t>第十条 鼓励在政府采购活动中引入信用担保手段，为中小企业在融资、投标保证、履约保证等方面提供专业化的担保服务。</w:t>
      </w:r>
    </w:p>
    <w:p>
      <w:pPr>
        <w:spacing w:line="500" w:lineRule="exact"/>
        <w:ind w:firstLine="480"/>
        <w:rPr>
          <w:rFonts w:ascii="宋体" w:hAnsi="宋体"/>
          <w:sz w:val="24"/>
        </w:rPr>
      </w:pPr>
      <w:r>
        <w:rPr>
          <w:rFonts w:hint="eastAsia" w:ascii="宋体" w:hAnsi="宋体"/>
          <w:sz w:val="24"/>
        </w:rPr>
        <w:t>第十一条 各级财政部门和有关部门应当加大对中小企业参与政府采购的培训指导及专业化咨询服务力度，提高中小企业参与政府采购活动的能力。</w:t>
      </w:r>
    </w:p>
    <w:p>
      <w:pPr>
        <w:spacing w:line="500" w:lineRule="exact"/>
        <w:ind w:firstLine="480"/>
        <w:rPr>
          <w:rFonts w:ascii="宋体" w:hAnsi="宋体"/>
          <w:sz w:val="24"/>
        </w:rPr>
      </w:pPr>
      <w:r>
        <w:rPr>
          <w:rFonts w:hint="eastAsia" w:ascii="宋体" w:hAnsi="宋体"/>
          <w:sz w:val="24"/>
        </w:rPr>
        <w:t>第十二条 各部门应当每年第一季度向同级财政部门报告本部门上一年度面向中小企业采购的具体情况，并在财政部指定的政府采购发布媒体公开预留项目执行情况以及本部门其他项目面向中小企业采购的情况。</w:t>
      </w:r>
    </w:p>
    <w:p>
      <w:pPr>
        <w:spacing w:line="500" w:lineRule="exact"/>
        <w:ind w:firstLine="480"/>
        <w:rPr>
          <w:rFonts w:ascii="宋体" w:hAnsi="宋体"/>
          <w:sz w:val="24"/>
        </w:rPr>
      </w:pPr>
      <w:r>
        <w:rPr>
          <w:rFonts w:hint="eastAsia" w:ascii="宋体" w:hAnsi="宋体"/>
          <w:sz w:val="24"/>
        </w:rPr>
        <w:t>第十三条 各级财政部门应当积极推进政府采购信息化建设，提高政府采购信息发布透明度，提供便于中小企业获取政府采购信息的稳定渠道。</w:t>
      </w:r>
    </w:p>
    <w:p>
      <w:pPr>
        <w:spacing w:line="500" w:lineRule="exact"/>
        <w:ind w:firstLine="480"/>
        <w:rPr>
          <w:rFonts w:ascii="宋体" w:hAnsi="宋体"/>
          <w:sz w:val="24"/>
        </w:rPr>
      </w:pPr>
      <w:r>
        <w:rPr>
          <w:rFonts w:hint="eastAsia" w:ascii="宋体" w:hAnsi="宋体"/>
          <w:sz w:val="24"/>
        </w:rPr>
        <w:t>第十四条 各级财政部门会同中小企业主管部门建立健全政府采购促进中小企业发展的有关制度，加强有关政策执行情况的监督检查。</w:t>
      </w:r>
    </w:p>
    <w:p>
      <w:pPr>
        <w:spacing w:line="500" w:lineRule="exact"/>
        <w:ind w:firstLine="480"/>
        <w:rPr>
          <w:rFonts w:ascii="宋体" w:hAnsi="宋体"/>
          <w:sz w:val="24"/>
        </w:rPr>
      </w:pPr>
      <w:r>
        <w:rPr>
          <w:rFonts w:hint="eastAsia" w:ascii="宋体" w:hAnsi="宋体"/>
          <w:sz w:val="24"/>
        </w:rPr>
        <w:t>各部门负责对本部门政府采购促进中小企业发展各项工作的执行和管理。</w:t>
      </w:r>
    </w:p>
    <w:p>
      <w:pPr>
        <w:spacing w:line="500" w:lineRule="exact"/>
        <w:ind w:firstLine="480"/>
        <w:rPr>
          <w:rFonts w:ascii="宋体" w:hAnsi="宋体"/>
          <w:sz w:val="24"/>
        </w:rPr>
      </w:pPr>
      <w:r>
        <w:rPr>
          <w:rFonts w:hint="eastAsia" w:ascii="宋体" w:hAnsi="宋体"/>
          <w:sz w:val="24"/>
        </w:rPr>
        <w:t>第十五条 政府采购监督检查和投诉处理中对中小企业的认定，由企业所在地的县级以上中小企业主管部门负责。</w:t>
      </w:r>
    </w:p>
    <w:p>
      <w:pPr>
        <w:spacing w:line="500" w:lineRule="exact"/>
        <w:ind w:firstLine="480"/>
        <w:rPr>
          <w:rFonts w:ascii="宋体" w:hAnsi="宋体"/>
          <w:sz w:val="24"/>
        </w:rPr>
      </w:pPr>
      <w:r>
        <w:rPr>
          <w:rFonts w:hint="eastAsia" w:ascii="宋体" w:hAnsi="宋体"/>
          <w:sz w:val="24"/>
        </w:rPr>
        <w:t>第十六条 采购人、采购代理机构或者中小企业在政府采购活动中有违法违规行为的，依照政府采购法及有关法律法规处理。</w:t>
      </w:r>
    </w:p>
    <w:p>
      <w:pPr>
        <w:spacing w:line="500" w:lineRule="exact"/>
        <w:ind w:firstLine="480"/>
        <w:rPr>
          <w:rFonts w:ascii="宋体" w:hAnsi="宋体"/>
          <w:sz w:val="24"/>
        </w:rPr>
      </w:pPr>
      <w:r>
        <w:rPr>
          <w:rFonts w:hint="eastAsia" w:ascii="宋体" w:hAnsi="宋体"/>
          <w:sz w:val="24"/>
        </w:rPr>
        <w:t>第十七条 本办法由财政部、工业和信息化部负责解释。</w:t>
      </w:r>
    </w:p>
    <w:p>
      <w:pPr>
        <w:spacing w:line="500" w:lineRule="exact"/>
        <w:ind w:firstLine="480"/>
        <w:rPr>
          <w:rFonts w:ascii="宋体" w:hAnsi="宋体"/>
          <w:sz w:val="24"/>
        </w:rPr>
      </w:pPr>
      <w:r>
        <w:rPr>
          <w:rFonts w:hint="eastAsia" w:ascii="宋体" w:hAnsi="宋体"/>
          <w:sz w:val="24"/>
        </w:rPr>
        <w:t>第十八条 本办法自2012年1月1日起施行。</w:t>
      </w:r>
    </w:p>
    <w:p>
      <w:pPr>
        <w:spacing w:line="500" w:lineRule="exact"/>
        <w:ind w:firstLine="480"/>
        <w:rPr>
          <w:rFonts w:ascii="宋体" w:hAnsi="宋体"/>
          <w:sz w:val="24"/>
        </w:rPr>
      </w:pPr>
      <w:r>
        <w:rPr>
          <w:rFonts w:hint="eastAsia" w:ascii="宋体" w:hAnsi="宋体"/>
          <w:sz w:val="24"/>
        </w:rPr>
        <w:t>　</w:t>
      </w:r>
    </w:p>
    <w:p>
      <w:pPr>
        <w:spacing w:line="500" w:lineRule="exact"/>
        <w:ind w:firstLine="480"/>
        <w:rPr>
          <w:rFonts w:ascii="宋体" w:hAnsi="宋体"/>
          <w:sz w:val="24"/>
        </w:rPr>
      </w:pPr>
      <w:r>
        <w:rPr>
          <w:rFonts w:hint="eastAsia" w:ascii="宋体" w:hAnsi="宋体"/>
          <w:sz w:val="24"/>
        </w:rPr>
        <w:t>附：中小企业声明函</w:t>
      </w:r>
    </w:p>
    <w:p>
      <w:pPr>
        <w:spacing w:line="500" w:lineRule="exact"/>
        <w:ind w:firstLine="480"/>
        <w:rPr>
          <w:rFonts w:ascii="宋体" w:hAnsi="宋体"/>
          <w:sz w:val="24"/>
        </w:rPr>
      </w:pPr>
      <w:r>
        <w:rPr>
          <w:rFonts w:hint="eastAsia" w:ascii="宋体" w:hAnsi="宋体"/>
          <w:sz w:val="24"/>
        </w:rPr>
        <w:t>　</w:t>
      </w:r>
    </w:p>
    <w:p>
      <w:pPr>
        <w:spacing w:line="500" w:lineRule="exact"/>
        <w:ind w:firstLine="480"/>
        <w:jc w:val="center"/>
        <w:rPr>
          <w:rFonts w:ascii="方正小标宋简体" w:hAnsi="宋体" w:eastAsia="方正小标宋简体"/>
          <w:sz w:val="24"/>
        </w:rPr>
      </w:pPr>
      <w:r>
        <w:rPr>
          <w:rFonts w:ascii="方正小标宋简体" w:hAnsi="宋体" w:eastAsia="方正小标宋简体"/>
          <w:sz w:val="24"/>
        </w:rPr>
        <w:br w:type="page"/>
      </w:r>
      <w:r>
        <w:rPr>
          <w:rFonts w:hint="eastAsia" w:ascii="方正小标宋简体" w:hAnsi="宋体" w:eastAsia="方正小标宋简体"/>
          <w:sz w:val="24"/>
        </w:rPr>
        <w:t>中小企业声明函</w:t>
      </w:r>
    </w:p>
    <w:p>
      <w:pPr>
        <w:spacing w:line="500" w:lineRule="exact"/>
        <w:ind w:firstLine="48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p>
    <w:p>
      <w:pPr>
        <w:spacing w:line="500" w:lineRule="exact"/>
        <w:ind w:firstLine="480"/>
        <w:rPr>
          <w:rFonts w:ascii="宋体" w:hAnsi="宋体"/>
          <w:sz w:val="24"/>
        </w:rPr>
      </w:pPr>
      <w:r>
        <w:rPr>
          <w:rFonts w:hint="eastAsia" w:ascii="宋体" w:hAnsi="宋体"/>
          <w:sz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80"/>
        <w:rPr>
          <w:rFonts w:ascii="宋体" w:hAnsi="宋体"/>
          <w:sz w:val="24"/>
        </w:rPr>
      </w:pPr>
      <w:r>
        <w:rPr>
          <w:rFonts w:hint="eastAsia" w:ascii="宋体" w:hAnsi="宋体"/>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80"/>
        <w:rPr>
          <w:rFonts w:ascii="宋体" w:hAnsi="宋体"/>
          <w:sz w:val="24"/>
        </w:rPr>
      </w:pPr>
      <w:r>
        <w:rPr>
          <w:rFonts w:hint="eastAsia" w:ascii="宋体" w:hAnsi="宋体"/>
          <w:sz w:val="24"/>
        </w:rPr>
        <w:t>本公司对上述声明的真实性负责。如有虚假，将依法承担相应责任。</w:t>
      </w:r>
    </w:p>
    <w:p>
      <w:pPr>
        <w:spacing w:line="500" w:lineRule="exact"/>
        <w:ind w:firstLine="480"/>
        <w:rPr>
          <w:rFonts w:ascii="宋体" w:hAnsi="宋体"/>
          <w:sz w:val="24"/>
        </w:rPr>
      </w:pPr>
      <w:r>
        <w:rPr>
          <w:rFonts w:hint="eastAsia" w:ascii="宋体" w:hAnsi="宋体"/>
          <w:sz w:val="24"/>
        </w:rPr>
        <w:t xml:space="preserve">　　　　　　 　　　　　　　　　　　　　　 　企业名称（盖章）： </w:t>
      </w:r>
    </w:p>
    <w:p>
      <w:pPr>
        <w:spacing w:line="500" w:lineRule="exact"/>
        <w:ind w:firstLine="480"/>
        <w:rPr>
          <w:rFonts w:ascii="宋体" w:hAnsi="宋体"/>
          <w:sz w:val="24"/>
        </w:rPr>
      </w:pPr>
      <w:r>
        <w:rPr>
          <w:rFonts w:hint="eastAsia" w:ascii="宋体" w:hAnsi="宋体"/>
          <w:sz w:val="24"/>
        </w:rPr>
        <w:t>　　　　　　　　　　　　　　　　　　　　 　日 期：　</w:t>
      </w:r>
    </w:p>
    <w:p>
      <w:pPr>
        <w:spacing w:line="500" w:lineRule="exact"/>
        <w:ind w:firstLine="480"/>
        <w:rPr>
          <w:rFonts w:ascii="宋体" w:hAnsi="宋体"/>
          <w:sz w:val="24"/>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pPr>
      <w:r>
        <w:rPr>
          <w:rStyle w:val="37"/>
        </w:rPr>
        <w:br w:type="page"/>
      </w:r>
      <w:r>
        <w:rPr>
          <w:rStyle w:val="37"/>
          <w:rFonts w:hint="eastAsia"/>
        </w:rPr>
        <w:t>关于印发中小企业划型标准规定的通知</w:t>
      </w:r>
    </w:p>
    <w:p>
      <w:pPr>
        <w:pStyle w:val="33"/>
        <w:spacing w:line="480" w:lineRule="exact"/>
        <w:ind w:firstLine="482"/>
        <w:jc w:val="center"/>
      </w:pPr>
      <w:r>
        <w:rPr>
          <w:rFonts w:hint="eastAsia"/>
          <w:b/>
        </w:rPr>
        <w:t>工信部联企业〔2011〕300号</w:t>
      </w:r>
    </w:p>
    <w:p>
      <w:pPr>
        <w:pStyle w:val="33"/>
        <w:spacing w:line="480" w:lineRule="exact"/>
        <w:ind w:firstLine="480"/>
        <w:rPr>
          <w:rFonts w:cs="Times New Roman"/>
          <w:kern w:val="2"/>
        </w:rPr>
      </w:pPr>
      <w:r>
        <w:rPr>
          <w:rFonts w:hint="eastAsia" w:cs="Times New Roman"/>
          <w:kern w:val="2"/>
        </w:rPr>
        <w:t>各省、自治区、直辖市人民政府，国务院各部委、各直属机构及有关单位：</w:t>
      </w:r>
    </w:p>
    <w:p>
      <w:pPr>
        <w:pStyle w:val="33"/>
        <w:spacing w:line="480" w:lineRule="exact"/>
        <w:ind w:firstLine="480"/>
        <w:rPr>
          <w:rFonts w:cs="Times New Roman"/>
          <w:kern w:val="2"/>
        </w:rPr>
      </w:pPr>
      <w:r>
        <w:rPr>
          <w:rFonts w:hint="eastAsia" w:cs="Times New Roman"/>
          <w:kern w:val="2"/>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　　</w:t>
      </w:r>
    </w:p>
    <w:p>
      <w:pPr>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工业和信息化部        国家统计局</w:t>
      </w:r>
    </w:p>
    <w:p>
      <w:pPr>
        <w:widowControl/>
        <w:snapToGrid w:val="0"/>
        <w:spacing w:before="100" w:beforeAutospacing="1" w:after="100" w:afterAutospacing="1" w:line="480" w:lineRule="exact"/>
        <w:ind w:firstLine="480"/>
        <w:jc w:val="right"/>
        <w:rPr>
          <w:rFonts w:ascii="宋体" w:hAnsi="宋体"/>
          <w:sz w:val="24"/>
        </w:rPr>
      </w:pPr>
      <w:r>
        <w:rPr>
          <w:rFonts w:hint="eastAsia" w:ascii="宋体" w:hAnsi="宋体"/>
          <w:sz w:val="24"/>
        </w:rPr>
        <w:t>　　           国家发展和改革委员会       财政部</w:t>
      </w:r>
    </w:p>
    <w:p>
      <w:pPr>
        <w:widowControl/>
        <w:snapToGrid w:val="0"/>
        <w:spacing w:before="100" w:beforeAutospacing="1" w:after="100" w:afterAutospacing="1" w:line="480" w:lineRule="exact"/>
        <w:ind w:firstLine="480"/>
        <w:jc w:val="right"/>
        <w:rPr>
          <w:rFonts w:ascii="宋体" w:hAnsi="宋体"/>
          <w:sz w:val="24"/>
        </w:rPr>
      </w:pPr>
      <w:r>
        <w:rPr>
          <w:rFonts w:hint="eastAsia" w:ascii="宋体" w:hAnsi="宋体"/>
          <w:sz w:val="24"/>
        </w:rPr>
        <w:t>二○一一年六月十八日</w:t>
      </w:r>
    </w:p>
    <w:p>
      <w:pPr>
        <w:pStyle w:val="33"/>
        <w:spacing w:line="480" w:lineRule="exact"/>
        <w:ind w:firstLine="480"/>
      </w:pPr>
      <w:r>
        <w:rPr>
          <w:rFonts w:hint="eastAsia"/>
        </w:rPr>
        <w:t>　　　　</w:t>
      </w: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rPr>
          <w:rStyle w:val="37"/>
        </w:rPr>
      </w:pPr>
    </w:p>
    <w:p>
      <w:pPr>
        <w:pStyle w:val="33"/>
        <w:spacing w:line="480" w:lineRule="exact"/>
        <w:ind w:firstLine="482"/>
        <w:jc w:val="center"/>
      </w:pPr>
      <w:r>
        <w:rPr>
          <w:rStyle w:val="37"/>
          <w:rFonts w:hint="eastAsia"/>
        </w:rPr>
        <w:t>中小企业划型标准规定</w:t>
      </w:r>
    </w:p>
    <w:p>
      <w:pPr>
        <w:pStyle w:val="33"/>
        <w:spacing w:line="480" w:lineRule="exact"/>
        <w:ind w:firstLine="480"/>
        <w:rPr>
          <w:rFonts w:cs="Times New Roman"/>
          <w:kern w:val="2"/>
        </w:rPr>
      </w:pPr>
      <w:r>
        <w:rPr>
          <w:rFonts w:hint="eastAsia"/>
        </w:rPr>
        <w:t>　　</w:t>
      </w:r>
      <w:r>
        <w:rPr>
          <w:rFonts w:hint="eastAsia" w:cs="Times New Roman"/>
          <w:kern w:val="2"/>
        </w:rPr>
        <w:t>一、根据《中华人民共和国中小企业促进法》和《国务院关于进一步促进中小企业发展的若干意见》(国发〔2009〕36号)，制定本规定。</w:t>
      </w:r>
    </w:p>
    <w:p>
      <w:pPr>
        <w:pStyle w:val="33"/>
        <w:spacing w:line="480" w:lineRule="exact"/>
        <w:ind w:firstLine="480"/>
        <w:rPr>
          <w:rFonts w:cs="Times New Roman"/>
          <w:kern w:val="2"/>
        </w:rPr>
      </w:pPr>
      <w:r>
        <w:rPr>
          <w:rFonts w:hint="eastAsia" w:cs="Times New Roman"/>
          <w:kern w:val="2"/>
        </w:rPr>
        <w:t>　　二、中小企业划分为中型、小型、微型三种类型，具体标准根据企业从业人员、营业收入、资产总额等指标，结合行业特点制定。</w:t>
      </w:r>
    </w:p>
    <w:p>
      <w:pPr>
        <w:pStyle w:val="33"/>
        <w:spacing w:line="480" w:lineRule="exact"/>
        <w:ind w:firstLine="480"/>
        <w:rPr>
          <w:rFonts w:cs="Times New Roman"/>
          <w:kern w:val="2"/>
        </w:rPr>
      </w:pPr>
      <w:r>
        <w:rPr>
          <w:rFonts w:hint="eastAsia" w:cs="Times New Roman"/>
          <w:kern w:val="2"/>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33"/>
        <w:spacing w:line="480" w:lineRule="exact"/>
        <w:ind w:firstLine="480"/>
        <w:rPr>
          <w:rFonts w:cs="Times New Roman"/>
          <w:kern w:val="2"/>
        </w:rPr>
      </w:pPr>
      <w:r>
        <w:rPr>
          <w:rFonts w:hint="eastAsia" w:cs="Times New Roman"/>
          <w:kern w:val="2"/>
        </w:rPr>
        <w:t>　　四、各行业划型标准为：</w:t>
      </w:r>
    </w:p>
    <w:p>
      <w:pPr>
        <w:pStyle w:val="33"/>
        <w:spacing w:line="480" w:lineRule="exact"/>
        <w:ind w:firstLine="480"/>
        <w:rPr>
          <w:rFonts w:cs="Times New Roman"/>
          <w:kern w:val="2"/>
        </w:rPr>
      </w:pPr>
      <w:r>
        <w:rPr>
          <w:rFonts w:hint="eastAsia" w:cs="Times New Roman"/>
          <w:kern w:val="2"/>
        </w:rPr>
        <w:t>　　（一）农、林、牧、渔业。营业收入20000万元以下的为中小微型企业。其中，营业收入500万元及以上的为中型企业，营业收入50万元及以上的为小型企业，营业收入50万元以下的为微型企业。</w:t>
      </w:r>
    </w:p>
    <w:p>
      <w:pPr>
        <w:pStyle w:val="33"/>
        <w:spacing w:line="480" w:lineRule="exact"/>
        <w:ind w:firstLine="480"/>
        <w:rPr>
          <w:rFonts w:cs="Times New Roman"/>
          <w:kern w:val="2"/>
        </w:rPr>
      </w:pPr>
      <w:r>
        <w:rPr>
          <w:rFonts w:hint="eastAsia" w:cs="Times New Roman"/>
          <w:kern w:val="2"/>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33"/>
        <w:spacing w:line="480" w:lineRule="exact"/>
        <w:ind w:firstLine="480"/>
        <w:rPr>
          <w:rFonts w:cs="Times New Roman"/>
          <w:kern w:val="2"/>
        </w:rPr>
      </w:pPr>
      <w:r>
        <w:rPr>
          <w:rFonts w:hint="eastAsia" w:cs="Times New Roman"/>
          <w:kern w:val="2"/>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33"/>
        <w:spacing w:line="480" w:lineRule="exact"/>
        <w:ind w:firstLine="480"/>
        <w:rPr>
          <w:rFonts w:cs="Times New Roman"/>
          <w:kern w:val="2"/>
        </w:rPr>
      </w:pPr>
      <w:r>
        <w:rPr>
          <w:rFonts w:hint="eastAsia" w:cs="Times New Roman"/>
          <w:kern w:val="2"/>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33"/>
        <w:spacing w:line="480" w:lineRule="exact"/>
        <w:ind w:firstLine="480"/>
        <w:rPr>
          <w:rFonts w:cs="Times New Roman"/>
          <w:kern w:val="2"/>
        </w:rPr>
      </w:pPr>
      <w:r>
        <w:rPr>
          <w:rFonts w:hint="eastAsia" w:cs="Times New Roman"/>
          <w:kern w:val="2"/>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33"/>
        <w:spacing w:line="480" w:lineRule="exact"/>
        <w:ind w:firstLine="480"/>
        <w:rPr>
          <w:rFonts w:cs="Times New Roman"/>
          <w:kern w:val="2"/>
        </w:rPr>
      </w:pPr>
      <w:r>
        <w:rPr>
          <w:rFonts w:hint="eastAsia" w:cs="Times New Roman"/>
          <w:kern w:val="2"/>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33"/>
        <w:spacing w:line="480" w:lineRule="exact"/>
        <w:ind w:firstLine="480"/>
        <w:rPr>
          <w:rFonts w:cs="Times New Roman"/>
          <w:kern w:val="2"/>
        </w:rPr>
      </w:pPr>
      <w:r>
        <w:rPr>
          <w:rFonts w:hint="eastAsia" w:cs="Times New Roman"/>
          <w:kern w:val="2"/>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33"/>
        <w:spacing w:line="480" w:lineRule="exact"/>
        <w:ind w:firstLine="480"/>
        <w:rPr>
          <w:rFonts w:cs="Times New Roman"/>
          <w:kern w:val="2"/>
        </w:rPr>
      </w:pPr>
      <w:r>
        <w:rPr>
          <w:rFonts w:hint="eastAsia" w:cs="Times New Roman"/>
          <w:kern w:val="2"/>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33"/>
        <w:spacing w:line="480" w:lineRule="exact"/>
        <w:ind w:firstLine="480"/>
        <w:rPr>
          <w:rFonts w:cs="Times New Roman"/>
          <w:kern w:val="2"/>
        </w:rPr>
      </w:pPr>
      <w:r>
        <w:rPr>
          <w:rFonts w:hint="eastAsia" w:cs="Times New Roman"/>
          <w:kern w:val="2"/>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3"/>
        <w:spacing w:line="480" w:lineRule="exact"/>
        <w:ind w:firstLine="480"/>
        <w:rPr>
          <w:rFonts w:cs="Times New Roman"/>
          <w:kern w:val="2"/>
        </w:rPr>
      </w:pPr>
      <w:r>
        <w:rPr>
          <w:rFonts w:hint="eastAsia" w:cs="Times New Roman"/>
          <w:kern w:val="2"/>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33"/>
        <w:spacing w:line="480" w:lineRule="exact"/>
        <w:ind w:firstLine="480"/>
        <w:rPr>
          <w:rFonts w:cs="Times New Roman"/>
          <w:kern w:val="2"/>
        </w:rPr>
      </w:pPr>
      <w:r>
        <w:rPr>
          <w:rFonts w:hint="eastAsia" w:cs="Times New Roman"/>
          <w:kern w:val="2"/>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33"/>
        <w:spacing w:line="480" w:lineRule="exact"/>
        <w:ind w:firstLine="480"/>
        <w:rPr>
          <w:rFonts w:cs="Times New Roman"/>
          <w:kern w:val="2"/>
        </w:rPr>
      </w:pPr>
      <w:r>
        <w:rPr>
          <w:rFonts w:hint="eastAsia" w:cs="Times New Roman"/>
          <w:kern w:val="2"/>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33"/>
        <w:spacing w:line="480" w:lineRule="exact"/>
        <w:ind w:firstLine="480"/>
        <w:rPr>
          <w:rFonts w:cs="Times New Roman"/>
          <w:kern w:val="2"/>
        </w:rPr>
      </w:pPr>
      <w:r>
        <w:rPr>
          <w:rFonts w:hint="eastAsia" w:cs="Times New Roman"/>
          <w:kern w:val="2"/>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33"/>
        <w:spacing w:line="480" w:lineRule="exact"/>
        <w:ind w:firstLine="480"/>
        <w:rPr>
          <w:rFonts w:cs="Times New Roman"/>
          <w:kern w:val="2"/>
        </w:rPr>
      </w:pPr>
      <w:r>
        <w:rPr>
          <w:rFonts w:hint="eastAsia" w:cs="Times New Roman"/>
          <w:kern w:val="2"/>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33"/>
        <w:spacing w:line="480" w:lineRule="exact"/>
        <w:ind w:firstLine="480"/>
        <w:rPr>
          <w:rFonts w:cs="Times New Roman"/>
          <w:kern w:val="2"/>
        </w:rPr>
      </w:pPr>
      <w:r>
        <w:rPr>
          <w:rFonts w:hint="eastAsia" w:cs="Times New Roman"/>
          <w:kern w:val="2"/>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33"/>
        <w:spacing w:line="480" w:lineRule="exact"/>
        <w:ind w:firstLine="480"/>
        <w:rPr>
          <w:rFonts w:cs="Times New Roman"/>
          <w:kern w:val="2"/>
        </w:rPr>
      </w:pPr>
      <w:r>
        <w:rPr>
          <w:rFonts w:hint="eastAsia" w:cs="Times New Roman"/>
          <w:kern w:val="2"/>
        </w:rPr>
        <w:t>　　（十六）其他未列明行业。从业人员300人以下的为中小微型企业。其中，从业人员100人及以上的为中型企业；从业人员10人及以上的为小型企业；从业人员10人以下的为微型企业。</w:t>
      </w:r>
    </w:p>
    <w:p>
      <w:pPr>
        <w:pStyle w:val="33"/>
        <w:spacing w:line="480" w:lineRule="exact"/>
        <w:ind w:firstLine="480"/>
        <w:rPr>
          <w:rFonts w:cs="Times New Roman"/>
          <w:kern w:val="2"/>
        </w:rPr>
      </w:pPr>
      <w:r>
        <w:rPr>
          <w:rFonts w:hint="eastAsia" w:cs="Times New Roman"/>
          <w:kern w:val="2"/>
        </w:rPr>
        <w:t>　　五、企业类型的划分以统计部门的统计数据为依据。</w:t>
      </w:r>
    </w:p>
    <w:p>
      <w:pPr>
        <w:pStyle w:val="33"/>
        <w:spacing w:line="480" w:lineRule="exact"/>
        <w:ind w:firstLine="480"/>
        <w:rPr>
          <w:rFonts w:cs="Times New Roman"/>
          <w:kern w:val="2"/>
        </w:rPr>
      </w:pPr>
      <w:r>
        <w:rPr>
          <w:rFonts w:hint="eastAsia" w:cs="Times New Roman"/>
          <w:kern w:val="2"/>
        </w:rPr>
        <w:t>　　六、本规定适用于在中华人民共和国境内依法设立的各类所有制和各种组织形式的企业。个体工商户和本规定以外的行业，参照本规定进行划型。</w:t>
      </w:r>
    </w:p>
    <w:p>
      <w:pPr>
        <w:pStyle w:val="33"/>
        <w:spacing w:line="480" w:lineRule="exact"/>
        <w:ind w:firstLine="480"/>
        <w:rPr>
          <w:rFonts w:cs="Times New Roman"/>
          <w:kern w:val="2"/>
        </w:rPr>
      </w:pPr>
      <w:r>
        <w:rPr>
          <w:rFonts w:hint="eastAsia" w:cs="Times New Roman"/>
          <w:kern w:val="2"/>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33"/>
        <w:spacing w:line="480" w:lineRule="exact"/>
        <w:ind w:firstLine="480"/>
        <w:rPr>
          <w:rFonts w:cs="Times New Roman"/>
          <w:kern w:val="2"/>
        </w:rPr>
      </w:pPr>
      <w:r>
        <w:rPr>
          <w:rFonts w:hint="eastAsia" w:cs="Times New Roman"/>
          <w:kern w:val="2"/>
        </w:rPr>
        <w:t>　　八、本规定由工业和信息化部、国家统计局会同有关部门根据《国民经济行业分类》修订情况和企业发展变化情况适时修订。</w:t>
      </w:r>
    </w:p>
    <w:p>
      <w:pPr>
        <w:pStyle w:val="33"/>
        <w:spacing w:line="480" w:lineRule="exact"/>
        <w:ind w:firstLine="480"/>
        <w:rPr>
          <w:rFonts w:cs="Times New Roman"/>
          <w:kern w:val="2"/>
        </w:rPr>
      </w:pPr>
      <w:r>
        <w:rPr>
          <w:rFonts w:hint="eastAsia" w:cs="Times New Roman"/>
          <w:kern w:val="2"/>
        </w:rPr>
        <w:t>　　九、本规定由工业和信息化部、国家统计局会同有关部门负责解释。</w:t>
      </w:r>
    </w:p>
    <w:p>
      <w:pPr>
        <w:pStyle w:val="33"/>
        <w:spacing w:line="480" w:lineRule="exact"/>
        <w:ind w:firstLine="480"/>
        <w:rPr>
          <w:rFonts w:cs="Times New Roman"/>
          <w:kern w:val="2"/>
        </w:rPr>
      </w:pPr>
      <w:r>
        <w:rPr>
          <w:rFonts w:hint="eastAsia" w:cs="Times New Roman"/>
          <w:kern w:val="2"/>
        </w:rPr>
        <w:t>　　十、本规定自发布之日起执行，原国家经贸委、原国家计委、财政部和国家统计局2003年颁布的《中小企业标准暂行规定》同时废止。</w:t>
      </w:r>
    </w:p>
    <w:p>
      <w:pPr>
        <w:widowControl/>
        <w:ind w:firstLine="643"/>
        <w:jc w:val="left"/>
        <w:rPr>
          <w:rFonts w:ascii="宋体" w:hAnsi="宋体"/>
          <w:b/>
          <w:bCs/>
          <w:kern w:val="44"/>
          <w:sz w:val="32"/>
          <w:szCs w:val="32"/>
        </w:rPr>
      </w:pPr>
    </w:p>
    <w:p>
      <w:pPr>
        <w:widowControl/>
        <w:ind w:firstLine="420"/>
        <w:jc w:val="left"/>
      </w:pPr>
    </w:p>
    <w:p>
      <w:pPr>
        <w:widowControl/>
        <w:ind w:firstLine="420"/>
        <w:jc w:val="left"/>
      </w:pPr>
    </w:p>
    <w:p>
      <w:pPr>
        <w:ind w:firstLine="420"/>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8000012" w:usb3="00000000" w:csb0="4002009F" w:csb1="DFD70000"/>
  </w:font>
  <w:font w:name="Cambria Math">
    <w:panose1 w:val="02040503050406030204"/>
    <w:charset w:val="00"/>
    <w:family w:val="roman"/>
    <w:pitch w:val="default"/>
    <w:sig w:usb0="E00002FF" w:usb1="42002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LtBT">
    <w:altName w:val="Arial"/>
    <w:panose1 w:val="00000000000000000000"/>
    <w:charset w:val="00"/>
    <w:family w:val="swiss"/>
    <w:pitch w:val="default"/>
    <w:sig w:usb0="00000000" w:usb1="00000000" w:usb2="00000000" w:usb3="00000000" w:csb0="00000001" w:csb1="00000000"/>
  </w:font>
  <w:font w:name="Copperplate Gothic Bold">
    <w:panose1 w:val="020E0705020206020404"/>
    <w:charset w:val="00"/>
    <w:family w:val="swiss"/>
    <w:pitch w:val="default"/>
    <w:sig w:usb0="00000003" w:usb1="00000000" w:usb2="00000000" w:usb3="00000000" w:csb0="20000001" w:csb1="00000000"/>
  </w:font>
  <w:font w:name="Book Antiqua">
    <w:panose1 w:val="020406020503050303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18</w:t>
    </w:r>
    <w:r>
      <w:rPr>
        <w:lang w:val="zh-CN"/>
      </w:rPr>
      <w:fldChar w:fldCharType="end"/>
    </w:r>
  </w:p>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1</w:t>
    </w:r>
    <w:r>
      <w:rPr>
        <w:lang w:val="zh-CN"/>
      </w:rPr>
      <w:fldChar w:fldCharType="end"/>
    </w:r>
  </w:p>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center"/>
    </w:pPr>
    <w:r>
      <w:fldChar w:fldCharType="begin"/>
    </w:r>
    <w:r>
      <w:instrText xml:space="preserve"> PAGE   \* MERGEFORMAT </w:instrText>
    </w:r>
    <w:r>
      <w:fldChar w:fldCharType="separate"/>
    </w:r>
    <w:r>
      <w:rPr>
        <w:lang w:val="zh-CN"/>
      </w:rPr>
      <w:t>54</w:t>
    </w:r>
    <w:r>
      <w:rPr>
        <w:lang w:val="zh-CN"/>
      </w:rPr>
      <w:fldChar w:fldCharType="end"/>
    </w:r>
  </w:p>
  <w:p>
    <w:pPr>
      <w:pStyle w:val="2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5204"/>
    <w:rsid w:val="00007C52"/>
    <w:rsid w:val="00021BA2"/>
    <w:rsid w:val="00057802"/>
    <w:rsid w:val="0006004F"/>
    <w:rsid w:val="00064DB7"/>
    <w:rsid w:val="000835B5"/>
    <w:rsid w:val="000C78A1"/>
    <w:rsid w:val="0010297C"/>
    <w:rsid w:val="00143E24"/>
    <w:rsid w:val="00166E74"/>
    <w:rsid w:val="0019350F"/>
    <w:rsid w:val="001B60A0"/>
    <w:rsid w:val="0020461A"/>
    <w:rsid w:val="00225FF1"/>
    <w:rsid w:val="00250CAF"/>
    <w:rsid w:val="0027408D"/>
    <w:rsid w:val="00274775"/>
    <w:rsid w:val="002805CE"/>
    <w:rsid w:val="0029746E"/>
    <w:rsid w:val="002A698E"/>
    <w:rsid w:val="002B4EEC"/>
    <w:rsid w:val="002B5C34"/>
    <w:rsid w:val="003756D5"/>
    <w:rsid w:val="0038565F"/>
    <w:rsid w:val="003A2A8D"/>
    <w:rsid w:val="003C6855"/>
    <w:rsid w:val="003E0CD3"/>
    <w:rsid w:val="003F30B6"/>
    <w:rsid w:val="00425A18"/>
    <w:rsid w:val="00455530"/>
    <w:rsid w:val="004813DF"/>
    <w:rsid w:val="00484A88"/>
    <w:rsid w:val="004B6C7F"/>
    <w:rsid w:val="00510088"/>
    <w:rsid w:val="00510C70"/>
    <w:rsid w:val="0051306C"/>
    <w:rsid w:val="00520377"/>
    <w:rsid w:val="00561C4E"/>
    <w:rsid w:val="005A3FB8"/>
    <w:rsid w:val="005D0E0A"/>
    <w:rsid w:val="00604A51"/>
    <w:rsid w:val="0061693C"/>
    <w:rsid w:val="0063667D"/>
    <w:rsid w:val="006843A5"/>
    <w:rsid w:val="00693036"/>
    <w:rsid w:val="006C42E9"/>
    <w:rsid w:val="00750EA7"/>
    <w:rsid w:val="00757052"/>
    <w:rsid w:val="007767F5"/>
    <w:rsid w:val="00791746"/>
    <w:rsid w:val="007A36F5"/>
    <w:rsid w:val="007B65B8"/>
    <w:rsid w:val="00826E7A"/>
    <w:rsid w:val="00846C5D"/>
    <w:rsid w:val="0085602A"/>
    <w:rsid w:val="008579BF"/>
    <w:rsid w:val="008D0EFF"/>
    <w:rsid w:val="008D26A6"/>
    <w:rsid w:val="00983C94"/>
    <w:rsid w:val="009D5C58"/>
    <w:rsid w:val="00A20273"/>
    <w:rsid w:val="00A53DDA"/>
    <w:rsid w:val="00A67865"/>
    <w:rsid w:val="00AA2CF1"/>
    <w:rsid w:val="00AB44D2"/>
    <w:rsid w:val="00AE0425"/>
    <w:rsid w:val="00B15C8E"/>
    <w:rsid w:val="00B163F8"/>
    <w:rsid w:val="00B24915"/>
    <w:rsid w:val="00B42B5E"/>
    <w:rsid w:val="00B45DAB"/>
    <w:rsid w:val="00B84649"/>
    <w:rsid w:val="00BA0AB1"/>
    <w:rsid w:val="00BB45BD"/>
    <w:rsid w:val="00C3758B"/>
    <w:rsid w:val="00C439C3"/>
    <w:rsid w:val="00C80AC5"/>
    <w:rsid w:val="00C95A07"/>
    <w:rsid w:val="00CB11C4"/>
    <w:rsid w:val="00CB176B"/>
    <w:rsid w:val="00CE2848"/>
    <w:rsid w:val="00CE56D7"/>
    <w:rsid w:val="00D10334"/>
    <w:rsid w:val="00D6555B"/>
    <w:rsid w:val="00D77BA5"/>
    <w:rsid w:val="00DA0D5D"/>
    <w:rsid w:val="00DA6427"/>
    <w:rsid w:val="00DC1A89"/>
    <w:rsid w:val="00E14B25"/>
    <w:rsid w:val="00E275CA"/>
    <w:rsid w:val="00E32B64"/>
    <w:rsid w:val="00E64B59"/>
    <w:rsid w:val="00E73E9B"/>
    <w:rsid w:val="00E85A07"/>
    <w:rsid w:val="00EA7C52"/>
    <w:rsid w:val="00EB0CE8"/>
    <w:rsid w:val="00EB4312"/>
    <w:rsid w:val="00ED5832"/>
    <w:rsid w:val="00EE6021"/>
    <w:rsid w:val="00EF34D6"/>
    <w:rsid w:val="00F335D5"/>
    <w:rsid w:val="00F4086F"/>
    <w:rsid w:val="00F45204"/>
    <w:rsid w:val="00F50988"/>
    <w:rsid w:val="00F53D89"/>
    <w:rsid w:val="00FA160E"/>
    <w:rsid w:val="00FB3A14"/>
    <w:rsid w:val="00FC7101"/>
    <w:rsid w:val="00FD629F"/>
    <w:rsid w:val="04B814C6"/>
    <w:rsid w:val="0E7840A7"/>
    <w:rsid w:val="113F2C8B"/>
    <w:rsid w:val="123E11BF"/>
    <w:rsid w:val="13543424"/>
    <w:rsid w:val="1D5F32E0"/>
    <w:rsid w:val="25032D6C"/>
    <w:rsid w:val="2BE62935"/>
    <w:rsid w:val="2D7D17B7"/>
    <w:rsid w:val="2E3346C6"/>
    <w:rsid w:val="2E511003"/>
    <w:rsid w:val="2FD26FF6"/>
    <w:rsid w:val="31560E8B"/>
    <w:rsid w:val="3EBE63A9"/>
    <w:rsid w:val="416C5F46"/>
    <w:rsid w:val="4DA8125A"/>
    <w:rsid w:val="4E5E0177"/>
    <w:rsid w:val="507C5B86"/>
    <w:rsid w:val="577A3500"/>
    <w:rsid w:val="5DD07FDA"/>
    <w:rsid w:val="601B211E"/>
    <w:rsid w:val="66570FFA"/>
    <w:rsid w:val="685B1C64"/>
    <w:rsid w:val="6C1D64B9"/>
    <w:rsid w:val="6C362878"/>
    <w:rsid w:val="7A0E65AB"/>
    <w:rsid w:val="7EDC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43"/>
    <w:qFormat/>
    <w:uiPriority w:val="0"/>
    <w:pPr>
      <w:jc w:val="center"/>
      <w:outlineLvl w:val="0"/>
    </w:pPr>
    <w:rPr>
      <w:rFonts w:ascii="宋体" w:hAnsi="宋体"/>
      <w:b/>
      <w:bCs/>
      <w:kern w:val="44"/>
      <w:sz w:val="32"/>
      <w:szCs w:val="32"/>
    </w:rPr>
  </w:style>
  <w:style w:type="paragraph" w:styleId="3">
    <w:name w:val="heading 2"/>
    <w:basedOn w:val="1"/>
    <w:next w:val="1"/>
    <w:link w:val="44"/>
    <w:unhideWhenUsed/>
    <w:qFormat/>
    <w:uiPriority w:val="0"/>
    <w:pPr>
      <w:keepNext/>
      <w:keepLines/>
      <w:spacing w:before="260" w:after="260" w:line="415" w:lineRule="auto"/>
      <w:ind w:firstLine="0" w:firstLineChars="0"/>
      <w:outlineLvl w:val="1"/>
    </w:pPr>
    <w:rPr>
      <w:rFonts w:ascii="Cambria" w:hAnsi="Cambria"/>
      <w:b/>
      <w:bCs/>
      <w:sz w:val="28"/>
      <w:szCs w:val="32"/>
    </w:rPr>
  </w:style>
  <w:style w:type="paragraph" w:styleId="4">
    <w:name w:val="heading 3"/>
    <w:basedOn w:val="1"/>
    <w:next w:val="1"/>
    <w:link w:val="45"/>
    <w:unhideWhenUsed/>
    <w:qFormat/>
    <w:uiPriority w:val="0"/>
    <w:pPr>
      <w:keepNext/>
      <w:keepLines/>
      <w:spacing w:before="260" w:after="260"/>
      <w:jc w:val="left"/>
      <w:outlineLvl w:val="2"/>
    </w:pPr>
    <w:rPr>
      <w:b/>
      <w:bCs/>
      <w:sz w:val="24"/>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48"/>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49"/>
    <w:qFormat/>
    <w:uiPriority w:val="0"/>
    <w:pPr>
      <w:keepNext/>
      <w:keepLines/>
      <w:spacing w:before="240" w:after="64" w:line="320" w:lineRule="auto"/>
      <w:outlineLvl w:val="6"/>
    </w:pPr>
    <w:rPr>
      <w:rFonts w:ascii="Times New Roman" w:hAnsi="Times New Roman"/>
      <w:b/>
      <w:bCs/>
      <w:sz w:val="24"/>
      <w:szCs w:val="24"/>
    </w:rPr>
  </w:style>
  <w:style w:type="paragraph" w:styleId="9">
    <w:name w:val="heading 8"/>
    <w:basedOn w:val="1"/>
    <w:next w:val="1"/>
    <w:link w:val="50"/>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5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03"/>
    <w:semiHidden/>
    <w:qFormat/>
    <w:uiPriority w:val="0"/>
    <w:rPr>
      <w:b/>
      <w:bCs/>
    </w:rPr>
  </w:style>
  <w:style w:type="paragraph" w:styleId="12">
    <w:name w:val="annotation text"/>
    <w:basedOn w:val="1"/>
    <w:link w:val="102"/>
    <w:semiHidden/>
    <w:qFormat/>
    <w:uiPriority w:val="0"/>
    <w:pPr>
      <w:jc w:val="left"/>
    </w:pPr>
  </w:style>
  <w:style w:type="paragraph" w:styleId="13">
    <w:name w:val="toc 7"/>
    <w:basedOn w:val="1"/>
    <w:next w:val="1"/>
    <w:qFormat/>
    <w:uiPriority w:val="0"/>
    <w:pPr>
      <w:ind w:left="2520" w:leftChars="1200"/>
    </w:pPr>
  </w:style>
  <w:style w:type="paragraph" w:styleId="14">
    <w:name w:val="Normal Indent"/>
    <w:basedOn w:val="1"/>
    <w:qFormat/>
    <w:uiPriority w:val="0"/>
    <w:pPr>
      <w:spacing w:after="120"/>
      <w:ind w:firstLine="420"/>
    </w:pPr>
    <w:rPr>
      <w:rFonts w:ascii="Times New Roman" w:hAnsi="Times New Roman"/>
      <w:sz w:val="24"/>
      <w:szCs w:val="20"/>
    </w:rPr>
  </w:style>
  <w:style w:type="paragraph" w:styleId="15">
    <w:name w:val="Document Map"/>
    <w:basedOn w:val="1"/>
    <w:link w:val="81"/>
    <w:qFormat/>
    <w:uiPriority w:val="0"/>
    <w:rPr>
      <w:rFonts w:ascii="宋体"/>
      <w:sz w:val="18"/>
      <w:szCs w:val="18"/>
    </w:rPr>
  </w:style>
  <w:style w:type="paragraph" w:styleId="16">
    <w:name w:val="Body Text"/>
    <w:basedOn w:val="1"/>
    <w:link w:val="57"/>
    <w:qFormat/>
    <w:uiPriority w:val="0"/>
    <w:pPr>
      <w:snapToGrid w:val="0"/>
      <w:spacing w:line="300" w:lineRule="auto"/>
    </w:pPr>
    <w:rPr>
      <w:rFonts w:ascii="宋体" w:hAnsi="宋体"/>
      <w:spacing w:val="4"/>
      <w:sz w:val="24"/>
      <w:szCs w:val="20"/>
    </w:rPr>
  </w:style>
  <w:style w:type="paragraph" w:styleId="17">
    <w:name w:val="Body Text Indent"/>
    <w:basedOn w:val="1"/>
    <w:link w:val="59"/>
    <w:unhideWhenUsed/>
    <w:qFormat/>
    <w:uiPriority w:val="0"/>
    <w:pPr>
      <w:spacing w:after="120"/>
      <w:ind w:left="420" w:leftChars="200"/>
    </w:pPr>
  </w:style>
  <w:style w:type="paragraph" w:styleId="18">
    <w:name w:val="toc 5"/>
    <w:basedOn w:val="1"/>
    <w:next w:val="1"/>
    <w:qFormat/>
    <w:uiPriority w:val="0"/>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58"/>
    <w:qFormat/>
    <w:uiPriority w:val="0"/>
    <w:pPr>
      <w:adjustRightInd w:val="0"/>
      <w:spacing w:line="335" w:lineRule="atLeast"/>
      <w:textAlignment w:val="baseline"/>
    </w:pPr>
    <w:rPr>
      <w:rFonts w:ascii="宋体" w:hAnsi="Courier New"/>
      <w:kern w:val="0"/>
      <w:sz w:val="20"/>
      <w:szCs w:val="21"/>
    </w:rPr>
  </w:style>
  <w:style w:type="paragraph" w:styleId="21">
    <w:name w:val="toc 8"/>
    <w:basedOn w:val="1"/>
    <w:next w:val="1"/>
    <w:qFormat/>
    <w:uiPriority w:val="0"/>
    <w:pPr>
      <w:ind w:left="2940" w:leftChars="1400"/>
    </w:pPr>
  </w:style>
  <w:style w:type="paragraph" w:styleId="22">
    <w:name w:val="Date"/>
    <w:basedOn w:val="1"/>
    <w:next w:val="1"/>
    <w:link w:val="55"/>
    <w:qFormat/>
    <w:uiPriority w:val="0"/>
    <w:pPr>
      <w:ind w:left="100" w:leftChars="2500"/>
    </w:pPr>
    <w:rPr>
      <w:kern w:val="0"/>
      <w:sz w:val="28"/>
      <w:szCs w:val="24"/>
    </w:rPr>
  </w:style>
  <w:style w:type="paragraph" w:styleId="23">
    <w:name w:val="Body Text Indent 2"/>
    <w:basedOn w:val="1"/>
    <w:link w:val="85"/>
    <w:qFormat/>
    <w:uiPriority w:val="0"/>
    <w:pPr>
      <w:spacing w:line="460" w:lineRule="exact"/>
      <w:ind w:firstLine="570"/>
    </w:pPr>
    <w:rPr>
      <w:rFonts w:ascii="Times New Roman" w:hAnsi="Times New Roman"/>
      <w:sz w:val="28"/>
      <w:szCs w:val="20"/>
    </w:rPr>
  </w:style>
  <w:style w:type="paragraph" w:styleId="24">
    <w:name w:val="Balloon Text"/>
    <w:basedOn w:val="1"/>
    <w:link w:val="84"/>
    <w:qFormat/>
    <w:uiPriority w:val="0"/>
    <w:rPr>
      <w:sz w:val="18"/>
      <w:szCs w:val="18"/>
    </w:rPr>
  </w:style>
  <w:style w:type="paragraph" w:styleId="25">
    <w:name w:val="footer"/>
    <w:basedOn w:val="1"/>
    <w:link w:val="53"/>
    <w:unhideWhenUsed/>
    <w:qFormat/>
    <w:uiPriority w:val="99"/>
    <w:pPr>
      <w:tabs>
        <w:tab w:val="center" w:pos="4153"/>
        <w:tab w:val="right" w:pos="8306"/>
      </w:tabs>
      <w:snapToGrid w:val="0"/>
      <w:jc w:val="left"/>
    </w:pPr>
    <w:rPr>
      <w:sz w:val="18"/>
      <w:szCs w:val="18"/>
    </w:rPr>
  </w:style>
  <w:style w:type="paragraph" w:styleId="26">
    <w:name w:val="header"/>
    <w:basedOn w:val="1"/>
    <w:link w:val="52"/>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unhideWhenUsed/>
    <w:qFormat/>
    <w:uiPriority w:val="39"/>
  </w:style>
  <w:style w:type="paragraph" w:styleId="28">
    <w:name w:val="toc 4"/>
    <w:basedOn w:val="1"/>
    <w:next w:val="1"/>
    <w:qFormat/>
    <w:uiPriority w:val="0"/>
    <w:pPr>
      <w:ind w:left="1260" w:leftChars="600"/>
    </w:pPr>
  </w:style>
  <w:style w:type="paragraph" w:styleId="29">
    <w:name w:val="toc 6"/>
    <w:basedOn w:val="1"/>
    <w:next w:val="1"/>
    <w:qFormat/>
    <w:uiPriority w:val="0"/>
    <w:pPr>
      <w:ind w:left="2100" w:leftChars="1000"/>
    </w:pPr>
  </w:style>
  <w:style w:type="paragraph" w:styleId="30">
    <w:name w:val="Body Text Indent 3"/>
    <w:basedOn w:val="1"/>
    <w:link w:val="83"/>
    <w:qFormat/>
    <w:uiPriority w:val="0"/>
    <w:pPr>
      <w:spacing w:after="120"/>
      <w:ind w:left="420"/>
    </w:pPr>
    <w:rPr>
      <w:rFonts w:ascii="Times New Roman" w:hAnsi="Times New Roman"/>
      <w:sz w:val="16"/>
      <w:szCs w:val="16"/>
    </w:rPr>
  </w:style>
  <w:style w:type="paragraph" w:styleId="31">
    <w:name w:val="toc 2"/>
    <w:basedOn w:val="1"/>
    <w:next w:val="1"/>
    <w:unhideWhenUsed/>
    <w:qFormat/>
    <w:uiPriority w:val="39"/>
    <w:pPr>
      <w:ind w:left="420" w:leftChars="200"/>
    </w:pPr>
  </w:style>
  <w:style w:type="paragraph" w:styleId="32">
    <w:name w:val="toc 9"/>
    <w:basedOn w:val="1"/>
    <w:next w:val="1"/>
    <w:qFormat/>
    <w:uiPriority w:val="0"/>
    <w:pPr>
      <w:ind w:left="336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4">
    <w:name w:val="index 1"/>
    <w:basedOn w:val="1"/>
    <w:next w:val="1"/>
    <w:qFormat/>
    <w:uiPriority w:val="0"/>
    <w:rPr>
      <w:rFonts w:ascii="Times New Roman" w:hAnsi="Times New Roman"/>
      <w:szCs w:val="24"/>
    </w:rPr>
  </w:style>
  <w:style w:type="paragraph" w:styleId="35">
    <w:name w:val="index 2"/>
    <w:basedOn w:val="1"/>
    <w:next w:val="1"/>
    <w:qFormat/>
    <w:uiPriority w:val="0"/>
    <w:pPr>
      <w:ind w:left="200" w:leftChars="200"/>
    </w:pPr>
    <w:rPr>
      <w:rFonts w:ascii="Times New Roman" w:hAnsi="Times New Roman"/>
      <w:szCs w:val="24"/>
    </w:r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qFormat/>
    <w:uiPriority w:val="0"/>
    <w:rPr>
      <w:color w:val="800080"/>
      <w:u w:val="single"/>
    </w:rPr>
  </w:style>
  <w:style w:type="character" w:styleId="40">
    <w:name w:val="Hyperlink"/>
    <w:qFormat/>
    <w:uiPriority w:val="99"/>
    <w:rPr>
      <w:color w:val="0000FF"/>
      <w:u w:val="single"/>
    </w:rPr>
  </w:style>
  <w:style w:type="table" w:styleId="42">
    <w:name w:val="Table Grid"/>
    <w:basedOn w:val="4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标题 1 Char"/>
    <w:link w:val="2"/>
    <w:qFormat/>
    <w:uiPriority w:val="0"/>
    <w:rPr>
      <w:rFonts w:ascii="宋体" w:hAnsi="宋体" w:eastAsia="宋体" w:cs="Times New Roman"/>
      <w:b/>
      <w:bCs/>
      <w:kern w:val="44"/>
      <w:sz w:val="32"/>
      <w:szCs w:val="32"/>
    </w:rPr>
  </w:style>
  <w:style w:type="character" w:customStyle="1" w:styleId="44">
    <w:name w:val="标题 2 Char"/>
    <w:link w:val="3"/>
    <w:qFormat/>
    <w:uiPriority w:val="0"/>
    <w:rPr>
      <w:rFonts w:ascii="Cambria" w:hAnsi="Cambria"/>
      <w:b/>
      <w:bCs/>
      <w:kern w:val="2"/>
      <w:sz w:val="28"/>
      <w:szCs w:val="32"/>
    </w:rPr>
  </w:style>
  <w:style w:type="character" w:customStyle="1" w:styleId="45">
    <w:name w:val="标题 3 Char"/>
    <w:link w:val="4"/>
    <w:qFormat/>
    <w:uiPriority w:val="0"/>
    <w:rPr>
      <w:b/>
      <w:bCs/>
      <w:kern w:val="2"/>
      <w:sz w:val="24"/>
      <w:szCs w:val="32"/>
    </w:rPr>
  </w:style>
  <w:style w:type="character" w:customStyle="1" w:styleId="46">
    <w:name w:val="标题 4 Char"/>
    <w:link w:val="5"/>
    <w:qFormat/>
    <w:uiPriority w:val="0"/>
    <w:rPr>
      <w:rFonts w:ascii="Arial" w:hAnsi="Arial" w:eastAsia="黑体"/>
      <w:b/>
      <w:bCs/>
      <w:kern w:val="2"/>
      <w:sz w:val="28"/>
      <w:szCs w:val="28"/>
    </w:rPr>
  </w:style>
  <w:style w:type="character" w:customStyle="1" w:styleId="47">
    <w:name w:val="标题 5 Char"/>
    <w:link w:val="6"/>
    <w:qFormat/>
    <w:uiPriority w:val="0"/>
    <w:rPr>
      <w:rFonts w:ascii="Times New Roman" w:hAnsi="Times New Roman"/>
      <w:b/>
      <w:bCs/>
      <w:kern w:val="2"/>
      <w:sz w:val="28"/>
      <w:szCs w:val="28"/>
    </w:rPr>
  </w:style>
  <w:style w:type="character" w:customStyle="1" w:styleId="48">
    <w:name w:val="标题 6 Char"/>
    <w:link w:val="7"/>
    <w:qFormat/>
    <w:uiPriority w:val="0"/>
    <w:rPr>
      <w:rFonts w:ascii="Arial" w:hAnsi="Arial" w:eastAsia="黑体"/>
      <w:b/>
      <w:bCs/>
      <w:kern w:val="2"/>
      <w:sz w:val="24"/>
      <w:szCs w:val="24"/>
    </w:rPr>
  </w:style>
  <w:style w:type="character" w:customStyle="1" w:styleId="49">
    <w:name w:val="标题 7 Char"/>
    <w:link w:val="8"/>
    <w:qFormat/>
    <w:uiPriority w:val="0"/>
    <w:rPr>
      <w:rFonts w:ascii="Times New Roman" w:hAnsi="Times New Roman"/>
      <w:b/>
      <w:bCs/>
      <w:kern w:val="2"/>
      <w:sz w:val="24"/>
      <w:szCs w:val="24"/>
    </w:rPr>
  </w:style>
  <w:style w:type="character" w:customStyle="1" w:styleId="50">
    <w:name w:val="标题 8 Char"/>
    <w:link w:val="9"/>
    <w:qFormat/>
    <w:uiPriority w:val="0"/>
    <w:rPr>
      <w:rFonts w:ascii="Arial" w:hAnsi="Arial" w:eastAsia="黑体"/>
      <w:kern w:val="2"/>
      <w:sz w:val="24"/>
      <w:szCs w:val="24"/>
    </w:rPr>
  </w:style>
  <w:style w:type="character" w:customStyle="1" w:styleId="51">
    <w:name w:val="标题 9 Char"/>
    <w:link w:val="10"/>
    <w:qFormat/>
    <w:uiPriority w:val="0"/>
    <w:rPr>
      <w:rFonts w:ascii="Arial" w:hAnsi="Arial" w:eastAsia="黑体"/>
      <w:kern w:val="2"/>
      <w:sz w:val="21"/>
      <w:szCs w:val="21"/>
    </w:rPr>
  </w:style>
  <w:style w:type="character" w:customStyle="1" w:styleId="52">
    <w:name w:val="页眉 Char"/>
    <w:link w:val="26"/>
    <w:semiHidden/>
    <w:qFormat/>
    <w:uiPriority w:val="0"/>
    <w:rPr>
      <w:sz w:val="18"/>
      <w:szCs w:val="18"/>
    </w:rPr>
  </w:style>
  <w:style w:type="character" w:customStyle="1" w:styleId="53">
    <w:name w:val="页脚 Char"/>
    <w:link w:val="25"/>
    <w:qFormat/>
    <w:uiPriority w:val="99"/>
    <w:rPr>
      <w:sz w:val="18"/>
      <w:szCs w:val="18"/>
    </w:rPr>
  </w:style>
  <w:style w:type="character" w:customStyle="1" w:styleId="54">
    <w:name w:val="日期 Char"/>
    <w:link w:val="22"/>
    <w:qFormat/>
    <w:uiPriority w:val="0"/>
    <w:rPr>
      <w:sz w:val="28"/>
      <w:szCs w:val="24"/>
    </w:rPr>
  </w:style>
  <w:style w:type="character" w:customStyle="1" w:styleId="55">
    <w:name w:val="日期 Char1"/>
    <w:basedOn w:val="36"/>
    <w:link w:val="22"/>
    <w:semiHidden/>
    <w:qFormat/>
    <w:uiPriority w:val="99"/>
  </w:style>
  <w:style w:type="character" w:customStyle="1" w:styleId="56">
    <w:name w:val="纯文本 Char"/>
    <w:link w:val="20"/>
    <w:qFormat/>
    <w:uiPriority w:val="0"/>
    <w:rPr>
      <w:rFonts w:ascii="宋体" w:hAnsi="Courier New" w:eastAsia="宋体" w:cs="Courier New"/>
      <w:szCs w:val="21"/>
    </w:rPr>
  </w:style>
  <w:style w:type="character" w:customStyle="1" w:styleId="57">
    <w:name w:val="正文文本 Char"/>
    <w:link w:val="16"/>
    <w:qFormat/>
    <w:uiPriority w:val="0"/>
    <w:rPr>
      <w:rFonts w:ascii="宋体" w:hAnsi="宋体" w:eastAsia="宋体" w:cs="Times New Roman"/>
      <w:spacing w:val="4"/>
      <w:sz w:val="24"/>
      <w:szCs w:val="20"/>
    </w:rPr>
  </w:style>
  <w:style w:type="character" w:customStyle="1" w:styleId="58">
    <w:name w:val="纯文本 Char1"/>
    <w:link w:val="20"/>
    <w:semiHidden/>
    <w:qFormat/>
    <w:uiPriority w:val="99"/>
    <w:rPr>
      <w:rFonts w:ascii="宋体" w:hAnsi="Courier New" w:eastAsia="宋体" w:cs="Courier New"/>
      <w:szCs w:val="21"/>
    </w:rPr>
  </w:style>
  <w:style w:type="character" w:customStyle="1" w:styleId="59">
    <w:name w:val="正文文本缩进 Char"/>
    <w:basedOn w:val="36"/>
    <w:link w:val="17"/>
    <w:semiHidden/>
    <w:qFormat/>
    <w:uiPriority w:val="99"/>
  </w:style>
  <w:style w:type="character" w:customStyle="1" w:styleId="60">
    <w:name w:val="样式2 Char"/>
    <w:link w:val="61"/>
    <w:qFormat/>
    <w:uiPriority w:val="0"/>
    <w:rPr>
      <w:rFonts w:ascii="宋体" w:hAnsi="宋体"/>
      <w:sz w:val="24"/>
      <w:szCs w:val="24"/>
    </w:rPr>
  </w:style>
  <w:style w:type="paragraph" w:customStyle="1" w:styleId="61">
    <w:name w:val="样式2"/>
    <w:basedOn w:val="1"/>
    <w:link w:val="60"/>
    <w:qFormat/>
    <w:uiPriority w:val="0"/>
    <w:rPr>
      <w:rFonts w:ascii="宋体" w:hAnsi="宋体"/>
      <w:sz w:val="24"/>
      <w:szCs w:val="24"/>
    </w:rPr>
  </w:style>
  <w:style w:type="paragraph" w:customStyle="1" w:styleId="62">
    <w:name w:val="列出段落2"/>
    <w:basedOn w:val="1"/>
    <w:qFormat/>
    <w:uiPriority w:val="34"/>
    <w:pPr>
      <w:ind w:firstLine="420"/>
    </w:pPr>
    <w:rPr>
      <w:rFonts w:ascii="Times New Roman" w:hAnsi="Times New Roman"/>
      <w:szCs w:val="24"/>
    </w:rPr>
  </w:style>
  <w:style w:type="paragraph" w:customStyle="1" w:styleId="63">
    <w:name w:val="TOC 标题1"/>
    <w:basedOn w:val="2"/>
    <w:next w:val="1"/>
    <w:unhideWhenUsed/>
    <w:qFormat/>
    <w:uiPriority w:val="39"/>
    <w:pPr>
      <w:keepNext/>
      <w:keepLines/>
      <w:widowControl/>
      <w:spacing w:before="480" w:line="276" w:lineRule="auto"/>
      <w:jc w:val="left"/>
      <w:outlineLvl w:val="9"/>
    </w:pPr>
    <w:rPr>
      <w:rFonts w:ascii="Cambria" w:hAnsi="Cambria"/>
      <w:color w:val="365F91"/>
      <w:kern w:val="0"/>
      <w:sz w:val="28"/>
      <w:szCs w:val="28"/>
    </w:rPr>
  </w:style>
  <w:style w:type="character" w:customStyle="1" w:styleId="64">
    <w:name w:val="15"/>
    <w:qFormat/>
    <w:uiPriority w:val="0"/>
    <w:rPr>
      <w:rFonts w:hint="eastAsia" w:ascii="宋体" w:hAnsi="宋体" w:eastAsia="宋体"/>
      <w:color w:val="000000"/>
      <w:sz w:val="18"/>
      <w:szCs w:val="18"/>
    </w:rPr>
  </w:style>
  <w:style w:type="character" w:customStyle="1" w:styleId="65">
    <w:name w:val="文档结构图 Char1"/>
    <w:qFormat/>
    <w:uiPriority w:val="0"/>
    <w:rPr>
      <w:rFonts w:ascii="宋体"/>
      <w:kern w:val="2"/>
      <w:sz w:val="18"/>
      <w:szCs w:val="18"/>
    </w:rPr>
  </w:style>
  <w:style w:type="character" w:customStyle="1" w:styleId="66">
    <w:name w:val="Char Char1"/>
    <w:qFormat/>
    <w:uiPriority w:val="0"/>
    <w:rPr>
      <w:rFonts w:eastAsia="宋体"/>
      <w:b/>
      <w:bCs/>
      <w:kern w:val="44"/>
      <w:sz w:val="52"/>
      <w:szCs w:val="44"/>
      <w:lang w:val="en-US" w:eastAsia="zh-CN" w:bidi="ar-SA"/>
    </w:rPr>
  </w:style>
  <w:style w:type="character" w:customStyle="1" w:styleId="67">
    <w:name w:val="标题 2 Char Char"/>
    <w:qFormat/>
    <w:uiPriority w:val="0"/>
    <w:rPr>
      <w:rFonts w:ascii="Arial" w:hAnsi="Arial" w:eastAsia="宋体"/>
      <w:b/>
      <w:bCs/>
      <w:kern w:val="2"/>
      <w:sz w:val="48"/>
      <w:szCs w:val="32"/>
      <w:lang w:val="en-US" w:eastAsia="zh-CN" w:bidi="ar-SA"/>
    </w:rPr>
  </w:style>
  <w:style w:type="character" w:customStyle="1" w:styleId="68">
    <w:name w:val="Char Char"/>
    <w:qFormat/>
    <w:uiPriority w:val="0"/>
    <w:rPr>
      <w:rFonts w:ascii="Arial" w:hAnsi="Arial" w:eastAsia="宋体"/>
      <w:b/>
      <w:bCs/>
      <w:kern w:val="2"/>
      <w:sz w:val="48"/>
      <w:szCs w:val="32"/>
      <w:lang w:val="en-US" w:eastAsia="zh-CN" w:bidi="ar-SA"/>
    </w:rPr>
  </w:style>
  <w:style w:type="character" w:customStyle="1" w:styleId="69">
    <w:name w:val="文档结构图 Char"/>
    <w:link w:val="15"/>
    <w:qFormat/>
    <w:uiPriority w:val="0"/>
    <w:rPr>
      <w:rFonts w:ascii="宋体"/>
      <w:kern w:val="2"/>
      <w:sz w:val="18"/>
      <w:szCs w:val="18"/>
    </w:rPr>
  </w:style>
  <w:style w:type="character" w:customStyle="1" w:styleId="70">
    <w:name w:val="批注框文本 Char"/>
    <w:link w:val="24"/>
    <w:qFormat/>
    <w:uiPriority w:val="0"/>
    <w:rPr>
      <w:kern w:val="2"/>
      <w:sz w:val="18"/>
      <w:szCs w:val="18"/>
    </w:rPr>
  </w:style>
  <w:style w:type="character" w:customStyle="1" w:styleId="71">
    <w:name w:val="font111"/>
    <w:qFormat/>
    <w:uiPriority w:val="0"/>
    <w:rPr>
      <w:rFonts w:ascii="Times New Roman" w:hAnsi="Times New Roman" w:cs="Times New Roman"/>
      <w:color w:val="000000"/>
      <w:sz w:val="20"/>
      <w:szCs w:val="20"/>
      <w:u w:val="none"/>
    </w:rPr>
  </w:style>
  <w:style w:type="character" w:customStyle="1" w:styleId="72">
    <w:name w:val="样式 标题 1 + 加粗 Char Char"/>
    <w:qFormat/>
    <w:uiPriority w:val="0"/>
    <w:rPr>
      <w:rFonts w:eastAsia="黑体"/>
      <w:b/>
      <w:bCs/>
      <w:kern w:val="44"/>
      <w:sz w:val="28"/>
      <w:szCs w:val="28"/>
      <w:lang w:val="en-US" w:eastAsia="zh-CN" w:bidi="ar-SA"/>
    </w:rPr>
  </w:style>
  <w:style w:type="character" w:customStyle="1" w:styleId="73">
    <w:name w:val="font41"/>
    <w:qFormat/>
    <w:uiPriority w:val="0"/>
    <w:rPr>
      <w:rFonts w:ascii="宋体" w:hAnsi="宋体" w:eastAsia="宋体" w:cs="宋体"/>
      <w:color w:val="000000"/>
      <w:sz w:val="20"/>
      <w:szCs w:val="20"/>
      <w:u w:val="none"/>
    </w:rPr>
  </w:style>
  <w:style w:type="character" w:customStyle="1" w:styleId="74">
    <w:name w:val="font71"/>
    <w:qFormat/>
    <w:uiPriority w:val="0"/>
    <w:rPr>
      <w:rFonts w:ascii="Times New Roman" w:hAnsi="Times New Roman" w:cs="Times New Roman"/>
      <w:color w:val="000000"/>
      <w:sz w:val="20"/>
      <w:szCs w:val="20"/>
      <w:u w:val="none"/>
    </w:rPr>
  </w:style>
  <w:style w:type="character" w:customStyle="1" w:styleId="75">
    <w:name w:val="标题 1 Char Char"/>
    <w:qFormat/>
    <w:uiPriority w:val="0"/>
    <w:rPr>
      <w:rFonts w:eastAsia="黑体"/>
      <w:kern w:val="44"/>
      <w:sz w:val="28"/>
      <w:szCs w:val="28"/>
      <w:lang w:val="en-US" w:eastAsia="zh-CN" w:bidi="ar-SA"/>
    </w:rPr>
  </w:style>
  <w:style w:type="character" w:customStyle="1" w:styleId="76">
    <w:name w:val="font101"/>
    <w:qFormat/>
    <w:uiPriority w:val="0"/>
    <w:rPr>
      <w:rFonts w:ascii="宋体" w:hAnsi="宋体" w:eastAsia="宋体" w:cs="宋体"/>
      <w:color w:val="000000"/>
      <w:sz w:val="20"/>
      <w:szCs w:val="20"/>
      <w:u w:val="none"/>
    </w:rPr>
  </w:style>
  <w:style w:type="character" w:customStyle="1" w:styleId="77">
    <w:name w:val="font01"/>
    <w:qFormat/>
    <w:uiPriority w:val="0"/>
    <w:rPr>
      <w:rFonts w:hint="eastAsia" w:ascii="宋体" w:hAnsi="宋体" w:eastAsia="宋体" w:cs="宋体"/>
      <w:color w:val="000000"/>
      <w:sz w:val="18"/>
      <w:szCs w:val="18"/>
      <w:u w:val="none"/>
    </w:rPr>
  </w:style>
  <w:style w:type="character" w:customStyle="1" w:styleId="78">
    <w:name w:val="font31"/>
    <w:qFormat/>
    <w:uiPriority w:val="0"/>
    <w:rPr>
      <w:rFonts w:ascii="宋体" w:hAnsi="宋体" w:eastAsia="宋体" w:cs="宋体"/>
      <w:color w:val="000000"/>
      <w:sz w:val="20"/>
      <w:szCs w:val="20"/>
      <w:u w:val="none"/>
    </w:rPr>
  </w:style>
  <w:style w:type="character" w:customStyle="1" w:styleId="79">
    <w:name w:val="font51"/>
    <w:qFormat/>
    <w:uiPriority w:val="0"/>
    <w:rPr>
      <w:rFonts w:ascii="Times New Roman" w:hAnsi="Times New Roman" w:cs="Times New Roman"/>
      <w:color w:val="000000"/>
      <w:sz w:val="20"/>
      <w:szCs w:val="20"/>
      <w:u w:val="none"/>
    </w:rPr>
  </w:style>
  <w:style w:type="paragraph" w:customStyle="1" w:styleId="80">
    <w:name w:val="没有缩进（为图形使用）"/>
    <w:basedOn w:val="1"/>
    <w:qFormat/>
    <w:uiPriority w:val="0"/>
    <w:pPr>
      <w:spacing w:before="120" w:after="120"/>
    </w:pPr>
    <w:rPr>
      <w:rFonts w:ascii="Times New Roman" w:hAnsi="Times New Roman"/>
      <w:sz w:val="24"/>
      <w:szCs w:val="20"/>
    </w:rPr>
  </w:style>
  <w:style w:type="character" w:customStyle="1" w:styleId="81">
    <w:name w:val="文档结构图 Char2"/>
    <w:link w:val="15"/>
    <w:semiHidden/>
    <w:qFormat/>
    <w:uiPriority w:val="99"/>
    <w:rPr>
      <w:rFonts w:ascii="宋体"/>
      <w:kern w:val="2"/>
      <w:sz w:val="18"/>
      <w:szCs w:val="18"/>
    </w:rPr>
  </w:style>
  <w:style w:type="paragraph" w:customStyle="1" w:styleId="82">
    <w:name w:val="1"/>
    <w:basedOn w:val="1"/>
    <w:next w:val="16"/>
    <w:qFormat/>
    <w:uiPriority w:val="0"/>
    <w:pPr>
      <w:autoSpaceDE w:val="0"/>
      <w:autoSpaceDN w:val="0"/>
      <w:adjustRightInd w:val="0"/>
      <w:jc w:val="left"/>
      <w:textAlignment w:val="baseline"/>
    </w:pPr>
    <w:rPr>
      <w:rFonts w:ascii="宋体" w:hAnsi="Times New Roman"/>
      <w:kern w:val="0"/>
      <w:sz w:val="28"/>
      <w:szCs w:val="20"/>
    </w:rPr>
  </w:style>
  <w:style w:type="character" w:customStyle="1" w:styleId="83">
    <w:name w:val="正文文本缩进 3 Char"/>
    <w:link w:val="30"/>
    <w:qFormat/>
    <w:uiPriority w:val="0"/>
    <w:rPr>
      <w:rFonts w:ascii="Times New Roman" w:hAnsi="Times New Roman"/>
      <w:kern w:val="2"/>
      <w:sz w:val="16"/>
      <w:szCs w:val="16"/>
    </w:rPr>
  </w:style>
  <w:style w:type="character" w:customStyle="1" w:styleId="84">
    <w:name w:val="批注框文本 Char1"/>
    <w:link w:val="24"/>
    <w:semiHidden/>
    <w:qFormat/>
    <w:uiPriority w:val="99"/>
    <w:rPr>
      <w:kern w:val="2"/>
      <w:sz w:val="18"/>
      <w:szCs w:val="18"/>
    </w:rPr>
  </w:style>
  <w:style w:type="character" w:customStyle="1" w:styleId="85">
    <w:name w:val="正文文本缩进 2 Char"/>
    <w:link w:val="23"/>
    <w:qFormat/>
    <w:uiPriority w:val="0"/>
    <w:rPr>
      <w:rFonts w:ascii="Times New Roman" w:hAnsi="Times New Roman"/>
      <w:kern w:val="2"/>
      <w:sz w:val="28"/>
    </w:rPr>
  </w:style>
  <w:style w:type="paragraph" w:customStyle="1" w:styleId="86">
    <w:name w:val="注"/>
    <w:basedOn w:val="1"/>
    <w:qFormat/>
    <w:uiPriority w:val="0"/>
    <w:pPr>
      <w:adjustRightInd w:val="0"/>
      <w:spacing w:line="420" w:lineRule="atLeast"/>
      <w:ind w:firstLine="340"/>
      <w:textAlignment w:val="baseline"/>
    </w:pPr>
    <w:rPr>
      <w:rFonts w:ascii="Times New Roman" w:hAnsi="Times New Roman"/>
      <w:kern w:val="0"/>
      <w:sz w:val="18"/>
      <w:szCs w:val="20"/>
    </w:rPr>
  </w:style>
  <w:style w:type="paragraph" w:customStyle="1" w:styleId="87">
    <w:name w:val="List Paragraph1"/>
    <w:basedOn w:val="1"/>
    <w:qFormat/>
    <w:uiPriority w:val="0"/>
    <w:pPr>
      <w:ind w:firstLine="420"/>
    </w:pPr>
    <w:rPr>
      <w:rFonts w:ascii="Times New Roman" w:hAnsi="Times New Roman"/>
      <w:szCs w:val="24"/>
    </w:rPr>
  </w:style>
  <w:style w:type="paragraph" w:styleId="88">
    <w:name w:val="List Paragraph"/>
    <w:basedOn w:val="1"/>
    <w:qFormat/>
    <w:uiPriority w:val="0"/>
    <w:pPr>
      <w:ind w:firstLine="420"/>
    </w:pPr>
    <w:rPr>
      <w:rFonts w:ascii="Times New Roman" w:hAnsi="Times New Roman"/>
      <w:szCs w:val="24"/>
    </w:rPr>
  </w:style>
  <w:style w:type="paragraph" w:customStyle="1" w:styleId="89">
    <w:name w:val="样式 标题 1 + 首行缩进:  2 字符 段前: 1 行 段后: 1 行"/>
    <w:basedOn w:val="2"/>
    <w:qFormat/>
    <w:uiPriority w:val="0"/>
    <w:pPr>
      <w:spacing w:beforeLines="100" w:afterLines="100" w:line="240" w:lineRule="auto"/>
      <w:jc w:val="both"/>
    </w:pPr>
    <w:rPr>
      <w:sz w:val="24"/>
      <w:szCs w:val="20"/>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列出段落1"/>
    <w:basedOn w:val="1"/>
    <w:qFormat/>
    <w:uiPriority w:val="0"/>
    <w:pPr>
      <w:ind w:firstLine="420"/>
    </w:pPr>
    <w:rPr>
      <w:rFonts w:ascii="Times New Roman" w:hAnsi="Times New Roman"/>
      <w:szCs w:val="24"/>
    </w:rPr>
  </w:style>
  <w:style w:type="paragraph" w:customStyle="1" w:styleId="92">
    <w:name w:val="表中"/>
    <w:basedOn w:val="1"/>
    <w:qFormat/>
    <w:uiPriority w:val="0"/>
    <w:pPr>
      <w:adjustRightInd w:val="0"/>
      <w:snapToGrid w:val="0"/>
      <w:spacing w:line="420" w:lineRule="atLeast"/>
      <w:jc w:val="center"/>
      <w:textAlignment w:val="baseline"/>
    </w:pPr>
    <w:rPr>
      <w:rFonts w:ascii="Times New Roman" w:hAnsi="Times New Roman"/>
      <w:snapToGrid w:val="0"/>
      <w:kern w:val="0"/>
      <w:szCs w:val="20"/>
    </w:rPr>
  </w:style>
  <w:style w:type="paragraph" w:customStyle="1" w:styleId="93">
    <w:name w:val="标题4"/>
    <w:basedOn w:val="1"/>
    <w:qFormat/>
    <w:uiPriority w:val="0"/>
    <w:pPr>
      <w:spacing w:beforeLines="100" w:afterLines="100"/>
    </w:pPr>
    <w:rPr>
      <w:rFonts w:ascii="Times New Roman" w:hAnsi="Times New Roman"/>
      <w:sz w:val="28"/>
      <w:szCs w:val="24"/>
    </w:rPr>
  </w:style>
  <w:style w:type="paragraph" w:customStyle="1" w:styleId="9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5">
    <w:name w:val="样式 标题 1 + 加粗"/>
    <w:basedOn w:val="2"/>
    <w:qFormat/>
    <w:uiPriority w:val="0"/>
    <w:pPr>
      <w:keepNext/>
      <w:keepLines/>
      <w:spacing w:before="100" w:after="100" w:line="240" w:lineRule="auto"/>
      <w:jc w:val="both"/>
    </w:pPr>
    <w:rPr>
      <w:rFonts w:ascii="Times New Roman" w:hAnsi="Times New Roman" w:eastAsia="黑体"/>
      <w:bCs w:val="0"/>
      <w:sz w:val="28"/>
      <w:szCs w:val="20"/>
    </w:rPr>
  </w:style>
  <w:style w:type="paragraph" w:customStyle="1" w:styleId="96">
    <w:name w:val="p0"/>
    <w:basedOn w:val="1"/>
    <w:qFormat/>
    <w:uiPriority w:val="0"/>
    <w:pPr>
      <w:widowControl/>
    </w:pPr>
    <w:rPr>
      <w:rFonts w:ascii="Times New Roman" w:hAnsi="Times New Roman"/>
      <w:kern w:val="0"/>
      <w:szCs w:val="21"/>
    </w:rPr>
  </w:style>
  <w:style w:type="paragraph" w:customStyle="1" w:styleId="97">
    <w:name w:val="样式 样式 标题 2 + 段前: 0.5 行 段后: 0.5 行 + 首行缩进:  2 字符 段前: 0.5 行 段后: 0..."/>
    <w:basedOn w:val="1"/>
    <w:qFormat/>
    <w:uiPriority w:val="0"/>
    <w:pPr>
      <w:keepNext/>
      <w:keepLines/>
      <w:spacing w:beforeLines="50" w:afterLines="50"/>
      <w:outlineLvl w:val="1"/>
    </w:pPr>
    <w:rPr>
      <w:rFonts w:ascii="Times New Roman" w:hAnsi="宋体"/>
      <w:b/>
      <w:bCs/>
      <w:sz w:val="24"/>
      <w:szCs w:val="24"/>
    </w:rPr>
  </w:style>
  <w:style w:type="paragraph" w:customStyle="1" w:styleId="98">
    <w:name w:val="_Style 29"/>
    <w:basedOn w:val="1"/>
    <w:qFormat/>
    <w:uiPriority w:val="0"/>
    <w:pPr>
      <w:widowControl/>
      <w:spacing w:after="160" w:line="240" w:lineRule="exact"/>
      <w:jc w:val="left"/>
    </w:pPr>
    <w:rPr>
      <w:rFonts w:ascii="Verdana" w:hAnsi="Verdana"/>
      <w:kern w:val="0"/>
      <w:sz w:val="20"/>
      <w:szCs w:val="20"/>
      <w:lang w:eastAsia="en-US"/>
    </w:rPr>
  </w:style>
  <w:style w:type="character" w:customStyle="1" w:styleId="99">
    <w:name w:val="Heading 2 Char"/>
    <w:qFormat/>
    <w:locked/>
    <w:uiPriority w:val="0"/>
    <w:rPr>
      <w:rFonts w:ascii="宋体" w:hAnsi="宋体" w:eastAsia="宋体" w:cs="宋体"/>
      <w:b/>
      <w:bCs/>
      <w:kern w:val="0"/>
      <w:sz w:val="36"/>
      <w:szCs w:val="36"/>
    </w:rPr>
  </w:style>
  <w:style w:type="paragraph" w:customStyle="1" w:styleId="100">
    <w:name w:val="sty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1">
    <w:name w:val="apple-converted-space"/>
    <w:qFormat/>
    <w:uiPriority w:val="0"/>
    <w:rPr>
      <w:rFonts w:cs="Times New Roman"/>
    </w:rPr>
  </w:style>
  <w:style w:type="character" w:customStyle="1" w:styleId="102">
    <w:name w:val="批注文字 Char"/>
    <w:link w:val="12"/>
    <w:semiHidden/>
    <w:qFormat/>
    <w:uiPriority w:val="0"/>
    <w:rPr>
      <w:kern w:val="2"/>
      <w:sz w:val="21"/>
      <w:szCs w:val="22"/>
    </w:rPr>
  </w:style>
  <w:style w:type="character" w:customStyle="1" w:styleId="103">
    <w:name w:val="批注主题 Char"/>
    <w:link w:val="11"/>
    <w:semiHidden/>
    <w:qFormat/>
    <w:uiPriority w:val="0"/>
    <w:rPr>
      <w:b/>
      <w:bCs/>
      <w:kern w:val="2"/>
      <w:sz w:val="21"/>
      <w:szCs w:val="22"/>
    </w:rPr>
  </w:style>
  <w:style w:type="character" w:customStyle="1" w:styleId="104">
    <w:name w:val="标准正文 Char"/>
    <w:link w:val="105"/>
    <w:qFormat/>
    <w:locked/>
    <w:uiPriority w:val="0"/>
    <w:rPr>
      <w:rFonts w:ascii="宋体" w:hAnsi="宋体"/>
      <w:sz w:val="24"/>
      <w:szCs w:val="24"/>
    </w:rPr>
  </w:style>
  <w:style w:type="paragraph" w:customStyle="1" w:styleId="105">
    <w:name w:val="标准正文"/>
    <w:basedOn w:val="1"/>
    <w:link w:val="104"/>
    <w:qFormat/>
    <w:uiPriority w:val="0"/>
    <w:pPr>
      <w:ind w:firstLine="480"/>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1.wmf"/><Relationship Id="rId31" Type="http://schemas.openxmlformats.org/officeDocument/2006/relationships/oleObject" Target="embeddings/oleObject1.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control" Target="activeX/activeX10.xml"/><Relationship Id="rId28" Type="http://schemas.openxmlformats.org/officeDocument/2006/relationships/image" Target="media/image9.wmf"/><Relationship Id="rId27" Type="http://schemas.openxmlformats.org/officeDocument/2006/relationships/control" Target="activeX/activeX9.xml"/><Relationship Id="rId26" Type="http://schemas.openxmlformats.org/officeDocument/2006/relationships/image" Target="media/image8.wmf"/><Relationship Id="rId25" Type="http://schemas.openxmlformats.org/officeDocument/2006/relationships/control" Target="activeX/activeX8.xml"/><Relationship Id="rId24" Type="http://schemas.openxmlformats.org/officeDocument/2006/relationships/image" Target="media/image7.wmf"/><Relationship Id="rId23" Type="http://schemas.openxmlformats.org/officeDocument/2006/relationships/control" Target="activeX/activeX7.xml"/><Relationship Id="rId22" Type="http://schemas.openxmlformats.org/officeDocument/2006/relationships/image" Target="media/image6.wmf"/><Relationship Id="rId21" Type="http://schemas.openxmlformats.org/officeDocument/2006/relationships/control" Target="activeX/activeX6.xml"/><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control" Target="activeX/activeX5.xml"/><Relationship Id="rId18" Type="http://schemas.openxmlformats.org/officeDocument/2006/relationships/image" Target="media/image4.wmf"/><Relationship Id="rId17" Type="http://schemas.openxmlformats.org/officeDocument/2006/relationships/control" Target="activeX/activeX4.xml"/><Relationship Id="rId16" Type="http://schemas.openxmlformats.org/officeDocument/2006/relationships/image" Target="media/image3.wmf"/><Relationship Id="rId15" Type="http://schemas.openxmlformats.org/officeDocument/2006/relationships/control" Target="activeX/activeX3.xml"/><Relationship Id="rId14" Type="http://schemas.openxmlformats.org/officeDocument/2006/relationships/image" Target="media/image2.wmf"/><Relationship Id="rId13" Type="http://schemas.openxmlformats.org/officeDocument/2006/relationships/control" Target="activeX/activeX2.xml"/><Relationship Id="rId12" Type="http://schemas.openxmlformats.org/officeDocument/2006/relationships/image" Target="media/image1.wmf"/><Relationship Id="rId11" Type="http://schemas.openxmlformats.org/officeDocument/2006/relationships/control" Target="activeX/activeX1.xml"/><Relationship Id="rId10" Type="http://schemas.openxmlformats.org/officeDocument/2006/relationships/theme" Target="theme/theme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9.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2.bin"/></Relationships>
</file>

<file path=word/activeX/_rels/activeX7.xml.rels><?xml version="1.0" encoding="UTF-8" standalone="yes"?>
<Relationships xmlns="http://schemas.openxmlformats.org/package/2006/relationships"><Relationship Id="rId1" Type="http://schemas.microsoft.com/office/2006/relationships/activeXControlBinary" Target="activeX10.bin"/></Relationships>
</file>

<file path=word/activeX/_rels/activeX8.xml.rels><?xml version="1.0" encoding="UTF-8" standalone="yes"?>
<Relationships xmlns="http://schemas.openxmlformats.org/package/2006/relationships"><Relationship Id="rId1" Type="http://schemas.microsoft.com/office/2006/relationships/activeXControlBinary" Target="activeX6.bin"/></Relationships>
</file>

<file path=word/activeX/_rels/activeX9.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activeX/activeX9.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6DF141-CD14-4931-A26C-890AD85F8C8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59</Pages>
  <Words>5927</Words>
  <Characters>33784</Characters>
  <Lines>281</Lines>
  <Paragraphs>79</Paragraphs>
  <ScaleCrop>false</ScaleCrop>
  <LinksUpToDate>false</LinksUpToDate>
  <CharactersWithSpaces>39632</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2017-11-24T06:31:00Z</dcterms:created>
  <dc:creator>Windows 用户</dc:creator>
  <cp:lastModifiedBy>Administrator</cp:lastModifiedBy>
  <cp:lastPrinted>2018-01-08T10:02:00Z</cp:lastPrinted>
  <dcterms:modified xsi:type="dcterms:W3CDTF">2018-01-09T01:50:20Z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