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44"/>
        </w:rPr>
      </w:pPr>
    </w:p>
    <w:p>
      <w:pPr>
        <w:rPr>
          <w:rFonts w:ascii="宋体" w:hAnsi="宋体"/>
          <w:b/>
          <w:color w:val="000000"/>
          <w:sz w:val="72"/>
        </w:rPr>
      </w:pPr>
      <w:r>
        <w:rPr>
          <w:rFonts w:hint="eastAsia" w:ascii="宋体" w:hAnsi="宋体"/>
          <w:b/>
          <w:color w:val="000000"/>
          <w:sz w:val="44"/>
        </w:rPr>
        <w:t xml:space="preserve">                                                                                                                                                                                                                                                                                                                                                                                                                                                                                                                                                                                                                                                                                                                                                                                                                                                                                                                                                                                    </w:t>
      </w:r>
    </w:p>
    <w:p>
      <w:pPr>
        <w:spacing w:line="360" w:lineRule="auto"/>
        <w:jc w:val="center"/>
        <w:rPr>
          <w:rFonts w:ascii="宋体" w:hAnsi="宋体"/>
          <w:b/>
          <w:color w:val="000000"/>
          <w:sz w:val="52"/>
          <w:szCs w:val="52"/>
        </w:rPr>
      </w:pPr>
      <w:r>
        <w:rPr>
          <w:rFonts w:hint="eastAsia" w:ascii="宋体" w:hAnsi="宋体"/>
          <w:b/>
          <w:color w:val="000000"/>
          <w:sz w:val="52"/>
          <w:szCs w:val="52"/>
        </w:rPr>
        <w:t>白银市食品检验检测中心食品检（监）测能力建设项目（第二次）</w:t>
      </w:r>
    </w:p>
    <w:p>
      <w:pPr>
        <w:spacing w:line="360" w:lineRule="auto"/>
        <w:jc w:val="center"/>
        <w:rPr>
          <w:rFonts w:ascii="宋体" w:hAnsi="宋体"/>
          <w:b/>
          <w:color w:val="000000"/>
          <w:sz w:val="72"/>
        </w:rPr>
      </w:pPr>
    </w:p>
    <w:p>
      <w:pPr>
        <w:spacing w:line="360" w:lineRule="auto"/>
        <w:jc w:val="center"/>
        <w:rPr>
          <w:rFonts w:ascii="宋体" w:hAnsi="宋体"/>
          <w:b/>
          <w:color w:val="000000"/>
          <w:sz w:val="72"/>
        </w:rPr>
      </w:pPr>
      <w:r>
        <w:rPr>
          <w:rFonts w:hint="eastAsia" w:ascii="宋体" w:hAnsi="宋体"/>
          <w:b/>
          <w:color w:val="000000"/>
          <w:sz w:val="72"/>
        </w:rPr>
        <w:t>政府采购招标文件</w:t>
      </w:r>
    </w:p>
    <w:p>
      <w:pPr>
        <w:spacing w:line="360" w:lineRule="auto"/>
        <w:jc w:val="center"/>
        <w:rPr>
          <w:rFonts w:ascii="宋体" w:hAnsi="宋体"/>
          <w:b/>
          <w:color w:val="000000"/>
          <w:sz w:val="32"/>
        </w:rPr>
      </w:pPr>
    </w:p>
    <w:p>
      <w:pPr>
        <w:spacing w:line="360" w:lineRule="auto"/>
        <w:rPr>
          <w:rFonts w:ascii="宋体" w:hAnsi="宋体"/>
          <w:sz w:val="32"/>
          <w:szCs w:val="32"/>
        </w:rPr>
      </w:pPr>
      <w:r>
        <w:rPr>
          <w:rFonts w:hint="eastAsia" w:ascii="宋体" w:hAnsi="宋体"/>
          <w:b/>
          <w:color w:val="000000"/>
          <w:sz w:val="32"/>
        </w:rPr>
        <w:t xml:space="preserve">              </w:t>
      </w:r>
      <w:r>
        <w:rPr>
          <w:rFonts w:hint="eastAsia" w:ascii="宋体" w:hAnsi="宋体"/>
          <w:b/>
          <w:sz w:val="32"/>
        </w:rPr>
        <w:t xml:space="preserve"> 招标编号：</w:t>
      </w:r>
      <w:bookmarkStart w:id="0" w:name="OLE_LINK2"/>
      <w:r>
        <w:rPr>
          <w:rFonts w:hint="eastAsia" w:ascii="宋体" w:hAnsi="宋体"/>
          <w:b/>
          <w:sz w:val="32"/>
        </w:rPr>
        <w:t>BGZJ-ZC</w:t>
      </w:r>
      <w:bookmarkEnd w:id="0"/>
      <w:r>
        <w:rPr>
          <w:rFonts w:hint="eastAsia" w:ascii="宋体" w:hAnsi="宋体"/>
          <w:b/>
          <w:sz w:val="32"/>
        </w:rPr>
        <w:t>17329</w:t>
      </w:r>
    </w:p>
    <w:p>
      <w:pPr>
        <w:spacing w:line="360" w:lineRule="auto"/>
        <w:ind w:firstLine="1606" w:firstLineChars="500"/>
        <w:rPr>
          <w:rFonts w:ascii="宋体" w:hAnsi="宋体"/>
          <w:b/>
          <w:color w:val="000000"/>
          <w:sz w:val="32"/>
        </w:rPr>
      </w:pPr>
    </w:p>
    <w:p>
      <w:pPr>
        <w:spacing w:line="360" w:lineRule="auto"/>
        <w:ind w:firstLine="1606" w:firstLineChars="500"/>
        <w:rPr>
          <w:rFonts w:ascii="宋体" w:hAnsi="宋体"/>
          <w:b/>
          <w:color w:val="000000"/>
          <w:sz w:val="32"/>
        </w:rPr>
      </w:pPr>
    </w:p>
    <w:p>
      <w:pPr>
        <w:spacing w:line="360" w:lineRule="auto"/>
        <w:rPr>
          <w:rFonts w:ascii="宋体" w:hAnsi="宋体"/>
          <w:b/>
          <w:color w:val="000000"/>
          <w:sz w:val="32"/>
        </w:rPr>
      </w:pPr>
    </w:p>
    <w:p>
      <w:pPr>
        <w:spacing w:line="360" w:lineRule="auto"/>
        <w:ind w:firstLine="1606" w:firstLineChars="500"/>
        <w:rPr>
          <w:rFonts w:ascii="宋体" w:hAnsi="宋体"/>
          <w:b/>
          <w:color w:val="000000"/>
          <w:sz w:val="32"/>
        </w:rPr>
      </w:pPr>
    </w:p>
    <w:p>
      <w:pPr>
        <w:spacing w:line="360" w:lineRule="auto"/>
        <w:ind w:firstLine="1606" w:firstLineChars="500"/>
        <w:rPr>
          <w:rFonts w:ascii="宋体" w:hAnsi="宋体"/>
          <w:b/>
          <w:color w:val="000000"/>
          <w:sz w:val="32"/>
        </w:rPr>
      </w:pPr>
    </w:p>
    <w:p>
      <w:pPr>
        <w:spacing w:line="360" w:lineRule="auto"/>
        <w:ind w:firstLine="1606" w:firstLineChars="500"/>
        <w:rPr>
          <w:rFonts w:ascii="宋体" w:hAnsi="宋体"/>
          <w:b/>
          <w:color w:val="000000"/>
          <w:sz w:val="32"/>
        </w:rPr>
      </w:pPr>
    </w:p>
    <w:p>
      <w:pPr>
        <w:spacing w:line="360" w:lineRule="auto"/>
        <w:ind w:firstLine="1606" w:firstLineChars="500"/>
        <w:rPr>
          <w:rFonts w:ascii="宋体" w:hAnsi="宋体"/>
          <w:b/>
          <w:color w:val="000000"/>
          <w:sz w:val="32"/>
          <w:szCs w:val="32"/>
        </w:rPr>
      </w:pPr>
      <w:r>
        <w:rPr>
          <w:rFonts w:hint="eastAsia" w:ascii="宋体" w:hAnsi="宋体"/>
          <w:b/>
          <w:color w:val="000000"/>
          <w:sz w:val="32"/>
          <w:szCs w:val="32"/>
        </w:rPr>
        <w:t xml:space="preserve">    委托单位：白银市食品检验检测中心</w:t>
      </w:r>
    </w:p>
    <w:p>
      <w:pPr>
        <w:spacing w:line="360" w:lineRule="auto"/>
        <w:ind w:firstLine="1606" w:firstLineChars="500"/>
        <w:rPr>
          <w:rFonts w:ascii="宋体" w:hAnsi="宋体"/>
          <w:b/>
          <w:sz w:val="32"/>
          <w:szCs w:val="32"/>
        </w:rPr>
      </w:pPr>
      <w:r>
        <w:rPr>
          <w:rFonts w:hint="eastAsia" w:ascii="宋体" w:hAnsi="宋体"/>
          <w:b/>
          <w:color w:val="000000"/>
          <w:sz w:val="32"/>
          <w:szCs w:val="32"/>
        </w:rPr>
        <w:t xml:space="preserve">    招标机构：</w:t>
      </w:r>
      <w:r>
        <w:rPr>
          <w:rFonts w:hint="eastAsia" w:ascii="宋体" w:hAnsi="宋体"/>
          <w:b/>
          <w:sz w:val="32"/>
          <w:szCs w:val="32"/>
        </w:rPr>
        <w:t>中招国际招标有限公司甘肃分公司</w:t>
      </w: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pStyle w:val="18"/>
        <w:spacing w:line="360" w:lineRule="auto"/>
        <w:ind w:left="0" w:leftChars="0"/>
        <w:jc w:val="center"/>
        <w:rPr>
          <w:rFonts w:ascii="宋体" w:hAnsi="宋体"/>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8" w:header="851" w:footer="992" w:gutter="0"/>
          <w:cols w:space="720" w:num="1"/>
          <w:titlePg/>
          <w:docGrid w:linePitch="312" w:charSpace="0"/>
        </w:sectPr>
      </w:pPr>
      <w:r>
        <w:rPr>
          <w:rFonts w:hint="eastAsia" w:ascii="宋体" w:hAnsi="宋体"/>
          <w:b/>
          <w:sz w:val="32"/>
          <w:szCs w:val="32"/>
        </w:rPr>
        <w:t>二○一七年九月</w:t>
      </w:r>
      <w:r>
        <w:rPr>
          <w:rFonts w:hint="eastAsia" w:ascii="宋体" w:hAnsi="宋体"/>
        </w:rPr>
        <w:t xml:space="preserve">   </w:t>
      </w:r>
      <w:r>
        <w:rPr>
          <w:rFonts w:hint="eastAsia" w:ascii="宋体" w:hAnsi="宋体"/>
          <w:color w:val="000000"/>
        </w:rPr>
        <w:t xml:space="preserve">                                                                                                </w:t>
      </w:r>
    </w:p>
    <w:p>
      <w:pPr>
        <w:pStyle w:val="2"/>
        <w:spacing w:line="400" w:lineRule="exact"/>
        <w:rPr>
          <w:sz w:val="28"/>
          <w:szCs w:val="28"/>
        </w:rPr>
      </w:pPr>
      <w:bookmarkStart w:id="1" w:name="_Toc453596785"/>
      <w:r>
        <w:rPr>
          <w:rFonts w:hint="eastAsia"/>
          <w:sz w:val="28"/>
          <w:szCs w:val="28"/>
        </w:rPr>
        <w:t>目  录</w:t>
      </w:r>
      <w:bookmarkEnd w:id="1"/>
    </w:p>
    <w:p>
      <w:pPr>
        <w:pStyle w:val="23"/>
        <w:spacing w:line="500" w:lineRule="exac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TOC \o "1-3" \h \z \u</w:instrText>
      </w:r>
      <w:r>
        <w:rPr>
          <w:rFonts w:ascii="宋体" w:hAnsi="宋体"/>
          <w:sz w:val="24"/>
        </w:rPr>
        <w:instrText xml:space="preserve"> </w:instrText>
      </w:r>
      <w:r>
        <w:rPr>
          <w:rFonts w:ascii="宋体" w:hAnsi="宋体"/>
          <w:sz w:val="24"/>
        </w:rPr>
        <w:fldChar w:fldCharType="separate"/>
      </w:r>
      <w:r>
        <w:fldChar w:fldCharType="begin"/>
      </w:r>
      <w:r>
        <w:instrText xml:space="preserve"> HYPERLINK \l "_Toc453596785" </w:instrText>
      </w:r>
      <w:r>
        <w:fldChar w:fldCharType="separate"/>
      </w:r>
      <w:r>
        <w:rPr>
          <w:rStyle w:val="37"/>
          <w:rFonts w:hint="eastAsia" w:ascii="宋体" w:hAnsi="宋体"/>
          <w:sz w:val="24"/>
          <w:szCs w:val="24"/>
        </w:rPr>
        <w:t>目</w:t>
      </w:r>
      <w:r>
        <w:rPr>
          <w:rStyle w:val="37"/>
          <w:rFonts w:ascii="宋体" w:hAnsi="宋体"/>
          <w:sz w:val="24"/>
          <w:szCs w:val="24"/>
        </w:rPr>
        <w:t xml:space="preserve">  </w:t>
      </w:r>
      <w:r>
        <w:rPr>
          <w:rStyle w:val="37"/>
          <w:rFonts w:hint="eastAsia" w:ascii="宋体" w:hAnsi="宋体"/>
          <w:sz w:val="24"/>
          <w:szCs w:val="24"/>
        </w:rPr>
        <w:t>录</w:t>
      </w:r>
      <w:r>
        <w:rPr>
          <w:rFonts w:ascii="宋体" w:hAnsi="宋体"/>
          <w:sz w:val="24"/>
        </w:rPr>
        <w:tab/>
      </w:r>
      <w:r>
        <w:rPr>
          <w:rFonts w:ascii="宋体" w:hAnsi="宋体"/>
          <w:sz w:val="24"/>
        </w:rPr>
        <w:fldChar w:fldCharType="begin"/>
      </w:r>
      <w:r>
        <w:rPr>
          <w:rFonts w:ascii="宋体" w:hAnsi="宋体"/>
          <w:sz w:val="24"/>
        </w:rPr>
        <w:instrText xml:space="preserve"> PAGEREF _Toc453596785 \h </w:instrText>
      </w:r>
      <w:r>
        <w:rPr>
          <w:rFonts w:ascii="宋体" w:hAnsi="宋体"/>
          <w:sz w:val="24"/>
        </w:rPr>
        <w:fldChar w:fldCharType="separate"/>
      </w:r>
      <w:r>
        <w:rPr>
          <w:rFonts w:ascii="宋体" w:hAnsi="宋体"/>
          <w:sz w:val="24"/>
        </w:rPr>
        <w:t>1</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"_Toc453596786" </w:instrText>
      </w:r>
      <w:r>
        <w:fldChar w:fldCharType="separate"/>
      </w:r>
      <w:r>
        <w:rPr>
          <w:rStyle w:val="37"/>
          <w:rFonts w:hint="eastAsia" w:ascii="宋体" w:hAnsi="宋体"/>
          <w:sz w:val="24"/>
          <w:szCs w:val="24"/>
        </w:rPr>
        <w:t>公开招标公告</w:t>
      </w:r>
      <w:r>
        <w:rPr>
          <w:rFonts w:ascii="宋体" w:hAnsi="宋体"/>
          <w:sz w:val="24"/>
        </w:rPr>
        <w:tab/>
      </w:r>
      <w:r>
        <w:rPr>
          <w:rFonts w:ascii="宋体" w:hAnsi="宋体"/>
          <w:sz w:val="24"/>
        </w:rPr>
        <w:fldChar w:fldCharType="begin"/>
      </w:r>
      <w:r>
        <w:rPr>
          <w:rFonts w:ascii="宋体" w:hAnsi="宋体"/>
          <w:sz w:val="24"/>
        </w:rPr>
        <w:instrText xml:space="preserve"> PAGEREF _Toc453596786 \h </w:instrText>
      </w:r>
      <w:r>
        <w:rPr>
          <w:rFonts w:ascii="宋体" w:hAnsi="宋体"/>
          <w:sz w:val="24"/>
        </w:rPr>
        <w:fldChar w:fldCharType="separate"/>
      </w:r>
      <w:r>
        <w:rPr>
          <w:rFonts w:ascii="宋体" w:hAnsi="宋体"/>
          <w:sz w:val="24"/>
        </w:rPr>
        <w:t>4</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"_Toc453596787" </w:instrText>
      </w:r>
      <w:r>
        <w:fldChar w:fldCharType="separate"/>
      </w:r>
      <w:r>
        <w:rPr>
          <w:rStyle w:val="37"/>
          <w:rFonts w:hint="eastAsia" w:ascii="宋体" w:hAnsi="宋体"/>
          <w:sz w:val="24"/>
          <w:szCs w:val="24"/>
        </w:rPr>
        <w:t>投标须知前附表</w:t>
      </w:r>
      <w:r>
        <w:rPr>
          <w:rFonts w:ascii="宋体" w:hAnsi="宋体"/>
          <w:sz w:val="24"/>
        </w:rPr>
        <w:tab/>
      </w:r>
      <w:r>
        <w:rPr>
          <w:rFonts w:ascii="宋体" w:hAnsi="宋体"/>
          <w:sz w:val="24"/>
        </w:rPr>
        <w:fldChar w:fldCharType="begin"/>
      </w:r>
      <w:r>
        <w:rPr>
          <w:rFonts w:ascii="宋体" w:hAnsi="宋体"/>
          <w:sz w:val="24"/>
        </w:rPr>
        <w:instrText xml:space="preserve"> PAGEREF _Toc453596787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"_Toc453596788" </w:instrText>
      </w:r>
      <w:r>
        <w:fldChar w:fldCharType="separate"/>
      </w:r>
      <w:r>
        <w:rPr>
          <w:rStyle w:val="37"/>
          <w:rFonts w:ascii="宋体" w:hAnsi="宋体"/>
          <w:sz w:val="24"/>
          <w:szCs w:val="24"/>
        </w:rPr>
        <w:t>1</w:t>
      </w:r>
      <w:r>
        <w:rPr>
          <w:rStyle w:val="37"/>
          <w:rFonts w:hint="eastAsia" w:ascii="宋体" w:hAnsi="宋体"/>
          <w:sz w:val="24"/>
          <w:szCs w:val="24"/>
        </w:rPr>
        <w:t>、总</w:t>
      </w:r>
      <w:r>
        <w:rPr>
          <w:rStyle w:val="37"/>
          <w:rFonts w:ascii="宋体" w:hAnsi="宋体"/>
          <w:sz w:val="24"/>
          <w:szCs w:val="24"/>
        </w:rPr>
        <w:t xml:space="preserve">  </w:t>
      </w:r>
      <w:r>
        <w:rPr>
          <w:rStyle w:val="37"/>
          <w:rFonts w:hint="eastAsia" w:ascii="宋体" w:hAnsi="宋体"/>
          <w:sz w:val="24"/>
          <w:szCs w:val="24"/>
        </w:rPr>
        <w:t>则</w:t>
      </w:r>
      <w:r>
        <w:rPr>
          <w:rFonts w:ascii="宋体" w:hAnsi="宋体"/>
          <w:sz w:val="24"/>
        </w:rPr>
        <w:tab/>
      </w:r>
      <w:r>
        <w:rPr>
          <w:rFonts w:ascii="宋体" w:hAnsi="宋体"/>
          <w:sz w:val="24"/>
        </w:rPr>
        <w:fldChar w:fldCharType="begin"/>
      </w:r>
      <w:r>
        <w:rPr>
          <w:rFonts w:ascii="宋体" w:hAnsi="宋体"/>
          <w:sz w:val="24"/>
        </w:rPr>
        <w:instrText xml:space="preserve"> PAGEREF _Toc453596788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"_Toc453596789" </w:instrText>
      </w:r>
      <w:r>
        <w:fldChar w:fldCharType="separate"/>
      </w:r>
      <w:r>
        <w:rPr>
          <w:rStyle w:val="37"/>
          <w:rFonts w:ascii="宋体" w:hAnsi="宋体"/>
          <w:sz w:val="24"/>
          <w:szCs w:val="24"/>
        </w:rPr>
        <w:t xml:space="preserve">1.1 </w:t>
      </w:r>
      <w:r>
        <w:rPr>
          <w:rStyle w:val="37"/>
          <w:rFonts w:hint="eastAsia" w:ascii="宋体" w:hAnsi="宋体"/>
          <w:sz w:val="24"/>
          <w:szCs w:val="24"/>
        </w:rPr>
        <w:t>招标文件涉及术语的内涵及解释</w:t>
      </w:r>
      <w:r>
        <w:rPr>
          <w:rFonts w:ascii="宋体" w:hAnsi="宋体"/>
          <w:sz w:val="24"/>
        </w:rPr>
        <w:tab/>
      </w:r>
      <w:r>
        <w:rPr>
          <w:rFonts w:ascii="宋体" w:hAnsi="宋体"/>
          <w:sz w:val="24"/>
        </w:rPr>
        <w:fldChar w:fldCharType="begin"/>
      </w:r>
      <w:r>
        <w:rPr>
          <w:rFonts w:ascii="宋体" w:hAnsi="宋体"/>
          <w:sz w:val="24"/>
        </w:rPr>
        <w:instrText xml:space="preserve"> PAGEREF _Toc453596789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"_Toc453596790" </w:instrText>
      </w:r>
      <w:r>
        <w:fldChar w:fldCharType="separate"/>
      </w:r>
      <w:r>
        <w:rPr>
          <w:rStyle w:val="37"/>
          <w:rFonts w:ascii="宋体" w:hAnsi="宋体"/>
          <w:sz w:val="24"/>
          <w:szCs w:val="24"/>
        </w:rPr>
        <w:t>2</w:t>
      </w:r>
      <w:r>
        <w:rPr>
          <w:rStyle w:val="37"/>
          <w:rFonts w:hint="eastAsia" w:ascii="宋体" w:hAnsi="宋体"/>
          <w:sz w:val="24"/>
          <w:szCs w:val="24"/>
        </w:rPr>
        <w:t>、投标须知</w:t>
      </w:r>
      <w:r>
        <w:rPr>
          <w:rFonts w:ascii="宋体" w:hAnsi="宋体"/>
          <w:sz w:val="24"/>
        </w:rPr>
        <w:tab/>
      </w:r>
      <w:r>
        <w:rPr>
          <w:rFonts w:ascii="宋体" w:hAnsi="宋体"/>
          <w:sz w:val="24"/>
        </w:rPr>
        <w:fldChar w:fldCharType="begin"/>
      </w:r>
      <w:r>
        <w:rPr>
          <w:rFonts w:ascii="宋体" w:hAnsi="宋体"/>
          <w:sz w:val="24"/>
        </w:rPr>
        <w:instrText xml:space="preserve"> PAGEREF _Toc453596790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"_Toc453596791" </w:instrText>
      </w:r>
      <w:r>
        <w:fldChar w:fldCharType="separate"/>
      </w:r>
      <w:r>
        <w:rPr>
          <w:rStyle w:val="37"/>
          <w:rFonts w:ascii="宋体" w:hAnsi="宋体"/>
          <w:sz w:val="24"/>
          <w:szCs w:val="24"/>
        </w:rPr>
        <w:t xml:space="preserve">2.1 </w:t>
      </w:r>
      <w:r>
        <w:rPr>
          <w:rStyle w:val="37"/>
          <w:rFonts w:hint="eastAsia" w:ascii="宋体" w:hAnsi="宋体"/>
          <w:sz w:val="24"/>
          <w:szCs w:val="24"/>
        </w:rPr>
        <w:t>招标</w:t>
      </w:r>
      <w:r>
        <w:rPr>
          <w:rFonts w:ascii="宋体" w:hAnsi="宋体"/>
          <w:sz w:val="24"/>
        </w:rPr>
        <w:tab/>
      </w:r>
      <w:r>
        <w:rPr>
          <w:rFonts w:ascii="宋体" w:hAnsi="宋体"/>
          <w:sz w:val="24"/>
        </w:rPr>
        <w:fldChar w:fldCharType="begin"/>
      </w:r>
      <w:r>
        <w:rPr>
          <w:rFonts w:ascii="宋体" w:hAnsi="宋体"/>
          <w:sz w:val="24"/>
        </w:rPr>
        <w:instrText xml:space="preserve"> PAGEREF _Toc453596791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"_Toc453596792" </w:instrText>
      </w:r>
      <w:r>
        <w:fldChar w:fldCharType="separate"/>
      </w:r>
      <w:r>
        <w:rPr>
          <w:rStyle w:val="37"/>
          <w:rFonts w:ascii="宋体" w:hAnsi="宋体"/>
          <w:sz w:val="24"/>
          <w:szCs w:val="24"/>
        </w:rPr>
        <w:t xml:space="preserve">2.1.1 </w:t>
      </w:r>
      <w:r>
        <w:rPr>
          <w:rStyle w:val="37"/>
          <w:rFonts w:hint="eastAsia" w:ascii="宋体" w:hAnsi="宋体"/>
          <w:sz w:val="24"/>
          <w:szCs w:val="24"/>
        </w:rPr>
        <w:t>综合说明</w:t>
      </w:r>
      <w:r>
        <w:rPr>
          <w:rFonts w:ascii="宋体" w:hAnsi="宋体"/>
          <w:sz w:val="24"/>
        </w:rPr>
        <w:tab/>
      </w:r>
      <w:r>
        <w:rPr>
          <w:rFonts w:ascii="宋体" w:hAnsi="宋体"/>
          <w:sz w:val="24"/>
        </w:rPr>
        <w:fldChar w:fldCharType="begin"/>
      </w:r>
      <w:r>
        <w:rPr>
          <w:rFonts w:ascii="宋体" w:hAnsi="宋体"/>
          <w:sz w:val="24"/>
        </w:rPr>
        <w:instrText xml:space="preserve"> PAGEREF _Toc453596792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"_Toc453596793" </w:instrText>
      </w:r>
      <w:r>
        <w:fldChar w:fldCharType="separate"/>
      </w:r>
      <w:r>
        <w:rPr>
          <w:rStyle w:val="37"/>
          <w:rFonts w:ascii="宋体" w:hAnsi="宋体"/>
          <w:sz w:val="24"/>
          <w:szCs w:val="24"/>
        </w:rPr>
        <w:t xml:space="preserve">2.1.2 </w:t>
      </w:r>
      <w:r>
        <w:rPr>
          <w:rStyle w:val="37"/>
          <w:rFonts w:hint="eastAsia" w:ascii="宋体" w:hAnsi="宋体"/>
          <w:sz w:val="24"/>
          <w:szCs w:val="24"/>
        </w:rPr>
        <w:t>招标文件的构成</w:t>
      </w:r>
      <w:r>
        <w:rPr>
          <w:rFonts w:ascii="宋体" w:hAnsi="宋体"/>
          <w:sz w:val="24"/>
        </w:rPr>
        <w:tab/>
      </w:r>
      <w:r>
        <w:rPr>
          <w:rFonts w:ascii="宋体" w:hAnsi="宋体"/>
          <w:sz w:val="24"/>
        </w:rPr>
        <w:fldChar w:fldCharType="begin"/>
      </w:r>
      <w:r>
        <w:rPr>
          <w:rFonts w:ascii="宋体" w:hAnsi="宋体"/>
          <w:sz w:val="24"/>
        </w:rPr>
        <w:instrText xml:space="preserve"> PAGEREF _Toc453596793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"_Toc453596794" </w:instrText>
      </w:r>
      <w:r>
        <w:fldChar w:fldCharType="separate"/>
      </w:r>
      <w:r>
        <w:rPr>
          <w:rStyle w:val="37"/>
          <w:rFonts w:ascii="宋体" w:hAnsi="宋体"/>
          <w:sz w:val="24"/>
          <w:szCs w:val="24"/>
        </w:rPr>
        <w:t xml:space="preserve">2.1.3 </w:t>
      </w:r>
      <w:r>
        <w:rPr>
          <w:rStyle w:val="37"/>
          <w:rFonts w:hint="eastAsia" w:ascii="宋体" w:hAnsi="宋体"/>
          <w:sz w:val="24"/>
          <w:szCs w:val="24"/>
        </w:rPr>
        <w:t>招标文件的修改与补充</w:t>
      </w:r>
      <w:r>
        <w:rPr>
          <w:rFonts w:ascii="宋体" w:hAnsi="宋体"/>
          <w:sz w:val="24"/>
        </w:rPr>
        <w:tab/>
      </w:r>
      <w:r>
        <w:rPr>
          <w:rFonts w:ascii="宋体" w:hAnsi="宋体"/>
          <w:sz w:val="24"/>
        </w:rPr>
        <w:fldChar w:fldCharType="begin"/>
      </w:r>
      <w:r>
        <w:rPr>
          <w:rFonts w:ascii="宋体" w:hAnsi="宋体"/>
          <w:sz w:val="24"/>
        </w:rPr>
        <w:instrText xml:space="preserve"> PAGEREF _Toc453596794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"_Toc453596795" </w:instrText>
      </w:r>
      <w:r>
        <w:fldChar w:fldCharType="separate"/>
      </w:r>
      <w:r>
        <w:rPr>
          <w:rStyle w:val="37"/>
          <w:rFonts w:ascii="宋体" w:hAnsi="宋体"/>
          <w:sz w:val="24"/>
          <w:szCs w:val="24"/>
        </w:rPr>
        <w:t xml:space="preserve">2.1.4  </w:t>
      </w:r>
      <w:r>
        <w:rPr>
          <w:rStyle w:val="37"/>
          <w:rFonts w:hint="eastAsia" w:ascii="宋体" w:hAnsi="宋体"/>
          <w:sz w:val="24"/>
          <w:szCs w:val="24"/>
        </w:rPr>
        <w:t>答疑会和现场考察</w:t>
      </w:r>
      <w:r>
        <w:rPr>
          <w:rFonts w:ascii="宋体" w:hAnsi="宋体"/>
          <w:sz w:val="24"/>
        </w:rPr>
        <w:tab/>
      </w:r>
      <w:r>
        <w:rPr>
          <w:rFonts w:ascii="宋体" w:hAnsi="宋体"/>
          <w:sz w:val="24"/>
        </w:rPr>
        <w:fldChar w:fldCharType="begin"/>
      </w:r>
      <w:r>
        <w:rPr>
          <w:rFonts w:ascii="宋体" w:hAnsi="宋体"/>
          <w:sz w:val="24"/>
        </w:rPr>
        <w:instrText xml:space="preserve"> PAGEREF _Toc453596795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"_Toc453596796" </w:instrText>
      </w:r>
      <w:r>
        <w:fldChar w:fldCharType="separate"/>
      </w:r>
      <w:r>
        <w:rPr>
          <w:rStyle w:val="37"/>
          <w:rFonts w:ascii="宋体" w:hAnsi="宋体"/>
          <w:sz w:val="24"/>
          <w:szCs w:val="24"/>
        </w:rPr>
        <w:t xml:space="preserve">2.2 </w:t>
      </w:r>
      <w:r>
        <w:rPr>
          <w:rStyle w:val="37"/>
          <w:rFonts w:hint="eastAsia" w:ascii="宋体" w:hAnsi="宋体"/>
          <w:sz w:val="24"/>
          <w:szCs w:val="24"/>
        </w:rPr>
        <w:t>投标</w:t>
      </w:r>
      <w:r>
        <w:rPr>
          <w:rFonts w:ascii="宋体" w:hAnsi="宋体"/>
          <w:sz w:val="24"/>
        </w:rPr>
        <w:tab/>
      </w:r>
      <w:r>
        <w:rPr>
          <w:rFonts w:ascii="宋体" w:hAnsi="宋体"/>
          <w:sz w:val="24"/>
        </w:rPr>
        <w:fldChar w:fldCharType="begin"/>
      </w:r>
      <w:r>
        <w:rPr>
          <w:rFonts w:ascii="宋体" w:hAnsi="宋体"/>
          <w:sz w:val="24"/>
        </w:rPr>
        <w:instrText xml:space="preserve"> PAGEREF _Toc453596796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"_Toc453596797" </w:instrText>
      </w:r>
      <w:r>
        <w:fldChar w:fldCharType="separate"/>
      </w:r>
      <w:r>
        <w:rPr>
          <w:rStyle w:val="37"/>
          <w:rFonts w:ascii="宋体" w:hAnsi="宋体"/>
          <w:sz w:val="24"/>
          <w:szCs w:val="24"/>
        </w:rPr>
        <w:t>2.2.1</w:t>
      </w:r>
      <w:r>
        <w:rPr>
          <w:rStyle w:val="37"/>
          <w:rFonts w:hint="eastAsia" w:ascii="宋体" w:hAnsi="宋体"/>
          <w:sz w:val="24"/>
          <w:szCs w:val="24"/>
        </w:rPr>
        <w:t>投标文件的语言</w:t>
      </w:r>
      <w:r>
        <w:rPr>
          <w:rFonts w:ascii="宋体" w:hAnsi="宋体"/>
          <w:sz w:val="24"/>
        </w:rPr>
        <w:tab/>
      </w:r>
      <w:r>
        <w:rPr>
          <w:rFonts w:ascii="宋体" w:hAnsi="宋体"/>
          <w:sz w:val="24"/>
        </w:rPr>
        <w:fldChar w:fldCharType="begin"/>
      </w:r>
      <w:r>
        <w:rPr>
          <w:rFonts w:ascii="宋体" w:hAnsi="宋体"/>
          <w:sz w:val="24"/>
        </w:rPr>
        <w:instrText xml:space="preserve"> PAGEREF _Toc453596797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"_Toc453596800" </w:instrText>
      </w:r>
      <w:r>
        <w:fldChar w:fldCharType="separate"/>
      </w:r>
      <w:r>
        <w:rPr>
          <w:rStyle w:val="37"/>
          <w:rFonts w:ascii="宋体" w:hAnsi="宋体"/>
          <w:sz w:val="24"/>
          <w:szCs w:val="24"/>
        </w:rPr>
        <w:t>2.2.2</w:t>
      </w:r>
      <w:r>
        <w:rPr>
          <w:rStyle w:val="37"/>
          <w:rFonts w:hint="eastAsia" w:ascii="宋体" w:hAnsi="宋体"/>
          <w:sz w:val="24"/>
          <w:szCs w:val="24"/>
        </w:rPr>
        <w:t>计量单位</w:t>
      </w:r>
      <w:r>
        <w:rPr>
          <w:rFonts w:ascii="宋体" w:hAnsi="宋体"/>
          <w:sz w:val="24"/>
        </w:rPr>
        <w:tab/>
      </w:r>
      <w:r>
        <w:rPr>
          <w:rFonts w:ascii="宋体" w:hAnsi="宋体"/>
          <w:sz w:val="24"/>
        </w:rPr>
        <w:fldChar w:fldCharType="begin"/>
      </w:r>
      <w:r>
        <w:rPr>
          <w:rFonts w:ascii="宋体" w:hAnsi="宋体"/>
          <w:sz w:val="24"/>
        </w:rPr>
        <w:instrText xml:space="preserve"> PAGEREF _Toc453596800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"_Toc453596802" </w:instrText>
      </w:r>
      <w:r>
        <w:fldChar w:fldCharType="separate"/>
      </w:r>
      <w:r>
        <w:rPr>
          <w:rStyle w:val="37"/>
          <w:rFonts w:ascii="宋体" w:hAnsi="宋体"/>
          <w:sz w:val="24"/>
          <w:szCs w:val="24"/>
        </w:rPr>
        <w:t>2.2.3</w:t>
      </w:r>
      <w:r>
        <w:rPr>
          <w:rStyle w:val="37"/>
          <w:rFonts w:hint="eastAsia" w:ascii="宋体" w:hAnsi="宋体"/>
          <w:sz w:val="24"/>
          <w:szCs w:val="24"/>
        </w:rPr>
        <w:t>投标货币</w:t>
      </w:r>
      <w:r>
        <w:rPr>
          <w:rFonts w:ascii="宋体" w:hAnsi="宋体"/>
          <w:sz w:val="24"/>
        </w:rPr>
        <w:tab/>
      </w:r>
      <w:r>
        <w:rPr>
          <w:rFonts w:ascii="宋体" w:hAnsi="宋体"/>
          <w:sz w:val="24"/>
        </w:rPr>
        <w:fldChar w:fldCharType="begin"/>
      </w:r>
      <w:r>
        <w:rPr>
          <w:rFonts w:ascii="宋体" w:hAnsi="宋体"/>
          <w:sz w:val="24"/>
        </w:rPr>
        <w:instrText xml:space="preserve"> PAGEREF _Toc453596802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"_Toc453596804" </w:instrText>
      </w:r>
      <w:r>
        <w:fldChar w:fldCharType="separate"/>
      </w:r>
      <w:r>
        <w:rPr>
          <w:rStyle w:val="37"/>
          <w:rFonts w:ascii="宋体" w:hAnsi="宋体"/>
          <w:sz w:val="24"/>
          <w:szCs w:val="24"/>
        </w:rPr>
        <w:t>2.2.4</w:t>
      </w:r>
      <w:r>
        <w:rPr>
          <w:rStyle w:val="37"/>
          <w:rFonts w:hint="eastAsia" w:ascii="宋体" w:hAnsi="宋体"/>
          <w:sz w:val="24"/>
          <w:szCs w:val="24"/>
        </w:rPr>
        <w:t>联合投标</w:t>
      </w:r>
      <w:r>
        <w:rPr>
          <w:rStyle w:val="37"/>
          <w:rFonts w:ascii="宋体" w:hAnsi="宋体"/>
          <w:sz w:val="24"/>
          <w:szCs w:val="24"/>
        </w:rPr>
        <w:t>(</w:t>
      </w:r>
      <w:r>
        <w:rPr>
          <w:rStyle w:val="37"/>
          <w:rFonts w:hint="eastAsia" w:ascii="宋体" w:hAnsi="宋体"/>
          <w:sz w:val="24"/>
          <w:szCs w:val="24"/>
        </w:rPr>
        <w:t>本项目不适用联合体投标</w:t>
      </w:r>
      <w:r>
        <w:rPr>
          <w:rStyle w:val="37"/>
          <w:rFonts w:ascii="宋体" w:hAnsi="宋体"/>
          <w:sz w:val="24"/>
          <w:szCs w:val="24"/>
        </w:rPr>
        <w:t>)</w:t>
      </w:r>
      <w:r>
        <w:rPr>
          <w:rFonts w:ascii="宋体" w:hAnsi="宋体"/>
          <w:sz w:val="24"/>
        </w:rPr>
        <w:tab/>
      </w:r>
      <w:r>
        <w:rPr>
          <w:rFonts w:ascii="宋体" w:hAnsi="宋体"/>
          <w:sz w:val="24"/>
        </w:rPr>
        <w:fldChar w:fldCharType="begin"/>
      </w:r>
      <w:r>
        <w:rPr>
          <w:rFonts w:ascii="宋体" w:hAnsi="宋体"/>
          <w:sz w:val="24"/>
        </w:rPr>
        <w:instrText xml:space="preserve"> PAGEREF _Toc453596804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"_Toc453596809" </w:instrText>
      </w:r>
      <w:r>
        <w:fldChar w:fldCharType="separate"/>
      </w:r>
      <w:r>
        <w:rPr>
          <w:rStyle w:val="37"/>
          <w:rFonts w:ascii="宋体" w:hAnsi="宋体"/>
          <w:sz w:val="24"/>
          <w:szCs w:val="24"/>
        </w:rPr>
        <w:t>2.2.5</w:t>
      </w:r>
      <w:r>
        <w:rPr>
          <w:rStyle w:val="37"/>
          <w:rFonts w:hint="eastAsia" w:ascii="宋体" w:hAnsi="宋体"/>
          <w:sz w:val="24"/>
          <w:szCs w:val="24"/>
        </w:rPr>
        <w:t>知识产权</w:t>
      </w:r>
      <w:r>
        <w:rPr>
          <w:rFonts w:ascii="宋体" w:hAnsi="宋体"/>
          <w:sz w:val="24"/>
        </w:rPr>
        <w:tab/>
      </w:r>
      <w:r>
        <w:rPr>
          <w:rFonts w:ascii="宋体" w:hAnsi="宋体"/>
          <w:sz w:val="24"/>
        </w:rPr>
        <w:fldChar w:fldCharType="begin"/>
      </w:r>
      <w:r>
        <w:rPr>
          <w:rFonts w:ascii="宋体" w:hAnsi="宋体"/>
          <w:sz w:val="24"/>
        </w:rPr>
        <w:instrText xml:space="preserve"> PAGEREF _Toc453596809 \h </w:instrText>
      </w:r>
      <w:r>
        <w:rPr>
          <w:rFonts w:ascii="宋体" w:hAnsi="宋体"/>
          <w:sz w:val="24"/>
        </w:rPr>
        <w:fldChar w:fldCharType="separate"/>
      </w:r>
      <w:r>
        <w:rPr>
          <w:rFonts w:ascii="宋体" w:hAnsi="宋体"/>
          <w:sz w:val="24"/>
        </w:rPr>
        <w:t>13</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"_Toc453596814" </w:instrText>
      </w:r>
      <w:r>
        <w:fldChar w:fldCharType="separate"/>
      </w:r>
      <w:r>
        <w:rPr>
          <w:rStyle w:val="37"/>
          <w:rFonts w:ascii="宋体" w:hAnsi="宋体"/>
          <w:sz w:val="24"/>
          <w:szCs w:val="24"/>
        </w:rPr>
        <w:t>2.2.6</w:t>
      </w:r>
      <w:r>
        <w:rPr>
          <w:rStyle w:val="37"/>
          <w:rFonts w:hint="eastAsia" w:ascii="宋体" w:hAnsi="宋体"/>
          <w:sz w:val="24"/>
          <w:szCs w:val="24"/>
        </w:rPr>
        <w:t>投标综合要求及说明</w:t>
      </w:r>
      <w:r>
        <w:rPr>
          <w:rFonts w:ascii="宋体" w:hAnsi="宋体"/>
          <w:sz w:val="24"/>
        </w:rPr>
        <w:tab/>
      </w:r>
      <w:r>
        <w:rPr>
          <w:rFonts w:ascii="宋体" w:hAnsi="宋体"/>
          <w:sz w:val="24"/>
        </w:rPr>
        <w:fldChar w:fldCharType="begin"/>
      </w:r>
      <w:r>
        <w:rPr>
          <w:rFonts w:ascii="宋体" w:hAnsi="宋体"/>
          <w:sz w:val="24"/>
        </w:rPr>
        <w:instrText xml:space="preserve"> PAGEREF _Toc453596814 \h </w:instrText>
      </w:r>
      <w:r>
        <w:rPr>
          <w:rFonts w:ascii="宋体" w:hAnsi="宋体"/>
          <w:sz w:val="24"/>
        </w:rPr>
        <w:fldChar w:fldCharType="separate"/>
      </w:r>
      <w:r>
        <w:rPr>
          <w:rFonts w:ascii="宋体" w:hAnsi="宋体"/>
          <w:sz w:val="24"/>
        </w:rPr>
        <w:t>13</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"_Toc453596815" </w:instrText>
      </w:r>
      <w:r>
        <w:fldChar w:fldCharType="separate"/>
      </w:r>
      <w:r>
        <w:rPr>
          <w:rStyle w:val="37"/>
          <w:rFonts w:ascii="宋体" w:hAnsi="宋体"/>
          <w:sz w:val="24"/>
          <w:szCs w:val="24"/>
        </w:rPr>
        <w:t>2.2.7</w:t>
      </w:r>
      <w:r>
        <w:rPr>
          <w:rStyle w:val="37"/>
          <w:rFonts w:hint="eastAsia" w:ascii="宋体" w:hAnsi="宋体"/>
          <w:sz w:val="24"/>
          <w:szCs w:val="24"/>
        </w:rPr>
        <w:t>投标文件的组成</w:t>
      </w:r>
      <w:r>
        <w:rPr>
          <w:rFonts w:ascii="宋体" w:hAnsi="宋体"/>
          <w:sz w:val="24"/>
        </w:rPr>
        <w:tab/>
      </w:r>
      <w:r>
        <w:rPr>
          <w:rFonts w:ascii="宋体" w:hAnsi="宋体"/>
          <w:sz w:val="24"/>
        </w:rPr>
        <w:fldChar w:fldCharType="begin"/>
      </w:r>
      <w:r>
        <w:rPr>
          <w:rFonts w:ascii="宋体" w:hAnsi="宋体"/>
          <w:sz w:val="24"/>
        </w:rPr>
        <w:instrText xml:space="preserve"> PAGEREF _Toc453596815 \h </w:instrText>
      </w:r>
      <w:r>
        <w:rPr>
          <w:rFonts w:ascii="宋体" w:hAnsi="宋体"/>
          <w:sz w:val="24"/>
        </w:rPr>
        <w:fldChar w:fldCharType="separate"/>
      </w:r>
      <w:r>
        <w:rPr>
          <w:rFonts w:ascii="宋体" w:hAnsi="宋体"/>
          <w:sz w:val="24"/>
        </w:rPr>
        <w:t>14</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"_Toc453596816" </w:instrText>
      </w:r>
      <w:r>
        <w:fldChar w:fldCharType="separate"/>
      </w:r>
      <w:r>
        <w:rPr>
          <w:rStyle w:val="37"/>
          <w:rFonts w:ascii="宋体" w:hAnsi="宋体"/>
          <w:sz w:val="24"/>
          <w:szCs w:val="24"/>
        </w:rPr>
        <w:t>2.2.8</w:t>
      </w:r>
      <w:r>
        <w:rPr>
          <w:rStyle w:val="37"/>
          <w:rFonts w:hint="eastAsia" w:ascii="宋体" w:hAnsi="宋体"/>
          <w:sz w:val="24"/>
          <w:szCs w:val="24"/>
        </w:rPr>
        <w:t>投标文件格式</w:t>
      </w:r>
      <w:r>
        <w:rPr>
          <w:rFonts w:ascii="宋体" w:hAnsi="宋体"/>
          <w:sz w:val="24"/>
        </w:rPr>
        <w:tab/>
      </w:r>
      <w:r>
        <w:rPr>
          <w:rFonts w:ascii="宋体" w:hAnsi="宋体"/>
          <w:sz w:val="24"/>
        </w:rPr>
        <w:fldChar w:fldCharType="begin"/>
      </w:r>
      <w:r>
        <w:rPr>
          <w:rFonts w:ascii="宋体" w:hAnsi="宋体"/>
          <w:sz w:val="24"/>
        </w:rPr>
        <w:instrText xml:space="preserve"> PAGEREF _Toc453596816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"_Toc453596817" </w:instrText>
      </w:r>
      <w:r>
        <w:fldChar w:fldCharType="separate"/>
      </w:r>
      <w:r>
        <w:rPr>
          <w:rStyle w:val="37"/>
          <w:rFonts w:ascii="宋体" w:hAnsi="宋体"/>
          <w:sz w:val="24"/>
          <w:szCs w:val="24"/>
        </w:rPr>
        <w:t>2.2.9</w:t>
      </w:r>
      <w:r>
        <w:rPr>
          <w:rStyle w:val="37"/>
          <w:rFonts w:hint="eastAsia" w:ascii="宋体" w:hAnsi="宋体"/>
          <w:sz w:val="24"/>
          <w:szCs w:val="24"/>
        </w:rPr>
        <w:t>投标有效期</w:t>
      </w:r>
      <w:r>
        <w:rPr>
          <w:rFonts w:ascii="宋体" w:hAnsi="宋体"/>
          <w:sz w:val="24"/>
        </w:rPr>
        <w:tab/>
      </w:r>
      <w:r>
        <w:rPr>
          <w:rFonts w:ascii="宋体" w:hAnsi="宋体"/>
          <w:sz w:val="24"/>
        </w:rPr>
        <w:fldChar w:fldCharType="begin"/>
      </w:r>
      <w:r>
        <w:rPr>
          <w:rFonts w:ascii="宋体" w:hAnsi="宋体"/>
          <w:sz w:val="24"/>
        </w:rPr>
        <w:instrText xml:space="preserve"> PAGEREF _Toc453596817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"_Toc453596818" </w:instrText>
      </w:r>
      <w:r>
        <w:fldChar w:fldCharType="separate"/>
      </w:r>
      <w:r>
        <w:rPr>
          <w:rStyle w:val="37"/>
          <w:rFonts w:ascii="宋体" w:hAnsi="宋体"/>
          <w:sz w:val="24"/>
          <w:szCs w:val="24"/>
        </w:rPr>
        <w:t xml:space="preserve">2.2.10 </w:t>
      </w:r>
      <w:r>
        <w:rPr>
          <w:rStyle w:val="37"/>
          <w:rFonts w:hint="eastAsia" w:ascii="宋体" w:hAnsi="宋体"/>
          <w:sz w:val="24"/>
          <w:szCs w:val="24"/>
        </w:rPr>
        <w:t>投标保证金</w:t>
      </w:r>
      <w:r>
        <w:rPr>
          <w:rFonts w:ascii="宋体" w:hAnsi="宋体"/>
          <w:sz w:val="24"/>
        </w:rPr>
        <w:tab/>
      </w:r>
      <w:r>
        <w:rPr>
          <w:rFonts w:ascii="宋体" w:hAnsi="宋体"/>
          <w:sz w:val="24"/>
        </w:rPr>
        <w:fldChar w:fldCharType="begin"/>
      </w:r>
      <w:r>
        <w:rPr>
          <w:rFonts w:ascii="宋体" w:hAnsi="宋体"/>
          <w:sz w:val="24"/>
        </w:rPr>
        <w:instrText xml:space="preserve"> PAGEREF _Toc453596818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"_Toc453596819" </w:instrText>
      </w:r>
      <w:r>
        <w:fldChar w:fldCharType="separate"/>
      </w:r>
      <w:r>
        <w:rPr>
          <w:rStyle w:val="37"/>
          <w:rFonts w:ascii="宋体" w:hAnsi="宋体"/>
          <w:sz w:val="24"/>
          <w:szCs w:val="24"/>
        </w:rPr>
        <w:t>2.2.11</w:t>
      </w:r>
      <w:r>
        <w:rPr>
          <w:rStyle w:val="37"/>
          <w:rFonts w:hint="eastAsia" w:ascii="宋体" w:hAnsi="宋体"/>
          <w:sz w:val="24"/>
          <w:szCs w:val="24"/>
        </w:rPr>
        <w:t>投标文件的份数和签署</w:t>
      </w:r>
      <w:r>
        <w:rPr>
          <w:rFonts w:ascii="宋体" w:hAnsi="宋体"/>
          <w:sz w:val="24"/>
        </w:rPr>
        <w:tab/>
      </w:r>
      <w:r>
        <w:rPr>
          <w:rFonts w:ascii="宋体" w:hAnsi="宋体"/>
          <w:sz w:val="24"/>
        </w:rPr>
        <w:fldChar w:fldCharType="begin"/>
      </w:r>
      <w:r>
        <w:rPr>
          <w:rFonts w:ascii="宋体" w:hAnsi="宋体"/>
          <w:sz w:val="24"/>
        </w:rPr>
        <w:instrText xml:space="preserve"> PAGEREF _Toc453596819 \h </w:instrText>
      </w:r>
      <w:r>
        <w:rPr>
          <w:rFonts w:ascii="宋体" w:hAnsi="宋体"/>
          <w:sz w:val="24"/>
        </w:rPr>
        <w:fldChar w:fldCharType="separate"/>
      </w:r>
      <w:r>
        <w:rPr>
          <w:rFonts w:ascii="宋体" w:hAnsi="宋体"/>
          <w:sz w:val="24"/>
        </w:rPr>
        <w:t>17</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"_Toc453596820" </w:instrText>
      </w:r>
      <w:r>
        <w:fldChar w:fldCharType="separate"/>
      </w:r>
      <w:r>
        <w:rPr>
          <w:rStyle w:val="37"/>
          <w:rFonts w:ascii="宋体" w:hAnsi="宋体"/>
          <w:sz w:val="24"/>
          <w:szCs w:val="24"/>
        </w:rPr>
        <w:t xml:space="preserve">2.2.12 </w:t>
      </w:r>
      <w:r>
        <w:rPr>
          <w:rStyle w:val="37"/>
          <w:rFonts w:hint="eastAsia" w:ascii="宋体" w:hAnsi="宋体"/>
          <w:sz w:val="24"/>
          <w:szCs w:val="24"/>
        </w:rPr>
        <w:t>投标文件的密封</w:t>
      </w:r>
      <w:r>
        <w:rPr>
          <w:rFonts w:ascii="宋体" w:hAnsi="宋体"/>
          <w:sz w:val="24"/>
        </w:rPr>
        <w:tab/>
      </w:r>
      <w:r>
        <w:rPr>
          <w:rFonts w:ascii="宋体" w:hAnsi="宋体"/>
          <w:sz w:val="24"/>
        </w:rPr>
        <w:fldChar w:fldCharType="begin"/>
      </w:r>
      <w:r>
        <w:rPr>
          <w:rFonts w:ascii="宋体" w:hAnsi="宋体"/>
          <w:sz w:val="24"/>
        </w:rPr>
        <w:instrText xml:space="preserve"> PAGEREF _Toc453596820 \h </w:instrText>
      </w:r>
      <w:r>
        <w:rPr>
          <w:rFonts w:ascii="宋体" w:hAnsi="宋体"/>
          <w:sz w:val="24"/>
        </w:rPr>
        <w:fldChar w:fldCharType="separate"/>
      </w:r>
      <w:r>
        <w:rPr>
          <w:rFonts w:ascii="宋体" w:hAnsi="宋体"/>
          <w:sz w:val="24"/>
        </w:rPr>
        <w:t>17</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"_Toc453596821" </w:instrText>
      </w:r>
      <w:r>
        <w:fldChar w:fldCharType="separate"/>
      </w:r>
      <w:r>
        <w:rPr>
          <w:rStyle w:val="37"/>
          <w:rFonts w:ascii="宋体" w:hAnsi="宋体"/>
          <w:sz w:val="24"/>
          <w:szCs w:val="24"/>
        </w:rPr>
        <w:t>2.2.13</w:t>
      </w:r>
      <w:r>
        <w:rPr>
          <w:rStyle w:val="37"/>
          <w:rFonts w:hint="eastAsia" w:ascii="宋体" w:hAnsi="宋体"/>
          <w:sz w:val="24"/>
          <w:szCs w:val="24"/>
        </w:rPr>
        <w:t>投标文件递交</w:t>
      </w:r>
      <w:r>
        <w:rPr>
          <w:rFonts w:ascii="宋体" w:hAnsi="宋体"/>
          <w:sz w:val="24"/>
        </w:rPr>
        <w:tab/>
      </w:r>
      <w:r>
        <w:rPr>
          <w:rFonts w:ascii="宋体" w:hAnsi="宋体"/>
          <w:sz w:val="24"/>
        </w:rPr>
        <w:fldChar w:fldCharType="begin"/>
      </w:r>
      <w:r>
        <w:rPr>
          <w:rFonts w:ascii="宋体" w:hAnsi="宋体"/>
          <w:sz w:val="24"/>
        </w:rPr>
        <w:instrText xml:space="preserve"> PAGEREF _Toc453596821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"_Toc453596822" </w:instrText>
      </w:r>
      <w:r>
        <w:fldChar w:fldCharType="separate"/>
      </w:r>
      <w:r>
        <w:rPr>
          <w:rStyle w:val="37"/>
          <w:rFonts w:ascii="宋体" w:hAnsi="宋体"/>
          <w:sz w:val="24"/>
          <w:szCs w:val="24"/>
        </w:rPr>
        <w:t xml:space="preserve">2.2.14 </w:t>
      </w:r>
      <w:r>
        <w:rPr>
          <w:rStyle w:val="37"/>
          <w:rFonts w:hint="eastAsia" w:ascii="宋体" w:hAnsi="宋体"/>
          <w:sz w:val="24"/>
          <w:szCs w:val="24"/>
        </w:rPr>
        <w:t>投标文件递交时间</w:t>
      </w:r>
      <w:r>
        <w:rPr>
          <w:rFonts w:ascii="宋体" w:hAnsi="宋体"/>
          <w:sz w:val="24"/>
        </w:rPr>
        <w:tab/>
      </w:r>
      <w:r>
        <w:rPr>
          <w:rFonts w:ascii="宋体" w:hAnsi="宋体"/>
          <w:sz w:val="24"/>
        </w:rPr>
        <w:fldChar w:fldCharType="begin"/>
      </w:r>
      <w:r>
        <w:rPr>
          <w:rFonts w:ascii="宋体" w:hAnsi="宋体"/>
          <w:sz w:val="24"/>
        </w:rPr>
        <w:instrText xml:space="preserve"> PAGEREF _Toc453596822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"_Toc453596823" </w:instrText>
      </w:r>
      <w:r>
        <w:fldChar w:fldCharType="separate"/>
      </w:r>
      <w:r>
        <w:rPr>
          <w:rStyle w:val="37"/>
          <w:rFonts w:ascii="宋体" w:hAnsi="宋体"/>
          <w:sz w:val="24"/>
          <w:szCs w:val="24"/>
        </w:rPr>
        <w:t xml:space="preserve">2.2.15 </w:t>
      </w:r>
      <w:r>
        <w:rPr>
          <w:rStyle w:val="37"/>
          <w:rFonts w:hint="eastAsia" w:ascii="宋体" w:hAnsi="宋体"/>
          <w:sz w:val="24"/>
          <w:szCs w:val="24"/>
        </w:rPr>
        <w:t>投标文件的修改与撤回</w:t>
      </w:r>
      <w:r>
        <w:rPr>
          <w:rFonts w:ascii="宋体" w:hAnsi="宋体"/>
          <w:sz w:val="24"/>
        </w:rPr>
        <w:tab/>
      </w:r>
      <w:r>
        <w:rPr>
          <w:rFonts w:ascii="宋体" w:hAnsi="宋体"/>
          <w:sz w:val="24"/>
        </w:rPr>
        <w:fldChar w:fldCharType="begin"/>
      </w:r>
      <w:r>
        <w:rPr>
          <w:rFonts w:ascii="宋体" w:hAnsi="宋体"/>
          <w:sz w:val="24"/>
        </w:rPr>
        <w:instrText xml:space="preserve"> PAGEREF _Toc453596823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"_Toc453596824" </w:instrText>
      </w:r>
      <w:r>
        <w:fldChar w:fldCharType="separate"/>
      </w:r>
      <w:r>
        <w:rPr>
          <w:rStyle w:val="37"/>
          <w:rFonts w:ascii="宋体" w:hAnsi="宋体"/>
          <w:sz w:val="24"/>
          <w:szCs w:val="24"/>
        </w:rPr>
        <w:t xml:space="preserve">2.3 </w:t>
      </w:r>
      <w:r>
        <w:rPr>
          <w:rStyle w:val="37"/>
          <w:rFonts w:hint="eastAsia" w:ascii="宋体" w:hAnsi="宋体"/>
          <w:sz w:val="24"/>
          <w:szCs w:val="24"/>
        </w:rPr>
        <w:t>开标</w:t>
      </w:r>
      <w:r>
        <w:rPr>
          <w:rFonts w:ascii="宋体" w:hAnsi="宋体"/>
          <w:sz w:val="24"/>
        </w:rPr>
        <w:tab/>
      </w:r>
      <w:r>
        <w:rPr>
          <w:rFonts w:ascii="宋体" w:hAnsi="宋体"/>
          <w:sz w:val="24"/>
        </w:rPr>
        <w:fldChar w:fldCharType="begin"/>
      </w:r>
      <w:r>
        <w:rPr>
          <w:rFonts w:ascii="宋体" w:hAnsi="宋体"/>
          <w:sz w:val="24"/>
        </w:rPr>
        <w:instrText xml:space="preserve"> PAGEREF _Toc453596824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"_Toc453596825" </w:instrText>
      </w:r>
      <w:r>
        <w:fldChar w:fldCharType="separate"/>
      </w:r>
      <w:r>
        <w:rPr>
          <w:rStyle w:val="37"/>
          <w:rFonts w:ascii="宋体" w:hAnsi="宋体"/>
          <w:bCs/>
          <w:sz w:val="24"/>
          <w:szCs w:val="24"/>
        </w:rPr>
        <w:t>2.4</w:t>
      </w:r>
      <w:r>
        <w:rPr>
          <w:rStyle w:val="37"/>
          <w:rFonts w:hint="eastAsia" w:ascii="宋体" w:hAnsi="宋体"/>
          <w:bCs/>
          <w:sz w:val="24"/>
          <w:szCs w:val="24"/>
        </w:rPr>
        <w:t>评标</w:t>
      </w:r>
      <w:r>
        <w:rPr>
          <w:rFonts w:ascii="宋体" w:hAnsi="宋体"/>
          <w:sz w:val="24"/>
        </w:rPr>
        <w:tab/>
      </w:r>
      <w:r>
        <w:rPr>
          <w:rFonts w:ascii="宋体" w:hAnsi="宋体"/>
          <w:sz w:val="24"/>
        </w:rPr>
        <w:fldChar w:fldCharType="begin"/>
      </w:r>
      <w:r>
        <w:rPr>
          <w:rFonts w:ascii="宋体" w:hAnsi="宋体"/>
          <w:sz w:val="24"/>
        </w:rPr>
        <w:instrText xml:space="preserve"> PAGEREF _Toc453596825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Style w:val="37"/>
          <w:rFonts w:ascii="宋体" w:hAnsi="宋体"/>
          <w:sz w:val="24"/>
          <w:szCs w:val="24"/>
        </w:rPr>
      </w:pPr>
      <w:r>
        <w:fldChar w:fldCharType="begin"/>
      </w:r>
      <w:r>
        <w:instrText xml:space="preserve"> HYPERLINK \l "_Toc453596826" </w:instrText>
      </w:r>
      <w:r>
        <w:fldChar w:fldCharType="separate"/>
      </w:r>
      <w:r>
        <w:rPr>
          <w:rStyle w:val="37"/>
          <w:rFonts w:ascii="宋体" w:hAnsi="宋体"/>
          <w:bCs/>
          <w:sz w:val="24"/>
          <w:szCs w:val="24"/>
        </w:rPr>
        <w:t>2.5</w:t>
      </w:r>
      <w:r>
        <w:rPr>
          <w:rStyle w:val="37"/>
          <w:rFonts w:hint="eastAsia" w:ascii="宋体" w:hAnsi="宋体"/>
          <w:bCs/>
          <w:sz w:val="24"/>
          <w:szCs w:val="24"/>
        </w:rPr>
        <w:t>定标</w:t>
      </w:r>
      <w:r>
        <w:rPr>
          <w:rFonts w:ascii="宋体" w:hAnsi="宋体"/>
          <w:sz w:val="24"/>
        </w:rPr>
        <w:tab/>
      </w:r>
      <w:r>
        <w:rPr>
          <w:rFonts w:ascii="宋体" w:hAnsi="宋体"/>
          <w:sz w:val="24"/>
        </w:rPr>
        <w:fldChar w:fldCharType="begin"/>
      </w:r>
      <w:r>
        <w:rPr>
          <w:rFonts w:ascii="宋体" w:hAnsi="宋体"/>
          <w:sz w:val="24"/>
        </w:rPr>
        <w:instrText xml:space="preserve"> PAGEREF _Toc453596826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"_Toc453596827" </w:instrText>
      </w:r>
      <w:r>
        <w:fldChar w:fldCharType="separate"/>
      </w:r>
      <w:r>
        <w:rPr>
          <w:rStyle w:val="37"/>
          <w:rFonts w:ascii="宋体" w:hAnsi="宋体"/>
          <w:sz w:val="24"/>
          <w:szCs w:val="24"/>
        </w:rPr>
        <w:t>2.6</w:t>
      </w:r>
      <w:r>
        <w:rPr>
          <w:rStyle w:val="37"/>
          <w:rFonts w:hint="eastAsia" w:ascii="宋体" w:hAnsi="宋体"/>
          <w:sz w:val="24"/>
          <w:szCs w:val="24"/>
        </w:rPr>
        <w:t>中标通知书及中标供应商的确定</w:t>
      </w:r>
      <w:r>
        <w:rPr>
          <w:rFonts w:ascii="宋体" w:hAnsi="宋体"/>
          <w:sz w:val="24"/>
        </w:rPr>
        <w:tab/>
      </w:r>
      <w:r>
        <w:rPr>
          <w:rFonts w:ascii="宋体" w:hAnsi="宋体"/>
          <w:sz w:val="24"/>
        </w:rPr>
        <w:fldChar w:fldCharType="begin"/>
      </w:r>
      <w:r>
        <w:rPr>
          <w:rFonts w:ascii="宋体" w:hAnsi="宋体"/>
          <w:sz w:val="24"/>
        </w:rPr>
        <w:instrText xml:space="preserve"> PAGEREF _Toc453596827 \h </w:instrText>
      </w:r>
      <w:r>
        <w:rPr>
          <w:rFonts w:ascii="宋体" w:hAnsi="宋体"/>
          <w:sz w:val="24"/>
        </w:rPr>
        <w:fldChar w:fldCharType="separate"/>
      </w:r>
      <w:r>
        <w:rPr>
          <w:rFonts w:ascii="宋体" w:hAnsi="宋体"/>
          <w:sz w:val="24"/>
        </w:rPr>
        <w:t>21</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"_Toc453596828" </w:instrText>
      </w:r>
      <w:r>
        <w:fldChar w:fldCharType="separate"/>
      </w:r>
      <w:r>
        <w:rPr>
          <w:rStyle w:val="37"/>
          <w:rFonts w:ascii="宋体" w:hAnsi="宋体"/>
          <w:sz w:val="24"/>
          <w:szCs w:val="24"/>
        </w:rPr>
        <w:t xml:space="preserve">2.6.1 </w:t>
      </w:r>
      <w:r>
        <w:rPr>
          <w:rStyle w:val="37"/>
          <w:rFonts w:hint="eastAsia" w:ascii="宋体" w:hAnsi="宋体"/>
          <w:sz w:val="24"/>
          <w:szCs w:val="24"/>
        </w:rPr>
        <w:t>中标供应商的确定</w:t>
      </w:r>
      <w:r>
        <w:rPr>
          <w:rFonts w:ascii="宋体" w:hAnsi="宋体"/>
          <w:sz w:val="24"/>
        </w:rPr>
        <w:tab/>
      </w:r>
      <w:r>
        <w:rPr>
          <w:rFonts w:ascii="宋体" w:hAnsi="宋体"/>
          <w:sz w:val="24"/>
        </w:rPr>
        <w:fldChar w:fldCharType="begin"/>
      </w:r>
      <w:r>
        <w:rPr>
          <w:rFonts w:ascii="宋体" w:hAnsi="宋体"/>
          <w:sz w:val="24"/>
        </w:rPr>
        <w:instrText xml:space="preserve"> PAGEREF _Toc453596828 \h </w:instrText>
      </w:r>
      <w:r>
        <w:rPr>
          <w:rFonts w:ascii="宋体" w:hAnsi="宋体"/>
          <w:sz w:val="24"/>
        </w:rPr>
        <w:fldChar w:fldCharType="separate"/>
      </w:r>
      <w:r>
        <w:rPr>
          <w:rFonts w:ascii="宋体" w:hAnsi="宋体"/>
          <w:sz w:val="24"/>
        </w:rPr>
        <w:t>21</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"_Toc453596829" </w:instrText>
      </w:r>
      <w:r>
        <w:fldChar w:fldCharType="separate"/>
      </w:r>
      <w:r>
        <w:rPr>
          <w:rStyle w:val="37"/>
          <w:rFonts w:ascii="宋体" w:hAnsi="宋体"/>
          <w:sz w:val="24"/>
          <w:szCs w:val="24"/>
        </w:rPr>
        <w:t xml:space="preserve">2.6.2 </w:t>
      </w:r>
      <w:r>
        <w:rPr>
          <w:rStyle w:val="37"/>
          <w:rFonts w:hint="eastAsia" w:ascii="宋体" w:hAnsi="宋体"/>
          <w:sz w:val="24"/>
          <w:szCs w:val="24"/>
        </w:rPr>
        <w:t>合同授予原则</w:t>
      </w:r>
      <w:r>
        <w:rPr>
          <w:rFonts w:ascii="宋体" w:hAnsi="宋体"/>
          <w:sz w:val="24"/>
        </w:rPr>
        <w:tab/>
      </w:r>
      <w:r>
        <w:rPr>
          <w:rFonts w:ascii="宋体" w:hAnsi="宋体"/>
          <w:sz w:val="24"/>
        </w:rPr>
        <w:fldChar w:fldCharType="begin"/>
      </w:r>
      <w:r>
        <w:rPr>
          <w:rFonts w:ascii="宋体" w:hAnsi="宋体"/>
          <w:sz w:val="24"/>
        </w:rPr>
        <w:instrText xml:space="preserve"> PAGEREF _Toc453596829 \h </w:instrText>
      </w:r>
      <w:r>
        <w:rPr>
          <w:rFonts w:ascii="宋体" w:hAnsi="宋体"/>
          <w:sz w:val="24"/>
        </w:rPr>
        <w:fldChar w:fldCharType="separate"/>
      </w:r>
      <w:r>
        <w:rPr>
          <w:rFonts w:ascii="宋体" w:hAnsi="宋体"/>
          <w:sz w:val="24"/>
        </w:rPr>
        <w:t>22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"_Toc453596830" </w:instrText>
      </w:r>
      <w:r>
        <w:fldChar w:fldCharType="separate"/>
      </w:r>
      <w:r>
        <w:rPr>
          <w:rStyle w:val="37"/>
          <w:rFonts w:ascii="宋体" w:hAnsi="宋体"/>
          <w:sz w:val="24"/>
          <w:szCs w:val="24"/>
        </w:rPr>
        <w:t xml:space="preserve">2.6.3 </w:t>
      </w:r>
      <w:r>
        <w:rPr>
          <w:rStyle w:val="37"/>
          <w:rFonts w:hint="eastAsia" w:ascii="宋体" w:hAnsi="宋体"/>
          <w:sz w:val="24"/>
          <w:szCs w:val="24"/>
        </w:rPr>
        <w:t>合同的签署、履行及验收</w:t>
      </w:r>
      <w:r>
        <w:rPr>
          <w:rFonts w:ascii="宋体" w:hAnsi="宋体"/>
          <w:sz w:val="24"/>
        </w:rPr>
        <w:tab/>
      </w:r>
      <w:r>
        <w:rPr>
          <w:rFonts w:ascii="宋体" w:hAnsi="宋体"/>
          <w:sz w:val="24"/>
        </w:rPr>
        <w:fldChar w:fldCharType="begin"/>
      </w:r>
      <w:r>
        <w:rPr>
          <w:rFonts w:ascii="宋体" w:hAnsi="宋体"/>
          <w:sz w:val="24"/>
        </w:rPr>
        <w:instrText xml:space="preserve"> PAGEREF _Toc453596830 \h </w:instrText>
      </w:r>
      <w:r>
        <w:rPr>
          <w:rFonts w:ascii="宋体" w:hAnsi="宋体"/>
          <w:sz w:val="24"/>
        </w:rPr>
        <w:fldChar w:fldCharType="separate"/>
      </w:r>
      <w:r>
        <w:rPr>
          <w:rFonts w:ascii="宋体" w:hAnsi="宋体"/>
          <w:sz w:val="24"/>
        </w:rPr>
        <w:t>22</w:t>
      </w:r>
      <w:r>
        <w:rPr>
          <w:rFonts w:ascii="宋体" w:hAnsi="宋体"/>
          <w:sz w:val="24"/>
        </w:rPr>
        <w:fldChar w:fldCharType="end"/>
      </w:r>
      <w:r>
        <w:rPr>
          <w:rFonts w:ascii="宋体" w:hAnsi="宋体"/>
          <w:sz w:val="24"/>
        </w:rPr>
        <w:fldChar w:fldCharType="end"/>
      </w:r>
    </w:p>
    <w:p>
      <w:pPr>
        <w:pStyle w:val="16"/>
        <w:tabs>
          <w:tab w:val="right" w:leader="dot" w:pos="9344"/>
        </w:tabs>
        <w:spacing w:line="500" w:lineRule="exact"/>
        <w:rPr>
          <w:rFonts w:ascii="宋体" w:hAnsi="宋体"/>
          <w:sz w:val="24"/>
        </w:rPr>
      </w:pPr>
      <w:r>
        <w:fldChar w:fldCharType="begin"/>
      </w:r>
      <w:r>
        <w:instrText xml:space="preserve"> HYPERLINK \l "_Toc453596836" </w:instrText>
      </w:r>
      <w:r>
        <w:fldChar w:fldCharType="separate"/>
      </w:r>
      <w:r>
        <w:rPr>
          <w:rStyle w:val="37"/>
          <w:rFonts w:ascii="宋体" w:hAnsi="宋体"/>
          <w:sz w:val="24"/>
          <w:szCs w:val="24"/>
        </w:rPr>
        <w:t xml:space="preserve">2.6.4 </w:t>
      </w:r>
      <w:r>
        <w:rPr>
          <w:rStyle w:val="37"/>
          <w:rFonts w:hint="eastAsia" w:ascii="宋体" w:hAnsi="宋体"/>
          <w:sz w:val="24"/>
          <w:szCs w:val="24"/>
        </w:rPr>
        <w:t>其他</w:t>
      </w:r>
      <w:r>
        <w:rPr>
          <w:rFonts w:ascii="宋体" w:hAnsi="宋体"/>
          <w:sz w:val="24"/>
        </w:rPr>
        <w:tab/>
      </w:r>
      <w:r>
        <w:rPr>
          <w:rFonts w:ascii="宋体" w:hAnsi="宋体"/>
          <w:sz w:val="24"/>
        </w:rPr>
        <w:fldChar w:fldCharType="begin"/>
      </w:r>
      <w:r>
        <w:rPr>
          <w:rFonts w:ascii="宋体" w:hAnsi="宋体"/>
          <w:sz w:val="24"/>
        </w:rPr>
        <w:instrText xml:space="preserve"> PAGEREF _Toc453596836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"_Toc453596837" </w:instrText>
      </w:r>
      <w:r>
        <w:fldChar w:fldCharType="separate"/>
      </w:r>
      <w:r>
        <w:rPr>
          <w:rStyle w:val="37"/>
          <w:rFonts w:ascii="宋体" w:hAnsi="宋体"/>
          <w:sz w:val="24"/>
          <w:szCs w:val="24"/>
        </w:rPr>
        <w:t>3</w:t>
      </w:r>
      <w:r>
        <w:rPr>
          <w:rStyle w:val="37"/>
          <w:rFonts w:hint="eastAsia" w:ascii="宋体" w:hAnsi="宋体"/>
          <w:sz w:val="24"/>
          <w:szCs w:val="24"/>
        </w:rPr>
        <w:t>、澄清和质疑</w:t>
      </w:r>
      <w:r>
        <w:rPr>
          <w:rFonts w:ascii="宋体" w:hAnsi="宋体"/>
          <w:sz w:val="24"/>
        </w:rPr>
        <w:tab/>
      </w:r>
      <w:r>
        <w:rPr>
          <w:rFonts w:ascii="宋体" w:hAnsi="宋体"/>
          <w:sz w:val="24"/>
        </w:rPr>
        <w:fldChar w:fldCharType="begin"/>
      </w:r>
      <w:r>
        <w:rPr>
          <w:rFonts w:ascii="宋体" w:hAnsi="宋体"/>
          <w:sz w:val="24"/>
        </w:rPr>
        <w:instrText xml:space="preserve"> PAGEREF _Toc453596837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"_Toc453596838" </w:instrText>
      </w:r>
      <w:r>
        <w:fldChar w:fldCharType="separate"/>
      </w:r>
      <w:r>
        <w:rPr>
          <w:rStyle w:val="37"/>
          <w:rFonts w:ascii="宋体" w:hAnsi="宋体"/>
          <w:sz w:val="24"/>
          <w:szCs w:val="24"/>
        </w:rPr>
        <w:t>3.1</w:t>
      </w:r>
      <w:r>
        <w:rPr>
          <w:rStyle w:val="37"/>
          <w:rFonts w:hint="eastAsia" w:ascii="宋体" w:hAnsi="宋体"/>
          <w:sz w:val="24"/>
          <w:szCs w:val="24"/>
        </w:rPr>
        <w:t>综合说明</w:t>
      </w:r>
      <w:r>
        <w:rPr>
          <w:rFonts w:ascii="宋体" w:hAnsi="宋体"/>
          <w:sz w:val="24"/>
        </w:rPr>
        <w:tab/>
      </w:r>
      <w:r>
        <w:rPr>
          <w:rFonts w:ascii="宋体" w:hAnsi="宋体"/>
          <w:sz w:val="24"/>
        </w:rPr>
        <w:fldChar w:fldCharType="begin"/>
      </w:r>
      <w:r>
        <w:rPr>
          <w:rFonts w:ascii="宋体" w:hAnsi="宋体"/>
          <w:sz w:val="24"/>
        </w:rPr>
        <w:instrText xml:space="preserve"> PAGEREF _Toc453596838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"_Toc453596839" </w:instrText>
      </w:r>
      <w:r>
        <w:fldChar w:fldCharType="separate"/>
      </w:r>
      <w:r>
        <w:rPr>
          <w:rStyle w:val="37"/>
          <w:rFonts w:ascii="宋体" w:hAnsi="宋体"/>
          <w:sz w:val="24"/>
          <w:szCs w:val="24"/>
        </w:rPr>
        <w:t>3.2</w:t>
      </w:r>
      <w:r>
        <w:rPr>
          <w:rStyle w:val="37"/>
          <w:rFonts w:hint="eastAsia" w:ascii="宋体" w:hAnsi="宋体"/>
          <w:sz w:val="24"/>
          <w:szCs w:val="24"/>
        </w:rPr>
        <w:t>对招标文件的澄清和质疑</w:t>
      </w:r>
      <w:r>
        <w:rPr>
          <w:rFonts w:ascii="宋体" w:hAnsi="宋体"/>
          <w:sz w:val="24"/>
        </w:rPr>
        <w:tab/>
      </w:r>
      <w:r>
        <w:rPr>
          <w:rFonts w:ascii="宋体" w:hAnsi="宋体"/>
          <w:sz w:val="24"/>
        </w:rPr>
        <w:fldChar w:fldCharType="begin"/>
      </w:r>
      <w:r>
        <w:rPr>
          <w:rFonts w:ascii="宋体" w:hAnsi="宋体"/>
          <w:sz w:val="24"/>
        </w:rPr>
        <w:instrText xml:space="preserve"> PAGEREF _Toc453596839 \h </w:instrText>
      </w:r>
      <w:r>
        <w:rPr>
          <w:rFonts w:ascii="宋体" w:hAnsi="宋体"/>
          <w:sz w:val="24"/>
        </w:rPr>
        <w:fldChar w:fldCharType="separate"/>
      </w:r>
      <w:r>
        <w:rPr>
          <w:rFonts w:ascii="宋体" w:hAnsi="宋体"/>
          <w:sz w:val="24"/>
        </w:rPr>
        <w:t>23</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"_Toc453596840" </w:instrText>
      </w:r>
      <w:r>
        <w:fldChar w:fldCharType="separate"/>
      </w:r>
      <w:r>
        <w:rPr>
          <w:rStyle w:val="37"/>
          <w:rFonts w:ascii="宋体" w:hAnsi="宋体"/>
          <w:sz w:val="24"/>
          <w:szCs w:val="24"/>
        </w:rPr>
        <w:t>3.3</w:t>
      </w:r>
      <w:r>
        <w:rPr>
          <w:rStyle w:val="37"/>
          <w:rFonts w:hint="eastAsia" w:ascii="宋体" w:hAnsi="宋体"/>
          <w:sz w:val="24"/>
          <w:szCs w:val="24"/>
        </w:rPr>
        <w:t>对招标过程和中标结果的质疑</w:t>
      </w:r>
      <w:r>
        <w:rPr>
          <w:rFonts w:ascii="宋体" w:hAnsi="宋体"/>
          <w:sz w:val="24"/>
        </w:rPr>
        <w:tab/>
      </w:r>
      <w:r>
        <w:rPr>
          <w:rFonts w:ascii="宋体" w:hAnsi="宋体"/>
          <w:sz w:val="24"/>
        </w:rPr>
        <w:fldChar w:fldCharType="begin"/>
      </w:r>
      <w:r>
        <w:rPr>
          <w:rFonts w:ascii="宋体" w:hAnsi="宋体"/>
          <w:sz w:val="24"/>
        </w:rPr>
        <w:instrText xml:space="preserve"> PAGEREF _Toc453596840 \h </w:instrText>
      </w:r>
      <w:r>
        <w:rPr>
          <w:rFonts w:ascii="宋体" w:hAnsi="宋体"/>
          <w:sz w:val="24"/>
        </w:rPr>
        <w:fldChar w:fldCharType="separate"/>
      </w:r>
      <w:r>
        <w:rPr>
          <w:rFonts w:ascii="宋体" w:hAnsi="宋体"/>
          <w:sz w:val="24"/>
        </w:rPr>
        <w:t>24</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"_Toc453596841" </w:instrText>
      </w:r>
      <w:r>
        <w:fldChar w:fldCharType="separate"/>
      </w:r>
      <w:r>
        <w:rPr>
          <w:rStyle w:val="37"/>
          <w:rFonts w:ascii="宋体" w:hAnsi="宋体"/>
          <w:sz w:val="24"/>
          <w:szCs w:val="24"/>
        </w:rPr>
        <w:t>3.4</w:t>
      </w:r>
      <w:r>
        <w:rPr>
          <w:rStyle w:val="37"/>
          <w:rFonts w:hint="eastAsia" w:ascii="宋体" w:hAnsi="宋体"/>
          <w:sz w:val="24"/>
          <w:szCs w:val="24"/>
        </w:rPr>
        <w:t>澄清或质疑不予受理的情况</w:t>
      </w:r>
      <w:r>
        <w:rPr>
          <w:rFonts w:ascii="宋体" w:hAnsi="宋体"/>
          <w:sz w:val="24"/>
        </w:rPr>
        <w:tab/>
      </w:r>
      <w:r>
        <w:rPr>
          <w:rFonts w:ascii="宋体" w:hAnsi="宋体"/>
          <w:sz w:val="24"/>
        </w:rPr>
        <w:fldChar w:fldCharType="begin"/>
      </w:r>
      <w:r>
        <w:rPr>
          <w:rFonts w:ascii="宋体" w:hAnsi="宋体"/>
          <w:sz w:val="24"/>
        </w:rPr>
        <w:instrText xml:space="preserve"> PAGEREF _Toc453596841 \h </w:instrText>
      </w:r>
      <w:r>
        <w:rPr>
          <w:rFonts w:ascii="宋体" w:hAnsi="宋体"/>
          <w:sz w:val="24"/>
        </w:rPr>
        <w:fldChar w:fldCharType="separate"/>
      </w:r>
      <w:r>
        <w:rPr>
          <w:rFonts w:ascii="宋体" w:hAnsi="宋体"/>
          <w:sz w:val="24"/>
        </w:rPr>
        <w:t>24</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"_Toc453596842" </w:instrText>
      </w:r>
      <w:r>
        <w:fldChar w:fldCharType="separate"/>
      </w:r>
      <w:r>
        <w:rPr>
          <w:rStyle w:val="37"/>
          <w:rFonts w:ascii="宋体" w:hAnsi="宋体"/>
          <w:sz w:val="24"/>
          <w:szCs w:val="24"/>
        </w:rPr>
        <w:t>3.5</w:t>
      </w:r>
      <w:r>
        <w:rPr>
          <w:rStyle w:val="37"/>
          <w:rFonts w:hint="eastAsia" w:ascii="宋体" w:hAnsi="宋体"/>
          <w:sz w:val="24"/>
          <w:szCs w:val="24"/>
        </w:rPr>
        <w:t>其他</w:t>
      </w:r>
      <w:r>
        <w:rPr>
          <w:rFonts w:ascii="宋体" w:hAnsi="宋体"/>
          <w:sz w:val="24"/>
        </w:rPr>
        <w:tab/>
      </w:r>
      <w:r>
        <w:rPr>
          <w:rFonts w:ascii="宋体" w:hAnsi="宋体"/>
          <w:sz w:val="24"/>
        </w:rPr>
        <w:fldChar w:fldCharType="begin"/>
      </w:r>
      <w:r>
        <w:rPr>
          <w:rFonts w:ascii="宋体" w:hAnsi="宋体"/>
          <w:sz w:val="24"/>
        </w:rPr>
        <w:instrText xml:space="preserve"> PAGEREF _Toc453596842 \h </w:instrText>
      </w:r>
      <w:r>
        <w:rPr>
          <w:rFonts w:ascii="宋体" w:hAnsi="宋体"/>
          <w:sz w:val="24"/>
        </w:rPr>
        <w:fldChar w:fldCharType="separate"/>
      </w:r>
      <w:r>
        <w:rPr>
          <w:rFonts w:ascii="宋体" w:hAnsi="宋体"/>
          <w:sz w:val="24"/>
        </w:rPr>
        <w:t>25</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"_Toc453596843" </w:instrText>
      </w:r>
      <w:r>
        <w:fldChar w:fldCharType="separate"/>
      </w:r>
      <w:r>
        <w:rPr>
          <w:rStyle w:val="37"/>
          <w:rFonts w:ascii="宋体" w:hAnsi="宋体"/>
          <w:sz w:val="24"/>
          <w:szCs w:val="24"/>
        </w:rPr>
        <w:t>4</w:t>
      </w:r>
      <w:r>
        <w:rPr>
          <w:rStyle w:val="37"/>
          <w:rFonts w:hint="eastAsia" w:ascii="宋体" w:hAnsi="宋体"/>
          <w:sz w:val="24"/>
          <w:szCs w:val="24"/>
        </w:rPr>
        <w:t>、货物需求</w:t>
      </w:r>
      <w:r>
        <w:rPr>
          <w:rFonts w:ascii="宋体" w:hAnsi="宋体"/>
          <w:sz w:val="24"/>
        </w:rPr>
        <w:tab/>
      </w:r>
      <w:r>
        <w:rPr>
          <w:rFonts w:ascii="宋体" w:hAnsi="宋体"/>
          <w:sz w:val="24"/>
        </w:rPr>
        <w:fldChar w:fldCharType="begin"/>
      </w:r>
      <w:r>
        <w:rPr>
          <w:rFonts w:ascii="宋体" w:hAnsi="宋体"/>
          <w:sz w:val="24"/>
        </w:rPr>
        <w:instrText xml:space="preserve"> PAGEREF _Toc453596843 \h </w:instrText>
      </w:r>
      <w:r>
        <w:rPr>
          <w:rFonts w:ascii="宋体" w:hAnsi="宋体"/>
          <w:sz w:val="24"/>
        </w:rPr>
        <w:fldChar w:fldCharType="separate"/>
      </w:r>
      <w:r>
        <w:rPr>
          <w:rFonts w:ascii="宋体" w:hAnsi="宋体"/>
          <w:sz w:val="24"/>
        </w:rPr>
        <w:t>26</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"_Toc453596844" </w:instrText>
      </w:r>
      <w:r>
        <w:fldChar w:fldCharType="separate"/>
      </w:r>
      <w:r>
        <w:rPr>
          <w:rStyle w:val="37"/>
          <w:rFonts w:ascii="宋体" w:hAnsi="宋体"/>
          <w:sz w:val="24"/>
          <w:szCs w:val="24"/>
        </w:rPr>
        <w:t>4.1</w:t>
      </w:r>
      <w:r>
        <w:rPr>
          <w:rStyle w:val="37"/>
          <w:rFonts w:hint="eastAsia" w:ascii="宋体" w:hAnsi="宋体"/>
          <w:sz w:val="24"/>
          <w:szCs w:val="24"/>
        </w:rPr>
        <w:t>货物需求一览表</w:t>
      </w:r>
      <w:r>
        <w:rPr>
          <w:rFonts w:ascii="宋体" w:hAnsi="宋体"/>
          <w:sz w:val="24"/>
        </w:rPr>
        <w:tab/>
      </w:r>
      <w:r>
        <w:rPr>
          <w:rFonts w:ascii="宋体" w:hAnsi="宋体"/>
          <w:sz w:val="24"/>
        </w:rPr>
        <w:fldChar w:fldCharType="begin"/>
      </w:r>
      <w:r>
        <w:rPr>
          <w:rFonts w:ascii="宋体" w:hAnsi="宋体"/>
          <w:sz w:val="24"/>
        </w:rPr>
        <w:instrText xml:space="preserve"> PAGEREF _Toc453596844 \h </w:instrText>
      </w:r>
      <w:r>
        <w:rPr>
          <w:rFonts w:ascii="宋体" w:hAnsi="宋体"/>
          <w:sz w:val="24"/>
        </w:rPr>
        <w:fldChar w:fldCharType="separate"/>
      </w:r>
      <w:r>
        <w:rPr>
          <w:rFonts w:ascii="宋体" w:hAnsi="宋体"/>
          <w:sz w:val="24"/>
        </w:rPr>
        <w:t>26</w:t>
      </w:r>
      <w:r>
        <w:rPr>
          <w:rFonts w:ascii="宋体" w:hAnsi="宋体"/>
          <w:sz w:val="24"/>
        </w:rPr>
        <w:fldChar w:fldCharType="end"/>
      </w:r>
      <w:r>
        <w:rPr>
          <w:rFonts w:ascii="宋体" w:hAnsi="宋体"/>
          <w:sz w:val="24"/>
        </w:rPr>
        <w:fldChar w:fldCharType="end"/>
      </w:r>
    </w:p>
    <w:p>
      <w:pPr>
        <w:pStyle w:val="25"/>
        <w:tabs>
          <w:tab w:val="right" w:leader="dot" w:pos="9344"/>
        </w:tabs>
        <w:spacing w:line="500" w:lineRule="exact"/>
        <w:rPr>
          <w:rFonts w:ascii="宋体" w:hAnsi="宋体"/>
          <w:sz w:val="24"/>
        </w:rPr>
      </w:pPr>
      <w:r>
        <w:fldChar w:fldCharType="begin"/>
      </w:r>
      <w:r>
        <w:instrText xml:space="preserve"> HYPERLINK \l "_Toc453596845" </w:instrText>
      </w:r>
      <w:r>
        <w:fldChar w:fldCharType="separate"/>
      </w:r>
      <w:r>
        <w:rPr>
          <w:rStyle w:val="37"/>
          <w:rFonts w:ascii="宋体" w:hAnsi="宋体"/>
          <w:sz w:val="24"/>
          <w:szCs w:val="24"/>
        </w:rPr>
        <w:t xml:space="preserve">4.2 </w:t>
      </w:r>
      <w:r>
        <w:rPr>
          <w:rStyle w:val="37"/>
          <w:rFonts w:hint="eastAsia" w:ascii="宋体" w:hAnsi="宋体"/>
          <w:sz w:val="24"/>
          <w:szCs w:val="24"/>
        </w:rPr>
        <w:t>交货时间及地点：</w:t>
      </w:r>
      <w:r>
        <w:rPr>
          <w:rFonts w:ascii="宋体" w:hAnsi="宋体"/>
          <w:sz w:val="24"/>
        </w:rPr>
        <w:tab/>
      </w:r>
      <w:r>
        <w:rPr>
          <w:rFonts w:ascii="宋体" w:hAnsi="宋体"/>
          <w:sz w:val="24"/>
        </w:rPr>
        <w:fldChar w:fldCharType="begin"/>
      </w:r>
      <w:r>
        <w:rPr>
          <w:rFonts w:ascii="宋体" w:hAnsi="宋体"/>
          <w:sz w:val="24"/>
        </w:rPr>
        <w:instrText xml:space="preserve"> PAGEREF _Toc453596845 \h </w:instrText>
      </w:r>
      <w:r>
        <w:rPr>
          <w:rFonts w:ascii="宋体" w:hAnsi="宋体"/>
          <w:sz w:val="24"/>
        </w:rPr>
        <w:fldChar w:fldCharType="separate"/>
      </w:r>
      <w:r>
        <w:rPr>
          <w:rFonts w:ascii="宋体" w:hAnsi="宋体"/>
          <w:sz w:val="24"/>
        </w:rPr>
        <w:t>26</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"_Toc453596846" </w:instrText>
      </w:r>
      <w:r>
        <w:fldChar w:fldCharType="separate"/>
      </w:r>
      <w:r>
        <w:rPr>
          <w:rStyle w:val="37"/>
          <w:rFonts w:hint="eastAsia" w:ascii="宋体" w:hAnsi="宋体"/>
          <w:sz w:val="24"/>
          <w:szCs w:val="24"/>
        </w:rPr>
        <w:t>5、技术要求</w:t>
      </w:r>
      <w:r>
        <w:rPr>
          <w:rFonts w:ascii="宋体" w:hAnsi="宋体"/>
          <w:sz w:val="24"/>
        </w:rPr>
        <w:tab/>
      </w:r>
      <w:r>
        <w:rPr>
          <w:rFonts w:ascii="宋体" w:hAnsi="宋体"/>
          <w:sz w:val="24"/>
        </w:rPr>
        <w:fldChar w:fldCharType="begin"/>
      </w:r>
      <w:r>
        <w:rPr>
          <w:rFonts w:ascii="宋体" w:hAnsi="宋体"/>
          <w:sz w:val="24"/>
        </w:rPr>
        <w:instrText xml:space="preserve"> PAGEREF _Toc453596846 \h </w:instrText>
      </w:r>
      <w:r>
        <w:rPr>
          <w:rFonts w:ascii="宋体" w:hAnsi="宋体"/>
          <w:sz w:val="24"/>
        </w:rPr>
        <w:fldChar w:fldCharType="separate"/>
      </w:r>
      <w:r>
        <w:rPr>
          <w:rFonts w:ascii="宋体" w:hAnsi="宋体"/>
          <w:sz w:val="24"/>
        </w:rPr>
        <w:t>27</w:t>
      </w:r>
      <w:r>
        <w:rPr>
          <w:rFonts w:ascii="宋体" w:hAnsi="宋体"/>
          <w:sz w:val="24"/>
        </w:rPr>
        <w:fldChar w:fldCharType="end"/>
      </w:r>
      <w:r>
        <w:rPr>
          <w:rFonts w:ascii="宋体" w:hAnsi="宋体"/>
          <w:sz w:val="24"/>
        </w:rPr>
        <w:fldChar w:fldCharType="end"/>
      </w:r>
    </w:p>
    <w:p>
      <w:pPr>
        <w:pStyle w:val="23"/>
        <w:spacing w:line="500" w:lineRule="exact"/>
        <w:rPr>
          <w:rFonts w:ascii="宋体" w:hAnsi="宋体"/>
          <w:sz w:val="24"/>
        </w:rPr>
      </w:pPr>
      <w:r>
        <w:fldChar w:fldCharType="begin"/>
      </w:r>
      <w:r>
        <w:instrText xml:space="preserve"> HYPERLINK \l "_Toc453596847" </w:instrText>
      </w:r>
      <w:r>
        <w:fldChar w:fldCharType="separate"/>
      </w:r>
      <w:r>
        <w:rPr>
          <w:rStyle w:val="37"/>
          <w:rFonts w:ascii="宋体" w:hAnsi="宋体"/>
          <w:sz w:val="24"/>
          <w:szCs w:val="24"/>
        </w:rPr>
        <w:t>6</w:t>
      </w:r>
      <w:r>
        <w:rPr>
          <w:rStyle w:val="37"/>
          <w:rFonts w:hint="eastAsia" w:ascii="宋体" w:hAnsi="宋体"/>
          <w:sz w:val="24"/>
          <w:szCs w:val="24"/>
        </w:rPr>
        <w:t>、评标原则及办法</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0</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"_Toc453596848" </w:instrText>
      </w:r>
      <w:r>
        <w:rPr>
          <w:rFonts w:hint="eastAsia"/>
        </w:rPr>
        <w:fldChar w:fldCharType="separate"/>
      </w:r>
      <w:r>
        <w:rPr>
          <w:rStyle w:val="37"/>
          <w:rFonts w:ascii="宋体" w:hAnsi="宋体"/>
          <w:sz w:val="24"/>
          <w:szCs w:val="24"/>
        </w:rPr>
        <w:t xml:space="preserve">6.1 </w:t>
      </w:r>
      <w:r>
        <w:rPr>
          <w:rStyle w:val="37"/>
          <w:rFonts w:hint="eastAsia" w:ascii="宋体" w:hAnsi="宋体"/>
          <w:sz w:val="24"/>
          <w:szCs w:val="24"/>
        </w:rPr>
        <w:t>评标工作中的原则及组织</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16"/>
        <w:tabs>
          <w:tab w:val="right" w:leader="dot" w:pos="9344"/>
        </w:tabs>
        <w:spacing w:line="500" w:lineRule="exact"/>
        <w:rPr>
          <w:rFonts w:ascii="宋体" w:hAnsi="宋体"/>
          <w:sz w:val="24"/>
        </w:rPr>
      </w:pPr>
      <w:r>
        <w:rPr>
          <w:rFonts w:hint="eastAsia"/>
        </w:rPr>
        <w:fldChar w:fldCharType="begin"/>
      </w:r>
      <w:r>
        <w:instrText xml:space="preserve"> HYPERLINK \l "_Toc453596849" </w:instrText>
      </w:r>
      <w:r>
        <w:rPr>
          <w:rFonts w:hint="eastAsia"/>
        </w:rPr>
        <w:fldChar w:fldCharType="separate"/>
      </w:r>
      <w:r>
        <w:rPr>
          <w:rStyle w:val="37"/>
          <w:rFonts w:ascii="宋体" w:hAnsi="宋体"/>
          <w:sz w:val="24"/>
          <w:szCs w:val="24"/>
        </w:rPr>
        <w:t xml:space="preserve">6.1.1 </w:t>
      </w:r>
      <w:r>
        <w:rPr>
          <w:rStyle w:val="37"/>
          <w:rFonts w:hint="eastAsia" w:ascii="宋体" w:hAnsi="宋体"/>
          <w:sz w:val="24"/>
          <w:szCs w:val="24"/>
        </w:rPr>
        <w:t>原则</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16"/>
        <w:tabs>
          <w:tab w:val="right" w:leader="dot" w:pos="9344"/>
        </w:tabs>
        <w:spacing w:line="500" w:lineRule="exact"/>
        <w:rPr>
          <w:rFonts w:ascii="宋体" w:hAnsi="宋体"/>
          <w:sz w:val="24"/>
        </w:rPr>
      </w:pPr>
      <w:r>
        <w:rPr>
          <w:rFonts w:hint="eastAsia"/>
        </w:rPr>
        <w:fldChar w:fldCharType="begin"/>
      </w:r>
      <w:r>
        <w:instrText xml:space="preserve"> HYPERLINK \l "_Toc453596850" </w:instrText>
      </w:r>
      <w:r>
        <w:rPr>
          <w:rFonts w:hint="eastAsia"/>
        </w:rPr>
        <w:fldChar w:fldCharType="separate"/>
      </w:r>
      <w:r>
        <w:rPr>
          <w:rStyle w:val="37"/>
          <w:rFonts w:ascii="宋体" w:hAnsi="宋体"/>
          <w:sz w:val="24"/>
          <w:szCs w:val="24"/>
        </w:rPr>
        <w:t xml:space="preserve">6.1.2 </w:t>
      </w:r>
      <w:r>
        <w:rPr>
          <w:rStyle w:val="37"/>
          <w:rFonts w:hint="eastAsia" w:ascii="宋体" w:hAnsi="宋体"/>
          <w:sz w:val="24"/>
          <w:szCs w:val="24"/>
        </w:rPr>
        <w:t>组织</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"_Toc453596851" </w:instrText>
      </w:r>
      <w:r>
        <w:rPr>
          <w:rFonts w:hint="eastAsia"/>
        </w:rPr>
        <w:fldChar w:fldCharType="separate"/>
      </w:r>
      <w:r>
        <w:rPr>
          <w:rStyle w:val="37"/>
          <w:rFonts w:ascii="宋体" w:hAnsi="宋体"/>
          <w:sz w:val="24"/>
          <w:szCs w:val="24"/>
        </w:rPr>
        <w:t xml:space="preserve">6.2 </w:t>
      </w:r>
      <w:r>
        <w:rPr>
          <w:rStyle w:val="37"/>
          <w:rFonts w:hint="eastAsia" w:ascii="宋体" w:hAnsi="宋体"/>
          <w:sz w:val="24"/>
          <w:szCs w:val="24"/>
        </w:rPr>
        <w:t>评标内容及标准</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ind w:firstLine="420" w:firstLineChars="200"/>
        <w:rPr>
          <w:rFonts w:ascii="宋体" w:hAnsi="宋体"/>
          <w:sz w:val="24"/>
        </w:rPr>
      </w:pPr>
      <w:r>
        <w:rPr>
          <w:rFonts w:hint="eastAsia"/>
        </w:rPr>
        <w:fldChar w:fldCharType="begin"/>
      </w:r>
      <w:r>
        <w:instrText xml:space="preserve"> HYPERLINK \l "_Toc453596852" </w:instrText>
      </w:r>
      <w:r>
        <w:rPr>
          <w:rFonts w:hint="eastAsia"/>
        </w:rPr>
        <w:fldChar w:fldCharType="separate"/>
      </w:r>
      <w:r>
        <w:rPr>
          <w:rStyle w:val="37"/>
          <w:rFonts w:ascii="宋体" w:hAnsi="宋体"/>
          <w:sz w:val="24"/>
          <w:szCs w:val="24"/>
        </w:rPr>
        <w:t>6.2.1</w:t>
      </w:r>
      <w:r>
        <w:rPr>
          <w:rStyle w:val="37"/>
          <w:rFonts w:hint="eastAsia" w:ascii="宋体" w:hAnsi="宋体"/>
          <w:sz w:val="24"/>
          <w:szCs w:val="24"/>
        </w:rPr>
        <w:t>评标内容</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ind w:firstLine="420" w:firstLineChars="200"/>
        <w:rPr>
          <w:rFonts w:ascii="宋体" w:hAnsi="宋体"/>
          <w:sz w:val="24"/>
        </w:rPr>
      </w:pPr>
      <w:r>
        <w:rPr>
          <w:rFonts w:hint="eastAsia"/>
        </w:rPr>
        <w:fldChar w:fldCharType="begin"/>
      </w:r>
      <w:r>
        <w:instrText xml:space="preserve"> HYPERLINK \l "_Toc453596853" </w:instrText>
      </w:r>
      <w:r>
        <w:rPr>
          <w:rFonts w:hint="eastAsia"/>
        </w:rPr>
        <w:fldChar w:fldCharType="separate"/>
      </w:r>
      <w:r>
        <w:rPr>
          <w:rStyle w:val="37"/>
          <w:rFonts w:ascii="宋体" w:hAnsi="宋体"/>
          <w:sz w:val="24"/>
          <w:szCs w:val="24"/>
        </w:rPr>
        <w:t xml:space="preserve">6.2.2 </w:t>
      </w:r>
      <w:r>
        <w:rPr>
          <w:rStyle w:val="37"/>
          <w:rFonts w:hint="eastAsia" w:ascii="宋体" w:hAnsi="宋体"/>
          <w:sz w:val="24"/>
          <w:szCs w:val="24"/>
        </w:rPr>
        <w:t>无效投标</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"_Toc453596854" </w:instrText>
      </w:r>
      <w:r>
        <w:rPr>
          <w:rFonts w:hint="eastAsia"/>
        </w:rPr>
        <w:fldChar w:fldCharType="separate"/>
      </w:r>
      <w:r>
        <w:rPr>
          <w:rStyle w:val="37"/>
          <w:rFonts w:ascii="宋体" w:hAnsi="宋体" w:cs="宋体"/>
          <w:sz w:val="24"/>
          <w:szCs w:val="24"/>
        </w:rPr>
        <w:t xml:space="preserve">6.3 </w:t>
      </w:r>
      <w:r>
        <w:rPr>
          <w:rStyle w:val="37"/>
          <w:rFonts w:hint="eastAsia" w:ascii="宋体" w:hAnsi="宋体" w:cs="宋体"/>
          <w:sz w:val="24"/>
          <w:szCs w:val="24"/>
          <w:lang w:val="zh-CN"/>
        </w:rPr>
        <w:t>评标的程序和方法</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3</w:t>
      </w:r>
    </w:p>
    <w:p>
      <w:pPr>
        <w:pStyle w:val="16"/>
        <w:tabs>
          <w:tab w:val="right" w:leader="dot" w:pos="9344"/>
        </w:tabs>
        <w:spacing w:line="500" w:lineRule="exact"/>
        <w:rPr>
          <w:rFonts w:ascii="宋体" w:hAnsi="宋体"/>
          <w:sz w:val="24"/>
        </w:rPr>
      </w:pPr>
      <w:r>
        <w:rPr>
          <w:rFonts w:hint="eastAsia"/>
        </w:rPr>
        <w:fldChar w:fldCharType="begin"/>
      </w:r>
      <w:r>
        <w:instrText xml:space="preserve"> HYPERLINK \l "_Toc453596855" </w:instrText>
      </w:r>
      <w:r>
        <w:rPr>
          <w:rFonts w:hint="eastAsia"/>
        </w:rPr>
        <w:fldChar w:fldCharType="separate"/>
      </w:r>
      <w:r>
        <w:rPr>
          <w:rStyle w:val="37"/>
          <w:rFonts w:ascii="宋体" w:hAnsi="宋体"/>
          <w:sz w:val="24"/>
          <w:szCs w:val="24"/>
        </w:rPr>
        <w:t xml:space="preserve">6.3.1 </w:t>
      </w:r>
      <w:r>
        <w:rPr>
          <w:rStyle w:val="37"/>
          <w:rFonts w:hint="eastAsia" w:ascii="宋体" w:hAnsi="宋体"/>
          <w:sz w:val="24"/>
          <w:szCs w:val="24"/>
        </w:rPr>
        <w:t>评标程序</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3</w:t>
      </w:r>
    </w:p>
    <w:p>
      <w:pPr>
        <w:pStyle w:val="16"/>
        <w:tabs>
          <w:tab w:val="right" w:leader="dot" w:pos="9344"/>
        </w:tabs>
        <w:spacing w:line="500" w:lineRule="exact"/>
        <w:rPr>
          <w:rFonts w:ascii="宋体" w:hAnsi="宋体"/>
          <w:sz w:val="24"/>
        </w:rPr>
      </w:pPr>
      <w:r>
        <w:rPr>
          <w:rFonts w:hint="eastAsia"/>
        </w:rPr>
        <w:fldChar w:fldCharType="begin"/>
      </w:r>
      <w:r>
        <w:instrText xml:space="preserve"> HYPERLINK \l "_Toc453596856" </w:instrText>
      </w:r>
      <w:r>
        <w:rPr>
          <w:rFonts w:hint="eastAsia"/>
        </w:rPr>
        <w:fldChar w:fldCharType="separate"/>
      </w:r>
      <w:r>
        <w:rPr>
          <w:rStyle w:val="37"/>
          <w:rFonts w:ascii="宋体" w:hAnsi="宋体"/>
          <w:sz w:val="24"/>
          <w:szCs w:val="24"/>
        </w:rPr>
        <w:t>6.3.2</w:t>
      </w:r>
      <w:r>
        <w:rPr>
          <w:rStyle w:val="37"/>
          <w:rFonts w:hint="eastAsia" w:ascii="宋体" w:hAnsi="宋体"/>
          <w:sz w:val="24"/>
          <w:szCs w:val="24"/>
        </w:rPr>
        <w:t>评标方法</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3</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"_Toc453596857" </w:instrText>
      </w:r>
      <w:r>
        <w:rPr>
          <w:rFonts w:hint="eastAsia"/>
        </w:rPr>
        <w:fldChar w:fldCharType="separate"/>
      </w:r>
      <w:r>
        <w:rPr>
          <w:rStyle w:val="37"/>
          <w:rFonts w:ascii="宋体" w:hAnsi="宋体"/>
          <w:sz w:val="24"/>
          <w:szCs w:val="24"/>
        </w:rPr>
        <w:t xml:space="preserve">6.4 </w:t>
      </w:r>
      <w:r>
        <w:rPr>
          <w:rStyle w:val="37"/>
          <w:rFonts w:hint="eastAsia" w:ascii="宋体" w:hAnsi="宋体"/>
          <w:sz w:val="24"/>
          <w:szCs w:val="24"/>
        </w:rPr>
        <w:t>评标委员会的职责及中标供应商的确定</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5</w:t>
      </w:r>
    </w:p>
    <w:p>
      <w:pPr>
        <w:pStyle w:val="16"/>
        <w:tabs>
          <w:tab w:val="right" w:leader="dot" w:pos="9344"/>
        </w:tabs>
        <w:spacing w:line="500" w:lineRule="exact"/>
        <w:rPr>
          <w:rFonts w:ascii="宋体" w:hAnsi="宋体"/>
          <w:sz w:val="24"/>
        </w:rPr>
      </w:pPr>
      <w:r>
        <w:rPr>
          <w:rFonts w:hint="eastAsia"/>
        </w:rPr>
        <w:fldChar w:fldCharType="begin"/>
      </w:r>
      <w:r>
        <w:instrText xml:space="preserve"> HYPERLINK \l "_Toc453596858" </w:instrText>
      </w:r>
      <w:r>
        <w:rPr>
          <w:rFonts w:hint="eastAsia"/>
        </w:rPr>
        <w:fldChar w:fldCharType="separate"/>
      </w:r>
      <w:r>
        <w:rPr>
          <w:rStyle w:val="37"/>
          <w:rFonts w:ascii="宋体" w:hAnsi="宋体"/>
          <w:sz w:val="24"/>
          <w:szCs w:val="24"/>
        </w:rPr>
        <w:t xml:space="preserve">6.4.1 </w:t>
      </w:r>
      <w:r>
        <w:rPr>
          <w:rStyle w:val="37"/>
          <w:rFonts w:hint="eastAsia" w:ascii="宋体" w:hAnsi="宋体"/>
          <w:sz w:val="24"/>
          <w:szCs w:val="24"/>
        </w:rPr>
        <w:t>评标委员会的职责</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5</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"_Toc453596859" </w:instrText>
      </w:r>
      <w:r>
        <w:rPr>
          <w:rFonts w:hint="eastAsia"/>
        </w:rPr>
        <w:fldChar w:fldCharType="separate"/>
      </w:r>
      <w:r>
        <w:rPr>
          <w:rStyle w:val="37"/>
          <w:rFonts w:ascii="宋体" w:hAnsi="宋体"/>
          <w:sz w:val="24"/>
          <w:szCs w:val="24"/>
        </w:rPr>
        <w:t xml:space="preserve">6.5 </w:t>
      </w:r>
      <w:r>
        <w:rPr>
          <w:rStyle w:val="37"/>
          <w:rFonts w:hint="eastAsia" w:ascii="宋体" w:hAnsi="宋体"/>
          <w:sz w:val="24"/>
          <w:szCs w:val="24"/>
        </w:rPr>
        <w:t>废标</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5</w:t>
      </w:r>
    </w:p>
    <w:p>
      <w:pPr>
        <w:pStyle w:val="23"/>
        <w:spacing w:line="500" w:lineRule="exact"/>
        <w:rPr>
          <w:rFonts w:ascii="宋体" w:hAnsi="宋体"/>
          <w:sz w:val="24"/>
        </w:rPr>
      </w:pPr>
      <w:r>
        <w:rPr>
          <w:rFonts w:hint="eastAsia"/>
        </w:rPr>
        <w:fldChar w:fldCharType="begin"/>
      </w:r>
      <w:r>
        <w:instrText xml:space="preserve"> HYPERLINK \l "_Toc453596860" </w:instrText>
      </w:r>
      <w:r>
        <w:rPr>
          <w:rFonts w:hint="eastAsia"/>
        </w:rPr>
        <w:fldChar w:fldCharType="separate"/>
      </w:r>
      <w:r>
        <w:rPr>
          <w:rStyle w:val="37"/>
          <w:rFonts w:ascii="宋体" w:hAnsi="宋体"/>
          <w:sz w:val="24"/>
          <w:szCs w:val="24"/>
        </w:rPr>
        <w:t>7</w:t>
      </w:r>
      <w:r>
        <w:rPr>
          <w:rStyle w:val="37"/>
          <w:rFonts w:hint="eastAsia" w:ascii="宋体" w:hAnsi="宋体"/>
          <w:sz w:val="24"/>
          <w:szCs w:val="24"/>
        </w:rPr>
        <w:t>、附件</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6</w:t>
      </w:r>
    </w:p>
    <w:p>
      <w:pPr>
        <w:pStyle w:val="25"/>
        <w:tabs>
          <w:tab w:val="right" w:leader="dot" w:pos="9344"/>
        </w:tabs>
        <w:spacing w:line="500" w:lineRule="exact"/>
        <w:rPr>
          <w:rFonts w:ascii="宋体" w:hAnsi="宋体"/>
          <w:sz w:val="24"/>
        </w:rPr>
      </w:pPr>
      <w:r>
        <w:rPr>
          <w:rStyle w:val="37"/>
          <w:rFonts w:hint="eastAsia" w:ascii="宋体" w:hAnsi="宋体"/>
          <w:sz w:val="24"/>
          <w:szCs w:val="24"/>
        </w:rPr>
        <w:t>附件1：</w:t>
      </w:r>
      <w:r>
        <w:rPr>
          <w:rFonts w:hint="eastAsia"/>
        </w:rPr>
        <w:fldChar w:fldCharType="begin"/>
      </w:r>
      <w:r>
        <w:instrText xml:space="preserve"> HYPERLINK \l "_Toc453596861" </w:instrText>
      </w:r>
      <w:r>
        <w:rPr>
          <w:rFonts w:hint="eastAsia"/>
        </w:rPr>
        <w:fldChar w:fldCharType="separate"/>
      </w:r>
      <w:r>
        <w:rPr>
          <w:rStyle w:val="37"/>
          <w:rFonts w:hint="eastAsia" w:ascii="宋体" w:hAnsi="宋体"/>
          <w:sz w:val="24"/>
          <w:szCs w:val="24"/>
        </w:rPr>
        <w:t>合同格式及条款</w:t>
      </w:r>
      <w:r>
        <w:rPr>
          <w:rFonts w:ascii="宋体" w:hAnsi="宋体"/>
          <w:sz w:val="24"/>
        </w:rPr>
        <w:tab/>
      </w:r>
      <w:r>
        <w:rPr>
          <w:rFonts w:hint="eastAsia" w:ascii="宋体" w:hAnsi="宋体"/>
          <w:sz w:val="24"/>
        </w:rPr>
        <w:t>3</w:t>
      </w:r>
      <w:r>
        <w:rPr>
          <w:rFonts w:hint="eastAsia" w:ascii="宋体" w:hAnsi="宋体"/>
          <w:sz w:val="24"/>
        </w:rPr>
        <w:fldChar w:fldCharType="end"/>
      </w:r>
      <w:r>
        <w:rPr>
          <w:rFonts w:hint="eastAsia" w:ascii="宋体" w:hAnsi="宋体"/>
          <w:sz w:val="24"/>
        </w:rPr>
        <w:t>7</w:t>
      </w:r>
    </w:p>
    <w:p>
      <w:pPr>
        <w:pStyle w:val="25"/>
        <w:tabs>
          <w:tab w:val="right" w:leader="dot" w:pos="9344"/>
        </w:tabs>
        <w:spacing w:line="500" w:lineRule="exact"/>
        <w:rPr>
          <w:rFonts w:ascii="宋体" w:hAnsi="宋体"/>
          <w:sz w:val="24"/>
        </w:rPr>
      </w:pPr>
      <w:r>
        <w:rPr>
          <w:rStyle w:val="37"/>
          <w:rFonts w:hint="eastAsia" w:ascii="宋体" w:hAnsi="宋体"/>
          <w:sz w:val="24"/>
          <w:szCs w:val="24"/>
        </w:rPr>
        <w:t>附件2：</w:t>
      </w:r>
      <w:r>
        <w:rPr>
          <w:rFonts w:hint="eastAsia"/>
        </w:rPr>
        <w:fldChar w:fldCharType="begin"/>
      </w:r>
      <w:r>
        <w:instrText xml:space="preserve"> HYPERLINK \l "_Toc453596891" </w:instrText>
      </w:r>
      <w:r>
        <w:rPr>
          <w:rFonts w:hint="eastAsia"/>
        </w:rPr>
        <w:fldChar w:fldCharType="separate"/>
      </w:r>
      <w:r>
        <w:rPr>
          <w:rStyle w:val="37"/>
          <w:rFonts w:hint="eastAsia" w:ascii="宋体" w:hAnsi="宋体"/>
          <w:sz w:val="24"/>
          <w:szCs w:val="24"/>
        </w:rPr>
        <w:t>投标函</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0</w:t>
      </w:r>
    </w:p>
    <w:p>
      <w:pPr>
        <w:pStyle w:val="25"/>
        <w:tabs>
          <w:tab w:val="right" w:leader="dot" w:pos="9344"/>
        </w:tabs>
        <w:spacing w:line="500" w:lineRule="exact"/>
        <w:rPr>
          <w:rFonts w:ascii="宋体" w:hAnsi="宋体"/>
          <w:sz w:val="24"/>
        </w:rPr>
      </w:pPr>
      <w:r>
        <w:rPr>
          <w:rStyle w:val="37"/>
          <w:rFonts w:hint="eastAsia" w:ascii="宋体" w:hAnsi="宋体"/>
          <w:sz w:val="24"/>
          <w:szCs w:val="24"/>
        </w:rPr>
        <w:t>附件3：</w:t>
      </w:r>
      <w:r>
        <w:rPr>
          <w:rFonts w:hint="eastAsia"/>
        </w:rPr>
        <w:fldChar w:fldCharType="begin"/>
      </w:r>
      <w:r>
        <w:instrText xml:space="preserve"> HYPERLINK \l "_Toc453596892" </w:instrText>
      </w:r>
      <w:r>
        <w:rPr>
          <w:rFonts w:hint="eastAsia"/>
        </w:rPr>
        <w:fldChar w:fldCharType="separate"/>
      </w:r>
      <w:r>
        <w:rPr>
          <w:rStyle w:val="37"/>
          <w:rFonts w:hint="eastAsia" w:ascii="宋体" w:hAnsi="宋体"/>
          <w:sz w:val="24"/>
          <w:szCs w:val="24"/>
        </w:rPr>
        <w:t>法人授权函</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1</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"_Toc453596893" </w:instrText>
      </w:r>
      <w:r>
        <w:rPr>
          <w:rFonts w:hint="eastAsia"/>
        </w:rPr>
        <w:fldChar w:fldCharType="separate"/>
      </w:r>
      <w:r>
        <w:rPr>
          <w:rStyle w:val="37"/>
          <w:rFonts w:hint="eastAsia" w:ascii="宋体" w:hAnsi="宋体"/>
          <w:sz w:val="24"/>
          <w:szCs w:val="24"/>
        </w:rPr>
        <w:t>附件</w:t>
      </w:r>
      <w:r>
        <w:rPr>
          <w:rStyle w:val="37"/>
          <w:rFonts w:ascii="宋体" w:hAnsi="宋体"/>
          <w:sz w:val="24"/>
          <w:szCs w:val="24"/>
        </w:rPr>
        <w:t>4</w:t>
      </w:r>
      <w:r>
        <w:rPr>
          <w:rStyle w:val="37"/>
          <w:rFonts w:hint="eastAsia" w:ascii="宋体" w:hAnsi="宋体"/>
          <w:sz w:val="24"/>
          <w:szCs w:val="24"/>
        </w:rPr>
        <w:t>：法定代表人资格证明</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2</w:t>
      </w:r>
    </w:p>
    <w:p>
      <w:pPr>
        <w:pStyle w:val="25"/>
        <w:tabs>
          <w:tab w:val="right" w:leader="dot" w:pos="9344"/>
        </w:tabs>
        <w:spacing w:line="500" w:lineRule="exact"/>
        <w:rPr>
          <w:rFonts w:ascii="宋体" w:hAnsi="宋体"/>
          <w:sz w:val="24"/>
        </w:rPr>
      </w:pPr>
      <w:r>
        <w:rPr>
          <w:rStyle w:val="37"/>
          <w:rFonts w:hint="eastAsia" w:ascii="宋体" w:hAnsi="宋体"/>
          <w:sz w:val="24"/>
          <w:szCs w:val="24"/>
        </w:rPr>
        <w:t>附件5：</w:t>
      </w:r>
      <w:r>
        <w:rPr>
          <w:rFonts w:hint="eastAsia"/>
        </w:rPr>
        <w:fldChar w:fldCharType="begin"/>
      </w:r>
      <w:r>
        <w:instrText xml:space="preserve"> HYPERLINK \l "_Toc453596894" </w:instrText>
      </w:r>
      <w:r>
        <w:rPr>
          <w:rFonts w:hint="eastAsia"/>
        </w:rPr>
        <w:fldChar w:fldCharType="separate"/>
      </w:r>
      <w:r>
        <w:rPr>
          <w:rStyle w:val="37"/>
          <w:rFonts w:hint="eastAsia" w:ascii="宋体" w:hAnsi="宋体"/>
          <w:sz w:val="24"/>
          <w:szCs w:val="24"/>
        </w:rPr>
        <w:t>投标报价表</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3</w:t>
      </w:r>
    </w:p>
    <w:p>
      <w:pPr>
        <w:pStyle w:val="25"/>
        <w:tabs>
          <w:tab w:val="right" w:leader="dot" w:pos="9344"/>
        </w:tabs>
        <w:spacing w:line="500" w:lineRule="exact"/>
        <w:rPr>
          <w:rFonts w:ascii="宋体" w:hAnsi="宋体"/>
          <w:sz w:val="24"/>
        </w:rPr>
      </w:pPr>
      <w:r>
        <w:rPr>
          <w:rStyle w:val="37"/>
          <w:rFonts w:hint="eastAsia" w:ascii="宋体" w:hAnsi="宋体"/>
          <w:sz w:val="24"/>
          <w:szCs w:val="24"/>
        </w:rPr>
        <w:t>附件6：</w:t>
      </w:r>
      <w:r>
        <w:rPr>
          <w:rFonts w:hint="eastAsia"/>
        </w:rPr>
        <w:fldChar w:fldCharType="begin"/>
      </w:r>
      <w:r>
        <w:instrText xml:space="preserve"> HYPERLINK \l "_Toc453596895" </w:instrText>
      </w:r>
      <w:r>
        <w:rPr>
          <w:rFonts w:hint="eastAsia"/>
        </w:rPr>
        <w:fldChar w:fldCharType="separate"/>
      </w:r>
      <w:r>
        <w:rPr>
          <w:rStyle w:val="37"/>
          <w:rFonts w:hint="eastAsia" w:ascii="宋体" w:hAnsi="宋体"/>
          <w:sz w:val="24"/>
          <w:szCs w:val="24"/>
        </w:rPr>
        <w:t>投标货物偏离表</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4</w:t>
      </w:r>
    </w:p>
    <w:p>
      <w:pPr>
        <w:pStyle w:val="25"/>
        <w:tabs>
          <w:tab w:val="right" w:leader="dot" w:pos="9344"/>
        </w:tabs>
        <w:spacing w:line="500" w:lineRule="exact"/>
        <w:rPr>
          <w:rStyle w:val="37"/>
          <w:rFonts w:ascii="宋体" w:hAnsi="宋体"/>
          <w:sz w:val="24"/>
          <w:szCs w:val="24"/>
        </w:rPr>
      </w:pPr>
      <w:r>
        <w:rPr>
          <w:rStyle w:val="37"/>
          <w:rFonts w:hint="eastAsia" w:ascii="宋体" w:hAnsi="宋体"/>
          <w:sz w:val="24"/>
          <w:szCs w:val="24"/>
        </w:rPr>
        <w:t>附件7：</w:t>
      </w:r>
      <w:r>
        <w:rPr>
          <w:rFonts w:hint="eastAsia"/>
        </w:rPr>
        <w:fldChar w:fldCharType="begin"/>
      </w:r>
      <w:r>
        <w:instrText xml:space="preserve"> HYPERLINK \l "_Toc453596896" </w:instrText>
      </w:r>
      <w:r>
        <w:rPr>
          <w:rFonts w:hint="eastAsia"/>
        </w:rPr>
        <w:fldChar w:fldCharType="separate"/>
      </w:r>
      <w:r>
        <w:rPr>
          <w:rStyle w:val="37"/>
          <w:rFonts w:hint="eastAsia" w:ascii="宋体" w:hAnsi="宋体"/>
          <w:sz w:val="24"/>
          <w:szCs w:val="24"/>
        </w:rPr>
        <w:t>生产厂家授权函</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5</w:t>
      </w:r>
    </w:p>
    <w:p>
      <w:pPr>
        <w:pStyle w:val="25"/>
        <w:tabs>
          <w:tab w:val="right" w:leader="dot" w:pos="9344"/>
        </w:tabs>
        <w:spacing w:line="500" w:lineRule="exact"/>
        <w:rPr>
          <w:rFonts w:ascii="宋体" w:hAnsi="宋体"/>
          <w:sz w:val="24"/>
        </w:rPr>
      </w:pPr>
      <w:r>
        <w:rPr>
          <w:rStyle w:val="37"/>
          <w:rFonts w:hint="eastAsia" w:ascii="宋体" w:hAnsi="宋体"/>
          <w:sz w:val="24"/>
          <w:szCs w:val="24"/>
        </w:rPr>
        <w:t>附件8：</w:t>
      </w:r>
      <w:r>
        <w:rPr>
          <w:rFonts w:hint="eastAsia"/>
        </w:rPr>
        <w:fldChar w:fldCharType="begin"/>
      </w:r>
      <w:r>
        <w:instrText xml:space="preserve"> HYPERLINK \l "_Toc453596897" </w:instrText>
      </w:r>
      <w:r>
        <w:rPr>
          <w:rFonts w:hint="eastAsia"/>
        </w:rPr>
        <w:fldChar w:fldCharType="separate"/>
      </w:r>
      <w:r>
        <w:rPr>
          <w:rStyle w:val="37"/>
          <w:rFonts w:hint="eastAsia" w:ascii="宋体" w:hAnsi="宋体"/>
          <w:sz w:val="24"/>
          <w:szCs w:val="24"/>
        </w:rPr>
        <w:t>中小企业声明函（非中小微企业不提供）</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6</w:t>
      </w:r>
    </w:p>
    <w:p>
      <w:pPr>
        <w:pStyle w:val="25"/>
        <w:tabs>
          <w:tab w:val="right" w:leader="dot" w:pos="9344"/>
        </w:tabs>
        <w:spacing w:line="500" w:lineRule="exact"/>
        <w:rPr>
          <w:rFonts w:ascii="宋体" w:hAnsi="宋体"/>
          <w:sz w:val="24"/>
        </w:rPr>
      </w:pPr>
      <w:r>
        <w:rPr>
          <w:rFonts w:hint="eastAsia"/>
        </w:rPr>
        <w:fldChar w:fldCharType="begin"/>
      </w:r>
      <w:r>
        <w:instrText xml:space="preserve"> HYPERLINK \l "_Toc453596898" </w:instrText>
      </w:r>
      <w:r>
        <w:rPr>
          <w:rFonts w:hint="eastAsia"/>
        </w:rPr>
        <w:fldChar w:fldCharType="separate"/>
      </w:r>
      <w:r>
        <w:rPr>
          <w:rStyle w:val="37"/>
          <w:rFonts w:hint="eastAsia" w:ascii="宋体" w:hAnsi="宋体"/>
          <w:sz w:val="24"/>
          <w:szCs w:val="24"/>
        </w:rPr>
        <w:t>附件</w:t>
      </w:r>
      <w:r>
        <w:rPr>
          <w:rStyle w:val="37"/>
          <w:rFonts w:ascii="宋体" w:hAnsi="宋体"/>
          <w:sz w:val="24"/>
          <w:szCs w:val="24"/>
        </w:rPr>
        <w:t>9</w:t>
      </w:r>
      <w:r>
        <w:rPr>
          <w:rStyle w:val="37"/>
          <w:rFonts w:hint="eastAsia" w:ascii="宋体" w:hAnsi="宋体"/>
          <w:sz w:val="24"/>
          <w:szCs w:val="24"/>
        </w:rPr>
        <w:t>：</w:t>
      </w:r>
      <w:r>
        <w:rPr>
          <w:rStyle w:val="37"/>
          <w:rFonts w:hint="eastAsia" w:ascii="宋体" w:hAnsi="宋体"/>
          <w:sz w:val="24"/>
          <w:szCs w:val="24"/>
        </w:rPr>
        <w:fldChar w:fldCharType="end"/>
      </w:r>
      <w:r>
        <w:fldChar w:fldCharType="begin"/>
      </w:r>
      <w:r>
        <w:instrText xml:space="preserve"> HYPERLINK \l "_Toc453596900" </w:instrText>
      </w:r>
      <w:r>
        <w:fldChar w:fldCharType="separate"/>
      </w:r>
      <w:r>
        <w:rPr>
          <w:rStyle w:val="37"/>
          <w:rFonts w:hint="eastAsia" w:ascii="宋体" w:hAnsi="宋体"/>
          <w:sz w:val="24"/>
          <w:szCs w:val="24"/>
        </w:rPr>
        <w:t>财库【2011】181号和工信部联企业【2011】300号文件</w:t>
      </w:r>
      <w:r>
        <w:rPr>
          <w:rFonts w:ascii="宋体" w:hAnsi="宋体"/>
          <w:sz w:val="24"/>
        </w:rPr>
        <w:tab/>
      </w:r>
      <w:r>
        <w:rPr>
          <w:rFonts w:hint="eastAsia" w:ascii="宋体" w:hAnsi="宋体"/>
          <w:sz w:val="24"/>
        </w:rPr>
        <w:t>4</w:t>
      </w:r>
      <w:r>
        <w:rPr>
          <w:rFonts w:hint="eastAsia" w:ascii="宋体" w:hAnsi="宋体"/>
          <w:sz w:val="24"/>
        </w:rPr>
        <w:fldChar w:fldCharType="end"/>
      </w:r>
      <w:r>
        <w:rPr>
          <w:rFonts w:hint="eastAsia" w:ascii="宋体" w:hAnsi="宋体"/>
          <w:sz w:val="24"/>
        </w:rPr>
        <w:t>8</w:t>
      </w:r>
    </w:p>
    <w:p>
      <w:pPr>
        <w:spacing w:line="500" w:lineRule="exact"/>
        <w:jc w:val="center"/>
        <w:rPr>
          <w:rFonts w:ascii="宋体" w:hAnsi="宋体" w:cs="宋体"/>
          <w:b/>
          <w:bCs/>
          <w:color w:val="000000"/>
          <w:sz w:val="28"/>
          <w:szCs w:val="28"/>
        </w:rPr>
      </w:pPr>
      <w:r>
        <w:rPr>
          <w:rFonts w:ascii="宋体" w:hAnsi="宋体"/>
          <w:sz w:val="24"/>
        </w:rPr>
        <w:fldChar w:fldCharType="end"/>
      </w:r>
      <w:r>
        <w:rPr>
          <w:rFonts w:hint="eastAsia" w:ascii="宋体" w:hAnsi="宋体"/>
          <w:color w:val="000000"/>
          <w:sz w:val="24"/>
        </w:rPr>
        <w:t xml:space="preserve">   </w:t>
      </w:r>
      <w:r>
        <w:rPr>
          <w:rFonts w:hint="eastAsia" w:ascii="宋体" w:hAnsi="宋体" w:cs="宋体"/>
          <w:b/>
          <w:bCs/>
          <w:color w:val="000000"/>
          <w:sz w:val="28"/>
          <w:szCs w:val="28"/>
        </w:rPr>
        <w:t xml:space="preserve"> </w:t>
      </w:r>
    </w:p>
    <w:p>
      <w:pPr>
        <w:spacing w:line="400" w:lineRule="exact"/>
        <w:jc w:val="center"/>
        <w:rPr>
          <w:rFonts w:ascii="宋体" w:hAnsi="宋体" w:cs="宋体"/>
          <w:b/>
          <w:bCs/>
          <w:color w:val="000000"/>
          <w:sz w:val="28"/>
          <w:szCs w:val="28"/>
        </w:rPr>
      </w:pPr>
    </w:p>
    <w:p>
      <w:pPr>
        <w:spacing w:line="400" w:lineRule="exact"/>
        <w:jc w:val="center"/>
        <w:rPr>
          <w:rFonts w:ascii="宋体" w:hAnsi="宋体" w:cs="宋体"/>
          <w:b/>
          <w:bCs/>
          <w:color w:val="000000"/>
          <w:sz w:val="28"/>
          <w:szCs w:val="28"/>
        </w:rPr>
      </w:pPr>
    </w:p>
    <w:p>
      <w:pPr>
        <w:spacing w:line="400" w:lineRule="exact"/>
        <w:rPr>
          <w:rFonts w:ascii="宋体" w:hAnsi="宋体" w:cs="宋体"/>
          <w:b/>
          <w:bCs/>
          <w:color w:val="000000"/>
          <w:sz w:val="28"/>
          <w:szCs w:val="28"/>
        </w:rPr>
      </w:pPr>
    </w:p>
    <w:p>
      <w:pPr>
        <w:pStyle w:val="2"/>
        <w:rPr>
          <w:color w:val="000000"/>
          <w:sz w:val="28"/>
          <w:szCs w:val="28"/>
        </w:rPr>
      </w:pPr>
      <w:bookmarkStart w:id="2" w:name="_Toc453596786"/>
      <w:bookmarkStart w:id="3" w:name="_Toc128372729"/>
      <w:bookmarkStart w:id="4" w:name="_Toc139965325"/>
      <w:bookmarkStart w:id="5" w:name="_Toc128372051"/>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r>
        <w:rPr>
          <w:rFonts w:hint="eastAsia"/>
          <w:color w:val="000000"/>
          <w:sz w:val="28"/>
          <w:szCs w:val="28"/>
        </w:rPr>
        <w:t>白银市食品检验检测中心食品检（监）测能力建设项目（第二次）</w:t>
      </w:r>
    </w:p>
    <w:p>
      <w:pPr>
        <w:pStyle w:val="2"/>
        <w:rPr>
          <w:color w:val="000000"/>
          <w:sz w:val="28"/>
          <w:szCs w:val="28"/>
        </w:rPr>
      </w:pPr>
      <w:r>
        <w:rPr>
          <w:rFonts w:hint="eastAsia"/>
          <w:color w:val="000000"/>
          <w:sz w:val="28"/>
          <w:szCs w:val="28"/>
        </w:rPr>
        <w:t>公开招标公告</w:t>
      </w:r>
      <w:bookmarkEnd w:id="2"/>
    </w:p>
    <w:p>
      <w:pPr>
        <w:spacing w:line="400" w:lineRule="exact"/>
        <w:ind w:firstLine="480" w:firstLineChars="200"/>
        <w:rPr>
          <w:rFonts w:ascii="宋体" w:hAnsi="宋体" w:cs="宋体"/>
          <w:sz w:val="24"/>
        </w:rPr>
      </w:pPr>
      <w:r>
        <w:rPr>
          <w:rFonts w:hint="eastAsia" w:ascii="宋体" w:hAnsi="宋体" w:cs="宋体"/>
          <w:sz w:val="24"/>
        </w:rPr>
        <w:t>中招国际招标有限公司甘肃分公司受白银市食品检验检测中心的委托，对白银市食品检验检测中心食品检（监）测能力建设项目（第二次）以公开招标形式进行采购，欢迎符合资格条件的供应商前来投标。</w:t>
      </w:r>
    </w:p>
    <w:p>
      <w:pPr>
        <w:numPr>
          <w:ilvl w:val="0"/>
          <w:numId w:val="2"/>
        </w:numPr>
        <w:spacing w:line="400" w:lineRule="exact"/>
        <w:ind w:firstLine="504" w:firstLineChars="209"/>
        <w:jc w:val="left"/>
        <w:rPr>
          <w:rFonts w:ascii="宋体" w:hAnsi="宋体" w:cs="宋体"/>
          <w:sz w:val="24"/>
        </w:rPr>
      </w:pPr>
      <w:r>
        <w:rPr>
          <w:rFonts w:hint="eastAsia" w:ascii="宋体" w:hAnsi="宋体" w:cs="宋体"/>
          <w:b/>
          <w:sz w:val="24"/>
        </w:rPr>
        <w:t>招标文件编号：</w:t>
      </w:r>
      <w:r>
        <w:rPr>
          <w:rFonts w:hint="eastAsia" w:ascii="宋体" w:hAnsi="宋体" w:cs="宋体"/>
          <w:sz w:val="24"/>
        </w:rPr>
        <w:t>BGZJ-ZC17329</w:t>
      </w:r>
    </w:p>
    <w:p>
      <w:pPr>
        <w:numPr>
          <w:ilvl w:val="0"/>
          <w:numId w:val="2"/>
        </w:numPr>
        <w:spacing w:line="400" w:lineRule="exact"/>
        <w:ind w:firstLine="504" w:firstLineChars="209"/>
        <w:jc w:val="left"/>
        <w:rPr>
          <w:rFonts w:ascii="宋体" w:hAnsi="宋体" w:cs="宋体"/>
          <w:sz w:val="24"/>
        </w:rPr>
      </w:pPr>
      <w:r>
        <w:rPr>
          <w:rFonts w:hint="eastAsia" w:ascii="宋体" w:hAnsi="宋体" w:cs="宋体"/>
          <w:b/>
          <w:sz w:val="24"/>
        </w:rPr>
        <w:t>采购方式：</w:t>
      </w:r>
      <w:r>
        <w:rPr>
          <w:rFonts w:hint="eastAsia" w:ascii="宋体" w:hAnsi="宋体" w:cs="宋体"/>
          <w:sz w:val="24"/>
        </w:rPr>
        <w:t>公开招标</w:t>
      </w:r>
    </w:p>
    <w:p>
      <w:pPr>
        <w:widowControl/>
        <w:spacing w:line="400" w:lineRule="exact"/>
        <w:ind w:right="31" w:firstLine="482" w:firstLineChars="200"/>
        <w:jc w:val="left"/>
        <w:rPr>
          <w:rFonts w:ascii="宋体" w:hAnsi="宋体" w:cs="宋体"/>
          <w:sz w:val="24"/>
        </w:rPr>
      </w:pPr>
      <w:r>
        <w:rPr>
          <w:rFonts w:hint="eastAsia" w:ascii="宋体" w:hAnsi="宋体" w:cs="宋体"/>
          <w:b/>
          <w:sz w:val="24"/>
        </w:rPr>
        <w:t>三、招标内容：</w:t>
      </w:r>
      <w:r>
        <w:rPr>
          <w:rFonts w:hint="eastAsia" w:ascii="宋体" w:hAnsi="宋体" w:cs="宋体"/>
          <w:sz w:val="24"/>
        </w:rPr>
        <w:t>（共一个包，</w:t>
      </w:r>
      <w:r>
        <w:rPr>
          <w:rFonts w:hint="eastAsia" w:ascii="宋体" w:hAnsi="宋体" w:cs="宋体"/>
          <w:kern w:val="0"/>
          <w:sz w:val="24"/>
        </w:rPr>
        <w:t>具体要求详见招标文件</w:t>
      </w:r>
      <w:r>
        <w:rPr>
          <w:rFonts w:hint="eastAsia" w:ascii="宋体" w:hAnsi="宋体" w:cs="宋体"/>
          <w:sz w:val="24"/>
        </w:rPr>
        <w:t>）</w:t>
      </w:r>
    </w:p>
    <w:p>
      <w:pPr>
        <w:widowControl/>
        <w:spacing w:line="400" w:lineRule="exact"/>
        <w:ind w:right="31" w:firstLine="480" w:firstLineChars="200"/>
        <w:jc w:val="left"/>
        <w:rPr>
          <w:rFonts w:ascii="宋体" w:hAnsi="宋体" w:cs="宋体"/>
          <w:sz w:val="24"/>
        </w:rPr>
      </w:pPr>
      <w:r>
        <w:rPr>
          <w:rFonts w:hint="eastAsia" w:ascii="宋体" w:hAnsi="宋体" w:cs="宋体"/>
          <w:sz w:val="24"/>
        </w:rPr>
        <w:t xml:space="preserve"> （一）招标内容：</w:t>
      </w:r>
    </w:p>
    <w:tbl>
      <w:tblPr>
        <w:tblStyle w:val="41"/>
        <w:tblW w:w="8294" w:type="dxa"/>
        <w:jc w:val="center"/>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270"/>
        <w:gridCol w:w="1373"/>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035"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品目号</w:t>
            </w:r>
          </w:p>
        </w:tc>
        <w:tc>
          <w:tcPr>
            <w:tcW w:w="3270"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货物名称</w:t>
            </w:r>
          </w:p>
        </w:tc>
        <w:tc>
          <w:tcPr>
            <w:tcW w:w="1373"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数量（套）</w:t>
            </w:r>
          </w:p>
        </w:tc>
        <w:tc>
          <w:tcPr>
            <w:tcW w:w="2616"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035"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3270" w:type="dxa"/>
            <w:vAlign w:val="center"/>
          </w:tcPr>
          <w:p>
            <w:pPr>
              <w:widowControl/>
              <w:spacing w:line="400" w:lineRule="exact"/>
              <w:ind w:right="31"/>
              <w:jc w:val="center"/>
              <w:rPr>
                <w:rFonts w:ascii="宋体" w:hAnsi="宋体" w:cs="宋体"/>
                <w:sz w:val="24"/>
              </w:rPr>
            </w:pPr>
            <w:r>
              <w:rPr>
                <w:rFonts w:hint="eastAsia" w:ascii="宋体" w:hAnsi="宋体" w:cs="宋体"/>
                <w:sz w:val="24"/>
              </w:rPr>
              <w:t>纯水超纯水系统</w:t>
            </w:r>
          </w:p>
        </w:tc>
        <w:tc>
          <w:tcPr>
            <w:tcW w:w="1373"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2616" w:type="dxa"/>
            <w:vAlign w:val="center"/>
          </w:tcPr>
          <w:p>
            <w:pPr>
              <w:widowControl/>
              <w:spacing w:line="400" w:lineRule="exact"/>
              <w:ind w:right="31"/>
              <w:jc w:val="center"/>
              <w:rPr>
                <w:rFonts w:ascii="宋体" w:hAnsi="宋体" w:cs="宋体"/>
                <w:sz w:val="24"/>
              </w:rPr>
            </w:pPr>
            <w:r>
              <w:rPr>
                <w:rFonts w:hint="eastAsia" w:ascii="宋体" w:hAnsi="宋体" w:cs="宋体"/>
                <w:sz w:val="24"/>
              </w:rPr>
              <w:t>进口产品，已论证公示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035" w:type="dxa"/>
            <w:vAlign w:val="center"/>
          </w:tcPr>
          <w:p>
            <w:pPr>
              <w:widowControl/>
              <w:spacing w:line="400" w:lineRule="exact"/>
              <w:ind w:right="31"/>
              <w:jc w:val="center"/>
              <w:rPr>
                <w:rFonts w:ascii="宋体" w:hAnsi="宋体" w:cs="宋体"/>
                <w:sz w:val="24"/>
              </w:rPr>
            </w:pPr>
            <w:r>
              <w:rPr>
                <w:rFonts w:hint="eastAsia" w:ascii="宋体" w:hAnsi="宋体" w:cs="宋体"/>
                <w:sz w:val="24"/>
              </w:rPr>
              <w:t>2</w:t>
            </w:r>
          </w:p>
        </w:tc>
        <w:tc>
          <w:tcPr>
            <w:tcW w:w="3270" w:type="dxa"/>
            <w:vAlign w:val="center"/>
          </w:tcPr>
          <w:p>
            <w:pPr>
              <w:widowControl/>
              <w:spacing w:line="400" w:lineRule="exact"/>
              <w:ind w:right="31"/>
              <w:jc w:val="center"/>
              <w:rPr>
                <w:rFonts w:ascii="宋体" w:hAnsi="宋体" w:cs="宋体"/>
                <w:sz w:val="24"/>
              </w:rPr>
            </w:pPr>
            <w:r>
              <w:rPr>
                <w:rFonts w:hint="eastAsia" w:ascii="宋体" w:hAnsi="宋体" w:cs="宋体"/>
                <w:sz w:val="24"/>
              </w:rPr>
              <w:t>多样品平行蒸发定量浓缩仪</w:t>
            </w:r>
          </w:p>
        </w:tc>
        <w:tc>
          <w:tcPr>
            <w:tcW w:w="1373"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2616" w:type="dxa"/>
            <w:vAlign w:val="center"/>
          </w:tcPr>
          <w:p>
            <w:pPr>
              <w:widowControl/>
              <w:spacing w:line="400" w:lineRule="exact"/>
              <w:ind w:right="31"/>
              <w:jc w:val="center"/>
              <w:rPr>
                <w:rFonts w:ascii="宋体" w:hAnsi="宋体" w:cs="宋体"/>
                <w:sz w:val="24"/>
              </w:rPr>
            </w:pPr>
            <w:r>
              <w:rPr>
                <w:rFonts w:hint="eastAsia" w:ascii="宋体" w:hAnsi="宋体" w:cs="宋体"/>
                <w:sz w:val="24"/>
              </w:rPr>
              <w:t>进口产品，已论证公示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35" w:type="dxa"/>
            <w:vAlign w:val="center"/>
          </w:tcPr>
          <w:p>
            <w:pPr>
              <w:widowControl/>
              <w:spacing w:line="400" w:lineRule="exact"/>
              <w:ind w:right="31"/>
              <w:jc w:val="center"/>
              <w:rPr>
                <w:rFonts w:ascii="宋体" w:hAnsi="宋体" w:cs="宋体"/>
                <w:sz w:val="24"/>
              </w:rPr>
            </w:pPr>
            <w:r>
              <w:rPr>
                <w:rFonts w:hint="eastAsia" w:ascii="宋体" w:hAnsi="宋体" w:cs="宋体"/>
                <w:sz w:val="24"/>
              </w:rPr>
              <w:t>3</w:t>
            </w:r>
          </w:p>
        </w:tc>
        <w:tc>
          <w:tcPr>
            <w:tcW w:w="3270" w:type="dxa"/>
            <w:vAlign w:val="center"/>
          </w:tcPr>
          <w:p>
            <w:pPr>
              <w:widowControl/>
              <w:spacing w:line="400" w:lineRule="exact"/>
              <w:ind w:right="31"/>
              <w:jc w:val="center"/>
              <w:rPr>
                <w:rFonts w:ascii="宋体" w:hAnsi="宋体" w:cs="宋体"/>
                <w:sz w:val="24"/>
              </w:rPr>
            </w:pPr>
            <w:r>
              <w:rPr>
                <w:rFonts w:hint="eastAsia" w:ascii="宋体" w:hAnsi="宋体" w:cs="宋体"/>
                <w:sz w:val="24"/>
              </w:rPr>
              <w:t>液相色谱-原子荧光联用仪</w:t>
            </w:r>
          </w:p>
        </w:tc>
        <w:tc>
          <w:tcPr>
            <w:tcW w:w="1373"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2616" w:type="dxa"/>
            <w:vAlign w:val="center"/>
          </w:tcPr>
          <w:p>
            <w:pPr>
              <w:widowControl/>
              <w:spacing w:line="400" w:lineRule="exact"/>
              <w:ind w:right="31"/>
              <w:jc w:val="center"/>
              <w:rPr>
                <w:rFonts w:ascii="宋体" w:hAnsi="宋体" w:cs="宋体"/>
                <w:sz w:val="24"/>
              </w:rPr>
            </w:pPr>
          </w:p>
        </w:tc>
      </w:tr>
    </w:tbl>
    <w:p>
      <w:pPr>
        <w:widowControl/>
        <w:spacing w:line="400" w:lineRule="exact"/>
        <w:ind w:right="31" w:firstLine="480" w:firstLineChars="200"/>
        <w:jc w:val="left"/>
        <w:rPr>
          <w:rFonts w:ascii="宋体" w:hAnsi="宋体" w:cs="宋体"/>
          <w:sz w:val="24"/>
        </w:rPr>
      </w:pPr>
      <w:r>
        <w:rPr>
          <w:rFonts w:hint="eastAsia" w:ascii="宋体" w:hAnsi="宋体" w:cs="宋体"/>
          <w:sz w:val="24"/>
        </w:rPr>
        <w:t xml:space="preserve"> （二）采购预算：人民币125.5万元</w:t>
      </w:r>
    </w:p>
    <w:p>
      <w:pPr>
        <w:widowControl/>
        <w:spacing w:line="400" w:lineRule="exact"/>
        <w:ind w:right="31" w:firstLine="480" w:firstLineChars="200"/>
        <w:jc w:val="left"/>
        <w:rPr>
          <w:rFonts w:ascii="宋体" w:hAnsi="宋体" w:cs="宋体"/>
          <w:sz w:val="24"/>
        </w:rPr>
      </w:pPr>
      <w:r>
        <w:rPr>
          <w:rFonts w:hint="eastAsia" w:ascii="宋体" w:hAnsi="宋体" w:cs="宋体"/>
          <w:sz w:val="24"/>
        </w:rPr>
        <w:t xml:space="preserve"> （三）评审办法：综合评分法</w:t>
      </w:r>
    </w:p>
    <w:p>
      <w:pPr>
        <w:adjustRightInd w:val="0"/>
        <w:snapToGrid w:val="0"/>
        <w:spacing w:line="400" w:lineRule="exact"/>
        <w:ind w:firstLine="482" w:firstLineChars="200"/>
        <w:rPr>
          <w:rFonts w:ascii="宋体" w:hAnsi="宋体"/>
          <w:b/>
          <w:sz w:val="24"/>
        </w:rPr>
      </w:pPr>
      <w:r>
        <w:rPr>
          <w:rFonts w:hint="eastAsia" w:ascii="宋体" w:hAnsi="宋体"/>
          <w:b/>
          <w:sz w:val="24"/>
        </w:rPr>
        <w:t>四、供应商资格要求：</w:t>
      </w:r>
    </w:p>
    <w:p>
      <w:pPr>
        <w:adjustRightInd w:val="0"/>
        <w:snapToGrid w:val="0"/>
        <w:spacing w:line="400" w:lineRule="exact"/>
        <w:rPr>
          <w:rFonts w:ascii="宋体" w:hAnsi="宋体"/>
          <w:sz w:val="24"/>
        </w:rPr>
      </w:pPr>
      <w:r>
        <w:rPr>
          <w:rFonts w:hint="eastAsia" w:ascii="宋体" w:hAnsi="宋体"/>
          <w:sz w:val="24"/>
        </w:rPr>
        <w:t xml:space="preserve">     （一）符合《政府采购法》第二十二条规定；</w:t>
      </w:r>
    </w:p>
    <w:p>
      <w:pPr>
        <w:adjustRightInd w:val="0"/>
        <w:snapToGrid w:val="0"/>
        <w:spacing w:line="400" w:lineRule="exact"/>
        <w:ind w:firstLine="480" w:firstLineChars="200"/>
        <w:rPr>
          <w:rFonts w:ascii="宋体" w:hAnsi="宋体"/>
          <w:sz w:val="24"/>
        </w:rPr>
      </w:pPr>
      <w:r>
        <w:rPr>
          <w:rFonts w:hint="eastAsia" w:ascii="宋体" w:hAnsi="宋体"/>
          <w:sz w:val="24"/>
        </w:rPr>
        <w:t xml:space="preserve"> （二）提供营业执照、机构代码证、税务登记证副本</w:t>
      </w:r>
      <w:r>
        <w:rPr>
          <w:rFonts w:hint="eastAsia" w:ascii="宋体" w:hAnsi="宋体" w:cs="宋体"/>
          <w:sz w:val="24"/>
        </w:rPr>
        <w:t>（法人营业执照、税务登记证、 组织机构代码证已三证合一的，则需提供具有统一社会信用代码的营业执照副本）</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 xml:space="preserve"> （三）提供法人授权函，法定代表人身份证明及被授权人身份证明；</w:t>
      </w:r>
    </w:p>
    <w:p>
      <w:pPr>
        <w:adjustRightInd w:val="0"/>
        <w:snapToGrid w:val="0"/>
        <w:spacing w:line="400" w:lineRule="exact"/>
        <w:ind w:firstLine="480" w:firstLineChars="200"/>
        <w:rPr>
          <w:rFonts w:ascii="宋体" w:hAnsi="宋体"/>
          <w:sz w:val="24"/>
        </w:rPr>
      </w:pPr>
      <w:r>
        <w:rPr>
          <w:rFonts w:hint="eastAsia" w:ascii="宋体" w:hAnsi="宋体"/>
          <w:sz w:val="24"/>
        </w:rPr>
        <w:t xml:space="preserve"> （四）提供由供应商住所地或者业务发生地市（州）、县（区）人民检察院出具的行贿犯罪档案查询结果告知函原件；</w:t>
      </w:r>
    </w:p>
    <w:p>
      <w:pPr>
        <w:adjustRightInd w:val="0"/>
        <w:snapToGrid w:val="0"/>
        <w:spacing w:line="400" w:lineRule="exact"/>
        <w:ind w:firstLine="480" w:firstLineChars="200"/>
        <w:rPr>
          <w:rFonts w:ascii="宋体" w:hAnsi="宋体"/>
          <w:sz w:val="24"/>
        </w:rPr>
      </w:pPr>
      <w:r>
        <w:rPr>
          <w:rFonts w:hint="eastAsia" w:ascii="宋体" w:hAnsi="宋体"/>
          <w:sz w:val="24"/>
        </w:rPr>
        <w:t xml:space="preserve"> （五）提供参加政府采购活动近三年内无重大违法记录书面声明原件；</w:t>
      </w:r>
    </w:p>
    <w:p>
      <w:pPr>
        <w:adjustRightInd w:val="0"/>
        <w:snapToGrid w:val="0"/>
        <w:spacing w:line="400" w:lineRule="exact"/>
        <w:ind w:firstLine="480" w:firstLineChars="200"/>
        <w:rPr>
          <w:rFonts w:ascii="宋体" w:hAnsi="宋体" w:cs="宋体"/>
          <w:sz w:val="24"/>
        </w:rPr>
      </w:pPr>
      <w:r>
        <w:rPr>
          <w:rFonts w:hint="eastAsia" w:ascii="宋体" w:hAnsi="宋体"/>
          <w:sz w:val="24"/>
        </w:rPr>
        <w:t xml:space="preserve"> （六）</w:t>
      </w:r>
      <w:r>
        <w:rPr>
          <w:rFonts w:hint="eastAsia" w:ascii="宋体" w:hAnsi="宋体" w:cs="宋体"/>
          <w:sz w:val="24"/>
        </w:rPr>
        <w:t>提供投标产品生产厂家针对本项目的专项授权函或区域总代理针对本项目的转授权函（提供转授权函的，还需提供生产厂家对区域总代理的授权函复印件且该复印件须加盖区域总代理公章）和生产厂家售后服务承诺函；</w:t>
      </w:r>
    </w:p>
    <w:p>
      <w:pPr>
        <w:adjustRightInd w:val="0"/>
        <w:snapToGrid w:val="0"/>
        <w:spacing w:line="400" w:lineRule="exact"/>
        <w:ind w:firstLine="480" w:firstLineChars="200"/>
        <w:rPr>
          <w:rFonts w:ascii="宋体" w:hAnsi="宋体" w:cs="宋体"/>
          <w:sz w:val="24"/>
        </w:rPr>
      </w:pPr>
      <w:r>
        <w:rPr>
          <w:rFonts w:hint="eastAsia" w:ascii="宋体" w:hAnsi="宋体" w:cs="宋体"/>
          <w:sz w:val="24"/>
        </w:rPr>
        <w:t xml:space="preserve">  (七)</w:t>
      </w:r>
      <w:r>
        <w:rPr>
          <w:rFonts w:hint="eastAsia" w:ascii="宋体" w:hAnsi="宋体"/>
          <w:sz w:val="24"/>
        </w:rPr>
        <w:t>须提供</w:t>
      </w:r>
      <w:r>
        <w:rPr>
          <w:rFonts w:hint="eastAsia" w:ascii="宋体" w:hAnsi="宋体" w:cs="宋体"/>
          <w:kern w:val="0"/>
          <w:sz w:val="24"/>
        </w:rPr>
        <w:t>财务审计报告</w:t>
      </w:r>
      <w:r>
        <w:rPr>
          <w:rFonts w:hint="eastAsia" w:ascii="宋体" w:hAnsi="宋体"/>
          <w:sz w:val="24"/>
        </w:rPr>
        <w:t>，依法缴纳税收和社会保障资金的相关材料。</w:t>
      </w:r>
    </w:p>
    <w:p>
      <w:pPr>
        <w:adjustRightInd w:val="0"/>
        <w:snapToGrid w:val="0"/>
        <w:spacing w:line="400" w:lineRule="exact"/>
        <w:jc w:val="left"/>
        <w:rPr>
          <w:rFonts w:ascii="宋体" w:hAnsi="宋体" w:cs="宋体"/>
          <w:b/>
          <w:sz w:val="24"/>
        </w:rPr>
      </w:pPr>
      <w:r>
        <w:rPr>
          <w:rFonts w:hint="eastAsia" w:ascii="宋体" w:hAnsi="宋体" w:cs="宋体"/>
          <w:b/>
          <w:sz w:val="24"/>
        </w:rPr>
        <w:t xml:space="preserve">    五、网上报名时间：</w:t>
      </w:r>
    </w:p>
    <w:p>
      <w:pPr>
        <w:adjustRightInd w:val="0"/>
        <w:snapToGrid w:val="0"/>
        <w:spacing w:line="400" w:lineRule="exact"/>
        <w:ind w:left="1" w:firstLine="720" w:firstLineChars="300"/>
        <w:rPr>
          <w:rFonts w:ascii="宋体" w:hAnsi="宋体" w:cs="宋体"/>
          <w:sz w:val="24"/>
          <w:highlight w:val="yellow"/>
        </w:rPr>
      </w:pPr>
      <w:r>
        <w:rPr>
          <w:rFonts w:hint="eastAsia" w:ascii="宋体" w:hAnsi="宋体" w:cs="宋体"/>
          <w:sz w:val="24"/>
        </w:rPr>
        <w:t>2017年9月2</w:t>
      </w:r>
      <w:r>
        <w:rPr>
          <w:rFonts w:hint="eastAsia" w:ascii="宋体" w:hAnsi="宋体" w:cs="宋体"/>
          <w:sz w:val="24"/>
          <w:lang w:val="en-US" w:eastAsia="zh-CN"/>
        </w:rPr>
        <w:t>9</w:t>
      </w:r>
      <w:r>
        <w:rPr>
          <w:rFonts w:hint="eastAsia" w:ascii="宋体" w:hAnsi="宋体" w:cs="宋体"/>
          <w:sz w:val="24"/>
        </w:rPr>
        <w:t>日0：00至2017年10月1</w:t>
      </w:r>
      <w:r>
        <w:rPr>
          <w:rFonts w:hint="eastAsia" w:ascii="宋体" w:hAnsi="宋体" w:cs="宋体"/>
          <w:sz w:val="24"/>
          <w:lang w:val="en-US" w:eastAsia="zh-CN"/>
        </w:rPr>
        <w:t>1</w:t>
      </w:r>
      <w:r>
        <w:rPr>
          <w:rFonts w:hint="eastAsia" w:ascii="宋体" w:hAnsi="宋体" w:cs="宋体"/>
          <w:sz w:val="24"/>
        </w:rPr>
        <w:t>日23:59，</w:t>
      </w:r>
      <w:r>
        <w:rPr>
          <w:rFonts w:hint="eastAsia" w:ascii="宋体" w:hAnsi="宋体"/>
          <w:sz w:val="24"/>
        </w:rPr>
        <w:t>登录白银市公共资源交易网（http://www.bygzjy.cn）网上报名，不接受线下报名。</w:t>
      </w:r>
    </w:p>
    <w:p>
      <w:pPr>
        <w:adjustRightInd w:val="0"/>
        <w:snapToGrid w:val="0"/>
        <w:spacing w:line="400" w:lineRule="exact"/>
        <w:ind w:firstLine="482" w:firstLineChars="200"/>
        <w:rPr>
          <w:rFonts w:ascii="宋体" w:hAnsi="宋体" w:cs="宋体"/>
          <w:b/>
          <w:bCs/>
          <w:sz w:val="24"/>
        </w:rPr>
      </w:pPr>
      <w:r>
        <w:rPr>
          <w:rFonts w:hint="eastAsia" w:ascii="宋体" w:hAnsi="宋体" w:cs="宋体"/>
          <w:b/>
          <w:bCs/>
          <w:sz w:val="24"/>
        </w:rPr>
        <w:t>六、招标文件获取时间及地点：</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（一）时间：</w:t>
      </w:r>
      <w:r>
        <w:rPr>
          <w:rFonts w:hint="eastAsia" w:ascii="宋体" w:hAnsi="宋体" w:cs="宋体"/>
          <w:sz w:val="24"/>
        </w:rPr>
        <w:t>2017年9月2</w:t>
      </w:r>
      <w:r>
        <w:rPr>
          <w:rFonts w:hint="eastAsia" w:ascii="宋体" w:hAnsi="宋体" w:cs="宋体"/>
          <w:sz w:val="24"/>
          <w:lang w:val="en-US" w:eastAsia="zh-CN"/>
        </w:rPr>
        <w:t>9</w:t>
      </w:r>
      <w:r>
        <w:rPr>
          <w:rFonts w:hint="eastAsia" w:ascii="宋体" w:hAnsi="宋体" w:cs="宋体"/>
          <w:sz w:val="24"/>
        </w:rPr>
        <w:t>日</w:t>
      </w:r>
      <w:r>
        <w:rPr>
          <w:rFonts w:hint="eastAsia" w:ascii="宋体" w:hAnsi="宋体" w:cs="宋体"/>
          <w:bCs/>
          <w:sz w:val="24"/>
        </w:rPr>
        <w:t>00时00分至</w:t>
      </w:r>
      <w:r>
        <w:rPr>
          <w:rFonts w:hint="eastAsia" w:ascii="宋体" w:hAnsi="宋体" w:cs="宋体"/>
          <w:sz w:val="24"/>
        </w:rPr>
        <w:t>2017年10月1</w:t>
      </w:r>
      <w:r>
        <w:rPr>
          <w:rFonts w:hint="eastAsia" w:ascii="宋体" w:hAnsi="宋体" w:cs="宋体"/>
          <w:sz w:val="24"/>
          <w:lang w:val="en-US" w:eastAsia="zh-CN"/>
        </w:rPr>
        <w:t>1</w:t>
      </w:r>
      <w:r>
        <w:rPr>
          <w:rFonts w:hint="eastAsia" w:ascii="宋体" w:hAnsi="宋体" w:cs="宋体"/>
          <w:sz w:val="24"/>
        </w:rPr>
        <w:t>日</w:t>
      </w:r>
      <w:r>
        <w:rPr>
          <w:rFonts w:hint="eastAsia" w:ascii="宋体" w:hAnsi="宋体" w:cs="宋体"/>
          <w:bCs/>
          <w:sz w:val="24"/>
        </w:rPr>
        <w:t>23时59分。</w:t>
      </w:r>
    </w:p>
    <w:p>
      <w:pPr>
        <w:adjustRightInd w:val="0"/>
        <w:snapToGrid w:val="0"/>
        <w:spacing w:line="400" w:lineRule="exact"/>
        <w:ind w:firstLine="480" w:firstLineChars="200"/>
        <w:rPr>
          <w:rFonts w:ascii="宋体" w:hAnsi="宋体" w:cs="宋体"/>
          <w:bCs/>
          <w:sz w:val="24"/>
        </w:rPr>
      </w:pPr>
      <w:r>
        <w:rPr>
          <w:rFonts w:hint="eastAsia" w:ascii="宋体" w:hAnsi="宋体" w:cs="宋体"/>
          <w:bCs/>
          <w:sz w:val="24"/>
        </w:rPr>
        <w:t>（二）方式：登录《甘肃政府采购网站》或《白银市公共资源交易中心网站》自行免费下载。</w:t>
      </w:r>
    </w:p>
    <w:p>
      <w:pPr>
        <w:adjustRightInd w:val="0"/>
        <w:snapToGrid w:val="0"/>
        <w:spacing w:line="440" w:lineRule="exact"/>
        <w:ind w:firstLine="480" w:firstLineChars="200"/>
        <w:rPr>
          <w:rFonts w:ascii="宋体" w:hAnsi="宋体" w:cs="宋体"/>
          <w:bCs/>
          <w:sz w:val="24"/>
        </w:rPr>
      </w:pPr>
      <w:r>
        <w:rPr>
          <w:rFonts w:hint="eastAsia" w:ascii="宋体" w:hAnsi="宋体" w:cs="宋体"/>
          <w:bCs/>
          <w:sz w:val="24"/>
        </w:rPr>
        <w:t>（三）网址：甘肃政府采购网www.gszfcg.gansu.gov.cn；白银市公共资源交易中心网站www.bygzjy.cn。</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七、投标截止时间、开标时间及地点：</w:t>
      </w:r>
    </w:p>
    <w:p>
      <w:pPr>
        <w:spacing w:line="440" w:lineRule="exact"/>
        <w:jc w:val="left"/>
        <w:rPr>
          <w:rFonts w:ascii="宋体" w:hAnsi="宋体" w:cs="宋体"/>
          <w:bCs/>
          <w:sz w:val="24"/>
        </w:rPr>
      </w:pPr>
      <w:r>
        <w:rPr>
          <w:rFonts w:hint="eastAsia" w:ascii="宋体" w:hAnsi="宋体" w:cs="宋体"/>
          <w:bCs/>
          <w:sz w:val="24"/>
        </w:rPr>
        <w:t xml:space="preserve">    （一）投标截止时间：2017年10月23日09时整（北京时间，逾期不予受理）</w:t>
      </w:r>
    </w:p>
    <w:p>
      <w:pPr>
        <w:spacing w:line="440" w:lineRule="exact"/>
        <w:jc w:val="left"/>
        <w:rPr>
          <w:rFonts w:ascii="宋体" w:hAnsi="宋体" w:cs="宋体"/>
          <w:bCs/>
          <w:sz w:val="24"/>
        </w:rPr>
      </w:pPr>
      <w:r>
        <w:rPr>
          <w:rFonts w:hint="eastAsia" w:ascii="宋体" w:hAnsi="宋体" w:cs="宋体"/>
          <w:bCs/>
          <w:sz w:val="24"/>
        </w:rPr>
        <w:t xml:space="preserve">    （二）开标时间：2017年10月23日09时整（北京时间，逾期不予受理）</w:t>
      </w:r>
    </w:p>
    <w:p>
      <w:pPr>
        <w:spacing w:line="440" w:lineRule="exact"/>
        <w:jc w:val="left"/>
        <w:rPr>
          <w:rFonts w:ascii="宋体" w:hAnsi="宋体" w:cs="宋体"/>
          <w:sz w:val="24"/>
          <w:highlight w:val="yellow"/>
        </w:rPr>
      </w:pPr>
      <w:r>
        <w:rPr>
          <w:rFonts w:hint="eastAsia" w:ascii="宋体" w:hAnsi="宋体" w:cs="宋体"/>
          <w:bCs/>
          <w:sz w:val="24"/>
        </w:rPr>
        <w:t xml:space="preserve">    （三）开标地点：白银市公共资源交易中心2楼西侧第二开标室。</w:t>
      </w:r>
    </w:p>
    <w:p>
      <w:pPr>
        <w:spacing w:line="440" w:lineRule="exact"/>
        <w:jc w:val="left"/>
        <w:rPr>
          <w:rFonts w:ascii="宋体" w:hAnsi="宋体" w:cs="宋体"/>
          <w:b/>
          <w:sz w:val="24"/>
        </w:rPr>
      </w:pPr>
      <w:r>
        <w:rPr>
          <w:rFonts w:hint="eastAsia" w:ascii="宋体" w:hAnsi="宋体" w:cs="宋体"/>
          <w:b/>
          <w:sz w:val="24"/>
        </w:rPr>
        <w:t xml:space="preserve">    八、其他说明：</w:t>
      </w:r>
    </w:p>
    <w:p>
      <w:pPr>
        <w:spacing w:line="440" w:lineRule="exact"/>
        <w:ind w:left="420" w:leftChars="200" w:firstLine="480"/>
        <w:jc w:val="left"/>
        <w:rPr>
          <w:rFonts w:ascii="宋体" w:hAnsi="宋体" w:cs="宋体"/>
          <w:sz w:val="24"/>
        </w:rPr>
      </w:pPr>
      <w:r>
        <w:rPr>
          <w:rFonts w:hint="eastAsia" w:ascii="宋体" w:hAnsi="宋体" w:cs="宋体"/>
          <w:sz w:val="24"/>
        </w:rPr>
        <w:t>为了规范交易平台的业务流程以及给用户提供方便快捷的服务,凡是拟参与白银市公共资源交易活动的招标人、招标代理机构、投标单位需先在白银市公共资源交易网上注册，注册信息审核通过后，方可登录系统进行项目投标登记，投标“登记号”系统会实时发送到投标人手机。</w:t>
      </w:r>
    </w:p>
    <w:p>
      <w:pPr>
        <w:spacing w:line="440" w:lineRule="exact"/>
        <w:ind w:left="420" w:leftChars="200" w:firstLine="480"/>
        <w:jc w:val="left"/>
        <w:rPr>
          <w:rFonts w:ascii="宋体" w:hAnsi="宋体" w:cs="宋体"/>
          <w:sz w:val="24"/>
        </w:rPr>
      </w:pPr>
      <w:r>
        <w:rPr>
          <w:rFonts w:hint="eastAsia" w:ascii="宋体" w:hAnsi="宋体" w:cs="宋体"/>
          <w:sz w:val="24"/>
        </w:rPr>
        <w:t>注：填写信息必须真实有效。若有问题，请电话咨询：0943-8287909。</w:t>
      </w:r>
    </w:p>
    <w:p>
      <w:pPr>
        <w:spacing w:line="440" w:lineRule="exact"/>
        <w:ind w:firstLine="482" w:firstLineChars="200"/>
        <w:jc w:val="left"/>
        <w:rPr>
          <w:rFonts w:ascii="宋体" w:hAnsi="宋体" w:cs="宋体"/>
          <w:b/>
          <w:sz w:val="24"/>
        </w:rPr>
      </w:pPr>
      <w:r>
        <w:rPr>
          <w:rFonts w:hint="eastAsia" w:ascii="宋体" w:hAnsi="宋体" w:cs="宋体"/>
          <w:b/>
          <w:sz w:val="24"/>
        </w:rPr>
        <w:t>九、投标保证金递交截止时间：递交投标文件截止前。</w:t>
      </w:r>
    </w:p>
    <w:p>
      <w:pPr>
        <w:spacing w:line="440" w:lineRule="exact"/>
        <w:ind w:firstLine="480" w:firstLineChars="200"/>
        <w:jc w:val="left"/>
        <w:rPr>
          <w:rFonts w:ascii="宋体" w:hAnsi="宋体" w:cs="宋体"/>
          <w:sz w:val="24"/>
        </w:rPr>
      </w:pPr>
      <w:r>
        <w:rPr>
          <w:rFonts w:hint="eastAsia" w:ascii="宋体" w:hAnsi="宋体" w:cs="宋体"/>
          <w:sz w:val="24"/>
        </w:rPr>
        <w:t>（一）投标保证金提交方式为银行电汇，不接受其他方式的投标保证金。</w:t>
      </w:r>
    </w:p>
    <w:p>
      <w:pPr>
        <w:spacing w:line="440" w:lineRule="exact"/>
        <w:ind w:firstLine="480" w:firstLineChars="200"/>
        <w:jc w:val="left"/>
        <w:rPr>
          <w:rFonts w:ascii="宋体" w:hAnsi="宋体" w:cs="宋体"/>
          <w:sz w:val="24"/>
        </w:rPr>
      </w:pPr>
      <w:r>
        <w:rPr>
          <w:rFonts w:hint="eastAsia" w:ascii="宋体" w:hAnsi="宋体" w:cs="宋体"/>
          <w:sz w:val="24"/>
        </w:rPr>
        <w:t>（二）投标人必须从基本账户以电汇方式提交保证金，且投标保证金单位名称必须与投标人登记的单位名称一致，不得以分公司、办事处或其他机构名义递交。</w:t>
      </w:r>
    </w:p>
    <w:p>
      <w:pPr>
        <w:spacing w:line="440" w:lineRule="exact"/>
        <w:ind w:firstLine="480" w:firstLineChars="200"/>
        <w:jc w:val="left"/>
        <w:rPr>
          <w:rFonts w:ascii="宋体" w:hAnsi="宋体" w:cs="宋体"/>
          <w:sz w:val="24"/>
        </w:rPr>
      </w:pPr>
      <w:r>
        <w:rPr>
          <w:rFonts w:hint="eastAsia" w:ascii="宋体" w:hAnsi="宋体" w:cs="宋体"/>
          <w:sz w:val="24"/>
        </w:rPr>
        <w:t>（三）投标人在办理投标保证金电汇手续时，在银行电汇单附言栏上必须且只填写投标保证金对应的投标项目标段（包）的8位数字登记号。在汇款单附言栏内不填或错填投标“登记号”，交易系统无法识别保证金所对应的项目标段（包）的，将导致投标无效；未按标段（包）逐笔递交保证金的，将导致投标无效。</w:t>
      </w:r>
    </w:p>
    <w:p>
      <w:pPr>
        <w:spacing w:line="440" w:lineRule="exact"/>
        <w:ind w:firstLine="480" w:firstLineChars="200"/>
        <w:jc w:val="left"/>
        <w:rPr>
          <w:rFonts w:ascii="宋体" w:hAnsi="宋体" w:cs="宋体"/>
          <w:sz w:val="24"/>
        </w:rPr>
      </w:pPr>
      <w:r>
        <w:rPr>
          <w:rFonts w:hint="eastAsia" w:ascii="宋体" w:hAnsi="宋体" w:cs="宋体"/>
          <w:sz w:val="24"/>
        </w:rPr>
        <w:t>投标保证金其他问题，可登录白银市公共资源交易中心网站查看“网上缴纳投标保证金操作指南”。</w:t>
      </w:r>
    </w:p>
    <w:p>
      <w:pPr>
        <w:spacing w:line="440" w:lineRule="exact"/>
        <w:ind w:firstLine="482" w:firstLineChars="200"/>
        <w:jc w:val="left"/>
        <w:rPr>
          <w:rFonts w:ascii="宋体" w:hAnsi="宋体" w:cs="宋体"/>
          <w:b/>
          <w:sz w:val="24"/>
        </w:rPr>
      </w:pPr>
      <w:r>
        <w:rPr>
          <w:rFonts w:hint="eastAsia" w:ascii="宋体" w:hAnsi="宋体" w:cs="宋体"/>
          <w:b/>
          <w:sz w:val="24"/>
        </w:rPr>
        <w:t>十、采购项目联系人及电话：</w:t>
      </w:r>
    </w:p>
    <w:p>
      <w:pPr>
        <w:spacing w:line="440" w:lineRule="exact"/>
        <w:ind w:right="-143" w:rightChars="-68" w:firstLine="480" w:firstLineChars="200"/>
        <w:rPr>
          <w:rFonts w:ascii="宋体" w:hAnsi="宋体" w:cs="宋体"/>
          <w:color w:val="000000"/>
          <w:sz w:val="24"/>
        </w:rPr>
      </w:pPr>
      <w:r>
        <w:rPr>
          <w:rFonts w:hint="eastAsia" w:ascii="宋体" w:hAnsi="宋体" w:cs="宋体"/>
          <w:sz w:val="24"/>
        </w:rPr>
        <w:t xml:space="preserve">  采购单位：白银市食品检验检测中心</w:t>
      </w:r>
    </w:p>
    <w:p>
      <w:pPr>
        <w:spacing w:line="440" w:lineRule="exact"/>
        <w:ind w:right="-143" w:rightChars="-68" w:firstLine="480" w:firstLineChars="200"/>
        <w:rPr>
          <w:rFonts w:ascii="宋体" w:hAnsi="宋体" w:cs="宋体"/>
          <w:sz w:val="24"/>
        </w:rPr>
      </w:pPr>
      <w:r>
        <w:rPr>
          <w:rFonts w:hint="eastAsia" w:ascii="宋体" w:hAnsi="宋体" w:cs="宋体"/>
          <w:sz w:val="24"/>
        </w:rPr>
        <w:t xml:space="preserve">  联 系 人：</w:t>
      </w:r>
      <w:r>
        <w:rPr>
          <w:rFonts w:hint="eastAsia" w:ascii="宋体" w:hAnsi="宋体"/>
          <w:sz w:val="24"/>
        </w:rPr>
        <w:t>寇宗红</w:t>
      </w:r>
      <w:r>
        <w:rPr>
          <w:rFonts w:hint="eastAsia" w:ascii="宋体" w:hAnsi="宋体" w:cs="宋体"/>
          <w:sz w:val="24"/>
        </w:rPr>
        <w:t xml:space="preserve">      联系电话：</w:t>
      </w:r>
      <w:r>
        <w:rPr>
          <w:rFonts w:hint="eastAsia" w:ascii="宋体" w:hAnsi="宋体"/>
          <w:sz w:val="24"/>
        </w:rPr>
        <w:t>0943-8625956</w:t>
      </w:r>
    </w:p>
    <w:p>
      <w:pPr>
        <w:spacing w:line="440" w:lineRule="exact"/>
        <w:ind w:right="-143" w:rightChars="-68" w:firstLine="480" w:firstLineChars="200"/>
        <w:rPr>
          <w:rFonts w:ascii="宋体" w:hAnsi="宋体" w:cs="宋体"/>
          <w:color w:val="000000"/>
          <w:kern w:val="0"/>
          <w:sz w:val="24"/>
        </w:rPr>
      </w:pPr>
      <w:r>
        <w:rPr>
          <w:rFonts w:hint="eastAsia" w:ascii="宋体" w:hAnsi="宋体" w:cs="宋体"/>
          <w:color w:val="000000"/>
          <w:kern w:val="0"/>
          <w:sz w:val="24"/>
        </w:rPr>
        <w:t xml:space="preserve">  代理机构：</w:t>
      </w:r>
      <w:r>
        <w:rPr>
          <w:rFonts w:hint="eastAsia" w:ascii="宋体" w:hAnsi="宋体" w:cs="宋体"/>
          <w:color w:val="000000"/>
          <w:sz w:val="24"/>
        </w:rPr>
        <w:t>中招国际招标有限公司甘肃分公司</w:t>
      </w:r>
    </w:p>
    <w:p>
      <w:pPr>
        <w:spacing w:line="440" w:lineRule="exact"/>
        <w:ind w:firstLine="480" w:firstLineChars="200"/>
        <w:jc w:val="left"/>
        <w:rPr>
          <w:rFonts w:ascii="宋体" w:hAnsi="宋体" w:cs="宋体"/>
          <w:sz w:val="24"/>
        </w:rPr>
      </w:pPr>
      <w:r>
        <w:rPr>
          <w:rFonts w:hint="eastAsia" w:ascii="宋体" w:hAnsi="宋体" w:cs="宋体"/>
          <w:color w:val="000000"/>
          <w:kern w:val="0"/>
          <w:sz w:val="24"/>
        </w:rPr>
        <w:t xml:space="preserve">  联 系 人：杨琴     联系电话：</w:t>
      </w:r>
      <w:r>
        <w:rPr>
          <w:rFonts w:hint="eastAsia" w:ascii="宋体" w:hAnsi="宋体" w:cs="宋体"/>
          <w:sz w:val="24"/>
        </w:rPr>
        <w:t>15294210898</w:t>
      </w:r>
    </w:p>
    <w:p>
      <w:pPr>
        <w:spacing w:line="440" w:lineRule="exact"/>
        <w:ind w:firstLine="480" w:firstLineChars="200"/>
        <w:jc w:val="left"/>
        <w:rPr>
          <w:rFonts w:ascii="宋体" w:hAnsi="宋体" w:cs="宋体"/>
          <w:sz w:val="24"/>
        </w:rPr>
      </w:pPr>
      <w:r>
        <w:rPr>
          <w:rFonts w:hint="eastAsia" w:ascii="宋体" w:hAnsi="宋体" w:cs="宋体"/>
          <w:sz w:val="24"/>
        </w:rPr>
        <w:t xml:space="preserve">  白银市公共资源交易中心：</w:t>
      </w:r>
    </w:p>
    <w:p>
      <w:pPr>
        <w:spacing w:line="440" w:lineRule="exact"/>
        <w:ind w:firstLine="480" w:firstLineChars="200"/>
        <w:jc w:val="left"/>
        <w:rPr>
          <w:rFonts w:ascii="宋体" w:hAnsi="宋体" w:cs="宋体"/>
          <w:sz w:val="24"/>
        </w:rPr>
      </w:pPr>
      <w:r>
        <w:rPr>
          <w:rFonts w:hint="eastAsia" w:ascii="宋体" w:hAnsi="宋体" w:cs="宋体"/>
          <w:sz w:val="24"/>
        </w:rPr>
        <w:t xml:space="preserve">  联 系 人：付蓉      联系电话：0943-8287900</w:t>
      </w:r>
    </w:p>
    <w:p>
      <w:pPr>
        <w:spacing w:line="440" w:lineRule="exact"/>
        <w:ind w:firstLine="480" w:firstLineChars="200"/>
        <w:jc w:val="right"/>
        <w:rPr>
          <w:rFonts w:ascii="宋体" w:hAnsi="宋体" w:cs="宋体"/>
          <w:sz w:val="24"/>
        </w:rPr>
      </w:pPr>
      <w:r>
        <w:rPr>
          <w:rFonts w:hint="eastAsia" w:ascii="宋体" w:hAnsi="宋体" w:cs="宋体"/>
          <w:sz w:val="24"/>
        </w:rPr>
        <w:t>中招国际招标有限公司甘肃分公司</w:t>
      </w:r>
    </w:p>
    <w:p>
      <w:pPr>
        <w:spacing w:line="440" w:lineRule="exact"/>
        <w:rPr>
          <w:rFonts w:ascii="宋体" w:hAnsi="宋体" w:cs="宋体"/>
          <w:sz w:val="24"/>
        </w:rPr>
      </w:pPr>
      <w:r>
        <w:rPr>
          <w:rFonts w:hint="eastAsia" w:ascii="宋体" w:hAnsi="宋体" w:cs="宋体"/>
          <w:sz w:val="24"/>
        </w:rPr>
        <w:t xml:space="preserve">                              </w:t>
      </w:r>
    </w:p>
    <w:p>
      <w:pPr>
        <w:spacing w:line="440" w:lineRule="exact"/>
        <w:rPr>
          <w:rFonts w:ascii="宋体" w:hAnsi="宋体" w:cs="宋体"/>
          <w:sz w:val="24"/>
        </w:rPr>
      </w:pPr>
      <w:r>
        <w:rPr>
          <w:rFonts w:hint="eastAsia" w:ascii="宋体" w:hAnsi="宋体" w:cs="宋体"/>
          <w:sz w:val="24"/>
        </w:rPr>
        <w:t xml:space="preserve">                                                           2017年9月2</w:t>
      </w:r>
      <w:r>
        <w:rPr>
          <w:rFonts w:hint="eastAsia" w:ascii="宋体" w:hAnsi="宋体" w:cs="宋体"/>
          <w:sz w:val="24"/>
          <w:lang w:val="en-US" w:eastAsia="zh-CN"/>
        </w:rPr>
        <w:t>8</w:t>
      </w:r>
      <w:bookmarkStart w:id="312" w:name="_GoBack"/>
      <w:bookmarkEnd w:id="312"/>
      <w:r>
        <w:rPr>
          <w:rFonts w:hint="eastAsia" w:ascii="宋体" w:hAnsi="宋体" w:cs="宋体"/>
          <w:sz w:val="24"/>
        </w:rPr>
        <w:t>日</w:t>
      </w:r>
    </w:p>
    <w:p>
      <w:pPr>
        <w:pStyle w:val="2"/>
        <w:rPr>
          <w:color w:val="000000"/>
        </w:rPr>
      </w:pPr>
      <w:bookmarkStart w:id="6" w:name="_Toc453596787"/>
      <w:r>
        <w:rPr>
          <w:rFonts w:hint="eastAsia"/>
          <w:color w:val="000000"/>
        </w:rPr>
        <w:t>投标须知</w:t>
      </w:r>
      <w:bookmarkEnd w:id="3"/>
      <w:bookmarkEnd w:id="4"/>
      <w:bookmarkEnd w:id="5"/>
      <w:r>
        <w:rPr>
          <w:rFonts w:hint="eastAsia"/>
          <w:color w:val="000000"/>
        </w:rPr>
        <w:t>前附表</w:t>
      </w:r>
      <w:bookmarkEnd w:id="6"/>
    </w:p>
    <w:p>
      <w:pPr>
        <w:ind w:firstLine="360" w:firstLineChars="150"/>
        <w:rPr>
          <w:rFonts w:ascii="宋体" w:hAnsi="宋体"/>
          <w:color w:val="000000"/>
          <w:sz w:val="24"/>
        </w:rPr>
      </w:pPr>
      <w:r>
        <w:rPr>
          <w:rFonts w:hint="eastAsia" w:ascii="宋体" w:hAnsi="宋体"/>
          <w:color w:val="000000"/>
          <w:sz w:val="24"/>
        </w:rPr>
        <w:t>下述关于要采购的货物的具体资料是对投标须知的具体补充和修改，如果有矛盾的话，应以本资料表为准。</w:t>
      </w:r>
    </w:p>
    <w:tbl>
      <w:tblPr>
        <w:tblStyle w:val="40"/>
        <w:tblW w:w="9946" w:type="dxa"/>
        <w:tblInd w:w="-102"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53"/>
        <w:gridCol w:w="9193"/>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53" w:type="dxa"/>
            <w:vAlign w:val="center"/>
          </w:tcPr>
          <w:p>
            <w:pPr>
              <w:spacing w:line="440" w:lineRule="exact"/>
              <w:jc w:val="center"/>
              <w:rPr>
                <w:rFonts w:ascii="宋体" w:hAnsi="宋体"/>
                <w:b/>
                <w:color w:val="000000"/>
                <w:sz w:val="24"/>
              </w:rPr>
            </w:pPr>
            <w:r>
              <w:rPr>
                <w:rFonts w:ascii="宋体" w:hAnsi="宋体"/>
                <w:b/>
                <w:color w:val="000000"/>
                <w:sz w:val="24"/>
              </w:rPr>
              <w:t>序号</w:t>
            </w:r>
          </w:p>
        </w:tc>
        <w:tc>
          <w:tcPr>
            <w:tcW w:w="9193" w:type="dxa"/>
            <w:vAlign w:val="center"/>
          </w:tcPr>
          <w:p>
            <w:pPr>
              <w:spacing w:line="440" w:lineRule="exact"/>
              <w:ind w:firstLine="482" w:firstLineChars="200"/>
              <w:jc w:val="center"/>
              <w:rPr>
                <w:rFonts w:ascii="宋体" w:hAnsi="宋体"/>
                <w:b/>
                <w:color w:val="000000"/>
                <w:sz w:val="24"/>
              </w:rPr>
            </w:pPr>
            <w:r>
              <w:rPr>
                <w:rFonts w:ascii="宋体" w:hAnsi="宋体"/>
                <w:b/>
                <w:color w:val="000000"/>
                <w:sz w:val="24"/>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tcPr>
          <w:p>
            <w:pPr>
              <w:spacing w:line="440" w:lineRule="exact"/>
              <w:rPr>
                <w:rFonts w:ascii="宋体" w:hAnsi="宋体"/>
                <w:color w:val="000000"/>
                <w:sz w:val="24"/>
              </w:rPr>
            </w:pPr>
            <w:r>
              <w:rPr>
                <w:rFonts w:ascii="宋体" w:hAnsi="宋体"/>
                <w:color w:val="000000"/>
                <w:sz w:val="24"/>
              </w:rPr>
              <w:t>综合说明</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hint="eastAsia" w:ascii="宋体" w:hAnsi="宋体"/>
                <w:color w:val="000000"/>
                <w:sz w:val="24"/>
              </w:rPr>
              <w:t>1）项目</w:t>
            </w:r>
            <w:r>
              <w:rPr>
                <w:rFonts w:ascii="宋体" w:hAnsi="宋体"/>
                <w:color w:val="000000"/>
                <w:sz w:val="24"/>
              </w:rPr>
              <w:t>名称：</w:t>
            </w:r>
            <w:r>
              <w:rPr>
                <w:rFonts w:hint="eastAsia" w:ascii="宋体" w:hAnsi="宋体"/>
                <w:color w:val="000000"/>
                <w:sz w:val="24"/>
              </w:rPr>
              <w:t>白银市食品检验检测中心食品检（监）测能力建设项目（第二次）</w:t>
            </w:r>
          </w:p>
          <w:p>
            <w:pPr>
              <w:spacing w:line="440" w:lineRule="exact"/>
              <w:ind w:firstLine="480" w:firstLineChars="200"/>
              <w:rPr>
                <w:rFonts w:ascii="宋体" w:hAnsi="宋体"/>
                <w:sz w:val="24"/>
              </w:rPr>
            </w:pPr>
            <w:r>
              <w:rPr>
                <w:rFonts w:hint="eastAsia" w:ascii="宋体" w:hAnsi="宋体"/>
                <w:sz w:val="24"/>
              </w:rPr>
              <w:t>2）</w:t>
            </w:r>
            <w:r>
              <w:rPr>
                <w:rFonts w:ascii="宋体" w:hAnsi="宋体"/>
                <w:sz w:val="24"/>
              </w:rPr>
              <w:t>招标内容：</w:t>
            </w:r>
          </w:p>
          <w:tbl>
            <w:tblPr>
              <w:tblStyle w:val="41"/>
              <w:tblW w:w="8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3328"/>
              <w:gridCol w:w="1355"/>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3"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品目号</w:t>
                  </w:r>
                </w:p>
              </w:tc>
              <w:tc>
                <w:tcPr>
                  <w:tcW w:w="3328"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货物名称</w:t>
                  </w:r>
                </w:p>
              </w:tc>
              <w:tc>
                <w:tcPr>
                  <w:tcW w:w="1355"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数量（套）</w:t>
                  </w:r>
                </w:p>
              </w:tc>
              <w:tc>
                <w:tcPr>
                  <w:tcW w:w="2778" w:type="dxa"/>
                  <w:vAlign w:val="center"/>
                </w:tcPr>
                <w:p>
                  <w:pPr>
                    <w:widowControl/>
                    <w:spacing w:line="400" w:lineRule="exact"/>
                    <w:ind w:right="31"/>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3"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3328" w:type="dxa"/>
                  <w:vAlign w:val="center"/>
                </w:tcPr>
                <w:p>
                  <w:pPr>
                    <w:widowControl/>
                    <w:spacing w:line="400" w:lineRule="exact"/>
                    <w:ind w:right="31"/>
                    <w:jc w:val="center"/>
                    <w:rPr>
                      <w:rFonts w:ascii="宋体" w:hAnsi="宋体" w:cs="宋体"/>
                      <w:sz w:val="24"/>
                    </w:rPr>
                  </w:pPr>
                  <w:r>
                    <w:rPr>
                      <w:rFonts w:hint="eastAsia" w:ascii="宋体" w:hAnsi="宋体" w:cs="宋体"/>
                      <w:sz w:val="24"/>
                    </w:rPr>
                    <w:t>纯水超纯水系统</w:t>
                  </w:r>
                </w:p>
              </w:tc>
              <w:tc>
                <w:tcPr>
                  <w:tcW w:w="1355"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2778" w:type="dxa"/>
                  <w:vAlign w:val="center"/>
                </w:tcPr>
                <w:p>
                  <w:pPr>
                    <w:widowControl/>
                    <w:spacing w:line="400" w:lineRule="exact"/>
                    <w:ind w:right="31"/>
                    <w:jc w:val="center"/>
                    <w:rPr>
                      <w:rFonts w:ascii="宋体" w:hAnsi="宋体" w:cs="宋体"/>
                      <w:sz w:val="24"/>
                    </w:rPr>
                  </w:pPr>
                  <w:r>
                    <w:rPr>
                      <w:rFonts w:hint="eastAsia" w:ascii="宋体" w:hAnsi="宋体" w:cs="宋体"/>
                      <w:sz w:val="24"/>
                    </w:rPr>
                    <w:t>进口产品，已论证公示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163" w:type="dxa"/>
                  <w:vAlign w:val="center"/>
                </w:tcPr>
                <w:p>
                  <w:pPr>
                    <w:widowControl/>
                    <w:spacing w:line="400" w:lineRule="exact"/>
                    <w:ind w:right="31"/>
                    <w:jc w:val="center"/>
                    <w:rPr>
                      <w:rFonts w:ascii="宋体" w:hAnsi="宋体" w:cs="宋体"/>
                      <w:sz w:val="24"/>
                    </w:rPr>
                  </w:pPr>
                  <w:r>
                    <w:rPr>
                      <w:rFonts w:hint="eastAsia" w:ascii="宋体" w:hAnsi="宋体" w:cs="宋体"/>
                      <w:sz w:val="24"/>
                    </w:rPr>
                    <w:t>2</w:t>
                  </w:r>
                </w:p>
              </w:tc>
              <w:tc>
                <w:tcPr>
                  <w:tcW w:w="3328" w:type="dxa"/>
                  <w:vAlign w:val="center"/>
                </w:tcPr>
                <w:p>
                  <w:pPr>
                    <w:widowControl/>
                    <w:spacing w:line="400" w:lineRule="exact"/>
                    <w:ind w:right="31"/>
                    <w:jc w:val="center"/>
                    <w:rPr>
                      <w:rFonts w:ascii="宋体" w:hAnsi="宋体" w:cs="宋体"/>
                      <w:sz w:val="24"/>
                    </w:rPr>
                  </w:pPr>
                  <w:r>
                    <w:rPr>
                      <w:rFonts w:hint="eastAsia" w:ascii="宋体" w:hAnsi="宋体" w:cs="宋体"/>
                      <w:sz w:val="24"/>
                    </w:rPr>
                    <w:t>多样品平行蒸发定量浓缩仪</w:t>
                  </w:r>
                </w:p>
              </w:tc>
              <w:tc>
                <w:tcPr>
                  <w:tcW w:w="1355"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2778" w:type="dxa"/>
                  <w:vAlign w:val="center"/>
                </w:tcPr>
                <w:p>
                  <w:pPr>
                    <w:widowControl/>
                    <w:spacing w:line="400" w:lineRule="exact"/>
                    <w:ind w:right="31"/>
                    <w:jc w:val="center"/>
                    <w:rPr>
                      <w:rFonts w:ascii="宋体" w:hAnsi="宋体" w:cs="宋体"/>
                      <w:sz w:val="24"/>
                    </w:rPr>
                  </w:pPr>
                  <w:r>
                    <w:rPr>
                      <w:rFonts w:hint="eastAsia" w:ascii="宋体" w:hAnsi="宋体" w:cs="宋体"/>
                      <w:sz w:val="24"/>
                    </w:rPr>
                    <w:t>进口产品，已论证公示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163" w:type="dxa"/>
                  <w:vAlign w:val="center"/>
                </w:tcPr>
                <w:p>
                  <w:pPr>
                    <w:widowControl/>
                    <w:spacing w:line="400" w:lineRule="exact"/>
                    <w:ind w:right="31"/>
                    <w:jc w:val="center"/>
                    <w:rPr>
                      <w:rFonts w:ascii="宋体" w:hAnsi="宋体" w:cs="宋体"/>
                      <w:sz w:val="24"/>
                    </w:rPr>
                  </w:pPr>
                  <w:r>
                    <w:rPr>
                      <w:rFonts w:hint="eastAsia" w:ascii="宋体" w:hAnsi="宋体" w:cs="宋体"/>
                      <w:sz w:val="24"/>
                    </w:rPr>
                    <w:t>3</w:t>
                  </w:r>
                </w:p>
              </w:tc>
              <w:tc>
                <w:tcPr>
                  <w:tcW w:w="3328" w:type="dxa"/>
                  <w:vAlign w:val="center"/>
                </w:tcPr>
                <w:p>
                  <w:pPr>
                    <w:widowControl/>
                    <w:spacing w:line="400" w:lineRule="exact"/>
                    <w:ind w:right="31"/>
                    <w:jc w:val="center"/>
                    <w:rPr>
                      <w:rFonts w:ascii="宋体" w:hAnsi="宋体" w:cs="宋体"/>
                      <w:sz w:val="24"/>
                    </w:rPr>
                  </w:pPr>
                  <w:r>
                    <w:rPr>
                      <w:rFonts w:hint="eastAsia" w:ascii="宋体" w:hAnsi="宋体" w:cs="宋体"/>
                      <w:sz w:val="24"/>
                    </w:rPr>
                    <w:t>液相色谱-原子荧光联用仪</w:t>
                  </w:r>
                </w:p>
              </w:tc>
              <w:tc>
                <w:tcPr>
                  <w:tcW w:w="1355" w:type="dxa"/>
                  <w:vAlign w:val="center"/>
                </w:tcPr>
                <w:p>
                  <w:pPr>
                    <w:widowControl/>
                    <w:spacing w:line="400" w:lineRule="exact"/>
                    <w:ind w:right="31"/>
                    <w:jc w:val="center"/>
                    <w:rPr>
                      <w:rFonts w:ascii="宋体" w:hAnsi="宋体" w:cs="宋体"/>
                      <w:sz w:val="24"/>
                    </w:rPr>
                  </w:pPr>
                  <w:r>
                    <w:rPr>
                      <w:rFonts w:hint="eastAsia" w:ascii="宋体" w:hAnsi="宋体" w:cs="宋体"/>
                      <w:sz w:val="24"/>
                    </w:rPr>
                    <w:t>1</w:t>
                  </w:r>
                </w:p>
              </w:tc>
              <w:tc>
                <w:tcPr>
                  <w:tcW w:w="2778" w:type="dxa"/>
                  <w:vAlign w:val="center"/>
                </w:tcPr>
                <w:p>
                  <w:pPr>
                    <w:widowControl/>
                    <w:spacing w:line="400" w:lineRule="exact"/>
                    <w:ind w:right="31"/>
                    <w:jc w:val="center"/>
                    <w:rPr>
                      <w:rFonts w:ascii="宋体" w:hAnsi="宋体" w:cs="宋体"/>
                      <w:sz w:val="24"/>
                    </w:rPr>
                  </w:pPr>
                </w:p>
              </w:tc>
            </w:tr>
          </w:tbl>
          <w:p>
            <w:pPr>
              <w:spacing w:line="440" w:lineRule="exact"/>
              <w:ind w:firstLine="480" w:firstLineChars="200"/>
              <w:rPr>
                <w:rFonts w:ascii="宋体" w:hAnsi="宋体"/>
                <w:sz w:val="24"/>
              </w:rPr>
            </w:pPr>
            <w:r>
              <w:rPr>
                <w:rFonts w:hint="eastAsia" w:ascii="宋体" w:hAnsi="宋体" w:cs="宋体"/>
                <w:sz w:val="24"/>
              </w:rPr>
              <w:t>（共一个包，</w:t>
            </w:r>
            <w:r>
              <w:rPr>
                <w:rFonts w:hint="eastAsia" w:ascii="宋体" w:hAnsi="宋体"/>
                <w:sz w:val="24"/>
              </w:rPr>
              <w:t>具体要求详见招标文件5.1技术要求</w:t>
            </w:r>
            <w:r>
              <w:rPr>
                <w:rFonts w:hint="eastAsia" w:ascii="宋体" w:hAnsi="宋体" w:cs="宋体"/>
                <w:sz w:val="24"/>
              </w:rPr>
              <w:t>）</w:t>
            </w:r>
          </w:p>
          <w:p>
            <w:pPr>
              <w:spacing w:line="440" w:lineRule="exact"/>
              <w:ind w:firstLine="480" w:firstLineChars="200"/>
              <w:rPr>
                <w:rFonts w:ascii="宋体" w:hAnsi="宋体"/>
                <w:sz w:val="24"/>
              </w:rPr>
            </w:pPr>
            <w:r>
              <w:rPr>
                <w:rFonts w:hint="eastAsia" w:ascii="宋体" w:hAnsi="宋体"/>
                <w:sz w:val="24"/>
              </w:rPr>
              <w:t>3）采购预算：人民币125.5万元</w:t>
            </w:r>
          </w:p>
          <w:p>
            <w:pPr>
              <w:spacing w:line="440" w:lineRule="exact"/>
              <w:ind w:firstLine="480" w:firstLineChars="200"/>
              <w:rPr>
                <w:rFonts w:ascii="宋体" w:hAnsi="宋体"/>
                <w:sz w:val="24"/>
              </w:rPr>
            </w:pPr>
            <w:r>
              <w:rPr>
                <w:rFonts w:hint="eastAsia" w:ascii="宋体" w:hAnsi="宋体"/>
                <w:sz w:val="24"/>
              </w:rPr>
              <w:t xml:space="preserve">4）招标方式：公开招标 </w:t>
            </w:r>
          </w:p>
          <w:p>
            <w:pPr>
              <w:spacing w:line="440" w:lineRule="exact"/>
              <w:ind w:firstLine="480" w:firstLineChars="200"/>
              <w:rPr>
                <w:rFonts w:ascii="宋体" w:hAnsi="宋体"/>
                <w:color w:val="000000"/>
                <w:sz w:val="24"/>
              </w:rPr>
            </w:pPr>
            <w:r>
              <w:rPr>
                <w:rFonts w:hint="eastAsia" w:ascii="宋体" w:hAnsi="宋体"/>
                <w:color w:val="000000"/>
                <w:sz w:val="24"/>
              </w:rPr>
              <w:t>5）评标办法：综合评分法</w:t>
            </w:r>
          </w:p>
          <w:p>
            <w:pPr>
              <w:spacing w:line="440" w:lineRule="exact"/>
              <w:ind w:firstLine="482" w:firstLineChars="200"/>
              <w:rPr>
                <w:rFonts w:ascii="宋体" w:hAnsi="宋体"/>
                <w:color w:val="000000"/>
                <w:sz w:val="24"/>
              </w:rPr>
            </w:pPr>
            <w:r>
              <w:rPr>
                <w:rFonts w:hint="eastAsia" w:ascii="宋体" w:hAnsi="宋体"/>
                <w:b/>
                <w:sz w:val="24"/>
                <w:lang w:val="zh-CN"/>
              </w:rPr>
              <w:t>投标人的投标报价超过采购预算的按无效投标处理。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tcPr>
          <w:p>
            <w:pPr>
              <w:spacing w:line="440" w:lineRule="exact"/>
              <w:rPr>
                <w:rFonts w:ascii="宋体" w:hAnsi="宋体"/>
                <w:color w:val="000000"/>
                <w:sz w:val="24"/>
              </w:rPr>
            </w:pPr>
            <w:r>
              <w:rPr>
                <w:rFonts w:hint="eastAsia" w:ascii="宋体" w:hAnsi="宋体"/>
                <w:color w:val="000000"/>
                <w:sz w:val="24"/>
              </w:rPr>
              <w:t>采购人：</w:t>
            </w:r>
          </w:p>
          <w:p>
            <w:pPr>
              <w:spacing w:line="440" w:lineRule="exact"/>
              <w:ind w:firstLine="480" w:firstLineChars="200"/>
              <w:rPr>
                <w:rFonts w:ascii="宋体" w:hAnsi="宋体"/>
                <w:color w:val="000000"/>
                <w:sz w:val="24"/>
              </w:rPr>
            </w:pPr>
            <w:r>
              <w:rPr>
                <w:rFonts w:hint="eastAsia" w:ascii="宋体" w:hAnsi="宋体"/>
                <w:color w:val="000000"/>
                <w:sz w:val="24"/>
              </w:rPr>
              <w:t>1）单位名称：</w:t>
            </w:r>
            <w:r>
              <w:rPr>
                <w:rFonts w:hint="eastAsia" w:ascii="宋体" w:hAnsi="宋体" w:cs="宋体"/>
                <w:color w:val="000000"/>
                <w:sz w:val="24"/>
              </w:rPr>
              <w:t>白银市食品检验检测中心</w:t>
            </w:r>
          </w:p>
          <w:p>
            <w:pPr>
              <w:spacing w:line="44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联</w:t>
            </w:r>
            <w:r>
              <w:rPr>
                <w:rFonts w:hint="eastAsia" w:ascii="宋体" w:hAnsi="宋体"/>
                <w:color w:val="000000"/>
                <w:sz w:val="24"/>
              </w:rPr>
              <w:t xml:space="preserve"> </w:t>
            </w:r>
            <w:r>
              <w:rPr>
                <w:rFonts w:ascii="宋体" w:hAnsi="宋体"/>
                <w:color w:val="000000"/>
                <w:sz w:val="24"/>
              </w:rPr>
              <w:t>系</w:t>
            </w:r>
            <w:r>
              <w:rPr>
                <w:rFonts w:hint="eastAsia" w:ascii="宋体" w:hAnsi="宋体"/>
                <w:color w:val="000000"/>
                <w:sz w:val="24"/>
              </w:rPr>
              <w:t xml:space="preserve"> </w:t>
            </w:r>
            <w:r>
              <w:rPr>
                <w:rFonts w:ascii="宋体" w:hAnsi="宋体"/>
                <w:color w:val="000000"/>
                <w:sz w:val="24"/>
              </w:rPr>
              <w:t>人：</w:t>
            </w:r>
            <w:r>
              <w:rPr>
                <w:rFonts w:hint="eastAsia" w:ascii="宋体" w:hAnsi="宋体"/>
                <w:color w:val="000000"/>
                <w:sz w:val="24"/>
              </w:rPr>
              <w:t>寇宗红</w:t>
            </w:r>
          </w:p>
          <w:p>
            <w:pPr>
              <w:tabs>
                <w:tab w:val="left" w:pos="240"/>
              </w:tabs>
              <w:spacing w:line="44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联系电话：</w:t>
            </w:r>
            <w:r>
              <w:rPr>
                <w:rFonts w:hint="eastAsia" w:ascii="宋体" w:hAnsi="宋体"/>
                <w:color w:val="000000"/>
                <w:sz w:val="24"/>
              </w:rPr>
              <w:t>0943-8625956</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tcPr>
          <w:p>
            <w:pPr>
              <w:spacing w:line="440" w:lineRule="exact"/>
              <w:rPr>
                <w:rFonts w:ascii="宋体" w:hAnsi="宋体"/>
                <w:color w:val="000000"/>
                <w:sz w:val="24"/>
              </w:rPr>
            </w:pPr>
            <w:r>
              <w:rPr>
                <w:rFonts w:hint="eastAsia" w:ascii="宋体" w:hAnsi="宋体"/>
                <w:color w:val="000000"/>
                <w:sz w:val="24"/>
              </w:rPr>
              <w:t>招标代理机构：</w:t>
            </w:r>
          </w:p>
          <w:p>
            <w:pPr>
              <w:spacing w:line="440" w:lineRule="exact"/>
              <w:ind w:firstLine="480" w:firstLineChars="200"/>
              <w:rPr>
                <w:rFonts w:ascii="宋体" w:hAnsi="宋体"/>
                <w:color w:val="000000"/>
                <w:sz w:val="24"/>
              </w:rPr>
            </w:pPr>
            <w:r>
              <w:rPr>
                <w:rFonts w:hint="eastAsia" w:ascii="宋体" w:hAnsi="宋体"/>
                <w:color w:val="000000"/>
                <w:sz w:val="24"/>
              </w:rPr>
              <w:t>1）单位</w:t>
            </w:r>
            <w:r>
              <w:rPr>
                <w:rFonts w:ascii="宋体" w:hAnsi="宋体"/>
                <w:color w:val="000000"/>
                <w:sz w:val="24"/>
              </w:rPr>
              <w:t>名称：</w:t>
            </w:r>
            <w:r>
              <w:rPr>
                <w:rFonts w:hint="eastAsia" w:ascii="宋体" w:hAnsi="宋体"/>
                <w:color w:val="000000"/>
                <w:sz w:val="24"/>
              </w:rPr>
              <w:t>中招国际招标有限公司甘肃分公司</w:t>
            </w:r>
            <w:r>
              <w:rPr>
                <w:rFonts w:ascii="宋体" w:hAnsi="宋体"/>
                <w:color w:val="000000"/>
                <w:sz w:val="24"/>
              </w:rPr>
              <w:t xml:space="preserve"> </w:t>
            </w:r>
          </w:p>
          <w:p>
            <w:pPr>
              <w:spacing w:line="440" w:lineRule="exact"/>
              <w:ind w:firstLine="480" w:firstLineChars="200"/>
              <w:rPr>
                <w:rFonts w:ascii="宋体" w:hAnsi="宋体"/>
                <w:color w:val="000000"/>
                <w:sz w:val="24"/>
              </w:rPr>
            </w:pPr>
            <w:r>
              <w:rPr>
                <w:rFonts w:hint="eastAsia" w:ascii="宋体" w:hAnsi="宋体"/>
                <w:color w:val="000000"/>
                <w:sz w:val="24"/>
              </w:rPr>
              <w:t>2）联 系 人</w:t>
            </w:r>
            <w:r>
              <w:rPr>
                <w:rFonts w:ascii="宋体" w:hAnsi="宋体"/>
                <w:color w:val="000000"/>
                <w:sz w:val="24"/>
              </w:rPr>
              <w:t>：</w:t>
            </w:r>
            <w:r>
              <w:rPr>
                <w:rFonts w:hint="eastAsia" w:ascii="宋体" w:hAnsi="宋体"/>
                <w:color w:val="000000"/>
                <w:sz w:val="24"/>
              </w:rPr>
              <w:t>杨琴</w:t>
            </w:r>
          </w:p>
          <w:p>
            <w:pPr>
              <w:spacing w:line="440" w:lineRule="exact"/>
              <w:ind w:firstLine="480" w:firstLineChars="200"/>
              <w:rPr>
                <w:rFonts w:ascii="宋体" w:hAnsi="宋体"/>
                <w:color w:val="000000"/>
                <w:sz w:val="24"/>
              </w:rPr>
            </w:pPr>
            <w:r>
              <w:rPr>
                <w:rFonts w:hint="eastAsia" w:ascii="宋体" w:hAnsi="宋体"/>
                <w:color w:val="000000"/>
                <w:sz w:val="24"/>
              </w:rPr>
              <w:t>3）联系电话</w:t>
            </w:r>
            <w:r>
              <w:rPr>
                <w:rFonts w:ascii="宋体" w:hAnsi="宋体"/>
                <w:color w:val="000000"/>
                <w:sz w:val="24"/>
              </w:rPr>
              <w:t>：</w:t>
            </w:r>
            <w:r>
              <w:rPr>
                <w:rFonts w:hint="eastAsia" w:ascii="宋体" w:hAnsi="宋体"/>
                <w:color w:val="000000"/>
                <w:sz w:val="24"/>
              </w:rPr>
              <w:t>15294210898</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tcPr>
          <w:p>
            <w:pPr>
              <w:spacing w:line="440" w:lineRule="exact"/>
              <w:rPr>
                <w:rFonts w:ascii="宋体" w:hAnsi="宋体"/>
                <w:color w:val="000000"/>
                <w:sz w:val="24"/>
              </w:rPr>
            </w:pPr>
            <w:r>
              <w:rPr>
                <w:rFonts w:hint="eastAsia" w:ascii="宋体" w:hAnsi="宋体"/>
                <w:color w:val="000000"/>
                <w:sz w:val="24"/>
              </w:rPr>
              <w:t>付款方式：</w:t>
            </w:r>
          </w:p>
          <w:p>
            <w:pPr>
              <w:spacing w:line="440" w:lineRule="exact"/>
              <w:rPr>
                <w:rFonts w:ascii="宋体" w:hAnsi="宋体"/>
                <w:sz w:val="24"/>
              </w:rPr>
            </w:pPr>
            <w:r>
              <w:rPr>
                <w:rFonts w:hint="eastAsia" w:ascii="宋体" w:hAnsi="宋体"/>
                <w:sz w:val="24"/>
              </w:rPr>
              <w:t>（1）在中标通知书发出后7日内，供应商应向采购人递交中标金额5%的履约保证金，汇入采购人指定账户。自货物验收合格之日起，质保期满一年后将无息退还。</w:t>
            </w:r>
          </w:p>
          <w:p>
            <w:pPr>
              <w:spacing w:line="440" w:lineRule="exact"/>
              <w:rPr>
                <w:rFonts w:ascii="宋体" w:hAnsi="宋体"/>
                <w:b/>
                <w:sz w:val="24"/>
              </w:rPr>
            </w:pPr>
            <w:r>
              <w:rPr>
                <w:rFonts w:hint="eastAsia" w:ascii="宋体" w:hAnsi="宋体"/>
                <w:b/>
                <w:sz w:val="24"/>
              </w:rPr>
              <w:t>（2）货物到达指定交货地点经采购人召集相关专家验收或委托第三方检验合格后，采购人在15个工作日内向供应商支付合同总价款的100%，如果设备主要参数与招标文件不相符，采购人将终止合同，并取消供应商中标资格，无条件退货，并按照合同额全款赔偿。</w:t>
            </w:r>
          </w:p>
          <w:p>
            <w:pPr>
              <w:spacing w:line="440" w:lineRule="exact"/>
              <w:rPr>
                <w:rFonts w:ascii="宋体" w:hAnsi="宋体"/>
                <w:color w:val="000000"/>
                <w:sz w:val="24"/>
              </w:rPr>
            </w:pPr>
            <w:r>
              <w:rPr>
                <w:rFonts w:hint="eastAsia" w:ascii="宋体" w:hAnsi="宋体"/>
                <w:b/>
                <w:sz w:val="24"/>
              </w:rPr>
              <w:t>（3）投标产品为进口设备的，在货物验收时，须提供产品全套海关报关材料，不能提供或提供虚假材料的，采购人将不予付款并取消供应商中标资格。情节严重的，追究其相关经济及法律责任。</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tcPr>
          <w:p>
            <w:pPr>
              <w:spacing w:line="440" w:lineRule="exact"/>
              <w:rPr>
                <w:rFonts w:ascii="宋体" w:hAnsi="宋体"/>
                <w:color w:val="000000"/>
                <w:sz w:val="24"/>
              </w:rPr>
            </w:pPr>
            <w:r>
              <w:rPr>
                <w:rFonts w:ascii="宋体" w:hAnsi="宋体"/>
                <w:color w:val="000000"/>
                <w:sz w:val="24"/>
              </w:rPr>
              <w:t>资</w:t>
            </w:r>
            <w:r>
              <w:rPr>
                <w:rFonts w:hint="eastAsia" w:ascii="宋体" w:hAnsi="宋体"/>
                <w:color w:val="000000"/>
                <w:sz w:val="24"/>
              </w:rPr>
              <w:t>质文件要求</w:t>
            </w:r>
            <w:r>
              <w:rPr>
                <w:rFonts w:ascii="宋体" w:hAnsi="宋体"/>
                <w:sz w:val="24"/>
              </w:rPr>
              <w:t>：</w:t>
            </w:r>
            <w:r>
              <w:rPr>
                <w:rFonts w:hint="eastAsia" w:ascii="宋体" w:hAnsi="宋体"/>
                <w:sz w:val="24"/>
              </w:rPr>
              <w:t>（第1项原件带至</w:t>
            </w:r>
            <w:r>
              <w:rPr>
                <w:rFonts w:hint="eastAsia" w:ascii="宋体" w:hAnsi="宋体"/>
                <w:color w:val="000000"/>
                <w:sz w:val="24"/>
              </w:rPr>
              <w:t>现场备查)</w:t>
            </w:r>
          </w:p>
          <w:p>
            <w:pPr>
              <w:numPr>
                <w:ilvl w:val="0"/>
                <w:numId w:val="4"/>
              </w:numPr>
              <w:spacing w:line="440" w:lineRule="exact"/>
              <w:ind w:firstLine="480" w:firstLineChars="200"/>
              <w:rPr>
                <w:rFonts w:ascii="宋体" w:hAnsi="宋体" w:cs="宋体"/>
                <w:sz w:val="24"/>
              </w:rPr>
            </w:pPr>
            <w:r>
              <w:rPr>
                <w:rFonts w:hint="eastAsia" w:ascii="宋体" w:hAnsi="宋体"/>
                <w:color w:val="000000"/>
                <w:sz w:val="24"/>
              </w:rPr>
              <w:t>工商营业执照副本、国家和地方税务登记证副本、组织机构代码证副本（复印件加</w:t>
            </w:r>
            <w:r>
              <w:rPr>
                <w:rFonts w:hint="eastAsia" w:ascii="宋体" w:hAnsi="宋体"/>
                <w:sz w:val="24"/>
              </w:rPr>
              <w:t>盖鲜章）</w:t>
            </w:r>
            <w:r>
              <w:rPr>
                <w:rFonts w:hint="eastAsia" w:ascii="宋体" w:hAnsi="宋体" w:cs="宋体"/>
                <w:sz w:val="24"/>
              </w:rPr>
              <w:t>（法人营业执照、税务登记证、组织机构代码证已三证合一的，则需提供具有统一社会信用代码的营业执照副本</w:t>
            </w:r>
            <w:r>
              <w:rPr>
                <w:rFonts w:hint="eastAsia" w:ascii="宋体" w:hAnsi="宋体"/>
                <w:sz w:val="24"/>
              </w:rPr>
              <w:t>复印件加盖鲜章</w:t>
            </w:r>
            <w:r>
              <w:rPr>
                <w:rFonts w:hint="eastAsia" w:ascii="宋体" w:hAnsi="宋体" w:cs="宋体"/>
                <w:sz w:val="24"/>
              </w:rPr>
              <w:t>）</w:t>
            </w:r>
          </w:p>
          <w:p>
            <w:pPr>
              <w:spacing w:line="440" w:lineRule="exact"/>
              <w:ind w:firstLine="480" w:firstLineChars="200"/>
              <w:rPr>
                <w:rFonts w:ascii="宋体" w:hAnsi="宋体"/>
                <w:sz w:val="24"/>
              </w:rPr>
            </w:pPr>
            <w:r>
              <w:rPr>
                <w:rFonts w:hint="eastAsia" w:ascii="宋体" w:hAnsi="宋体"/>
                <w:sz w:val="24"/>
              </w:rPr>
              <w:t>2）法定代表人身份证（正反面复印件加盖鲜章）</w:t>
            </w:r>
          </w:p>
          <w:p>
            <w:pPr>
              <w:spacing w:line="440" w:lineRule="exact"/>
              <w:ind w:firstLine="480" w:firstLineChars="200"/>
              <w:rPr>
                <w:rFonts w:ascii="宋体" w:hAnsi="宋体"/>
                <w:sz w:val="24"/>
              </w:rPr>
            </w:pPr>
            <w:r>
              <w:rPr>
                <w:rFonts w:hint="eastAsia" w:ascii="宋体" w:hAnsi="宋体"/>
                <w:sz w:val="24"/>
              </w:rPr>
              <w:t>3）法人授权函（原件）及被授权人身份证（正反面复印件加盖鲜章）（1式2份，1份装入投标文件正本，1份带至开标现场）</w:t>
            </w:r>
          </w:p>
          <w:p>
            <w:pPr>
              <w:spacing w:line="440" w:lineRule="exact"/>
              <w:ind w:firstLine="480" w:firstLineChars="200"/>
              <w:rPr>
                <w:rFonts w:ascii="宋体" w:hAnsi="宋体"/>
                <w:color w:val="000000"/>
                <w:sz w:val="24"/>
              </w:rPr>
            </w:pPr>
            <w:r>
              <w:rPr>
                <w:rFonts w:hint="eastAsia" w:ascii="宋体" w:hAnsi="宋体"/>
                <w:sz w:val="24"/>
              </w:rPr>
              <w:t>4）提供由供应商住所地或者业务发生地市（州）、县（区）人民检察院出具的行贿犯罪档案查询结果告知函</w:t>
            </w:r>
            <w:r>
              <w:rPr>
                <w:rFonts w:hint="eastAsia" w:ascii="宋体" w:hAnsi="宋体"/>
                <w:color w:val="000000"/>
                <w:sz w:val="24"/>
              </w:rPr>
              <w:t>（原件装入投标文件正本，并作为资格审查的必要条件）</w:t>
            </w:r>
          </w:p>
          <w:p>
            <w:pPr>
              <w:spacing w:line="440" w:lineRule="exact"/>
              <w:ind w:firstLine="480" w:firstLineChars="200"/>
              <w:rPr>
                <w:rFonts w:ascii="宋体" w:hAnsi="宋体"/>
                <w:color w:val="FF0000"/>
                <w:sz w:val="24"/>
              </w:rPr>
            </w:pPr>
            <w:r>
              <w:rPr>
                <w:rFonts w:hint="eastAsia" w:ascii="宋体" w:hAnsi="宋体"/>
                <w:color w:val="000000"/>
                <w:sz w:val="24"/>
              </w:rPr>
              <w:t>5）提供参加政府采购活动近三年内在</w:t>
            </w:r>
            <w:r>
              <w:rPr>
                <w:rFonts w:hint="eastAsia" w:ascii="宋体" w:hAnsi="宋体" w:cs="宋体"/>
                <w:color w:val="000000"/>
                <w:sz w:val="24"/>
              </w:rPr>
              <w:t>经营活动中没有重大违法记录的书面声明（原件装入投标文件正本</w:t>
            </w:r>
            <w:r>
              <w:rPr>
                <w:rFonts w:hint="eastAsia" w:ascii="宋体" w:hAnsi="宋体"/>
                <w:sz w:val="24"/>
              </w:rPr>
              <w:t>，并作为资格审查的必要条件</w:t>
            </w:r>
            <w:r>
              <w:rPr>
                <w:rFonts w:hint="eastAsia" w:ascii="宋体" w:hAnsi="宋体" w:cs="宋体"/>
                <w:color w:val="000000"/>
                <w:sz w:val="24"/>
              </w:rPr>
              <w:t>）</w:t>
            </w:r>
          </w:p>
          <w:p>
            <w:pPr>
              <w:spacing w:line="440" w:lineRule="exact"/>
              <w:ind w:firstLine="480" w:firstLineChars="200"/>
              <w:rPr>
                <w:rFonts w:ascii="宋体" w:hAnsi="宋体"/>
                <w:sz w:val="24"/>
              </w:rPr>
            </w:pPr>
            <w:r>
              <w:rPr>
                <w:rFonts w:hint="eastAsia" w:ascii="宋体" w:hAnsi="宋体"/>
                <w:color w:val="000000"/>
                <w:sz w:val="24"/>
              </w:rPr>
              <w:t>6</w:t>
            </w:r>
            <w:r>
              <w:rPr>
                <w:rFonts w:hint="eastAsia" w:ascii="宋体" w:hAnsi="宋体"/>
                <w:sz w:val="24"/>
              </w:rPr>
              <w:t>）</w:t>
            </w:r>
            <w:r>
              <w:rPr>
                <w:rFonts w:hint="eastAsia" w:ascii="宋体" w:hAnsi="宋体" w:cs="宋体"/>
                <w:sz w:val="24"/>
              </w:rPr>
              <w:t>提供投标产品生产厂家针对本项目的专项授权函或区域总代理针对本项目的转授权函（提供转授权函的，还需提供生产厂家对区域总代理的授权函复印件且该复印件须加盖区域总代理公章）和生产厂家售后服务承诺函；</w:t>
            </w:r>
            <w:r>
              <w:rPr>
                <w:rFonts w:hint="eastAsia" w:ascii="宋体" w:hAnsi="宋体"/>
                <w:sz w:val="24"/>
              </w:rPr>
              <w:t>（原件装入投标文件正本，并作为资格审查的必要条件）</w:t>
            </w:r>
          </w:p>
          <w:p>
            <w:pPr>
              <w:pStyle w:val="68"/>
              <w:spacing w:line="440" w:lineRule="exact"/>
              <w:rPr>
                <w:rFonts w:hAnsi="宋体"/>
                <w:color w:val="000000" w:themeColor="text1"/>
              </w:rPr>
            </w:pPr>
            <w:r>
              <w:rPr>
                <w:rFonts w:hint="eastAsia" w:hAnsi="宋体"/>
              </w:rPr>
              <w:t xml:space="preserve">  </w:t>
            </w:r>
            <w:r>
              <w:rPr>
                <w:rFonts w:hint="eastAsia" w:hAnsi="宋体"/>
                <w:color w:val="auto"/>
              </w:rPr>
              <w:t xml:space="preserve"> 7）提供2016年度财务审计报告，（新成立的公司需提供开户银行出具的资信证明）（复印件加盖公章）；2017年度</w:t>
            </w:r>
            <w:r>
              <w:rPr>
                <w:rFonts w:hint="eastAsia" w:hAnsi="宋体"/>
                <w:color w:val="000000" w:themeColor="text1"/>
              </w:rPr>
              <w:t>任意一个月依法缴纳税收和社会保障资金的相关材料（复印件加盖公章）</w:t>
            </w:r>
          </w:p>
          <w:p>
            <w:pPr>
              <w:pStyle w:val="68"/>
              <w:spacing w:line="440" w:lineRule="exact"/>
              <w:ind w:firstLine="480" w:firstLineChars="200"/>
              <w:rPr>
                <w:rFonts w:hAnsi="宋体"/>
              </w:rPr>
            </w:pPr>
            <w:r>
              <w:rPr>
                <w:rFonts w:hint="eastAsia" w:hAnsi="宋体"/>
              </w:rPr>
              <w:t>以上条款为所有投标项目必须提供的文件，其中证书必须在有效期内，且第1项应按规定通过2016年度年检或复审，所有证书复印件必须加盖投标人法人鲜章，另标注 “与原件一致”字样或加盖“与原件一致”条章。若法定代表人参加投标,须提供第2项，若法人授权人参加投标,须提供第2项和第3项。证书未按规定年检、复审或未按上述要求制作标书的，将视为无效投标。</w:t>
            </w:r>
          </w:p>
          <w:p>
            <w:pPr>
              <w:pStyle w:val="68"/>
              <w:spacing w:line="440" w:lineRule="exact"/>
              <w:ind w:firstLine="480" w:firstLineChars="200"/>
              <w:rPr>
                <w:rFonts w:hAnsi="宋体"/>
              </w:rPr>
            </w:pPr>
            <w:r>
              <w:rPr>
                <w:rFonts w:hint="eastAsia"/>
              </w:rPr>
              <w:t>8）</w:t>
            </w:r>
            <w:r>
              <w:rPr>
                <w:rFonts w:hint="eastAsia" w:hAnsi="宋体"/>
              </w:rPr>
              <w:t>中小企业声明函（</w:t>
            </w:r>
            <w:r>
              <w:rPr>
                <w:rFonts w:hint="eastAsia" w:hAnsi="宋体"/>
                <w:b/>
                <w:bCs/>
              </w:rPr>
              <w:t>属于中小微企业的供应商提供</w:t>
            </w:r>
            <w:r>
              <w:rPr>
                <w:rFonts w:hint="eastAsia" w:hAnsi="宋体"/>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vAlign w:val="center"/>
          </w:tcPr>
          <w:p>
            <w:pPr>
              <w:spacing w:line="440" w:lineRule="exact"/>
              <w:rPr>
                <w:rFonts w:ascii="宋体" w:hAnsi="宋体"/>
                <w:color w:val="000000"/>
                <w:sz w:val="24"/>
              </w:rPr>
            </w:pPr>
            <w:r>
              <w:rPr>
                <w:rFonts w:ascii="宋体" w:hAnsi="宋体"/>
                <w:color w:val="000000"/>
                <w:sz w:val="24"/>
              </w:rPr>
              <w:t>投标有效期：</w:t>
            </w:r>
            <w:r>
              <w:rPr>
                <w:rFonts w:ascii="宋体" w:hAnsi="宋体"/>
                <w:color w:val="000000"/>
                <w:sz w:val="24"/>
                <w:u w:val="single"/>
              </w:rPr>
              <w:t xml:space="preserve"> </w:t>
            </w:r>
            <w:r>
              <w:rPr>
                <w:rFonts w:hint="eastAsia" w:ascii="宋体" w:hAnsi="宋体"/>
                <w:color w:val="000000"/>
                <w:sz w:val="24"/>
                <w:u w:val="single"/>
              </w:rPr>
              <w:t>90</w:t>
            </w:r>
            <w:r>
              <w:rPr>
                <w:rFonts w:ascii="宋体" w:hAnsi="宋体"/>
                <w:color w:val="000000"/>
                <w:sz w:val="24"/>
                <w:u w:val="single"/>
              </w:rPr>
              <w:t xml:space="preserve"> </w:t>
            </w:r>
            <w:r>
              <w:rPr>
                <w:rFonts w:ascii="宋体" w:hAnsi="宋体"/>
                <w:color w:val="000000"/>
                <w:sz w:val="24"/>
              </w:rPr>
              <w:t>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color w:val="000000"/>
                <w:sz w:val="24"/>
              </w:rPr>
            </w:pPr>
          </w:p>
        </w:tc>
        <w:tc>
          <w:tcPr>
            <w:tcW w:w="9193" w:type="dxa"/>
            <w:vAlign w:val="center"/>
          </w:tcPr>
          <w:p>
            <w:pPr>
              <w:spacing w:line="440" w:lineRule="exact"/>
              <w:rPr>
                <w:rFonts w:ascii="宋体" w:hAnsi="宋体"/>
                <w:sz w:val="24"/>
              </w:rPr>
            </w:pPr>
            <w:r>
              <w:rPr>
                <w:rFonts w:hint="eastAsia" w:ascii="宋体" w:hAnsi="宋体"/>
                <w:sz w:val="24"/>
              </w:rPr>
              <w:t>注册信息须知：</w:t>
            </w:r>
          </w:p>
          <w:p>
            <w:pPr>
              <w:spacing w:line="440" w:lineRule="exact"/>
              <w:ind w:firstLine="480" w:firstLineChars="200"/>
              <w:rPr>
                <w:rFonts w:ascii="宋体" w:hAnsi="宋体"/>
                <w:sz w:val="24"/>
              </w:rPr>
            </w:pPr>
            <w:r>
              <w:rPr>
                <w:rFonts w:hint="eastAsia" w:ascii="宋体" w:hAnsi="宋体"/>
                <w:sz w:val="24"/>
              </w:rPr>
              <w:t>为了规范交易平台的业务流程以及给用户提供方便快捷的服务,凡是拟参与白银市公共资源交易活动的招标人、招标代理机构、投标单位需先在白银市公共资源交易网上注册，注册信息审核通过后，方可登录系统进行项目投标登记，投标“登记号”系统会实时发送到投标人手机。</w:t>
            </w:r>
          </w:p>
          <w:p>
            <w:pPr>
              <w:spacing w:line="440" w:lineRule="exact"/>
              <w:ind w:firstLine="480" w:firstLineChars="200"/>
              <w:rPr>
                <w:rFonts w:ascii="宋体" w:hAnsi="宋体"/>
                <w:sz w:val="24"/>
              </w:rPr>
            </w:pPr>
            <w:r>
              <w:rPr>
                <w:rFonts w:hint="eastAsia" w:ascii="宋体" w:hAnsi="宋体"/>
                <w:sz w:val="24"/>
              </w:rPr>
              <w:t>注：填写信息必须真实有效。若有问题，请电话咨询：0943-8287909。</w:t>
            </w:r>
          </w:p>
          <w:p>
            <w:pPr>
              <w:spacing w:line="440" w:lineRule="exact"/>
              <w:ind w:firstLine="480" w:firstLineChars="200"/>
              <w:rPr>
                <w:rFonts w:ascii="宋体" w:hAnsi="宋体"/>
                <w:sz w:val="24"/>
              </w:rPr>
            </w:pPr>
            <w:r>
              <w:rPr>
                <w:rFonts w:hint="eastAsia" w:ascii="宋体" w:hAnsi="宋体"/>
                <w:sz w:val="24"/>
              </w:rPr>
              <w:t>注意事项：</w:t>
            </w:r>
          </w:p>
          <w:p>
            <w:pPr>
              <w:spacing w:line="440" w:lineRule="exact"/>
              <w:rPr>
                <w:rFonts w:ascii="宋体" w:hAnsi="宋体"/>
                <w:sz w:val="24"/>
              </w:rPr>
            </w:pPr>
            <w:r>
              <w:rPr>
                <w:rFonts w:hint="eastAsia" w:ascii="宋体" w:hAnsi="宋体"/>
                <w:sz w:val="24"/>
              </w:rPr>
              <w:t xml:space="preserve">    1) 投标保证金提交方式为银行电汇，不接受其他方式的投标保证金。</w:t>
            </w:r>
          </w:p>
          <w:p>
            <w:pPr>
              <w:spacing w:line="440" w:lineRule="exact"/>
              <w:ind w:firstLine="480" w:firstLineChars="200"/>
              <w:rPr>
                <w:rFonts w:ascii="宋体" w:hAnsi="宋体"/>
                <w:sz w:val="24"/>
              </w:rPr>
            </w:pPr>
            <w:r>
              <w:rPr>
                <w:rFonts w:hint="eastAsia" w:ascii="宋体" w:hAnsi="宋体"/>
                <w:sz w:val="24"/>
              </w:rPr>
              <w:t>2）投标人必须从基本帐户以电汇方式提交保证金，且投标保证金单位名称必须与投标人登记的单位名称一致，不得以分公司、办事处、个人或其他机构名义交纳。</w:t>
            </w:r>
          </w:p>
          <w:p>
            <w:pPr>
              <w:spacing w:line="440" w:lineRule="exact"/>
              <w:ind w:firstLine="480" w:firstLineChars="200"/>
              <w:rPr>
                <w:rFonts w:ascii="宋体" w:hAnsi="宋体"/>
                <w:sz w:val="24"/>
              </w:rPr>
            </w:pPr>
            <w:r>
              <w:rPr>
                <w:rFonts w:hint="eastAsia" w:ascii="宋体" w:hAnsi="宋体"/>
                <w:sz w:val="24"/>
              </w:rPr>
              <w:t>3）投标人在办理投标保证金电汇手续时，必须在银行电汇单附言栏上必须且只填写投标保证金对应的投标项目标段或包号的“登记号”（8位数字），以便网上退还。</w:t>
            </w:r>
          </w:p>
          <w:p>
            <w:pPr>
              <w:spacing w:line="440" w:lineRule="exact"/>
              <w:ind w:firstLine="480" w:firstLineChars="200"/>
              <w:rPr>
                <w:rFonts w:ascii="宋体" w:hAnsi="宋体"/>
                <w:sz w:val="24"/>
              </w:rPr>
            </w:pPr>
            <w:r>
              <w:rPr>
                <w:rFonts w:hint="eastAsia" w:ascii="宋体" w:hAnsi="宋体"/>
                <w:sz w:val="24"/>
              </w:rPr>
              <w:t>注：投标人投两个及以上标段或包号的，应该按每个标段或包号分别交纳投标保证金。</w:t>
            </w:r>
          </w:p>
          <w:p>
            <w:pPr>
              <w:spacing w:line="440" w:lineRule="exact"/>
              <w:ind w:firstLine="480" w:firstLineChars="200"/>
              <w:rPr>
                <w:rFonts w:ascii="宋体" w:hAnsi="宋体"/>
                <w:sz w:val="24"/>
              </w:rPr>
            </w:pPr>
            <w:r>
              <w:rPr>
                <w:rFonts w:hint="eastAsia" w:ascii="宋体" w:hAnsi="宋体"/>
                <w:sz w:val="24"/>
              </w:rPr>
              <w:t>投标保证金数额及交纳方式：</w:t>
            </w:r>
          </w:p>
          <w:p>
            <w:pPr>
              <w:spacing w:line="440" w:lineRule="exact"/>
              <w:ind w:firstLine="480" w:firstLineChars="200"/>
              <w:rPr>
                <w:rFonts w:ascii="宋体" w:hAnsi="宋体"/>
                <w:sz w:val="24"/>
              </w:rPr>
            </w:pPr>
            <w:r>
              <w:rPr>
                <w:rFonts w:hint="eastAsia" w:ascii="宋体" w:hAnsi="宋体"/>
                <w:sz w:val="24"/>
              </w:rPr>
              <w:t>投标人应于开标之前将投标保证金贰万元整（20000元）进账到白银市公共资源交易中心指定的账号，过期视为无效标。同时投标人须在投标文件中提交本项目投标保证金进帐单或电汇凭证等银行证明文件（复印件），否则视为无效投标。</w:t>
            </w:r>
          </w:p>
          <w:p>
            <w:pPr>
              <w:spacing w:line="440" w:lineRule="exact"/>
              <w:ind w:firstLine="240" w:firstLineChars="100"/>
              <w:rPr>
                <w:rFonts w:ascii="宋体" w:hAnsi="宋体"/>
                <w:color w:val="000000"/>
                <w:sz w:val="24"/>
              </w:rPr>
            </w:pPr>
            <w:r>
              <w:rPr>
                <w:rFonts w:hint="eastAsia" w:ascii="宋体" w:hAnsi="宋体"/>
                <w:sz w:val="24"/>
              </w:rPr>
              <w:t xml:space="preserve">（开户名称：白银市公共资源交易中心，开户银行：甘肃银行白银区支行 帐号：662202012635500020地点：白银市大十字友好路北侧白银公司办公楼对面) </w:t>
            </w:r>
            <w:r>
              <w:rPr>
                <w:rFonts w:ascii="宋体" w:hAnsi="宋体"/>
                <w:sz w:val="24"/>
              </w:rPr>
              <w:t xml:space="preserve"> </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sz w:val="24"/>
              </w:rPr>
            </w:pPr>
          </w:p>
        </w:tc>
        <w:tc>
          <w:tcPr>
            <w:tcW w:w="9193" w:type="dxa"/>
            <w:vAlign w:val="center"/>
          </w:tcPr>
          <w:p>
            <w:pPr>
              <w:spacing w:line="440" w:lineRule="exact"/>
              <w:rPr>
                <w:rFonts w:ascii="宋体" w:hAnsi="宋体"/>
                <w:sz w:val="24"/>
              </w:rPr>
            </w:pPr>
            <w:r>
              <w:rPr>
                <w:rFonts w:hint="eastAsia" w:ascii="宋体" w:hAnsi="宋体"/>
                <w:sz w:val="24"/>
              </w:rPr>
              <w:t>投标文件份数：</w:t>
            </w:r>
          </w:p>
          <w:p>
            <w:pPr>
              <w:numPr>
                <w:ilvl w:val="2"/>
                <w:numId w:val="3"/>
              </w:numPr>
              <w:tabs>
                <w:tab w:val="left" w:pos="360"/>
                <w:tab w:val="clear" w:pos="1200"/>
              </w:tabs>
              <w:spacing w:line="440" w:lineRule="exact"/>
              <w:ind w:left="360"/>
              <w:rPr>
                <w:rFonts w:ascii="宋体" w:hAnsi="宋体"/>
                <w:sz w:val="24"/>
              </w:rPr>
            </w:pPr>
            <w:r>
              <w:rPr>
                <w:rFonts w:ascii="宋体" w:hAnsi="宋体"/>
                <w:sz w:val="24"/>
              </w:rPr>
              <w:t>投标文件</w:t>
            </w:r>
            <w:r>
              <w:rPr>
                <w:rFonts w:hint="eastAsia" w:ascii="宋体" w:hAnsi="宋体"/>
                <w:sz w:val="24"/>
              </w:rPr>
              <w:t>份数</w:t>
            </w:r>
            <w:r>
              <w:rPr>
                <w:rFonts w:ascii="宋体" w:hAnsi="宋体"/>
                <w:sz w:val="24"/>
              </w:rPr>
              <w:t>：</w:t>
            </w:r>
            <w:r>
              <w:rPr>
                <w:rFonts w:hint="eastAsia" w:ascii="宋体" w:hAnsi="宋体"/>
                <w:sz w:val="24"/>
              </w:rPr>
              <w:t>供应商制作投标文件(有分包按分包制作、无分包按整包制作)</w:t>
            </w:r>
            <w:r>
              <w:rPr>
                <w:rFonts w:ascii="宋体" w:hAnsi="宋体"/>
                <w:sz w:val="24"/>
              </w:rPr>
              <w:t>正本</w:t>
            </w:r>
            <w:r>
              <w:rPr>
                <w:rFonts w:hint="eastAsia" w:ascii="宋体" w:hAnsi="宋体"/>
                <w:sz w:val="24"/>
                <w:u w:val="single"/>
              </w:rPr>
              <w:t xml:space="preserve"> </w:t>
            </w:r>
            <w:r>
              <w:rPr>
                <w:rFonts w:ascii="宋体" w:hAnsi="宋体"/>
                <w:sz w:val="24"/>
                <w:u w:val="single"/>
              </w:rPr>
              <w:t>1</w:t>
            </w:r>
            <w:r>
              <w:rPr>
                <w:rFonts w:hint="eastAsia" w:ascii="宋体" w:hAnsi="宋体"/>
                <w:sz w:val="24"/>
                <w:u w:val="single"/>
              </w:rPr>
              <w:t xml:space="preserve"> </w:t>
            </w:r>
            <w:r>
              <w:rPr>
                <w:rFonts w:ascii="宋体" w:hAnsi="宋体"/>
                <w:sz w:val="24"/>
              </w:rPr>
              <w:t>份，副本</w:t>
            </w:r>
            <w:r>
              <w:rPr>
                <w:rFonts w:hint="eastAsia" w:ascii="宋体" w:hAnsi="宋体"/>
                <w:sz w:val="24"/>
                <w:u w:val="single"/>
              </w:rPr>
              <w:t xml:space="preserve"> 2</w:t>
            </w:r>
            <w:r>
              <w:rPr>
                <w:rFonts w:ascii="宋体" w:hAnsi="宋体"/>
                <w:sz w:val="24"/>
              </w:rPr>
              <w:t>份</w:t>
            </w:r>
            <w:r>
              <w:rPr>
                <w:rFonts w:hint="eastAsia" w:ascii="宋体" w:hAnsi="宋体"/>
                <w:sz w:val="24"/>
              </w:rPr>
              <w:t>，电子版</w:t>
            </w:r>
            <w:r>
              <w:rPr>
                <w:rFonts w:hint="eastAsia" w:ascii="宋体" w:hAnsi="宋体"/>
                <w:sz w:val="24"/>
                <w:u w:val="single"/>
              </w:rPr>
              <w:t xml:space="preserve"> 1</w:t>
            </w:r>
            <w:r>
              <w:rPr>
                <w:rFonts w:hint="eastAsia" w:ascii="宋体" w:hAnsi="宋体"/>
                <w:sz w:val="24"/>
              </w:rPr>
              <w:t>份。</w:t>
            </w:r>
          </w:p>
          <w:p>
            <w:pPr>
              <w:numPr>
                <w:ilvl w:val="2"/>
                <w:numId w:val="3"/>
              </w:numPr>
              <w:tabs>
                <w:tab w:val="left" w:pos="360"/>
                <w:tab w:val="clear" w:pos="1200"/>
              </w:tabs>
              <w:spacing w:line="440" w:lineRule="exact"/>
              <w:ind w:left="360"/>
              <w:rPr>
                <w:rFonts w:ascii="宋体" w:hAnsi="宋体"/>
                <w:sz w:val="24"/>
              </w:rPr>
            </w:pPr>
            <w:r>
              <w:rPr>
                <w:rFonts w:hint="eastAsia" w:ascii="宋体" w:hAnsi="宋体"/>
                <w:sz w:val="24"/>
              </w:rPr>
              <w:t>投标文件须建立清晰目录并胶装成册。</w:t>
            </w:r>
          </w:p>
          <w:p>
            <w:pPr>
              <w:spacing w:line="440" w:lineRule="exact"/>
              <w:ind w:firstLine="360" w:firstLineChars="150"/>
              <w:rPr>
                <w:rFonts w:ascii="宋体" w:hAnsi="宋体"/>
                <w:sz w:val="24"/>
              </w:rPr>
            </w:pPr>
            <w:r>
              <w:rPr>
                <w:rFonts w:hint="eastAsia" w:ascii="宋体" w:hAnsi="宋体"/>
                <w:sz w:val="24"/>
              </w:rPr>
              <w:t>未按该要求制作分装标书的，投标文件将被拒绝，对投标人产生的不利因素由其自行承担。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753" w:type="dxa"/>
            <w:vAlign w:val="center"/>
          </w:tcPr>
          <w:p>
            <w:pPr>
              <w:numPr>
                <w:ilvl w:val="0"/>
                <w:numId w:val="3"/>
              </w:numPr>
              <w:spacing w:line="440" w:lineRule="exact"/>
              <w:ind w:firstLine="280" w:firstLineChars="117"/>
              <w:rPr>
                <w:rFonts w:ascii="宋体" w:hAnsi="宋体"/>
                <w:sz w:val="24"/>
              </w:rPr>
            </w:pPr>
          </w:p>
        </w:tc>
        <w:tc>
          <w:tcPr>
            <w:tcW w:w="9193" w:type="dxa"/>
            <w:vAlign w:val="center"/>
          </w:tcPr>
          <w:p>
            <w:pPr>
              <w:spacing w:line="440" w:lineRule="exact"/>
              <w:jc w:val="left"/>
              <w:rPr>
                <w:rFonts w:ascii="宋体" w:hAnsi="宋体"/>
                <w:sz w:val="24"/>
              </w:rPr>
            </w:pPr>
            <w:r>
              <w:rPr>
                <w:rFonts w:hint="eastAsia" w:ascii="宋体" w:hAnsi="宋体"/>
                <w:sz w:val="24"/>
              </w:rPr>
              <w:t>该采购项目不分包，不接受联合体投标。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sz w:val="24"/>
              </w:rPr>
            </w:pPr>
            <w:bookmarkStart w:id="7" w:name="_Toc139965326"/>
            <w:bookmarkStart w:id="8" w:name="_Toc128372052"/>
            <w:bookmarkStart w:id="9" w:name="_Toc128372730"/>
          </w:p>
        </w:tc>
        <w:tc>
          <w:tcPr>
            <w:tcW w:w="9193" w:type="dxa"/>
            <w:vAlign w:val="center"/>
          </w:tcPr>
          <w:p>
            <w:pPr>
              <w:spacing w:line="440" w:lineRule="exact"/>
              <w:rPr>
                <w:rFonts w:ascii="宋体" w:hAnsi="宋体"/>
                <w:sz w:val="24"/>
              </w:rPr>
            </w:pPr>
            <w:r>
              <w:rPr>
                <w:rFonts w:hint="eastAsia" w:ascii="宋体" w:hAnsi="宋体"/>
                <w:sz w:val="24"/>
              </w:rPr>
              <w:t>服务费：招标结束后五个工作日内，中标供应商参照原国家计委颁发的《招标代理服务收费管理暂行办法》（计价格[2002]1980号）和发改办价格[2003]857号文件及双方协商缴纳，代理机构不得向中标商收取其他费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sz w:val="24"/>
              </w:rPr>
            </w:pPr>
          </w:p>
        </w:tc>
        <w:tc>
          <w:tcPr>
            <w:tcW w:w="9193" w:type="dxa"/>
            <w:vAlign w:val="center"/>
          </w:tcPr>
          <w:p>
            <w:pPr>
              <w:spacing w:line="440" w:lineRule="exact"/>
              <w:rPr>
                <w:rFonts w:ascii="宋体" w:hAnsi="宋体"/>
                <w:sz w:val="24"/>
              </w:rPr>
            </w:pPr>
            <w:r>
              <w:rPr>
                <w:rFonts w:hint="eastAsia" w:ascii="宋体" w:hAnsi="宋体"/>
                <w:sz w:val="24"/>
              </w:rPr>
              <w:t>按照《政府采购信息公告管理办法》中华人民共和国财政部令第19号 第三章第十八条在各政府采购信息指定发布媒体上公告同一政府采购信息的时间不一致的，以在财政部指定的政府采购信息发布媒体上最早公告信息的时间为公告时间和政府采购当事人对有关事项应当知道的时间。本项目时间安排以甘肃政府采购网发布信息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sz w:val="24"/>
              </w:rPr>
            </w:pPr>
          </w:p>
        </w:tc>
        <w:tc>
          <w:tcPr>
            <w:tcW w:w="9193" w:type="dxa"/>
            <w:vAlign w:val="center"/>
          </w:tcPr>
          <w:p>
            <w:pPr>
              <w:spacing w:line="440" w:lineRule="exact"/>
              <w:rPr>
                <w:rFonts w:ascii="宋体" w:hAnsi="宋体"/>
                <w:sz w:val="24"/>
              </w:rPr>
            </w:pPr>
            <w:r>
              <w:rPr>
                <w:rFonts w:hint="eastAsia" w:ascii="宋体" w:hAnsi="宋体"/>
                <w:sz w:val="24"/>
              </w:rPr>
              <w:t>同一品牌同一型号产品只能由一家供应商参加，如果有多家代理商参加同一品牌同一型号产品投标的，评标中在其他条件合格的前提下，选取报价最低的供应商进入评标，舍掉其他供应商。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753" w:type="dxa"/>
            <w:vAlign w:val="center"/>
          </w:tcPr>
          <w:p>
            <w:pPr>
              <w:numPr>
                <w:ilvl w:val="0"/>
                <w:numId w:val="3"/>
              </w:numPr>
              <w:spacing w:line="440" w:lineRule="exact"/>
              <w:ind w:firstLine="280" w:firstLineChars="117"/>
              <w:rPr>
                <w:rFonts w:ascii="宋体" w:hAnsi="宋体"/>
                <w:sz w:val="24"/>
              </w:rPr>
            </w:pPr>
          </w:p>
        </w:tc>
        <w:tc>
          <w:tcPr>
            <w:tcW w:w="9193" w:type="dxa"/>
            <w:vAlign w:val="center"/>
          </w:tcPr>
          <w:p>
            <w:pPr>
              <w:tabs>
                <w:tab w:val="left" w:pos="720"/>
              </w:tabs>
              <w:spacing w:line="440" w:lineRule="exact"/>
              <w:rPr>
                <w:rFonts w:ascii="宋体" w:hAnsi="宋体"/>
                <w:sz w:val="24"/>
              </w:rPr>
            </w:pPr>
            <w:r>
              <w:rPr>
                <w:rFonts w:hint="eastAsia" w:ascii="宋体" w:hAnsi="宋体"/>
                <w:sz w:val="24"/>
              </w:rPr>
              <w:t>1）对中小微企业执行财库【2011】181号及工信部联企业【2011】300号文件的规定，对其价格给予一定比例扣除，其评标价为按规定比例扣除后的价格。</w:t>
            </w:r>
          </w:p>
          <w:p>
            <w:pPr>
              <w:tabs>
                <w:tab w:val="left" w:pos="720"/>
              </w:tabs>
              <w:spacing w:line="440" w:lineRule="exact"/>
              <w:rPr>
                <w:rFonts w:ascii="宋体" w:hAnsi="宋体" w:cs="宋体"/>
                <w:sz w:val="24"/>
              </w:rPr>
            </w:pPr>
            <w:r>
              <w:rPr>
                <w:rFonts w:hint="eastAsia" w:ascii="宋体" w:hAnsi="宋体"/>
                <w:sz w:val="24"/>
              </w:rPr>
              <w:t>2）不符合财库【2011】181号及工信部联企业【2011】300号文件的规定企业的产品价格不予扣除。</w:t>
            </w:r>
          </w:p>
          <w:p>
            <w:pPr>
              <w:spacing w:line="440" w:lineRule="exact"/>
              <w:rPr>
                <w:rFonts w:ascii="宋体" w:hAnsi="宋体"/>
                <w:sz w:val="24"/>
              </w:rPr>
            </w:pPr>
            <w:r>
              <w:rPr>
                <w:rFonts w:hint="eastAsia" w:ascii="宋体" w:hAnsi="宋体"/>
                <w:sz w:val="24"/>
              </w:rPr>
              <w:t>3）本项目对小型和微型企业产品价格的扣除比例：6 %</w:t>
            </w:r>
          </w:p>
        </w:tc>
      </w:tr>
    </w:tbl>
    <w:p>
      <w:pPr>
        <w:pStyle w:val="2"/>
        <w:rPr>
          <w:color w:val="000000"/>
        </w:rPr>
      </w:pPr>
    </w:p>
    <w:p>
      <w:pPr>
        <w:pStyle w:val="2"/>
        <w:rPr>
          <w:color w:val="000000"/>
        </w:rPr>
      </w:pPr>
      <w:r>
        <w:rPr>
          <w:rFonts w:hint="eastAsia"/>
          <w:color w:val="000000"/>
        </w:rPr>
        <w:br w:type="page"/>
      </w:r>
    </w:p>
    <w:p/>
    <w:p>
      <w:pPr>
        <w:pStyle w:val="2"/>
        <w:rPr>
          <w:color w:val="000000"/>
        </w:rPr>
      </w:pPr>
      <w:bookmarkStart w:id="10" w:name="_Toc453596788"/>
      <w:r>
        <w:rPr>
          <w:rFonts w:hint="eastAsia"/>
          <w:color w:val="000000"/>
        </w:rPr>
        <w:t>1、总  则</w:t>
      </w:r>
      <w:bookmarkEnd w:id="7"/>
      <w:bookmarkEnd w:id="8"/>
      <w:bookmarkEnd w:id="9"/>
      <w:bookmarkEnd w:id="10"/>
    </w:p>
    <w:p>
      <w:pPr>
        <w:pStyle w:val="3"/>
        <w:spacing w:line="490" w:lineRule="exact"/>
        <w:ind w:firstLine="482" w:firstLineChars="200"/>
        <w:jc w:val="both"/>
        <w:rPr>
          <w:rFonts w:ascii="宋体" w:hAnsi="宋体"/>
          <w:color w:val="000000"/>
          <w:sz w:val="24"/>
        </w:rPr>
      </w:pPr>
      <w:bookmarkStart w:id="11" w:name="_Toc453596789"/>
      <w:r>
        <w:rPr>
          <w:rFonts w:hint="eastAsia" w:ascii="宋体" w:hAnsi="宋体"/>
          <w:color w:val="000000"/>
          <w:sz w:val="24"/>
        </w:rPr>
        <w:t>1.1 招标文件涉及术语的内涵及解释</w:t>
      </w:r>
      <w:bookmarkEnd w:id="11"/>
    </w:p>
    <w:p>
      <w:pPr>
        <w:spacing w:line="490" w:lineRule="exact"/>
        <w:ind w:firstLine="480" w:firstLineChars="200"/>
        <w:rPr>
          <w:rFonts w:ascii="宋体" w:hAnsi="宋体"/>
          <w:color w:val="000000"/>
          <w:sz w:val="24"/>
        </w:rPr>
      </w:pPr>
      <w:r>
        <w:rPr>
          <w:rFonts w:hint="eastAsia" w:ascii="宋体" w:hAnsi="宋体"/>
          <w:color w:val="000000"/>
          <w:sz w:val="24"/>
        </w:rPr>
        <w:t>1)“政府采购当事人”是指在政府采购活动中享有权利和承担义务的各类主体，包括采购人、供应商和采购代理机构等。</w:t>
      </w:r>
    </w:p>
    <w:p>
      <w:pPr>
        <w:spacing w:line="490" w:lineRule="exact"/>
        <w:ind w:firstLine="480" w:firstLineChars="200"/>
        <w:rPr>
          <w:rFonts w:ascii="宋体" w:hAnsi="宋体"/>
          <w:color w:val="000000"/>
          <w:sz w:val="24"/>
        </w:rPr>
      </w:pPr>
      <w:r>
        <w:rPr>
          <w:rFonts w:hint="eastAsia" w:ascii="宋体" w:hAnsi="宋体"/>
          <w:color w:val="000000"/>
          <w:sz w:val="24"/>
        </w:rPr>
        <w:t>2)“采购人”是</w:t>
      </w:r>
      <w:r>
        <w:rPr>
          <w:rFonts w:ascii="宋体" w:hAnsi="宋体"/>
          <w:color w:val="000000"/>
          <w:sz w:val="24"/>
        </w:rPr>
        <w:t>指</w:t>
      </w:r>
      <w:r>
        <w:rPr>
          <w:rFonts w:hint="eastAsia" w:ascii="宋体" w:hAnsi="宋体"/>
          <w:color w:val="000000"/>
          <w:sz w:val="24"/>
        </w:rPr>
        <w:t>依法进行政府采购的国家机关、事业单位、团体组织。本项目是指</w:t>
      </w:r>
      <w:r>
        <w:rPr>
          <w:rFonts w:hint="eastAsia" w:ascii="宋体" w:hAnsi="宋体" w:cs="宋体"/>
          <w:color w:val="000000"/>
          <w:sz w:val="24"/>
        </w:rPr>
        <w:t>白银市食品检验检测中心。</w:t>
      </w:r>
    </w:p>
    <w:p>
      <w:pPr>
        <w:spacing w:line="490" w:lineRule="exact"/>
        <w:ind w:firstLine="480" w:firstLineChars="200"/>
        <w:rPr>
          <w:rFonts w:ascii="宋体" w:hAnsi="宋体"/>
          <w:color w:val="000000"/>
          <w:sz w:val="24"/>
          <w:szCs w:val="30"/>
          <w:u w:val="single"/>
        </w:rPr>
      </w:pPr>
      <w:r>
        <w:rPr>
          <w:rFonts w:hint="eastAsia" w:ascii="宋体" w:hAnsi="宋体"/>
          <w:color w:val="000000"/>
          <w:sz w:val="24"/>
        </w:rPr>
        <w:t>3)“招标人”是指采购人和其委托的招标代理机构，本项目是指</w:t>
      </w:r>
      <w:r>
        <w:rPr>
          <w:rFonts w:hint="eastAsia" w:ascii="宋体" w:hAnsi="宋体" w:cs="宋体"/>
          <w:color w:val="000000"/>
          <w:sz w:val="24"/>
        </w:rPr>
        <w:t>白银市食品检验检测中心</w:t>
      </w:r>
      <w:r>
        <w:rPr>
          <w:rFonts w:hint="eastAsia" w:ascii="宋体" w:hAnsi="宋体"/>
          <w:color w:val="000000"/>
          <w:sz w:val="24"/>
        </w:rPr>
        <w:t>和中招国际招标有限公司甘肃分公司。</w:t>
      </w:r>
    </w:p>
    <w:p>
      <w:pPr>
        <w:spacing w:line="490" w:lineRule="exact"/>
        <w:ind w:firstLine="480" w:firstLineChars="200"/>
        <w:rPr>
          <w:rFonts w:ascii="宋体" w:hAnsi="宋体"/>
          <w:color w:val="000000"/>
          <w:sz w:val="24"/>
        </w:rPr>
      </w:pPr>
      <w:r>
        <w:rPr>
          <w:rFonts w:hint="eastAsia" w:ascii="宋体" w:hAnsi="宋体"/>
          <w:color w:val="000000"/>
          <w:sz w:val="24"/>
        </w:rPr>
        <w:t>4)“投标人”是指向本次招标人提交投标文件的供应商。</w:t>
      </w:r>
    </w:p>
    <w:p>
      <w:pPr>
        <w:spacing w:line="490" w:lineRule="exact"/>
        <w:ind w:firstLine="480" w:firstLineChars="200"/>
        <w:rPr>
          <w:rFonts w:ascii="宋体" w:hAnsi="宋体"/>
          <w:color w:val="000000"/>
          <w:sz w:val="24"/>
        </w:rPr>
      </w:pPr>
      <w:r>
        <w:rPr>
          <w:rFonts w:hint="eastAsia" w:ascii="宋体" w:hAnsi="宋体"/>
          <w:color w:val="000000"/>
          <w:sz w:val="24"/>
        </w:rPr>
        <w:t>5)“供应商”是指向采购人提供货物、工程或者服务的法人、其他组织或者自然人。</w:t>
      </w:r>
    </w:p>
    <w:p>
      <w:pPr>
        <w:spacing w:line="490" w:lineRule="exact"/>
        <w:ind w:firstLine="480" w:firstLineChars="200"/>
        <w:rPr>
          <w:rFonts w:ascii="宋体" w:hAnsi="宋体"/>
          <w:color w:val="000000"/>
          <w:sz w:val="24"/>
        </w:rPr>
      </w:pPr>
      <w:r>
        <w:rPr>
          <w:rFonts w:hint="eastAsia" w:ascii="宋体" w:hAnsi="宋体"/>
          <w:color w:val="000000"/>
          <w:sz w:val="24"/>
        </w:rPr>
        <w:t>6)“招标文件”是指由招标人发出的文本、文件，包括全部章节和附件及答疑会议纪要及其他相关补充材料和相关变更内容。</w:t>
      </w:r>
    </w:p>
    <w:p>
      <w:pPr>
        <w:spacing w:line="490" w:lineRule="exact"/>
        <w:ind w:firstLine="480" w:firstLineChars="200"/>
        <w:rPr>
          <w:rFonts w:ascii="宋体" w:hAnsi="宋体"/>
          <w:color w:val="000000"/>
          <w:sz w:val="24"/>
        </w:rPr>
      </w:pPr>
      <w:r>
        <w:rPr>
          <w:rFonts w:hint="eastAsia" w:ascii="宋体" w:hAnsi="宋体"/>
          <w:color w:val="000000"/>
          <w:sz w:val="24"/>
        </w:rPr>
        <w:t>7)“投标文件”是指投标人根据本招标文件向招标人提交的全部文件。</w:t>
      </w:r>
    </w:p>
    <w:p>
      <w:pPr>
        <w:spacing w:line="490" w:lineRule="exact"/>
        <w:ind w:firstLine="480" w:firstLineChars="200"/>
        <w:rPr>
          <w:rFonts w:ascii="宋体" w:hAnsi="宋体"/>
          <w:color w:val="000000"/>
          <w:sz w:val="24"/>
        </w:rPr>
      </w:pPr>
      <w:r>
        <w:rPr>
          <w:rFonts w:hint="eastAsia" w:ascii="宋体" w:hAnsi="宋体"/>
          <w:color w:val="000000"/>
          <w:sz w:val="24"/>
        </w:rPr>
        <w:t>8)“采购文件”是指包括采购活动记录、采购预算、招标文件、投标文件、评标标准、评标报告、定标文件、合同文本、验收证明、质疑答复、投诉处理决定及其他有关文件、资料。</w:t>
      </w:r>
    </w:p>
    <w:p>
      <w:pPr>
        <w:spacing w:line="490" w:lineRule="exact"/>
        <w:ind w:firstLine="480" w:firstLineChars="200"/>
        <w:rPr>
          <w:rFonts w:ascii="宋体" w:hAnsi="宋体"/>
          <w:color w:val="000000"/>
          <w:sz w:val="24"/>
        </w:rPr>
      </w:pPr>
      <w:r>
        <w:rPr>
          <w:rFonts w:hint="eastAsia" w:ascii="宋体" w:hAnsi="宋体"/>
          <w:color w:val="000000"/>
          <w:sz w:val="24"/>
        </w:rPr>
        <w:t>9)“货物”是指投标人中标后根据招标文件和合同的规定须向采购人提供的各种形态和种类的物品，包括原材料、燃料、设备等。</w:t>
      </w:r>
    </w:p>
    <w:p>
      <w:pPr>
        <w:spacing w:line="490" w:lineRule="exact"/>
        <w:ind w:firstLine="480" w:firstLineChars="200"/>
        <w:rPr>
          <w:rFonts w:ascii="宋体" w:hAnsi="宋体"/>
          <w:color w:val="000000"/>
          <w:sz w:val="24"/>
        </w:rPr>
      </w:pPr>
      <w:r>
        <w:rPr>
          <w:rFonts w:hint="eastAsia" w:ascii="宋体" w:hAnsi="宋体"/>
          <w:color w:val="000000"/>
          <w:sz w:val="24"/>
        </w:rPr>
        <w:t>10）“工程”是指建设工程，包括建筑物和构筑物的新建、改建、扩建、装修、拆除、修缮等。</w:t>
      </w:r>
    </w:p>
    <w:p>
      <w:pPr>
        <w:spacing w:line="490" w:lineRule="exact"/>
        <w:ind w:firstLine="480" w:firstLineChars="200"/>
        <w:rPr>
          <w:rFonts w:ascii="宋体" w:hAnsi="宋体"/>
          <w:color w:val="000000"/>
          <w:sz w:val="24"/>
        </w:rPr>
      </w:pPr>
      <w:r>
        <w:rPr>
          <w:rFonts w:hint="eastAsia" w:ascii="宋体" w:hAnsi="宋体"/>
          <w:color w:val="000000"/>
          <w:sz w:val="24"/>
        </w:rPr>
        <w:t>11)“服务”是指投标人中标后根据招标文件和合同的规定承担与供货、安装有关的服务，包括运输、仓储、保险以及其它的伴随服务，如售后、维修、更换和应承担的其它义务。</w:t>
      </w:r>
    </w:p>
    <w:p>
      <w:pPr>
        <w:spacing w:line="490" w:lineRule="exact"/>
        <w:ind w:firstLine="480" w:firstLineChars="200"/>
        <w:rPr>
          <w:rFonts w:ascii="宋体" w:hAnsi="宋体"/>
          <w:color w:val="000000"/>
          <w:sz w:val="24"/>
        </w:rPr>
      </w:pPr>
      <w:r>
        <w:rPr>
          <w:rFonts w:hint="eastAsia" w:ascii="宋体" w:hAnsi="宋体"/>
          <w:color w:val="000000"/>
          <w:sz w:val="24"/>
        </w:rPr>
        <w:t>12）“</w:t>
      </w:r>
      <w:r>
        <w:rPr>
          <w:rFonts w:ascii="宋体" w:hAnsi="宋体"/>
          <w:color w:val="000000"/>
          <w:sz w:val="24"/>
        </w:rPr>
        <w:t>自主创新产品</w:t>
      </w:r>
      <w:r>
        <w:rPr>
          <w:rFonts w:hint="eastAsia" w:ascii="宋体" w:hAnsi="宋体"/>
          <w:color w:val="000000"/>
          <w:sz w:val="24"/>
        </w:rPr>
        <w:t>”</w:t>
      </w:r>
      <w:r>
        <w:rPr>
          <w:rFonts w:ascii="宋体" w:hAnsi="宋体"/>
          <w:color w:val="000000"/>
          <w:sz w:val="24"/>
        </w:rPr>
        <w:t>是指纳入财政部公布的《政府采购自主创新产品目录》(以下简称目录)的货物和服务。目录由财政部会同科技部等有关部门在国家认定的自主创新产品范围内研究制订。</w:t>
      </w:r>
    </w:p>
    <w:p>
      <w:pPr>
        <w:spacing w:line="490" w:lineRule="exact"/>
        <w:ind w:firstLine="480" w:firstLineChars="200"/>
        <w:rPr>
          <w:rFonts w:ascii="宋体" w:hAnsi="宋体"/>
          <w:color w:val="000000"/>
          <w:sz w:val="24"/>
        </w:rPr>
      </w:pPr>
      <w:r>
        <w:rPr>
          <w:rFonts w:hint="eastAsia" w:ascii="宋体" w:hAnsi="宋体"/>
          <w:color w:val="000000"/>
          <w:sz w:val="24"/>
        </w:rPr>
        <w:t>13)“书面形式”是指任何手写、打印或印刷的各种函件，不包括电传、电报、传真、电子邮件。</w:t>
      </w:r>
      <w:bookmarkStart w:id="12" w:name="_Toc128372054"/>
      <w:bookmarkStart w:id="13" w:name="_Toc128372732"/>
      <w:bookmarkStart w:id="14" w:name="_Toc139965328"/>
    </w:p>
    <w:bookmarkEnd w:id="12"/>
    <w:bookmarkEnd w:id="13"/>
    <w:bookmarkEnd w:id="14"/>
    <w:p>
      <w:pPr>
        <w:pStyle w:val="2"/>
        <w:rPr>
          <w:color w:val="000000"/>
        </w:rPr>
      </w:pPr>
      <w:bookmarkStart w:id="15" w:name="_Toc128372736"/>
      <w:bookmarkStart w:id="16" w:name="_Toc139965332"/>
      <w:bookmarkStart w:id="17" w:name="_Toc128372058"/>
      <w:bookmarkStart w:id="18" w:name="_Toc453596790"/>
      <w:r>
        <w:rPr>
          <w:rFonts w:hint="eastAsia"/>
          <w:color w:val="000000"/>
        </w:rPr>
        <w:t>2、 投标</w:t>
      </w:r>
      <w:bookmarkEnd w:id="15"/>
      <w:bookmarkEnd w:id="16"/>
      <w:bookmarkEnd w:id="17"/>
      <w:r>
        <w:rPr>
          <w:rFonts w:hint="eastAsia"/>
          <w:color w:val="000000"/>
        </w:rPr>
        <w:t>须知</w:t>
      </w:r>
      <w:bookmarkEnd w:id="18"/>
    </w:p>
    <w:p>
      <w:pPr>
        <w:pStyle w:val="3"/>
        <w:spacing w:before="0" w:after="0" w:line="500" w:lineRule="exact"/>
        <w:ind w:firstLine="482" w:firstLineChars="200"/>
        <w:jc w:val="both"/>
        <w:rPr>
          <w:rFonts w:ascii="宋体" w:hAnsi="宋体"/>
          <w:color w:val="000000"/>
          <w:sz w:val="24"/>
        </w:rPr>
      </w:pPr>
      <w:bookmarkStart w:id="19" w:name="_Toc453596791"/>
      <w:r>
        <w:rPr>
          <w:rFonts w:hint="eastAsia" w:ascii="宋体" w:hAnsi="宋体"/>
          <w:color w:val="000000"/>
          <w:sz w:val="24"/>
        </w:rPr>
        <w:t>2.1 招标</w:t>
      </w:r>
      <w:bookmarkEnd w:id="19"/>
    </w:p>
    <w:p>
      <w:pPr>
        <w:pStyle w:val="4"/>
        <w:spacing w:line="500" w:lineRule="exact"/>
        <w:rPr>
          <w:color w:val="000000"/>
        </w:rPr>
      </w:pPr>
      <w:bookmarkStart w:id="20" w:name="_Toc453596792"/>
      <w:r>
        <w:rPr>
          <w:rFonts w:hint="eastAsia"/>
          <w:color w:val="000000"/>
        </w:rPr>
        <w:t>2.1.1 综合说明</w:t>
      </w:r>
      <w:bookmarkEnd w:id="20"/>
    </w:p>
    <w:p>
      <w:pPr>
        <w:spacing w:line="500" w:lineRule="exact"/>
        <w:ind w:firstLine="480" w:firstLineChars="200"/>
        <w:rPr>
          <w:rFonts w:ascii="宋体" w:hAnsi="宋体"/>
          <w:color w:val="000000"/>
          <w:sz w:val="24"/>
        </w:rPr>
      </w:pPr>
      <w:r>
        <w:rPr>
          <w:rFonts w:hint="eastAsia" w:ascii="宋体" w:hAnsi="宋体"/>
          <w:color w:val="000000"/>
          <w:sz w:val="24"/>
        </w:rPr>
        <w:t>本项目按照《中华人民共和国政府采购法</w:t>
      </w:r>
      <w:r>
        <w:rPr>
          <w:rFonts w:hint="eastAsia" w:ascii="宋体" w:hAnsi="宋体"/>
          <w:sz w:val="24"/>
        </w:rPr>
        <w:t>》《中华人民共和国政府采购法实施条例》</w:t>
      </w:r>
      <w:r>
        <w:rPr>
          <w:rFonts w:hint="eastAsia" w:ascii="宋体" w:hAnsi="宋体"/>
          <w:color w:val="000000"/>
          <w:sz w:val="24"/>
        </w:rPr>
        <w:t>及相关法规，已办理招标申请，并得到行业主管部门审核批准，现通过招标来择优选定货物服务的供货商。</w:t>
      </w:r>
      <w:bookmarkStart w:id="21" w:name="_Toc139965329"/>
      <w:bookmarkStart w:id="22" w:name="_Toc128372055"/>
      <w:bookmarkStart w:id="23" w:name="_Toc128372733"/>
      <w:r>
        <w:rPr>
          <w:rFonts w:hint="eastAsia" w:ascii="宋体" w:hAnsi="宋体"/>
          <w:color w:val="000000"/>
          <w:sz w:val="24"/>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p>
    <w:p>
      <w:pPr>
        <w:pStyle w:val="4"/>
        <w:spacing w:line="500" w:lineRule="exact"/>
        <w:rPr>
          <w:color w:val="000000"/>
        </w:rPr>
      </w:pPr>
      <w:bookmarkStart w:id="24" w:name="_Toc453596793"/>
      <w:r>
        <w:rPr>
          <w:color w:val="000000"/>
        </w:rPr>
        <w:t>2.1.2</w:t>
      </w:r>
      <w:r>
        <w:rPr>
          <w:rFonts w:hint="eastAsia"/>
          <w:color w:val="000000"/>
        </w:rPr>
        <w:t xml:space="preserve"> 招标文件的构成</w:t>
      </w:r>
      <w:bookmarkEnd w:id="24"/>
    </w:p>
    <w:p>
      <w:pPr>
        <w:spacing w:line="500" w:lineRule="exact"/>
        <w:ind w:firstLine="480" w:firstLineChars="200"/>
        <w:rPr>
          <w:rFonts w:ascii="宋体" w:hAns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spacing w:line="500" w:lineRule="exact"/>
        <w:ind w:firstLine="480" w:firstLineChars="200"/>
        <w:rPr>
          <w:rFonts w:ascii="宋体" w:hAnsi="宋体"/>
          <w:color w:val="000000"/>
          <w:sz w:val="24"/>
        </w:rPr>
      </w:pPr>
      <w:r>
        <w:rPr>
          <w:rFonts w:hint="eastAsia" w:ascii="宋体" w:hAnsi="宋体"/>
          <w:color w:val="000000"/>
          <w:sz w:val="24"/>
        </w:rPr>
        <w:t xml:space="preserve">（1）招标公告； </w:t>
      </w:r>
    </w:p>
    <w:p>
      <w:pPr>
        <w:spacing w:line="500" w:lineRule="exact"/>
        <w:ind w:firstLine="480" w:firstLineChars="200"/>
        <w:rPr>
          <w:rFonts w:ascii="宋体" w:hAnsi="宋体"/>
          <w:color w:val="000000"/>
          <w:sz w:val="24"/>
        </w:rPr>
      </w:pPr>
      <w:r>
        <w:rPr>
          <w:rFonts w:hint="eastAsia" w:ascii="宋体" w:hAnsi="宋体"/>
          <w:color w:val="000000"/>
          <w:sz w:val="24"/>
        </w:rPr>
        <w:t>（2）投标人须知及前附表；</w:t>
      </w:r>
    </w:p>
    <w:p>
      <w:pPr>
        <w:spacing w:line="500" w:lineRule="exact"/>
        <w:ind w:firstLine="480" w:firstLineChars="200"/>
        <w:rPr>
          <w:rFonts w:ascii="宋体" w:hAnsi="宋体"/>
          <w:color w:val="000000"/>
          <w:sz w:val="24"/>
        </w:rPr>
      </w:pPr>
      <w:r>
        <w:rPr>
          <w:rFonts w:hint="eastAsia" w:ascii="宋体" w:hAnsi="宋体"/>
          <w:color w:val="000000"/>
          <w:sz w:val="24"/>
        </w:rPr>
        <w:t>（3）投标文件格式要求；</w:t>
      </w:r>
    </w:p>
    <w:p>
      <w:pPr>
        <w:spacing w:line="500" w:lineRule="exact"/>
        <w:ind w:firstLine="480" w:firstLineChars="200"/>
        <w:rPr>
          <w:rFonts w:ascii="宋体" w:hAnsi="宋体"/>
          <w:color w:val="000000"/>
          <w:sz w:val="24"/>
        </w:rPr>
      </w:pPr>
      <w:r>
        <w:rPr>
          <w:rFonts w:hint="eastAsia" w:ascii="宋体" w:hAnsi="宋体"/>
          <w:color w:val="000000"/>
          <w:sz w:val="24"/>
        </w:rPr>
        <w:t>（4）投标人有关资格证明文件要求；</w:t>
      </w:r>
    </w:p>
    <w:p>
      <w:pPr>
        <w:spacing w:line="500" w:lineRule="exact"/>
        <w:ind w:firstLine="480" w:firstLineChars="200"/>
        <w:rPr>
          <w:rFonts w:ascii="宋体" w:hAnsi="宋体"/>
          <w:color w:val="000000"/>
          <w:sz w:val="24"/>
        </w:rPr>
      </w:pPr>
      <w:r>
        <w:rPr>
          <w:rFonts w:hint="eastAsia" w:ascii="宋体" w:hAnsi="宋体"/>
          <w:color w:val="000000"/>
          <w:sz w:val="24"/>
        </w:rPr>
        <w:t>（5）招标项目及要求；</w:t>
      </w:r>
    </w:p>
    <w:p>
      <w:pPr>
        <w:spacing w:line="500" w:lineRule="exact"/>
        <w:ind w:firstLine="480" w:firstLineChars="200"/>
        <w:rPr>
          <w:rFonts w:ascii="宋体" w:hAnsi="宋体"/>
          <w:color w:val="000000"/>
          <w:sz w:val="24"/>
        </w:rPr>
      </w:pPr>
      <w:r>
        <w:rPr>
          <w:rFonts w:hint="eastAsia" w:ascii="宋体" w:hAnsi="宋体"/>
          <w:color w:val="000000"/>
          <w:sz w:val="24"/>
        </w:rPr>
        <w:t>（6）评标办法；</w:t>
      </w:r>
    </w:p>
    <w:p>
      <w:pPr>
        <w:spacing w:line="500" w:lineRule="exact"/>
        <w:ind w:firstLine="480" w:firstLineChars="200"/>
        <w:rPr>
          <w:rFonts w:ascii="宋体" w:hAnsi="宋体"/>
          <w:color w:val="000000"/>
          <w:sz w:val="24"/>
        </w:rPr>
      </w:pPr>
      <w:r>
        <w:rPr>
          <w:rFonts w:hint="eastAsia" w:ascii="宋体" w:hAnsi="宋体"/>
          <w:color w:val="000000"/>
          <w:sz w:val="24"/>
        </w:rPr>
        <w:t>（7）合同主要条款。</w:t>
      </w:r>
    </w:p>
    <w:p>
      <w:pPr>
        <w:spacing w:line="500" w:lineRule="exact"/>
        <w:ind w:firstLine="480" w:firstLineChars="200"/>
        <w:rPr>
          <w:rFonts w:ascii="宋体" w:hAnsi="宋体"/>
          <w:color w:val="000000"/>
          <w:sz w:val="24"/>
        </w:rPr>
      </w:pPr>
      <w:r>
        <w:rPr>
          <w:rFonts w:hint="eastAsia" w:ascii="宋体" w:hAnsi="宋体"/>
          <w:color w:val="000000"/>
          <w:sz w:val="24"/>
        </w:rPr>
        <w:t>投标人应认真阅读和充分理解招标文件中所有的事项、格式条款和规范要求。投标人没有对招标文件全面做出实质性响应是投标人的风险。没有按照招标文件要求作出实质性响应的投标文件将被拒绝，为无效投标，其风险自行承担。</w:t>
      </w:r>
    </w:p>
    <w:bookmarkEnd w:id="21"/>
    <w:bookmarkEnd w:id="22"/>
    <w:bookmarkEnd w:id="23"/>
    <w:p>
      <w:pPr>
        <w:pStyle w:val="4"/>
        <w:spacing w:line="500" w:lineRule="exact"/>
        <w:rPr>
          <w:color w:val="000000"/>
        </w:rPr>
      </w:pPr>
      <w:bookmarkStart w:id="25" w:name="_Toc128372739"/>
      <w:bookmarkStart w:id="26" w:name="_Toc128372061"/>
      <w:bookmarkStart w:id="27" w:name="_Toc453596794"/>
      <w:bookmarkStart w:id="28" w:name="_Toc139965335"/>
      <w:r>
        <w:rPr>
          <w:rFonts w:hint="eastAsia"/>
          <w:color w:val="000000"/>
        </w:rPr>
        <w:t>2.1.3 招标文件的修改与补充</w:t>
      </w:r>
      <w:bookmarkEnd w:id="25"/>
      <w:bookmarkEnd w:id="26"/>
      <w:bookmarkEnd w:id="27"/>
      <w:bookmarkEnd w:id="28"/>
    </w:p>
    <w:p>
      <w:pPr>
        <w:spacing w:line="500" w:lineRule="exact"/>
        <w:ind w:firstLine="480" w:firstLineChars="200"/>
        <w:rPr>
          <w:rFonts w:ascii="宋体" w:hAnsi="宋体"/>
          <w:color w:val="000000"/>
          <w:sz w:val="24"/>
        </w:rPr>
      </w:pPr>
      <w:r>
        <w:rPr>
          <w:rFonts w:hint="eastAsia" w:ascii="宋体" w:hAnsi="宋体"/>
          <w:color w:val="000000"/>
          <w:sz w:val="24"/>
        </w:rPr>
        <w:t>投标截止日期3天前，无论出于何种原因，采购人（招标代理机构）可主动地或在解答投标人提出的问题时对招标文件进行修改。</w:t>
      </w:r>
    </w:p>
    <w:p>
      <w:pPr>
        <w:spacing w:line="500" w:lineRule="exact"/>
        <w:ind w:firstLine="480" w:firstLineChars="200"/>
        <w:rPr>
          <w:rFonts w:ascii="宋体" w:hAnsi="宋体"/>
          <w:color w:val="000000"/>
          <w:sz w:val="24"/>
        </w:rPr>
      </w:pPr>
      <w:r>
        <w:rPr>
          <w:rFonts w:hint="eastAsia" w:ascii="宋体" w:hAnsi="宋体"/>
          <w:color w:val="000000"/>
          <w:sz w:val="24"/>
        </w:rPr>
        <w:t>采购人（招标代理机构）对已发出的招标文件进行澄清或者修改，将在招标文件要求的提交投标文件截止时间15日前进行，并以书面形式将澄清或者修改的内容通知所有购买了招标文件的供应商；不足15日的，采购人（招标代理机构）应当顺延提交投标文件的截止时间，投标截止日发生变化的应在相应媒体发变更公告。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spacing w:line="500" w:lineRule="exact"/>
        <w:ind w:firstLine="480" w:firstLineChars="200"/>
        <w:rPr>
          <w:rFonts w:ascii="宋体" w:hAnsi="宋体"/>
          <w:color w:val="000000"/>
          <w:sz w:val="24"/>
        </w:rPr>
      </w:pPr>
      <w:r>
        <w:rPr>
          <w:rFonts w:hint="eastAsia" w:ascii="宋体" w:hAnsi="宋体"/>
          <w:color w:val="000000"/>
          <w:sz w:val="24"/>
        </w:rPr>
        <w:t>为使投标人准备投标时有充分时间对招标文件的补充或修改内容进行考虑和研究或由于其他原因，招标人应根据相关法律条例规定，决定是否延长投标文件递交截止时间和开标时间，并将此变更通知上述每一投标人。</w:t>
      </w:r>
    </w:p>
    <w:p>
      <w:pPr>
        <w:pStyle w:val="4"/>
        <w:spacing w:line="500" w:lineRule="exact"/>
        <w:rPr>
          <w:color w:val="000000"/>
        </w:rPr>
      </w:pPr>
      <w:bookmarkStart w:id="29" w:name="_Toc453596795"/>
      <w:r>
        <w:rPr>
          <w:color w:val="000000"/>
        </w:rPr>
        <w:t>2.1.</w:t>
      </w:r>
      <w:r>
        <w:rPr>
          <w:rFonts w:hint="eastAsia"/>
          <w:color w:val="000000"/>
        </w:rPr>
        <w:t>4  答疑会和现场考察</w:t>
      </w:r>
      <w:bookmarkEnd w:id="29"/>
    </w:p>
    <w:p>
      <w:pPr>
        <w:spacing w:line="500" w:lineRule="exact"/>
        <w:ind w:firstLine="480" w:firstLineChars="200"/>
        <w:rPr>
          <w:rFonts w:ascii="宋体" w:hAnsi="宋体"/>
          <w:color w:val="000000"/>
          <w:sz w:val="24"/>
        </w:rPr>
      </w:pPr>
      <w:r>
        <w:rPr>
          <w:rFonts w:hint="eastAsia" w:ascii="宋体" w:hAnsi="宋体"/>
          <w:color w:val="000000"/>
          <w:sz w:val="24"/>
        </w:rPr>
        <w:t>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spacing w:line="500" w:lineRule="exact"/>
        <w:ind w:firstLine="480" w:firstLineChars="200"/>
        <w:rPr>
          <w:rFonts w:ascii="宋体" w:hAnsi="宋体"/>
          <w:color w:val="000000"/>
          <w:sz w:val="24"/>
        </w:rPr>
      </w:pPr>
      <w:r>
        <w:rPr>
          <w:rFonts w:hint="eastAsia" w:ascii="宋体" w:hAnsi="宋体"/>
          <w:color w:val="000000"/>
          <w:sz w:val="24"/>
        </w:rPr>
        <w:t>供应商考察现场所发生的一切费用由供应商自己承担。</w:t>
      </w:r>
    </w:p>
    <w:p>
      <w:pPr>
        <w:pStyle w:val="3"/>
        <w:spacing w:before="0" w:after="0" w:line="500" w:lineRule="exact"/>
        <w:ind w:firstLine="482" w:firstLineChars="200"/>
        <w:jc w:val="both"/>
        <w:rPr>
          <w:rFonts w:ascii="宋体" w:hAnsi="宋体"/>
          <w:color w:val="000000"/>
          <w:sz w:val="24"/>
        </w:rPr>
      </w:pPr>
      <w:bookmarkStart w:id="30" w:name="_Toc453596796"/>
      <w:r>
        <w:rPr>
          <w:rFonts w:hint="eastAsia" w:ascii="宋体" w:hAnsi="宋体"/>
          <w:color w:val="000000"/>
          <w:sz w:val="24"/>
        </w:rPr>
        <w:t>2.2 投标</w:t>
      </w:r>
      <w:bookmarkEnd w:id="30"/>
      <w:r>
        <w:rPr>
          <w:rFonts w:hint="eastAsia" w:ascii="宋体" w:hAnsi="宋体"/>
          <w:color w:val="000000"/>
          <w:sz w:val="24"/>
        </w:rPr>
        <w:t xml:space="preserve"> </w:t>
      </w:r>
    </w:p>
    <w:p>
      <w:pPr>
        <w:pStyle w:val="4"/>
        <w:spacing w:line="500" w:lineRule="exact"/>
        <w:rPr>
          <w:color w:val="000000"/>
        </w:rPr>
      </w:pPr>
      <w:bookmarkStart w:id="31" w:name="_Toc453596797"/>
      <w:r>
        <w:rPr>
          <w:color w:val="000000"/>
        </w:rPr>
        <w:t>2.2.1</w:t>
      </w:r>
      <w:r>
        <w:rPr>
          <w:rFonts w:hint="eastAsia"/>
          <w:color w:val="000000"/>
        </w:rPr>
        <w:t>投标文件的语言</w:t>
      </w:r>
      <w:bookmarkEnd w:id="31"/>
    </w:p>
    <w:p>
      <w:pPr>
        <w:pStyle w:val="4"/>
        <w:spacing w:line="500" w:lineRule="exact"/>
        <w:ind w:firstLine="480"/>
        <w:rPr>
          <w:rFonts w:cs="Times New Roman"/>
          <w:b w:val="0"/>
          <w:color w:val="000000"/>
          <w:lang w:val="en-US"/>
        </w:rPr>
      </w:pPr>
      <w:bookmarkStart w:id="32" w:name="_Toc415577045"/>
      <w:bookmarkStart w:id="33" w:name="_Toc418157037"/>
      <w:bookmarkStart w:id="34" w:name="_Toc453596798"/>
      <w:bookmarkStart w:id="35" w:name="_Toc434942510"/>
      <w:bookmarkStart w:id="36" w:name="_Toc434942389"/>
      <w:bookmarkStart w:id="37" w:name="_Toc434942834"/>
      <w:bookmarkStart w:id="38" w:name="_Toc418087279"/>
      <w:r>
        <w:rPr>
          <w:rFonts w:hint="eastAsia" w:cs="Times New Roman"/>
          <w:b w:val="0"/>
          <w:color w:val="000000"/>
          <w:lang w:val="en-US"/>
        </w:rPr>
        <w:t>投标人提交的投标文件以及投标人与招标采购单位就有关投标的所有来往书面文件均须使用中文。投标文件中如附有外文资料，必须逐一对应翻译成中文并加盖投标人鲜章后附在相关外文资料后面，否则，投标人的投标文件将作为无效投标处理。</w:t>
      </w:r>
      <w:bookmarkEnd w:id="32"/>
      <w:bookmarkEnd w:id="33"/>
      <w:bookmarkEnd w:id="34"/>
      <w:bookmarkEnd w:id="35"/>
      <w:bookmarkEnd w:id="36"/>
      <w:bookmarkEnd w:id="37"/>
      <w:bookmarkEnd w:id="38"/>
    </w:p>
    <w:p>
      <w:pPr>
        <w:pStyle w:val="4"/>
        <w:spacing w:line="500" w:lineRule="exact"/>
        <w:ind w:firstLine="480"/>
        <w:rPr>
          <w:color w:val="000000"/>
        </w:rPr>
      </w:pPr>
      <w:bookmarkStart w:id="39" w:name="_Toc434942511"/>
      <w:bookmarkStart w:id="40" w:name="_Toc415577046"/>
      <w:bookmarkStart w:id="41" w:name="_Toc418087280"/>
      <w:bookmarkStart w:id="42" w:name="_Toc418157038"/>
      <w:bookmarkStart w:id="43" w:name="_Toc434942390"/>
      <w:bookmarkStart w:id="44" w:name="_Toc434942835"/>
      <w:bookmarkStart w:id="45" w:name="_Toc453596799"/>
      <w:r>
        <w:rPr>
          <w:rFonts w:hint="eastAsia" w:cs="Times New Roman"/>
          <w:b w:val="0"/>
          <w:color w:val="000000"/>
          <w:lang w:val="en-US"/>
        </w:rPr>
        <w:t>翻译的中文资料与外文资料如果出现差异和矛盾时，以中文为准。但不能故意错误翻译，否则，投标人的投标文件将作为无效投标处理。</w:t>
      </w:r>
      <w:bookmarkEnd w:id="39"/>
      <w:bookmarkEnd w:id="40"/>
      <w:bookmarkEnd w:id="41"/>
      <w:bookmarkEnd w:id="42"/>
      <w:bookmarkEnd w:id="43"/>
      <w:bookmarkEnd w:id="44"/>
      <w:bookmarkEnd w:id="45"/>
    </w:p>
    <w:p>
      <w:pPr>
        <w:pStyle w:val="4"/>
        <w:spacing w:line="500" w:lineRule="exact"/>
        <w:rPr>
          <w:color w:val="000000"/>
        </w:rPr>
      </w:pPr>
      <w:bookmarkStart w:id="46" w:name="_Toc453596800"/>
      <w:r>
        <w:rPr>
          <w:color w:val="000000"/>
        </w:rPr>
        <w:t>2.2.</w:t>
      </w:r>
      <w:r>
        <w:rPr>
          <w:rFonts w:hint="eastAsia"/>
          <w:color w:val="000000"/>
        </w:rPr>
        <w:t>2计量单位</w:t>
      </w:r>
      <w:bookmarkEnd w:id="46"/>
    </w:p>
    <w:p>
      <w:pPr>
        <w:pStyle w:val="4"/>
        <w:spacing w:line="500" w:lineRule="exact"/>
        <w:ind w:firstLine="480"/>
        <w:rPr>
          <w:color w:val="000000"/>
        </w:rPr>
      </w:pPr>
      <w:bookmarkStart w:id="47" w:name="_Toc418087282"/>
      <w:bookmarkStart w:id="48" w:name="_Toc418157040"/>
      <w:bookmarkStart w:id="49" w:name="_Toc415577048"/>
      <w:bookmarkStart w:id="50" w:name="_Toc434942513"/>
      <w:bookmarkStart w:id="51" w:name="_Toc453596801"/>
      <w:bookmarkStart w:id="52" w:name="_Toc434942392"/>
      <w:bookmarkStart w:id="53" w:name="_Toc434942837"/>
      <w:r>
        <w:rPr>
          <w:rFonts w:hint="eastAsia" w:cs="Times New Roman"/>
          <w:b w:val="0"/>
          <w:color w:val="000000"/>
          <w:lang w:val="en-US"/>
        </w:rPr>
        <w:t>除技术规格及要求中另有规定外，本采购项下的投标均采用国家法定的计量单位。</w:t>
      </w:r>
      <w:bookmarkEnd w:id="47"/>
      <w:bookmarkEnd w:id="48"/>
      <w:bookmarkEnd w:id="49"/>
      <w:bookmarkEnd w:id="50"/>
      <w:bookmarkEnd w:id="51"/>
      <w:bookmarkEnd w:id="52"/>
      <w:bookmarkEnd w:id="53"/>
    </w:p>
    <w:p>
      <w:pPr>
        <w:pStyle w:val="4"/>
        <w:spacing w:line="500" w:lineRule="exact"/>
        <w:rPr>
          <w:color w:val="000000"/>
        </w:rPr>
      </w:pPr>
      <w:bookmarkStart w:id="54" w:name="_Toc453596802"/>
      <w:r>
        <w:rPr>
          <w:color w:val="000000"/>
        </w:rPr>
        <w:t>2.2.3</w:t>
      </w:r>
      <w:r>
        <w:rPr>
          <w:rFonts w:hint="eastAsia"/>
          <w:color w:val="000000"/>
        </w:rPr>
        <w:t>投标货币</w:t>
      </w:r>
      <w:bookmarkEnd w:id="54"/>
    </w:p>
    <w:p>
      <w:pPr>
        <w:pStyle w:val="4"/>
        <w:spacing w:line="500" w:lineRule="exact"/>
        <w:ind w:firstLine="480"/>
        <w:rPr>
          <w:color w:val="000000"/>
        </w:rPr>
      </w:pPr>
      <w:bookmarkStart w:id="55" w:name="_Toc418157042"/>
      <w:bookmarkStart w:id="56" w:name="_Toc418087284"/>
      <w:bookmarkStart w:id="57" w:name="_Toc453596803"/>
      <w:bookmarkStart w:id="58" w:name="_Toc415577050"/>
      <w:bookmarkStart w:id="59" w:name="_Toc434942515"/>
      <w:bookmarkStart w:id="60" w:name="_Toc434942839"/>
      <w:bookmarkStart w:id="61" w:name="_Toc434942394"/>
      <w:r>
        <w:rPr>
          <w:rFonts w:hint="eastAsia" w:cs="Times New Roman"/>
          <w:b w:val="0"/>
          <w:color w:val="000000"/>
          <w:lang w:val="en-US"/>
        </w:rPr>
        <w:t>本次招标项目的投标均以人民币报价。</w:t>
      </w:r>
      <w:bookmarkEnd w:id="55"/>
      <w:bookmarkEnd w:id="56"/>
      <w:bookmarkEnd w:id="57"/>
      <w:bookmarkEnd w:id="58"/>
      <w:bookmarkEnd w:id="59"/>
      <w:bookmarkEnd w:id="60"/>
      <w:bookmarkEnd w:id="61"/>
    </w:p>
    <w:p>
      <w:pPr>
        <w:pStyle w:val="4"/>
        <w:spacing w:line="500" w:lineRule="exact"/>
        <w:rPr>
          <w:color w:val="000000"/>
        </w:rPr>
      </w:pPr>
      <w:bookmarkStart w:id="62" w:name="_Toc453596804"/>
      <w:r>
        <w:rPr>
          <w:color w:val="000000"/>
        </w:rPr>
        <w:t>2.2.</w:t>
      </w:r>
      <w:r>
        <w:rPr>
          <w:rFonts w:hint="eastAsia"/>
          <w:color w:val="000000"/>
        </w:rPr>
        <w:t>4联合投标(本项目不适用联合体投标)</w:t>
      </w:r>
      <w:bookmarkEnd w:id="62"/>
    </w:p>
    <w:p>
      <w:pPr>
        <w:pStyle w:val="4"/>
        <w:spacing w:line="500" w:lineRule="exact"/>
        <w:ind w:firstLine="480"/>
        <w:rPr>
          <w:rFonts w:cs="Times New Roman"/>
          <w:b w:val="0"/>
          <w:color w:val="000000"/>
          <w:lang w:val="en-US"/>
        </w:rPr>
      </w:pPr>
      <w:bookmarkStart w:id="63" w:name="_Toc418157044"/>
      <w:bookmarkStart w:id="64" w:name="_Toc418087286"/>
      <w:bookmarkStart w:id="65" w:name="_Toc434942517"/>
      <w:bookmarkStart w:id="66" w:name="_Toc434942396"/>
      <w:bookmarkStart w:id="67" w:name="_Toc434942841"/>
      <w:bookmarkStart w:id="68" w:name="_Toc415577052"/>
      <w:bookmarkStart w:id="69" w:name="_Toc453596805"/>
      <w:r>
        <w:rPr>
          <w:rFonts w:hint="eastAsia" w:cs="Times New Roman"/>
          <w:b w:val="0"/>
          <w:color w:val="000000"/>
          <w:lang w:val="en-US"/>
        </w:rPr>
        <w:t>两个以上供应商可以组成一个投标联合体，以一个投标人的身份投标。以联合体形式参加投标的，联合体各方均应当符合《政府采购法》第二十二条第一款规定的条件及实施条例的规定。</w:t>
      </w:r>
      <w:bookmarkEnd w:id="63"/>
      <w:bookmarkEnd w:id="64"/>
      <w:bookmarkEnd w:id="65"/>
      <w:bookmarkEnd w:id="66"/>
      <w:bookmarkEnd w:id="67"/>
      <w:bookmarkEnd w:id="68"/>
      <w:bookmarkEnd w:id="69"/>
    </w:p>
    <w:p>
      <w:pPr>
        <w:pStyle w:val="4"/>
        <w:spacing w:line="500" w:lineRule="exact"/>
        <w:ind w:firstLine="480"/>
        <w:rPr>
          <w:rFonts w:cs="Times New Roman"/>
          <w:b w:val="0"/>
          <w:color w:val="000000"/>
          <w:lang w:val="en-US"/>
        </w:rPr>
      </w:pPr>
      <w:bookmarkStart w:id="70" w:name="_Toc434942518"/>
      <w:bookmarkStart w:id="71" w:name="_Toc434942397"/>
      <w:bookmarkStart w:id="72" w:name="_Toc418157045"/>
      <w:bookmarkStart w:id="73" w:name="_Toc418087287"/>
      <w:bookmarkStart w:id="74" w:name="_Toc434942842"/>
      <w:bookmarkStart w:id="75" w:name="_Toc453596806"/>
      <w:bookmarkStart w:id="76" w:name="_Toc415577053"/>
      <w:r>
        <w:rPr>
          <w:rFonts w:hint="eastAsia" w:cs="Times New Roman"/>
          <w:b w:val="0"/>
          <w:color w:val="000000"/>
          <w:lang w:val="en-US"/>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bookmarkEnd w:id="70"/>
      <w:bookmarkEnd w:id="71"/>
      <w:bookmarkEnd w:id="72"/>
      <w:bookmarkEnd w:id="73"/>
      <w:bookmarkEnd w:id="74"/>
      <w:bookmarkEnd w:id="75"/>
      <w:bookmarkEnd w:id="76"/>
    </w:p>
    <w:p>
      <w:pPr>
        <w:pStyle w:val="4"/>
        <w:spacing w:line="500" w:lineRule="exact"/>
        <w:ind w:firstLine="480"/>
        <w:rPr>
          <w:rFonts w:cs="Times New Roman"/>
          <w:b w:val="0"/>
          <w:color w:val="000000"/>
          <w:lang w:val="en-US"/>
        </w:rPr>
      </w:pPr>
      <w:bookmarkStart w:id="77" w:name="_Toc418157046"/>
      <w:bookmarkStart w:id="78" w:name="_Toc434942843"/>
      <w:bookmarkStart w:id="79" w:name="_Toc434942398"/>
      <w:bookmarkStart w:id="80" w:name="_Toc453596807"/>
      <w:bookmarkStart w:id="81" w:name="_Toc418087288"/>
      <w:bookmarkStart w:id="82" w:name="_Toc415577054"/>
      <w:bookmarkStart w:id="83" w:name="_Toc434942519"/>
      <w:r>
        <w:rPr>
          <w:rFonts w:hint="eastAsia" w:cs="Times New Roman"/>
          <w:b w:val="0"/>
          <w:color w:val="000000"/>
          <w:lang w:val="en-US"/>
        </w:rPr>
        <w:t>联合体应当确定其中一个单位为投标的全权代表，负责参加投标的一切事务，并承担投标及履约中应承担的全部责任与义务。</w:t>
      </w:r>
      <w:bookmarkEnd w:id="77"/>
      <w:bookmarkEnd w:id="78"/>
      <w:bookmarkEnd w:id="79"/>
      <w:bookmarkEnd w:id="80"/>
      <w:bookmarkEnd w:id="81"/>
      <w:bookmarkEnd w:id="82"/>
      <w:bookmarkEnd w:id="83"/>
    </w:p>
    <w:p>
      <w:pPr>
        <w:pStyle w:val="4"/>
        <w:spacing w:line="500" w:lineRule="exact"/>
        <w:ind w:firstLine="480"/>
        <w:rPr>
          <w:color w:val="000000"/>
        </w:rPr>
      </w:pPr>
      <w:bookmarkStart w:id="84" w:name="_Toc418087289"/>
      <w:bookmarkStart w:id="85" w:name="_Toc415577055"/>
      <w:bookmarkStart w:id="86" w:name="_Toc434942520"/>
      <w:bookmarkStart w:id="87" w:name="_Toc434942399"/>
      <w:bookmarkStart w:id="88" w:name="_Toc418157047"/>
      <w:bookmarkStart w:id="89" w:name="_Toc453596808"/>
      <w:bookmarkStart w:id="90" w:name="_Toc434942844"/>
      <w:r>
        <w:rPr>
          <w:rFonts w:hint="eastAsia" w:cs="Times New Roman"/>
          <w:b w:val="0"/>
          <w:color w:val="000000"/>
          <w:lang w:val="en-US"/>
        </w:rPr>
        <w:t>联合体各方应当共同与采购人签订采购合同，就采购合同约定的事项对采购人承担连带责任。</w:t>
      </w:r>
      <w:bookmarkEnd w:id="84"/>
      <w:bookmarkEnd w:id="85"/>
      <w:bookmarkEnd w:id="86"/>
      <w:bookmarkEnd w:id="87"/>
      <w:bookmarkEnd w:id="88"/>
      <w:bookmarkEnd w:id="89"/>
      <w:bookmarkEnd w:id="90"/>
    </w:p>
    <w:p>
      <w:pPr>
        <w:pStyle w:val="4"/>
        <w:spacing w:line="500" w:lineRule="exact"/>
        <w:rPr>
          <w:color w:val="000000"/>
        </w:rPr>
      </w:pPr>
      <w:bookmarkStart w:id="91" w:name="_Toc453596809"/>
      <w:r>
        <w:rPr>
          <w:color w:val="000000"/>
        </w:rPr>
        <w:t>2.2.</w:t>
      </w:r>
      <w:r>
        <w:rPr>
          <w:rFonts w:hint="eastAsia"/>
          <w:color w:val="000000"/>
        </w:rPr>
        <w:t>5知识产权</w:t>
      </w:r>
      <w:bookmarkEnd w:id="91"/>
    </w:p>
    <w:p>
      <w:pPr>
        <w:pStyle w:val="4"/>
        <w:spacing w:line="500" w:lineRule="exact"/>
        <w:ind w:firstLine="480"/>
        <w:rPr>
          <w:rFonts w:cs="Times New Roman"/>
          <w:b w:val="0"/>
          <w:color w:val="000000"/>
          <w:lang w:val="en-US"/>
        </w:rPr>
      </w:pPr>
      <w:bookmarkStart w:id="92" w:name="_Toc418087291"/>
      <w:bookmarkStart w:id="93" w:name="_Toc434942846"/>
      <w:bookmarkStart w:id="94" w:name="_Toc415577057"/>
      <w:bookmarkStart w:id="95" w:name="_Toc434942522"/>
      <w:bookmarkStart w:id="96" w:name="_Toc453596810"/>
      <w:bookmarkStart w:id="97" w:name="_Toc418157049"/>
      <w:bookmarkStart w:id="98" w:name="_Toc434942401"/>
      <w:r>
        <w:rPr>
          <w:rFonts w:hint="eastAsia" w:cs="Times New Roman"/>
          <w:b w:val="0"/>
          <w:color w:val="000000"/>
          <w:lang w:val="en-US"/>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End w:id="92"/>
      <w:bookmarkEnd w:id="93"/>
      <w:bookmarkEnd w:id="94"/>
      <w:bookmarkEnd w:id="95"/>
      <w:bookmarkEnd w:id="96"/>
      <w:bookmarkEnd w:id="97"/>
      <w:bookmarkEnd w:id="98"/>
    </w:p>
    <w:p>
      <w:pPr>
        <w:pStyle w:val="4"/>
        <w:spacing w:line="500" w:lineRule="exact"/>
        <w:ind w:firstLine="480"/>
        <w:rPr>
          <w:rFonts w:cs="Times New Roman"/>
          <w:b w:val="0"/>
          <w:color w:val="000000"/>
          <w:lang w:val="en-US"/>
        </w:rPr>
      </w:pPr>
      <w:bookmarkStart w:id="99" w:name="_Toc434942847"/>
      <w:bookmarkStart w:id="100" w:name="_Toc418157050"/>
      <w:bookmarkStart w:id="101" w:name="_Toc453596811"/>
      <w:bookmarkStart w:id="102" w:name="_Toc415577058"/>
      <w:bookmarkStart w:id="103" w:name="_Toc434942523"/>
      <w:bookmarkStart w:id="104" w:name="_Toc434942402"/>
      <w:bookmarkStart w:id="105" w:name="_Toc418087292"/>
      <w:r>
        <w:rPr>
          <w:rFonts w:hint="eastAsia" w:cs="Times New Roman"/>
          <w:b w:val="0"/>
          <w:color w:val="000000"/>
          <w:lang w:val="en-US"/>
        </w:rPr>
        <w:t>采购人享有本项目实施过程中产生的知识成果及知识产权。</w:t>
      </w:r>
      <w:bookmarkEnd w:id="99"/>
      <w:bookmarkEnd w:id="100"/>
      <w:bookmarkEnd w:id="101"/>
      <w:bookmarkEnd w:id="102"/>
      <w:bookmarkEnd w:id="103"/>
      <w:bookmarkEnd w:id="104"/>
      <w:bookmarkEnd w:id="105"/>
    </w:p>
    <w:p>
      <w:pPr>
        <w:pStyle w:val="4"/>
        <w:spacing w:line="500" w:lineRule="exact"/>
        <w:ind w:firstLine="480"/>
        <w:rPr>
          <w:rFonts w:cs="Times New Roman"/>
          <w:b w:val="0"/>
          <w:color w:val="000000"/>
          <w:lang w:val="en-US"/>
        </w:rPr>
      </w:pPr>
      <w:bookmarkStart w:id="106" w:name="_Toc418157051"/>
      <w:bookmarkStart w:id="107" w:name="_Toc418087293"/>
      <w:bookmarkStart w:id="108" w:name="_Toc434942848"/>
      <w:bookmarkStart w:id="109" w:name="_Toc434942524"/>
      <w:bookmarkStart w:id="110" w:name="_Toc434942403"/>
      <w:bookmarkStart w:id="111" w:name="_Toc453596812"/>
      <w:bookmarkStart w:id="112" w:name="_Toc415577059"/>
      <w:r>
        <w:rPr>
          <w:rFonts w:hint="eastAsia" w:cs="Times New Roman"/>
          <w:b w:val="0"/>
          <w:color w:val="000000"/>
          <w:lang w:val="en-US"/>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bookmarkEnd w:id="106"/>
      <w:bookmarkEnd w:id="107"/>
      <w:bookmarkEnd w:id="108"/>
      <w:bookmarkEnd w:id="109"/>
      <w:bookmarkEnd w:id="110"/>
      <w:bookmarkEnd w:id="111"/>
      <w:bookmarkEnd w:id="112"/>
    </w:p>
    <w:p>
      <w:pPr>
        <w:pStyle w:val="4"/>
        <w:spacing w:line="500" w:lineRule="exact"/>
        <w:ind w:firstLine="480"/>
        <w:rPr>
          <w:rFonts w:cs="Times New Roman"/>
          <w:b w:val="0"/>
          <w:color w:val="000000"/>
          <w:lang w:val="en-US"/>
        </w:rPr>
      </w:pPr>
      <w:bookmarkStart w:id="113" w:name="_Toc434942525"/>
      <w:bookmarkStart w:id="114" w:name="_Toc434942849"/>
      <w:bookmarkStart w:id="115" w:name="_Toc453596813"/>
      <w:bookmarkStart w:id="116" w:name="_Toc434942404"/>
      <w:bookmarkStart w:id="117" w:name="_Toc415577060"/>
      <w:bookmarkStart w:id="118" w:name="_Toc418157052"/>
      <w:bookmarkStart w:id="119" w:name="_Toc418087294"/>
      <w:r>
        <w:rPr>
          <w:rFonts w:hint="eastAsia" w:cs="Times New Roman"/>
          <w:b w:val="0"/>
          <w:color w:val="000000"/>
          <w:lang w:val="en-US"/>
        </w:rPr>
        <w:t>如采用投标人所不拥有的知识产权，则在投标报价中必须包括合法获取该知识产权的相关费用。</w:t>
      </w:r>
      <w:bookmarkEnd w:id="113"/>
      <w:bookmarkEnd w:id="114"/>
      <w:bookmarkEnd w:id="115"/>
      <w:bookmarkEnd w:id="116"/>
      <w:bookmarkEnd w:id="117"/>
      <w:bookmarkEnd w:id="118"/>
      <w:bookmarkEnd w:id="119"/>
      <w:r>
        <w:rPr>
          <w:rFonts w:hint="eastAsia" w:cs="Times New Roman"/>
          <w:b w:val="0"/>
          <w:color w:val="000000"/>
          <w:lang w:val="en-US"/>
        </w:rPr>
        <w:t xml:space="preserve"> </w:t>
      </w:r>
    </w:p>
    <w:p>
      <w:pPr>
        <w:pStyle w:val="4"/>
        <w:spacing w:line="500" w:lineRule="exact"/>
        <w:rPr>
          <w:color w:val="000000"/>
        </w:rPr>
      </w:pPr>
      <w:bookmarkStart w:id="120" w:name="_Toc453596814"/>
      <w:r>
        <w:rPr>
          <w:rFonts w:hint="eastAsia"/>
          <w:color w:val="000000"/>
        </w:rPr>
        <w:t>2.2.6投标综合要求及说明</w:t>
      </w:r>
      <w:bookmarkEnd w:id="120"/>
    </w:p>
    <w:p>
      <w:pPr>
        <w:spacing w:line="500" w:lineRule="exact"/>
        <w:ind w:firstLine="480" w:firstLineChars="200"/>
        <w:rPr>
          <w:rFonts w:ascii="宋体" w:hAnsi="宋体"/>
          <w:color w:val="000000"/>
          <w:sz w:val="24"/>
        </w:rPr>
      </w:pPr>
      <w:r>
        <w:rPr>
          <w:rFonts w:hint="eastAsia" w:ascii="宋体" w:hAnsi="宋体"/>
          <w:color w:val="000000"/>
          <w:sz w:val="24"/>
        </w:rPr>
        <w:t>1）投标人投标应按照招标人标书要求只能报一个方案进行投标，否则按无效投标处理；</w:t>
      </w:r>
    </w:p>
    <w:p>
      <w:pPr>
        <w:spacing w:line="500" w:lineRule="exact"/>
        <w:ind w:firstLine="480" w:firstLineChars="200"/>
        <w:rPr>
          <w:rFonts w:ascii="宋体" w:hAnsi="宋体"/>
          <w:color w:val="000000"/>
          <w:sz w:val="24"/>
          <w:szCs w:val="32"/>
        </w:rPr>
      </w:pPr>
      <w:r>
        <w:rPr>
          <w:rFonts w:hint="eastAsia" w:ascii="宋体" w:hAnsi="宋体"/>
          <w:color w:val="000000"/>
          <w:sz w:val="24"/>
        </w:rPr>
        <w:t>2）投标人对投标产品技术性能的描述因欠缺或漏报而影响对投标人投标文件的评比，不利后果由投标人承担；</w:t>
      </w:r>
    </w:p>
    <w:p>
      <w:pPr>
        <w:spacing w:line="500" w:lineRule="exact"/>
        <w:ind w:firstLine="480" w:firstLineChars="200"/>
        <w:rPr>
          <w:rFonts w:ascii="宋体" w:hAnsi="宋体"/>
          <w:color w:val="000000"/>
          <w:sz w:val="24"/>
        </w:rPr>
      </w:pPr>
      <w:r>
        <w:rPr>
          <w:rFonts w:hint="eastAsia" w:ascii="宋体" w:hAnsi="宋体"/>
          <w:color w:val="000000"/>
          <w:sz w:val="24"/>
        </w:rPr>
        <w:t>3）投标人在投标文件中所列出的所有货物、配件、软件等均视为包含在投标项目以及报价中；</w:t>
      </w:r>
    </w:p>
    <w:p>
      <w:pPr>
        <w:spacing w:line="500" w:lineRule="exact"/>
        <w:ind w:firstLine="480" w:firstLineChars="200"/>
        <w:rPr>
          <w:rFonts w:ascii="宋体" w:hAnsi="宋体"/>
          <w:color w:val="000000"/>
          <w:sz w:val="24"/>
        </w:rPr>
      </w:pPr>
      <w:r>
        <w:rPr>
          <w:rFonts w:hint="eastAsia" w:ascii="宋体" w:hAnsi="宋体"/>
          <w:color w:val="000000"/>
          <w:sz w:val="24"/>
        </w:rPr>
        <w:t>4）投标人在本次项目中所提供的货物对于招标文件中的重要技术参数要求必须满足，并提供生产厂家的授权文件，必须符合国家相关规定的要求，否则视无效投标；</w:t>
      </w:r>
    </w:p>
    <w:p>
      <w:pPr>
        <w:spacing w:line="500" w:lineRule="exact"/>
        <w:ind w:firstLine="480" w:firstLineChars="200"/>
        <w:rPr>
          <w:rFonts w:ascii="宋体" w:hAnsi="宋体"/>
          <w:color w:val="000000"/>
          <w:sz w:val="24"/>
        </w:rPr>
      </w:pPr>
      <w:r>
        <w:rPr>
          <w:rFonts w:hint="eastAsia" w:ascii="宋体" w:hAnsi="宋体"/>
          <w:color w:val="000000"/>
          <w:sz w:val="24"/>
        </w:rPr>
        <w:t>5)同一品牌同一型号产品只能由一家供应商参加，如果有多家代理商参加同一品牌同一型号产品投标的，评标中在其他条件合格的前提下，选取报价最低的供应商进入评标，舍掉其他供应商。</w:t>
      </w:r>
      <w:r>
        <w:rPr>
          <w:rFonts w:hint="eastAsia"/>
          <w:sz w:val="24"/>
        </w:rPr>
        <w:t>（财办库[2003]38号）</w:t>
      </w:r>
    </w:p>
    <w:p>
      <w:pPr>
        <w:spacing w:line="500" w:lineRule="exact"/>
        <w:ind w:firstLine="480" w:firstLineChars="200"/>
        <w:rPr>
          <w:rFonts w:ascii="宋体" w:hAnsi="宋体"/>
          <w:color w:val="FF0000"/>
          <w:sz w:val="24"/>
        </w:rPr>
      </w:pPr>
      <w:r>
        <w:rPr>
          <w:rFonts w:hint="eastAsia" w:ascii="宋体" w:hAnsi="宋体"/>
          <w:sz w:val="24"/>
        </w:rPr>
        <w:t>6)“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ascii="宋体" w:hAnsi="宋体"/>
          <w:color w:val="000000"/>
          <w:sz w:val="24"/>
        </w:rPr>
      </w:pPr>
      <w:r>
        <w:rPr>
          <w:rFonts w:hint="eastAsia" w:ascii="宋体" w:hAnsi="宋体"/>
          <w:color w:val="000000"/>
          <w:sz w:val="24"/>
        </w:rPr>
        <w:t>7）招标人发现具有《政府采购法》第七十七条中第一至五项情形之一和财政部令[2004]第18号中第七十四条第一至五项情形之一的及第七十七条规定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spacing w:line="500" w:lineRule="exact"/>
        <w:ind w:firstLine="480" w:firstLineChars="200"/>
        <w:rPr>
          <w:rFonts w:ascii="宋体" w:hAnsi="宋体"/>
          <w:color w:val="000000"/>
          <w:sz w:val="24"/>
        </w:rPr>
      </w:pPr>
      <w:r>
        <w:rPr>
          <w:rFonts w:hint="eastAsia" w:ascii="宋体" w:hAnsi="宋体"/>
          <w:color w:val="000000"/>
          <w:sz w:val="24"/>
        </w:rPr>
        <w:t>8）招标人可视投标品目价格情况适当增加或减少采购数量，并保留拆包或取消采购某些品目的权力；</w:t>
      </w:r>
    </w:p>
    <w:p>
      <w:pPr>
        <w:spacing w:line="500" w:lineRule="exact"/>
        <w:ind w:firstLine="480" w:firstLineChars="200"/>
        <w:rPr>
          <w:color w:val="000000"/>
        </w:rPr>
      </w:pPr>
      <w:r>
        <w:rPr>
          <w:rFonts w:hint="eastAsia" w:ascii="宋体" w:hAnsi="宋体"/>
          <w:color w:val="000000"/>
          <w:sz w:val="24"/>
        </w:rPr>
        <w:t>9）投标人应自行承担所有与准备和参加投标有关的费用。不论投标的结果如何，招标人无义务和责任承担相关费用。</w:t>
      </w:r>
    </w:p>
    <w:p>
      <w:pPr>
        <w:pStyle w:val="4"/>
        <w:spacing w:line="500" w:lineRule="exact"/>
        <w:rPr>
          <w:color w:val="000000"/>
        </w:rPr>
      </w:pPr>
      <w:bookmarkStart w:id="121" w:name="_Toc453596815"/>
      <w:r>
        <w:rPr>
          <w:rFonts w:hint="eastAsia"/>
          <w:color w:val="000000"/>
        </w:rPr>
        <w:t>2.2.7投标文件的组成</w:t>
      </w:r>
      <w:bookmarkEnd w:id="121"/>
    </w:p>
    <w:p>
      <w:pPr>
        <w:spacing w:line="500" w:lineRule="exact"/>
        <w:ind w:firstLine="480" w:firstLineChars="200"/>
        <w:rPr>
          <w:rFonts w:ascii="宋体" w:hAnsi="宋体"/>
          <w:color w:val="000000"/>
          <w:sz w:val="24"/>
        </w:rPr>
      </w:pPr>
      <w:r>
        <w:rPr>
          <w:rFonts w:hint="eastAsia" w:ascii="宋体" w:hAnsi="宋体"/>
          <w:color w:val="000000"/>
          <w:sz w:val="24"/>
        </w:rPr>
        <w:t>投标人应按照招标文件的规定和要求编制投标文件。投标人拟在中标后将中标项目的非主体、非关键性工作交由他人完成的，应当在投标文件中载明；投标人如若在投标文件中没有注明，中标后将项目肢解、分包或者转包的，需方有权拒绝合同的执行。投标人编写的投标文件应包括下列部分：</w:t>
      </w:r>
    </w:p>
    <w:p>
      <w:pPr>
        <w:spacing w:line="500" w:lineRule="exact"/>
        <w:ind w:firstLine="482" w:firstLineChars="200"/>
        <w:rPr>
          <w:rFonts w:ascii="宋体" w:hAnsi="宋体"/>
          <w:color w:val="000000"/>
          <w:sz w:val="24"/>
        </w:rPr>
      </w:pPr>
      <w:r>
        <w:rPr>
          <w:rFonts w:hint="eastAsia" w:ascii="宋体" w:hAnsi="宋体"/>
          <w:b/>
          <w:color w:val="000000"/>
          <w:sz w:val="24"/>
        </w:rPr>
        <w:t>报价部分</w:t>
      </w:r>
      <w:r>
        <w:rPr>
          <w:rFonts w:hint="eastAsia" w:ascii="宋体" w:hAnsi="宋体"/>
          <w:color w:val="000000"/>
          <w:sz w:val="24"/>
        </w:rPr>
        <w:t>，此次投标报价须标明各品目单价报价、各品目合计报价及本次招标采购货物总价，否则视为无效投标。</w:t>
      </w:r>
    </w:p>
    <w:p>
      <w:pPr>
        <w:spacing w:line="500" w:lineRule="exact"/>
        <w:ind w:firstLine="480" w:firstLineChars="200"/>
        <w:rPr>
          <w:rFonts w:ascii="宋体" w:hAnsi="宋体"/>
          <w:color w:val="000000"/>
          <w:sz w:val="24"/>
        </w:rPr>
      </w:pPr>
      <w:r>
        <w:rPr>
          <w:rFonts w:hint="eastAsia" w:ascii="宋体" w:hAnsi="宋体"/>
          <w:color w:val="000000"/>
          <w:sz w:val="24"/>
        </w:rPr>
        <w:t>投标人按照招标文件要求填写的“开标一览表”及“报价明细表”。 本次招标报价要求：</w:t>
      </w:r>
    </w:p>
    <w:p>
      <w:pPr>
        <w:spacing w:line="500" w:lineRule="exact"/>
        <w:ind w:firstLine="480" w:firstLineChars="200"/>
        <w:rPr>
          <w:rFonts w:ascii="宋体" w:hAnsi="宋体"/>
          <w:color w:val="000000"/>
          <w:sz w:val="24"/>
        </w:rPr>
      </w:pPr>
      <w:r>
        <w:rPr>
          <w:rFonts w:hint="eastAsia" w:ascii="宋体" w:hAnsi="宋体"/>
          <w:color w:val="000000"/>
          <w:sz w:val="24"/>
        </w:rPr>
        <w:t>（1）投标人的报价是投标人响应招标项目要求的全部工作内容的价格体现，包括投标人完成本项目所需的一切费用。</w:t>
      </w:r>
    </w:p>
    <w:p>
      <w:pPr>
        <w:spacing w:line="360" w:lineRule="auto"/>
        <w:ind w:firstLine="480" w:firstLineChars="200"/>
        <w:rPr>
          <w:rFonts w:ascii="宋体" w:hAnsi="宋体"/>
          <w:color w:val="000000"/>
          <w:sz w:val="24"/>
        </w:rPr>
      </w:pPr>
      <w:r>
        <w:rPr>
          <w:rFonts w:hint="eastAsia" w:ascii="宋体" w:hAnsi="宋体"/>
          <w:color w:val="000000"/>
          <w:sz w:val="24"/>
        </w:rPr>
        <w:t>（2）投标人每种货物只允许有一个报价，并且在合同履行过程中是固定不变的，任何有选择或可调整的报价将不予接受，并按无效投标处理。</w:t>
      </w:r>
    </w:p>
    <w:p>
      <w:pPr>
        <w:spacing w:line="500" w:lineRule="exact"/>
        <w:ind w:firstLine="482" w:firstLineChars="200"/>
        <w:rPr>
          <w:rFonts w:ascii="宋体" w:hAnsi="宋体"/>
          <w:color w:val="000000"/>
          <w:sz w:val="24"/>
        </w:rPr>
      </w:pPr>
      <w:r>
        <w:rPr>
          <w:rFonts w:hint="eastAsia" w:ascii="宋体" w:hAnsi="宋体"/>
          <w:b/>
          <w:color w:val="000000"/>
          <w:sz w:val="24"/>
        </w:rPr>
        <w:t>技术部分。</w:t>
      </w:r>
      <w:r>
        <w:rPr>
          <w:rFonts w:hint="eastAsia" w:ascii="宋体" w:hAnsi="宋体"/>
          <w:color w:val="000000"/>
          <w:sz w:val="24"/>
        </w:rPr>
        <w:t>投标人按照招标文件要求做出的技术应答，主要是针对招标项目的技术指标、参数和技术要求做出的实质性响应和满足。投标人的技术应答应包括下列内容：</w:t>
      </w:r>
    </w:p>
    <w:p>
      <w:pPr>
        <w:spacing w:line="500" w:lineRule="exact"/>
        <w:ind w:firstLine="480" w:firstLineChars="200"/>
        <w:rPr>
          <w:rFonts w:ascii="宋体" w:hAnsi="宋体"/>
          <w:color w:val="000000"/>
          <w:sz w:val="24"/>
        </w:rPr>
      </w:pPr>
      <w:r>
        <w:rPr>
          <w:rFonts w:hint="eastAsia" w:ascii="宋体" w:hAnsi="宋体"/>
          <w:color w:val="000000"/>
          <w:sz w:val="24"/>
        </w:rPr>
        <w:t>（1）投标产品的品牌、型号、配置；</w:t>
      </w:r>
    </w:p>
    <w:p>
      <w:pPr>
        <w:spacing w:line="500" w:lineRule="exact"/>
        <w:ind w:firstLine="480" w:firstLineChars="200"/>
        <w:rPr>
          <w:rFonts w:ascii="宋体" w:hAnsi="宋体"/>
          <w:color w:val="000000"/>
          <w:sz w:val="24"/>
        </w:rPr>
      </w:pPr>
      <w:r>
        <w:rPr>
          <w:rFonts w:hint="eastAsia" w:ascii="宋体" w:hAnsi="宋体"/>
          <w:color w:val="000000"/>
          <w:sz w:val="24"/>
        </w:rPr>
        <w:t>（2）详细的技术指标和参数；</w:t>
      </w:r>
    </w:p>
    <w:p>
      <w:pPr>
        <w:spacing w:line="500" w:lineRule="exact"/>
        <w:ind w:firstLine="480" w:firstLineChars="200"/>
        <w:rPr>
          <w:rFonts w:ascii="宋体" w:hAnsi="宋体"/>
          <w:color w:val="000000"/>
          <w:sz w:val="24"/>
        </w:rPr>
      </w:pPr>
      <w:r>
        <w:rPr>
          <w:rFonts w:hint="eastAsia" w:ascii="宋体" w:hAnsi="宋体"/>
          <w:color w:val="000000"/>
          <w:sz w:val="24"/>
        </w:rPr>
        <w:t>（3）技术方案、项目实施方案；</w:t>
      </w:r>
    </w:p>
    <w:p>
      <w:pPr>
        <w:spacing w:line="500" w:lineRule="exact"/>
        <w:ind w:firstLine="480" w:firstLineChars="200"/>
        <w:rPr>
          <w:rFonts w:ascii="宋体" w:hAnsi="宋体"/>
          <w:color w:val="000000"/>
          <w:sz w:val="24"/>
        </w:rPr>
      </w:pPr>
      <w:r>
        <w:rPr>
          <w:rFonts w:hint="eastAsia" w:ascii="宋体" w:hAnsi="宋体"/>
          <w:color w:val="000000"/>
          <w:sz w:val="24"/>
        </w:rPr>
        <w:t>（4）技术要求偏离表；</w:t>
      </w:r>
    </w:p>
    <w:p>
      <w:pPr>
        <w:spacing w:line="500" w:lineRule="exact"/>
        <w:ind w:firstLine="480" w:firstLineChars="200"/>
        <w:rPr>
          <w:rFonts w:ascii="宋体" w:hAnsi="宋体"/>
          <w:color w:val="000000"/>
          <w:sz w:val="24"/>
        </w:rPr>
      </w:pPr>
      <w:r>
        <w:rPr>
          <w:rFonts w:hint="eastAsia" w:ascii="宋体" w:hAnsi="宋体"/>
          <w:color w:val="000000"/>
          <w:sz w:val="24"/>
        </w:rPr>
        <w:t>（5）产品彩页资料；</w:t>
      </w:r>
    </w:p>
    <w:p>
      <w:pPr>
        <w:spacing w:line="500" w:lineRule="exact"/>
        <w:ind w:firstLine="480" w:firstLineChars="200"/>
        <w:rPr>
          <w:rFonts w:ascii="宋体" w:hAnsi="宋体"/>
          <w:color w:val="000000"/>
          <w:sz w:val="24"/>
        </w:rPr>
      </w:pPr>
      <w:r>
        <w:rPr>
          <w:rFonts w:hint="eastAsia" w:ascii="宋体" w:hAnsi="宋体"/>
          <w:color w:val="000000"/>
          <w:sz w:val="24"/>
        </w:rPr>
        <w:t>（6）产品工作环境条件；</w:t>
      </w:r>
    </w:p>
    <w:p>
      <w:pPr>
        <w:spacing w:line="500" w:lineRule="exact"/>
        <w:ind w:firstLine="480" w:firstLineChars="200"/>
        <w:rPr>
          <w:rFonts w:ascii="宋体" w:hAnsi="宋体"/>
          <w:color w:val="000000"/>
          <w:sz w:val="24"/>
        </w:rPr>
      </w:pPr>
      <w:r>
        <w:rPr>
          <w:rFonts w:hint="eastAsia" w:ascii="宋体" w:hAnsi="宋体"/>
          <w:color w:val="000000"/>
          <w:sz w:val="24"/>
        </w:rPr>
        <w:t>（7）产品验收标准和验收方法；</w:t>
      </w:r>
    </w:p>
    <w:p>
      <w:pPr>
        <w:spacing w:line="500" w:lineRule="exact"/>
        <w:ind w:firstLine="480" w:firstLineChars="200"/>
        <w:rPr>
          <w:rFonts w:ascii="宋体" w:hAnsi="宋体"/>
          <w:color w:val="000000"/>
          <w:sz w:val="24"/>
        </w:rPr>
      </w:pPr>
      <w:r>
        <w:rPr>
          <w:rFonts w:hint="eastAsia" w:ascii="宋体" w:hAnsi="宋体"/>
          <w:color w:val="000000"/>
          <w:sz w:val="24"/>
        </w:rPr>
        <w:t>（8）产品验收清单（注明各部件的品名、数量、价格、规格型号和原产地或生产厂家）；</w:t>
      </w:r>
    </w:p>
    <w:p>
      <w:pPr>
        <w:spacing w:line="500" w:lineRule="exact"/>
        <w:ind w:firstLine="480" w:firstLineChars="200"/>
        <w:rPr>
          <w:rFonts w:ascii="宋体" w:hAnsi="宋体"/>
          <w:color w:val="000000"/>
          <w:sz w:val="24"/>
        </w:rPr>
      </w:pPr>
      <w:r>
        <w:rPr>
          <w:rFonts w:hint="eastAsia" w:ascii="宋体" w:hAnsi="宋体"/>
          <w:color w:val="000000"/>
          <w:sz w:val="24"/>
        </w:rPr>
        <w:t>（9）投标人认为需要提供的文件和资料。</w:t>
      </w:r>
    </w:p>
    <w:p>
      <w:pPr>
        <w:spacing w:line="500" w:lineRule="exact"/>
        <w:ind w:firstLine="482" w:firstLineChars="200"/>
        <w:rPr>
          <w:rFonts w:ascii="宋体" w:hAnsi="宋体"/>
          <w:color w:val="000000"/>
          <w:sz w:val="24"/>
        </w:rPr>
      </w:pPr>
      <w:r>
        <w:rPr>
          <w:rFonts w:hint="eastAsia" w:ascii="宋体" w:hAnsi="宋体"/>
          <w:b/>
          <w:color w:val="000000"/>
          <w:sz w:val="24"/>
        </w:rPr>
        <w:t>商务部分。</w:t>
      </w:r>
      <w:r>
        <w:rPr>
          <w:rFonts w:hint="eastAsia" w:ascii="宋体" w:hAnsi="宋体"/>
          <w:color w:val="000000"/>
          <w:sz w:val="24"/>
        </w:rPr>
        <w:t>投标人按照招标文件要求提供的有关资质证明文件及优惠承诺。包括以下内容：</w:t>
      </w:r>
    </w:p>
    <w:p>
      <w:pPr>
        <w:spacing w:line="500" w:lineRule="exact"/>
        <w:ind w:firstLine="480" w:firstLineChars="200"/>
        <w:rPr>
          <w:rFonts w:ascii="宋体" w:hAnsi="宋体"/>
          <w:color w:val="000000"/>
          <w:sz w:val="24"/>
        </w:rPr>
      </w:pPr>
      <w:r>
        <w:rPr>
          <w:rFonts w:hint="eastAsia" w:ascii="宋体" w:hAnsi="宋体"/>
          <w:color w:val="000000"/>
          <w:sz w:val="24"/>
        </w:rPr>
        <w:t>（1）开标一览表（投标函及报价表）</w:t>
      </w:r>
    </w:p>
    <w:p>
      <w:pPr>
        <w:spacing w:line="500" w:lineRule="exact"/>
        <w:ind w:firstLine="480" w:firstLineChars="200"/>
        <w:rPr>
          <w:rFonts w:ascii="宋体" w:hAnsi="宋体"/>
          <w:sz w:val="24"/>
        </w:rPr>
      </w:pPr>
      <w:r>
        <w:rPr>
          <w:rFonts w:hint="eastAsia" w:ascii="宋体" w:hAnsi="宋体"/>
          <w:color w:val="000000"/>
          <w:sz w:val="24"/>
        </w:rPr>
        <w:t>（2）</w:t>
      </w:r>
      <w:r>
        <w:rPr>
          <w:rFonts w:hint="eastAsia" w:ascii="宋体" w:hAnsi="宋体"/>
          <w:sz w:val="24"/>
        </w:rPr>
        <w:t>经年检合格的投标人企业法人营业执照副本、国家和地方税务登记证副本、组织机构代码证复印件</w:t>
      </w:r>
      <w:r>
        <w:rPr>
          <w:rFonts w:hint="eastAsia" w:ascii="宋体" w:hAnsi="宋体" w:cs="宋体"/>
          <w:sz w:val="24"/>
        </w:rPr>
        <w:t>（法人营业执照、税务登记证、组织机构代码证已三证合一的，则需提供具有统一社会信用代码的营业执照副本）</w:t>
      </w:r>
    </w:p>
    <w:p>
      <w:pPr>
        <w:spacing w:line="500" w:lineRule="exact"/>
        <w:ind w:firstLine="480" w:firstLineChars="200"/>
        <w:rPr>
          <w:rFonts w:ascii="宋体" w:hAnsi="宋体"/>
          <w:sz w:val="24"/>
        </w:rPr>
      </w:pPr>
      <w:r>
        <w:rPr>
          <w:rFonts w:hint="eastAsia" w:ascii="宋体" w:hAnsi="宋体"/>
          <w:sz w:val="24"/>
        </w:rPr>
        <w:t>（3）法定代表人授权书原件（原件装入投标文件正本）、法人身份证复印件及授权代表身份证复印件(正反面)。（注:1式2份，1份装入正本中，1份单独递交开标现场工作人员确认其身份及法人或授权人身份证原件）</w:t>
      </w:r>
    </w:p>
    <w:p>
      <w:pPr>
        <w:spacing w:line="440" w:lineRule="exact"/>
        <w:ind w:firstLine="480" w:firstLineChars="200"/>
        <w:rPr>
          <w:rFonts w:ascii="宋体" w:hAnsi="宋体"/>
          <w:sz w:val="24"/>
        </w:rPr>
      </w:pPr>
      <w:r>
        <w:rPr>
          <w:rFonts w:hint="eastAsia" w:ascii="宋体" w:hAnsi="宋体"/>
          <w:sz w:val="24"/>
        </w:rPr>
        <w:t>（4）投标保证金交纳凭证</w:t>
      </w:r>
    </w:p>
    <w:p>
      <w:pPr>
        <w:spacing w:line="500" w:lineRule="exact"/>
        <w:ind w:firstLine="480" w:firstLineChars="200"/>
        <w:rPr>
          <w:rFonts w:ascii="宋体" w:hAnsi="宋体"/>
          <w:sz w:val="24"/>
        </w:rPr>
      </w:pPr>
      <w:r>
        <w:rPr>
          <w:rFonts w:hint="eastAsia" w:ascii="宋体" w:hAnsi="宋体"/>
          <w:sz w:val="24"/>
        </w:rPr>
        <w:t>（5）供应商住所地或者业务发生地市（州）、县（区）人民检察院出具的行贿犯罪档案查询结果告知函（原件）（原件装入投标文件正本，并作为资格审查的必要条件）</w:t>
      </w:r>
    </w:p>
    <w:p>
      <w:pPr>
        <w:spacing w:line="500" w:lineRule="exact"/>
        <w:ind w:firstLine="480" w:firstLineChars="200"/>
        <w:rPr>
          <w:rFonts w:ascii="宋体" w:hAnsi="宋体"/>
          <w:sz w:val="24"/>
        </w:rPr>
      </w:pPr>
      <w:r>
        <w:rPr>
          <w:rFonts w:hint="eastAsia" w:ascii="宋体" w:hAnsi="宋体"/>
          <w:sz w:val="24"/>
        </w:rPr>
        <w:t>（6）供应商须提供参加政府采购活动近三年内在经营活动中没有重大违法记录的书面声明（原件）（原件装入投标文件正本，并作为资格审查的必要条件）</w:t>
      </w:r>
    </w:p>
    <w:p>
      <w:pPr>
        <w:spacing w:line="500" w:lineRule="exact"/>
        <w:ind w:firstLine="480" w:firstLineChars="200"/>
        <w:rPr>
          <w:rFonts w:ascii="宋体" w:hAnsi="宋体"/>
          <w:sz w:val="24"/>
        </w:rPr>
      </w:pPr>
      <w:r>
        <w:rPr>
          <w:rFonts w:hint="eastAsia" w:ascii="宋体" w:hAnsi="宋体"/>
          <w:sz w:val="24"/>
        </w:rPr>
        <w:t>（7）投标产品生产厂家针对本项目的专项授权函原件或区域总代理针对本项目的转授权函原件（提供转授权函的，还需提供生产厂家对区域总代理的授权函复印件且该复印件须加盖区域总代理公章）和生产厂家售后服务承诺函原件（原件装入投标文件正本，并作为资格审查的必要条件）</w:t>
      </w:r>
    </w:p>
    <w:p>
      <w:pPr>
        <w:spacing w:line="500" w:lineRule="exact"/>
        <w:ind w:firstLine="480" w:firstLineChars="200"/>
        <w:rPr>
          <w:rFonts w:ascii="宋体" w:hAnsi="宋体"/>
          <w:sz w:val="24"/>
        </w:rPr>
      </w:pPr>
      <w:r>
        <w:rPr>
          <w:rFonts w:hint="eastAsia" w:ascii="宋体" w:hAnsi="宋体"/>
          <w:sz w:val="24"/>
        </w:rPr>
        <w:t>（8）提供2016年度财务审计报告，（新成立的公司需提供开户银行出具的资信证明）（复印件加盖公章）；2017三年度任意一个月依法缴纳税收和社会保障资金的相关材料（复印件加盖公章）</w:t>
      </w:r>
    </w:p>
    <w:p>
      <w:pPr>
        <w:spacing w:line="500" w:lineRule="exact"/>
        <w:ind w:firstLine="480" w:firstLineChars="200"/>
        <w:rPr>
          <w:rFonts w:ascii="宋体" w:hAnsi="宋体"/>
          <w:sz w:val="24"/>
        </w:rPr>
      </w:pPr>
      <w:r>
        <w:rPr>
          <w:rFonts w:hint="eastAsia" w:ascii="宋体" w:hAnsi="宋体"/>
          <w:sz w:val="24"/>
        </w:rPr>
        <w:t xml:space="preserve"> (9)</w:t>
      </w:r>
      <w:r>
        <w:rPr>
          <w:rFonts w:hint="eastAsia" w:ascii="宋体" w:hAnsi="宋体"/>
          <w:color w:val="000000"/>
          <w:sz w:val="24"/>
        </w:rPr>
        <w:t>中小企业声明函（属于中小微企业的供应商提供）</w:t>
      </w:r>
    </w:p>
    <w:p>
      <w:pPr>
        <w:spacing w:line="500" w:lineRule="exact"/>
        <w:ind w:firstLine="480" w:firstLineChars="200"/>
        <w:rPr>
          <w:rFonts w:ascii="宋体" w:hAnsi="宋体"/>
          <w:color w:val="000000"/>
          <w:sz w:val="24"/>
        </w:rPr>
      </w:pPr>
      <w:r>
        <w:rPr>
          <w:rFonts w:hint="eastAsia" w:ascii="宋体" w:hAnsi="宋体"/>
          <w:color w:val="000000"/>
          <w:sz w:val="24"/>
        </w:rPr>
        <w:t>（10）证明投标货物的合格性和投标人资格符合招标文件规定的证明文件</w:t>
      </w:r>
    </w:p>
    <w:p>
      <w:pPr>
        <w:spacing w:line="500" w:lineRule="exact"/>
        <w:ind w:firstLine="480" w:firstLineChars="200"/>
        <w:rPr>
          <w:rFonts w:ascii="宋体" w:hAnsi="宋体"/>
          <w:color w:val="000000"/>
          <w:sz w:val="24"/>
        </w:rPr>
      </w:pPr>
      <w:r>
        <w:rPr>
          <w:rFonts w:hint="eastAsia" w:ascii="宋体" w:hAnsi="宋体"/>
          <w:color w:val="000000"/>
          <w:sz w:val="24"/>
        </w:rPr>
        <w:t>（11）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pPr>
        <w:spacing w:line="500" w:lineRule="exact"/>
        <w:ind w:firstLine="480" w:firstLineChars="200"/>
        <w:rPr>
          <w:rFonts w:ascii="宋体" w:hAnsi="宋体"/>
          <w:color w:val="000000"/>
          <w:sz w:val="24"/>
        </w:rPr>
      </w:pPr>
      <w:r>
        <w:rPr>
          <w:rFonts w:hint="eastAsia" w:ascii="宋体" w:hAnsi="宋体"/>
          <w:color w:val="000000"/>
          <w:sz w:val="24"/>
        </w:rPr>
        <w:t>（12）证明投标人业绩和荣誉的有关材料</w:t>
      </w:r>
    </w:p>
    <w:p>
      <w:pPr>
        <w:spacing w:line="500" w:lineRule="exact"/>
        <w:ind w:firstLine="480" w:firstLineChars="200"/>
        <w:rPr>
          <w:rFonts w:ascii="宋体" w:hAnsi="宋体"/>
          <w:color w:val="000000"/>
          <w:sz w:val="24"/>
        </w:rPr>
      </w:pPr>
      <w:r>
        <w:rPr>
          <w:rFonts w:hint="eastAsia" w:ascii="宋体" w:hAnsi="宋体"/>
          <w:color w:val="000000"/>
          <w:sz w:val="24"/>
        </w:rPr>
        <w:t>（13）商务条款偏离表</w:t>
      </w:r>
    </w:p>
    <w:p>
      <w:pPr>
        <w:spacing w:line="500" w:lineRule="exact"/>
        <w:ind w:firstLine="480" w:firstLineChars="200"/>
        <w:rPr>
          <w:rFonts w:ascii="宋体" w:hAnsi="宋体"/>
          <w:color w:val="000000"/>
          <w:sz w:val="24"/>
        </w:rPr>
      </w:pPr>
      <w:r>
        <w:rPr>
          <w:rFonts w:hint="eastAsia" w:ascii="宋体" w:hAnsi="宋体"/>
          <w:color w:val="000000"/>
          <w:sz w:val="24"/>
        </w:rPr>
        <w:t>（14）其他投标人认为需要提供的文件和资料</w:t>
      </w:r>
    </w:p>
    <w:p>
      <w:pPr>
        <w:spacing w:line="500" w:lineRule="exact"/>
        <w:ind w:firstLine="482" w:firstLineChars="200"/>
        <w:rPr>
          <w:rFonts w:ascii="宋体" w:hAnsi="宋体"/>
          <w:color w:val="000000"/>
          <w:sz w:val="24"/>
        </w:rPr>
      </w:pPr>
      <w:r>
        <w:rPr>
          <w:rFonts w:hint="eastAsia" w:ascii="宋体" w:hAnsi="宋体"/>
          <w:b/>
          <w:color w:val="000000"/>
          <w:sz w:val="24"/>
        </w:rPr>
        <w:t>售后服务。</w:t>
      </w:r>
      <w:r>
        <w:rPr>
          <w:rFonts w:hint="eastAsia" w:ascii="宋体" w:hAnsi="宋体"/>
          <w:color w:val="000000"/>
          <w:sz w:val="24"/>
        </w:rPr>
        <w:t>投标人按照招标文件中售后服务要求做出的积极响应和承诺。包括以下内容：</w:t>
      </w:r>
    </w:p>
    <w:p>
      <w:pPr>
        <w:spacing w:line="500" w:lineRule="exact"/>
        <w:ind w:firstLine="480" w:firstLineChars="200"/>
        <w:rPr>
          <w:rFonts w:ascii="宋体" w:hAnsi="宋体"/>
          <w:color w:val="000000"/>
          <w:sz w:val="24"/>
        </w:rPr>
      </w:pPr>
      <w:r>
        <w:rPr>
          <w:rFonts w:hint="eastAsia" w:ascii="宋体" w:hAnsi="宋体"/>
          <w:color w:val="000000"/>
          <w:sz w:val="24"/>
        </w:rPr>
        <w:t>（1）产品制造厂家或投标人设立的售后服务机构网点清单、服务电话和维修人员名单（加盖鲜章）；</w:t>
      </w:r>
    </w:p>
    <w:p>
      <w:pPr>
        <w:spacing w:line="500" w:lineRule="exact"/>
        <w:ind w:firstLine="480" w:firstLineChars="200"/>
        <w:rPr>
          <w:rFonts w:ascii="宋体" w:hAnsi="宋体"/>
          <w:color w:val="000000"/>
          <w:sz w:val="24"/>
        </w:rPr>
      </w:pPr>
      <w:r>
        <w:rPr>
          <w:rFonts w:hint="eastAsia" w:ascii="宋体" w:hAnsi="宋体"/>
          <w:color w:val="000000"/>
          <w:sz w:val="24"/>
        </w:rPr>
        <w:t>（2）说明投标产品的保修时间、保修期内的保修内容与范围、维修响应时间等。分别提供产品制造厂家和投标人的服务承诺和保障措施；</w:t>
      </w:r>
    </w:p>
    <w:p>
      <w:pPr>
        <w:spacing w:line="500" w:lineRule="exact"/>
        <w:ind w:firstLine="480" w:firstLineChars="200"/>
        <w:rPr>
          <w:rFonts w:ascii="宋体" w:hAnsi="宋体"/>
          <w:color w:val="000000"/>
          <w:sz w:val="24"/>
        </w:rPr>
      </w:pPr>
      <w:r>
        <w:rPr>
          <w:rFonts w:hint="eastAsia" w:ascii="宋体" w:hAnsi="宋体"/>
          <w:color w:val="000000"/>
          <w:sz w:val="24"/>
        </w:rPr>
        <w:t>（3）培训措施：说明培训内容及培训的时间、地点、目标、培训人数、收费标准和办法；</w:t>
      </w:r>
    </w:p>
    <w:p>
      <w:pPr>
        <w:spacing w:line="500" w:lineRule="exact"/>
        <w:ind w:firstLine="480" w:firstLineChars="200"/>
        <w:rPr>
          <w:rFonts w:ascii="宋体" w:hAnsi="宋体"/>
          <w:color w:val="000000"/>
          <w:sz w:val="24"/>
        </w:rPr>
      </w:pPr>
      <w:r>
        <w:rPr>
          <w:rFonts w:hint="eastAsia" w:ascii="宋体" w:hAnsi="宋体"/>
          <w:color w:val="000000"/>
          <w:sz w:val="24"/>
        </w:rPr>
        <w:t>（4）其他有利于用户的服务承诺。</w:t>
      </w:r>
    </w:p>
    <w:p>
      <w:pPr>
        <w:pStyle w:val="4"/>
        <w:spacing w:line="500" w:lineRule="exact"/>
        <w:rPr>
          <w:color w:val="000000"/>
        </w:rPr>
      </w:pPr>
      <w:bookmarkStart w:id="122" w:name="_Toc453596816"/>
      <w:r>
        <w:rPr>
          <w:color w:val="000000"/>
        </w:rPr>
        <w:t>2.2.</w:t>
      </w:r>
      <w:r>
        <w:rPr>
          <w:rFonts w:hint="eastAsia"/>
          <w:color w:val="000000"/>
        </w:rPr>
        <w:t>8投标文件格式</w:t>
      </w:r>
      <w:bookmarkEnd w:id="122"/>
    </w:p>
    <w:p>
      <w:pPr>
        <w:spacing w:line="500" w:lineRule="exact"/>
        <w:ind w:firstLine="480" w:firstLineChars="200"/>
        <w:rPr>
          <w:rFonts w:ascii="宋体" w:hAnsi="宋体"/>
          <w:color w:val="000000"/>
          <w:sz w:val="24"/>
        </w:rPr>
      </w:pPr>
      <w:r>
        <w:rPr>
          <w:rFonts w:hint="eastAsia" w:ascii="宋体" w:hAnsi="宋体"/>
          <w:color w:val="000000"/>
          <w:sz w:val="24"/>
        </w:rPr>
        <w:t>投标人应严格按照招标文件中提供的“投标文件格式”填写相关内容。除明确允许投标人可以自行编写的外，投标人不得以“投标文件格式”规定之外的方式填写相关内容。否则，投标人提供的投标文件将作为无效投标处理。</w:t>
      </w:r>
    </w:p>
    <w:p>
      <w:pPr>
        <w:spacing w:line="500" w:lineRule="exact"/>
        <w:ind w:firstLine="480" w:firstLineChars="200"/>
        <w:rPr>
          <w:rFonts w:ascii="宋体" w:hAnsi="宋体"/>
          <w:color w:val="000000"/>
          <w:sz w:val="24"/>
        </w:rPr>
      </w:pPr>
      <w:r>
        <w:rPr>
          <w:rFonts w:hint="eastAsia" w:ascii="宋体" w:hAnsi="宋体"/>
          <w:color w:val="000000"/>
          <w:sz w:val="24"/>
        </w:rPr>
        <w:t>对于没有格式要求的投标文件由投标人自行编写。</w:t>
      </w:r>
    </w:p>
    <w:p>
      <w:pPr>
        <w:pStyle w:val="4"/>
        <w:spacing w:line="500" w:lineRule="exact"/>
        <w:rPr>
          <w:color w:val="000000"/>
        </w:rPr>
      </w:pPr>
      <w:bookmarkStart w:id="123" w:name="_Toc453596817"/>
      <w:r>
        <w:rPr>
          <w:rFonts w:hint="eastAsia"/>
          <w:color w:val="000000"/>
        </w:rPr>
        <w:t>2.2.9投标有效期</w:t>
      </w:r>
      <w:bookmarkEnd w:id="123"/>
    </w:p>
    <w:p>
      <w:pPr>
        <w:spacing w:line="500" w:lineRule="exact"/>
        <w:ind w:firstLine="480" w:firstLineChars="200"/>
        <w:rPr>
          <w:rFonts w:ascii="宋体" w:hAnsi="宋体"/>
          <w:color w:val="000000"/>
          <w:sz w:val="24"/>
        </w:rPr>
      </w:pPr>
      <w:r>
        <w:rPr>
          <w:rFonts w:hint="eastAsia" w:ascii="宋体" w:hAnsi="宋体"/>
          <w:color w:val="000000"/>
          <w:sz w:val="24"/>
        </w:rPr>
        <w:t>投标文件在正式递交日期起90日内有效。</w:t>
      </w:r>
    </w:p>
    <w:p>
      <w:pPr>
        <w:pStyle w:val="4"/>
        <w:spacing w:line="500" w:lineRule="exact"/>
        <w:rPr>
          <w:color w:val="000000"/>
        </w:rPr>
      </w:pPr>
      <w:bookmarkStart w:id="124" w:name="_Toc128372066"/>
      <w:bookmarkStart w:id="125" w:name="_Toc128372744"/>
      <w:bookmarkStart w:id="126" w:name="_Toc453596818"/>
      <w:bookmarkStart w:id="127" w:name="_Toc139965340"/>
      <w:r>
        <w:rPr>
          <w:rFonts w:hint="eastAsia"/>
          <w:color w:val="000000"/>
        </w:rPr>
        <w:t>2.2.10 投标保证金</w:t>
      </w:r>
      <w:bookmarkEnd w:id="124"/>
      <w:bookmarkEnd w:id="125"/>
      <w:bookmarkEnd w:id="126"/>
      <w:bookmarkEnd w:id="127"/>
    </w:p>
    <w:p>
      <w:pPr>
        <w:spacing w:line="500" w:lineRule="exact"/>
        <w:ind w:firstLine="480" w:firstLineChars="200"/>
        <w:rPr>
          <w:rFonts w:ascii="宋体" w:hAnsi="宋体"/>
          <w:color w:val="000000"/>
          <w:sz w:val="24"/>
        </w:rPr>
      </w:pPr>
      <w:r>
        <w:rPr>
          <w:rFonts w:hint="eastAsia" w:ascii="宋体" w:hAnsi="宋体"/>
          <w:color w:val="000000"/>
          <w:sz w:val="24"/>
        </w:rPr>
        <w:t>投标保证金数额及交纳方式：</w:t>
      </w:r>
    </w:p>
    <w:p>
      <w:pPr>
        <w:spacing w:line="500" w:lineRule="exact"/>
        <w:ind w:firstLine="480" w:firstLineChars="200"/>
        <w:rPr>
          <w:rFonts w:ascii="宋体" w:hAnsi="宋体"/>
          <w:color w:val="000000"/>
          <w:sz w:val="24"/>
        </w:rPr>
      </w:pPr>
      <w:r>
        <w:rPr>
          <w:rFonts w:hint="eastAsia" w:ascii="宋体" w:hAnsi="宋体"/>
          <w:color w:val="000000"/>
          <w:sz w:val="24"/>
        </w:rPr>
        <w:t>1) 投标保证金提交方式为银行电汇，不接受其他方式的投标保证金。</w:t>
      </w:r>
    </w:p>
    <w:p>
      <w:pPr>
        <w:spacing w:line="500" w:lineRule="exact"/>
        <w:ind w:firstLine="480" w:firstLineChars="200"/>
        <w:rPr>
          <w:rFonts w:ascii="宋体" w:hAnsi="宋体"/>
          <w:color w:val="000000"/>
          <w:sz w:val="24"/>
        </w:rPr>
      </w:pPr>
      <w:r>
        <w:rPr>
          <w:rFonts w:hint="eastAsia" w:ascii="宋体" w:hAnsi="宋体"/>
          <w:color w:val="000000"/>
          <w:sz w:val="24"/>
        </w:rPr>
        <w:t>2）投标人必须从基本帐户以电汇方式提交保证金，且投标保证金单位名称必须与投标人登记的单位名称一致，不得以分公司、办事处或其他机构名义交纳。</w:t>
      </w:r>
    </w:p>
    <w:p>
      <w:pPr>
        <w:spacing w:line="500" w:lineRule="exact"/>
        <w:ind w:firstLine="480" w:firstLineChars="200"/>
        <w:rPr>
          <w:rFonts w:ascii="宋体" w:hAnsi="宋体"/>
          <w:color w:val="000000"/>
          <w:sz w:val="24"/>
        </w:rPr>
      </w:pPr>
      <w:r>
        <w:rPr>
          <w:rFonts w:hint="eastAsia" w:ascii="宋体" w:hAnsi="宋体"/>
          <w:color w:val="000000"/>
          <w:sz w:val="24"/>
        </w:rPr>
        <w:t>3）投标人在办理投标保证金电汇手续时，必须在银行电汇单附言栏上必须且只填写投标保证金对应的投标项目标段或包号的“登记号”（8位数字）</w:t>
      </w:r>
    </w:p>
    <w:p>
      <w:pPr>
        <w:spacing w:line="500" w:lineRule="exact"/>
        <w:ind w:firstLine="480" w:firstLineChars="200"/>
        <w:rPr>
          <w:rFonts w:ascii="宋体" w:hAnsi="宋体"/>
          <w:color w:val="000000"/>
          <w:sz w:val="24"/>
        </w:rPr>
      </w:pPr>
      <w:r>
        <w:rPr>
          <w:rFonts w:hint="eastAsia" w:ascii="宋体" w:hAnsi="宋体"/>
          <w:color w:val="000000"/>
          <w:sz w:val="24"/>
        </w:rPr>
        <w:t>注：投标人投两个及以上标段或包号的，应该按每个标段或包号分别交纳投标保证金。</w:t>
      </w:r>
    </w:p>
    <w:p>
      <w:pPr>
        <w:spacing w:line="500" w:lineRule="exact"/>
        <w:ind w:firstLine="480" w:firstLineChars="200"/>
        <w:rPr>
          <w:rFonts w:ascii="宋体" w:hAnsi="宋体"/>
          <w:color w:val="000000"/>
          <w:sz w:val="24"/>
        </w:rPr>
      </w:pPr>
      <w:r>
        <w:rPr>
          <w:rFonts w:hint="eastAsia" w:ascii="宋体" w:hAnsi="宋体"/>
          <w:color w:val="000000"/>
          <w:sz w:val="24"/>
        </w:rPr>
        <w:t>投标保证金数额及交纳方式：</w:t>
      </w:r>
    </w:p>
    <w:p>
      <w:pPr>
        <w:spacing w:line="500" w:lineRule="exact"/>
        <w:ind w:firstLine="480" w:firstLineChars="200"/>
        <w:rPr>
          <w:rFonts w:ascii="宋体" w:hAnsi="宋体"/>
          <w:color w:val="000000"/>
          <w:sz w:val="24"/>
        </w:rPr>
      </w:pPr>
      <w:r>
        <w:rPr>
          <w:rFonts w:hint="eastAsia" w:ascii="宋体" w:hAnsi="宋体"/>
          <w:color w:val="000000"/>
          <w:sz w:val="24"/>
        </w:rPr>
        <w:t>投标人应于开标之前将投标保证金</w:t>
      </w:r>
      <w:r>
        <w:rPr>
          <w:rFonts w:hint="eastAsia" w:ascii="宋体" w:hAnsi="宋体"/>
          <w:sz w:val="24"/>
        </w:rPr>
        <w:t>贰万元整（20000元）</w:t>
      </w:r>
      <w:r>
        <w:rPr>
          <w:rFonts w:hint="eastAsia" w:ascii="宋体" w:hAnsi="宋体"/>
          <w:color w:val="000000"/>
          <w:sz w:val="24"/>
        </w:rPr>
        <w:t>进账到白银市公共资源交易中心指定的账号，过期视为无效标。同时投标人须在投标文件中提交本项目投标保证金进帐单或电汇凭证等银行证明文件（复印件），否则视为无效投标。</w:t>
      </w:r>
    </w:p>
    <w:p>
      <w:pPr>
        <w:spacing w:line="500" w:lineRule="exact"/>
        <w:ind w:firstLine="480" w:firstLineChars="200"/>
        <w:rPr>
          <w:rFonts w:ascii="宋体" w:hAnsi="宋体"/>
          <w:color w:val="000000"/>
          <w:sz w:val="24"/>
        </w:rPr>
      </w:pPr>
      <w:r>
        <w:rPr>
          <w:rFonts w:hint="eastAsia" w:ascii="宋体" w:hAnsi="宋体"/>
          <w:sz w:val="24"/>
        </w:rPr>
        <w:t xml:space="preserve">（开户名称：白银市公共资源交易中心，开户银行：甘肃银行白银区支行 帐号：662202012635500020地点：白银市大十字友好路北侧白银公司办公楼对面) </w:t>
      </w:r>
      <w:r>
        <w:rPr>
          <w:rFonts w:hint="eastAsia" w:ascii="宋体" w:hAnsi="宋体"/>
          <w:color w:val="000000"/>
          <w:sz w:val="24"/>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未中标投标人的投标保证金，在中标结果公示7个工作日后且无异议，投标单位联系采购代理机构办理退还事宜。中标商的投标保证金待与采购人签订合同后即予无息退还。对于未能按要求交纳投标保证金的投标，招标人将视为非实质性响应招标文件的要求而予以拒绝，即为无效投标。</w:t>
      </w:r>
    </w:p>
    <w:p>
      <w:pPr>
        <w:spacing w:line="500" w:lineRule="exact"/>
        <w:ind w:firstLine="480" w:firstLineChars="200"/>
        <w:rPr>
          <w:rFonts w:ascii="宋体" w:hAnsi="宋体"/>
          <w:color w:val="000000"/>
          <w:sz w:val="24"/>
        </w:rPr>
      </w:pPr>
      <w:r>
        <w:rPr>
          <w:rFonts w:hint="eastAsia" w:ascii="宋体" w:hAnsi="宋体"/>
          <w:color w:val="000000"/>
          <w:sz w:val="24"/>
        </w:rPr>
        <w:t>如投标人有下列情况，投标保证金不予退还：</w:t>
      </w:r>
    </w:p>
    <w:p>
      <w:pPr>
        <w:spacing w:line="500" w:lineRule="exact"/>
        <w:ind w:firstLine="480" w:firstLineChars="200"/>
        <w:rPr>
          <w:rFonts w:ascii="宋体" w:hAnsi="宋体"/>
          <w:color w:val="000000"/>
          <w:sz w:val="24"/>
        </w:rPr>
      </w:pPr>
      <w:bookmarkStart w:id="128" w:name="_Toc139965341"/>
      <w:bookmarkStart w:id="129" w:name="_Toc128372068"/>
      <w:bookmarkStart w:id="130" w:name="_Toc128372746"/>
      <w:r>
        <w:rPr>
          <w:rFonts w:hint="eastAsia" w:ascii="宋体" w:hAnsi="宋体"/>
          <w:color w:val="000000"/>
          <w:sz w:val="24"/>
        </w:rPr>
        <w:t>（1）如果投标人在招标文件规定的投标有效期内撤回投标。</w:t>
      </w:r>
    </w:p>
    <w:p>
      <w:pPr>
        <w:spacing w:line="500" w:lineRule="exact"/>
        <w:ind w:firstLine="480" w:firstLineChars="200"/>
        <w:rPr>
          <w:rFonts w:ascii="宋体" w:hAnsi="宋体"/>
          <w:color w:val="000000"/>
          <w:sz w:val="24"/>
        </w:rPr>
      </w:pPr>
      <w:r>
        <w:rPr>
          <w:rFonts w:hint="eastAsia" w:ascii="宋体" w:hAnsi="宋体"/>
          <w:color w:val="000000"/>
          <w:sz w:val="24"/>
        </w:rPr>
        <w:t>（2）由于中标人的原因未能按照招标文件的规定与采购人签订合同。</w:t>
      </w:r>
    </w:p>
    <w:p>
      <w:pPr>
        <w:spacing w:line="500" w:lineRule="exact"/>
        <w:ind w:firstLine="480" w:firstLineChars="200"/>
        <w:rPr>
          <w:rFonts w:ascii="宋体" w:hAnsi="宋体"/>
          <w:color w:val="000000"/>
          <w:sz w:val="24"/>
        </w:rPr>
      </w:pPr>
      <w:r>
        <w:rPr>
          <w:rFonts w:hint="eastAsia" w:ascii="宋体" w:hAnsi="宋体"/>
          <w:color w:val="000000"/>
          <w:sz w:val="24"/>
        </w:rPr>
        <w:t>（3）由于中标人的原因未能按照招标文件的规定交纳履约质量保证金。</w:t>
      </w:r>
    </w:p>
    <w:p>
      <w:pPr>
        <w:spacing w:line="500" w:lineRule="exact"/>
        <w:ind w:firstLine="480" w:firstLineChars="200"/>
        <w:rPr>
          <w:rFonts w:ascii="宋体" w:hAnsi="宋体"/>
          <w:color w:val="000000"/>
          <w:sz w:val="24"/>
        </w:rPr>
      </w:pPr>
      <w:r>
        <w:rPr>
          <w:rFonts w:hint="eastAsia" w:ascii="宋体" w:hAnsi="宋体"/>
          <w:color w:val="000000"/>
          <w:sz w:val="24"/>
        </w:rPr>
        <w:t>（4）投标有效期内，投标人在政府采购活动中有违规、违纪和违法的行为。</w:t>
      </w:r>
    </w:p>
    <w:p>
      <w:pPr>
        <w:spacing w:line="500" w:lineRule="exact"/>
        <w:ind w:firstLine="480" w:firstLineChars="200"/>
        <w:rPr>
          <w:rFonts w:ascii="宋体" w:hAnsi="宋体"/>
          <w:color w:val="000000"/>
          <w:sz w:val="24"/>
        </w:rPr>
      </w:pPr>
      <w:r>
        <w:rPr>
          <w:rFonts w:hint="eastAsia" w:ascii="宋体" w:hAnsi="宋体"/>
          <w:color w:val="000000"/>
          <w:sz w:val="24"/>
        </w:rPr>
        <w:t>（5）在中标公示期内放弃中标结果的。</w:t>
      </w:r>
    </w:p>
    <w:p>
      <w:pPr>
        <w:pStyle w:val="4"/>
        <w:spacing w:line="500" w:lineRule="exact"/>
        <w:rPr>
          <w:color w:val="000000"/>
        </w:rPr>
      </w:pPr>
      <w:bookmarkStart w:id="131" w:name="_Toc453596819"/>
      <w:r>
        <w:rPr>
          <w:rFonts w:hint="eastAsia"/>
          <w:color w:val="000000"/>
        </w:rPr>
        <w:t>2.2.</w:t>
      </w:r>
      <w:bookmarkEnd w:id="128"/>
      <w:bookmarkEnd w:id="129"/>
      <w:bookmarkEnd w:id="130"/>
      <w:bookmarkStart w:id="132" w:name="_Toc128372069"/>
      <w:bookmarkStart w:id="133" w:name="_Toc128372747"/>
      <w:bookmarkStart w:id="134" w:name="_Toc139965342"/>
      <w:r>
        <w:rPr>
          <w:rFonts w:hint="eastAsia"/>
          <w:color w:val="000000"/>
        </w:rPr>
        <w:t>11投标文件的份数和签署</w:t>
      </w:r>
      <w:bookmarkEnd w:id="131"/>
      <w:bookmarkEnd w:id="132"/>
      <w:bookmarkEnd w:id="133"/>
      <w:bookmarkEnd w:id="134"/>
    </w:p>
    <w:p>
      <w:pPr>
        <w:spacing w:line="500" w:lineRule="exact"/>
        <w:ind w:firstLine="480" w:firstLineChars="200"/>
        <w:rPr>
          <w:rFonts w:ascii="宋体" w:hAnsi="宋体"/>
          <w:color w:val="000000"/>
          <w:sz w:val="24"/>
        </w:rPr>
      </w:pPr>
      <w:r>
        <w:rPr>
          <w:rFonts w:hint="eastAsia" w:ascii="宋体" w:hAnsi="宋体"/>
          <w:color w:val="000000"/>
          <w:sz w:val="24"/>
        </w:rPr>
        <w:t>投标人应编制正本（1份）、副本（2份）、电子版（1份）投标文件，并明确标明“正本”和“副本”“电子版”字样。投标文件正本和副本如有不一致之处，以正本为准。</w:t>
      </w:r>
    </w:p>
    <w:p>
      <w:pPr>
        <w:spacing w:line="500" w:lineRule="exact"/>
        <w:ind w:firstLine="480" w:firstLineChars="200"/>
        <w:rPr>
          <w:rFonts w:ascii="宋体" w:hAnsi="宋体"/>
          <w:color w:val="000000"/>
          <w:sz w:val="24"/>
        </w:rPr>
      </w:pPr>
      <w:r>
        <w:rPr>
          <w:rFonts w:hint="eastAsia" w:ascii="宋体" w:hAnsi="宋体"/>
          <w:color w:val="000000"/>
          <w:sz w:val="24"/>
        </w:rPr>
        <w:t>投标文件中除要求由投标人法定代表人或被授权人签字的内容必须签字、盖章外，其他每页也须加盖鲜章。投标文件应使用不能擦去的墨水打印或书写。全套投标文件应无涂改和行间插字，除非这些删改是根据招标人的指示进行的，或者是投标人造成的必须修改的错误。修改处应由投标文件签字人签字证明。</w:t>
      </w:r>
    </w:p>
    <w:p>
      <w:pPr>
        <w:pStyle w:val="4"/>
        <w:spacing w:line="500" w:lineRule="exact"/>
        <w:rPr>
          <w:color w:val="000000"/>
        </w:rPr>
      </w:pPr>
      <w:bookmarkStart w:id="135" w:name="_Toc453596820"/>
      <w:bookmarkStart w:id="136" w:name="_Toc139965344"/>
      <w:bookmarkStart w:id="137" w:name="_Toc128372749"/>
      <w:bookmarkStart w:id="138" w:name="_Toc128372071"/>
      <w:r>
        <w:rPr>
          <w:rFonts w:hint="eastAsia"/>
          <w:color w:val="000000"/>
        </w:rPr>
        <w:t>2.2.12 投标文件的密封</w:t>
      </w:r>
      <w:bookmarkEnd w:id="135"/>
      <w:bookmarkEnd w:id="136"/>
      <w:bookmarkEnd w:id="137"/>
      <w:bookmarkEnd w:id="138"/>
    </w:p>
    <w:p>
      <w:pPr>
        <w:spacing w:line="500" w:lineRule="exact"/>
        <w:ind w:firstLine="480" w:firstLineChars="200"/>
        <w:rPr>
          <w:rFonts w:ascii="宋体" w:hAnsi="宋体"/>
          <w:color w:val="000000"/>
          <w:sz w:val="24"/>
        </w:rPr>
      </w:pPr>
      <w:r>
        <w:rPr>
          <w:rFonts w:hint="eastAsia" w:ascii="宋体" w:hAnsi="宋体"/>
          <w:color w:val="000000"/>
          <w:sz w:val="24"/>
        </w:rPr>
        <w:t>投标人应将投标文件正、副本、电子版分别用标有“正本”和“副本”“电子版”字样的专用信封独立密封，并在信封上标明“项目名称”、“招标编号”、“投标商名称”（盖章）、“详细地址” 和“请勿于</w:t>
      </w:r>
      <w:r>
        <w:rPr>
          <w:rFonts w:hint="eastAsia" w:ascii="宋体" w:hAnsi="宋体"/>
          <w:sz w:val="24"/>
          <w:u w:val="single"/>
        </w:rPr>
        <w:t>2017年10月23日09:00</w:t>
      </w:r>
      <w:r>
        <w:rPr>
          <w:rFonts w:hint="eastAsia" w:ascii="宋体" w:hAnsi="宋体"/>
          <w:sz w:val="24"/>
        </w:rPr>
        <w:t>之</w:t>
      </w:r>
      <w:r>
        <w:rPr>
          <w:rFonts w:hint="eastAsia" w:ascii="宋体" w:hAnsi="宋体"/>
          <w:color w:val="000000"/>
          <w:sz w:val="24"/>
        </w:rPr>
        <w:t>前启封！</w:t>
      </w:r>
      <w:r>
        <w:rPr>
          <w:rFonts w:ascii="宋体" w:hAnsi="宋体"/>
          <w:color w:val="000000"/>
          <w:sz w:val="24"/>
        </w:rPr>
        <w:t>”</w:t>
      </w:r>
      <w:r>
        <w:rPr>
          <w:rFonts w:hint="eastAsia" w:ascii="宋体" w:hAnsi="宋体"/>
          <w:color w:val="000000"/>
          <w:sz w:val="24"/>
        </w:rPr>
        <w:t>（盖骑缝章）的提示警句等。如果外层包封没有按上述规定密封并加注标志，将被视为无效投标，且招标人将不承担投标文件错放或提前开封的责任。为方便招标人唱标，投标人请另做一份由投标人法定代表人或被授权人签字、盖投标人鲜章的书面投标报价表（格式见附件4），单独密封于一小信封内，（密封要求与投标文件密封要求相同），同投标文件一同单独递交。</w:t>
      </w:r>
    </w:p>
    <w:p>
      <w:pPr>
        <w:pStyle w:val="4"/>
        <w:spacing w:line="500" w:lineRule="exact"/>
        <w:ind w:firstLine="0" w:firstLineChars="0"/>
        <w:rPr>
          <w:color w:val="000000"/>
        </w:rPr>
      </w:pPr>
      <w:bookmarkStart w:id="139" w:name="_Toc139965345"/>
      <w:bookmarkStart w:id="140" w:name="_Toc128372072"/>
      <w:bookmarkStart w:id="141" w:name="_Toc128372750"/>
      <w:r>
        <w:rPr>
          <w:rFonts w:hint="eastAsia"/>
          <w:color w:val="000000"/>
          <w:lang w:val="en-US"/>
        </w:rPr>
        <w:t xml:space="preserve">     </w:t>
      </w:r>
      <w:bookmarkStart w:id="142" w:name="_Toc453596821"/>
      <w:r>
        <w:rPr>
          <w:rFonts w:hint="eastAsia"/>
          <w:color w:val="000000"/>
        </w:rPr>
        <w:t>2.2.13投标文件递交</w:t>
      </w:r>
      <w:bookmarkEnd w:id="139"/>
      <w:bookmarkEnd w:id="140"/>
      <w:bookmarkEnd w:id="141"/>
      <w:bookmarkEnd w:id="142"/>
    </w:p>
    <w:p>
      <w:pPr>
        <w:spacing w:line="500" w:lineRule="exact"/>
        <w:ind w:firstLine="480" w:firstLineChars="200"/>
        <w:rPr>
          <w:rFonts w:ascii="宋体" w:hAnsi="宋体"/>
          <w:sz w:val="24"/>
          <w:szCs w:val="30"/>
        </w:rPr>
      </w:pPr>
      <w:r>
        <w:rPr>
          <w:rFonts w:hint="eastAsia" w:ascii="宋体" w:hAnsi="宋体"/>
          <w:color w:val="000000"/>
          <w:sz w:val="24"/>
          <w:szCs w:val="30"/>
        </w:rPr>
        <w:t>投标文件应在投标文件递交时间内送达</w:t>
      </w:r>
      <w:r>
        <w:rPr>
          <w:rFonts w:hint="eastAsia" w:ascii="宋体" w:hAnsi="宋体"/>
          <w:color w:val="000000"/>
          <w:sz w:val="24"/>
        </w:rPr>
        <w:t>白银市公共资</w:t>
      </w:r>
      <w:r>
        <w:rPr>
          <w:rFonts w:hint="eastAsia" w:ascii="宋体" w:hAnsi="宋体"/>
          <w:sz w:val="24"/>
        </w:rPr>
        <w:t>源交易中心2楼第</w:t>
      </w:r>
      <w:r>
        <w:rPr>
          <w:rFonts w:hint="eastAsia" w:ascii="宋体" w:hAnsi="宋体"/>
          <w:sz w:val="24"/>
          <w:u w:val="single"/>
        </w:rPr>
        <w:t>2</w:t>
      </w:r>
      <w:r>
        <w:rPr>
          <w:rFonts w:hint="eastAsia" w:ascii="宋体" w:hAnsi="宋体"/>
          <w:sz w:val="24"/>
        </w:rPr>
        <w:t>开标室，招标</w:t>
      </w:r>
      <w:r>
        <w:rPr>
          <w:rFonts w:hint="eastAsia" w:ascii="宋体" w:hAnsi="宋体"/>
          <w:sz w:val="24"/>
          <w:szCs w:val="30"/>
        </w:rPr>
        <w:t>人将拒绝接受在投标截止时间后递交的投标文件。</w:t>
      </w:r>
    </w:p>
    <w:p>
      <w:pPr>
        <w:pStyle w:val="4"/>
        <w:spacing w:line="500" w:lineRule="exact"/>
        <w:ind w:firstLine="0" w:firstLineChars="0"/>
        <w:rPr>
          <w:color w:val="000000"/>
        </w:rPr>
      </w:pPr>
      <w:bookmarkStart w:id="143" w:name="_Toc139965346"/>
      <w:bookmarkStart w:id="144" w:name="_Toc128372073"/>
      <w:bookmarkStart w:id="145" w:name="_Toc128372751"/>
      <w:r>
        <w:rPr>
          <w:rFonts w:hint="eastAsia"/>
          <w:color w:val="000000"/>
          <w:lang w:val="en-US"/>
        </w:rPr>
        <w:t xml:space="preserve">    </w:t>
      </w:r>
      <w:bookmarkStart w:id="146" w:name="_Toc453596822"/>
      <w:r>
        <w:rPr>
          <w:rFonts w:hint="eastAsia"/>
          <w:color w:val="000000"/>
        </w:rPr>
        <w:t>2.2.14 投标</w:t>
      </w:r>
      <w:bookmarkEnd w:id="143"/>
      <w:bookmarkEnd w:id="144"/>
      <w:bookmarkEnd w:id="145"/>
      <w:r>
        <w:rPr>
          <w:rFonts w:hint="eastAsia"/>
          <w:color w:val="000000"/>
        </w:rPr>
        <w:t>文件递交时间</w:t>
      </w:r>
      <w:bookmarkEnd w:id="146"/>
    </w:p>
    <w:p>
      <w:pPr>
        <w:spacing w:line="500" w:lineRule="exact"/>
        <w:ind w:firstLine="480" w:firstLineChars="200"/>
        <w:rPr>
          <w:rFonts w:ascii="宋体" w:hAnsi="宋体"/>
          <w:color w:val="000000"/>
          <w:sz w:val="24"/>
        </w:rPr>
      </w:pPr>
      <w:r>
        <w:rPr>
          <w:rFonts w:hint="eastAsia" w:ascii="宋体" w:hAnsi="宋体"/>
          <w:color w:val="000000"/>
          <w:sz w:val="24"/>
        </w:rPr>
        <w:t>投标文件递交截止时间2017年10月</w:t>
      </w:r>
      <w:r>
        <w:rPr>
          <w:rFonts w:hint="eastAsia" w:ascii="宋体" w:hAnsi="宋体"/>
          <w:sz w:val="24"/>
        </w:rPr>
        <w:t>23日09时整</w:t>
      </w:r>
    </w:p>
    <w:p>
      <w:pPr>
        <w:spacing w:line="500" w:lineRule="exact"/>
        <w:ind w:firstLine="480" w:firstLineChars="200"/>
        <w:rPr>
          <w:rFonts w:ascii="宋体" w:hAnsi="宋体"/>
          <w:color w:val="000000"/>
          <w:sz w:val="24"/>
        </w:rPr>
      </w:pPr>
      <w:r>
        <w:rPr>
          <w:rFonts w:hint="eastAsia" w:ascii="宋体" w:hAnsi="宋体"/>
          <w:color w:val="000000"/>
          <w:sz w:val="24"/>
        </w:rPr>
        <w:t>招标人或代理机构可视具体情况，延长投标截止时间和开标时间，但应当在提交投标文件截止时间3日前。变更时间应当在《甘肃政府采购网》《白银市公共资源交易中心网》发布。</w:t>
      </w:r>
    </w:p>
    <w:p>
      <w:pPr>
        <w:spacing w:line="500" w:lineRule="exact"/>
        <w:ind w:firstLine="480" w:firstLineChars="200"/>
        <w:rPr>
          <w:rFonts w:ascii="宋体" w:hAnsi="宋体"/>
          <w:color w:val="000000"/>
          <w:sz w:val="24"/>
        </w:rPr>
      </w:pPr>
      <w:r>
        <w:rPr>
          <w:rFonts w:hint="eastAsia" w:ascii="宋体" w:hAnsi="宋体"/>
          <w:color w:val="000000"/>
          <w:sz w:val="24"/>
        </w:rPr>
        <w:t>投标人出现以下情况，采购人（代理机构）将拒收其递交的投标文件。</w:t>
      </w:r>
    </w:p>
    <w:p>
      <w:pPr>
        <w:spacing w:line="500" w:lineRule="exact"/>
        <w:ind w:firstLine="480" w:firstLineChars="200"/>
        <w:rPr>
          <w:rFonts w:ascii="宋体" w:hAnsi="宋体"/>
          <w:color w:val="000000"/>
          <w:sz w:val="24"/>
        </w:rPr>
      </w:pPr>
      <w:r>
        <w:rPr>
          <w:rFonts w:hint="eastAsia" w:ascii="宋体" w:hAnsi="宋体"/>
          <w:color w:val="000000"/>
          <w:sz w:val="24"/>
        </w:rPr>
        <w:t>（1）逾期送达投标文件的。</w:t>
      </w:r>
    </w:p>
    <w:p>
      <w:pPr>
        <w:spacing w:line="500" w:lineRule="exact"/>
        <w:ind w:firstLine="480" w:firstLineChars="200"/>
        <w:rPr>
          <w:rFonts w:ascii="宋体" w:hAnsi="宋体"/>
          <w:color w:val="000000"/>
          <w:sz w:val="24"/>
        </w:rPr>
      </w:pPr>
      <w:r>
        <w:rPr>
          <w:rFonts w:hint="eastAsia" w:ascii="宋体" w:hAnsi="宋体"/>
          <w:color w:val="000000"/>
          <w:sz w:val="24"/>
        </w:rPr>
        <w:t>（2）未按招标文件要求密封投标文件的。</w:t>
      </w:r>
    </w:p>
    <w:p>
      <w:pPr>
        <w:spacing w:line="500" w:lineRule="exact"/>
        <w:ind w:firstLine="480" w:firstLineChars="200"/>
        <w:rPr>
          <w:rFonts w:ascii="宋体" w:hAnsi="宋体"/>
          <w:color w:val="000000"/>
          <w:sz w:val="24"/>
        </w:rPr>
      </w:pPr>
      <w:r>
        <w:rPr>
          <w:rFonts w:hint="eastAsia" w:ascii="宋体" w:hAnsi="宋体"/>
          <w:color w:val="000000"/>
          <w:sz w:val="24"/>
        </w:rPr>
        <w:t>（3）未按规定交纳保证金的。</w:t>
      </w:r>
    </w:p>
    <w:p>
      <w:pPr>
        <w:spacing w:line="500" w:lineRule="exact"/>
        <w:ind w:firstLine="480" w:firstLineChars="200"/>
        <w:rPr>
          <w:rFonts w:ascii="宋体" w:hAnsi="宋体"/>
          <w:color w:val="000000"/>
          <w:sz w:val="24"/>
        </w:rPr>
      </w:pPr>
      <w:r>
        <w:rPr>
          <w:rFonts w:hint="eastAsia" w:ascii="宋体" w:hAnsi="宋体"/>
          <w:color w:val="000000"/>
          <w:sz w:val="24"/>
        </w:rPr>
        <w:t>（4）投标单位出席开标会议时，法定代表人不能出具法人代表证明材料的或授权代表不能出具授权委托书原件的。</w:t>
      </w:r>
    </w:p>
    <w:p>
      <w:pPr>
        <w:pStyle w:val="4"/>
        <w:spacing w:line="500" w:lineRule="exact"/>
        <w:rPr>
          <w:color w:val="000000"/>
        </w:rPr>
      </w:pPr>
      <w:bookmarkStart w:id="147" w:name="_Toc128372074"/>
      <w:bookmarkStart w:id="148" w:name="_Toc128372752"/>
      <w:bookmarkStart w:id="149" w:name="_Toc139965347"/>
      <w:bookmarkStart w:id="150" w:name="_Toc453596823"/>
      <w:r>
        <w:rPr>
          <w:rFonts w:hint="eastAsia"/>
          <w:color w:val="000000"/>
        </w:rPr>
        <w:t>2.2.15 投标文件的修改与撤回</w:t>
      </w:r>
      <w:bookmarkEnd w:id="147"/>
      <w:bookmarkEnd w:id="148"/>
      <w:bookmarkEnd w:id="149"/>
      <w:bookmarkEnd w:id="150"/>
    </w:p>
    <w:p>
      <w:pPr>
        <w:spacing w:line="500" w:lineRule="exact"/>
        <w:ind w:firstLine="480" w:firstLineChars="200"/>
        <w:rPr>
          <w:rFonts w:ascii="宋体" w:hAnsi="宋体"/>
          <w:color w:val="000000"/>
          <w:sz w:val="24"/>
        </w:rPr>
      </w:pPr>
      <w:r>
        <w:rPr>
          <w:rFonts w:hint="eastAsia" w:ascii="宋体" w:hAnsi="宋体"/>
          <w:color w:val="000000"/>
          <w:sz w:val="24"/>
        </w:rPr>
        <w:t>投标人可以在递交投标文件以后，在规定的投标截止时间之前，可以书面形式向招标人递交修改或撤回其投标文件的通知。在投标截止时间以后，不能更改投标文件。</w:t>
      </w:r>
    </w:p>
    <w:p>
      <w:pPr>
        <w:spacing w:line="500" w:lineRule="exact"/>
        <w:ind w:firstLine="480" w:firstLineChars="200"/>
        <w:rPr>
          <w:rFonts w:ascii="宋体" w:hAnsi="宋体"/>
          <w:color w:val="000000"/>
          <w:sz w:val="24"/>
        </w:rPr>
      </w:pPr>
      <w:r>
        <w:rPr>
          <w:rFonts w:hint="eastAsia" w:ascii="宋体" w:hAnsi="宋体"/>
          <w:color w:val="000000"/>
          <w:sz w:val="24"/>
        </w:rPr>
        <w:t>投标人的修改或撤回通知，应单独密封在一个信封中，在信封上注明“修改”或“撤回”的字样。同时，信封上还须按投标文件的密封要求加写标志。</w:t>
      </w:r>
    </w:p>
    <w:p>
      <w:pPr>
        <w:pStyle w:val="3"/>
        <w:spacing w:line="500" w:lineRule="exact"/>
        <w:ind w:firstLine="482" w:firstLineChars="200"/>
        <w:jc w:val="both"/>
        <w:rPr>
          <w:rFonts w:ascii="宋体" w:hAnsi="宋体"/>
          <w:color w:val="000000"/>
          <w:sz w:val="24"/>
        </w:rPr>
      </w:pPr>
      <w:bookmarkStart w:id="151" w:name="_Toc128372753"/>
      <w:bookmarkStart w:id="152" w:name="_Toc139965348"/>
      <w:bookmarkStart w:id="153" w:name="_Toc453596824"/>
      <w:bookmarkStart w:id="154" w:name="_Toc128372075"/>
      <w:r>
        <w:rPr>
          <w:rFonts w:hint="eastAsia" w:ascii="宋体" w:hAnsi="宋体"/>
          <w:color w:val="000000"/>
          <w:sz w:val="24"/>
        </w:rPr>
        <w:t>2.3 开标</w:t>
      </w:r>
      <w:bookmarkEnd w:id="151"/>
      <w:bookmarkEnd w:id="152"/>
      <w:bookmarkEnd w:id="153"/>
      <w:bookmarkEnd w:id="154"/>
    </w:p>
    <w:p>
      <w:pPr>
        <w:spacing w:line="500" w:lineRule="exact"/>
        <w:ind w:firstLine="480" w:firstLineChars="200"/>
        <w:rPr>
          <w:rFonts w:ascii="宋体" w:hAnsi="宋体"/>
          <w:color w:val="000000"/>
          <w:sz w:val="24"/>
        </w:rPr>
      </w:pPr>
      <w:r>
        <w:rPr>
          <w:rFonts w:hint="eastAsia" w:ascii="宋体" w:hAnsi="宋体"/>
          <w:color w:val="000000"/>
          <w:sz w:val="24"/>
        </w:rPr>
        <w:t>招标人将于规定的开标时间和地点举行开标会议，投标人的法定代表人或授权代表人必须参加开标会议。</w:t>
      </w:r>
    </w:p>
    <w:p>
      <w:pPr>
        <w:spacing w:line="500" w:lineRule="exact"/>
        <w:ind w:firstLine="480" w:firstLineChars="200"/>
        <w:rPr>
          <w:rFonts w:ascii="宋体" w:hAnsi="宋体"/>
          <w:color w:val="000000"/>
          <w:sz w:val="24"/>
        </w:rPr>
      </w:pPr>
      <w:r>
        <w:rPr>
          <w:rFonts w:hint="eastAsia" w:ascii="宋体" w:hAnsi="宋体"/>
          <w:color w:val="000000"/>
          <w:sz w:val="24"/>
        </w:rPr>
        <w:t>开标会议在有关监督部门的监督下，由招标人组织并主持，对投标文件进行检查，除投标截止时间前递交合格撤回通知的投标文件不予开封外，将检查投标文件是否符合投标文件的密封要求。</w:t>
      </w:r>
    </w:p>
    <w:p>
      <w:pPr>
        <w:spacing w:line="500" w:lineRule="exact"/>
        <w:ind w:firstLine="480" w:firstLineChars="200"/>
        <w:rPr>
          <w:rFonts w:ascii="宋体" w:hAnsi="宋体"/>
          <w:color w:val="000000"/>
          <w:sz w:val="24"/>
        </w:rPr>
      </w:pPr>
      <w:r>
        <w:rPr>
          <w:rFonts w:hint="eastAsia" w:ascii="宋体" w:hAnsi="宋体"/>
          <w:color w:val="000000"/>
          <w:sz w:val="24"/>
        </w:rPr>
        <w:t>开标后，将由招标人按照递交投标文件的逆顺序公开宣读有效投标人的投标报价表所有内容，以及招标人认为必要的其它内容。</w:t>
      </w:r>
    </w:p>
    <w:p>
      <w:pPr>
        <w:spacing w:line="500" w:lineRule="exact"/>
        <w:ind w:firstLine="480" w:firstLineChars="200"/>
        <w:rPr>
          <w:rFonts w:ascii="宋体" w:hAnsi="宋体"/>
          <w:color w:val="000000"/>
          <w:sz w:val="24"/>
        </w:rPr>
      </w:pPr>
      <w:r>
        <w:rPr>
          <w:rFonts w:hint="eastAsia" w:ascii="宋体" w:hAnsi="宋体"/>
          <w:color w:val="000000"/>
          <w:sz w:val="24"/>
        </w:rPr>
        <w:t>招标人有权就投标文件中含混之处向投标人提出询问或澄清要求。</w:t>
      </w:r>
    </w:p>
    <w:p>
      <w:pPr>
        <w:spacing w:line="500" w:lineRule="exact"/>
        <w:ind w:firstLine="480" w:firstLineChars="200"/>
        <w:rPr>
          <w:rFonts w:ascii="宋体" w:hAnsi="宋体"/>
          <w:color w:val="000000"/>
          <w:sz w:val="24"/>
        </w:rPr>
      </w:pPr>
      <w:r>
        <w:rPr>
          <w:rFonts w:hint="eastAsia" w:ascii="宋体" w:hAnsi="宋体"/>
          <w:color w:val="000000"/>
          <w:sz w:val="24"/>
        </w:rPr>
        <w:t>公开开标后，直到向中标的投标人授予合同时止，凡与审查、澄清、评价和比较投标的有关资料以及授标意见等均不得向投标人及与投标无关的其他人透露。</w:t>
      </w:r>
    </w:p>
    <w:p>
      <w:pPr>
        <w:keepNext/>
        <w:keepLines/>
        <w:spacing w:before="260" w:after="260" w:line="500" w:lineRule="exact"/>
        <w:ind w:firstLine="482" w:firstLineChars="200"/>
        <w:outlineLvl w:val="1"/>
        <w:rPr>
          <w:rFonts w:ascii="宋体" w:hAnsi="宋体"/>
          <w:b/>
          <w:bCs/>
          <w:color w:val="000000"/>
          <w:sz w:val="24"/>
          <w:szCs w:val="32"/>
        </w:rPr>
      </w:pPr>
      <w:bookmarkStart w:id="155" w:name="_Toc453596825"/>
      <w:r>
        <w:rPr>
          <w:rFonts w:hint="eastAsia" w:ascii="宋体" w:hAnsi="宋体"/>
          <w:b/>
          <w:bCs/>
          <w:color w:val="000000"/>
          <w:sz w:val="24"/>
          <w:szCs w:val="32"/>
        </w:rPr>
        <w:t>2.4评标</w:t>
      </w:r>
      <w:bookmarkEnd w:id="155"/>
    </w:p>
    <w:p>
      <w:pPr>
        <w:spacing w:line="500" w:lineRule="exact"/>
        <w:ind w:firstLine="480" w:firstLineChars="200"/>
        <w:rPr>
          <w:rFonts w:ascii="宋体" w:hAnsi="宋体"/>
          <w:color w:val="000000"/>
          <w:sz w:val="24"/>
        </w:rPr>
      </w:pPr>
      <w:r>
        <w:rPr>
          <w:rFonts w:hint="eastAsia" w:ascii="宋体" w:hAnsi="宋体"/>
          <w:color w:val="000000"/>
          <w:sz w:val="24"/>
        </w:rPr>
        <w:t>评标工作由招标人依法组建的评标委员会（以下简称评委会）负责。</w:t>
      </w:r>
    </w:p>
    <w:p>
      <w:pPr>
        <w:spacing w:line="500" w:lineRule="exact"/>
        <w:ind w:firstLine="480" w:firstLineChars="200"/>
        <w:rPr>
          <w:rFonts w:ascii="宋体" w:hAnsi="宋体"/>
          <w:sz w:val="24"/>
        </w:rPr>
      </w:pPr>
      <w:r>
        <w:rPr>
          <w:rFonts w:hint="eastAsia" w:ascii="宋体" w:hAnsi="宋体"/>
          <w:color w:val="000000"/>
          <w:sz w:val="24"/>
        </w:rPr>
        <w:t>评委</w:t>
      </w:r>
      <w:r>
        <w:rPr>
          <w:rFonts w:hint="eastAsia" w:ascii="宋体" w:hAnsi="宋体"/>
          <w:sz w:val="24"/>
        </w:rPr>
        <w:t>会严格按照《政府采购货物和服务招标投标管理办法》（财政部第18号令）规定的程序和招标文件规定的评分办法及标准对投标文件进行评审打分。</w:t>
      </w:r>
    </w:p>
    <w:p>
      <w:pPr>
        <w:spacing w:line="500" w:lineRule="exact"/>
        <w:ind w:firstLine="480" w:firstLineChars="200"/>
        <w:rPr>
          <w:rFonts w:ascii="宋体" w:hAnsi="宋体"/>
          <w:color w:val="000000"/>
          <w:sz w:val="24"/>
        </w:rPr>
      </w:pPr>
      <w:r>
        <w:rPr>
          <w:rFonts w:hint="eastAsia" w:ascii="宋体" w:hAnsi="宋体"/>
          <w:color w:val="000000"/>
          <w:sz w:val="24"/>
        </w:rPr>
        <w:t>评标过程严格保密。投标人对评委会的评标过程或合同授予决定施加影响的任何行为都可能导致其投标被拒绝。</w:t>
      </w:r>
    </w:p>
    <w:p>
      <w:pPr>
        <w:spacing w:line="500" w:lineRule="exact"/>
        <w:ind w:firstLine="480" w:firstLineChars="200"/>
        <w:rPr>
          <w:rFonts w:ascii="宋体" w:hAnsi="宋体"/>
          <w:color w:val="000000"/>
          <w:sz w:val="24"/>
        </w:rPr>
      </w:pPr>
      <w:r>
        <w:rPr>
          <w:rFonts w:hint="eastAsia" w:ascii="宋体" w:hAnsi="宋体"/>
          <w:color w:val="000000"/>
          <w:sz w:val="24"/>
        </w:rPr>
        <w:t>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500" w:lineRule="exact"/>
        <w:ind w:firstLine="480" w:firstLineChars="200"/>
        <w:rPr>
          <w:rFonts w:ascii="宋体" w:hAnsi="宋体"/>
          <w:color w:val="000000"/>
          <w:sz w:val="24"/>
        </w:rPr>
      </w:pPr>
      <w:r>
        <w:rPr>
          <w:rFonts w:hint="eastAsia" w:ascii="宋体" w:hAnsi="宋体"/>
          <w:color w:val="000000"/>
          <w:sz w:val="24"/>
        </w:rPr>
        <w:t>评委会认定实质性响应招标文件的投标是投标文件与招标文件要求的全部条款、条件和规格相符，没有实质性负偏离。评委会决定投标文件的响应性依据投标文件本身的内容，而不寻求外部的证据。</w:t>
      </w:r>
    </w:p>
    <w:p>
      <w:pPr>
        <w:spacing w:line="500" w:lineRule="exact"/>
        <w:ind w:firstLine="480" w:firstLineChars="200"/>
        <w:rPr>
          <w:rFonts w:ascii="宋体" w:hAnsi="宋体"/>
          <w:color w:val="000000"/>
          <w:sz w:val="24"/>
        </w:rPr>
      </w:pPr>
      <w:r>
        <w:rPr>
          <w:rFonts w:hint="eastAsia" w:ascii="宋体" w:hAnsi="宋体"/>
          <w:color w:val="000000"/>
          <w:sz w:val="24"/>
        </w:rPr>
        <w:t>如果投标文件没有实质性响应招标文件的要求，评委会将予以拒绝。投标人不得通过修正或撤消不合要求的偏离或保留从而使其投标成为实质性响应的投标。</w:t>
      </w:r>
    </w:p>
    <w:p>
      <w:pPr>
        <w:spacing w:line="500" w:lineRule="exact"/>
        <w:ind w:firstLine="480" w:firstLineChars="200"/>
        <w:rPr>
          <w:rFonts w:ascii="宋体" w:hAnsi="宋体"/>
          <w:color w:val="000000"/>
          <w:sz w:val="24"/>
        </w:rPr>
      </w:pPr>
      <w:r>
        <w:rPr>
          <w:rFonts w:hint="eastAsia" w:ascii="宋体" w:hAnsi="宋体"/>
          <w:color w:val="000000"/>
          <w:sz w:val="24"/>
        </w:rPr>
        <w:t>评委会只对确定为实质性响应招标文件要求的投标文件，根据招标文件的要求采用相同的评标程序、评分办法及标准进行评价和比较。</w:t>
      </w:r>
    </w:p>
    <w:p>
      <w:pPr>
        <w:spacing w:line="500" w:lineRule="exact"/>
        <w:ind w:firstLine="480" w:firstLineChars="200"/>
        <w:rPr>
          <w:rFonts w:ascii="宋体" w:hAnsi="宋体"/>
          <w:color w:val="000000"/>
          <w:sz w:val="24"/>
        </w:rPr>
      </w:pPr>
      <w:r>
        <w:rPr>
          <w:rFonts w:hint="eastAsia" w:ascii="宋体" w:hAnsi="宋体"/>
          <w:color w:val="000000"/>
          <w:sz w:val="24"/>
        </w:rPr>
        <w:t>投标文件属于下列情况的，在资格性、符合性检查时按照无效投标处理：</w:t>
      </w:r>
    </w:p>
    <w:p>
      <w:pPr>
        <w:spacing w:line="500" w:lineRule="exact"/>
        <w:ind w:firstLine="480" w:firstLineChars="200"/>
        <w:rPr>
          <w:rFonts w:ascii="宋体" w:hAnsi="宋体"/>
          <w:color w:val="000000"/>
          <w:sz w:val="24"/>
        </w:rPr>
      </w:pPr>
      <w:r>
        <w:rPr>
          <w:rFonts w:hint="eastAsia" w:ascii="宋体" w:hAnsi="宋体"/>
          <w:color w:val="000000"/>
          <w:sz w:val="24"/>
        </w:rPr>
        <w:t>（1）未按照招标文件规定交纳投标保证金的；</w:t>
      </w:r>
    </w:p>
    <w:p>
      <w:pPr>
        <w:spacing w:line="500" w:lineRule="exact"/>
        <w:ind w:firstLine="480" w:firstLineChars="200"/>
        <w:rPr>
          <w:rFonts w:ascii="宋体" w:hAnsi="宋体"/>
          <w:color w:val="000000"/>
          <w:sz w:val="24"/>
        </w:rPr>
      </w:pPr>
      <w:r>
        <w:rPr>
          <w:rFonts w:hint="eastAsia" w:ascii="宋体" w:hAnsi="宋体"/>
          <w:color w:val="000000"/>
          <w:sz w:val="24"/>
        </w:rPr>
        <w:t>（2）未按照招标文件规定和要求密封、签署、盖章的;</w:t>
      </w:r>
    </w:p>
    <w:p>
      <w:pPr>
        <w:spacing w:line="500" w:lineRule="exact"/>
        <w:ind w:firstLine="480" w:firstLineChars="200"/>
        <w:rPr>
          <w:rFonts w:ascii="宋体" w:hAnsi="宋体"/>
          <w:color w:val="000000"/>
          <w:sz w:val="24"/>
        </w:rPr>
      </w:pPr>
      <w:r>
        <w:rPr>
          <w:rFonts w:hint="eastAsia" w:ascii="宋体" w:hAnsi="宋体"/>
          <w:color w:val="000000"/>
          <w:sz w:val="24"/>
        </w:rPr>
        <w:t>（3）不具备招标文件中规定的资格条件和要求的;</w:t>
      </w:r>
    </w:p>
    <w:p>
      <w:pPr>
        <w:spacing w:line="500" w:lineRule="exact"/>
        <w:ind w:firstLine="480" w:firstLineChars="200"/>
        <w:rPr>
          <w:rFonts w:ascii="宋体" w:hAnsi="宋体"/>
          <w:color w:val="000000"/>
          <w:sz w:val="24"/>
        </w:rPr>
      </w:pPr>
      <w:r>
        <w:rPr>
          <w:rFonts w:hint="eastAsia" w:ascii="宋体" w:hAnsi="宋体"/>
          <w:color w:val="000000"/>
          <w:sz w:val="24"/>
        </w:rPr>
        <w:t>（4）未按照招标文件规定的格式要求编制的；</w:t>
      </w:r>
    </w:p>
    <w:p>
      <w:pPr>
        <w:spacing w:line="500" w:lineRule="exact"/>
        <w:ind w:firstLine="480" w:firstLineChars="200"/>
        <w:rPr>
          <w:rFonts w:ascii="宋体" w:hAnsi="宋体"/>
          <w:color w:val="000000"/>
          <w:sz w:val="24"/>
        </w:rPr>
      </w:pPr>
      <w:r>
        <w:rPr>
          <w:rFonts w:hint="eastAsia" w:ascii="宋体" w:hAnsi="宋体"/>
          <w:color w:val="000000"/>
          <w:sz w:val="24"/>
        </w:rPr>
        <w:t>（5）不符合法律法规和招标文件中规定的其他实质性要求的；</w:t>
      </w:r>
    </w:p>
    <w:p>
      <w:pPr>
        <w:spacing w:line="500" w:lineRule="exact"/>
        <w:ind w:firstLine="480" w:firstLineChars="200"/>
        <w:rPr>
          <w:rFonts w:ascii="宋体" w:hAnsi="宋体"/>
          <w:color w:val="000000"/>
          <w:sz w:val="24"/>
        </w:rPr>
      </w:pPr>
      <w:r>
        <w:rPr>
          <w:rFonts w:hint="eastAsia" w:ascii="宋体" w:hAnsi="宋体"/>
          <w:color w:val="000000"/>
          <w:sz w:val="24"/>
        </w:rPr>
        <w:t>（6）招标文件规定的其他无效投标情形。</w:t>
      </w:r>
    </w:p>
    <w:p>
      <w:pPr>
        <w:spacing w:line="500" w:lineRule="exact"/>
        <w:ind w:firstLine="480" w:firstLineChars="200"/>
        <w:rPr>
          <w:rFonts w:ascii="宋体" w:hAnsi="宋体"/>
          <w:color w:val="000000"/>
          <w:sz w:val="24"/>
        </w:rPr>
      </w:pPr>
      <w:r>
        <w:rPr>
          <w:rFonts w:hint="eastAsia" w:ascii="宋体" w:hAnsi="宋体"/>
          <w:color w:val="000000"/>
          <w:sz w:val="24"/>
        </w:rPr>
        <w:t>2.4.1变更采购方式后采用的评标方法</w:t>
      </w:r>
    </w:p>
    <w:p>
      <w:pPr>
        <w:spacing w:line="500" w:lineRule="exact"/>
        <w:ind w:firstLine="480" w:firstLineChars="200"/>
        <w:rPr>
          <w:rFonts w:ascii="宋体" w:hAnsi="宋体"/>
          <w:color w:val="000000"/>
          <w:sz w:val="24"/>
        </w:rPr>
      </w:pPr>
      <w:r>
        <w:rPr>
          <w:rFonts w:hint="eastAsia" w:ascii="宋体" w:hAnsi="宋体"/>
          <w:color w:val="000000"/>
          <w:sz w:val="24"/>
        </w:rPr>
        <w:t>经同级政府采购监管部门审核批准由公开招标变更为竞争性谈判或单一来源方式采购后，原采用 “综合评分法”的项目将选择“最低评标价法”作为评标方法。</w:t>
      </w:r>
    </w:p>
    <w:p>
      <w:pPr>
        <w:keepNext/>
        <w:keepLines/>
        <w:spacing w:before="260" w:after="260" w:line="500" w:lineRule="exact"/>
        <w:ind w:firstLine="482" w:firstLineChars="200"/>
        <w:outlineLvl w:val="1"/>
        <w:rPr>
          <w:rFonts w:ascii="宋体" w:hAnsi="宋体"/>
          <w:b/>
          <w:bCs/>
          <w:color w:val="000000"/>
          <w:sz w:val="24"/>
          <w:szCs w:val="32"/>
        </w:rPr>
      </w:pPr>
      <w:bookmarkStart w:id="156" w:name="_Toc453596826"/>
      <w:r>
        <w:rPr>
          <w:rFonts w:hint="eastAsia" w:ascii="宋体" w:hAnsi="宋体"/>
          <w:b/>
          <w:bCs/>
          <w:color w:val="000000"/>
          <w:sz w:val="24"/>
          <w:szCs w:val="32"/>
        </w:rPr>
        <w:t>2.5定标</w:t>
      </w:r>
      <w:bookmarkEnd w:id="156"/>
    </w:p>
    <w:p>
      <w:pPr>
        <w:spacing w:line="500" w:lineRule="exact"/>
        <w:ind w:firstLine="482" w:firstLineChars="200"/>
        <w:rPr>
          <w:rFonts w:ascii="宋体" w:hAnsi="宋体"/>
          <w:b/>
          <w:color w:val="000000"/>
          <w:sz w:val="24"/>
        </w:rPr>
      </w:pPr>
      <w:r>
        <w:rPr>
          <w:rFonts w:hint="eastAsia" w:ascii="宋体" w:hAnsi="宋体"/>
          <w:b/>
          <w:color w:val="000000"/>
          <w:sz w:val="24"/>
        </w:rPr>
        <w:t>定标原则</w:t>
      </w:r>
    </w:p>
    <w:p>
      <w:pPr>
        <w:spacing w:line="500" w:lineRule="exact"/>
        <w:ind w:firstLine="480" w:firstLineChars="200"/>
        <w:rPr>
          <w:rFonts w:ascii="宋体" w:hAnsi="宋体"/>
          <w:color w:val="000000"/>
          <w:sz w:val="24"/>
        </w:rPr>
      </w:pPr>
      <w:r>
        <w:rPr>
          <w:rFonts w:hint="eastAsia" w:ascii="宋体" w:hAnsi="宋体"/>
          <w:color w:val="000000"/>
          <w:sz w:val="24"/>
        </w:rPr>
        <w:t>根据评委会推荐的中标候选人名单，按顺序确定中标人。</w:t>
      </w:r>
    </w:p>
    <w:p>
      <w:pPr>
        <w:spacing w:line="500" w:lineRule="exact"/>
        <w:ind w:firstLine="480" w:firstLineChars="200"/>
        <w:rPr>
          <w:rFonts w:ascii="宋体" w:hAnsi="宋体"/>
          <w:color w:val="000000"/>
          <w:sz w:val="24"/>
        </w:rPr>
      </w:pPr>
      <w:r>
        <w:rPr>
          <w:rFonts w:hint="eastAsia" w:ascii="宋体" w:hAnsi="宋体"/>
          <w:color w:val="000000"/>
          <w:sz w:val="24"/>
        </w:rPr>
        <w:t>评标方法分为综合评分法和最低价评价法。</w:t>
      </w:r>
    </w:p>
    <w:p>
      <w:pPr>
        <w:spacing w:line="500" w:lineRule="exact"/>
        <w:ind w:firstLine="480" w:firstLineChars="200"/>
        <w:rPr>
          <w:rFonts w:ascii="宋体" w:hAnsi="宋体"/>
          <w:sz w:val="24"/>
        </w:rPr>
      </w:pPr>
      <w:r>
        <w:rPr>
          <w:rFonts w:hint="eastAsia" w:ascii="宋体" w:hAnsi="宋体"/>
          <w:color w:val="000000"/>
          <w:sz w:val="24"/>
        </w:rPr>
        <w:t>综合评分法：是指在最大限度地满足招标文件实质性要求前提下，按照招标文件中规定的各项因素进行综合评审后，以评标总得分最高的投标人</w:t>
      </w:r>
      <w:r>
        <w:rPr>
          <w:rFonts w:hint="eastAsia" w:ascii="宋体" w:hAnsi="宋体"/>
          <w:sz w:val="24"/>
        </w:rPr>
        <w:t>作为拟中标供应商。综合评分法中的价格分统一采用低价优先法计算，即满足招标文件要求且合理的最低评标价为评标基准价，其价格分为满分。其他投标人的价格分统一按照下列公式计算：评标价得分＝（评标基准价/评标价）×价格权值×100%。</w:t>
      </w:r>
    </w:p>
    <w:p>
      <w:pPr>
        <w:spacing w:line="500" w:lineRule="exact"/>
        <w:ind w:firstLine="480" w:firstLineChars="200"/>
        <w:rPr>
          <w:rFonts w:ascii="宋体" w:hAnsi="宋体"/>
          <w:sz w:val="24"/>
        </w:rPr>
      </w:pPr>
      <w:r>
        <w:rPr>
          <w:rFonts w:ascii="宋体" w:hAnsi="宋体"/>
          <w:sz w:val="24"/>
        </w:rPr>
        <w:t>最低评标价法</w:t>
      </w:r>
      <w:r>
        <w:rPr>
          <w:rFonts w:hint="eastAsia" w:ascii="宋体" w:hAnsi="宋体"/>
          <w:sz w:val="24"/>
        </w:rPr>
        <w:t>：</w:t>
      </w:r>
      <w:r>
        <w:rPr>
          <w:rFonts w:ascii="宋体" w:hAnsi="宋体"/>
          <w:sz w:val="24"/>
        </w:rPr>
        <w:t>是指投标文件满足招标文件全部实质性要求且评标价最低的供应商为中标候选人的评标方法。</w:t>
      </w:r>
      <w:r>
        <w:rPr>
          <w:rFonts w:hint="eastAsia" w:ascii="宋体" w:hAnsi="宋体"/>
          <w:sz w:val="24"/>
        </w:rPr>
        <w:t>综合评分法</w:t>
      </w:r>
      <w:r>
        <w:rPr>
          <w:rFonts w:ascii="宋体" w:hAnsi="宋体"/>
          <w:sz w:val="24"/>
        </w:rPr>
        <w:t>，是指投标文件满足招标文件全部实质性要求且按照评审因素的量化指标评审得分最高的供应商为中标候选人的评标方法。</w:t>
      </w:r>
    </w:p>
    <w:p>
      <w:pPr>
        <w:spacing w:line="500" w:lineRule="exact"/>
        <w:ind w:firstLine="480" w:firstLineChars="200"/>
        <w:rPr>
          <w:rFonts w:ascii="宋体" w:hAnsi="宋体"/>
          <w:b/>
          <w:color w:val="000000"/>
          <w:sz w:val="24"/>
        </w:rPr>
      </w:pPr>
      <w:r>
        <w:rPr>
          <w:rFonts w:hint="eastAsia" w:ascii="宋体" w:hAnsi="宋体"/>
          <w:sz w:val="24"/>
        </w:rPr>
        <w:t>对中小微企业执行财库【2011】181号及工信部联企业【2011】300号文件的规定，对其投标报价按6%扣除后的价格作为其评标价。不符合财库【2011】181号及工信部联企业【2011】300号文件的规定企业的产品价格不予扣除,</w:t>
      </w:r>
      <w:r>
        <w:rPr>
          <w:rFonts w:hint="eastAsia" w:ascii="宋体" w:hAnsi="宋体"/>
        </w:rPr>
        <w:t xml:space="preserve"> </w:t>
      </w:r>
      <w:r>
        <w:rPr>
          <w:rFonts w:hint="eastAsia" w:ascii="宋体" w:hAnsi="宋体"/>
          <w:sz w:val="24"/>
        </w:rPr>
        <w:t>其投标报价即为评标价。</w:t>
      </w:r>
      <w:r>
        <w:rPr>
          <w:rFonts w:ascii="宋体" w:hAnsi="宋体"/>
          <w:sz w:val="24"/>
        </w:rPr>
        <w:br w:type="textWrapping"/>
      </w:r>
      <w:r>
        <w:rPr>
          <w:rFonts w:hint="eastAsia" w:ascii="宋体" w:hAnsi="宋体"/>
          <w:b/>
          <w:color w:val="000000"/>
          <w:sz w:val="24"/>
        </w:rPr>
        <w:t>定标程序</w:t>
      </w:r>
    </w:p>
    <w:p>
      <w:pPr>
        <w:spacing w:line="500" w:lineRule="exact"/>
        <w:ind w:firstLine="480" w:firstLineChars="200"/>
        <w:rPr>
          <w:rFonts w:ascii="宋体" w:hAnsi="宋体"/>
          <w:color w:val="000000"/>
          <w:sz w:val="24"/>
        </w:rPr>
      </w:pPr>
      <w:r>
        <w:rPr>
          <w:rFonts w:hint="eastAsia" w:ascii="宋体" w:hAnsi="宋体"/>
          <w:color w:val="000000"/>
          <w:sz w:val="24"/>
        </w:rPr>
        <w:t>评委会将评标情况写出书面报告，按照综合得分高低标明排列顺序。综合得分相同的，按投标报价由低到高顺序排列。得分且投标报价相同的，按技术指标优劣顺序排列。</w:t>
      </w:r>
    </w:p>
    <w:p>
      <w:pPr>
        <w:spacing w:line="500" w:lineRule="exact"/>
        <w:ind w:firstLine="480" w:firstLineChars="200"/>
        <w:rPr>
          <w:rFonts w:ascii="宋体" w:hAnsi="宋体"/>
          <w:color w:val="000000"/>
          <w:sz w:val="24"/>
        </w:rPr>
      </w:pPr>
      <w:r>
        <w:rPr>
          <w:rFonts w:hint="eastAsia" w:ascii="宋体" w:hAnsi="宋体"/>
          <w:color w:val="000000"/>
          <w:sz w:val="24"/>
        </w:rPr>
        <w:t>评标报告是评标委员会根据全体评标成员签字的原始评标记录和评标结果编写的报告，主要内容包括：</w:t>
      </w:r>
    </w:p>
    <w:p>
      <w:pPr>
        <w:spacing w:line="500" w:lineRule="exact"/>
        <w:ind w:firstLine="480" w:firstLineChars="200"/>
        <w:rPr>
          <w:rFonts w:ascii="宋体" w:hAnsi="宋体"/>
          <w:color w:val="000000"/>
          <w:sz w:val="24"/>
        </w:rPr>
      </w:pPr>
      <w:r>
        <w:rPr>
          <w:rFonts w:hint="eastAsia" w:ascii="宋体" w:hAnsi="宋体"/>
          <w:color w:val="000000"/>
          <w:sz w:val="24"/>
        </w:rPr>
        <w:t>1）招标公告刊登的媒体名称、开标日期和地点；</w:t>
      </w:r>
    </w:p>
    <w:p>
      <w:pPr>
        <w:spacing w:line="500" w:lineRule="exact"/>
        <w:ind w:firstLine="480" w:firstLineChars="200"/>
        <w:rPr>
          <w:rFonts w:ascii="宋体" w:hAnsi="宋体"/>
          <w:color w:val="000000"/>
          <w:sz w:val="24"/>
        </w:rPr>
      </w:pPr>
      <w:r>
        <w:rPr>
          <w:rFonts w:hint="eastAsia" w:ascii="宋体" w:hAnsi="宋体"/>
          <w:color w:val="000000"/>
          <w:sz w:val="24"/>
        </w:rPr>
        <w:t>2）购买招标文件的投标人名单和评标委员会成员名单；</w:t>
      </w:r>
    </w:p>
    <w:p>
      <w:pPr>
        <w:spacing w:line="500" w:lineRule="exact"/>
        <w:ind w:firstLine="480" w:firstLineChars="200"/>
        <w:rPr>
          <w:rFonts w:ascii="宋体" w:hAnsi="宋体"/>
          <w:color w:val="000000"/>
          <w:sz w:val="24"/>
        </w:rPr>
      </w:pPr>
      <w:r>
        <w:rPr>
          <w:rFonts w:hint="eastAsia" w:ascii="宋体" w:hAnsi="宋体"/>
          <w:color w:val="000000"/>
          <w:sz w:val="24"/>
        </w:rPr>
        <w:t>3）评标方法和标准；</w:t>
      </w:r>
    </w:p>
    <w:p>
      <w:pPr>
        <w:spacing w:line="500" w:lineRule="exact"/>
        <w:ind w:firstLine="480" w:firstLineChars="200"/>
        <w:rPr>
          <w:rFonts w:ascii="宋体" w:hAnsi="宋体"/>
          <w:color w:val="000000"/>
          <w:sz w:val="24"/>
        </w:rPr>
      </w:pPr>
      <w:r>
        <w:rPr>
          <w:rFonts w:hint="eastAsia" w:ascii="宋体" w:hAnsi="宋体"/>
          <w:color w:val="000000"/>
          <w:sz w:val="24"/>
        </w:rPr>
        <w:t>4）开标记录和评标情况及说明，包括投标无效投标人名单及原因；</w:t>
      </w:r>
    </w:p>
    <w:p>
      <w:pPr>
        <w:spacing w:line="500" w:lineRule="exact"/>
        <w:ind w:firstLine="480" w:firstLineChars="200"/>
        <w:rPr>
          <w:rFonts w:ascii="宋体" w:hAnsi="宋体"/>
          <w:color w:val="000000"/>
          <w:sz w:val="24"/>
        </w:rPr>
      </w:pPr>
      <w:r>
        <w:rPr>
          <w:rFonts w:hint="eastAsia" w:ascii="宋体" w:hAnsi="宋体"/>
          <w:color w:val="000000"/>
          <w:sz w:val="24"/>
        </w:rPr>
        <w:t>5）评标结果和中标候选供应商排序表；</w:t>
      </w:r>
    </w:p>
    <w:p>
      <w:pPr>
        <w:spacing w:line="500" w:lineRule="exact"/>
        <w:ind w:firstLine="480" w:firstLineChars="200"/>
        <w:rPr>
          <w:rFonts w:ascii="宋体" w:hAnsi="宋体"/>
          <w:color w:val="000000"/>
          <w:sz w:val="24"/>
        </w:rPr>
      </w:pPr>
      <w:r>
        <w:rPr>
          <w:rFonts w:hint="eastAsia" w:ascii="宋体" w:hAnsi="宋体"/>
          <w:color w:val="000000"/>
          <w:sz w:val="24"/>
        </w:rPr>
        <w:t>6）评标委员会的授标建议。</w:t>
      </w:r>
    </w:p>
    <w:p>
      <w:pPr>
        <w:spacing w:line="500" w:lineRule="exact"/>
        <w:ind w:firstLine="480" w:firstLineChars="200"/>
        <w:rPr>
          <w:rFonts w:ascii="宋体" w:hAnsi="宋体"/>
          <w:color w:val="000000"/>
          <w:sz w:val="24"/>
        </w:rPr>
      </w:pPr>
      <w:r>
        <w:rPr>
          <w:rFonts w:hint="eastAsia" w:ascii="宋体" w:hAnsi="宋体"/>
          <w:color w:val="000000"/>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纪录在案。</w:t>
      </w:r>
    </w:p>
    <w:p>
      <w:pPr>
        <w:spacing w:line="500" w:lineRule="exact"/>
        <w:ind w:firstLine="480" w:firstLineChars="200"/>
        <w:rPr>
          <w:rFonts w:ascii="宋体" w:hAnsi="宋体"/>
          <w:color w:val="000000"/>
          <w:sz w:val="24"/>
        </w:rPr>
      </w:pPr>
      <w:r>
        <w:rPr>
          <w:rFonts w:hint="eastAsia" w:ascii="宋体" w:hAnsi="宋体"/>
          <w:color w:val="000000"/>
          <w:sz w:val="24"/>
        </w:rPr>
        <w:t>招标人在评标结束后两个工作日内将评标报告送采购人。</w:t>
      </w:r>
    </w:p>
    <w:p>
      <w:pPr>
        <w:spacing w:line="500" w:lineRule="exact"/>
        <w:ind w:firstLine="480" w:firstLineChars="200"/>
        <w:rPr>
          <w:rFonts w:ascii="宋体" w:hAnsi="宋体"/>
          <w:color w:val="000000"/>
          <w:sz w:val="24"/>
        </w:rPr>
      </w:pPr>
      <w:r>
        <w:rPr>
          <w:rFonts w:hint="eastAsia" w:ascii="宋体" w:hAnsi="宋体"/>
          <w:color w:val="000000"/>
          <w:sz w:val="24"/>
        </w:rPr>
        <w:t>采购人在收到评标报告后五个工作日内，按照评标报告中推荐的中标候选人顺序确定中标人。</w:t>
      </w:r>
    </w:p>
    <w:p>
      <w:pPr>
        <w:spacing w:line="500" w:lineRule="exact"/>
        <w:ind w:firstLine="480" w:firstLineChars="200"/>
        <w:rPr>
          <w:rFonts w:ascii="宋体" w:hAnsi="宋体"/>
          <w:color w:val="000000"/>
          <w:sz w:val="24"/>
        </w:rPr>
      </w:pPr>
      <w:r>
        <w:rPr>
          <w:rFonts w:hint="eastAsia" w:ascii="宋体" w:hAnsi="宋体"/>
          <w:color w:val="000000"/>
          <w:sz w:val="24"/>
        </w:rPr>
        <w:t>根据采购人确定的中标人，招标人在甘肃省政府采购网、白银市公共资源交易中心网上发布中标公告，同时向中标人发出中标通知书。</w:t>
      </w:r>
    </w:p>
    <w:p>
      <w:pPr>
        <w:spacing w:line="500" w:lineRule="exact"/>
        <w:ind w:firstLine="480" w:firstLineChars="200"/>
        <w:rPr>
          <w:rFonts w:ascii="宋体" w:hAnsi="宋体"/>
          <w:color w:val="000000"/>
          <w:sz w:val="24"/>
        </w:rPr>
      </w:pPr>
      <w:r>
        <w:rPr>
          <w:rFonts w:hint="eastAsia" w:ascii="宋体" w:hAnsi="宋体"/>
          <w:color w:val="000000"/>
          <w:sz w:val="24"/>
        </w:rPr>
        <w:t>招标采购单位不解释中标或落标原因，不退回投标文件和其他投标资料。</w:t>
      </w:r>
    </w:p>
    <w:p>
      <w:pPr>
        <w:pStyle w:val="4"/>
        <w:spacing w:line="500" w:lineRule="exact"/>
        <w:ind w:firstLine="0" w:firstLineChars="0"/>
        <w:rPr>
          <w:color w:val="000000"/>
        </w:rPr>
      </w:pPr>
      <w:bookmarkStart w:id="157" w:name="_Toc139965352"/>
      <w:bookmarkStart w:id="158" w:name="_Toc128372079"/>
      <w:bookmarkStart w:id="159" w:name="_Toc128372757"/>
      <w:bookmarkStart w:id="160" w:name="_Toc453596827"/>
      <w:bookmarkStart w:id="161" w:name="_Toc139965351"/>
      <w:bookmarkStart w:id="162" w:name="_Toc128372078"/>
      <w:bookmarkStart w:id="163" w:name="_Toc128372756"/>
      <w:r>
        <w:rPr>
          <w:rFonts w:hint="eastAsia"/>
          <w:color w:val="000000"/>
        </w:rPr>
        <w:t>2.6  中标通知书</w:t>
      </w:r>
      <w:bookmarkEnd w:id="157"/>
      <w:bookmarkEnd w:id="158"/>
      <w:bookmarkEnd w:id="159"/>
      <w:r>
        <w:rPr>
          <w:rFonts w:hint="eastAsia"/>
          <w:color w:val="000000"/>
        </w:rPr>
        <w:t>及中标供应商的确定</w:t>
      </w:r>
      <w:bookmarkEnd w:id="160"/>
    </w:p>
    <w:p>
      <w:pPr>
        <w:pStyle w:val="4"/>
        <w:spacing w:line="500" w:lineRule="exact"/>
        <w:rPr>
          <w:color w:val="000000"/>
        </w:rPr>
      </w:pPr>
      <w:bookmarkStart w:id="164" w:name="_Toc453596828"/>
      <w:r>
        <w:rPr>
          <w:rFonts w:hint="eastAsia"/>
          <w:color w:val="000000"/>
        </w:rPr>
        <w:t>2.6.1 中标供应商的确定</w:t>
      </w:r>
      <w:bookmarkEnd w:id="164"/>
    </w:p>
    <w:p>
      <w:pPr>
        <w:spacing w:line="500" w:lineRule="exact"/>
        <w:ind w:firstLine="480" w:firstLineChars="200"/>
        <w:rPr>
          <w:rFonts w:ascii="宋体" w:hAnsi="宋体"/>
          <w:color w:val="000000"/>
          <w:sz w:val="24"/>
        </w:rPr>
      </w:pPr>
      <w:r>
        <w:rPr>
          <w:rFonts w:hint="eastAsia" w:ascii="宋体" w:hAnsi="宋体"/>
          <w:sz w:val="24"/>
        </w:rPr>
        <w:t>根据《中华人民共和国财政部令》第18号第</w:t>
      </w:r>
      <w:r>
        <w:rPr>
          <w:rFonts w:hint="eastAsia" w:ascii="宋体" w:hAnsi="宋体"/>
          <w:color w:val="000000"/>
          <w:sz w:val="24"/>
        </w:rPr>
        <w:t>五十九条之规定，采购人依法享有经授权的中标供应商确定权。</w:t>
      </w:r>
    </w:p>
    <w:p>
      <w:pPr>
        <w:spacing w:line="500" w:lineRule="exact"/>
        <w:ind w:firstLine="480" w:firstLineChars="200"/>
        <w:rPr>
          <w:rFonts w:ascii="宋体" w:hAnsi="宋体"/>
          <w:color w:val="000000"/>
          <w:sz w:val="24"/>
        </w:rPr>
      </w:pPr>
      <w:r>
        <w:rPr>
          <w:rFonts w:hint="eastAsia" w:ascii="宋体" w:hAnsi="宋体"/>
          <w:color w:val="000000"/>
          <w:sz w:val="24"/>
        </w:rPr>
        <w:t>按照“综合评分法”，采购人原则上根据评标委员会的评议结果按顺序确定中标供应商。当评标总得分最高的投标供应商放弃成交、或因不可抗力提出不能履行合同，采购人可以确定评标总得分次高的投标供应商为中标供应商。</w:t>
      </w:r>
    </w:p>
    <w:p>
      <w:pPr>
        <w:spacing w:line="500" w:lineRule="exact"/>
        <w:ind w:firstLine="480" w:firstLineChars="200"/>
        <w:rPr>
          <w:rFonts w:ascii="宋体" w:hAnsi="宋体"/>
          <w:color w:val="000000"/>
          <w:sz w:val="24"/>
        </w:rPr>
      </w:pPr>
      <w:r>
        <w:rPr>
          <w:rFonts w:hint="eastAsia" w:ascii="宋体" w:hAnsi="宋体"/>
          <w:color w:val="000000"/>
          <w:sz w:val="24"/>
        </w:rPr>
        <w:t>中标供应商确定后，由招标人以公告的方式公布中标结果并向中标供应商发出中标通知书，中标公示届满后，要求其按实际供货量与采购人签订合同。</w:t>
      </w:r>
    </w:p>
    <w:p>
      <w:pPr>
        <w:spacing w:line="500" w:lineRule="exact"/>
        <w:ind w:firstLine="480" w:firstLineChars="200"/>
        <w:rPr>
          <w:rFonts w:ascii="宋体" w:hAnsi="宋体"/>
          <w:color w:val="000000"/>
          <w:sz w:val="24"/>
        </w:rPr>
      </w:pPr>
      <w:r>
        <w:rPr>
          <w:rFonts w:hint="eastAsia" w:ascii="宋体" w:hAnsi="宋体"/>
          <w:color w:val="000000"/>
          <w:sz w:val="24"/>
        </w:rPr>
        <w:t>中标通知书对采购人和中标人均具有法律效力。中标通知书发出后，采购人改变中标结果，或者中标人无正当理由放弃中标的，应当承担相应的法律责任。</w:t>
      </w:r>
    </w:p>
    <w:p>
      <w:pPr>
        <w:spacing w:line="500" w:lineRule="exact"/>
        <w:ind w:firstLine="480" w:firstLineChars="200"/>
        <w:rPr>
          <w:rFonts w:ascii="宋体" w:hAnsi="宋体"/>
          <w:color w:val="000000"/>
          <w:sz w:val="24"/>
        </w:rPr>
      </w:pPr>
      <w:r>
        <w:rPr>
          <w:rFonts w:hint="eastAsia" w:ascii="宋体" w:hAnsi="宋体"/>
          <w:color w:val="000000"/>
          <w:sz w:val="24"/>
        </w:rPr>
        <w:t>中标人的投标文件本应作为无效投标处理或者有政府采购法律法规规章制度规定的中标无效情形的，市公共资源交易中心在取得有权主体的认定以后，应当宣布发出的中标通知书无效，并收回发出的中标通知书（中标人也应当缴回），依法重新确定中标人或者重新开展采购活动。</w:t>
      </w:r>
    </w:p>
    <w:p>
      <w:pPr>
        <w:spacing w:line="500" w:lineRule="exact"/>
        <w:ind w:firstLine="480" w:firstLineChars="200"/>
        <w:rPr>
          <w:color w:val="000000"/>
        </w:rPr>
      </w:pPr>
      <w:r>
        <w:rPr>
          <w:rFonts w:hint="eastAsia" w:ascii="宋体" w:hAnsi="宋体"/>
          <w:color w:val="000000"/>
          <w:sz w:val="24"/>
        </w:rPr>
        <w:t>按照“最低价法”，招标人原则</w:t>
      </w:r>
      <w:r>
        <w:rPr>
          <w:rFonts w:hint="eastAsia" w:ascii="宋体" w:hAnsi="宋体"/>
          <w:sz w:val="24"/>
        </w:rPr>
        <w:t>上在确定最低评标价的前提下，确定拟中标供应商</w:t>
      </w:r>
      <w:r>
        <w:rPr>
          <w:rFonts w:ascii="宋体" w:hAnsi="宋体"/>
          <w:sz w:val="24"/>
        </w:rPr>
        <w:t>。</w:t>
      </w:r>
      <w:r>
        <w:rPr>
          <w:rFonts w:hint="eastAsia" w:ascii="宋体" w:hAnsi="宋体"/>
          <w:sz w:val="24"/>
        </w:rPr>
        <w:t>当评标价最低的投标供应商放弃中标、或因不可抗</w:t>
      </w:r>
      <w:r>
        <w:rPr>
          <w:rFonts w:hint="eastAsia" w:ascii="宋体" w:hAnsi="宋体"/>
          <w:color w:val="000000"/>
          <w:sz w:val="24"/>
        </w:rPr>
        <w:t>力提出不能履行合同，招标人可以确定与排位在中标供应商之后第1位的中标候选供应商签订政府采购合同，以此类推。</w:t>
      </w:r>
    </w:p>
    <w:p>
      <w:pPr>
        <w:pStyle w:val="4"/>
        <w:spacing w:line="500" w:lineRule="exact"/>
        <w:rPr>
          <w:color w:val="000000"/>
        </w:rPr>
      </w:pPr>
      <w:bookmarkStart w:id="165" w:name="_Toc415577075"/>
      <w:bookmarkStart w:id="166" w:name="_Toc453596829"/>
      <w:r>
        <w:rPr>
          <w:rFonts w:hint="eastAsia"/>
          <w:color w:val="000000"/>
        </w:rPr>
        <w:t>2.6.2 合同授予</w:t>
      </w:r>
      <w:bookmarkEnd w:id="161"/>
      <w:bookmarkEnd w:id="162"/>
      <w:bookmarkEnd w:id="163"/>
      <w:r>
        <w:rPr>
          <w:rFonts w:hint="eastAsia"/>
          <w:color w:val="000000"/>
        </w:rPr>
        <w:t>原则</w:t>
      </w:r>
      <w:bookmarkEnd w:id="165"/>
      <w:bookmarkEnd w:id="166"/>
    </w:p>
    <w:p>
      <w:pPr>
        <w:spacing w:line="500" w:lineRule="exact"/>
        <w:ind w:firstLine="480" w:firstLineChars="200"/>
        <w:rPr>
          <w:rFonts w:ascii="宋体" w:hAnsi="宋体"/>
          <w:color w:val="000000"/>
          <w:sz w:val="24"/>
        </w:rPr>
      </w:pPr>
      <w:r>
        <w:rPr>
          <w:rFonts w:hint="eastAsia" w:ascii="宋体" w:hAnsi="宋体"/>
          <w:color w:val="000000"/>
          <w:sz w:val="24"/>
        </w:rPr>
        <w:t>招标人将把合同授予经评标委员会评议推荐采购人确认的投标人。若因中标人违约或因不可抗力等原因不能被授予合同，则合同将授予排序在该投标人之后的下一个投标人。</w:t>
      </w:r>
    </w:p>
    <w:p>
      <w:pPr>
        <w:spacing w:line="500" w:lineRule="exact"/>
        <w:ind w:firstLine="480" w:firstLineChars="200"/>
        <w:rPr>
          <w:color w:val="000000"/>
        </w:rPr>
      </w:pPr>
      <w:r>
        <w:rPr>
          <w:rFonts w:hint="eastAsia" w:ascii="宋体" w:hAnsi="宋体"/>
          <w:color w:val="000000"/>
          <w:sz w:val="24"/>
        </w:rPr>
        <w:t>招标人保留在签订合同时调整方案需求和变动所购货物或材料数量的权力。</w:t>
      </w:r>
      <w:bookmarkStart w:id="167" w:name="_Toc139965353"/>
      <w:bookmarkStart w:id="168" w:name="_Toc128372758"/>
      <w:bookmarkStart w:id="169" w:name="_Toc128372080"/>
    </w:p>
    <w:p>
      <w:pPr>
        <w:pStyle w:val="4"/>
        <w:spacing w:line="500" w:lineRule="exact"/>
        <w:rPr>
          <w:color w:val="000000"/>
        </w:rPr>
      </w:pPr>
      <w:bookmarkStart w:id="170" w:name="_Toc415577076"/>
      <w:bookmarkStart w:id="171" w:name="_Toc453596830"/>
      <w:r>
        <w:rPr>
          <w:rFonts w:hint="eastAsia"/>
          <w:color w:val="000000"/>
        </w:rPr>
        <w:t>2.6.3 合同的签署</w:t>
      </w:r>
      <w:bookmarkEnd w:id="167"/>
      <w:bookmarkEnd w:id="168"/>
      <w:bookmarkEnd w:id="169"/>
      <w:r>
        <w:rPr>
          <w:rFonts w:hint="eastAsia"/>
          <w:color w:val="000000"/>
        </w:rPr>
        <w:t>、履行及验收</w:t>
      </w:r>
      <w:bookmarkEnd w:id="170"/>
      <w:bookmarkEnd w:id="171"/>
    </w:p>
    <w:p>
      <w:pPr>
        <w:spacing w:line="500" w:lineRule="exact"/>
        <w:ind w:firstLine="480" w:firstLineChars="200"/>
        <w:rPr>
          <w:rFonts w:ascii="宋体" w:hAnsi="宋体"/>
          <w:color w:val="000000"/>
          <w:sz w:val="24"/>
        </w:rPr>
      </w:pPr>
      <w:r>
        <w:rPr>
          <w:rFonts w:hint="eastAsia" w:ascii="宋体" w:hAnsi="宋体"/>
          <w:color w:val="000000"/>
          <w:sz w:val="24"/>
        </w:rPr>
        <w:t>中标人按中标通知书中规定的时间和地点，由法定代表人或被授权人与需方签订合同。需方与中标人是合同权利与义务的直接、全部责任承担人。招标人所发出的中标通知书对需方和中标供应商具有同等法律效力。</w:t>
      </w:r>
    </w:p>
    <w:p>
      <w:pPr>
        <w:spacing w:line="500" w:lineRule="exact"/>
        <w:ind w:firstLine="480" w:firstLineChars="200"/>
        <w:rPr>
          <w:rFonts w:ascii="宋体" w:hAnsi="宋体"/>
          <w:color w:val="000000"/>
          <w:sz w:val="24"/>
        </w:rPr>
      </w:pPr>
      <w:r>
        <w:rPr>
          <w:rFonts w:hint="eastAsia" w:ascii="宋体" w:hAnsi="宋体"/>
          <w:color w:val="000000"/>
          <w:sz w:val="24"/>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w:t>
      </w:r>
      <w:r>
        <w:rPr>
          <w:rFonts w:hint="eastAsia" w:ascii="宋体" w:hAnsi="宋体"/>
          <w:sz w:val="24"/>
        </w:rPr>
        <w:t>按照财政部令[2004]第18号第六十八</w:t>
      </w:r>
      <w:r>
        <w:rPr>
          <w:rFonts w:hint="eastAsia" w:ascii="宋体" w:hAnsi="宋体"/>
          <w:color w:val="000000"/>
          <w:sz w:val="24"/>
        </w:rPr>
        <w:t>条、第七十五条、第七十六条规定办理。此时可由招标人按照排名顺序与下一投标人签订合同。</w:t>
      </w:r>
    </w:p>
    <w:p>
      <w:pPr>
        <w:pStyle w:val="4"/>
        <w:spacing w:line="500" w:lineRule="exact"/>
        <w:ind w:firstLine="480"/>
        <w:rPr>
          <w:rFonts w:cs="Times New Roman"/>
          <w:b w:val="0"/>
          <w:color w:val="000000"/>
          <w:lang w:val="en-US"/>
        </w:rPr>
      </w:pPr>
      <w:bookmarkStart w:id="172" w:name="_Toc434942867"/>
      <w:bookmarkStart w:id="173" w:name="_Toc453596831"/>
      <w:bookmarkStart w:id="174" w:name="_Toc418087312"/>
      <w:bookmarkStart w:id="175" w:name="_Toc434942421"/>
      <w:bookmarkStart w:id="176" w:name="_Toc415577078"/>
      <w:bookmarkStart w:id="177" w:name="_Toc418157070"/>
      <w:bookmarkStart w:id="178" w:name="_Toc128372081"/>
      <w:bookmarkStart w:id="179" w:name="_Toc128372759"/>
      <w:bookmarkStart w:id="180" w:name="_Toc139965354"/>
      <w:r>
        <w:rPr>
          <w:rFonts w:hint="eastAsia" w:cs="Times New Roman"/>
          <w:b w:val="0"/>
          <w:color w:val="000000"/>
          <w:lang w:val="en-US"/>
        </w:rPr>
        <w:t>如果中标人在规定的合同签订时间内，没有按照招标文件的规定交纳履约质量保证金，且又无正当理由的，将视为放弃中标，其交纳的投标保证金将不予退还。</w:t>
      </w:r>
      <w:bookmarkEnd w:id="172"/>
      <w:bookmarkEnd w:id="173"/>
      <w:bookmarkEnd w:id="174"/>
      <w:bookmarkEnd w:id="175"/>
      <w:bookmarkEnd w:id="176"/>
      <w:bookmarkEnd w:id="177"/>
    </w:p>
    <w:p>
      <w:pPr>
        <w:pStyle w:val="4"/>
        <w:spacing w:line="500" w:lineRule="exact"/>
        <w:rPr>
          <w:rFonts w:cs="Times New Roman"/>
          <w:color w:val="000000"/>
          <w:lang w:val="en-US"/>
        </w:rPr>
      </w:pPr>
      <w:bookmarkStart w:id="181" w:name="_Toc415577079"/>
      <w:bookmarkStart w:id="182" w:name="_Toc434942422"/>
      <w:bookmarkStart w:id="183" w:name="_Toc418087313"/>
      <w:bookmarkStart w:id="184" w:name="_Toc453596832"/>
      <w:bookmarkStart w:id="185" w:name="_Toc418157071"/>
      <w:bookmarkStart w:id="186" w:name="_Toc434942868"/>
      <w:r>
        <w:rPr>
          <w:rFonts w:hint="eastAsia" w:cs="Times New Roman"/>
          <w:color w:val="000000"/>
          <w:lang w:val="en-US"/>
        </w:rPr>
        <w:t>履行合同</w:t>
      </w:r>
      <w:bookmarkEnd w:id="181"/>
      <w:bookmarkEnd w:id="182"/>
      <w:bookmarkEnd w:id="183"/>
      <w:bookmarkEnd w:id="184"/>
      <w:bookmarkEnd w:id="185"/>
      <w:bookmarkEnd w:id="186"/>
    </w:p>
    <w:p>
      <w:pPr>
        <w:pStyle w:val="4"/>
        <w:spacing w:line="500" w:lineRule="exact"/>
        <w:ind w:firstLine="480"/>
        <w:rPr>
          <w:rFonts w:cs="Times New Roman"/>
          <w:b w:val="0"/>
          <w:color w:val="000000"/>
          <w:lang w:val="en-US"/>
        </w:rPr>
      </w:pPr>
      <w:bookmarkStart w:id="187" w:name="_Toc434942869"/>
      <w:bookmarkStart w:id="188" w:name="_Toc415577080"/>
      <w:bookmarkStart w:id="189" w:name="_Toc453596833"/>
      <w:bookmarkStart w:id="190" w:name="_Toc418157072"/>
      <w:bookmarkStart w:id="191" w:name="_Toc418087314"/>
      <w:bookmarkStart w:id="192" w:name="_Toc434942423"/>
      <w:r>
        <w:rPr>
          <w:rFonts w:hint="eastAsia" w:cs="Times New Roman"/>
          <w:b w:val="0"/>
          <w:color w:val="000000"/>
          <w:lang w:val="en-US"/>
        </w:rPr>
        <w:t>中标人与采购人签订合同后，合同双方应严格执行合同条款，履行合同规定的义务，保证合同的顺利完成。</w:t>
      </w:r>
      <w:bookmarkEnd w:id="187"/>
      <w:bookmarkEnd w:id="188"/>
      <w:bookmarkEnd w:id="189"/>
      <w:bookmarkEnd w:id="190"/>
      <w:bookmarkEnd w:id="191"/>
      <w:bookmarkEnd w:id="192"/>
    </w:p>
    <w:p>
      <w:pPr>
        <w:pStyle w:val="4"/>
        <w:spacing w:line="500" w:lineRule="exact"/>
        <w:ind w:firstLine="480"/>
        <w:rPr>
          <w:rFonts w:cs="Times New Roman"/>
          <w:b w:val="0"/>
          <w:color w:val="000000"/>
          <w:lang w:val="en-US"/>
        </w:rPr>
      </w:pPr>
      <w:bookmarkStart w:id="193" w:name="_Toc418087315"/>
      <w:bookmarkStart w:id="194" w:name="_Toc418157073"/>
      <w:bookmarkStart w:id="195" w:name="_Toc434942870"/>
      <w:bookmarkStart w:id="196" w:name="_Toc434942424"/>
      <w:bookmarkStart w:id="197" w:name="_Toc415577081"/>
      <w:bookmarkStart w:id="198" w:name="_Toc453596834"/>
      <w:r>
        <w:rPr>
          <w:rFonts w:hint="eastAsia" w:cs="Times New Roman"/>
          <w:b w:val="0"/>
          <w:color w:val="000000"/>
          <w:lang w:val="en-US"/>
        </w:rPr>
        <w:t>在合同履行过程中，如发生合同纠纷，合同双方应按照《合同法》的有关规定进行处理。</w:t>
      </w:r>
      <w:bookmarkEnd w:id="193"/>
      <w:bookmarkEnd w:id="194"/>
      <w:bookmarkEnd w:id="195"/>
      <w:bookmarkEnd w:id="196"/>
      <w:bookmarkEnd w:id="197"/>
      <w:bookmarkEnd w:id="198"/>
    </w:p>
    <w:p>
      <w:pPr>
        <w:pStyle w:val="4"/>
        <w:spacing w:line="500" w:lineRule="exact"/>
        <w:rPr>
          <w:rFonts w:cs="Times New Roman"/>
          <w:color w:val="000000"/>
          <w:lang w:val="en-US"/>
        </w:rPr>
      </w:pPr>
      <w:bookmarkStart w:id="199" w:name="_Toc434942425"/>
      <w:bookmarkStart w:id="200" w:name="_Toc418157074"/>
      <w:bookmarkStart w:id="201" w:name="_Toc418087316"/>
      <w:bookmarkStart w:id="202" w:name="_Toc434942871"/>
      <w:bookmarkStart w:id="203" w:name="_Toc415577082"/>
      <w:bookmarkStart w:id="204" w:name="_Toc453596835"/>
      <w:r>
        <w:rPr>
          <w:rFonts w:hint="eastAsia" w:cs="Times New Roman"/>
          <w:color w:val="000000"/>
          <w:lang w:val="en-US"/>
        </w:rPr>
        <w:t>验收</w:t>
      </w:r>
      <w:bookmarkEnd w:id="199"/>
      <w:bookmarkEnd w:id="200"/>
      <w:bookmarkEnd w:id="201"/>
      <w:bookmarkEnd w:id="202"/>
      <w:bookmarkEnd w:id="203"/>
      <w:bookmarkEnd w:id="204"/>
    </w:p>
    <w:p>
      <w:pPr>
        <w:spacing w:line="420" w:lineRule="exact"/>
        <w:ind w:firstLine="480" w:firstLineChars="200"/>
        <w:rPr>
          <w:rFonts w:ascii="宋体" w:hAnsi="宋体"/>
          <w:color w:val="000000"/>
          <w:sz w:val="24"/>
        </w:rPr>
      </w:pPr>
      <w:bookmarkStart w:id="205" w:name="_Toc415577083"/>
      <w:bookmarkStart w:id="206" w:name="_Toc418087317"/>
      <w:r>
        <w:rPr>
          <w:rFonts w:hint="eastAsia" w:ascii="宋体" w:hAnsi="宋体"/>
          <w:color w:val="000000"/>
          <w:sz w:val="24"/>
        </w:rPr>
        <w:t>中标人交货时，由采购人依据合同组织验收，货物（设备）使用和运行合格无质量问题，采购人应签署《验收单》。</w:t>
      </w:r>
      <w:bookmarkEnd w:id="205"/>
      <w:bookmarkEnd w:id="206"/>
    </w:p>
    <w:p>
      <w:pPr>
        <w:pStyle w:val="4"/>
        <w:spacing w:line="500" w:lineRule="exact"/>
        <w:rPr>
          <w:color w:val="000000"/>
        </w:rPr>
      </w:pPr>
      <w:bookmarkStart w:id="207" w:name="_Toc415577084"/>
      <w:bookmarkStart w:id="208" w:name="_Toc453596836"/>
      <w:r>
        <w:rPr>
          <w:rFonts w:hint="eastAsia"/>
          <w:color w:val="000000"/>
        </w:rPr>
        <w:t>2.6.4 其他</w:t>
      </w:r>
      <w:bookmarkEnd w:id="178"/>
      <w:bookmarkEnd w:id="179"/>
      <w:bookmarkEnd w:id="180"/>
      <w:bookmarkEnd w:id="207"/>
      <w:bookmarkEnd w:id="208"/>
    </w:p>
    <w:p>
      <w:pPr>
        <w:spacing w:line="500" w:lineRule="exact"/>
        <w:ind w:firstLine="480" w:firstLineChars="200"/>
        <w:rPr>
          <w:color w:val="000000"/>
        </w:rPr>
      </w:pPr>
      <w:r>
        <w:rPr>
          <w:rFonts w:hint="eastAsia" w:ascii="宋体" w:hAnsi="宋体"/>
          <w:color w:val="000000"/>
          <w:sz w:val="24"/>
        </w:rPr>
        <w:t>中标后招标文件和投标文件未尽事宜另行商定。本招标文件由招标人负责解释。</w:t>
      </w:r>
    </w:p>
    <w:p/>
    <w:p>
      <w:pPr>
        <w:pStyle w:val="2"/>
        <w:rPr>
          <w:color w:val="000000"/>
        </w:rPr>
      </w:pPr>
      <w:bookmarkStart w:id="209" w:name="_Toc453596837"/>
      <w:r>
        <w:rPr>
          <w:rFonts w:hint="eastAsia"/>
          <w:color w:val="000000"/>
        </w:rPr>
        <w:t>3、  澄清和质疑</w:t>
      </w:r>
      <w:bookmarkEnd w:id="209"/>
    </w:p>
    <w:p>
      <w:pPr>
        <w:pStyle w:val="3"/>
        <w:spacing w:line="500" w:lineRule="exact"/>
        <w:ind w:firstLine="482" w:firstLineChars="200"/>
        <w:jc w:val="both"/>
        <w:rPr>
          <w:rFonts w:ascii="宋体" w:hAnsi="宋体"/>
          <w:color w:val="000000"/>
          <w:sz w:val="24"/>
        </w:rPr>
      </w:pPr>
      <w:bookmarkStart w:id="210" w:name="_Toc453596838"/>
      <w:r>
        <w:rPr>
          <w:rFonts w:hint="eastAsia" w:ascii="宋体" w:hAnsi="宋体"/>
          <w:color w:val="000000"/>
          <w:sz w:val="24"/>
        </w:rPr>
        <w:t>3.1综合说明</w:t>
      </w:r>
      <w:bookmarkEnd w:id="210"/>
    </w:p>
    <w:p>
      <w:pPr>
        <w:spacing w:line="500" w:lineRule="exact"/>
        <w:ind w:firstLine="480" w:firstLineChars="200"/>
        <w:rPr>
          <w:rFonts w:ascii="宋体" w:hAnsi="宋体"/>
          <w:color w:val="000000"/>
          <w:sz w:val="24"/>
        </w:rPr>
      </w:pPr>
      <w:r>
        <w:rPr>
          <w:rFonts w:hint="eastAsia" w:ascii="宋体" w:hAnsi="宋体"/>
          <w:color w:val="000000"/>
          <w:sz w:val="24"/>
        </w:rPr>
        <w:t>投标人对政府采购活动事项有疑问的，可以向被质疑人提出询问，被质疑人应当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被质疑项目的投标人；必须在规定的质疑有效期内提起质疑；政府采购监督管理部门规定的其他条件。质疑人提出质疑时，应当提交书面质疑书，质疑书应当包括下列主要内容：被质疑人的名称、地址、电话；采购项目名称、项目编号；具体事项、请求和主张；提起质疑的投标人名称、地址及联系方式；质疑日期。质疑书的递交应当采取当面递交的形式。</w:t>
      </w:r>
    </w:p>
    <w:p>
      <w:pPr>
        <w:pStyle w:val="3"/>
        <w:spacing w:line="500" w:lineRule="exact"/>
        <w:ind w:firstLine="482"/>
        <w:jc w:val="both"/>
        <w:rPr>
          <w:rFonts w:ascii="宋体" w:hAnsi="宋体"/>
          <w:color w:val="000000"/>
          <w:sz w:val="24"/>
        </w:rPr>
      </w:pPr>
      <w:bookmarkStart w:id="211" w:name="_Toc453596839"/>
      <w:r>
        <w:rPr>
          <w:rFonts w:hint="eastAsia" w:ascii="宋体" w:hAnsi="宋体"/>
          <w:color w:val="000000"/>
          <w:sz w:val="24"/>
        </w:rPr>
        <w:t>3.2对招标文件的澄清和质疑</w:t>
      </w:r>
      <w:bookmarkEnd w:id="211"/>
    </w:p>
    <w:p>
      <w:pPr>
        <w:adjustRightInd w:val="0"/>
        <w:spacing w:line="500" w:lineRule="exact"/>
        <w:ind w:left="120" w:leftChars="57" w:firstLine="480" w:firstLineChars="200"/>
        <w:rPr>
          <w:rFonts w:ascii="宋体" w:hAnsi="宋体"/>
          <w:color w:val="000000"/>
          <w:sz w:val="24"/>
        </w:rPr>
      </w:pPr>
      <w:r>
        <w:rPr>
          <w:rFonts w:hint="eastAsia" w:ascii="宋体" w:hAnsi="宋体"/>
          <w:color w:val="000000"/>
          <w:sz w:val="24"/>
        </w:rPr>
        <w:t>投标人应尽早购买招标文件，若对招标文件有疑问需要澄清或质疑，须从公告第3天起的7个工作日由澄清或质疑方的法定代表人或授权投标人（必须为法定代表人授权进行该项目投标的被授权人）以书面形式向代理机构递交澄清或质疑函(原件)，并登记备案。澄清或质疑函须有法定代表人亲笔签字。澄清函应说明需要澄清的内容，质疑函除应说明需要质疑的内容外，还应提供能够证明质疑内容的相关书面证据。澄清或质疑函应内容真实，证据充分，不得进行恶意质疑。由法定代表人递交澄清或质疑函时，提供法定代表人身份证复印件；由授权投标人递交澄清或质疑函时，还须提供法人投标授权函和质疑授权函（均为原件）及被授权投标人的身份证复印件。</w:t>
      </w:r>
      <w:r>
        <w:rPr>
          <w:rFonts w:hint="eastAsia" w:ascii="宋体" w:hAnsi="宋体"/>
          <w:bCs/>
          <w:color w:val="000000"/>
          <w:sz w:val="24"/>
        </w:rPr>
        <w:t>身份证复印件须正反面清晰、有效，并要求由该身份证持有人在复印件正反面非空白位置注明</w:t>
      </w:r>
      <w:r>
        <w:rPr>
          <w:rFonts w:hint="eastAsia" w:ascii="宋体" w:hAnsi="宋体" w:cs="Arial"/>
          <w:bCs/>
          <w:color w:val="000000"/>
          <w:sz w:val="24"/>
        </w:rPr>
        <w:t>“</w:t>
      </w:r>
      <w:r>
        <w:rPr>
          <w:rFonts w:hint="eastAsia" w:ascii="宋体" w:hAnsi="宋体"/>
          <w:bCs/>
          <w:color w:val="000000"/>
          <w:sz w:val="24"/>
        </w:rPr>
        <w:t>该复印件用于在白银市食品检验检测中心食品检（监）测能力建设项目澄清或质疑使用</w:t>
      </w:r>
      <w:r>
        <w:rPr>
          <w:rFonts w:hint="eastAsia" w:ascii="宋体" w:hAnsi="宋体" w:cs="Arial"/>
          <w:bCs/>
          <w:color w:val="000000"/>
          <w:sz w:val="24"/>
        </w:rPr>
        <w:t>”</w:t>
      </w:r>
      <w:r>
        <w:rPr>
          <w:rFonts w:hint="eastAsia" w:ascii="宋体" w:hAnsi="宋体"/>
          <w:bCs/>
          <w:color w:val="000000"/>
          <w:sz w:val="24"/>
        </w:rPr>
        <w:t>字样，并由身份证持有人签字确认</w:t>
      </w:r>
      <w:r>
        <w:rPr>
          <w:rFonts w:hint="eastAsia" w:ascii="宋体" w:hAnsi="宋体"/>
          <w:color w:val="000000"/>
          <w:sz w:val="24"/>
        </w:rPr>
        <w:t>。上述资料均须加盖鲜章。</w:t>
      </w:r>
    </w:p>
    <w:p>
      <w:pPr>
        <w:spacing w:line="500" w:lineRule="exact"/>
        <w:ind w:firstLine="480" w:firstLineChars="200"/>
        <w:rPr>
          <w:rFonts w:ascii="宋体" w:hAnsi="宋体"/>
          <w:color w:val="000000"/>
          <w:sz w:val="24"/>
        </w:rPr>
      </w:pPr>
      <w:r>
        <w:rPr>
          <w:rFonts w:hint="eastAsia" w:ascii="宋体" w:hAnsi="宋体"/>
          <w:color w:val="000000"/>
          <w:sz w:val="24"/>
        </w:rPr>
        <w:t>代理机构应在收到质疑函7个工作日内根据澄清或质疑函的具体内容相应作出答复或不予答复，答复内容不得涉及商业秘密。作出答复的将以书面形式通知提出澄清或质疑的投标人和其他有关投标人，或在甘肃政府采购网上予以公布。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pStyle w:val="3"/>
        <w:spacing w:line="500" w:lineRule="exact"/>
        <w:ind w:firstLine="482"/>
        <w:jc w:val="both"/>
        <w:rPr>
          <w:rFonts w:ascii="宋体" w:hAnsi="宋体"/>
          <w:color w:val="000000"/>
          <w:sz w:val="24"/>
          <w:szCs w:val="24"/>
        </w:rPr>
      </w:pPr>
      <w:bookmarkStart w:id="212" w:name="_Toc453596840"/>
      <w:r>
        <w:rPr>
          <w:rFonts w:hint="eastAsia" w:ascii="宋体" w:hAnsi="宋体"/>
          <w:color w:val="000000"/>
          <w:sz w:val="24"/>
          <w:szCs w:val="24"/>
        </w:rPr>
        <w:t>3.3对招标过程和中标结果的质疑</w:t>
      </w:r>
      <w:bookmarkEnd w:id="212"/>
    </w:p>
    <w:p>
      <w:pPr>
        <w:adjustRightInd w:val="0"/>
        <w:spacing w:line="500" w:lineRule="exact"/>
        <w:ind w:firstLine="480" w:firstLineChars="200"/>
        <w:rPr>
          <w:rFonts w:ascii="宋体" w:hAnsi="宋体"/>
          <w:color w:val="000000"/>
          <w:sz w:val="24"/>
        </w:rPr>
      </w:pPr>
      <w:r>
        <w:rPr>
          <w:rFonts w:hint="eastAsia" w:ascii="宋体" w:hAnsi="宋体"/>
          <w:color w:val="000000"/>
          <w:sz w:val="24"/>
        </w:rPr>
        <w:t>投标人认为招标过程和中标结果使自己的权益受到损害的，可以在代理机构于甘肃政府采购网发布中标结果公告期限届满之日起七个工作日内，由质疑方的法定代表人或授权投标人以书面形式向投标人递交质疑函（原件），并登记备案。质疑函须有法定代表人亲笔签字，除应说明需要质疑的内容外，还应提供能够证明质疑内容的相关书面证据。质疑函应内容真实，证据充分，不得进行恶意质疑。由法定代表人递交质疑函时，提供法定代表人身份证复印件；由授权投标人递交质疑函时，还须提供法人投标授权函和质疑授权函（均为原件）及被授权投标人的身份证复印件。</w:t>
      </w:r>
      <w:r>
        <w:rPr>
          <w:rFonts w:hint="eastAsia" w:ascii="宋体" w:hAnsi="宋体"/>
          <w:bCs/>
          <w:color w:val="000000"/>
          <w:sz w:val="24"/>
        </w:rPr>
        <w:t>身份证复印件须正反面清晰、有效，并要求由该身份证持有人在复印件正反面非空白位置注明</w:t>
      </w:r>
      <w:r>
        <w:rPr>
          <w:rFonts w:hint="eastAsia" w:ascii="宋体" w:hAnsi="宋体" w:cs="Arial"/>
          <w:bCs/>
          <w:color w:val="000000"/>
          <w:sz w:val="24"/>
        </w:rPr>
        <w:t>“</w:t>
      </w:r>
      <w:r>
        <w:rPr>
          <w:rFonts w:hint="eastAsia" w:ascii="宋体" w:hAnsi="宋体"/>
          <w:bCs/>
          <w:color w:val="000000"/>
          <w:sz w:val="24"/>
        </w:rPr>
        <w:t>该复印件用于在白银市食品检验检测中心食品检（监）测能力建设项目质疑使用</w:t>
      </w:r>
      <w:r>
        <w:rPr>
          <w:rFonts w:hint="eastAsia" w:ascii="宋体" w:hAnsi="宋体" w:cs="Arial"/>
          <w:bCs/>
          <w:color w:val="000000"/>
          <w:sz w:val="24"/>
        </w:rPr>
        <w:t>”</w:t>
      </w:r>
      <w:r>
        <w:rPr>
          <w:rFonts w:hint="eastAsia" w:ascii="宋体" w:hAnsi="宋体"/>
          <w:bCs/>
          <w:color w:val="000000"/>
          <w:sz w:val="24"/>
        </w:rPr>
        <w:t>字样，并由身份证持有人签字确认。</w:t>
      </w:r>
      <w:r>
        <w:rPr>
          <w:rFonts w:hint="eastAsia" w:ascii="宋体" w:hAnsi="宋体"/>
          <w:color w:val="000000"/>
          <w:sz w:val="24"/>
        </w:rPr>
        <w:t>上述资料均须加盖鲜章。</w:t>
      </w:r>
    </w:p>
    <w:p>
      <w:pPr>
        <w:adjustRightInd w:val="0"/>
        <w:spacing w:line="500" w:lineRule="exact"/>
        <w:ind w:firstLine="480" w:firstLineChars="200"/>
        <w:rPr>
          <w:rFonts w:ascii="宋体" w:hAnsi="宋体"/>
          <w:color w:val="000000"/>
          <w:sz w:val="24"/>
        </w:rPr>
      </w:pPr>
      <w:r>
        <w:rPr>
          <w:rFonts w:hint="eastAsia" w:ascii="宋体" w:hAnsi="宋体"/>
          <w:color w:val="000000"/>
          <w:sz w:val="24"/>
        </w:rPr>
        <w:t>代理机构应在受理投标人的书面质疑后，根据质疑函的具体内容及时向递交质疑函的投标人作出答复或不予答复，答复内容不得涉及商业秘密。作出答复的以书面形式通知递交质疑的投标人和其他有关投标人，或在甘肃政府采购网上予以公告。递交质疑的投标人和其他有关投标人在被告知、收到上述公告、通知或答疑书后，应立即向招标人回函确认。未确认情况应当视为对质疑答复的知晓，也将视为对质疑答复内容接受的默认。</w:t>
      </w:r>
    </w:p>
    <w:p>
      <w:pPr>
        <w:pStyle w:val="3"/>
        <w:spacing w:line="500" w:lineRule="exact"/>
        <w:ind w:firstLine="482"/>
        <w:jc w:val="both"/>
        <w:rPr>
          <w:rFonts w:ascii="宋体" w:hAnsi="宋体"/>
          <w:color w:val="000000"/>
          <w:sz w:val="24"/>
        </w:rPr>
      </w:pPr>
      <w:bookmarkStart w:id="213" w:name="_Toc453596841"/>
      <w:r>
        <w:rPr>
          <w:rFonts w:hint="eastAsia" w:ascii="宋体" w:hAnsi="宋体"/>
          <w:color w:val="000000"/>
          <w:sz w:val="24"/>
        </w:rPr>
        <w:t>3.4澄清或质疑不予受理的情况</w:t>
      </w:r>
      <w:bookmarkEnd w:id="213"/>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有下列情形之一的，属于无效质疑，被质疑人不予受理</w:t>
      </w:r>
      <w:r>
        <w:rPr>
          <w:rFonts w:hint="eastAsia" w:ascii="宋体" w:hAnsi="宋体" w:cs="宋体"/>
          <w:color w:val="000000"/>
          <w:kern w:val="0"/>
          <w:sz w:val="24"/>
        </w:rPr>
        <w:t>，</w:t>
      </w:r>
      <w:r>
        <w:rPr>
          <w:rFonts w:hint="eastAsia" w:ascii="宋体" w:hAnsi="宋体"/>
          <w:color w:val="000000"/>
          <w:sz w:val="24"/>
        </w:rPr>
        <w:t>由此产生的影响由投标人自行承担</w:t>
      </w:r>
      <w:r>
        <w:rPr>
          <w:rFonts w:ascii="宋体" w:hAnsi="宋体" w:cs="宋体"/>
          <w:color w:val="000000"/>
          <w:kern w:val="0"/>
          <w:sz w:val="24"/>
        </w:rPr>
        <w:t>：</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(一)不是参与该政府采购项目活动供应商的;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(二)被质疑人为采购人或政府采购代理机构之外的；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(三)所有质疑事项超过质疑有效期的；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(四)以具有法律效力的文书送达之外方式提出的；</w:t>
      </w:r>
    </w:p>
    <w:p>
      <w:pPr>
        <w:widowControl/>
        <w:spacing w:line="500" w:lineRule="exact"/>
        <w:ind w:firstLine="480" w:firstLineChars="200"/>
        <w:rPr>
          <w:rFonts w:ascii="宋体" w:hAnsi="宋体" w:cs="宋体"/>
          <w:color w:val="000000"/>
          <w:kern w:val="0"/>
          <w:sz w:val="24"/>
        </w:rPr>
      </w:pPr>
      <w:r>
        <w:rPr>
          <w:rFonts w:ascii="宋体" w:hAnsi="宋体" w:cs="宋体"/>
          <w:color w:val="000000"/>
          <w:kern w:val="0"/>
          <w:sz w:val="24"/>
        </w:rPr>
        <w:t>(五)</w:t>
      </w:r>
      <w:r>
        <w:rPr>
          <w:rFonts w:hint="eastAsia" w:ascii="宋体" w:hAnsi="宋体"/>
          <w:color w:val="000000"/>
          <w:sz w:val="24"/>
        </w:rPr>
        <w:t xml:space="preserve"> 未按上述规定递交澄清或质疑函的</w:t>
      </w:r>
      <w:r>
        <w:rPr>
          <w:rFonts w:ascii="宋体" w:hAnsi="宋体" w:cs="宋体"/>
          <w:color w:val="000000"/>
          <w:kern w:val="0"/>
          <w:sz w:val="24"/>
        </w:rPr>
        <w:t>；</w:t>
      </w:r>
    </w:p>
    <w:p>
      <w:pPr>
        <w:adjustRightInd w:val="0"/>
        <w:spacing w:line="500" w:lineRule="exact"/>
        <w:ind w:firstLine="480" w:firstLineChars="200"/>
        <w:rPr>
          <w:rFonts w:ascii="宋体" w:hAnsi="宋体"/>
          <w:b/>
          <w:color w:val="000000"/>
          <w:sz w:val="24"/>
        </w:rPr>
      </w:pPr>
      <w:r>
        <w:rPr>
          <w:rFonts w:ascii="宋体" w:hAnsi="宋体" w:cs="宋体"/>
          <w:color w:val="000000"/>
          <w:kern w:val="0"/>
          <w:sz w:val="24"/>
        </w:rPr>
        <w:t>(</w:t>
      </w:r>
      <w:r>
        <w:rPr>
          <w:rFonts w:hint="eastAsia" w:ascii="宋体" w:hAnsi="宋体" w:cs="宋体"/>
          <w:color w:val="000000"/>
          <w:kern w:val="0"/>
          <w:sz w:val="24"/>
        </w:rPr>
        <w:t>六</w:t>
      </w:r>
      <w:r>
        <w:rPr>
          <w:rFonts w:ascii="宋体" w:hAnsi="宋体" w:cs="宋体"/>
          <w:color w:val="000000"/>
          <w:kern w:val="0"/>
          <w:sz w:val="24"/>
        </w:rPr>
        <w:t>) 其它不符合受理条件的情形。</w:t>
      </w:r>
    </w:p>
    <w:p>
      <w:pPr>
        <w:pStyle w:val="3"/>
        <w:spacing w:line="500" w:lineRule="exact"/>
        <w:ind w:firstLine="482" w:firstLineChars="200"/>
        <w:jc w:val="both"/>
        <w:rPr>
          <w:rFonts w:ascii="宋体" w:hAnsi="宋体"/>
          <w:color w:val="000000"/>
          <w:sz w:val="24"/>
        </w:rPr>
      </w:pPr>
      <w:bookmarkStart w:id="214" w:name="_Toc453596842"/>
      <w:r>
        <w:rPr>
          <w:rFonts w:hint="eastAsia" w:ascii="宋体" w:hAnsi="宋体"/>
          <w:color w:val="000000"/>
          <w:sz w:val="24"/>
        </w:rPr>
        <w:t>3.5其他</w:t>
      </w:r>
      <w:bookmarkEnd w:id="214"/>
    </w:p>
    <w:p>
      <w:pPr>
        <w:adjustRightInd w:val="0"/>
        <w:spacing w:line="500" w:lineRule="exact"/>
        <w:ind w:firstLine="480" w:firstLineChars="200"/>
        <w:rPr>
          <w:rFonts w:ascii="宋体" w:hAnsi="宋体"/>
          <w:color w:val="000000"/>
          <w:sz w:val="24"/>
        </w:rPr>
      </w:pPr>
      <w:r>
        <w:rPr>
          <w:rFonts w:hint="eastAsia" w:ascii="宋体" w:hAnsi="宋体"/>
          <w:color w:val="000000"/>
          <w:sz w:val="24"/>
        </w:rPr>
        <w:t>甘肃政府采购网网址：</w:t>
      </w:r>
      <w:r>
        <w:fldChar w:fldCharType="begin"/>
      </w:r>
      <w:r>
        <w:instrText xml:space="preserve"> HYPERLINK "http://www.gszfcg.gansu.gov.cn/" </w:instrText>
      </w:r>
      <w:r>
        <w:fldChar w:fldCharType="separate"/>
      </w:r>
      <w:r>
        <w:rPr>
          <w:rStyle w:val="37"/>
          <w:rFonts w:hint="eastAsia" w:ascii="宋体" w:hAnsi="宋体"/>
          <w:color w:val="000000"/>
          <w:sz w:val="24"/>
        </w:rPr>
        <w:t>http://www.gszfcg.gansu.gov.cn/</w:t>
      </w:r>
      <w:r>
        <w:rPr>
          <w:rStyle w:val="37"/>
          <w:rFonts w:hint="eastAsia" w:ascii="宋体" w:hAnsi="宋体"/>
          <w:color w:val="000000"/>
          <w:sz w:val="24"/>
        </w:rPr>
        <w:fldChar w:fldCharType="end"/>
      </w:r>
    </w:p>
    <w:p>
      <w:pPr>
        <w:tabs>
          <w:tab w:val="left" w:pos="525"/>
        </w:tabs>
        <w:spacing w:line="500" w:lineRule="exact"/>
        <w:rPr>
          <w:rFonts w:ascii="宋体" w:hAnsi="宋体"/>
          <w:sz w:val="24"/>
        </w:rPr>
      </w:pPr>
      <w:r>
        <w:rPr>
          <w:rFonts w:hint="eastAsia" w:ascii="宋体" w:hAnsi="宋体"/>
          <w:sz w:val="24"/>
        </w:rPr>
        <w:t xml:space="preserve">    1.澄清或质疑函递交地点：中招国际招标有限公司甘肃分公司（</w:t>
      </w:r>
      <w:r>
        <w:rPr>
          <w:rFonts w:hint="eastAsia" w:ascii="宋体" w:hAnsi="宋体" w:cs="宋体"/>
          <w:kern w:val="0"/>
          <w:sz w:val="24"/>
        </w:rPr>
        <w:t>兰州市城关区天水北路万达写字楼3612室</w:t>
      </w:r>
      <w:r>
        <w:rPr>
          <w:rFonts w:hint="eastAsia" w:ascii="宋体" w:hAnsi="宋体"/>
          <w:sz w:val="24"/>
        </w:rPr>
        <w:t>）</w:t>
      </w:r>
    </w:p>
    <w:p>
      <w:pPr>
        <w:tabs>
          <w:tab w:val="left" w:pos="525"/>
        </w:tabs>
        <w:spacing w:line="500" w:lineRule="exact"/>
        <w:rPr>
          <w:rFonts w:ascii="宋体" w:hAnsi="宋体"/>
          <w:sz w:val="24"/>
        </w:rPr>
      </w:pPr>
      <w:r>
        <w:rPr>
          <w:rFonts w:hint="eastAsia" w:ascii="宋体" w:hAnsi="宋体"/>
          <w:sz w:val="24"/>
        </w:rPr>
        <w:t xml:space="preserve">   2. 澄清或质疑函的递交应当采取当面递交的形式。</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2"/>
        <w:rPr>
          <w:b w:val="0"/>
          <w:color w:val="000000"/>
          <w:sz w:val="24"/>
        </w:rPr>
      </w:pPr>
      <w:bookmarkStart w:id="215" w:name="_Toc453596843"/>
      <w:r>
        <w:rPr>
          <w:rFonts w:hint="eastAsia"/>
          <w:color w:val="000000"/>
        </w:rPr>
        <w:t>4、 货物需求</w:t>
      </w:r>
      <w:bookmarkEnd w:id="215"/>
    </w:p>
    <w:p>
      <w:pPr>
        <w:pStyle w:val="3"/>
        <w:ind w:firstLine="482" w:firstLineChars="200"/>
        <w:jc w:val="both"/>
        <w:rPr>
          <w:rFonts w:ascii="宋体" w:hAnsi="宋体"/>
          <w:color w:val="000000"/>
          <w:sz w:val="24"/>
        </w:rPr>
      </w:pPr>
      <w:bookmarkStart w:id="216" w:name="_Toc453596844"/>
      <w:bookmarkStart w:id="217" w:name="_Toc128372082"/>
      <w:bookmarkStart w:id="218" w:name="_Toc139965355"/>
      <w:bookmarkStart w:id="219" w:name="_Toc128372760"/>
      <w:r>
        <w:rPr>
          <w:rFonts w:hint="eastAsia" w:ascii="宋体" w:hAnsi="宋体"/>
          <w:color w:val="000000"/>
          <w:sz w:val="24"/>
        </w:rPr>
        <w:t>4.1货物需求一览表</w:t>
      </w:r>
      <w:bookmarkEnd w:id="216"/>
    </w:p>
    <w:tbl>
      <w:tblPr>
        <w:tblStyle w:val="40"/>
        <w:tblW w:w="8997" w:type="dxa"/>
        <w:jc w:val="center"/>
        <w:tblInd w:w="0" w:type="dxa"/>
        <w:tblLayout w:type="fixed"/>
        <w:tblCellMar>
          <w:top w:w="15" w:type="dxa"/>
          <w:left w:w="15" w:type="dxa"/>
          <w:bottom w:w="15" w:type="dxa"/>
          <w:right w:w="15" w:type="dxa"/>
        </w:tblCellMar>
      </w:tblPr>
      <w:tblGrid>
        <w:gridCol w:w="1207"/>
        <w:gridCol w:w="3413"/>
        <w:gridCol w:w="1935"/>
        <w:gridCol w:w="2442"/>
      </w:tblGrid>
      <w:tr>
        <w:tblPrEx>
          <w:tblLayout w:type="fixed"/>
          <w:tblCellMar>
            <w:top w:w="15" w:type="dxa"/>
            <w:left w:w="15" w:type="dxa"/>
            <w:bottom w:w="15" w:type="dxa"/>
            <w:right w:w="15" w:type="dxa"/>
          </w:tblCellMar>
        </w:tblPrEx>
        <w:trPr>
          <w:trHeight w:val="605" w:hRule="atLeast"/>
          <w:jc w:val="center"/>
        </w:trPr>
        <w:tc>
          <w:tcPr>
            <w:tcW w:w="1207"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ascii="宋体" w:hAnsi="宋体" w:cs="宋体"/>
                <w:b/>
                <w:color w:val="000000"/>
                <w:kern w:val="0"/>
                <w:sz w:val="24"/>
              </w:rPr>
            </w:pPr>
            <w:r>
              <w:rPr>
                <w:rFonts w:hint="eastAsia" w:ascii="宋体" w:hAnsi="宋体" w:cs="宋体"/>
                <w:b/>
                <w:color w:val="000000"/>
                <w:kern w:val="0"/>
                <w:sz w:val="24"/>
              </w:rPr>
              <w:t>品目号</w:t>
            </w:r>
          </w:p>
        </w:tc>
        <w:tc>
          <w:tcPr>
            <w:tcW w:w="3413"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ascii="宋体" w:hAnsi="宋体" w:cs="宋体"/>
                <w:b/>
                <w:color w:val="000000"/>
                <w:sz w:val="24"/>
              </w:rPr>
            </w:pPr>
            <w:r>
              <w:rPr>
                <w:rFonts w:hint="eastAsia" w:ascii="宋体" w:hAnsi="宋体" w:cs="宋体"/>
                <w:b/>
                <w:color w:val="000000"/>
                <w:sz w:val="24"/>
              </w:rPr>
              <w:t>货物名称</w:t>
            </w:r>
          </w:p>
        </w:tc>
        <w:tc>
          <w:tcPr>
            <w:tcW w:w="1935"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ascii="宋体" w:hAnsi="宋体" w:cs="宋体"/>
                <w:b/>
                <w:color w:val="000000"/>
                <w:sz w:val="24"/>
              </w:rPr>
            </w:pPr>
            <w:r>
              <w:rPr>
                <w:rFonts w:hint="eastAsia" w:ascii="宋体" w:hAnsi="宋体" w:cs="宋体"/>
                <w:b/>
                <w:color w:val="000000"/>
                <w:kern w:val="0"/>
                <w:sz w:val="24"/>
              </w:rPr>
              <w:t>采购数量</w:t>
            </w:r>
          </w:p>
        </w:tc>
        <w:tc>
          <w:tcPr>
            <w:tcW w:w="2442" w:type="dxa"/>
            <w:tcBorders>
              <w:top w:val="single" w:color="000000" w:sz="4" w:space="0"/>
              <w:left w:val="single" w:color="000000" w:sz="4" w:space="0"/>
              <w:bottom w:val="single" w:color="auto" w:sz="4" w:space="0"/>
              <w:right w:val="single" w:color="000000" w:sz="4" w:space="0"/>
            </w:tcBorders>
            <w:vAlign w:val="center"/>
          </w:tcPr>
          <w:p>
            <w:pPr>
              <w:widowControl/>
              <w:spacing w:line="500" w:lineRule="exact"/>
              <w:jc w:val="center"/>
              <w:textAlignment w:val="center"/>
              <w:rPr>
                <w:rFonts w:ascii="宋体" w:hAnsi="宋体" w:cs="宋体"/>
                <w:b/>
                <w:color w:val="000000"/>
                <w:kern w:val="0"/>
                <w:sz w:val="24"/>
              </w:rPr>
            </w:pPr>
            <w:r>
              <w:rPr>
                <w:rFonts w:hint="eastAsia" w:ascii="宋体" w:hAnsi="宋体" w:cs="宋体"/>
                <w:b/>
                <w:color w:val="000000"/>
                <w:kern w:val="0"/>
                <w:sz w:val="24"/>
              </w:rPr>
              <w:t>备注</w:t>
            </w:r>
          </w:p>
        </w:tc>
      </w:tr>
      <w:tr>
        <w:tblPrEx>
          <w:tblLayout w:type="fixed"/>
          <w:tblCellMar>
            <w:top w:w="15" w:type="dxa"/>
            <w:left w:w="15" w:type="dxa"/>
            <w:bottom w:w="15" w:type="dxa"/>
            <w:right w:w="15" w:type="dxa"/>
          </w:tblCellMar>
        </w:tblPrEx>
        <w:trPr>
          <w:trHeight w:val="700"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宋体" w:hAnsi="宋体" w:cs="宋体"/>
                <w:color w:val="000000"/>
                <w:kern w:val="0"/>
                <w:sz w:val="24"/>
              </w:rPr>
            </w:pPr>
          </w:p>
        </w:tc>
        <w:tc>
          <w:tcPr>
            <w:tcW w:w="341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宋体" w:hAnsi="宋体" w:cs="宋体"/>
                <w:color w:val="000000"/>
                <w:kern w:val="0"/>
                <w:sz w:val="24"/>
              </w:rPr>
            </w:pPr>
          </w:p>
        </w:tc>
        <w:tc>
          <w:tcPr>
            <w:tcW w:w="193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宋体" w:hAnsi="宋体" w:cs="宋体"/>
                <w:color w:val="000000"/>
                <w:sz w:val="24"/>
              </w:rPr>
            </w:pPr>
          </w:p>
        </w:tc>
        <w:tc>
          <w:tcPr>
            <w:tcW w:w="244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textAlignment w:val="center"/>
              <w:rPr>
                <w:rFonts w:ascii="宋体" w:hAnsi="宋体" w:cs="宋体"/>
                <w:color w:val="000000"/>
                <w:kern w:val="0"/>
                <w:sz w:val="24"/>
              </w:rPr>
            </w:pPr>
          </w:p>
        </w:tc>
      </w:tr>
    </w:tbl>
    <w:p>
      <w:pPr>
        <w:rPr>
          <w:rFonts w:ascii="宋体" w:hAnsi="宋体"/>
          <w:color w:val="000000"/>
        </w:rPr>
      </w:pPr>
      <w:r>
        <w:rPr>
          <w:rFonts w:hint="eastAsia" w:ascii="宋体" w:hAnsi="宋体"/>
          <w:color w:val="000000"/>
        </w:rPr>
        <w:t xml:space="preserve">    </w:t>
      </w:r>
    </w:p>
    <w:p>
      <w:pPr>
        <w:ind w:firstLine="480" w:firstLineChars="200"/>
        <w:rPr>
          <w:rFonts w:ascii="宋体" w:hAnsi="宋体"/>
          <w:color w:val="000000"/>
          <w:sz w:val="24"/>
        </w:rPr>
      </w:pPr>
      <w:r>
        <w:rPr>
          <w:rFonts w:hint="eastAsia" w:ascii="宋体" w:hAnsi="宋体"/>
          <w:color w:val="000000"/>
          <w:sz w:val="24"/>
        </w:rPr>
        <w:t>注：表中“货物名称”为通用名称，且要求所投产品为20</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日以后生产的合格产品。</w:t>
      </w:r>
    </w:p>
    <w:p>
      <w:pPr>
        <w:pStyle w:val="3"/>
        <w:ind w:firstLine="482" w:firstLineChars="200"/>
        <w:jc w:val="both"/>
        <w:rPr>
          <w:rFonts w:ascii="宋体" w:hAnsi="宋体"/>
          <w:b w:val="0"/>
          <w:bCs w:val="0"/>
          <w:color w:val="000000"/>
          <w:spacing w:val="-6"/>
          <w:sz w:val="24"/>
        </w:rPr>
      </w:pPr>
      <w:bookmarkStart w:id="220" w:name="_Toc453596845"/>
      <w:r>
        <w:rPr>
          <w:rFonts w:hint="eastAsia" w:ascii="宋体" w:hAnsi="宋体"/>
          <w:color w:val="000000"/>
          <w:sz w:val="24"/>
        </w:rPr>
        <w:t>4.2 交货时间及地点：</w:t>
      </w:r>
      <w:bookmarkEnd w:id="220"/>
      <w:r>
        <w:rPr>
          <w:rFonts w:hint="eastAsia" w:ascii="宋体" w:hAnsi="宋体"/>
          <w:color w:val="000000"/>
          <w:sz w:val="24"/>
        </w:rPr>
        <w:t xml:space="preserve"> </w:t>
      </w:r>
      <w:r>
        <w:rPr>
          <w:rFonts w:hint="eastAsia" w:ascii="宋体" w:hAnsi="宋体"/>
          <w:b w:val="0"/>
          <w:bCs w:val="0"/>
          <w:color w:val="000000"/>
          <w:spacing w:val="-6"/>
          <w:sz w:val="24"/>
        </w:rPr>
        <w:t xml:space="preserve"> </w:t>
      </w:r>
    </w:p>
    <w:p>
      <w:pPr>
        <w:pStyle w:val="14"/>
        <w:spacing w:line="360" w:lineRule="auto"/>
        <w:ind w:left="479" w:leftChars="228" w:firstLine="0"/>
        <w:rPr>
          <w:rFonts w:ascii="宋体" w:hAnsi="宋体"/>
          <w:b w:val="0"/>
          <w:bCs w:val="0"/>
          <w:color w:val="000000"/>
          <w:spacing w:val="-6"/>
          <w:sz w:val="24"/>
        </w:rPr>
      </w:pPr>
      <w:r>
        <w:rPr>
          <w:rFonts w:hint="eastAsia" w:ascii="宋体" w:hAnsi="宋体"/>
          <w:b w:val="0"/>
          <w:bCs w:val="0"/>
          <w:color w:val="000000"/>
          <w:spacing w:val="-6"/>
          <w:sz w:val="24"/>
        </w:rPr>
        <w:t>交货时间：按照合同签订期限供货。</w:t>
      </w:r>
    </w:p>
    <w:p>
      <w:pPr>
        <w:pStyle w:val="14"/>
        <w:spacing w:line="360" w:lineRule="auto"/>
        <w:ind w:left="479" w:leftChars="228" w:firstLine="0"/>
        <w:rPr>
          <w:rFonts w:ascii="宋体" w:hAnsi="宋体"/>
          <w:b w:val="0"/>
          <w:bCs w:val="0"/>
          <w:color w:val="000000"/>
          <w:spacing w:val="-6"/>
          <w:sz w:val="24"/>
        </w:rPr>
      </w:pPr>
      <w:r>
        <w:rPr>
          <w:rFonts w:hint="eastAsia" w:ascii="宋体" w:hAnsi="宋体"/>
          <w:b w:val="0"/>
          <w:bCs w:val="0"/>
          <w:color w:val="000000"/>
          <w:spacing w:val="-6"/>
          <w:sz w:val="24"/>
        </w:rPr>
        <w:t>交货地点：白银市食品检验检测中心指定地点。</w:t>
      </w:r>
    </w:p>
    <w:p>
      <w:pPr>
        <w:rPr>
          <w:rFonts w:ascii="宋体" w:hAnsi="宋体"/>
          <w:color w:val="000000"/>
        </w:rPr>
      </w:pPr>
      <w:r>
        <w:rPr>
          <w:rFonts w:hint="eastAsia" w:ascii="宋体" w:hAnsi="宋体"/>
          <w:color w:val="000000"/>
        </w:rPr>
        <w:t xml:space="preserve">    </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bookmarkEnd w:id="217"/>
    <w:bookmarkEnd w:id="218"/>
    <w:bookmarkEnd w:id="219"/>
    <w:p>
      <w:pPr>
        <w:pStyle w:val="2"/>
        <w:numPr>
          <w:ilvl w:val="0"/>
          <w:numId w:val="5"/>
        </w:numPr>
        <w:spacing w:line="480" w:lineRule="exact"/>
      </w:pPr>
      <w:bookmarkStart w:id="221" w:name="_Toc453596846"/>
      <w:r>
        <w:rPr>
          <w:rFonts w:hint="eastAsia"/>
          <w:color w:val="000000"/>
        </w:rPr>
        <w:t>技术要求</w:t>
      </w:r>
      <w:bookmarkEnd w:id="221"/>
    </w:p>
    <w:p>
      <w:pPr>
        <w:spacing w:line="500" w:lineRule="exact"/>
        <w:jc w:val="center"/>
        <w:rPr>
          <w:rFonts w:ascii="宋体" w:hAnsi="宋体"/>
          <w:b/>
          <w:bCs/>
          <w:sz w:val="28"/>
          <w:szCs w:val="28"/>
        </w:rPr>
      </w:pPr>
      <w:bookmarkStart w:id="222" w:name="_Toc453596847"/>
      <w:r>
        <w:rPr>
          <w:rFonts w:hint="eastAsia" w:ascii="宋体" w:hAnsi="宋体"/>
          <w:b/>
          <w:bCs/>
          <w:sz w:val="28"/>
          <w:szCs w:val="28"/>
        </w:rPr>
        <w:t>品目1：纯水超纯水系统</w:t>
      </w:r>
    </w:p>
    <w:p>
      <w:pPr>
        <w:spacing w:line="500" w:lineRule="exact"/>
        <w:rPr>
          <w:rFonts w:ascii="宋体" w:hAnsi="宋体"/>
          <w:b/>
          <w:sz w:val="24"/>
        </w:rPr>
      </w:pPr>
      <w:r>
        <w:rPr>
          <w:rFonts w:hint="eastAsia" w:ascii="宋体" w:hAnsi="宋体"/>
          <w:b/>
          <w:sz w:val="24"/>
        </w:rPr>
        <w:t>原装进口。</w:t>
      </w:r>
    </w:p>
    <w:p>
      <w:pPr>
        <w:tabs>
          <w:tab w:val="left" w:pos="720"/>
          <w:tab w:val="left" w:pos="1440"/>
        </w:tabs>
        <w:spacing w:line="500" w:lineRule="exact"/>
        <w:ind w:left="1928" w:hanging="1928" w:hangingChars="800"/>
        <w:rPr>
          <w:rFonts w:ascii="宋体" w:hAnsi="宋体" w:cs="宋体"/>
          <w:b/>
          <w:kern w:val="0"/>
          <w:sz w:val="24"/>
        </w:rPr>
      </w:pPr>
      <w:r>
        <w:rPr>
          <w:rFonts w:hint="eastAsia" w:ascii="宋体" w:hAnsi="宋体"/>
          <w:b/>
          <w:sz w:val="24"/>
        </w:rPr>
        <w:t>一、技术指标</w:t>
      </w:r>
    </w:p>
    <w:p>
      <w:pPr>
        <w:spacing w:line="500" w:lineRule="exact"/>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该系统由自来水作进水，连续生产</w:t>
      </w:r>
      <w:r>
        <w:rPr>
          <w:rFonts w:ascii="宋体" w:hAnsi="宋体"/>
          <w:sz w:val="24"/>
        </w:rPr>
        <w:t>II</w:t>
      </w:r>
      <w:r>
        <w:rPr>
          <w:rFonts w:hint="eastAsia" w:ascii="宋体" w:hAnsi="宋体"/>
          <w:sz w:val="24"/>
        </w:rPr>
        <w:t>级纯水和</w:t>
      </w:r>
      <w:r>
        <w:rPr>
          <w:rFonts w:ascii="宋体" w:hAnsi="宋体"/>
          <w:sz w:val="24"/>
        </w:rPr>
        <w:t>I</w:t>
      </w:r>
      <w:r>
        <w:rPr>
          <w:rFonts w:hint="eastAsia" w:ascii="宋体" w:hAnsi="宋体"/>
          <w:sz w:val="24"/>
        </w:rPr>
        <w:t>级超纯水。该系统由自来水预过滤组件，预处理柱，反渗透膜，连续电流去离子模块，纯水存储水箱，预纯化柱、双波长紫外灯、超纯化柱、终端过滤器以及</w:t>
      </w:r>
      <w:r>
        <w:rPr>
          <w:rFonts w:hint="eastAsia" w:ascii="宋体" w:hAnsi="宋体"/>
          <w:bCs/>
          <w:sz w:val="24"/>
        </w:rPr>
        <w:t>带显示屏的</w:t>
      </w:r>
      <w:r>
        <w:rPr>
          <w:rFonts w:ascii="宋体" w:hAnsi="宋体"/>
          <w:bCs/>
          <w:sz w:val="24"/>
        </w:rPr>
        <w:t>超纯水</w:t>
      </w:r>
      <w:r>
        <w:rPr>
          <w:rFonts w:hint="eastAsia" w:ascii="宋体" w:hAnsi="宋体"/>
          <w:bCs/>
          <w:sz w:val="24"/>
        </w:rPr>
        <w:t>POD 取水器</w:t>
      </w:r>
      <w:r>
        <w:rPr>
          <w:rFonts w:hint="eastAsia" w:ascii="宋体" w:hAnsi="宋体"/>
          <w:sz w:val="24"/>
        </w:rPr>
        <w:t>组成。</w:t>
      </w:r>
    </w:p>
    <w:p>
      <w:pPr>
        <w:spacing w:line="500" w:lineRule="exact"/>
        <w:rPr>
          <w:rFonts w:ascii="宋体" w:hAnsi="宋体"/>
          <w:sz w:val="24"/>
        </w:rPr>
      </w:pPr>
      <w:r>
        <w:rPr>
          <w:rFonts w:hint="eastAsia" w:ascii="宋体" w:hAnsi="宋体"/>
          <w:sz w:val="24"/>
        </w:rPr>
        <w:t>1</w:t>
      </w:r>
      <w:r>
        <w:rPr>
          <w:rFonts w:ascii="宋体" w:hAnsi="宋体"/>
          <w:sz w:val="24"/>
        </w:rPr>
        <w:t xml:space="preserve">.2 </w:t>
      </w:r>
      <w:r>
        <w:rPr>
          <w:rFonts w:hint="eastAsia" w:ascii="宋体" w:hAnsi="宋体"/>
          <w:sz w:val="24"/>
        </w:rPr>
        <w:t>纯水产水</w:t>
      </w:r>
    </w:p>
    <w:p>
      <w:pPr>
        <w:spacing w:line="500" w:lineRule="exact"/>
        <w:rPr>
          <w:rFonts w:ascii="宋体" w:hAnsi="宋体"/>
          <w:sz w:val="24"/>
        </w:rPr>
      </w:pPr>
      <w:r>
        <w:rPr>
          <w:rFonts w:hint="eastAsia" w:ascii="宋体" w:hAnsi="宋体"/>
          <w:sz w:val="24"/>
        </w:rPr>
        <w:t>1</w:t>
      </w:r>
      <w:r>
        <w:rPr>
          <w:rFonts w:ascii="宋体" w:hAnsi="宋体"/>
          <w:sz w:val="24"/>
        </w:rPr>
        <w:t>.2.1</w:t>
      </w:r>
      <w:r>
        <w:rPr>
          <w:rFonts w:hint="eastAsia" w:ascii="宋体" w:hAnsi="宋体"/>
          <w:sz w:val="24"/>
        </w:rPr>
        <w:t>电阻率 ＞ 5 MΩ·cm @25℃ 典型值为10-15 MΩ·cm @25℃</w:t>
      </w:r>
    </w:p>
    <w:p>
      <w:pPr>
        <w:spacing w:line="500" w:lineRule="exact"/>
        <w:rPr>
          <w:rFonts w:ascii="宋体" w:hAnsi="宋体"/>
          <w:sz w:val="24"/>
        </w:rPr>
      </w:pPr>
      <w:r>
        <w:rPr>
          <w:rFonts w:hint="eastAsia" w:ascii="宋体" w:hAnsi="宋体"/>
          <w:sz w:val="24"/>
        </w:rPr>
        <w:t>1</w:t>
      </w:r>
      <w:r>
        <w:rPr>
          <w:rFonts w:ascii="宋体" w:hAnsi="宋体"/>
          <w:sz w:val="24"/>
        </w:rPr>
        <w:t>.2.2</w:t>
      </w:r>
      <w:r>
        <w:rPr>
          <w:rFonts w:hint="eastAsia" w:ascii="宋体" w:hAnsi="宋体"/>
          <w:sz w:val="24"/>
        </w:rPr>
        <w:t>总有机碳含量(TOC) ＜ 30ppb；</w:t>
      </w:r>
    </w:p>
    <w:p>
      <w:pPr>
        <w:spacing w:line="500" w:lineRule="exact"/>
        <w:rPr>
          <w:rFonts w:ascii="宋体" w:hAnsi="宋体"/>
          <w:sz w:val="24"/>
        </w:rPr>
      </w:pPr>
      <w:r>
        <w:rPr>
          <w:rFonts w:hint="eastAsia" w:ascii="宋体" w:hAnsi="宋体"/>
          <w:sz w:val="24"/>
        </w:rPr>
        <w:t>1</w:t>
      </w:r>
      <w:r>
        <w:rPr>
          <w:rFonts w:ascii="宋体" w:hAnsi="宋体"/>
          <w:sz w:val="24"/>
        </w:rPr>
        <w:t>.2.5</w:t>
      </w:r>
      <w:r>
        <w:rPr>
          <w:rFonts w:hint="eastAsia" w:ascii="宋体" w:hAnsi="宋体"/>
          <w:sz w:val="24"/>
        </w:rPr>
        <w:t>产水流速：</w:t>
      </w:r>
      <w:r>
        <w:rPr>
          <w:rFonts w:ascii="宋体" w:hAnsi="宋体"/>
          <w:sz w:val="24"/>
        </w:rPr>
        <w:t>5</w:t>
      </w:r>
      <w:r>
        <w:rPr>
          <w:rFonts w:hint="eastAsia" w:ascii="宋体" w:hAnsi="宋体"/>
          <w:sz w:val="24"/>
        </w:rPr>
        <w:t xml:space="preserve"> L/H</w:t>
      </w:r>
    </w:p>
    <w:p>
      <w:pPr>
        <w:spacing w:line="500" w:lineRule="exact"/>
        <w:rPr>
          <w:rFonts w:ascii="宋体" w:hAnsi="宋体"/>
          <w:sz w:val="24"/>
        </w:rPr>
      </w:pPr>
      <w:r>
        <w:rPr>
          <w:rFonts w:hint="eastAsia" w:ascii="宋体" w:hAnsi="宋体"/>
          <w:sz w:val="24"/>
        </w:rPr>
        <w:t>1</w:t>
      </w:r>
      <w:r>
        <w:rPr>
          <w:rFonts w:ascii="宋体" w:hAnsi="宋体"/>
          <w:sz w:val="24"/>
        </w:rPr>
        <w:t>.2.6</w:t>
      </w:r>
      <w:r>
        <w:rPr>
          <w:rFonts w:hint="eastAsia" w:ascii="宋体" w:hAnsi="宋体"/>
          <w:sz w:val="24"/>
        </w:rPr>
        <w:t>产水储存于外置同品牌</w:t>
      </w:r>
      <w:r>
        <w:rPr>
          <w:rFonts w:ascii="宋体" w:hAnsi="宋体"/>
          <w:sz w:val="24"/>
        </w:rPr>
        <w:t>6</w:t>
      </w:r>
      <w:r>
        <w:rPr>
          <w:rFonts w:hint="eastAsia" w:ascii="宋体" w:hAnsi="宋体"/>
          <w:sz w:val="24"/>
        </w:rPr>
        <w:t>0L非压力水箱，HDPE材质, 圆锥形可完全排空, 配空气过滤器、全量程液位传感器、漏水监测器</w:t>
      </w:r>
    </w:p>
    <w:p>
      <w:pPr>
        <w:spacing w:line="500" w:lineRule="exact"/>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超纯水产水</w:t>
      </w:r>
    </w:p>
    <w:p>
      <w:pPr>
        <w:spacing w:line="500" w:lineRule="exact"/>
        <w:rPr>
          <w:rFonts w:ascii="宋体" w:hAnsi="宋体"/>
          <w:sz w:val="24"/>
        </w:rPr>
      </w:pPr>
      <w:r>
        <w:rPr>
          <w:rFonts w:hint="eastAsia" w:ascii="宋体" w:hAnsi="宋体"/>
          <w:sz w:val="24"/>
        </w:rPr>
        <w:t>1</w:t>
      </w:r>
      <w:r>
        <w:rPr>
          <w:rFonts w:ascii="宋体" w:hAnsi="宋体"/>
          <w:sz w:val="24"/>
        </w:rPr>
        <w:t>.3.1</w:t>
      </w:r>
      <w:r>
        <w:rPr>
          <w:rFonts w:hint="eastAsia" w:ascii="宋体" w:hAnsi="宋体"/>
          <w:sz w:val="24"/>
        </w:rPr>
        <w:t>电阻率：18.2 MΩ.cm @25℃</w:t>
      </w:r>
    </w:p>
    <w:p>
      <w:pPr>
        <w:spacing w:line="500" w:lineRule="exact"/>
        <w:rPr>
          <w:rFonts w:ascii="宋体" w:hAnsi="宋体"/>
          <w:sz w:val="24"/>
        </w:rPr>
      </w:pPr>
      <w:r>
        <w:rPr>
          <w:rFonts w:hint="eastAsia" w:ascii="宋体" w:hAnsi="宋体"/>
          <w:sz w:val="24"/>
        </w:rPr>
        <w:t>1</w:t>
      </w:r>
      <w:r>
        <w:rPr>
          <w:rFonts w:ascii="宋体" w:hAnsi="宋体"/>
          <w:sz w:val="24"/>
        </w:rPr>
        <w:t xml:space="preserve">.3.2 </w:t>
      </w:r>
      <w:r>
        <w:rPr>
          <w:rFonts w:hint="eastAsia" w:ascii="宋体" w:hAnsi="宋体"/>
          <w:sz w:val="24"/>
        </w:rPr>
        <w:t>总有机碳TOC≤2ppb</w:t>
      </w:r>
    </w:p>
    <w:p>
      <w:pPr>
        <w:spacing w:line="500" w:lineRule="exact"/>
        <w:rPr>
          <w:rFonts w:ascii="宋体" w:hAnsi="宋体"/>
          <w:sz w:val="24"/>
        </w:rPr>
      </w:pPr>
      <w:r>
        <w:rPr>
          <w:rFonts w:hint="eastAsia" w:ascii="宋体" w:hAnsi="宋体"/>
          <w:sz w:val="24"/>
        </w:rPr>
        <w:t>1</w:t>
      </w:r>
      <w:r>
        <w:rPr>
          <w:rFonts w:ascii="宋体" w:hAnsi="宋体"/>
          <w:sz w:val="24"/>
        </w:rPr>
        <w:t xml:space="preserve">.3.3 </w:t>
      </w:r>
      <w:r>
        <w:rPr>
          <w:rFonts w:hint="eastAsia" w:ascii="宋体" w:hAnsi="宋体"/>
          <w:sz w:val="24"/>
        </w:rPr>
        <w:t>内毒素：＜ 0.</w:t>
      </w:r>
      <w:r>
        <w:rPr>
          <w:rFonts w:ascii="宋体" w:hAnsi="宋体"/>
          <w:sz w:val="24"/>
        </w:rPr>
        <w:t>00</w:t>
      </w:r>
      <w:r>
        <w:rPr>
          <w:rFonts w:hint="eastAsia" w:ascii="宋体" w:hAnsi="宋体"/>
          <w:sz w:val="24"/>
        </w:rPr>
        <w:t xml:space="preserve">1 </w:t>
      </w:r>
      <w:r>
        <w:rPr>
          <w:rFonts w:ascii="宋体" w:hAnsi="宋体"/>
          <w:sz w:val="24"/>
        </w:rPr>
        <w:t>Eu</w:t>
      </w:r>
      <w:r>
        <w:rPr>
          <w:rFonts w:hint="eastAsia" w:ascii="宋体" w:hAnsi="宋体"/>
          <w:sz w:val="24"/>
        </w:rPr>
        <w:t>/ml；</w:t>
      </w:r>
    </w:p>
    <w:p>
      <w:pPr>
        <w:spacing w:line="500" w:lineRule="exact"/>
        <w:rPr>
          <w:rFonts w:ascii="宋体" w:hAnsi="宋体"/>
          <w:sz w:val="24"/>
        </w:rPr>
      </w:pPr>
      <w:r>
        <w:rPr>
          <w:rFonts w:ascii="宋体" w:hAnsi="宋体"/>
          <w:b/>
          <w:bCs/>
          <w:sz w:val="24"/>
        </w:rPr>
        <w:t>*</w:t>
      </w:r>
      <w:r>
        <w:rPr>
          <w:rFonts w:hint="eastAsia" w:ascii="宋体" w:hAnsi="宋体"/>
          <w:sz w:val="24"/>
        </w:rPr>
        <w:t>1</w:t>
      </w:r>
      <w:r>
        <w:rPr>
          <w:rFonts w:ascii="宋体" w:hAnsi="宋体"/>
          <w:sz w:val="24"/>
        </w:rPr>
        <w:t xml:space="preserve">.3.4  </w:t>
      </w:r>
      <w:r>
        <w:rPr>
          <w:rFonts w:hint="eastAsia" w:ascii="宋体" w:hAnsi="宋体"/>
          <w:sz w:val="24"/>
        </w:rPr>
        <w:t>细菌：＜ 0.</w:t>
      </w:r>
      <w:r>
        <w:rPr>
          <w:rFonts w:ascii="宋体" w:hAnsi="宋体"/>
          <w:sz w:val="24"/>
        </w:rPr>
        <w:t>0</w:t>
      </w:r>
      <w:r>
        <w:rPr>
          <w:rFonts w:hint="eastAsia" w:ascii="宋体" w:hAnsi="宋体"/>
          <w:sz w:val="24"/>
        </w:rPr>
        <w:t>1 CFU/ml</w:t>
      </w:r>
    </w:p>
    <w:p>
      <w:pPr>
        <w:spacing w:line="500" w:lineRule="exact"/>
        <w:rPr>
          <w:rFonts w:ascii="宋体" w:hAnsi="宋体"/>
          <w:sz w:val="24"/>
        </w:rPr>
      </w:pPr>
      <w:r>
        <w:rPr>
          <w:rFonts w:hint="eastAsia" w:ascii="宋体" w:hAnsi="宋体"/>
          <w:sz w:val="24"/>
        </w:rPr>
        <w:t>1</w:t>
      </w:r>
      <w:r>
        <w:rPr>
          <w:rFonts w:ascii="宋体" w:hAnsi="宋体"/>
          <w:sz w:val="24"/>
        </w:rPr>
        <w:t>.3.5</w:t>
      </w:r>
      <w:r>
        <w:rPr>
          <w:rFonts w:hint="eastAsia" w:ascii="宋体" w:hAnsi="宋体"/>
          <w:sz w:val="24"/>
        </w:rPr>
        <w:t>产水流速：0.05 - 2.0 L/min</w:t>
      </w:r>
    </w:p>
    <w:p>
      <w:pPr>
        <w:spacing w:line="500" w:lineRule="exact"/>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系统监控及主要纯化部件：</w:t>
      </w:r>
    </w:p>
    <w:p>
      <w:pPr>
        <w:spacing w:line="500" w:lineRule="exact"/>
        <w:rPr>
          <w:rFonts w:ascii="宋体" w:hAnsi="宋体"/>
          <w:sz w:val="24"/>
        </w:rPr>
      </w:pPr>
      <w:r>
        <w:rPr>
          <w:rFonts w:hint="eastAsia" w:ascii="宋体" w:hAnsi="宋体"/>
          <w:sz w:val="24"/>
        </w:rPr>
        <w:t>1</w:t>
      </w:r>
      <w:r>
        <w:rPr>
          <w:rFonts w:ascii="宋体" w:hAnsi="宋体"/>
          <w:sz w:val="24"/>
        </w:rPr>
        <w:t xml:space="preserve">.4.1 </w:t>
      </w:r>
      <w:r>
        <w:rPr>
          <w:rFonts w:hint="eastAsia" w:ascii="宋体" w:hAnsi="宋体"/>
          <w:sz w:val="24"/>
        </w:rPr>
        <w:t>纯水</w:t>
      </w:r>
      <w:r>
        <w:rPr>
          <w:rFonts w:ascii="宋体" w:hAnsi="宋体"/>
          <w:sz w:val="24"/>
        </w:rPr>
        <w:t>及超纯水</w:t>
      </w:r>
      <w:r>
        <w:rPr>
          <w:rFonts w:hint="eastAsia" w:ascii="宋体" w:hAnsi="宋体"/>
          <w:sz w:val="24"/>
        </w:rPr>
        <w:t>系统内置高精度电阻率检测仪，电极常数为0.01cm-1，温度灵敏度达到0.1℃, 采用同轴电极专利设计，准确检测和显示温度补偿的电阻率，符合ASTM® D 1125-95(2009)及USP(§645)电阻率系统适应性测试要求，可溯源到NIST，投标文件需</w:t>
      </w:r>
      <w:r>
        <w:rPr>
          <w:rFonts w:ascii="Arial" w:hAnsi="Arial" w:cs="Arial"/>
          <w:color w:val="000000"/>
          <w:kern w:val="0"/>
          <w:sz w:val="24"/>
        </w:rPr>
        <w:t>提供电阻率检测器原厂检验证书复印件</w:t>
      </w:r>
      <w:r>
        <w:rPr>
          <w:rFonts w:hint="eastAsia" w:ascii="宋体" w:hAnsi="宋体"/>
          <w:sz w:val="24"/>
        </w:rPr>
        <w:t>。</w:t>
      </w:r>
    </w:p>
    <w:p>
      <w:pPr>
        <w:spacing w:line="500" w:lineRule="exact"/>
        <w:rPr>
          <w:rFonts w:ascii="宋体" w:hAnsi="宋体"/>
          <w:sz w:val="24"/>
        </w:rPr>
      </w:pPr>
      <w:r>
        <w:rPr>
          <w:rFonts w:hint="eastAsia" w:ascii="宋体" w:hAnsi="宋体"/>
          <w:b/>
          <w:bCs/>
          <w:sz w:val="24"/>
        </w:rPr>
        <w:t xml:space="preserve">* </w:t>
      </w:r>
      <w:r>
        <w:rPr>
          <w:rFonts w:hint="eastAsia" w:ascii="宋体" w:hAnsi="宋体"/>
          <w:sz w:val="24"/>
        </w:rPr>
        <w:t>1</w:t>
      </w:r>
      <w:r>
        <w:rPr>
          <w:rFonts w:ascii="宋体" w:hAnsi="宋体"/>
          <w:sz w:val="24"/>
        </w:rPr>
        <w:t>.4.2</w:t>
      </w:r>
      <w:r>
        <w:rPr>
          <w:rFonts w:hint="eastAsia" w:ascii="宋体" w:hAnsi="宋体"/>
          <w:sz w:val="24"/>
        </w:rPr>
        <w:t>超</w:t>
      </w:r>
      <w:r>
        <w:rPr>
          <w:rFonts w:ascii="宋体" w:hAnsi="宋体"/>
          <w:sz w:val="24"/>
        </w:rPr>
        <w:t>纯水</w:t>
      </w:r>
      <w:r>
        <w:rPr>
          <w:rFonts w:hint="eastAsia" w:ascii="宋体" w:hAnsi="宋体"/>
          <w:sz w:val="24"/>
        </w:rPr>
        <w:t xml:space="preserve">内置独立集成式TOC检测仪，检测范围: </w:t>
      </w:r>
      <w:r>
        <w:rPr>
          <w:rFonts w:ascii="宋体" w:hAnsi="宋体"/>
          <w:sz w:val="24"/>
        </w:rPr>
        <w:t>1</w:t>
      </w:r>
      <w:r>
        <w:rPr>
          <w:rFonts w:hint="eastAsia" w:ascii="宋体" w:hAnsi="宋体"/>
          <w:sz w:val="24"/>
        </w:rPr>
        <w:t xml:space="preserve"> - </w:t>
      </w:r>
      <w:r>
        <w:rPr>
          <w:rFonts w:ascii="宋体" w:hAnsi="宋体"/>
          <w:sz w:val="24"/>
        </w:rPr>
        <w:t>999</w:t>
      </w:r>
      <w:r>
        <w:rPr>
          <w:rFonts w:hint="eastAsia" w:ascii="宋体" w:hAnsi="宋体"/>
          <w:sz w:val="24"/>
        </w:rPr>
        <w:t xml:space="preserve"> ppb，符合USP(§643)TOC系统适应性测试对500ppb测试标准溶液的要求，投标文件需</w:t>
      </w:r>
      <w:r>
        <w:rPr>
          <w:rFonts w:ascii="Arial" w:hAnsi="Arial" w:cs="Arial"/>
          <w:color w:val="000000"/>
          <w:kern w:val="0"/>
          <w:sz w:val="24"/>
        </w:rPr>
        <w:t>提供原厂检验证书复印件</w:t>
      </w:r>
      <w:r>
        <w:rPr>
          <w:rFonts w:hint="eastAsia" w:ascii="宋体" w:hAnsi="宋体"/>
          <w:sz w:val="24"/>
        </w:rPr>
        <w:t>，公开印刷资料应</w:t>
      </w:r>
      <w:r>
        <w:rPr>
          <w:rFonts w:ascii="宋体" w:hAnsi="宋体"/>
          <w:sz w:val="24"/>
        </w:rPr>
        <w:t>有相关描述。</w:t>
      </w:r>
    </w:p>
    <w:p>
      <w:pPr>
        <w:spacing w:line="500" w:lineRule="exact"/>
        <w:rPr>
          <w:rFonts w:ascii="宋体" w:hAnsi="宋体"/>
          <w:sz w:val="24"/>
        </w:rPr>
      </w:pPr>
      <w:r>
        <w:rPr>
          <w:rFonts w:hint="eastAsia" w:ascii="宋体" w:hAnsi="宋体"/>
          <w:b/>
          <w:bCs/>
          <w:sz w:val="24"/>
        </w:rPr>
        <w:t>*</w:t>
      </w:r>
      <w:r>
        <w:rPr>
          <w:rFonts w:ascii="宋体" w:hAnsi="宋体"/>
          <w:b/>
          <w:bCs/>
          <w:sz w:val="24"/>
        </w:rPr>
        <w:t xml:space="preserve"> </w:t>
      </w:r>
      <w:r>
        <w:rPr>
          <w:rFonts w:hint="eastAsia" w:ascii="宋体" w:hAnsi="宋体"/>
          <w:sz w:val="24"/>
        </w:rPr>
        <w:t>1</w:t>
      </w:r>
      <w:r>
        <w:rPr>
          <w:rFonts w:ascii="宋体" w:hAnsi="宋体"/>
          <w:sz w:val="24"/>
        </w:rPr>
        <w:t xml:space="preserve">.4.3 </w:t>
      </w:r>
      <w:r>
        <w:rPr>
          <w:rFonts w:hint="eastAsia" w:ascii="宋体" w:hAnsi="宋体"/>
          <w:sz w:val="24"/>
        </w:rPr>
        <w:t>内置独立式连续电流去离子模块前端无需增加软化柱或防毒柱。</w:t>
      </w:r>
    </w:p>
    <w:p>
      <w:pPr>
        <w:spacing w:line="500" w:lineRule="exact"/>
        <w:rPr>
          <w:rFonts w:ascii="宋体" w:hAnsi="宋体"/>
          <w:sz w:val="24"/>
        </w:rPr>
      </w:pPr>
      <w:r>
        <w:rPr>
          <w:rFonts w:hint="eastAsia" w:ascii="宋体" w:hAnsi="宋体"/>
          <w:sz w:val="24"/>
        </w:rPr>
        <w:t>1</w:t>
      </w:r>
      <w:r>
        <w:rPr>
          <w:rFonts w:ascii="宋体" w:hAnsi="宋体"/>
          <w:sz w:val="24"/>
        </w:rPr>
        <w:t>.4.4</w:t>
      </w:r>
      <w:r>
        <w:rPr>
          <w:rFonts w:hint="eastAsia" w:ascii="宋体" w:hAnsi="宋体"/>
          <w:sz w:val="24"/>
        </w:rPr>
        <w:t>纯水</w:t>
      </w:r>
      <w:r>
        <w:rPr>
          <w:rFonts w:ascii="宋体" w:hAnsi="宋体"/>
          <w:sz w:val="24"/>
        </w:rPr>
        <w:t>系统</w:t>
      </w:r>
      <w:r>
        <w:rPr>
          <w:rFonts w:hint="eastAsia" w:ascii="宋体" w:hAnsi="宋体"/>
          <w:sz w:val="24"/>
        </w:rPr>
        <w:t>内置具备温度反馈功能的恒流泵，保证水温7℃-35℃间均可达到系统标称产水速率。</w:t>
      </w:r>
    </w:p>
    <w:p>
      <w:pPr>
        <w:spacing w:line="500" w:lineRule="exact"/>
        <w:rPr>
          <w:rFonts w:ascii="宋体" w:hAnsi="宋体"/>
          <w:sz w:val="24"/>
        </w:rPr>
      </w:pPr>
      <w:r>
        <w:rPr>
          <w:rFonts w:ascii="宋体" w:hAnsi="宋体"/>
          <w:b/>
          <w:bCs/>
          <w:sz w:val="24"/>
        </w:rPr>
        <w:t xml:space="preserve">* </w:t>
      </w:r>
      <w:r>
        <w:rPr>
          <w:rFonts w:hint="eastAsia" w:ascii="宋体" w:hAnsi="宋体"/>
          <w:sz w:val="24"/>
        </w:rPr>
        <w:t>1</w:t>
      </w:r>
      <w:r>
        <w:rPr>
          <w:rFonts w:ascii="宋体" w:hAnsi="宋体"/>
          <w:sz w:val="24"/>
        </w:rPr>
        <w:t xml:space="preserve">.4.5 </w:t>
      </w:r>
      <w:r>
        <w:rPr>
          <w:rFonts w:hint="eastAsia" w:ascii="宋体" w:hAnsi="宋体"/>
          <w:sz w:val="24"/>
        </w:rPr>
        <w:t>纯水</w:t>
      </w:r>
      <w:r>
        <w:rPr>
          <w:rFonts w:ascii="宋体" w:hAnsi="宋体"/>
          <w:sz w:val="24"/>
        </w:rPr>
        <w:t>系统</w:t>
      </w:r>
      <w:r>
        <w:rPr>
          <w:rFonts w:hint="eastAsia" w:ascii="宋体" w:hAnsi="宋体"/>
          <w:sz w:val="24"/>
        </w:rPr>
        <w:t>内置高回收率反渗透模块前后各配备电导率计有效监控进水、显示反渗透膜截留率。</w:t>
      </w:r>
    </w:p>
    <w:p>
      <w:pPr>
        <w:spacing w:line="500" w:lineRule="exact"/>
        <w:rPr>
          <w:rFonts w:ascii="宋体" w:hAnsi="宋体"/>
          <w:sz w:val="24"/>
        </w:rPr>
      </w:pPr>
      <w:r>
        <w:rPr>
          <w:rFonts w:hint="eastAsia" w:ascii="宋体" w:hAnsi="宋体"/>
          <w:sz w:val="24"/>
        </w:rPr>
        <w:t>1</w:t>
      </w:r>
      <w:r>
        <w:rPr>
          <w:rFonts w:ascii="宋体" w:hAnsi="宋体"/>
          <w:sz w:val="24"/>
        </w:rPr>
        <w:t xml:space="preserve">.5 </w:t>
      </w:r>
      <w:r>
        <w:rPr>
          <w:rFonts w:hint="eastAsia" w:ascii="宋体" w:hAnsi="宋体"/>
          <w:sz w:val="24"/>
        </w:rPr>
        <w:t>操作功能</w:t>
      </w:r>
    </w:p>
    <w:p>
      <w:pPr>
        <w:spacing w:line="500" w:lineRule="exact"/>
        <w:rPr>
          <w:rFonts w:ascii="宋体" w:hAnsi="宋体"/>
          <w:sz w:val="24"/>
        </w:rPr>
      </w:pPr>
      <w:r>
        <w:rPr>
          <w:rFonts w:hint="eastAsia" w:ascii="宋体" w:hAnsi="宋体"/>
          <w:sz w:val="24"/>
        </w:rPr>
        <w:t>1</w:t>
      </w:r>
      <w:r>
        <w:rPr>
          <w:rFonts w:ascii="宋体" w:hAnsi="宋体"/>
          <w:sz w:val="24"/>
        </w:rPr>
        <w:t xml:space="preserve">.5.1 </w:t>
      </w:r>
      <w:r>
        <w:rPr>
          <w:rFonts w:hint="eastAsia" w:ascii="宋体" w:hAnsi="宋体"/>
          <w:sz w:val="24"/>
        </w:rPr>
        <w:t>纯水</w:t>
      </w:r>
      <w:r>
        <w:rPr>
          <w:rFonts w:ascii="宋体" w:hAnsi="宋体"/>
          <w:sz w:val="24"/>
        </w:rPr>
        <w:t>、超纯水</w:t>
      </w:r>
      <w:r>
        <w:rPr>
          <w:rFonts w:hint="eastAsia" w:ascii="宋体" w:hAnsi="宋体"/>
          <w:sz w:val="24"/>
        </w:rPr>
        <w:t>系统提供三级登录管理系统菜单，包括正常使用、维护、系统管理；实时显示出水关键信息包括水质，系统状态和警告。</w:t>
      </w:r>
    </w:p>
    <w:p>
      <w:pPr>
        <w:spacing w:line="500" w:lineRule="exact"/>
        <w:rPr>
          <w:rFonts w:ascii="宋体" w:hAnsi="宋体"/>
          <w:sz w:val="24"/>
        </w:rPr>
      </w:pPr>
      <w:r>
        <w:rPr>
          <w:rFonts w:hint="eastAsia" w:ascii="宋体" w:hAnsi="宋体"/>
          <w:sz w:val="24"/>
        </w:rPr>
        <w:t>1</w:t>
      </w:r>
      <w:r>
        <w:rPr>
          <w:rFonts w:ascii="宋体" w:hAnsi="宋体"/>
          <w:sz w:val="24"/>
        </w:rPr>
        <w:t xml:space="preserve">.5.2 </w:t>
      </w:r>
      <w:r>
        <w:rPr>
          <w:rFonts w:hint="eastAsia" w:ascii="宋体" w:hAnsi="宋体"/>
          <w:sz w:val="24"/>
        </w:rPr>
        <w:t>系统具有自动再循环功能，可在使用间歇保持水质恒定，在电阻率检测异常时自动报警，并设置有自动停水、进水缺水保护装置。</w:t>
      </w:r>
    </w:p>
    <w:p>
      <w:pPr>
        <w:spacing w:line="500" w:lineRule="exact"/>
        <w:rPr>
          <w:rFonts w:ascii="宋体" w:hAnsi="宋体"/>
          <w:sz w:val="24"/>
        </w:rPr>
      </w:pPr>
      <w:r>
        <w:rPr>
          <w:rFonts w:hint="eastAsia" w:ascii="宋体" w:hAnsi="宋体"/>
          <w:sz w:val="24"/>
        </w:rPr>
        <w:t>1</w:t>
      </w:r>
      <w:r>
        <w:rPr>
          <w:rFonts w:ascii="宋体" w:hAnsi="宋体"/>
          <w:sz w:val="24"/>
        </w:rPr>
        <w:t xml:space="preserve">.5.3 </w:t>
      </w:r>
      <w:r>
        <w:rPr>
          <w:rFonts w:hint="eastAsia" w:ascii="宋体" w:hAnsi="宋体"/>
          <w:sz w:val="24"/>
        </w:rPr>
        <w:t>纯化柱具有RFID芯片，实现自动识别安装日期，防伪防错、耗材产水量实时监控，确保最佳可追溯性，保证系统安全。</w:t>
      </w:r>
    </w:p>
    <w:p>
      <w:pPr>
        <w:spacing w:line="500" w:lineRule="exact"/>
        <w:rPr>
          <w:rFonts w:ascii="宋体" w:hAnsi="宋体"/>
          <w:sz w:val="24"/>
        </w:rPr>
      </w:pPr>
      <w:r>
        <w:rPr>
          <w:rFonts w:hint="eastAsia" w:ascii="宋体" w:hAnsi="宋体"/>
          <w:b/>
          <w:sz w:val="24"/>
        </w:rPr>
        <w:t>*</w:t>
      </w:r>
      <w:r>
        <w:rPr>
          <w:rFonts w:hint="eastAsia" w:ascii="宋体" w:hAnsi="宋体"/>
          <w:sz w:val="24"/>
        </w:rPr>
        <w:t>1</w:t>
      </w:r>
      <w:r>
        <w:rPr>
          <w:rFonts w:ascii="宋体" w:hAnsi="宋体"/>
          <w:sz w:val="24"/>
        </w:rPr>
        <w:t>.5.4</w:t>
      </w:r>
      <w:r>
        <w:rPr>
          <w:rFonts w:hint="eastAsia" w:ascii="宋体" w:hAnsi="宋体"/>
          <w:sz w:val="24"/>
        </w:rPr>
        <w:t>配置一个与主机分离长达</w:t>
      </w:r>
      <w:r>
        <w:rPr>
          <w:rFonts w:ascii="宋体" w:hAnsi="宋体"/>
          <w:sz w:val="24"/>
        </w:rPr>
        <w:t>5m</w:t>
      </w:r>
      <w:r>
        <w:rPr>
          <w:rFonts w:hint="eastAsia" w:ascii="宋体" w:hAnsi="宋体"/>
          <w:sz w:val="24"/>
        </w:rPr>
        <w:t>的远程超</w:t>
      </w:r>
      <w:r>
        <w:rPr>
          <w:rFonts w:ascii="宋体" w:hAnsi="宋体"/>
          <w:sz w:val="24"/>
        </w:rPr>
        <w:t>纯水</w:t>
      </w:r>
      <w:r>
        <w:rPr>
          <w:rFonts w:hint="eastAsia" w:ascii="宋体" w:hAnsi="宋体"/>
          <w:sz w:val="24"/>
        </w:rPr>
        <w:t>取水器，取水器</w:t>
      </w:r>
      <w:r>
        <w:rPr>
          <w:rFonts w:ascii="宋体" w:hAnsi="宋体"/>
          <w:sz w:val="24"/>
        </w:rPr>
        <w:t>具备5寸</w:t>
      </w:r>
      <w:r>
        <w:rPr>
          <w:rFonts w:hint="eastAsia" w:ascii="宋体" w:hAnsi="宋体"/>
          <w:sz w:val="24"/>
        </w:rPr>
        <w:t>中文</w:t>
      </w:r>
      <w:r>
        <w:rPr>
          <w:rFonts w:ascii="宋体" w:hAnsi="宋体"/>
          <w:sz w:val="24"/>
        </w:rPr>
        <w:t>彩色触摸屏</w:t>
      </w:r>
      <w:r>
        <w:rPr>
          <w:rFonts w:hint="eastAsia" w:ascii="宋体" w:hAnsi="宋体"/>
          <w:sz w:val="24"/>
        </w:rPr>
        <w:t>。</w:t>
      </w:r>
    </w:p>
    <w:p>
      <w:pPr>
        <w:spacing w:line="500" w:lineRule="exact"/>
        <w:rPr>
          <w:rFonts w:ascii="宋体" w:hAnsi="宋体"/>
          <w:sz w:val="24"/>
        </w:rPr>
      </w:pPr>
      <w:r>
        <w:rPr>
          <w:rFonts w:hint="eastAsia" w:ascii="宋体" w:hAnsi="宋体"/>
          <w:sz w:val="24"/>
        </w:rPr>
        <w:t>1</w:t>
      </w:r>
      <w:r>
        <w:rPr>
          <w:rFonts w:ascii="宋体" w:hAnsi="宋体"/>
          <w:sz w:val="24"/>
        </w:rPr>
        <w:t xml:space="preserve">.5.5 </w:t>
      </w:r>
      <w:r>
        <w:rPr>
          <w:rFonts w:hint="eastAsia" w:ascii="宋体" w:hAnsi="宋体"/>
          <w:sz w:val="24"/>
        </w:rPr>
        <w:t>为确保产品质量及使用安全，该产品需提供生产厂商在ISO9001和ISO14001注册生产基地的注册证书，及产品经过安全和电磁兼容性认证的CE和cUL证书。</w:t>
      </w:r>
    </w:p>
    <w:p>
      <w:pPr>
        <w:spacing w:line="500" w:lineRule="exact"/>
        <w:rPr>
          <w:rFonts w:ascii="宋体" w:hAnsi="宋体"/>
          <w:sz w:val="24"/>
        </w:rPr>
      </w:pPr>
      <w:r>
        <w:rPr>
          <w:rFonts w:hint="eastAsia" w:ascii="宋体" w:hAnsi="宋体"/>
          <w:sz w:val="24"/>
        </w:rPr>
        <w:t>1</w:t>
      </w:r>
      <w:r>
        <w:rPr>
          <w:rFonts w:ascii="宋体" w:hAnsi="宋体"/>
          <w:sz w:val="24"/>
        </w:rPr>
        <w:t xml:space="preserve">.5.6 </w:t>
      </w:r>
      <w:r>
        <w:rPr>
          <w:rFonts w:hint="eastAsia" w:ascii="宋体" w:hAnsi="宋体"/>
          <w:sz w:val="24"/>
        </w:rPr>
        <w:t>主机内置芯片，配置</w:t>
      </w:r>
      <w:r>
        <w:rPr>
          <w:rFonts w:ascii="宋体" w:hAnsi="宋体"/>
          <w:sz w:val="24"/>
        </w:rPr>
        <w:t>USB</w:t>
      </w:r>
      <w:r>
        <w:rPr>
          <w:rFonts w:hint="eastAsia" w:ascii="宋体" w:hAnsi="宋体"/>
          <w:sz w:val="24"/>
        </w:rPr>
        <w:t>接口和网线接口，可记录长达</w:t>
      </w:r>
      <w:r>
        <w:rPr>
          <w:rFonts w:ascii="宋体" w:hAnsi="宋体"/>
          <w:sz w:val="24"/>
        </w:rPr>
        <w:t>1</w:t>
      </w:r>
      <w:r>
        <w:rPr>
          <w:rFonts w:hint="eastAsia" w:ascii="宋体" w:hAnsi="宋体"/>
          <w:sz w:val="24"/>
        </w:rPr>
        <w:t>年的水质报告，水质报告信息包括：进水电导率、压力、温度；RO/纯水产水电导率；截流率；超纯水产水电导率及TOC值</w:t>
      </w:r>
      <w:r>
        <w:rPr>
          <w:rFonts w:ascii="宋体" w:hAnsi="宋体"/>
          <w:sz w:val="24"/>
        </w:rPr>
        <w:t>。</w:t>
      </w:r>
    </w:p>
    <w:p>
      <w:pPr>
        <w:spacing w:line="500" w:lineRule="exact"/>
        <w:rPr>
          <w:rFonts w:ascii="宋体" w:hAnsi="宋体"/>
          <w:b/>
          <w:sz w:val="24"/>
        </w:rPr>
      </w:pPr>
      <w:r>
        <w:rPr>
          <w:rFonts w:hint="eastAsia" w:ascii="宋体" w:hAnsi="宋体"/>
          <w:b/>
          <w:sz w:val="24"/>
        </w:rPr>
        <w:t>二、配置清单</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1  纯水主机                                  </w:t>
      </w:r>
      <w:r>
        <w:rPr>
          <w:rFonts w:ascii="宋体" w:hAnsi="宋体"/>
          <w:sz w:val="24"/>
        </w:rPr>
        <w:t xml:space="preserve">            </w:t>
      </w:r>
      <w:r>
        <w:rPr>
          <w:rFonts w:hint="eastAsia" w:ascii="宋体" w:hAnsi="宋体"/>
          <w:sz w:val="24"/>
        </w:rPr>
        <w:t xml:space="preserve"> 1台</w:t>
      </w:r>
    </w:p>
    <w:p>
      <w:pPr>
        <w:spacing w:line="500" w:lineRule="exact"/>
        <w:rPr>
          <w:rFonts w:ascii="宋体" w:hAnsi="宋体"/>
          <w:sz w:val="24"/>
        </w:rPr>
      </w:pPr>
      <w:r>
        <w:rPr>
          <w:rFonts w:hint="eastAsia" w:ascii="宋体" w:hAnsi="宋体"/>
          <w:sz w:val="24"/>
        </w:rPr>
        <w:t>2</w:t>
      </w:r>
      <w:r>
        <w:rPr>
          <w:rFonts w:ascii="宋体" w:hAnsi="宋体"/>
          <w:sz w:val="24"/>
        </w:rPr>
        <w:t>.2</w:t>
      </w:r>
      <w:r>
        <w:rPr>
          <w:rFonts w:hint="eastAsia" w:ascii="宋体" w:hAnsi="宋体"/>
          <w:sz w:val="24"/>
        </w:rPr>
        <w:t xml:space="preserve">  </w:t>
      </w:r>
      <w:r>
        <w:rPr>
          <w:rFonts w:ascii="宋体" w:hAnsi="宋体"/>
          <w:sz w:val="24"/>
        </w:rPr>
        <w:t>超纯水</w:t>
      </w:r>
      <w:r>
        <w:rPr>
          <w:rFonts w:hint="eastAsia" w:ascii="宋体" w:hAnsi="宋体"/>
          <w:sz w:val="24"/>
        </w:rPr>
        <w:t xml:space="preserve">主机                                  </w:t>
      </w:r>
      <w:r>
        <w:rPr>
          <w:rFonts w:ascii="宋体" w:hAnsi="宋体"/>
          <w:sz w:val="24"/>
        </w:rPr>
        <w:t xml:space="preserve">          </w:t>
      </w:r>
      <w:r>
        <w:rPr>
          <w:rFonts w:hint="eastAsia" w:ascii="宋体" w:hAnsi="宋体"/>
          <w:sz w:val="24"/>
        </w:rPr>
        <w:t xml:space="preserve"> 1台</w:t>
      </w:r>
    </w:p>
    <w:p>
      <w:pPr>
        <w:spacing w:line="500" w:lineRule="exact"/>
        <w:rPr>
          <w:rFonts w:ascii="宋体" w:hAnsi="宋体"/>
          <w:sz w:val="24"/>
        </w:rPr>
      </w:pPr>
      <w:r>
        <w:rPr>
          <w:rFonts w:hint="eastAsia" w:ascii="宋体" w:hAnsi="宋体"/>
          <w:sz w:val="24"/>
        </w:rPr>
        <w:t>2</w:t>
      </w:r>
      <w:r>
        <w:rPr>
          <w:rFonts w:ascii="宋体" w:hAnsi="宋体"/>
          <w:sz w:val="24"/>
        </w:rPr>
        <w:t>.3</w:t>
      </w:r>
      <w:r>
        <w:rPr>
          <w:rFonts w:hint="eastAsia" w:ascii="宋体" w:hAnsi="宋体"/>
          <w:sz w:val="24"/>
        </w:rPr>
        <w:t xml:space="preserve">  超纯水智能取水手臂                                     1个</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4  </w:t>
      </w:r>
      <w:r>
        <w:rPr>
          <w:rFonts w:ascii="宋体" w:hAnsi="宋体"/>
          <w:sz w:val="24"/>
        </w:rPr>
        <w:t>6</w:t>
      </w:r>
      <w:r>
        <w:rPr>
          <w:rFonts w:hint="eastAsia" w:ascii="宋体" w:hAnsi="宋体"/>
          <w:sz w:val="24"/>
        </w:rPr>
        <w:t>0L PE水箱                                             1个</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5  水箱空气过滤器                                         </w:t>
      </w:r>
      <w:r>
        <w:rPr>
          <w:rFonts w:ascii="宋体" w:hAnsi="宋体"/>
          <w:sz w:val="24"/>
        </w:rPr>
        <w:t>2</w:t>
      </w:r>
      <w:r>
        <w:rPr>
          <w:rFonts w:hint="eastAsia" w:ascii="宋体" w:hAnsi="宋体"/>
          <w:sz w:val="24"/>
        </w:rPr>
        <w:t>个</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6  RO膜清洗药片                                          1盒</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7  自来水预处理组件                                       1套</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8  带芯片预处理柱                                         </w:t>
      </w:r>
      <w:r>
        <w:rPr>
          <w:rFonts w:ascii="宋体" w:hAnsi="宋体"/>
          <w:sz w:val="24"/>
        </w:rPr>
        <w:t>2</w:t>
      </w:r>
      <w:r>
        <w:rPr>
          <w:rFonts w:hint="eastAsia" w:ascii="宋体" w:hAnsi="宋体"/>
          <w:sz w:val="24"/>
        </w:rPr>
        <w:t>个</w:t>
      </w:r>
    </w:p>
    <w:p>
      <w:pPr>
        <w:spacing w:line="500" w:lineRule="exact"/>
        <w:rPr>
          <w:rFonts w:ascii="宋体" w:hAnsi="宋体"/>
          <w:sz w:val="24"/>
        </w:rPr>
      </w:pPr>
      <w:r>
        <w:rPr>
          <w:rFonts w:hint="eastAsia" w:ascii="宋体" w:hAnsi="宋体"/>
          <w:sz w:val="24"/>
        </w:rPr>
        <w:t>2</w:t>
      </w:r>
      <w:r>
        <w:rPr>
          <w:rFonts w:ascii="宋体" w:hAnsi="宋体"/>
          <w:sz w:val="24"/>
        </w:rPr>
        <w:t>.9</w:t>
      </w:r>
      <w:r>
        <w:rPr>
          <w:rFonts w:hint="eastAsia" w:ascii="宋体" w:hAnsi="宋体"/>
          <w:sz w:val="24"/>
        </w:rPr>
        <w:t xml:space="preserve">  带芯片预纯化柱                                     </w:t>
      </w:r>
      <w:r>
        <w:rPr>
          <w:rFonts w:ascii="宋体" w:hAnsi="宋体"/>
          <w:sz w:val="24"/>
        </w:rPr>
        <w:t xml:space="preserve">    2</w:t>
      </w:r>
      <w:r>
        <w:rPr>
          <w:rFonts w:hint="eastAsia" w:ascii="宋体" w:hAnsi="宋体"/>
          <w:sz w:val="24"/>
        </w:rPr>
        <w:t>个</w:t>
      </w:r>
    </w:p>
    <w:p>
      <w:pPr>
        <w:spacing w:line="500" w:lineRule="exact"/>
        <w:rPr>
          <w:rFonts w:ascii="宋体" w:hAnsi="宋体"/>
          <w:sz w:val="24"/>
        </w:rPr>
      </w:pPr>
      <w:r>
        <w:rPr>
          <w:rFonts w:hint="eastAsia" w:ascii="宋体" w:hAnsi="宋体"/>
          <w:sz w:val="24"/>
        </w:rPr>
        <w:t>2</w:t>
      </w:r>
      <w:r>
        <w:rPr>
          <w:rFonts w:ascii="宋体" w:hAnsi="宋体"/>
          <w:sz w:val="24"/>
        </w:rPr>
        <w:t>.10</w:t>
      </w:r>
      <w:r>
        <w:rPr>
          <w:rFonts w:hint="eastAsia" w:ascii="宋体" w:hAnsi="宋体"/>
          <w:sz w:val="24"/>
        </w:rPr>
        <w:t xml:space="preserve"> 带芯片精纯化柱                                         </w:t>
      </w:r>
      <w:r>
        <w:rPr>
          <w:rFonts w:ascii="宋体" w:hAnsi="宋体"/>
          <w:sz w:val="24"/>
        </w:rPr>
        <w:t>2</w:t>
      </w:r>
      <w:r>
        <w:rPr>
          <w:rFonts w:hint="eastAsia" w:ascii="宋体" w:hAnsi="宋体"/>
          <w:sz w:val="24"/>
        </w:rPr>
        <w:t>个</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w:t>
      </w:r>
      <w:r>
        <w:rPr>
          <w:rFonts w:ascii="宋体" w:hAnsi="宋体"/>
          <w:sz w:val="24"/>
        </w:rPr>
        <w:t>1</w:t>
      </w:r>
      <w:r>
        <w:rPr>
          <w:rFonts w:hint="eastAsia" w:ascii="宋体" w:hAnsi="宋体"/>
          <w:sz w:val="24"/>
        </w:rPr>
        <w:t xml:space="preserve"> 漏水检测器                                           </w:t>
      </w:r>
      <w:r>
        <w:rPr>
          <w:rFonts w:ascii="宋体" w:hAnsi="宋体"/>
          <w:sz w:val="24"/>
        </w:rPr>
        <w:t xml:space="preserve">  </w:t>
      </w:r>
      <w:r>
        <w:rPr>
          <w:rFonts w:hint="eastAsia" w:ascii="宋体" w:hAnsi="宋体"/>
          <w:sz w:val="24"/>
        </w:rPr>
        <w:t>1个</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w:t>
      </w:r>
      <w:r>
        <w:rPr>
          <w:rFonts w:ascii="宋体" w:hAnsi="宋体"/>
          <w:sz w:val="24"/>
        </w:rPr>
        <w:t>2</w:t>
      </w:r>
      <w:r>
        <w:rPr>
          <w:rFonts w:hint="eastAsia" w:ascii="宋体" w:hAnsi="宋体"/>
          <w:sz w:val="24"/>
        </w:rPr>
        <w:t xml:space="preserve">  0</w:t>
      </w:r>
      <w:r>
        <w:rPr>
          <w:rFonts w:ascii="宋体" w:hAnsi="宋体"/>
          <w:sz w:val="24"/>
        </w:rPr>
        <w:t>.22um</w:t>
      </w:r>
      <w:r>
        <w:rPr>
          <w:rFonts w:hint="eastAsia" w:ascii="宋体" w:hAnsi="宋体"/>
          <w:sz w:val="24"/>
        </w:rPr>
        <w:t xml:space="preserve">终端过滤器                                     </w:t>
      </w:r>
      <w:r>
        <w:rPr>
          <w:rFonts w:ascii="宋体" w:hAnsi="宋体"/>
          <w:sz w:val="24"/>
        </w:rPr>
        <w:t xml:space="preserve"> 2</w:t>
      </w:r>
      <w:r>
        <w:rPr>
          <w:rFonts w:hint="eastAsia" w:ascii="宋体" w:hAnsi="宋体"/>
          <w:sz w:val="24"/>
        </w:rPr>
        <w:t>个</w:t>
      </w:r>
    </w:p>
    <w:p>
      <w:pPr>
        <w:spacing w:line="50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1</w:t>
      </w:r>
      <w:r>
        <w:rPr>
          <w:rFonts w:ascii="宋体" w:hAnsi="宋体"/>
          <w:sz w:val="24"/>
        </w:rPr>
        <w:t>3</w:t>
      </w:r>
      <w:r>
        <w:rPr>
          <w:rFonts w:hint="eastAsia" w:ascii="宋体" w:hAnsi="宋体"/>
          <w:sz w:val="24"/>
        </w:rPr>
        <w:t xml:space="preserve">  脚踏开关                                             </w:t>
      </w:r>
      <w:r>
        <w:rPr>
          <w:rFonts w:ascii="宋体" w:hAnsi="宋体"/>
          <w:sz w:val="24"/>
        </w:rPr>
        <w:t xml:space="preserve">  1</w:t>
      </w:r>
      <w:r>
        <w:rPr>
          <w:rFonts w:hint="eastAsia" w:ascii="宋体" w:hAnsi="宋体"/>
          <w:sz w:val="24"/>
        </w:rPr>
        <w:t>个</w:t>
      </w:r>
    </w:p>
    <w:p>
      <w:pPr>
        <w:spacing w:line="500" w:lineRule="exact"/>
        <w:rPr>
          <w:rFonts w:ascii="宋体" w:hAnsi="宋体"/>
          <w:sz w:val="24"/>
        </w:rPr>
      </w:pPr>
      <w:r>
        <w:rPr>
          <w:rFonts w:hint="eastAsia" w:ascii="宋体" w:hAnsi="宋体"/>
          <w:sz w:val="24"/>
        </w:rPr>
        <w:t>三、售后</w:t>
      </w:r>
      <w:r>
        <w:rPr>
          <w:rFonts w:ascii="宋体" w:hAnsi="宋体"/>
          <w:sz w:val="24"/>
        </w:rPr>
        <w:t>服务</w:t>
      </w:r>
    </w:p>
    <w:p>
      <w:pPr>
        <w:spacing w:line="500" w:lineRule="exac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1</w:t>
      </w:r>
      <w:r>
        <w:rPr>
          <w:rFonts w:ascii="宋体" w:hAnsi="宋体"/>
          <w:sz w:val="24"/>
        </w:rPr>
        <w:t xml:space="preserve"> </w:t>
      </w:r>
      <w:r>
        <w:rPr>
          <w:rFonts w:hint="eastAsia" w:ascii="宋体" w:hAnsi="宋体"/>
          <w:sz w:val="24"/>
        </w:rPr>
        <w:t>仪器到达最终用户现场并且实验室条件合格后，在接到用户通知后，厂家需安排有经验的工程技术人员到用户现场安装、调试仪器。</w:t>
      </w:r>
    </w:p>
    <w:p>
      <w:pPr>
        <w:spacing w:line="500" w:lineRule="exac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2质保期：保修期1年，自设备安装验收之日起计算。保修期内提供全免费保修</w:t>
      </w:r>
      <w:r>
        <w:rPr>
          <w:rFonts w:ascii="宋体" w:hAnsi="宋体"/>
          <w:sz w:val="24"/>
        </w:rPr>
        <w:t>,</w:t>
      </w:r>
      <w:r>
        <w:rPr>
          <w:rFonts w:hint="eastAsia" w:ascii="宋体" w:hAnsi="宋体"/>
          <w:sz w:val="24"/>
        </w:rPr>
        <w:t>如发现潜在问题，应负责排除。</w:t>
      </w:r>
    </w:p>
    <w:p>
      <w:pPr>
        <w:spacing w:line="500" w:lineRule="exact"/>
        <w:rPr>
          <w:rFonts w:ascii="宋体" w:hAnsi="宋体"/>
          <w:sz w:val="24"/>
        </w:rPr>
      </w:pPr>
    </w:p>
    <w:p>
      <w:pPr>
        <w:pStyle w:val="2"/>
        <w:spacing w:line="500" w:lineRule="exact"/>
        <w:rPr>
          <w:color w:val="000000"/>
          <w:sz w:val="28"/>
          <w:szCs w:val="28"/>
        </w:rPr>
      </w:pPr>
      <w:r>
        <w:rPr>
          <w:rFonts w:hint="eastAsia"/>
          <w:color w:val="000000"/>
          <w:sz w:val="28"/>
          <w:szCs w:val="28"/>
        </w:rPr>
        <w:t>品目2：多样品平行蒸发定量浓缩仪</w:t>
      </w:r>
    </w:p>
    <w:p>
      <w:pPr>
        <w:widowControl/>
        <w:adjustRightInd w:val="0"/>
        <w:snapToGrid w:val="0"/>
        <w:spacing w:line="500" w:lineRule="exac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原装进口。</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bCs/>
          <w:kern w:val="0"/>
          <w:sz w:val="24"/>
        </w:rPr>
        <w:t>一、主要用途</w:t>
      </w:r>
    </w:p>
    <w:p>
      <w:pPr>
        <w:widowControl/>
        <w:adjustRightInd w:val="0"/>
        <w:snapToGrid w:val="0"/>
        <w:spacing w:line="500" w:lineRule="exact"/>
        <w:ind w:firstLine="480" w:firstLineChars="200"/>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用于12位样品平行定量浓缩至固定体积（0.3、1、3 mL）和12</w:t>
      </w:r>
      <w:r>
        <w:rPr>
          <w:rFonts w:hint="eastAsia" w:asciiTheme="minorEastAsia" w:hAnsiTheme="minorEastAsia" w:eastAsiaTheme="minorEastAsia" w:cstheme="minorEastAsia"/>
          <w:kern w:val="0"/>
          <w:sz w:val="24"/>
        </w:rPr>
        <w:t>位样品的快速浓缩蒸发至干</w:t>
      </w:r>
      <w:r>
        <w:rPr>
          <w:rFonts w:hint="eastAsia" w:asciiTheme="minorEastAsia" w:hAnsiTheme="minorEastAsia" w:eastAsiaTheme="minorEastAsia" w:cstheme="minorEastAsia"/>
          <w:bCs/>
          <w:kern w:val="0"/>
          <w:sz w:val="24"/>
        </w:rPr>
        <w:t>；无需人员看管。无需氮气，无交叉污染，无环境污染，溶剂完全回收。</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kern w:val="0"/>
          <w:sz w:val="24"/>
        </w:rPr>
        <w:t>二、技术指标</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2.1在精确真空控制、漩涡震荡和精确加热条件下同时浓缩4、6或12个样品至固定体积（0.3、1、3 mL），及1-96位样品的快速浓缩、蒸发至干，浓缩完成后蒸发过程自动停止，无需看护。</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2.2冷凝回流模块可以反冲粘在试管壁上的样品，缓和蒸发环境，提高样品回收率，适合痕量分析。</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2.3使用12位样品架时，单个样品的体积范围：15－100mL，可选配其他规格样品架及样品管</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kern w:val="0"/>
          <w:sz w:val="24"/>
        </w:rPr>
        <w:t>*2.4</w:t>
      </w:r>
      <w:r>
        <w:rPr>
          <w:rFonts w:hint="eastAsia" w:asciiTheme="minorEastAsia" w:hAnsiTheme="minorEastAsia" w:eastAsiaTheme="minorEastAsia" w:cstheme="minorEastAsia"/>
          <w:bCs/>
          <w:kern w:val="0"/>
          <w:sz w:val="24"/>
        </w:rPr>
        <w:t xml:space="preserve"> 每个样品架都有配套的真空盖，真空盖表面为高惰性的PFA涂层，并与每个样品管单独接口，确保无交叉污染；真空盖上部透明可随时观察蒸发情况，真空盖可加热，减少挂壁，增加浓缩效率，温度范围：室温-55℃。</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2.5配合精准的真空系统，蒸发溶剂符合ISO14000的规定及环保要求，完全冷凝回收，仪器无需放入通风厨内，不会排放到市内或环境中造成污染。</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2.6无需氮气</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2.7压力范围：5mbar ～ 常压</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2.8加热温度范围：室温～ 100 ℃</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2.9可编程温度控制程序：6阶梯度控制，时间范围 0 ～ 9小时50分钟</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2.10转速：0 ～ 600 rpm离心率可调范围：0 ～ 10 mm</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xml:space="preserve">2.11标配P+G涂层冷凝器与溶剂收集瓶，可在玻璃器皿发生破损时提供有效的防护。  </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2.12可选配12位固相萃取（SPE）高级型模块，适用标准接头，萃取完后无需样品转移，直接浓缩或蒸发至干，减少因转移样品可能带来的污染或样品的损失，简化操作步骤，节省时间。</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 中央控制单元</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2.13.1大尺寸操作面板，可按要求控制真空度，具有重复功能；动态蒸馏：从溶剂库中选择溶剂后可直接启动蒸馏过程，即使冷却机和浴锅尚未达到各自的设定温度，真空度可实现动态调节开启蒸馏过程；</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2.13.2放气功能（P↑）：按键快速放气，有效控制爆沸及及起泡；</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
          <w:bCs/>
          <w:kern w:val="0"/>
          <w:sz w:val="24"/>
        </w:rPr>
        <w:t>*2.13.3</w:t>
      </w:r>
      <w:r>
        <w:rPr>
          <w:rFonts w:hint="eastAsia" w:asciiTheme="minorEastAsia" w:hAnsiTheme="minorEastAsia" w:eastAsiaTheme="minorEastAsia" w:cstheme="minorEastAsia"/>
          <w:bCs/>
          <w:kern w:val="0"/>
          <w:sz w:val="24"/>
        </w:rPr>
        <w:t>中央控制单元自带常用配件数据库。中央控制单元带工作状态背景色提示功能，</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2.13.4中央控制单元,内含40种溶剂数据库，真空控制器内置放气阀和气囊，断电时可以自动放气，并可以保持PTFE干燥。</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2.13.5图形显示：可在中央控制界面，手机或电脑上实时显示蒸馏曲线，同时可显示外围设备及配件的图标</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2.13.6专业蒸馏方法设置：可编程方法的引导式操作，由专业的实验室操作人员按照步骤设置温度、时间、压力等参数进行精确蒸馏，包括需要人工干预时在移动设备上给出推送通知；</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2.13.7过程记录功能：为便于跟踪，连续记录所有工艺参数。数据库集可导出到 SD卡上用于进一步分析。 远程监控（App）：适用于iOS、Android 和 Windows 操作系统统，应用程序提供所有工艺参数的实时视图和图表显示，包括推送通知：蒸馏开始/停止，出现意外情况终止蒸馏时，会在手机上发送通知。</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2.14 可控速变频隔膜真空泵</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抽速：1.5m</w:t>
      </w:r>
      <w:r>
        <w:rPr>
          <w:rFonts w:hint="eastAsia" w:asciiTheme="minorEastAsia" w:hAnsiTheme="minorEastAsia" w:eastAsiaTheme="minorEastAsia" w:cstheme="minorEastAsia"/>
          <w:bCs/>
          <w:kern w:val="0"/>
          <w:sz w:val="24"/>
          <w:vertAlign w:val="superscript"/>
        </w:rPr>
        <w:t>3</w:t>
      </w:r>
      <w:r>
        <w:rPr>
          <w:rFonts w:hint="eastAsia" w:asciiTheme="minorEastAsia" w:hAnsiTheme="minorEastAsia" w:eastAsiaTheme="minorEastAsia" w:cstheme="minorEastAsia"/>
          <w:bCs/>
          <w:kern w:val="0"/>
          <w:sz w:val="24"/>
        </w:rPr>
        <w:t>/h，极限真空度：≤10mbar，噪声：32-57db(A)，表面温度：小于35℃。气体管道材料：PEEK，PTFE，FEP，玻璃， PEEK/玻璃一体化透明窗口设计，可以随时观察隔膜表面污染和溶剂累积情况，变频变速控制功能：在达到设定真空度时真空泵可以完全静止，将真空度维持在精确的一点，降低能耗，避免爆沸，延长使用寿命。内置空气囊，可以在运行过程中干燥隔膜，保证最佳的真空度；内置拆卸工具，可以方便的打开泵体，清洁隔膜，实现自助式轻松维认证：CE，CSA，防护等级21，连续工作8小时以上</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2.15 循环冷却器</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2.15.1进/出水口循环接咀可以360℃旋转，方便进行各种系统连接。</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2.15.2液位显示功能，可观察液位。防冻结，防堵塞，低液位保护等安全保护功能。液晶显示设置温度、实际温度及工作状态。自动监控冷却水温度。当冷却水温度偏离安全设定值时，设备会发出警报。</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2.15.3冷凝温度： -5℃-25℃，最大功耗：850w，制冷功率500W，制冷剂：R134a流速：2.5l/min，罐体积：3l，滞后：± 1 K，泵压：0.6 bar。可同时满足一台旋蒸及一台平行定量浓缩蒸发仪正常工作。</w:t>
      </w:r>
    </w:p>
    <w:p>
      <w:pPr>
        <w:widowControl/>
        <w:adjustRightInd w:val="0"/>
        <w:snapToGrid w:val="0"/>
        <w:spacing w:line="50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三、配置要求（包括附件及耗材）</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3.1 主机：有加热、温度程序控制和震荡功能；数字显示温度、时间和转速；标配12位定量浓缩样品支架；真空盖；管带防爆镀膜的冷凝器和溶剂接收瓶；电源线等。  1台</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3.2  12位定量浓缩样品管（单个样品体积5-120mL，尾管体积1mL）         12支</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3.3  12位蒸发样品管（单个样品体积范围：5-120mL）                     24支</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3.4  中央控制界面                                                     1台</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3.5  可控速变频隔膜真空泵                                             1台</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3.6  冷却循环器                                                       1台</w:t>
      </w:r>
    </w:p>
    <w:p>
      <w:pPr>
        <w:widowControl/>
        <w:adjustRightInd w:val="0"/>
        <w:snapToGrid w:val="0"/>
        <w:spacing w:line="500" w:lineRule="exac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四、技术服务及其它</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4.1 货到后2个工作日内进行现场安装调试。</w:t>
      </w:r>
    </w:p>
    <w:p>
      <w:pPr>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4.2厂家工程师到现场免费培训，直至使用人员能完全独立操作；并免培训费提供2人次到生产工厂进行培训。</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4.3 仪器自验收合格之日起整机免费保修1年，质保期内免费维修</w:t>
      </w:r>
      <w:r>
        <w:rPr>
          <w:rFonts w:hint="eastAsia" w:asciiTheme="minorEastAsia" w:hAnsiTheme="minorEastAsia" w:eastAsiaTheme="minorEastAsia" w:cstheme="minorEastAsia"/>
          <w:kern w:val="0"/>
          <w:sz w:val="24"/>
        </w:rPr>
        <w:t>（易损耗玻璃件除外）</w:t>
      </w:r>
      <w:r>
        <w:rPr>
          <w:rFonts w:hint="eastAsia" w:asciiTheme="minorEastAsia" w:hAnsiTheme="minorEastAsia" w:eastAsiaTheme="minorEastAsia" w:cstheme="minorEastAsia"/>
          <w:bCs/>
          <w:kern w:val="0"/>
          <w:sz w:val="24"/>
        </w:rPr>
        <w:t>。质保期后免收服务费，仅对更换的零备件收取成本费。</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4.4 终身免费软件升级。</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4.5 终身免费应用支持服务，免费提供应用方案。</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4.6 国内有厂家直营机构，仓库备有常用配件和耗材，保证常用备件耗材有现货供应。</w:t>
      </w:r>
    </w:p>
    <w:p>
      <w:pPr>
        <w:widowControl/>
        <w:adjustRightInd w:val="0"/>
        <w:snapToGrid w:val="0"/>
        <w:spacing w:line="500" w:lineRule="exact"/>
        <w:rPr>
          <w:rFonts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4.7 对所制造的仪器终身维护，并终身提供配件。</w:t>
      </w:r>
    </w:p>
    <w:p>
      <w:pPr>
        <w:widowControl/>
        <w:adjustRightInd w:val="0"/>
        <w:snapToGrid w:val="0"/>
        <w:spacing w:line="500" w:lineRule="exact"/>
        <w:rPr>
          <w:rFonts w:asciiTheme="minorEastAsia" w:hAnsiTheme="minorEastAsia" w:eastAsiaTheme="minorEastAsia" w:cstheme="minorEastAsia"/>
          <w:b/>
          <w:bCs/>
          <w:kern w:val="0"/>
          <w:sz w:val="24"/>
        </w:rPr>
      </w:pPr>
    </w:p>
    <w:p>
      <w:pPr>
        <w:widowControl/>
        <w:adjustRightInd w:val="0"/>
        <w:snapToGrid w:val="0"/>
        <w:spacing w:line="500" w:lineRule="exact"/>
        <w:jc w:val="center"/>
        <w:rPr>
          <w:rFonts w:ascii="宋体" w:hAnsi="宋体"/>
          <w:b/>
          <w:bCs/>
          <w:sz w:val="28"/>
          <w:szCs w:val="28"/>
        </w:rPr>
      </w:pPr>
      <w:r>
        <w:rPr>
          <w:rFonts w:hint="eastAsia" w:ascii="宋体" w:hAnsi="宋体"/>
          <w:b/>
          <w:bCs/>
          <w:sz w:val="28"/>
          <w:szCs w:val="28"/>
        </w:rPr>
        <w:t>品目3：液相色谱-原子荧光联用仪</w:t>
      </w:r>
    </w:p>
    <w:p>
      <w:pPr>
        <w:tabs>
          <w:tab w:val="left" w:pos="997"/>
          <w:tab w:val="left" w:pos="8522"/>
        </w:tabs>
        <w:spacing w:line="50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一、用途</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用于样品中As、Sb、Bi、Hg、Se、Te、Sn、Ge、Pb、Zn、Cd、Au元素的痕量分析，As、Sb、Hg、Se等元素形态分析。</w:t>
      </w:r>
    </w:p>
    <w:p>
      <w:pPr>
        <w:tabs>
          <w:tab w:val="left" w:pos="997"/>
          <w:tab w:val="left" w:pos="8522"/>
        </w:tabs>
        <w:spacing w:line="50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二、技术要求</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2.1原子荧光光度计部分</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2.1.2双通道设计，可二元素同时测定，或任选元素检测，并具有通道增强功能。</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2.1.3元素自动切换。</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*2.1.4</w:t>
      </w:r>
      <w:r>
        <w:rPr>
          <w:rFonts w:hint="eastAsia" w:asciiTheme="minorEastAsia" w:hAnsiTheme="minorEastAsia" w:eastAsiaTheme="minorEastAsia" w:cstheme="minorEastAsia"/>
          <w:sz w:val="24"/>
        </w:rPr>
        <w:t>免调光源光路设计，光源自动对焦，无需手动调节光斑，无需专用的调灯结构，普通元素灯即插即用。</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*2.1.5</w:t>
      </w:r>
      <w:r>
        <w:rPr>
          <w:rFonts w:hint="eastAsia" w:asciiTheme="minorEastAsia" w:hAnsiTheme="minorEastAsia" w:eastAsiaTheme="minorEastAsia" w:cstheme="minorEastAsia"/>
          <w:sz w:val="24"/>
        </w:rPr>
        <w:t>全自动内置式双进样系统，包含双注射泵进样系统和蠕动泵进样系统。双注射泵可精确控制溶液进量（包括样品、还原剂溶液体积），最小进样体积0.01ml。实现对氢化物反应酸碱度要求严格元素的测量（Pb、Cd、Sn等）；同时，也适用于珍贵样品的检测。蠕动泵进样系统具有测样速度快的特点（单个样品测量时间小于40s），缩短检测时间，提高工作效率。适用于浑浊及基体复杂样品的检测。软件选择进样系统，自动切换。</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*2.1.6</w:t>
      </w:r>
      <w:r>
        <w:rPr>
          <w:rFonts w:hint="eastAsia" w:asciiTheme="minorEastAsia" w:hAnsiTheme="minorEastAsia" w:eastAsiaTheme="minorEastAsia" w:cstheme="minorEastAsia"/>
          <w:sz w:val="24"/>
        </w:rPr>
        <w:t>具有光源漂移扣除功能，光源实时连续监测，自动校正汞灯漂移，确保仪器长期稳定性。汞灯自动激发，无需使用辅助工具激发起辉。</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2.1.7原子化器：屏蔽式低温点火石英炉原子化器，具有氩氢火焰观察窗。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2.1.8单点自动配标准曲线r&gt;0.9995，在线自动稀释高浓度样品（高样品浓度过高后自动清洗，浓度自动稀释。）。</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2.1.9 在线自动定量加还原剂、掩蔽剂等试剂。</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2.1.10具有气液分离装置，能够充分的进行气液分离。</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*2.1.11</w:t>
      </w:r>
      <w:r>
        <w:rPr>
          <w:rFonts w:hint="eastAsia" w:asciiTheme="minorEastAsia" w:hAnsiTheme="minorEastAsia" w:eastAsiaTheme="minorEastAsia" w:cstheme="minorEastAsia"/>
          <w:sz w:val="24"/>
        </w:rPr>
        <w:t>独特的进样针液面探测技术，自动探测样品的液面高度，随量跟踪，控制进样针下探高度。进样针采用耐腐蚀、疏水不沾液的特殊金属材质，强度高，克服了传统玻璃进样针易断易挂液的缺点。</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气路系统：采用先进的质量流量计控制载气和屏蔽气，气体流量可靠稳定，气流量精度1ml，并能实时显示气体流量和流量异常提示及无载气安全保护；具有自动待机功能，测试结束后自动关断气体，进入省气模式。</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2.1.13总量检出限（DL）硒、碲、铋、砷、汞等元素&lt;0.01µg/L；冷原子测汞&lt;0.001µg/L；镉&lt;0.001µg/L； 金&lt;3.0µg/L</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*2.1.14</w:t>
      </w:r>
      <w:r>
        <w:rPr>
          <w:rFonts w:hint="eastAsia" w:asciiTheme="minorEastAsia" w:hAnsiTheme="minorEastAsia" w:eastAsiaTheme="minorEastAsia" w:cstheme="minorEastAsia"/>
          <w:sz w:val="24"/>
        </w:rPr>
        <w:t>双道同测精密度（RSD）≤0.5%，以厂家型批报告实测值为准。</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2.15线性范围 三个数量级</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 xml:space="preserve">*2.1.16 </w:t>
      </w:r>
      <w:r>
        <w:rPr>
          <w:rFonts w:hint="eastAsia" w:asciiTheme="minorEastAsia" w:hAnsiTheme="minorEastAsia" w:eastAsiaTheme="minorEastAsia" w:cstheme="minorEastAsia"/>
          <w:sz w:val="24"/>
        </w:rPr>
        <w:t>高效极坐标大转盘自动进样系统，设有200个以上的样品位，满足不同用户需求；</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*2.1.17</w:t>
      </w:r>
      <w:r>
        <w:rPr>
          <w:rFonts w:hint="eastAsia" w:asciiTheme="minorEastAsia" w:hAnsiTheme="minorEastAsia" w:eastAsiaTheme="minorEastAsia" w:cstheme="minorEastAsia"/>
          <w:sz w:val="24"/>
        </w:rPr>
        <w:t>标准的Wifi接口/LAN通讯口, 适用于Windows系统的中文操作软件。可在线更新升级仪器内部嵌入式软件，无需打开机箱，无需借助其他工具。开机自检、自动系统诊断、故障点自动检测</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2.1.18具有可升级元素形态测试接口，升级后可检测砷(As)、汞(Hg)、硒(Se) 、 锑（Sb）等元素的价态，总量、形态自动切换，无需手工切换管路。</w:t>
      </w:r>
    </w:p>
    <w:p>
      <w:pPr>
        <w:tabs>
          <w:tab w:val="left" w:pos="997"/>
          <w:tab w:val="left" w:pos="8522"/>
        </w:tabs>
        <w:spacing w:line="50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2.2形态分析部分</w:t>
      </w:r>
    </w:p>
    <w:p>
      <w:pPr>
        <w:pStyle w:val="12"/>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2.2.1可与原子荧光光度计连接进行形态分析，形态预处理装置接口既可以通过上位机软件一体化控制，也可以通过自身的液晶触摸屏独立控制，实现和其它非原子荧光检测器相连接。</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2.2.2独立的大泵设计，通过操作软件调节泵速增减。</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*2.2.3</w:t>
      </w:r>
      <w:r>
        <w:rPr>
          <w:rFonts w:hint="eastAsia" w:asciiTheme="minorEastAsia" w:hAnsiTheme="minorEastAsia" w:eastAsiaTheme="minorEastAsia" w:cstheme="minorEastAsia"/>
          <w:sz w:val="24"/>
        </w:rPr>
        <w:t>具有光源连续监测校正系统，光源实时连续监测，自动校正汞灯漂移，解决了形态分析检测时间长，汞灯漂移严重的问题，缩短了汞灯预热时间，提高了仪器得长期稳定性。</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2.2.4在线恒温控制装置，软件设置样品的恒温反应条件。</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2.2.5独立的预处理装置，内置进口梯度高压输液泵。</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2.2.6采用最新设计的流动消解方式：使得管路大大缩短，避免了柱后峰形展宽，提高了仪器分析性能。</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*2.2.7</w:t>
      </w:r>
      <w:r>
        <w:rPr>
          <w:rFonts w:hint="eastAsia" w:asciiTheme="minorEastAsia" w:hAnsiTheme="minorEastAsia" w:eastAsiaTheme="minorEastAsia" w:cstheme="minorEastAsia"/>
          <w:sz w:val="24"/>
        </w:rPr>
        <w:t>内置双色谱柱，根据检测元素软件自动切换，无需手工换柱；紫外消解流路与非紫外消解流路自动切换，无需手动切换。</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2.2.8专用的液相色谱和氢化物发生原子荧光光谱仪接口：可以有效的把柱后流出液和氢化物发生液体混合。</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*2.2.9</w:t>
      </w:r>
      <w:r>
        <w:rPr>
          <w:rFonts w:hint="eastAsia" w:asciiTheme="minorEastAsia" w:hAnsiTheme="minorEastAsia" w:eastAsiaTheme="minorEastAsia" w:cstheme="minorEastAsia"/>
          <w:sz w:val="24"/>
        </w:rPr>
        <w:t>测量数据实时在线自动积分处理，无需手动积分、核查，自动完成数据结果计算。大大提高了工作效率，降低了实验室人员的工作量。</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*2.2.10</w:t>
      </w:r>
      <w:r>
        <w:rPr>
          <w:rFonts w:hint="eastAsia" w:asciiTheme="minorEastAsia" w:hAnsiTheme="minorEastAsia" w:eastAsiaTheme="minorEastAsia" w:cstheme="minorEastAsia"/>
          <w:sz w:val="24"/>
        </w:rPr>
        <w:t>形态分析检出限（DL）：</w:t>
      </w:r>
    </w:p>
    <w:p>
      <w:pPr>
        <w:tabs>
          <w:tab w:val="left" w:pos="997"/>
          <w:tab w:val="left" w:pos="8522"/>
        </w:tabs>
        <w:spacing w:line="500" w:lineRule="exact"/>
        <w:ind w:firstLine="48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As（III）、DMA、MMA、As（V）&lt;0.02ng</w:t>
      </w:r>
    </w:p>
    <w:p>
      <w:pPr>
        <w:tabs>
          <w:tab w:val="left" w:pos="997"/>
          <w:tab w:val="left" w:pos="8522"/>
        </w:tabs>
        <w:spacing w:line="500" w:lineRule="exact"/>
        <w:ind w:firstLine="48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Hg（II）、MeHg、EtHg&lt;0.01ng、PhHg&lt;0.02ng</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进行元素形态分析时必须达到国家标准GB 5009.11-2014无机砷要求的方法检出限，三价砷、五价砷浓度为1.0 µg/L时均能明显出峰，验收时达不到要求无条件退货。</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2.2.11精密度（RSD）&lt;3%，分析时间&lt;12min。</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2.2.12线性范围达到三个数量级</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2.2.13进口液相自动进样器，96个样品位。</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2.3电脑及打印机</w:t>
      </w:r>
    </w:p>
    <w:p>
      <w:pPr>
        <w:tabs>
          <w:tab w:val="left" w:pos="997"/>
          <w:tab w:val="left" w:pos="8522"/>
        </w:tabs>
        <w:spacing w:line="500" w:lineRule="exact"/>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配备市场主流商用电脑：I5处理器、四核500G硬盘、运行内存6G，9300以上独显、21寸液晶显示器。A4 可双面激光打印机。</w:t>
      </w:r>
    </w:p>
    <w:p>
      <w:pPr>
        <w:tabs>
          <w:tab w:val="left" w:pos="997"/>
          <w:tab w:val="left" w:pos="8522"/>
        </w:tabs>
        <w:spacing w:line="500" w:lineRule="exact"/>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三、配置清单</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w:t>
      </w:r>
      <w:r>
        <w:rPr>
          <w:rFonts w:hint="eastAsia" w:asciiTheme="minorEastAsia" w:hAnsiTheme="minorEastAsia" w:eastAsiaTheme="minorEastAsia" w:cstheme="minorEastAsia"/>
          <w:b/>
          <w:sz w:val="24"/>
        </w:rPr>
        <w:t>原子荧光光度计部分配置</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3.1.1原子荧光光度计主机，双进样系统（进口双注射泵进样+蠕动泵进样）1台</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3.1.2空心阴极灯As,Hg                                   2只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3.1.3点火炉丝                                          2根</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3.1.4注射进样管（进口）                                2支</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3.1.5双质量流量计气路控制模块（主机内）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3.1.6光源漂移扣除装置（主机内）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3.1.7汞灯自动激发起辉装置（主机内）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3.1.8操作软件光盘                                      1张</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3.1.9加密狗                                            1个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3.1.10PU管（4×6mm ）                                  5米</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3.1.11石英炉芯                                         1个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3.1.12进样反应系统备件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3.1.13废液桶5L                                         1个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3.1.14 206位极坐标动进样器（液面探测）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3.1.15样品管10ml（200个）50ml（6个）                206个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3.1.16试剂瓶1L                                         5个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w:t>
      </w:r>
      <w:r>
        <w:rPr>
          <w:rFonts w:hint="eastAsia" w:asciiTheme="minorEastAsia" w:hAnsiTheme="minorEastAsia" w:eastAsiaTheme="minorEastAsia" w:cstheme="minorEastAsia"/>
          <w:b/>
          <w:sz w:val="24"/>
        </w:rPr>
        <w:t>形态部分配</w:t>
      </w:r>
      <w:r>
        <w:rPr>
          <w:rFonts w:hint="eastAsia" w:asciiTheme="minorEastAsia" w:hAnsiTheme="minorEastAsia" w:eastAsiaTheme="minorEastAsia" w:cstheme="minorEastAsia"/>
          <w:sz w:val="24"/>
        </w:rPr>
        <w:t>置</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3.2.1形态分析预处理装置（含紫外消解、双柱温系统）     1台</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3.2.2内置进口梯度高压输液泵（德国进口）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3.2.3形态分析预处理装置备件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3.2.4色谱柱自动切换装置（阴离子色谱柱和C18柱）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3.2.5阴离子色谱色谱柱（进口）                         2套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3.2.6 C18柱（进口）                                   2套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3.2.7色谱保护柱                                       5套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3.2.8液相自动进样器 （进口96位）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3.2.9液相样品瓶                                      200个</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3.2.10进样反应系统（气液分离器、泵管）                 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3.2.11形态分析工作站（进行形态分析并控制高压输液泵参数和液相自动进样器条件1套</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3.2.12电脑及打印机                                     1套</w:t>
      </w:r>
    </w:p>
    <w:p>
      <w:pPr>
        <w:tabs>
          <w:tab w:val="left" w:pos="997"/>
          <w:tab w:val="left" w:pos="8522"/>
        </w:tabs>
        <w:spacing w:line="500" w:lineRule="exact"/>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四、售后服务与培训</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*4.1</w:t>
      </w:r>
      <w:r>
        <w:rPr>
          <w:rFonts w:hint="eastAsia" w:asciiTheme="minorEastAsia" w:hAnsiTheme="minorEastAsia" w:eastAsiaTheme="minorEastAsia" w:cstheme="minorEastAsia"/>
          <w:sz w:val="24"/>
        </w:rPr>
        <w:t>货到后2天内厂家工程师到现场安装调试，免费培训，直至使用人员能完全独立操作；并免培训费提供2人次到生产工厂进行培训。</w:t>
      </w:r>
    </w:p>
    <w:p>
      <w:pPr>
        <w:tabs>
          <w:tab w:val="left" w:pos="997"/>
          <w:tab w:val="left" w:pos="8522"/>
        </w:tabs>
        <w:spacing w:line="50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4.2安装调试经用户验收当天起，质量保证期三年，三年质保期后终身维修。</w:t>
      </w:r>
    </w:p>
    <w:p>
      <w:pPr>
        <w:widowControl/>
        <w:adjustRightInd w:val="0"/>
        <w:snapToGrid w:val="0"/>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4.3设备使用过程中出现问题，24小时内响应，2天内到达用户处并解决问题。</w:t>
      </w:r>
    </w:p>
    <w:p>
      <w:pPr>
        <w:widowControl/>
        <w:adjustRightInd w:val="0"/>
        <w:snapToGrid w:val="0"/>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widowControl/>
        <w:adjustRightInd w:val="0"/>
        <w:snapToGrid w:val="0"/>
        <w:spacing w:line="500" w:lineRule="exact"/>
        <w:rPr>
          <w:rFonts w:asciiTheme="minorEastAsia" w:hAnsiTheme="minorEastAsia" w:eastAsiaTheme="minorEastAsia" w:cstheme="minorEastAsia"/>
          <w:sz w:val="24"/>
        </w:rPr>
      </w:pPr>
    </w:p>
    <w:p>
      <w:pPr>
        <w:pStyle w:val="2"/>
        <w:rPr>
          <w:color w:val="000000"/>
        </w:rPr>
      </w:pPr>
      <w:r>
        <w:rPr>
          <w:rFonts w:hint="eastAsia"/>
          <w:color w:val="000000"/>
        </w:rPr>
        <w:t>6、评标原则及办法</w:t>
      </w:r>
      <w:bookmarkEnd w:id="222"/>
    </w:p>
    <w:p>
      <w:pPr>
        <w:pStyle w:val="3"/>
        <w:spacing w:before="0" w:after="0" w:line="500" w:lineRule="exact"/>
        <w:ind w:firstLine="482" w:firstLineChars="200"/>
        <w:jc w:val="both"/>
        <w:rPr>
          <w:rFonts w:ascii="宋体" w:hAnsi="宋体"/>
          <w:color w:val="000000"/>
          <w:sz w:val="24"/>
          <w:szCs w:val="24"/>
        </w:rPr>
      </w:pPr>
      <w:bookmarkStart w:id="223" w:name="_Toc453596848"/>
      <w:r>
        <w:rPr>
          <w:rFonts w:hint="eastAsia" w:ascii="宋体" w:hAnsi="宋体"/>
          <w:color w:val="000000"/>
          <w:sz w:val="24"/>
          <w:szCs w:val="24"/>
        </w:rPr>
        <w:t>6.1 评标工作中的原则及组织</w:t>
      </w:r>
      <w:bookmarkEnd w:id="223"/>
    </w:p>
    <w:p>
      <w:pPr>
        <w:pStyle w:val="4"/>
        <w:spacing w:line="500" w:lineRule="exact"/>
        <w:rPr>
          <w:color w:val="000000"/>
        </w:rPr>
      </w:pPr>
      <w:bookmarkStart w:id="224" w:name="_Toc453596849"/>
      <w:r>
        <w:rPr>
          <w:rFonts w:hint="eastAsia"/>
          <w:color w:val="000000"/>
        </w:rPr>
        <w:t>6.1.1 原则</w:t>
      </w:r>
      <w:bookmarkEnd w:id="224"/>
    </w:p>
    <w:p>
      <w:pPr>
        <w:pStyle w:val="14"/>
        <w:spacing w:line="50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招标人组织评标，在监督部门监督下,根据《中华人民共和国政府采购法》《中华人民共和国政府采购法实施条例》组建评标委员会，由采购人代表和评标专家共同组成，评标委员会成员应坚持“公开、公平、公正”的宗旨</w:t>
      </w:r>
      <w:r>
        <w:rPr>
          <w:rFonts w:ascii="宋体" w:hAnsi="宋体"/>
          <w:b w:val="0"/>
          <w:bCs w:val="0"/>
          <w:color w:val="000000"/>
          <w:sz w:val="24"/>
          <w:szCs w:val="24"/>
        </w:rPr>
        <w:t>,</w:t>
      </w:r>
      <w:r>
        <w:rPr>
          <w:rFonts w:hint="eastAsia" w:ascii="宋体" w:hAnsi="宋体"/>
          <w:b w:val="0"/>
          <w:bCs w:val="0"/>
          <w:color w:val="000000"/>
          <w:sz w:val="24"/>
          <w:szCs w:val="24"/>
        </w:rPr>
        <w:t>认真细致地做好评标工作。</w:t>
      </w:r>
    </w:p>
    <w:p>
      <w:pPr>
        <w:spacing w:line="500" w:lineRule="exact"/>
        <w:ind w:firstLine="480" w:firstLineChars="200"/>
        <w:rPr>
          <w:rFonts w:ascii="宋体" w:hAnsi="宋体"/>
          <w:color w:val="000000"/>
          <w:sz w:val="24"/>
        </w:rPr>
      </w:pPr>
      <w:r>
        <w:rPr>
          <w:rFonts w:hint="eastAsia" w:ascii="宋体" w:hAnsi="宋体"/>
          <w:color w:val="000000"/>
          <w:sz w:val="24"/>
        </w:rPr>
        <w:t>1）评标委员会成员人数不少于5人以上单数，其中技术、经济等方面的专家不少于成员总数的三分之二。</w:t>
      </w:r>
    </w:p>
    <w:p>
      <w:pPr>
        <w:spacing w:line="500" w:lineRule="exact"/>
        <w:ind w:firstLine="480" w:firstLineChars="200"/>
        <w:rPr>
          <w:rFonts w:ascii="宋体" w:hAnsi="宋体"/>
          <w:color w:val="000000"/>
          <w:sz w:val="24"/>
        </w:rPr>
      </w:pPr>
      <w:r>
        <w:rPr>
          <w:rFonts w:hint="eastAsia" w:ascii="宋体" w:hAnsi="宋体"/>
          <w:color w:val="000000"/>
          <w:sz w:val="24"/>
        </w:rPr>
        <w:t>2）评标委员会成员应当客观、公正的履行职责，遵守职业道德，对所提出的评审意见承担个人责任。</w:t>
      </w:r>
    </w:p>
    <w:p>
      <w:pPr>
        <w:pStyle w:val="14"/>
        <w:spacing w:line="50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3)评标委员会成员和与评标活动有关的工作人员不得透露对投标文件的评审和比较、中标候选人的推荐情况以及与评标有关的其他情况。</w:t>
      </w:r>
    </w:p>
    <w:p>
      <w:pPr>
        <w:pStyle w:val="4"/>
        <w:spacing w:line="500" w:lineRule="exact"/>
        <w:rPr>
          <w:color w:val="000000"/>
        </w:rPr>
      </w:pPr>
      <w:bookmarkStart w:id="225" w:name="_Toc453596850"/>
      <w:r>
        <w:rPr>
          <w:rFonts w:hint="eastAsia"/>
          <w:color w:val="000000"/>
        </w:rPr>
        <w:t>6.1.2 组织</w:t>
      </w:r>
      <w:bookmarkEnd w:id="225"/>
    </w:p>
    <w:p>
      <w:pPr>
        <w:spacing w:line="500" w:lineRule="exact"/>
        <w:ind w:firstLine="480" w:firstLineChars="200"/>
        <w:rPr>
          <w:rFonts w:ascii="宋体" w:hAnsi="宋体"/>
          <w:color w:val="000000"/>
          <w:sz w:val="24"/>
        </w:rPr>
      </w:pPr>
      <w:r>
        <w:rPr>
          <w:rFonts w:hint="eastAsia" w:ascii="宋体" w:hAnsi="宋体"/>
          <w:color w:val="000000"/>
          <w:sz w:val="24"/>
        </w:rPr>
        <w:t>1）评标委员会：由采购人代表和从专家库随机抽取的专家组成评标委员会。评标委员会下设商务评审组和技术评审组。商务评审组根据招标文件要求负责投标文件的商务审查评价；技术评审组根据招标文件要求负责投标文件的技术部分审查评价。</w:t>
      </w:r>
    </w:p>
    <w:p>
      <w:pPr>
        <w:spacing w:line="500" w:lineRule="exact"/>
        <w:ind w:firstLine="480" w:firstLineChars="200"/>
        <w:rPr>
          <w:rFonts w:ascii="宋体" w:hAnsi="宋体"/>
          <w:color w:val="000000"/>
          <w:sz w:val="24"/>
        </w:rPr>
      </w:pPr>
      <w:r>
        <w:rPr>
          <w:rFonts w:hint="eastAsia" w:ascii="宋体" w:hAnsi="宋体"/>
          <w:color w:val="000000"/>
          <w:sz w:val="24"/>
        </w:rPr>
        <w:t>2）招标人</w:t>
      </w:r>
      <w:r>
        <w:rPr>
          <w:rFonts w:ascii="宋体" w:hAnsi="宋体"/>
          <w:color w:val="000000"/>
          <w:sz w:val="24"/>
        </w:rPr>
        <w:t>:</w:t>
      </w:r>
      <w:r>
        <w:rPr>
          <w:rFonts w:hint="eastAsia" w:ascii="宋体" w:hAnsi="宋体"/>
          <w:color w:val="000000"/>
          <w:sz w:val="24"/>
        </w:rPr>
        <w:t>由采购人和招标代理机构组成，负责对外联系并配合交易中心工作人员开标、评标的会务工作</w:t>
      </w:r>
      <w:r>
        <w:rPr>
          <w:rFonts w:ascii="宋体" w:hAnsi="宋体"/>
          <w:color w:val="000000"/>
          <w:sz w:val="24"/>
        </w:rPr>
        <w:t>,</w:t>
      </w:r>
      <w:r>
        <w:rPr>
          <w:rFonts w:hint="eastAsia" w:ascii="宋体" w:hAnsi="宋体"/>
          <w:color w:val="000000"/>
          <w:sz w:val="24"/>
        </w:rPr>
        <w:t>整理并向评标组分发投标资料、投标文件；做好投标开标和评标会议记录；对评标过程中的原始文件进行归档</w:t>
      </w:r>
      <w:r>
        <w:rPr>
          <w:rFonts w:ascii="宋体" w:hAnsi="宋体"/>
          <w:color w:val="000000"/>
          <w:sz w:val="24"/>
        </w:rPr>
        <w:t>;</w:t>
      </w:r>
      <w:r>
        <w:rPr>
          <w:rFonts w:hint="eastAsia" w:ascii="宋体" w:hAnsi="宋体"/>
          <w:color w:val="000000"/>
          <w:sz w:val="24"/>
        </w:rPr>
        <w:t>随时印发需要的文件资料</w:t>
      </w:r>
      <w:r>
        <w:rPr>
          <w:rFonts w:ascii="宋体" w:hAnsi="宋体"/>
          <w:color w:val="000000"/>
          <w:sz w:val="24"/>
        </w:rPr>
        <w:t>,</w:t>
      </w:r>
      <w:r>
        <w:rPr>
          <w:rFonts w:hint="eastAsia" w:ascii="宋体" w:hAnsi="宋体"/>
          <w:color w:val="000000"/>
          <w:sz w:val="24"/>
        </w:rPr>
        <w:t>对各种咨询函件及档案文件的统收统发。</w:t>
      </w:r>
    </w:p>
    <w:p>
      <w:pPr>
        <w:spacing w:line="500" w:lineRule="exact"/>
        <w:ind w:firstLine="480" w:firstLineChars="200"/>
        <w:rPr>
          <w:rFonts w:ascii="宋体" w:hAnsi="宋体"/>
          <w:color w:val="000000"/>
          <w:sz w:val="24"/>
        </w:rPr>
      </w:pPr>
      <w:r>
        <w:rPr>
          <w:rFonts w:hint="eastAsia" w:ascii="宋体" w:hAnsi="宋体"/>
          <w:color w:val="000000"/>
          <w:sz w:val="24"/>
        </w:rPr>
        <w:t>3）监督部门：由</w:t>
      </w:r>
      <w:r>
        <w:rPr>
          <w:rFonts w:hint="eastAsia" w:ascii="宋体" w:hAnsi="宋体" w:cs="Arial"/>
          <w:color w:val="000000"/>
          <w:sz w:val="24"/>
        </w:rPr>
        <w:t>同级财政局采购办公室、市公共资源管理办公室、市公共资源交易中心监督科等有关监督部门组成，</w:t>
      </w:r>
      <w:r>
        <w:rPr>
          <w:rFonts w:hint="eastAsia" w:ascii="宋体" w:hAnsi="宋体"/>
          <w:color w:val="000000"/>
          <w:sz w:val="24"/>
        </w:rPr>
        <w:t>根据国家有关法律、法规及招标文件的规定</w:t>
      </w:r>
      <w:r>
        <w:rPr>
          <w:rFonts w:ascii="宋体" w:hAnsi="宋体"/>
          <w:color w:val="000000"/>
          <w:sz w:val="24"/>
        </w:rPr>
        <w:t>,</w:t>
      </w:r>
      <w:r>
        <w:rPr>
          <w:rFonts w:hint="eastAsia" w:ascii="宋体" w:hAnsi="宋体"/>
          <w:color w:val="000000"/>
          <w:sz w:val="24"/>
        </w:rPr>
        <w:t>对整个评标过程进行监督</w:t>
      </w:r>
      <w:r>
        <w:rPr>
          <w:rFonts w:ascii="宋体" w:hAnsi="宋体"/>
          <w:color w:val="000000"/>
          <w:sz w:val="24"/>
        </w:rPr>
        <w:t>,</w:t>
      </w:r>
      <w:r>
        <w:rPr>
          <w:rFonts w:hint="eastAsia" w:ascii="宋体" w:hAnsi="宋体"/>
          <w:color w:val="000000"/>
          <w:sz w:val="24"/>
        </w:rPr>
        <w:t>保证评标的公正性</w:t>
      </w:r>
      <w:r>
        <w:rPr>
          <w:rFonts w:ascii="宋体" w:hAnsi="宋体"/>
          <w:color w:val="000000"/>
          <w:sz w:val="24"/>
        </w:rPr>
        <w:t>,</w:t>
      </w:r>
      <w:r>
        <w:rPr>
          <w:rFonts w:hint="eastAsia" w:ascii="宋体" w:hAnsi="宋体"/>
          <w:color w:val="000000"/>
          <w:sz w:val="24"/>
        </w:rPr>
        <w:t>防止违法行为的产生。</w:t>
      </w:r>
    </w:p>
    <w:p>
      <w:pPr>
        <w:spacing w:line="500" w:lineRule="exact"/>
        <w:ind w:firstLine="480" w:firstLineChars="200"/>
        <w:rPr>
          <w:rFonts w:ascii="宋体" w:hAnsi="宋体"/>
          <w:color w:val="000000"/>
          <w:sz w:val="24"/>
        </w:rPr>
      </w:pPr>
      <w:r>
        <w:rPr>
          <w:rFonts w:hint="eastAsia" w:ascii="宋体" w:hAnsi="宋体"/>
          <w:color w:val="000000"/>
          <w:sz w:val="24"/>
        </w:rPr>
        <w:t>4）审核小组：由监督部门和组织评审科共同组成，负责对评标委员会填写的商务打分表和技术打分表进行统计审核，并汇总计算总分。</w:t>
      </w:r>
    </w:p>
    <w:p>
      <w:pPr>
        <w:framePr w:w="1440" w:h="120" w:hRule="exact" w:wrap="around" w:vAnchor="page" w:hAnchor="page" w:x="362" w:y="542"/>
        <w:spacing w:line="500" w:lineRule="exact"/>
        <w:ind w:firstLine="480" w:firstLineChars="200"/>
        <w:rPr>
          <w:rFonts w:ascii="宋体" w:hAnsi="宋体"/>
          <w:color w:val="000000"/>
          <w:sz w:val="24"/>
        </w:rPr>
      </w:pPr>
    </w:p>
    <w:p>
      <w:pPr>
        <w:pStyle w:val="3"/>
        <w:spacing w:before="0" w:after="0" w:line="500" w:lineRule="exact"/>
        <w:ind w:firstLine="482" w:firstLineChars="200"/>
        <w:jc w:val="both"/>
        <w:rPr>
          <w:rFonts w:ascii="宋体" w:hAnsi="宋体"/>
          <w:color w:val="000000"/>
          <w:sz w:val="24"/>
          <w:szCs w:val="24"/>
        </w:rPr>
      </w:pPr>
      <w:bookmarkStart w:id="226" w:name="_Toc453596851"/>
      <w:r>
        <w:rPr>
          <w:rFonts w:hint="eastAsia" w:ascii="宋体" w:hAnsi="宋体"/>
          <w:color w:val="000000"/>
          <w:sz w:val="24"/>
          <w:szCs w:val="24"/>
        </w:rPr>
        <w:t>6.2  评标内容及标准</w:t>
      </w:r>
      <w:bookmarkEnd w:id="226"/>
    </w:p>
    <w:p>
      <w:pPr>
        <w:pStyle w:val="3"/>
        <w:spacing w:before="0" w:after="0" w:line="500" w:lineRule="exact"/>
        <w:ind w:firstLine="482" w:firstLineChars="200"/>
        <w:jc w:val="both"/>
        <w:rPr>
          <w:rFonts w:ascii="宋体" w:hAnsi="宋体"/>
          <w:color w:val="000000"/>
          <w:sz w:val="24"/>
          <w:szCs w:val="24"/>
        </w:rPr>
      </w:pPr>
      <w:bookmarkStart w:id="227" w:name="_Toc453596852"/>
      <w:r>
        <w:rPr>
          <w:rFonts w:hint="eastAsia" w:ascii="宋体" w:hAnsi="宋体"/>
          <w:color w:val="000000"/>
          <w:sz w:val="24"/>
          <w:szCs w:val="24"/>
        </w:rPr>
        <w:t>6.2.1评标内容</w:t>
      </w:r>
      <w:bookmarkEnd w:id="227"/>
    </w:p>
    <w:p>
      <w:pPr>
        <w:pStyle w:val="13"/>
        <w:snapToGrid/>
        <w:spacing w:line="500" w:lineRule="exact"/>
        <w:ind w:firstLine="496" w:firstLineChars="200"/>
        <w:rPr>
          <w:color w:val="000000"/>
          <w:szCs w:val="24"/>
        </w:rPr>
      </w:pPr>
      <w:r>
        <w:rPr>
          <w:rFonts w:hint="eastAsia"/>
          <w:color w:val="000000"/>
          <w:szCs w:val="24"/>
        </w:rPr>
        <w:t>评标委员会将审查投标书是否完整、有无计算上的错误、是否提交了投标保证金、文件签署是否合格、投标文件的总体编排是否有序。</w:t>
      </w:r>
    </w:p>
    <w:p>
      <w:pPr>
        <w:spacing w:line="500" w:lineRule="exact"/>
        <w:ind w:firstLine="480"/>
        <w:rPr>
          <w:rFonts w:ascii="宋体" w:hAnsi="宋体"/>
          <w:color w:val="000000"/>
          <w:sz w:val="24"/>
        </w:rPr>
      </w:pPr>
      <w:r>
        <w:rPr>
          <w:rFonts w:hint="eastAsia" w:ascii="宋体" w:hAnsi="宋体" w:cs="宋体"/>
          <w:color w:val="000000"/>
          <w:sz w:val="24"/>
          <w:lang w:val="zh-CN"/>
        </w:rPr>
        <w:t>招标人将组织评标委员会审查投标文件是否完整，审查投标人提供的资格证明文件，评估投标人的财务、技术和生产能力。如果评标委员会认定投标人未完全响应招标文件，其投标将被视为无效投标。</w:t>
      </w:r>
    </w:p>
    <w:p>
      <w:pPr>
        <w:tabs>
          <w:tab w:val="left" w:pos="8640"/>
        </w:tabs>
        <w:spacing w:line="500" w:lineRule="exact"/>
        <w:ind w:firstLine="480"/>
        <w:rPr>
          <w:rFonts w:ascii="宋体" w:hAnsi="宋体" w:cs="宋体"/>
          <w:color w:val="000000"/>
          <w:sz w:val="24"/>
          <w:lang w:val="zh-CN"/>
        </w:rPr>
      </w:pPr>
      <w:r>
        <w:rPr>
          <w:rFonts w:hint="eastAsia" w:ascii="宋体" w:hAnsi="宋体" w:cs="宋体"/>
          <w:color w:val="000000"/>
          <w:sz w:val="24"/>
          <w:lang w:val="zh-CN"/>
        </w:rPr>
        <w:t>评标委员会可以对确定为实质上响应招标文件要求的投标文件进行校核，修正错误的标准如下：</w:t>
      </w:r>
    </w:p>
    <w:p>
      <w:pPr>
        <w:spacing w:line="500" w:lineRule="exact"/>
        <w:ind w:firstLine="480"/>
        <w:rPr>
          <w:rFonts w:ascii="宋体" w:hAnsi="宋体" w:cs="宋体"/>
          <w:color w:val="000000"/>
          <w:sz w:val="24"/>
          <w:lang w:val="zh-CN"/>
        </w:rPr>
      </w:pPr>
      <w:r>
        <w:rPr>
          <w:rFonts w:ascii="宋体" w:hAnsi="宋体" w:cs="宋体"/>
          <w:color w:val="000000"/>
          <w:sz w:val="24"/>
          <w:lang w:val="zh-CN"/>
        </w:rPr>
        <w:t>1</w:t>
      </w:r>
      <w:r>
        <w:rPr>
          <w:rFonts w:hint="eastAsia" w:ascii="宋体" w:hAnsi="宋体" w:cs="宋体"/>
          <w:color w:val="000000"/>
          <w:sz w:val="24"/>
          <w:lang w:val="zh-CN"/>
        </w:rPr>
        <w:t>）如果用数字表示的数额与用文字表示的数额不一致时，以文字数额为准。</w:t>
      </w:r>
    </w:p>
    <w:p>
      <w:pPr>
        <w:spacing w:line="500" w:lineRule="exact"/>
        <w:ind w:firstLine="480"/>
        <w:rPr>
          <w:rFonts w:ascii="宋体" w:hAnsi="宋体" w:cs="宋体"/>
          <w:color w:val="000000"/>
          <w:sz w:val="24"/>
          <w:lang w:val="zh-CN"/>
        </w:rPr>
      </w:pPr>
      <w:r>
        <w:rPr>
          <w:rFonts w:ascii="宋体" w:hAnsi="宋体" w:cs="宋体"/>
          <w:color w:val="000000"/>
          <w:sz w:val="24"/>
          <w:lang w:val="zh-CN"/>
        </w:rPr>
        <w:t xml:space="preserve">2) </w:t>
      </w:r>
      <w:r>
        <w:rPr>
          <w:rFonts w:hint="eastAsia" w:ascii="宋体" w:hAnsi="宋体" w:cs="宋体"/>
          <w:color w:val="000000"/>
          <w:sz w:val="24"/>
          <w:lang w:val="zh-CN"/>
        </w:rPr>
        <w:t>当单价与总价之间不一致时，通常以标出的单价为准。除非评标委员会认为有明显的小数点错位，此时应以标出的总价为准，并修改单价。</w:t>
      </w:r>
    </w:p>
    <w:p>
      <w:pPr>
        <w:spacing w:line="500" w:lineRule="exact"/>
        <w:ind w:firstLine="480"/>
        <w:rPr>
          <w:rFonts w:ascii="宋体" w:hAnsi="宋体" w:cs="宋体"/>
          <w:color w:val="000000"/>
          <w:sz w:val="24"/>
          <w:lang w:val="zh-CN"/>
        </w:rPr>
      </w:pPr>
      <w:r>
        <w:rPr>
          <w:rFonts w:hint="eastAsia" w:ascii="宋体" w:hAnsi="宋体" w:cs="宋体"/>
          <w:color w:val="000000"/>
          <w:sz w:val="24"/>
          <w:lang w:val="zh-CN"/>
        </w:rPr>
        <w:t>如果投标人不接受对其错误的更正，其投标将被视为无效投标。</w:t>
      </w:r>
    </w:p>
    <w:p>
      <w:pPr>
        <w:tabs>
          <w:tab w:val="left" w:pos="8640"/>
        </w:tabs>
        <w:spacing w:line="500" w:lineRule="exact"/>
        <w:ind w:firstLine="480"/>
        <w:rPr>
          <w:rFonts w:ascii="宋体" w:hAnsi="宋体"/>
          <w:color w:val="000000"/>
          <w:sz w:val="24"/>
        </w:rPr>
      </w:pPr>
      <w:r>
        <w:rPr>
          <w:rFonts w:ascii="宋体" w:hAnsi="宋体" w:cs="宋体"/>
          <w:color w:val="000000"/>
          <w:sz w:val="24"/>
          <w:lang w:val="zh-CN"/>
        </w:rPr>
        <w:t>3</w:t>
      </w:r>
      <w:r>
        <w:rPr>
          <w:rFonts w:hint="eastAsia" w:ascii="宋体" w:hAnsi="宋体" w:cs="宋体"/>
          <w:color w:val="000000"/>
          <w:sz w:val="24"/>
          <w:lang w:val="zh-CN"/>
        </w:rPr>
        <w:t>）对于投标文件中不构成实质性偏差的小的不正规、不一致或不规则，评标委员会可以接受，但这种接受不能损害或影响任何投标人的相对排序。</w:t>
      </w:r>
    </w:p>
    <w:p>
      <w:pPr>
        <w:spacing w:line="500" w:lineRule="exact"/>
        <w:ind w:firstLine="480"/>
        <w:rPr>
          <w:rFonts w:ascii="宋体" w:hAnsi="宋体"/>
          <w:color w:val="000000"/>
          <w:spacing w:val="4"/>
          <w:sz w:val="24"/>
        </w:rPr>
      </w:pPr>
      <w:r>
        <w:rPr>
          <w:rFonts w:ascii="宋体" w:hAnsi="宋体" w:cs="宋体"/>
          <w:color w:val="000000"/>
          <w:spacing w:val="4"/>
          <w:sz w:val="24"/>
          <w:lang w:val="zh-CN"/>
        </w:rPr>
        <w:t>4</w:t>
      </w:r>
      <w:r>
        <w:rPr>
          <w:rFonts w:hint="eastAsia" w:ascii="宋体" w:hAnsi="宋体" w:cs="宋体"/>
          <w:color w:val="000000"/>
          <w:spacing w:val="4"/>
          <w:sz w:val="24"/>
          <w:lang w:val="zh-CN"/>
        </w:rPr>
        <w:t>）评标委员会审查每份投标文件是否实质上响应了招标文件的要求。实质上响应的投标文件应该与招标文件要求的全部条款、条件和规格相符，没有重大偏离。评标委员会决定投标文件的响应性只根据投标文件本身的内容，而不寻求外部的证据。</w:t>
      </w:r>
    </w:p>
    <w:p>
      <w:pPr>
        <w:tabs>
          <w:tab w:val="left" w:pos="8640"/>
        </w:tabs>
        <w:spacing w:line="500" w:lineRule="exact"/>
        <w:ind w:firstLine="480"/>
        <w:rPr>
          <w:rFonts w:ascii="宋体" w:hAnsi="宋体" w:cs="宋体"/>
          <w:color w:val="000000"/>
          <w:sz w:val="24"/>
          <w:lang w:val="zh-CN"/>
        </w:rPr>
      </w:pPr>
      <w:r>
        <w:rPr>
          <w:rFonts w:ascii="宋体" w:hAnsi="宋体" w:cs="宋体"/>
          <w:color w:val="000000"/>
          <w:sz w:val="24"/>
          <w:lang w:val="zh-CN"/>
        </w:rPr>
        <w:t>5</w:t>
      </w:r>
      <w:r>
        <w:rPr>
          <w:rFonts w:hint="eastAsia" w:ascii="宋体" w:hAnsi="宋体" w:cs="宋体"/>
          <w:color w:val="000000"/>
          <w:sz w:val="24"/>
          <w:lang w:val="zh-CN"/>
        </w:rPr>
        <w:t>）如果投标文件实质上没有响应招标文件的要求，其投标将被视为无效投标，投标人不得通过修正或撤消不符合要求的偏离从而使其投标成为实质上响应的投标。</w:t>
      </w:r>
    </w:p>
    <w:p>
      <w:pPr>
        <w:pStyle w:val="3"/>
        <w:spacing w:before="0" w:after="0" w:line="500" w:lineRule="exact"/>
        <w:ind w:firstLine="482" w:firstLineChars="200"/>
        <w:jc w:val="both"/>
        <w:rPr>
          <w:rFonts w:ascii="宋体" w:hAnsi="宋体"/>
          <w:color w:val="000000"/>
          <w:sz w:val="24"/>
          <w:szCs w:val="24"/>
        </w:rPr>
      </w:pPr>
      <w:bookmarkStart w:id="228" w:name="_Toc453596853"/>
      <w:r>
        <w:rPr>
          <w:rFonts w:hint="eastAsia" w:ascii="宋体" w:hAnsi="宋体"/>
          <w:color w:val="000000"/>
          <w:sz w:val="24"/>
          <w:szCs w:val="24"/>
        </w:rPr>
        <w:t>6.2.2 无效投标</w:t>
      </w:r>
      <w:bookmarkEnd w:id="228"/>
    </w:p>
    <w:p>
      <w:pPr>
        <w:spacing w:line="500" w:lineRule="exact"/>
        <w:ind w:firstLine="480" w:firstLineChars="200"/>
        <w:rPr>
          <w:rFonts w:ascii="宋体" w:hAnsi="宋体"/>
          <w:color w:val="000000"/>
          <w:sz w:val="24"/>
        </w:rPr>
      </w:pPr>
      <w:r>
        <w:rPr>
          <w:rFonts w:hint="eastAsia" w:ascii="宋体" w:hAnsi="宋体"/>
          <w:color w:val="000000"/>
          <w:sz w:val="24"/>
        </w:rPr>
        <w:t>遇到下列情况之一时</w:t>
      </w:r>
      <w:r>
        <w:rPr>
          <w:rFonts w:ascii="宋体" w:hAnsi="宋体"/>
          <w:color w:val="000000"/>
          <w:sz w:val="24"/>
        </w:rPr>
        <w:t>,</w:t>
      </w:r>
      <w:r>
        <w:rPr>
          <w:rFonts w:hint="eastAsia" w:ascii="宋体" w:hAnsi="宋体"/>
          <w:color w:val="000000"/>
          <w:sz w:val="24"/>
        </w:rPr>
        <w:t xml:space="preserve"> 投标人的投标将被视为无效投标:</w:t>
      </w:r>
    </w:p>
    <w:p>
      <w:pPr>
        <w:spacing w:line="500" w:lineRule="exact"/>
        <w:ind w:firstLine="480" w:firstLineChars="200"/>
        <w:rPr>
          <w:rFonts w:ascii="宋体" w:hAnsi="宋体"/>
          <w:color w:val="000000"/>
          <w:sz w:val="24"/>
        </w:rPr>
      </w:pPr>
      <w:r>
        <w:rPr>
          <w:rFonts w:hint="eastAsia" w:ascii="宋体" w:hAnsi="宋体"/>
          <w:color w:val="000000"/>
          <w:sz w:val="24"/>
        </w:rPr>
        <w:t>1）投标人法定代表人或授权代理人未参加开标会议的；</w:t>
      </w:r>
    </w:p>
    <w:p>
      <w:pPr>
        <w:spacing w:line="500" w:lineRule="exact"/>
        <w:ind w:firstLine="480" w:firstLineChars="200"/>
        <w:rPr>
          <w:rFonts w:ascii="宋体" w:hAnsi="宋体"/>
          <w:color w:val="000000"/>
          <w:sz w:val="24"/>
        </w:rPr>
      </w:pPr>
      <w:r>
        <w:rPr>
          <w:rFonts w:hint="eastAsia" w:ascii="宋体" w:hAnsi="宋体"/>
          <w:color w:val="000000"/>
          <w:sz w:val="24"/>
        </w:rPr>
        <w:t>2）投标人未按要求交纳投标保证金或金额不足的；</w:t>
      </w:r>
    </w:p>
    <w:p>
      <w:pPr>
        <w:tabs>
          <w:tab w:val="left" w:pos="-540"/>
        </w:tabs>
        <w:spacing w:line="360" w:lineRule="auto"/>
        <w:ind w:left="479" w:leftChars="228"/>
        <w:rPr>
          <w:rFonts w:ascii="宋体" w:hAnsi="宋体"/>
          <w:color w:val="000000"/>
          <w:spacing w:val="-6"/>
          <w:sz w:val="24"/>
        </w:rPr>
      </w:pPr>
      <w:r>
        <w:rPr>
          <w:rFonts w:hint="eastAsia" w:ascii="宋体" w:hAnsi="宋体"/>
          <w:color w:val="000000"/>
          <w:sz w:val="24"/>
        </w:rPr>
        <w:t>3）投标人未按要求递交提交</w:t>
      </w:r>
      <w:r>
        <w:rPr>
          <w:rFonts w:hint="eastAsia" w:ascii="宋体" w:hAnsi="宋体"/>
          <w:color w:val="000000"/>
          <w:spacing w:val="-6"/>
          <w:sz w:val="24"/>
        </w:rPr>
        <w:t>本项目投标保证金进帐单或电汇凭证等银行证明文件的；</w:t>
      </w:r>
    </w:p>
    <w:p>
      <w:pPr>
        <w:tabs>
          <w:tab w:val="left" w:pos="-540"/>
        </w:tabs>
        <w:spacing w:line="360" w:lineRule="auto"/>
        <w:ind w:left="479" w:leftChars="228"/>
        <w:rPr>
          <w:rFonts w:ascii="宋体" w:hAnsi="宋体"/>
          <w:color w:val="000000"/>
          <w:sz w:val="24"/>
        </w:rPr>
      </w:pPr>
      <w:r>
        <w:rPr>
          <w:rFonts w:hint="eastAsia" w:ascii="宋体" w:hAnsi="宋体"/>
          <w:color w:val="000000"/>
          <w:spacing w:val="-6"/>
          <w:sz w:val="24"/>
        </w:rPr>
        <w:t xml:space="preserve"> (</w:t>
      </w:r>
      <w:r>
        <w:rPr>
          <w:rFonts w:ascii="宋体" w:hAnsi="宋体"/>
          <w:sz w:val="24"/>
        </w:rPr>
        <w:t>一）投标保证金提交方式为银行电汇，不接受其他方式的投标保证金。</w:t>
      </w:r>
      <w:r>
        <w:rPr>
          <w:rFonts w:ascii="宋体" w:hAnsi="宋体"/>
          <w:sz w:val="24"/>
        </w:rPr>
        <w:br w:type="textWrapping"/>
      </w:r>
      <w:r>
        <w:rPr>
          <w:rFonts w:ascii="宋体" w:hAnsi="宋体"/>
          <w:sz w:val="24"/>
        </w:rPr>
        <w:t>（二）投标人必须从基本账户以电汇方式提交保证金，且投标保证金单位名称必须与投标人登记的单位名称一致，不得以分公司、办事处或其他机构名义递交。</w:t>
      </w:r>
      <w:r>
        <w:rPr>
          <w:rFonts w:ascii="宋体" w:hAnsi="宋体"/>
          <w:sz w:val="24"/>
        </w:rPr>
        <w:br w:type="textWrapping"/>
      </w:r>
      <w:r>
        <w:rPr>
          <w:rFonts w:ascii="宋体" w:hAnsi="宋体"/>
          <w:sz w:val="24"/>
        </w:rPr>
        <w:t>（三）投标人在办理投标保证金电汇手续时，在银行电汇单附言栏上必须且只填写投标保证金对应的投标项目标段（包）的8位数字登记号。在汇款单附言栏内不填或错填投标“登记号”，交易系统无法识别保证金所对应的项目标段（包）的，将导致投标无效；未按标段（包）逐笔递交保证金的，将导致投标无效。</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 xml:space="preserve"> 投标文件未按规定编制、标注、密封、封装的； </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 xml:space="preserve"> 超出投标商经营范围投标的；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6）投标文件无投标人鲜章和法人或者法人授权代理人的印章或签字的；</w:t>
      </w:r>
    </w:p>
    <w:p>
      <w:pPr>
        <w:pStyle w:val="13"/>
        <w:snapToGrid/>
        <w:spacing w:line="500" w:lineRule="exact"/>
        <w:ind w:firstLine="496" w:firstLineChars="200"/>
        <w:rPr>
          <w:color w:val="000000"/>
          <w:szCs w:val="24"/>
        </w:rPr>
      </w:pPr>
      <w:r>
        <w:rPr>
          <w:rFonts w:hint="eastAsia"/>
          <w:color w:val="000000"/>
          <w:szCs w:val="24"/>
        </w:rPr>
        <w:t>7）投标函、法人授权函、投标报价表及投标货物偏离表未按规定格式填报的；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8）投标人未能提供法人授权函等证明文件和资料的，或提供的证件不齐或无效；</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 xml:space="preserve"> 投标文件未按照招标文件规定的格式填写，或者填写的内容不全，或者辨认不清产生歧义，或者涂改处未加盖投标人鲜章及法人或法人授权的代理人的印章或签字的；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10）投标文件中每包以两个及两个以上的方案进行投标的（招标文件另有规定的除外）；</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11）投标文件未能对招标文件提出的要求和条件作出实质性响应的；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12）投标人资格条件不符合国家有关规定和招标文件要求的，或者拒不按照要求对投标文件进行澄清、说明或者补正的；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13）投标文件附有招标人不能接受的条件的；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14）投标的产品（同一品牌、型号），在同一地区同一时间段内中标供应商应保证其实际投标价格低于其他任何非政府采购价格；其中：</w:t>
      </w:r>
    </w:p>
    <w:p>
      <w:pPr>
        <w:tabs>
          <w:tab w:val="left" w:pos="-540"/>
        </w:tabs>
        <w:spacing w:line="500" w:lineRule="exact"/>
        <w:ind w:firstLine="480" w:firstLineChars="200"/>
        <w:rPr>
          <w:rFonts w:ascii="宋体" w:hAnsi="宋体"/>
          <w:color w:val="000000"/>
          <w:sz w:val="24"/>
        </w:rPr>
      </w:pPr>
      <w:r>
        <w:rPr>
          <w:rFonts w:ascii="宋体" w:hAnsi="宋体"/>
          <w:color w:val="000000"/>
          <w:sz w:val="24"/>
        </w:rPr>
        <w:t>①</w:t>
      </w:r>
      <w:r>
        <w:rPr>
          <w:rFonts w:hint="eastAsia" w:ascii="宋体" w:hAnsi="宋体"/>
          <w:color w:val="000000"/>
          <w:sz w:val="24"/>
        </w:rPr>
        <w:t xml:space="preserve"> 投标阶段应视为无效投标；</w:t>
      </w:r>
    </w:p>
    <w:p>
      <w:pPr>
        <w:tabs>
          <w:tab w:val="left" w:pos="-540"/>
        </w:tabs>
        <w:spacing w:line="500" w:lineRule="exact"/>
        <w:ind w:firstLine="480" w:firstLineChars="200"/>
        <w:rPr>
          <w:rFonts w:ascii="宋体" w:hAnsi="宋体"/>
          <w:color w:val="000000"/>
          <w:sz w:val="24"/>
        </w:rPr>
      </w:pPr>
      <w:r>
        <w:rPr>
          <w:rFonts w:ascii="宋体" w:hAnsi="宋体"/>
          <w:color w:val="000000"/>
          <w:sz w:val="24"/>
        </w:rPr>
        <w:t>②</w:t>
      </w:r>
      <w:r>
        <w:rPr>
          <w:rFonts w:hint="eastAsia" w:ascii="宋体" w:hAnsi="宋体"/>
          <w:color w:val="000000"/>
          <w:sz w:val="24"/>
        </w:rPr>
        <w:t xml:space="preserve"> 已中标而无供货的视为中标无效；</w:t>
      </w:r>
    </w:p>
    <w:p>
      <w:pPr>
        <w:tabs>
          <w:tab w:val="left" w:pos="-540"/>
        </w:tabs>
        <w:spacing w:line="500" w:lineRule="exact"/>
        <w:ind w:firstLine="480" w:firstLineChars="200"/>
        <w:rPr>
          <w:rFonts w:ascii="宋体" w:hAnsi="宋体"/>
          <w:color w:val="000000"/>
          <w:sz w:val="24"/>
        </w:rPr>
      </w:pPr>
      <w:r>
        <w:rPr>
          <w:rFonts w:ascii="宋体" w:hAnsi="宋体"/>
          <w:color w:val="000000"/>
          <w:sz w:val="24"/>
        </w:rPr>
        <w:t>③</w:t>
      </w:r>
      <w:r>
        <w:rPr>
          <w:rFonts w:hint="eastAsia" w:ascii="宋体" w:hAnsi="宋体"/>
          <w:color w:val="000000"/>
          <w:sz w:val="24"/>
        </w:rPr>
        <w:t xml:space="preserve"> 已供货者，供应商应承担由此给需方造成的损失。</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15）经评审委员会认定，认为生产制造企业通过控制授权函等方式，恶意抬高其产品价格。降低服务质量，价格明显高于在同一地区同一时间段内任何政府采购价格的；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16）投标有效期不足90天的；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17）在评标过程中，如果投标人试图在投标审查、澄清、比较及授予合同方面向招标人施加任何影响的；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18）投标人以他人名义投标、串通投标、以行贿手段谋取中标或者以弄虚作假等方式投标的；</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19）经核实两个或两个以上投标人的投标文件有雷同或有抄袭行为的；</w:t>
      </w:r>
    </w:p>
    <w:p>
      <w:pPr>
        <w:spacing w:line="500" w:lineRule="exact"/>
        <w:ind w:firstLine="480" w:firstLineChars="200"/>
        <w:rPr>
          <w:rFonts w:ascii="宋体" w:hAnsi="宋体"/>
          <w:color w:val="000000"/>
          <w:sz w:val="24"/>
        </w:rPr>
      </w:pPr>
      <w:r>
        <w:rPr>
          <w:rFonts w:hint="eastAsia" w:ascii="宋体" w:hAnsi="宋体"/>
          <w:color w:val="000000"/>
          <w:sz w:val="24"/>
        </w:rPr>
        <w:t>20）违反《中华人民共和国政府采购法》的投标；</w:t>
      </w:r>
    </w:p>
    <w:p>
      <w:pPr>
        <w:tabs>
          <w:tab w:val="left" w:pos="-540"/>
        </w:tabs>
        <w:spacing w:line="500" w:lineRule="exact"/>
        <w:ind w:firstLine="480" w:firstLineChars="200"/>
        <w:rPr>
          <w:rFonts w:ascii="宋体" w:hAnsi="宋体"/>
          <w:color w:val="000000"/>
          <w:sz w:val="24"/>
        </w:rPr>
      </w:pPr>
      <w:r>
        <w:rPr>
          <w:rFonts w:hint="eastAsia" w:ascii="宋体" w:hAnsi="宋体"/>
          <w:color w:val="000000"/>
          <w:sz w:val="24"/>
        </w:rPr>
        <w:t>21）招标文件规定的其它无效投标条件。</w:t>
      </w:r>
    </w:p>
    <w:p>
      <w:pPr>
        <w:pStyle w:val="3"/>
        <w:spacing w:before="0" w:after="0" w:line="560" w:lineRule="exact"/>
        <w:ind w:firstLine="482"/>
        <w:jc w:val="both"/>
        <w:rPr>
          <w:rFonts w:ascii="宋体" w:hAnsi="宋体" w:cs="宋体"/>
          <w:bCs w:val="0"/>
          <w:color w:val="000000"/>
          <w:sz w:val="24"/>
          <w:szCs w:val="24"/>
          <w:lang w:val="zh-CN"/>
        </w:rPr>
      </w:pPr>
      <w:bookmarkStart w:id="229" w:name="_Toc453596854"/>
      <w:r>
        <w:rPr>
          <w:rFonts w:hint="eastAsia" w:ascii="宋体" w:hAnsi="宋体" w:cs="宋体"/>
          <w:bCs w:val="0"/>
          <w:color w:val="000000"/>
          <w:sz w:val="24"/>
          <w:szCs w:val="24"/>
          <w:lang w:val="zh-CN"/>
        </w:rPr>
        <w:t>6</w:t>
      </w:r>
      <w:r>
        <w:rPr>
          <w:rFonts w:ascii="宋体" w:hAnsi="宋体" w:cs="宋体"/>
          <w:bCs w:val="0"/>
          <w:color w:val="000000"/>
          <w:sz w:val="24"/>
          <w:szCs w:val="24"/>
          <w:lang w:val="zh-CN"/>
        </w:rPr>
        <w:t xml:space="preserve">.3 </w:t>
      </w:r>
      <w:r>
        <w:rPr>
          <w:rFonts w:hint="eastAsia" w:ascii="宋体" w:hAnsi="宋体" w:cs="宋体"/>
          <w:bCs w:val="0"/>
          <w:color w:val="000000"/>
          <w:sz w:val="24"/>
          <w:szCs w:val="24"/>
          <w:lang w:val="zh-CN"/>
        </w:rPr>
        <w:t>评标的程序和方法</w:t>
      </w:r>
      <w:bookmarkEnd w:id="229"/>
    </w:p>
    <w:p>
      <w:pPr>
        <w:pStyle w:val="4"/>
        <w:spacing w:line="560" w:lineRule="exact"/>
        <w:ind w:firstLine="480"/>
        <w:rPr>
          <w:rFonts w:cs="Times New Roman"/>
          <w:b w:val="0"/>
          <w:color w:val="000000"/>
          <w:lang w:val="en-US"/>
        </w:rPr>
      </w:pPr>
      <w:bookmarkStart w:id="230" w:name="_Toc453596855"/>
      <w:r>
        <w:rPr>
          <w:rFonts w:hint="eastAsia" w:cs="Times New Roman"/>
          <w:b w:val="0"/>
          <w:color w:val="000000"/>
          <w:lang w:val="en-US"/>
        </w:rPr>
        <w:t>6</w:t>
      </w:r>
      <w:r>
        <w:rPr>
          <w:rFonts w:cs="Times New Roman"/>
          <w:b w:val="0"/>
          <w:color w:val="000000"/>
          <w:lang w:val="en-US"/>
        </w:rPr>
        <w:t xml:space="preserve">.3.1 </w:t>
      </w:r>
      <w:r>
        <w:rPr>
          <w:rFonts w:hint="eastAsia" w:cs="Times New Roman"/>
          <w:b w:val="0"/>
          <w:color w:val="000000"/>
          <w:lang w:val="en-US"/>
        </w:rPr>
        <w:t>评标程序</w:t>
      </w:r>
      <w:bookmarkEnd w:id="230"/>
    </w:p>
    <w:p>
      <w:pPr>
        <w:spacing w:line="560" w:lineRule="exact"/>
        <w:ind w:firstLine="482"/>
        <w:rPr>
          <w:rFonts w:ascii="宋体" w:hAnsi="宋体"/>
          <w:color w:val="000000"/>
          <w:sz w:val="24"/>
        </w:rPr>
      </w:pPr>
      <w:r>
        <w:rPr>
          <w:rFonts w:hint="eastAsia" w:ascii="宋体" w:hAnsi="宋体"/>
          <w:color w:val="000000"/>
          <w:sz w:val="24"/>
        </w:rPr>
        <w:t>1）评标委员会商务评审组对投标文件中投标人资质进行审查评价及打分，填写商务打分表。完成打分后将商务打分表交由审核小组进行审核，对审核小组提出的审核意见有义务进行解释说明，必要时可以在审核小组的监督下对商务打分表进行修正，待审核无误后即可离开评标现场，不参与技术评审；</w:t>
      </w:r>
    </w:p>
    <w:p>
      <w:pPr>
        <w:spacing w:line="560" w:lineRule="exact"/>
        <w:ind w:firstLine="482"/>
        <w:rPr>
          <w:rFonts w:ascii="宋体" w:hAnsi="宋体"/>
          <w:color w:val="000000"/>
          <w:sz w:val="24"/>
        </w:rPr>
      </w:pPr>
      <w:r>
        <w:rPr>
          <w:rFonts w:hint="eastAsia" w:ascii="宋体" w:hAnsi="宋体"/>
          <w:color w:val="000000"/>
          <w:sz w:val="24"/>
        </w:rPr>
        <w:t>2）评标委员会技术评审组对投标文件中技术部分进行审查评价及打分，填写技术打分表。完成打分后将技术打分表交由审核小组进行审核，对审核小组提出的审核意见有义务进行解释说明，必要时可以在审核小组的监督下技术打分表进行修正，待审核无误后即可离开评标现场。</w:t>
      </w:r>
    </w:p>
    <w:p>
      <w:pPr>
        <w:spacing w:line="560" w:lineRule="exact"/>
        <w:ind w:firstLine="482"/>
        <w:rPr>
          <w:rFonts w:ascii="宋体" w:hAnsi="宋体"/>
          <w:color w:val="000000"/>
          <w:sz w:val="24"/>
        </w:rPr>
      </w:pPr>
      <w:r>
        <w:rPr>
          <w:rFonts w:hint="eastAsia" w:ascii="宋体" w:hAnsi="宋体"/>
          <w:color w:val="000000"/>
          <w:sz w:val="24"/>
        </w:rPr>
        <w:t>3）根据评标委员会填写的商务打分表和技术打分表，由审核小组对投标人的商务得分、技术得分、价格得分依次进行计算汇总。</w:t>
      </w:r>
    </w:p>
    <w:p>
      <w:pPr>
        <w:pStyle w:val="4"/>
        <w:spacing w:line="560" w:lineRule="exact"/>
        <w:ind w:firstLine="480"/>
        <w:rPr>
          <w:rFonts w:cs="Times New Roman"/>
          <w:b w:val="0"/>
          <w:color w:val="000000"/>
          <w:lang w:val="en-US"/>
        </w:rPr>
      </w:pPr>
      <w:bookmarkStart w:id="231" w:name="_Toc453596856"/>
      <w:r>
        <w:rPr>
          <w:rFonts w:hint="eastAsia" w:cs="Times New Roman"/>
          <w:b w:val="0"/>
          <w:color w:val="000000"/>
          <w:lang w:val="en-US"/>
        </w:rPr>
        <w:t>6</w:t>
      </w:r>
      <w:r>
        <w:rPr>
          <w:rFonts w:cs="Times New Roman"/>
          <w:b w:val="0"/>
          <w:color w:val="000000"/>
          <w:lang w:val="en-US"/>
        </w:rPr>
        <w:t>.3.2</w:t>
      </w:r>
      <w:r>
        <w:rPr>
          <w:rFonts w:hint="eastAsia" w:cs="Times New Roman"/>
          <w:b w:val="0"/>
          <w:color w:val="000000"/>
          <w:lang w:val="en-US"/>
        </w:rPr>
        <w:t>评标方法</w:t>
      </w:r>
      <w:bookmarkEnd w:id="231"/>
    </w:p>
    <w:p>
      <w:pPr>
        <w:spacing w:line="560" w:lineRule="exact"/>
        <w:ind w:firstLine="480" w:firstLineChars="200"/>
        <w:rPr>
          <w:rFonts w:ascii="宋体" w:hAnsi="宋体"/>
          <w:sz w:val="24"/>
        </w:rPr>
      </w:pPr>
      <w:r>
        <w:rPr>
          <w:rFonts w:hint="eastAsia" w:ascii="宋体" w:hAnsi="宋体"/>
          <w:color w:val="000000"/>
          <w:sz w:val="24"/>
        </w:rPr>
        <w:t>本项目采用“综合评分法”，只有通过符合性审查的投标文件才能进入综合打分排序，即是指在最大限度地满足招标文件实质性要求前提下，按照招标文件中规定的各项因素进行综合评审后，以评标总得分最高的投标人作为拟中标供应商。综合评分法中的价格分统一采用低价优先法计算，即满足招标文</w:t>
      </w:r>
      <w:r>
        <w:rPr>
          <w:rFonts w:hint="eastAsia" w:ascii="宋体" w:hAnsi="宋体"/>
          <w:sz w:val="24"/>
        </w:rPr>
        <w:t>件要求且合理的最低评标价为评标基准价，其价格分为满分。其他投标人的价格分统一按照下列公式计算：评标价得分＝（评标基准价/评标价）×价格权值×100。</w:t>
      </w:r>
    </w:p>
    <w:p>
      <w:pPr>
        <w:spacing w:line="560" w:lineRule="exact"/>
        <w:ind w:firstLine="480" w:firstLineChars="200"/>
        <w:rPr>
          <w:rFonts w:ascii="宋体" w:hAnsi="宋体"/>
          <w:sz w:val="24"/>
        </w:rPr>
      </w:pPr>
      <w:r>
        <w:rPr>
          <w:rFonts w:hint="eastAsia" w:ascii="宋体" w:hAnsi="宋体"/>
          <w:sz w:val="24"/>
        </w:rPr>
        <w:t>对中小微企业执行财库【2011】181号及工信部联企业【2011】300号文件的规定，对其投标报价按6%扣除后的价格作为其评标价。不符合财库【2011】181号及工信部联企业【2011】300号文件的规定企业的产品价格不予扣除，其投标报价即为评标价。</w:t>
      </w:r>
    </w:p>
    <w:p>
      <w:pPr>
        <w:spacing w:line="500" w:lineRule="exact"/>
        <w:ind w:firstLine="480" w:firstLineChars="200"/>
        <w:rPr>
          <w:rFonts w:ascii="宋体" w:hAnsi="宋体"/>
          <w:sz w:val="24"/>
        </w:rPr>
      </w:pPr>
      <w:r>
        <w:rPr>
          <w:rFonts w:hint="eastAsia" w:ascii="宋体" w:hAnsi="宋体"/>
          <w:sz w:val="24"/>
        </w:rPr>
        <w:br w:type="page"/>
      </w:r>
    </w:p>
    <w:tbl>
      <w:tblPr>
        <w:tblStyle w:val="40"/>
        <w:tblW w:w="9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774"/>
        <w:gridCol w:w="697"/>
        <w:gridCol w:w="394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13" w:type="dxa"/>
            <w:vAlign w:val="center"/>
          </w:tcPr>
          <w:p>
            <w:r>
              <w:rPr>
                <w:rFonts w:hint="eastAsia"/>
              </w:rPr>
              <w:t>序号</w:t>
            </w:r>
          </w:p>
        </w:tc>
        <w:tc>
          <w:tcPr>
            <w:tcW w:w="1774" w:type="dxa"/>
            <w:vAlign w:val="center"/>
          </w:tcPr>
          <w:p>
            <w:r>
              <w:rPr>
                <w:rFonts w:hint="eastAsia"/>
              </w:rPr>
              <w:t>评分因素及权重</w:t>
            </w:r>
          </w:p>
        </w:tc>
        <w:tc>
          <w:tcPr>
            <w:tcW w:w="697" w:type="dxa"/>
            <w:vAlign w:val="center"/>
          </w:tcPr>
          <w:p>
            <w:pPr>
              <w:jc w:val="center"/>
            </w:pPr>
            <w:r>
              <w:rPr>
                <w:rFonts w:hint="eastAsia"/>
              </w:rPr>
              <w:t>分值</w:t>
            </w:r>
          </w:p>
        </w:tc>
        <w:tc>
          <w:tcPr>
            <w:tcW w:w="3941" w:type="dxa"/>
            <w:vAlign w:val="center"/>
          </w:tcPr>
          <w:p>
            <w:pPr>
              <w:jc w:val="center"/>
            </w:pPr>
            <w:r>
              <w:rPr>
                <w:rFonts w:hint="eastAsia"/>
              </w:rPr>
              <w:t>评分标准</w:t>
            </w:r>
          </w:p>
        </w:tc>
        <w:tc>
          <w:tcPr>
            <w:tcW w:w="2627" w:type="dxa"/>
            <w:vAlign w:val="center"/>
          </w:tcPr>
          <w:p>
            <w:pPr>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713" w:type="dxa"/>
            <w:vAlign w:val="center"/>
          </w:tcPr>
          <w:p>
            <w:pPr>
              <w:jc w:val="center"/>
            </w:pPr>
            <w:r>
              <w:t>1</w:t>
            </w:r>
          </w:p>
        </w:tc>
        <w:tc>
          <w:tcPr>
            <w:tcW w:w="1774" w:type="dxa"/>
            <w:vAlign w:val="center"/>
          </w:tcPr>
          <w:p>
            <w:pPr>
              <w:jc w:val="center"/>
            </w:pPr>
            <w:r>
              <w:rPr>
                <w:rFonts w:hint="eastAsia"/>
              </w:rPr>
              <w:t>报价30</w:t>
            </w:r>
            <w:r>
              <w:t>%</w:t>
            </w:r>
          </w:p>
        </w:tc>
        <w:tc>
          <w:tcPr>
            <w:tcW w:w="697" w:type="dxa"/>
            <w:vAlign w:val="center"/>
          </w:tcPr>
          <w:p>
            <w:pPr>
              <w:jc w:val="center"/>
            </w:pPr>
            <w:r>
              <w:rPr>
                <w:rFonts w:hint="eastAsia"/>
              </w:rPr>
              <w:t>30</w:t>
            </w:r>
          </w:p>
        </w:tc>
        <w:tc>
          <w:tcPr>
            <w:tcW w:w="3941" w:type="dxa"/>
            <w:vAlign w:val="center"/>
          </w:tcPr>
          <w:p>
            <w:r>
              <w:rPr>
                <w:rFonts w:hint="eastAsia"/>
              </w:rPr>
              <w:t>以本次最低投标报价为基准价，投标报价得分</w:t>
            </w:r>
            <w:r>
              <w:t>=(</w:t>
            </w:r>
            <w:r>
              <w:rPr>
                <w:rFonts w:hint="eastAsia"/>
              </w:rPr>
              <w:t>基准价／投标报价</w:t>
            </w:r>
            <w:r>
              <w:t>)</w:t>
            </w:r>
            <w:r>
              <w:rPr>
                <w:rFonts w:hint="eastAsia"/>
              </w:rPr>
              <w:t>×30</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7" w:hRule="atLeast"/>
          <w:jc w:val="center"/>
        </w:trPr>
        <w:tc>
          <w:tcPr>
            <w:tcW w:w="713" w:type="dxa"/>
            <w:vAlign w:val="center"/>
          </w:tcPr>
          <w:p>
            <w:pPr>
              <w:jc w:val="center"/>
            </w:pPr>
            <w:r>
              <w:t>2</w:t>
            </w:r>
          </w:p>
        </w:tc>
        <w:tc>
          <w:tcPr>
            <w:tcW w:w="1774" w:type="dxa"/>
            <w:vAlign w:val="center"/>
          </w:tcPr>
          <w:p>
            <w:pPr>
              <w:jc w:val="center"/>
            </w:pPr>
            <w:r>
              <w:rPr>
                <w:rFonts w:hint="eastAsia"/>
              </w:rPr>
              <w:t>技术指标和配置53</w:t>
            </w:r>
            <w:r>
              <w:t>%</w:t>
            </w:r>
          </w:p>
        </w:tc>
        <w:tc>
          <w:tcPr>
            <w:tcW w:w="697" w:type="dxa"/>
            <w:vAlign w:val="center"/>
          </w:tcPr>
          <w:p>
            <w:pPr>
              <w:jc w:val="center"/>
            </w:pPr>
            <w:r>
              <w:rPr>
                <w:rFonts w:hint="eastAsia"/>
              </w:rPr>
              <w:t>53</w:t>
            </w:r>
          </w:p>
        </w:tc>
        <w:tc>
          <w:tcPr>
            <w:tcW w:w="3941" w:type="dxa"/>
            <w:vAlign w:val="center"/>
          </w:tcPr>
          <w:p>
            <w:r>
              <w:rPr>
                <w:rFonts w:hint="eastAsia"/>
              </w:rPr>
              <w:t>1.投标产品技术参数完全满足招标文件要求，得35分，每有</w:t>
            </w:r>
            <w:r>
              <w:t>1</w:t>
            </w:r>
            <w:r>
              <w:rPr>
                <w:rFonts w:hint="eastAsia"/>
              </w:rPr>
              <w:t>项负偏离扣3分，扣完为止。</w:t>
            </w:r>
            <w:r>
              <w:t>(</w:t>
            </w:r>
            <w:r>
              <w:rPr>
                <w:rFonts w:hint="eastAsia"/>
              </w:rPr>
              <w:t>满分35分</w:t>
            </w:r>
            <w:r>
              <w:t>)</w:t>
            </w:r>
          </w:p>
          <w:p>
            <w:r>
              <w:rPr>
                <w:rFonts w:hint="eastAsia"/>
              </w:rPr>
              <w:t>2</w:t>
            </w:r>
            <w:r>
              <w:t>.</w:t>
            </w:r>
            <w:r>
              <w:rPr>
                <w:rFonts w:hint="eastAsia"/>
              </w:rPr>
              <w:t>每有一项正偏离加2分，最多加14分，正偏离以有效的证明文件为准。（满分14分）</w:t>
            </w:r>
          </w:p>
          <w:p>
            <w:r>
              <w:rPr>
                <w:rFonts w:hint="eastAsia"/>
              </w:rPr>
              <w:t>3</w:t>
            </w:r>
            <w:r>
              <w:t>.</w:t>
            </w:r>
            <w:r>
              <w:rPr>
                <w:rFonts w:hint="eastAsia"/>
              </w:rPr>
              <w:t>投标产品的整体技术性能指标、质量、使用效果及产品的适用性、可靠性、功能性和先进性进行评分，优4分，良2分，一般1分，差不得分。</w:t>
            </w:r>
            <w:r>
              <w:t xml:space="preserve"> (</w:t>
            </w:r>
            <w:r>
              <w:rPr>
                <w:rFonts w:hint="eastAsia"/>
              </w:rPr>
              <w:t>满分4分</w:t>
            </w:r>
            <w:r>
              <w:t>)</w:t>
            </w:r>
            <w:r>
              <w:rPr>
                <w:rFonts w:hint="eastAsia"/>
              </w:rPr>
              <w:t>。</w:t>
            </w:r>
          </w:p>
        </w:tc>
        <w:tc>
          <w:tcPr>
            <w:tcW w:w="2627" w:type="dxa"/>
            <w:vAlign w:val="center"/>
          </w:tcPr>
          <w:p>
            <w:r>
              <w:rPr>
                <w:rFonts w:hint="eastAsia"/>
              </w:rPr>
              <w:t>投标供应商应按投标产品填写真实技术参数值，“*”项及正偏离须提供有效证明材料【</w:t>
            </w:r>
            <w:r>
              <w:rPr>
                <w:rFonts w:ascii="宋体" w:hAnsi="宋体" w:cs="宋体"/>
                <w:szCs w:val="21"/>
              </w:rPr>
              <w:t>必须提供产品厂家的技术支持材料（指厂家所投产品的样本或产品厂家为本项目出具的书面承诺，样本中有的指标以样本为准，样本中没有的指标以承诺书为准）</w:t>
            </w:r>
            <w:r>
              <w:rPr>
                <w:rFonts w:hint="eastAsia"/>
              </w:rPr>
              <w:t>】，没有证明材料佐证的*项及</w:t>
            </w:r>
            <w:r>
              <w:t>“</w:t>
            </w:r>
            <w:r>
              <w:rPr>
                <w:rFonts w:hint="eastAsia"/>
              </w:rPr>
              <w:t>正偏离</w:t>
            </w:r>
            <w:r>
              <w:t>”</w:t>
            </w:r>
            <w:r>
              <w:rPr>
                <w:rFonts w:hint="eastAsia"/>
              </w:rPr>
              <w:t>，评标委员会评审中将不予认可，并可判定投标产品对该条款的投标响应为</w:t>
            </w:r>
            <w:r>
              <w:t>“</w:t>
            </w:r>
            <w:r>
              <w:rPr>
                <w:rFonts w:hint="eastAsia"/>
              </w:rPr>
              <w:t>负偏离</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jc w:val="center"/>
        </w:trPr>
        <w:tc>
          <w:tcPr>
            <w:tcW w:w="713" w:type="dxa"/>
            <w:vAlign w:val="center"/>
          </w:tcPr>
          <w:p>
            <w:pPr>
              <w:jc w:val="center"/>
            </w:pPr>
            <w:r>
              <w:t>3</w:t>
            </w:r>
          </w:p>
        </w:tc>
        <w:tc>
          <w:tcPr>
            <w:tcW w:w="1774" w:type="dxa"/>
            <w:vAlign w:val="center"/>
          </w:tcPr>
          <w:p>
            <w:pPr>
              <w:jc w:val="center"/>
            </w:pPr>
            <w:r>
              <w:rPr>
                <w:rFonts w:hint="eastAsia"/>
              </w:rPr>
              <w:t>售后服务12</w:t>
            </w:r>
            <w:r>
              <w:t>%</w:t>
            </w:r>
          </w:p>
        </w:tc>
        <w:tc>
          <w:tcPr>
            <w:tcW w:w="697" w:type="dxa"/>
            <w:vAlign w:val="center"/>
          </w:tcPr>
          <w:p>
            <w:pPr>
              <w:jc w:val="center"/>
            </w:pPr>
            <w:r>
              <w:rPr>
                <w:rFonts w:hint="eastAsia"/>
              </w:rPr>
              <w:t>12</w:t>
            </w:r>
          </w:p>
        </w:tc>
        <w:tc>
          <w:tcPr>
            <w:tcW w:w="3941" w:type="dxa"/>
            <w:vAlign w:val="center"/>
          </w:tcPr>
          <w:p>
            <w:pPr>
              <w:jc w:val="left"/>
            </w:pPr>
            <w:r>
              <w:rPr>
                <w:rFonts w:hint="eastAsia"/>
              </w:rPr>
              <w:t>1.在兰州市或本地区有售后服务网点的得3分。</w:t>
            </w:r>
          </w:p>
          <w:p>
            <w:pPr>
              <w:jc w:val="left"/>
            </w:pPr>
            <w:r>
              <w:rPr>
                <w:rFonts w:hint="eastAsia"/>
              </w:rPr>
              <w:t>2.项目实施方案和培训方案（9分）</w:t>
            </w:r>
          </w:p>
          <w:p>
            <w:pPr>
              <w:jc w:val="left"/>
            </w:pPr>
            <w:r>
              <w:rPr>
                <w:rFonts w:hint="eastAsia"/>
              </w:rPr>
              <w:t>①交货期限少于等于45天得2分；45-60天得1分，多于60天0分。</w:t>
            </w:r>
          </w:p>
          <w:p>
            <w:pPr>
              <w:jc w:val="left"/>
            </w:pPr>
            <w:r>
              <w:rPr>
                <w:rFonts w:hint="eastAsia"/>
              </w:rPr>
              <w:t>②提供本项目产品配送、安装等实施方案，详细可行得2分；一般，得1分；差，0分。</w:t>
            </w:r>
          </w:p>
          <w:p>
            <w:pPr>
              <w:jc w:val="left"/>
            </w:pPr>
            <w:r>
              <w:rPr>
                <w:rFonts w:hint="eastAsia"/>
              </w:rPr>
              <w:t>③投标人提供本项目的培训方案，详细得5分，一般得1分，差0分。</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713" w:type="dxa"/>
            <w:vAlign w:val="center"/>
          </w:tcPr>
          <w:p>
            <w:pPr>
              <w:jc w:val="center"/>
            </w:pPr>
            <w:r>
              <w:rPr>
                <w:rFonts w:hint="eastAsia"/>
              </w:rPr>
              <w:t>4</w:t>
            </w:r>
          </w:p>
        </w:tc>
        <w:tc>
          <w:tcPr>
            <w:tcW w:w="1774" w:type="dxa"/>
            <w:vAlign w:val="center"/>
          </w:tcPr>
          <w:p>
            <w:pPr>
              <w:jc w:val="center"/>
            </w:pPr>
            <w:r>
              <w:rPr>
                <w:rFonts w:hint="eastAsia"/>
              </w:rPr>
              <w:t>信誉2</w:t>
            </w:r>
            <w:r>
              <w:t>%</w:t>
            </w:r>
          </w:p>
        </w:tc>
        <w:tc>
          <w:tcPr>
            <w:tcW w:w="697" w:type="dxa"/>
            <w:vAlign w:val="center"/>
          </w:tcPr>
          <w:p>
            <w:pPr>
              <w:jc w:val="center"/>
            </w:pPr>
            <w:r>
              <w:rPr>
                <w:rFonts w:hint="eastAsia"/>
              </w:rPr>
              <w:t>2</w:t>
            </w:r>
          </w:p>
        </w:tc>
        <w:tc>
          <w:tcPr>
            <w:tcW w:w="3941" w:type="dxa"/>
          </w:tcPr>
          <w:p>
            <w:pPr>
              <w:jc w:val="left"/>
            </w:pPr>
            <w:r>
              <w:rPr>
                <w:rFonts w:hint="eastAsia"/>
              </w:rPr>
              <w:t>提供由省级以上部门颁发的重合同守信用证书，得2分，否则不得分。</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713" w:type="dxa"/>
            <w:vAlign w:val="center"/>
          </w:tcPr>
          <w:p>
            <w:pPr>
              <w:jc w:val="center"/>
            </w:pPr>
            <w:r>
              <w:rPr>
                <w:rFonts w:hint="eastAsia"/>
              </w:rPr>
              <w:t>5</w:t>
            </w:r>
          </w:p>
        </w:tc>
        <w:tc>
          <w:tcPr>
            <w:tcW w:w="1774" w:type="dxa"/>
            <w:vAlign w:val="center"/>
          </w:tcPr>
          <w:p>
            <w:pPr>
              <w:jc w:val="center"/>
            </w:pPr>
            <w:r>
              <w:rPr>
                <w:rFonts w:hint="eastAsia"/>
              </w:rPr>
              <w:t>投标文件制作3</w:t>
            </w:r>
            <w:r>
              <w:t>%</w:t>
            </w:r>
          </w:p>
        </w:tc>
        <w:tc>
          <w:tcPr>
            <w:tcW w:w="697" w:type="dxa"/>
            <w:vAlign w:val="center"/>
          </w:tcPr>
          <w:p>
            <w:pPr>
              <w:jc w:val="center"/>
            </w:pPr>
            <w:r>
              <w:rPr>
                <w:rFonts w:hint="eastAsia"/>
              </w:rPr>
              <w:t>3</w:t>
            </w:r>
          </w:p>
        </w:tc>
        <w:tc>
          <w:tcPr>
            <w:tcW w:w="3941" w:type="dxa"/>
            <w:vAlign w:val="center"/>
          </w:tcPr>
          <w:p>
            <w:pPr>
              <w:jc w:val="left"/>
            </w:pPr>
            <w:r>
              <w:rPr>
                <w:rFonts w:hint="eastAsia"/>
              </w:rPr>
              <w:t>投标文件制作规范，有目录、附件齐全的、所提供与投标产品相同配置及参数的说明书或彩页能详细反映招标文件技术参数的得3分，一般1分，差得0.5分。</w:t>
            </w:r>
          </w:p>
        </w:tc>
        <w:tc>
          <w:tcPr>
            <w:tcW w:w="262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752" w:type="dxa"/>
            <w:gridSpan w:val="5"/>
            <w:vAlign w:val="center"/>
          </w:tcPr>
          <w:p>
            <w:pPr>
              <w:rPr>
                <w:b/>
                <w:bCs/>
              </w:rPr>
            </w:pPr>
            <w:r>
              <w:rPr>
                <w:b/>
                <w:bCs/>
              </w:rPr>
              <w:t>*</w:t>
            </w:r>
            <w:r>
              <w:rPr>
                <w:rFonts w:hint="eastAsia"/>
                <w:b/>
                <w:bCs/>
              </w:rPr>
              <w:t>以上所有证明材料须提供原件现场备查，如投标人不能提供，评标委员会有权不予认可。</w:t>
            </w:r>
          </w:p>
          <w:p>
            <w:r>
              <w:rPr>
                <w:b/>
                <w:bCs/>
              </w:rPr>
              <w:t>“*”</w:t>
            </w:r>
            <w:r>
              <w:rPr>
                <w:rFonts w:hint="eastAsia"/>
                <w:b/>
                <w:bCs/>
              </w:rPr>
              <w:t>项技术参数不满足招标文件要求按废标处理。</w:t>
            </w:r>
          </w:p>
        </w:tc>
      </w:tr>
    </w:tbl>
    <w:p>
      <w:pPr>
        <w:spacing w:line="500" w:lineRule="exact"/>
        <w:ind w:firstLine="480" w:firstLineChars="200"/>
        <w:rPr>
          <w:rFonts w:ascii="宋体" w:hAnsi="宋体"/>
          <w:color w:val="000000"/>
          <w:sz w:val="24"/>
        </w:rPr>
      </w:pPr>
      <w:r>
        <w:rPr>
          <w:rFonts w:hint="eastAsia" w:ascii="宋体" w:hAnsi="宋体"/>
          <w:sz w:val="24"/>
        </w:rPr>
        <w:t>6.3.3变更采购方式后采用的评标方法</w:t>
      </w:r>
    </w:p>
    <w:p>
      <w:pPr>
        <w:spacing w:line="500" w:lineRule="exact"/>
        <w:ind w:firstLine="480" w:firstLineChars="200"/>
        <w:rPr>
          <w:rFonts w:ascii="宋体" w:hAnsi="宋体" w:cs="宋体"/>
          <w:color w:val="000000"/>
          <w:sz w:val="24"/>
          <w:lang w:val="zh-CN"/>
        </w:rPr>
      </w:pPr>
      <w:r>
        <w:rPr>
          <w:rFonts w:hint="eastAsia" w:ascii="宋体" w:hAnsi="宋体"/>
          <w:bCs/>
          <w:color w:val="000000"/>
          <w:sz w:val="24"/>
        </w:rPr>
        <w:t>经同级政府采购监管部门审核批准由公开招标变更为竞争性谈判或其他采购方式采购后，原采用 “综合评分法”的项目将选择</w:t>
      </w:r>
      <w:r>
        <w:rPr>
          <w:rFonts w:ascii="宋体" w:hAnsi="宋体" w:cs="宋体"/>
          <w:color w:val="000000"/>
          <w:sz w:val="24"/>
          <w:lang w:val="zh-CN"/>
        </w:rPr>
        <w:t>“</w:t>
      </w:r>
      <w:r>
        <w:rPr>
          <w:rFonts w:hint="eastAsia" w:ascii="宋体" w:hAnsi="宋体" w:cs="宋体"/>
          <w:color w:val="000000"/>
          <w:sz w:val="24"/>
          <w:lang w:val="zh-CN"/>
        </w:rPr>
        <w:t>最低评标价法</w:t>
      </w:r>
      <w:r>
        <w:rPr>
          <w:rFonts w:ascii="宋体" w:hAnsi="宋体" w:cs="宋体"/>
          <w:color w:val="000000"/>
          <w:sz w:val="24"/>
          <w:lang w:val="zh-CN"/>
        </w:rPr>
        <w:t>”</w:t>
      </w:r>
      <w:r>
        <w:rPr>
          <w:rFonts w:hint="eastAsia" w:ascii="宋体" w:hAnsi="宋体" w:cs="宋体"/>
          <w:color w:val="000000"/>
          <w:sz w:val="24"/>
          <w:lang w:val="zh-CN"/>
        </w:rPr>
        <w:t>做为评标方法。</w:t>
      </w:r>
    </w:p>
    <w:p>
      <w:pPr>
        <w:pStyle w:val="3"/>
        <w:spacing w:before="0" w:after="0" w:line="500" w:lineRule="exact"/>
        <w:ind w:firstLine="482" w:firstLineChars="200"/>
        <w:jc w:val="both"/>
        <w:rPr>
          <w:rFonts w:ascii="宋体" w:hAnsi="宋体"/>
          <w:color w:val="000000"/>
          <w:sz w:val="24"/>
          <w:szCs w:val="24"/>
        </w:rPr>
      </w:pPr>
      <w:bookmarkStart w:id="232" w:name="_Toc453596857"/>
      <w:r>
        <w:rPr>
          <w:rFonts w:hint="eastAsia" w:ascii="宋体" w:hAnsi="宋体"/>
          <w:color w:val="000000"/>
          <w:sz w:val="24"/>
          <w:szCs w:val="24"/>
        </w:rPr>
        <w:t>6.4 评标委员会的职责及中标供应商的确定</w:t>
      </w:r>
      <w:bookmarkEnd w:id="232"/>
    </w:p>
    <w:p>
      <w:pPr>
        <w:pStyle w:val="4"/>
        <w:spacing w:line="500" w:lineRule="exact"/>
        <w:rPr>
          <w:color w:val="000000"/>
        </w:rPr>
      </w:pPr>
      <w:bookmarkStart w:id="233" w:name="_Toc453596858"/>
      <w:r>
        <w:rPr>
          <w:rFonts w:hint="eastAsia"/>
          <w:color w:val="000000"/>
        </w:rPr>
        <w:t>6.4.1 评标委员会的职责</w:t>
      </w:r>
      <w:bookmarkEnd w:id="233"/>
    </w:p>
    <w:p>
      <w:pPr>
        <w:spacing w:line="500" w:lineRule="exact"/>
        <w:ind w:firstLine="480" w:firstLineChars="200"/>
        <w:rPr>
          <w:rFonts w:ascii="宋体" w:hAnsi="宋体"/>
          <w:color w:val="000000"/>
          <w:sz w:val="24"/>
        </w:rPr>
      </w:pPr>
      <w:r>
        <w:rPr>
          <w:rFonts w:hint="eastAsia" w:ascii="宋体" w:hAnsi="宋体"/>
          <w:color w:val="000000"/>
          <w:sz w:val="24"/>
        </w:rPr>
        <w:t>评标委员会完成评标后，提出书面评标报告。评标报告是评标委员会根据全体评标成员签字的原始评标记录和评标结果编写的报告，主要内容包括：</w:t>
      </w:r>
    </w:p>
    <w:p>
      <w:pPr>
        <w:spacing w:line="500" w:lineRule="exact"/>
        <w:ind w:firstLine="480" w:firstLineChars="200"/>
        <w:rPr>
          <w:rFonts w:ascii="宋体" w:hAnsi="宋体"/>
          <w:color w:val="000000"/>
          <w:sz w:val="24"/>
        </w:rPr>
      </w:pPr>
      <w:r>
        <w:rPr>
          <w:rFonts w:hint="eastAsia" w:ascii="宋体" w:hAnsi="宋体"/>
          <w:color w:val="000000"/>
          <w:sz w:val="24"/>
        </w:rPr>
        <w:t>1）招标公告刊登的媒体名称、开标日期和地点；</w:t>
      </w:r>
    </w:p>
    <w:p>
      <w:pPr>
        <w:spacing w:line="500" w:lineRule="exact"/>
        <w:ind w:firstLine="480" w:firstLineChars="200"/>
        <w:rPr>
          <w:rFonts w:ascii="宋体" w:hAnsi="宋体"/>
          <w:color w:val="000000"/>
          <w:sz w:val="24"/>
        </w:rPr>
      </w:pPr>
      <w:r>
        <w:rPr>
          <w:rFonts w:hint="eastAsia" w:ascii="宋体" w:hAnsi="宋体"/>
          <w:color w:val="000000"/>
          <w:sz w:val="24"/>
        </w:rPr>
        <w:t>2）购买招标文件的投标人名单和评标委员会成员名单；</w:t>
      </w:r>
    </w:p>
    <w:p>
      <w:pPr>
        <w:spacing w:line="500" w:lineRule="exact"/>
        <w:ind w:firstLine="480" w:firstLineChars="200"/>
        <w:rPr>
          <w:rFonts w:ascii="宋体" w:hAnsi="宋体"/>
          <w:color w:val="000000"/>
          <w:sz w:val="24"/>
        </w:rPr>
      </w:pPr>
      <w:r>
        <w:rPr>
          <w:rFonts w:hint="eastAsia" w:ascii="宋体" w:hAnsi="宋体"/>
          <w:color w:val="000000"/>
          <w:sz w:val="24"/>
        </w:rPr>
        <w:t>3）评标方法和标准；</w:t>
      </w:r>
    </w:p>
    <w:p>
      <w:pPr>
        <w:spacing w:line="500" w:lineRule="exact"/>
        <w:ind w:firstLine="480" w:firstLineChars="200"/>
        <w:rPr>
          <w:rFonts w:ascii="宋体" w:hAnsi="宋体"/>
          <w:color w:val="000000"/>
          <w:sz w:val="24"/>
        </w:rPr>
      </w:pPr>
      <w:r>
        <w:rPr>
          <w:rFonts w:hint="eastAsia" w:ascii="宋体" w:hAnsi="宋体"/>
          <w:color w:val="000000"/>
          <w:sz w:val="24"/>
        </w:rPr>
        <w:t>4）开标记录和评标情况及说明，包括投标无效投标人名单及原因；</w:t>
      </w:r>
    </w:p>
    <w:p>
      <w:pPr>
        <w:spacing w:line="500" w:lineRule="exact"/>
        <w:ind w:firstLine="480" w:firstLineChars="200"/>
        <w:rPr>
          <w:rFonts w:ascii="宋体" w:hAnsi="宋体"/>
          <w:color w:val="000000"/>
          <w:sz w:val="24"/>
        </w:rPr>
      </w:pPr>
      <w:r>
        <w:rPr>
          <w:rFonts w:hint="eastAsia" w:ascii="宋体" w:hAnsi="宋体"/>
          <w:color w:val="000000"/>
          <w:sz w:val="24"/>
        </w:rPr>
        <w:t>5）评标结果和中标候选供应商排序表；</w:t>
      </w:r>
    </w:p>
    <w:p>
      <w:pPr>
        <w:spacing w:line="500" w:lineRule="exact"/>
        <w:ind w:firstLine="480" w:firstLineChars="200"/>
        <w:rPr>
          <w:rFonts w:ascii="宋体" w:hAnsi="宋体"/>
          <w:color w:val="000000"/>
          <w:sz w:val="24"/>
        </w:rPr>
      </w:pPr>
      <w:r>
        <w:rPr>
          <w:rFonts w:hint="eastAsia" w:ascii="宋体" w:hAnsi="宋体"/>
          <w:color w:val="000000"/>
          <w:sz w:val="24"/>
        </w:rPr>
        <w:t>6）评标委员会的授标建议。</w:t>
      </w:r>
    </w:p>
    <w:p>
      <w:pPr>
        <w:spacing w:line="500" w:lineRule="exact"/>
        <w:ind w:firstLine="480" w:firstLineChars="200"/>
        <w:rPr>
          <w:rFonts w:ascii="宋体" w:hAnsi="宋体"/>
          <w:color w:val="000000"/>
          <w:sz w:val="24"/>
        </w:rPr>
      </w:pPr>
      <w:r>
        <w:rPr>
          <w:rFonts w:hint="eastAsia" w:ascii="宋体" w:hAnsi="宋体"/>
          <w:color w:val="000000"/>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做出书面说明并纪录在案。</w:t>
      </w:r>
    </w:p>
    <w:p>
      <w:pPr>
        <w:pStyle w:val="3"/>
        <w:spacing w:before="0" w:after="0" w:line="500" w:lineRule="exact"/>
        <w:ind w:firstLine="482" w:firstLineChars="200"/>
        <w:jc w:val="both"/>
        <w:rPr>
          <w:rFonts w:ascii="宋体" w:hAnsi="宋体"/>
          <w:color w:val="000000"/>
          <w:sz w:val="24"/>
          <w:szCs w:val="24"/>
        </w:rPr>
      </w:pPr>
      <w:bookmarkStart w:id="234" w:name="_Toc453596859"/>
      <w:r>
        <w:rPr>
          <w:rFonts w:hint="eastAsia" w:ascii="宋体" w:hAnsi="宋体"/>
          <w:color w:val="000000"/>
          <w:sz w:val="24"/>
          <w:szCs w:val="24"/>
        </w:rPr>
        <w:t>6.5 废标</w:t>
      </w:r>
      <w:bookmarkEnd w:id="234"/>
    </w:p>
    <w:p>
      <w:pPr>
        <w:pStyle w:val="14"/>
        <w:spacing w:line="500" w:lineRule="exact"/>
        <w:ind w:left="359" w:leftChars="171" w:firstLine="120" w:firstLineChars="50"/>
        <w:rPr>
          <w:rFonts w:ascii="宋体" w:hAnsi="宋体"/>
          <w:b w:val="0"/>
          <w:bCs w:val="0"/>
          <w:color w:val="000000"/>
          <w:sz w:val="24"/>
          <w:szCs w:val="24"/>
        </w:rPr>
      </w:pPr>
      <w:r>
        <w:rPr>
          <w:rFonts w:ascii="宋体" w:hAnsi="宋体"/>
          <w:b w:val="0"/>
          <w:bCs w:val="0"/>
          <w:color w:val="000000"/>
          <w:sz w:val="24"/>
          <w:szCs w:val="24"/>
        </w:rPr>
        <w:t>在招标采购中，出现下列情形之一的，应予废标：</w:t>
      </w:r>
    </w:p>
    <w:p>
      <w:pPr>
        <w:pStyle w:val="14"/>
        <w:spacing w:line="500" w:lineRule="exact"/>
        <w:ind w:firstLine="568" w:firstLineChars="237"/>
        <w:rPr>
          <w:rFonts w:ascii="宋体" w:hAnsi="宋体"/>
          <w:b w:val="0"/>
          <w:bCs w:val="0"/>
          <w:color w:val="000000"/>
          <w:sz w:val="24"/>
          <w:szCs w:val="24"/>
          <w:u w:val="double"/>
        </w:rPr>
      </w:pPr>
      <w:r>
        <w:rPr>
          <w:rFonts w:hint="eastAsia" w:ascii="宋体" w:hAnsi="宋体"/>
          <w:b w:val="0"/>
          <w:bCs w:val="0"/>
          <w:color w:val="000000"/>
          <w:sz w:val="24"/>
          <w:szCs w:val="24"/>
        </w:rPr>
        <w:t>1</w:t>
      </w:r>
      <w:r>
        <w:rPr>
          <w:rFonts w:ascii="宋体" w:hAnsi="宋体"/>
          <w:b w:val="0"/>
          <w:bCs w:val="0"/>
          <w:color w:val="000000"/>
          <w:sz w:val="24"/>
          <w:szCs w:val="24"/>
        </w:rPr>
        <w:t>）符合专业条件的供应商或者对招标文件作实质响应的供应商不足三家的</w:t>
      </w:r>
      <w:r>
        <w:rPr>
          <w:rFonts w:hint="eastAsia" w:ascii="宋体" w:hAnsi="宋体"/>
          <w:b w:val="0"/>
          <w:bCs w:val="0"/>
          <w:color w:val="000000"/>
          <w:sz w:val="24"/>
          <w:szCs w:val="24"/>
        </w:rPr>
        <w:t>（经同级政府采购监管部门审核批准的除外）</w:t>
      </w:r>
      <w:r>
        <w:rPr>
          <w:rFonts w:ascii="宋体" w:hAnsi="宋体"/>
          <w:b w:val="0"/>
          <w:bCs w:val="0"/>
          <w:color w:val="000000"/>
          <w:sz w:val="24"/>
          <w:szCs w:val="24"/>
        </w:rPr>
        <w:t>；</w:t>
      </w:r>
    </w:p>
    <w:p>
      <w:pPr>
        <w:pStyle w:val="14"/>
        <w:spacing w:line="500" w:lineRule="exact"/>
        <w:ind w:firstLine="480" w:firstLineChars="200"/>
        <w:rPr>
          <w:rFonts w:ascii="宋体" w:hAnsi="宋体"/>
          <w:b w:val="0"/>
          <w:bCs w:val="0"/>
          <w:color w:val="000000"/>
          <w:sz w:val="24"/>
          <w:szCs w:val="24"/>
        </w:rPr>
      </w:pPr>
      <w:r>
        <w:rPr>
          <w:rFonts w:hint="eastAsia" w:ascii="宋体" w:hAnsi="宋体"/>
          <w:b w:val="0"/>
          <w:bCs w:val="0"/>
          <w:color w:val="000000"/>
          <w:sz w:val="24"/>
          <w:szCs w:val="24"/>
        </w:rPr>
        <w:t>2</w:t>
      </w:r>
      <w:r>
        <w:rPr>
          <w:rFonts w:ascii="宋体" w:hAnsi="宋体"/>
          <w:b w:val="0"/>
          <w:bCs w:val="0"/>
          <w:color w:val="000000"/>
          <w:sz w:val="24"/>
          <w:szCs w:val="24"/>
        </w:rPr>
        <w:t>）出现影响采购公正的违法、违规行为的；</w:t>
      </w:r>
    </w:p>
    <w:p>
      <w:pPr>
        <w:pStyle w:val="14"/>
        <w:spacing w:line="500" w:lineRule="exact"/>
        <w:ind w:left="479" w:leftChars="228" w:firstLine="0"/>
        <w:rPr>
          <w:rFonts w:ascii="宋体" w:hAnsi="宋体"/>
          <w:b w:val="0"/>
          <w:bCs w:val="0"/>
          <w:color w:val="000000"/>
          <w:sz w:val="24"/>
          <w:szCs w:val="24"/>
        </w:rPr>
      </w:pPr>
      <w:r>
        <w:rPr>
          <w:rFonts w:hint="eastAsia" w:ascii="宋体" w:hAnsi="宋体"/>
          <w:b w:val="0"/>
          <w:bCs w:val="0"/>
          <w:color w:val="000000"/>
          <w:sz w:val="24"/>
          <w:szCs w:val="24"/>
        </w:rPr>
        <w:t>3</w:t>
      </w:r>
      <w:r>
        <w:rPr>
          <w:rFonts w:ascii="宋体" w:hAnsi="宋体"/>
          <w:b w:val="0"/>
          <w:bCs w:val="0"/>
          <w:color w:val="000000"/>
          <w:sz w:val="24"/>
          <w:szCs w:val="24"/>
        </w:rPr>
        <w:t>）投标人的报价均超过了采购预算，采购人不能支付的；</w:t>
      </w:r>
    </w:p>
    <w:p>
      <w:pPr>
        <w:pStyle w:val="14"/>
        <w:spacing w:line="500" w:lineRule="exact"/>
        <w:ind w:left="479" w:leftChars="228" w:firstLine="0"/>
        <w:rPr>
          <w:rFonts w:ascii="宋体" w:hAnsi="宋体"/>
          <w:b w:val="0"/>
          <w:bCs w:val="0"/>
          <w:color w:val="000000"/>
          <w:sz w:val="24"/>
          <w:szCs w:val="24"/>
        </w:rPr>
      </w:pPr>
      <w:r>
        <w:rPr>
          <w:rFonts w:hint="eastAsia" w:ascii="宋体" w:hAnsi="宋体"/>
          <w:b w:val="0"/>
          <w:bCs w:val="0"/>
          <w:color w:val="000000"/>
          <w:sz w:val="24"/>
          <w:szCs w:val="24"/>
        </w:rPr>
        <w:t>4</w:t>
      </w:r>
      <w:r>
        <w:rPr>
          <w:rFonts w:ascii="宋体" w:hAnsi="宋体"/>
          <w:b w:val="0"/>
          <w:bCs w:val="0"/>
          <w:color w:val="000000"/>
          <w:sz w:val="24"/>
          <w:szCs w:val="24"/>
        </w:rPr>
        <w:t>）因重大变故，采购任务取消的。</w:t>
      </w:r>
    </w:p>
    <w:p>
      <w:pPr>
        <w:pStyle w:val="14"/>
        <w:spacing w:line="500" w:lineRule="exact"/>
        <w:ind w:left="479" w:leftChars="228" w:firstLine="0"/>
        <w:rPr>
          <w:color w:val="000000"/>
        </w:rPr>
      </w:pPr>
      <w:r>
        <w:rPr>
          <w:rFonts w:ascii="宋体" w:hAnsi="宋体"/>
          <w:b w:val="0"/>
          <w:bCs w:val="0"/>
          <w:color w:val="000000"/>
          <w:sz w:val="24"/>
          <w:szCs w:val="24"/>
        </w:rPr>
        <w:t>废标后，采购人应当将废标理由通知所有</w:t>
      </w:r>
      <w:r>
        <w:rPr>
          <w:rFonts w:hint="eastAsia" w:ascii="宋体" w:hAnsi="宋体"/>
          <w:b w:val="0"/>
          <w:bCs w:val="0"/>
          <w:color w:val="000000"/>
          <w:sz w:val="24"/>
          <w:szCs w:val="24"/>
        </w:rPr>
        <w:t>采购当事</w:t>
      </w:r>
      <w:r>
        <w:rPr>
          <w:rFonts w:ascii="宋体" w:hAnsi="宋体"/>
          <w:b w:val="0"/>
          <w:bCs w:val="0"/>
          <w:color w:val="000000"/>
          <w:sz w:val="24"/>
          <w:szCs w:val="24"/>
        </w:rPr>
        <w:t>人。</w:t>
      </w:r>
    </w:p>
    <w:p>
      <w:pPr>
        <w:pStyle w:val="2"/>
        <w:rPr>
          <w:color w:val="000000"/>
        </w:rPr>
      </w:pPr>
      <w:r>
        <w:rPr>
          <w:rFonts w:hint="eastAsia"/>
          <w:color w:val="000000"/>
        </w:rPr>
        <w:br w:type="page"/>
      </w:r>
    </w:p>
    <w:p>
      <w:pPr>
        <w:pStyle w:val="2"/>
        <w:rPr>
          <w:color w:val="000000"/>
        </w:rPr>
      </w:pPr>
      <w:bookmarkStart w:id="235" w:name="_Toc453596860"/>
      <w:r>
        <w:rPr>
          <w:rFonts w:hint="eastAsia"/>
          <w:color w:val="000000"/>
        </w:rPr>
        <w:t>7、附件</w:t>
      </w:r>
      <w:bookmarkEnd w:id="235"/>
    </w:p>
    <w:p>
      <w:pPr>
        <w:spacing w:line="360" w:lineRule="auto"/>
        <w:ind w:firstLine="480" w:firstLineChars="200"/>
        <w:rPr>
          <w:rFonts w:ascii="宋体" w:hAnsi="宋体"/>
          <w:color w:val="000000"/>
          <w:sz w:val="24"/>
        </w:rPr>
      </w:pPr>
      <w:r>
        <w:rPr>
          <w:rFonts w:hint="eastAsia" w:ascii="宋体" w:hAnsi="宋体"/>
          <w:color w:val="000000"/>
          <w:sz w:val="24"/>
        </w:rPr>
        <w:t>附件1：合同格式及条款</w:t>
      </w:r>
    </w:p>
    <w:p>
      <w:pPr>
        <w:spacing w:line="360" w:lineRule="auto"/>
        <w:ind w:firstLine="480" w:firstLineChars="200"/>
        <w:rPr>
          <w:rFonts w:ascii="宋体" w:hAnsi="宋体"/>
          <w:color w:val="000000"/>
          <w:sz w:val="24"/>
        </w:rPr>
      </w:pPr>
      <w:r>
        <w:rPr>
          <w:rFonts w:hint="eastAsia" w:ascii="宋体" w:hAnsi="宋体"/>
          <w:color w:val="000000"/>
          <w:sz w:val="24"/>
        </w:rPr>
        <w:t>附件2：投标函</w:t>
      </w:r>
    </w:p>
    <w:p>
      <w:pPr>
        <w:spacing w:line="360" w:lineRule="auto"/>
        <w:ind w:firstLine="480" w:firstLineChars="200"/>
        <w:rPr>
          <w:rFonts w:ascii="宋体" w:hAnsi="宋体"/>
          <w:color w:val="000000"/>
          <w:sz w:val="24"/>
        </w:rPr>
      </w:pPr>
      <w:r>
        <w:rPr>
          <w:rFonts w:hint="eastAsia" w:ascii="宋体" w:hAnsi="宋体"/>
          <w:color w:val="000000"/>
          <w:sz w:val="24"/>
        </w:rPr>
        <w:t>附件3：法人授权函</w:t>
      </w:r>
    </w:p>
    <w:p>
      <w:pPr>
        <w:spacing w:line="360" w:lineRule="auto"/>
        <w:ind w:firstLine="480" w:firstLineChars="200"/>
        <w:rPr>
          <w:rFonts w:ascii="宋体" w:hAnsi="宋体"/>
          <w:color w:val="000000"/>
          <w:sz w:val="24"/>
        </w:rPr>
      </w:pPr>
      <w:r>
        <w:rPr>
          <w:rFonts w:hint="eastAsia" w:ascii="宋体" w:hAnsi="宋体"/>
          <w:color w:val="000000"/>
          <w:sz w:val="24"/>
        </w:rPr>
        <w:t>附件4：法定代表人资格证明</w:t>
      </w:r>
    </w:p>
    <w:p>
      <w:pPr>
        <w:spacing w:line="360" w:lineRule="auto"/>
        <w:ind w:firstLine="480" w:firstLineChars="200"/>
        <w:rPr>
          <w:rFonts w:ascii="宋体" w:hAnsi="宋体"/>
          <w:color w:val="000000"/>
          <w:sz w:val="24"/>
        </w:rPr>
      </w:pPr>
      <w:r>
        <w:rPr>
          <w:rFonts w:hint="eastAsia" w:ascii="宋体" w:hAnsi="宋体"/>
          <w:color w:val="000000"/>
          <w:sz w:val="24"/>
        </w:rPr>
        <w:t>附件5：投标报价表</w:t>
      </w:r>
    </w:p>
    <w:p>
      <w:pPr>
        <w:spacing w:line="360" w:lineRule="auto"/>
        <w:ind w:firstLine="480" w:firstLineChars="200"/>
        <w:rPr>
          <w:rFonts w:ascii="宋体" w:hAnsi="宋体"/>
          <w:color w:val="000000"/>
          <w:sz w:val="24"/>
        </w:rPr>
      </w:pPr>
      <w:r>
        <w:rPr>
          <w:rFonts w:hint="eastAsia" w:ascii="宋体" w:hAnsi="宋体"/>
          <w:color w:val="000000"/>
          <w:sz w:val="24"/>
        </w:rPr>
        <w:t>附件6：投标货物偏离表</w:t>
      </w:r>
    </w:p>
    <w:p>
      <w:pPr>
        <w:spacing w:line="360" w:lineRule="auto"/>
        <w:ind w:firstLine="480" w:firstLineChars="200"/>
        <w:rPr>
          <w:rFonts w:ascii="宋体" w:hAnsi="宋体"/>
          <w:color w:val="000000"/>
          <w:sz w:val="24"/>
        </w:rPr>
      </w:pPr>
      <w:r>
        <w:rPr>
          <w:rFonts w:hint="eastAsia" w:ascii="宋体" w:hAnsi="宋体"/>
          <w:color w:val="000000"/>
          <w:sz w:val="24"/>
        </w:rPr>
        <w:t>附件7：生产厂家授权函</w:t>
      </w:r>
    </w:p>
    <w:p>
      <w:pPr>
        <w:pStyle w:val="13"/>
        <w:snapToGrid/>
        <w:spacing w:line="360" w:lineRule="auto"/>
        <w:ind w:firstLine="496" w:firstLineChars="200"/>
        <w:rPr>
          <w:color w:val="000000"/>
        </w:rPr>
      </w:pPr>
      <w:r>
        <w:rPr>
          <w:rFonts w:hint="eastAsia"/>
          <w:color w:val="000000"/>
        </w:rPr>
        <w:t>附件8：</w:t>
      </w:r>
      <w:r>
        <w:rPr>
          <w:rFonts w:hint="eastAsia"/>
        </w:rPr>
        <w:t>中小企业声明函（非中小微企业不提供）</w:t>
      </w:r>
    </w:p>
    <w:p>
      <w:pPr>
        <w:pStyle w:val="13"/>
        <w:snapToGrid/>
        <w:spacing w:line="360" w:lineRule="auto"/>
        <w:ind w:firstLine="496" w:firstLineChars="200"/>
        <w:rPr>
          <w:color w:val="000000"/>
        </w:rPr>
      </w:pPr>
      <w:r>
        <w:rPr>
          <w:rFonts w:hint="eastAsia"/>
          <w:color w:val="000000"/>
        </w:rPr>
        <w:t>附件9：招标文件确认函</w:t>
      </w:r>
    </w:p>
    <w:p>
      <w:pPr>
        <w:pStyle w:val="13"/>
        <w:snapToGrid/>
        <w:spacing w:line="360" w:lineRule="auto"/>
        <w:ind w:firstLine="496" w:firstLineChars="200"/>
        <w:rPr>
          <w:color w:val="000000"/>
        </w:rPr>
      </w:pPr>
      <w:r>
        <w:rPr>
          <w:rFonts w:hint="eastAsia"/>
        </w:rPr>
        <w:t>附件10：财库【2011】181号和工信部联企业【2011】300号文件</w:t>
      </w:r>
    </w:p>
    <w:p>
      <w:pPr>
        <w:pStyle w:val="13"/>
        <w:snapToGrid/>
        <w:spacing w:line="360" w:lineRule="auto"/>
        <w:ind w:firstLine="496" w:firstLineChars="200"/>
        <w:rPr>
          <w:rStyle w:val="45"/>
          <w:rFonts w:ascii="宋体" w:hAnsi="宋体"/>
          <w:b w:val="0"/>
          <w:bCs w:val="0"/>
          <w:color w:val="000000"/>
          <w:sz w:val="24"/>
          <w:szCs w:val="20"/>
        </w:rPr>
      </w:pPr>
      <w:r>
        <w:rPr>
          <w:rFonts w:hint="eastAsia"/>
          <w:color w:val="000000"/>
        </w:rPr>
        <w:t>(以上附件内容详见后附件)</w:t>
      </w:r>
    </w:p>
    <w:p>
      <w:pPr>
        <w:spacing w:line="360" w:lineRule="auto"/>
        <w:rPr>
          <w:rFonts w:ascii="宋体" w:hAnsi="宋体"/>
          <w:b/>
          <w:color w:val="000000"/>
          <w:sz w:val="24"/>
        </w:rPr>
      </w:pPr>
      <w:r>
        <w:rPr>
          <w:rStyle w:val="45"/>
          <w:rFonts w:ascii="宋体" w:hAnsi="宋体"/>
          <w:color w:val="000000"/>
          <w:sz w:val="36"/>
          <w:szCs w:val="36"/>
        </w:rPr>
        <w:br w:type="page"/>
      </w:r>
      <w:r>
        <w:rPr>
          <w:rFonts w:hint="eastAsia" w:ascii="宋体" w:hAnsi="宋体"/>
          <w:b/>
          <w:color w:val="000000"/>
          <w:sz w:val="24"/>
        </w:rPr>
        <w:t>附件1：</w:t>
      </w:r>
    </w:p>
    <w:p>
      <w:pPr>
        <w:pStyle w:val="3"/>
        <w:spacing w:before="0" w:after="0"/>
        <w:rPr>
          <w:rFonts w:ascii="宋体" w:hAnsi="宋体"/>
          <w:b w:val="0"/>
          <w:color w:val="000000"/>
          <w:sz w:val="24"/>
        </w:rPr>
      </w:pPr>
      <w:bookmarkStart w:id="236" w:name="_Toc453596861"/>
      <w:r>
        <w:rPr>
          <w:rFonts w:hint="eastAsia" w:ascii="宋体" w:hAnsi="宋体"/>
          <w:color w:val="000000"/>
          <w:sz w:val="36"/>
          <w:szCs w:val="36"/>
        </w:rPr>
        <w:t>合同格式及条款</w:t>
      </w:r>
      <w:bookmarkEnd w:id="236"/>
    </w:p>
    <w:p>
      <w:pPr>
        <w:jc w:val="center"/>
        <w:rPr>
          <w:rFonts w:ascii="宋体" w:hAnsi="宋体"/>
          <w:b/>
          <w:color w:val="000000"/>
          <w:sz w:val="48"/>
          <w:szCs w:val="48"/>
        </w:rPr>
      </w:pPr>
      <w:r>
        <w:rPr>
          <w:rFonts w:hint="eastAsia" w:ascii="宋体" w:hAnsi="宋体"/>
          <w:b/>
          <w:color w:val="000000"/>
          <w:sz w:val="48"/>
          <w:szCs w:val="48"/>
        </w:rPr>
        <w:t>政 府 采 购 供 销 合 同</w:t>
      </w:r>
    </w:p>
    <w:p>
      <w:pPr>
        <w:spacing w:line="320" w:lineRule="exact"/>
        <w:rPr>
          <w:rFonts w:ascii="宋体" w:hAnsi="宋体"/>
          <w:b/>
          <w:color w:val="000000"/>
          <w:sz w:val="48"/>
          <w:szCs w:val="48"/>
        </w:rPr>
      </w:pPr>
    </w:p>
    <w:p>
      <w:pPr>
        <w:spacing w:line="320" w:lineRule="exact"/>
        <w:ind w:firstLine="2409" w:firstLineChars="800"/>
        <w:rPr>
          <w:rFonts w:ascii="宋体" w:hAnsi="宋体"/>
          <w:color w:val="000000"/>
          <w:sz w:val="24"/>
        </w:rPr>
      </w:pPr>
      <w:r>
        <w:rPr>
          <w:rFonts w:hint="eastAsia" w:ascii="宋体" w:hAnsi="宋体"/>
          <w:b/>
          <w:color w:val="000000"/>
          <w:sz w:val="30"/>
          <w:szCs w:val="30"/>
        </w:rPr>
        <w:t>合同编号：</w:t>
      </w:r>
      <w:r>
        <w:rPr>
          <w:rFonts w:ascii="宋体" w:hAnsi="宋体"/>
          <w:color w:val="000000"/>
          <w:sz w:val="32"/>
          <w:szCs w:val="32"/>
        </w:rPr>
        <w:t>BGZJ-ZC</w:t>
      </w:r>
      <w:r>
        <w:rPr>
          <w:rFonts w:hint="eastAsia" w:ascii="宋体" w:hAnsi="宋体"/>
          <w:color w:val="000000"/>
          <w:sz w:val="32"/>
          <w:szCs w:val="32"/>
          <w:u w:val="single"/>
        </w:rPr>
        <w:t xml:space="preserve">  </w:t>
      </w:r>
      <w:r>
        <w:rPr>
          <w:rFonts w:hint="eastAsia" w:ascii="宋体" w:hAnsi="宋体"/>
          <w:b/>
          <w:color w:val="000000"/>
          <w:sz w:val="30"/>
          <w:szCs w:val="30"/>
        </w:rPr>
        <w:t>号</w:t>
      </w:r>
    </w:p>
    <w:p>
      <w:pPr>
        <w:spacing w:line="500" w:lineRule="exact"/>
        <w:rPr>
          <w:rFonts w:ascii="宋体" w:hAnsi="宋体"/>
          <w:color w:val="000000"/>
          <w:sz w:val="24"/>
        </w:rPr>
      </w:pPr>
      <w:r>
        <w:rPr>
          <w:rFonts w:hint="eastAsia" w:ascii="宋体" w:hAnsi="宋体"/>
          <w:color w:val="000000"/>
          <w:sz w:val="24"/>
        </w:rPr>
        <w:t>需    方：</w:t>
      </w:r>
      <w:r>
        <w:rPr>
          <w:rFonts w:hint="eastAsia" w:ascii="宋体" w:hAnsi="宋体"/>
          <w:bCs/>
          <w:color w:val="000000"/>
          <w:sz w:val="24"/>
        </w:rPr>
        <w:t>白银市食品检验检测中心</w:t>
      </w:r>
      <w:r>
        <w:rPr>
          <w:rFonts w:hint="eastAsia" w:ascii="宋体" w:hAnsi="宋体"/>
          <w:color w:val="000000"/>
          <w:sz w:val="24"/>
        </w:rPr>
        <w:t xml:space="preserve"> </w:t>
      </w:r>
    </w:p>
    <w:p>
      <w:pPr>
        <w:spacing w:line="500" w:lineRule="exact"/>
        <w:rPr>
          <w:rFonts w:ascii="宋体" w:hAnsi="宋体"/>
          <w:color w:val="000000"/>
          <w:sz w:val="24"/>
        </w:rPr>
      </w:pPr>
      <w:r>
        <w:rPr>
          <w:rFonts w:hint="eastAsia" w:ascii="宋体" w:hAnsi="宋体"/>
          <w:color w:val="000000"/>
          <w:sz w:val="24"/>
        </w:rPr>
        <w:t xml:space="preserve">供    方： </w:t>
      </w:r>
    </w:p>
    <w:p>
      <w:pPr>
        <w:spacing w:line="500" w:lineRule="exact"/>
        <w:rPr>
          <w:rFonts w:ascii="宋体" w:hAnsi="宋体"/>
          <w:color w:val="000000"/>
          <w:sz w:val="24"/>
        </w:rPr>
      </w:pPr>
      <w:r>
        <w:rPr>
          <w:rFonts w:hint="eastAsia" w:ascii="宋体" w:hAnsi="宋体"/>
          <w:color w:val="000000"/>
          <w:sz w:val="24"/>
        </w:rPr>
        <w:t xml:space="preserve">代理机构：中招国际招标有限公司甘肃分公司 </w:t>
      </w:r>
    </w:p>
    <w:p>
      <w:pPr>
        <w:spacing w:line="500" w:lineRule="exact"/>
        <w:ind w:firstLine="480" w:firstLineChars="200"/>
        <w:rPr>
          <w:rFonts w:ascii="宋体" w:hAnsi="宋体"/>
          <w:color w:val="000000"/>
          <w:sz w:val="24"/>
        </w:rPr>
      </w:pPr>
      <w:r>
        <w:rPr>
          <w:rFonts w:hint="eastAsia" w:ascii="宋体" w:hAnsi="宋体"/>
          <w:color w:val="000000"/>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line="500" w:lineRule="exact"/>
        <w:rPr>
          <w:rFonts w:ascii="宋体" w:hAnsi="宋体"/>
          <w:color w:val="000000"/>
          <w:sz w:val="24"/>
        </w:rPr>
      </w:pPr>
      <w:r>
        <w:rPr>
          <w:rFonts w:hint="eastAsia" w:ascii="宋体" w:hAnsi="宋体"/>
          <w:color w:val="000000"/>
          <w:sz w:val="24"/>
        </w:rPr>
        <w:t>一、采购品目、型号、数量及金额（注：填写不下时，可按此表格自行打印清单）</w:t>
      </w:r>
    </w:p>
    <w:tbl>
      <w:tblPr>
        <w:tblStyle w:val="40"/>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1276"/>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127" w:type="dxa"/>
            <w:vAlign w:val="center"/>
          </w:tcPr>
          <w:p>
            <w:pPr>
              <w:spacing w:line="500" w:lineRule="exact"/>
              <w:jc w:val="center"/>
              <w:rPr>
                <w:rFonts w:ascii="宋体" w:hAnsi="宋体"/>
                <w:color w:val="000000"/>
                <w:sz w:val="24"/>
              </w:rPr>
            </w:pPr>
            <w:r>
              <w:rPr>
                <w:rFonts w:hint="eastAsia" w:ascii="宋体" w:hAnsi="宋体"/>
                <w:color w:val="000000"/>
                <w:sz w:val="24"/>
              </w:rPr>
              <w:t>项目</w:t>
            </w:r>
          </w:p>
        </w:tc>
        <w:tc>
          <w:tcPr>
            <w:tcW w:w="2551" w:type="dxa"/>
            <w:vAlign w:val="center"/>
          </w:tcPr>
          <w:p>
            <w:pPr>
              <w:spacing w:line="500" w:lineRule="exact"/>
              <w:jc w:val="center"/>
              <w:rPr>
                <w:rFonts w:ascii="宋体" w:hAnsi="宋体"/>
                <w:color w:val="000000"/>
                <w:sz w:val="24"/>
              </w:rPr>
            </w:pPr>
            <w:r>
              <w:rPr>
                <w:rFonts w:hint="eastAsia" w:ascii="宋体" w:hAnsi="宋体"/>
                <w:color w:val="000000"/>
                <w:sz w:val="24"/>
              </w:rPr>
              <w:t>型号及主要技术指标</w:t>
            </w:r>
          </w:p>
        </w:tc>
        <w:tc>
          <w:tcPr>
            <w:tcW w:w="1276" w:type="dxa"/>
            <w:vAlign w:val="center"/>
          </w:tcPr>
          <w:p>
            <w:pPr>
              <w:spacing w:line="500" w:lineRule="exact"/>
              <w:jc w:val="center"/>
              <w:rPr>
                <w:rFonts w:ascii="宋体" w:hAnsi="宋体"/>
                <w:color w:val="000000"/>
                <w:sz w:val="24"/>
              </w:rPr>
            </w:pPr>
            <w:r>
              <w:rPr>
                <w:rFonts w:hint="eastAsia" w:ascii="宋体" w:hAnsi="宋体"/>
                <w:color w:val="000000"/>
                <w:sz w:val="24"/>
              </w:rPr>
              <w:t>采购预算（万元）</w:t>
            </w:r>
          </w:p>
        </w:tc>
        <w:tc>
          <w:tcPr>
            <w:tcW w:w="1276" w:type="dxa"/>
            <w:vAlign w:val="center"/>
          </w:tcPr>
          <w:p>
            <w:pPr>
              <w:spacing w:line="500" w:lineRule="exact"/>
              <w:jc w:val="center"/>
              <w:rPr>
                <w:rFonts w:ascii="宋体" w:hAnsi="宋体"/>
                <w:color w:val="000000"/>
                <w:sz w:val="24"/>
              </w:rPr>
            </w:pPr>
            <w:r>
              <w:rPr>
                <w:rFonts w:hint="eastAsia" w:ascii="宋体" w:hAnsi="宋体"/>
                <w:color w:val="000000"/>
                <w:sz w:val="24"/>
              </w:rPr>
              <w:t>中标价（万元）</w:t>
            </w:r>
          </w:p>
        </w:tc>
        <w:tc>
          <w:tcPr>
            <w:tcW w:w="1276" w:type="dxa"/>
            <w:vAlign w:val="center"/>
          </w:tcPr>
          <w:p>
            <w:pPr>
              <w:spacing w:line="500" w:lineRule="exact"/>
              <w:jc w:val="center"/>
              <w:rPr>
                <w:rFonts w:ascii="宋体" w:hAnsi="宋体"/>
                <w:color w:val="000000"/>
                <w:sz w:val="24"/>
              </w:rPr>
            </w:pPr>
            <w:r>
              <w:rPr>
                <w:rFonts w:hint="eastAsia" w:ascii="宋体" w:hAnsi="宋体"/>
                <w:color w:val="000000"/>
                <w:sz w:val="24"/>
              </w:rPr>
              <w:t>节约资金（万元）</w:t>
            </w:r>
          </w:p>
        </w:tc>
        <w:tc>
          <w:tcPr>
            <w:tcW w:w="1134" w:type="dxa"/>
            <w:vAlign w:val="center"/>
          </w:tcPr>
          <w:p>
            <w:pPr>
              <w:spacing w:line="500" w:lineRule="exact"/>
              <w:jc w:val="center"/>
              <w:rPr>
                <w:rFonts w:ascii="宋体" w:hAnsi="宋体"/>
                <w:color w:val="000000"/>
                <w:sz w:val="24"/>
              </w:rPr>
            </w:pPr>
            <w:r>
              <w:rPr>
                <w:rFonts w:hint="eastAsia" w:ascii="宋体" w:hAnsi="宋体"/>
                <w:color w:val="000000"/>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127" w:type="dxa"/>
            <w:vAlign w:val="center"/>
          </w:tcPr>
          <w:p>
            <w:pPr>
              <w:spacing w:line="500" w:lineRule="exact"/>
              <w:jc w:val="center"/>
              <w:rPr>
                <w:rFonts w:ascii="宋体" w:hAnsi="宋体"/>
                <w:color w:val="000000"/>
                <w:sz w:val="24"/>
              </w:rPr>
            </w:pPr>
            <w:r>
              <w:rPr>
                <w:rFonts w:hint="eastAsia" w:ascii="宋体" w:hAnsi="宋体"/>
                <w:color w:val="000000"/>
                <w:sz w:val="24"/>
              </w:rPr>
              <w:t xml:space="preserve"> </w:t>
            </w:r>
          </w:p>
        </w:tc>
        <w:tc>
          <w:tcPr>
            <w:tcW w:w="2551" w:type="dxa"/>
            <w:vAlign w:val="center"/>
          </w:tcPr>
          <w:p>
            <w:pPr>
              <w:spacing w:line="500" w:lineRule="exact"/>
              <w:jc w:val="center"/>
              <w:rPr>
                <w:rFonts w:ascii="宋体" w:hAnsi="宋体"/>
                <w:color w:val="000000"/>
                <w:sz w:val="24"/>
              </w:rPr>
            </w:pPr>
          </w:p>
        </w:tc>
        <w:tc>
          <w:tcPr>
            <w:tcW w:w="1276" w:type="dxa"/>
            <w:vAlign w:val="center"/>
          </w:tcPr>
          <w:p>
            <w:pPr>
              <w:spacing w:line="500" w:lineRule="exact"/>
              <w:jc w:val="center"/>
              <w:rPr>
                <w:rFonts w:ascii="宋体" w:hAnsi="宋体"/>
                <w:color w:val="000000"/>
                <w:sz w:val="24"/>
              </w:rPr>
            </w:pPr>
          </w:p>
        </w:tc>
        <w:tc>
          <w:tcPr>
            <w:tcW w:w="1276" w:type="dxa"/>
            <w:vAlign w:val="center"/>
          </w:tcPr>
          <w:p>
            <w:pPr>
              <w:spacing w:line="500" w:lineRule="exact"/>
              <w:jc w:val="center"/>
              <w:rPr>
                <w:rFonts w:ascii="宋体" w:hAnsi="宋体"/>
                <w:color w:val="000000"/>
                <w:sz w:val="24"/>
              </w:rPr>
            </w:pPr>
          </w:p>
        </w:tc>
        <w:tc>
          <w:tcPr>
            <w:tcW w:w="1276" w:type="dxa"/>
            <w:vAlign w:val="center"/>
          </w:tcPr>
          <w:p>
            <w:pPr>
              <w:spacing w:line="500" w:lineRule="exact"/>
              <w:jc w:val="center"/>
              <w:rPr>
                <w:rFonts w:ascii="宋体" w:hAnsi="宋体"/>
                <w:color w:val="000000"/>
                <w:sz w:val="24"/>
              </w:rPr>
            </w:pPr>
          </w:p>
        </w:tc>
        <w:tc>
          <w:tcPr>
            <w:tcW w:w="1134" w:type="dxa"/>
            <w:vAlign w:val="center"/>
          </w:tcPr>
          <w:p>
            <w:pPr>
              <w:spacing w:line="500" w:lineRule="exact"/>
              <w:jc w:val="center"/>
              <w:rPr>
                <w:rFonts w:ascii="宋体" w:hAnsi="宋体"/>
                <w:color w:val="000000"/>
                <w:sz w:val="24"/>
              </w:rPr>
            </w:pPr>
          </w:p>
        </w:tc>
      </w:tr>
    </w:tbl>
    <w:p>
      <w:pPr>
        <w:spacing w:line="500" w:lineRule="exact"/>
        <w:rPr>
          <w:rFonts w:ascii="宋体" w:hAnsi="宋体"/>
          <w:color w:val="000000"/>
          <w:sz w:val="24"/>
        </w:rPr>
      </w:pPr>
      <w:r>
        <w:rPr>
          <w:rFonts w:hint="eastAsia" w:ascii="宋体" w:hAnsi="宋体"/>
          <w:color w:val="000000"/>
          <w:sz w:val="24"/>
        </w:rPr>
        <w:t>二、交货地点、时间：</w:t>
      </w:r>
    </w:p>
    <w:p>
      <w:pPr>
        <w:pStyle w:val="4"/>
        <w:ind w:firstLine="480"/>
        <w:rPr>
          <w:b w:val="0"/>
          <w:bCs/>
        </w:rPr>
      </w:pPr>
      <w:bookmarkStart w:id="237" w:name="_Toc453596862"/>
      <w:bookmarkStart w:id="238" w:name="_Toc434942898"/>
      <w:r>
        <w:rPr>
          <w:rFonts w:hint="eastAsia"/>
          <w:b w:val="0"/>
          <w:bCs/>
        </w:rPr>
        <w:t>交货时间：合同签订后</w:t>
      </w:r>
      <w:r>
        <w:rPr>
          <w:rFonts w:hint="eastAsia"/>
          <w:b w:val="0"/>
          <w:bCs/>
          <w:lang w:val="en-US"/>
        </w:rPr>
        <w:t>30</w:t>
      </w:r>
      <w:r>
        <w:rPr>
          <w:rFonts w:hint="eastAsia"/>
          <w:b w:val="0"/>
          <w:bCs/>
        </w:rPr>
        <w:t>日内供货。</w:t>
      </w:r>
      <w:bookmarkEnd w:id="237"/>
      <w:bookmarkEnd w:id="238"/>
      <w:r>
        <w:rPr>
          <w:rFonts w:hint="eastAsia"/>
          <w:b w:val="0"/>
          <w:bCs/>
        </w:rPr>
        <w:t xml:space="preserve">      </w:t>
      </w:r>
      <w:bookmarkStart w:id="239" w:name="_Toc434942900"/>
    </w:p>
    <w:p>
      <w:pPr>
        <w:pStyle w:val="4"/>
        <w:ind w:firstLine="480"/>
        <w:rPr>
          <w:b w:val="0"/>
          <w:bCs/>
        </w:rPr>
      </w:pPr>
      <w:bookmarkStart w:id="240" w:name="_Toc453596863"/>
      <w:r>
        <w:rPr>
          <w:rFonts w:hint="eastAsia"/>
          <w:b w:val="0"/>
          <w:bCs/>
        </w:rPr>
        <w:t>地点：白银市食品检验检测中心指定</w:t>
      </w:r>
      <w:bookmarkEnd w:id="239"/>
      <w:r>
        <w:rPr>
          <w:rFonts w:hint="eastAsia"/>
          <w:b w:val="0"/>
          <w:bCs/>
          <w:lang w:val="en-US"/>
        </w:rPr>
        <w:t>地点</w:t>
      </w:r>
      <w:bookmarkEnd w:id="240"/>
      <w:r>
        <w:rPr>
          <w:rFonts w:hint="eastAsia"/>
          <w:b w:val="0"/>
          <w:bCs/>
        </w:rPr>
        <w:t xml:space="preserve">     </w:t>
      </w:r>
    </w:p>
    <w:p>
      <w:pPr>
        <w:pStyle w:val="4"/>
        <w:ind w:firstLine="480"/>
        <w:rPr>
          <w:b w:val="0"/>
          <w:bCs/>
        </w:rPr>
      </w:pPr>
      <w:bookmarkStart w:id="241" w:name="_Toc453596864"/>
      <w:bookmarkStart w:id="242" w:name="_Toc434942901"/>
      <w:r>
        <w:rPr>
          <w:rFonts w:hint="eastAsia"/>
          <w:b w:val="0"/>
          <w:bCs/>
        </w:rPr>
        <w:t>交货方式及安装问题：</w:t>
      </w:r>
      <w:bookmarkEnd w:id="241"/>
      <w:bookmarkEnd w:id="242"/>
    </w:p>
    <w:p>
      <w:pPr>
        <w:pStyle w:val="4"/>
        <w:ind w:firstLine="480"/>
        <w:rPr>
          <w:b w:val="0"/>
          <w:bCs/>
        </w:rPr>
      </w:pPr>
      <w:bookmarkStart w:id="243" w:name="_Toc453596865"/>
      <w:bookmarkStart w:id="244" w:name="_Toc434942902"/>
      <w:r>
        <w:rPr>
          <w:rFonts w:hint="eastAsia"/>
          <w:b w:val="0"/>
          <w:bCs/>
        </w:rPr>
        <w:t>1、供货方送货上门，供方将货物送到指定地点，交由指定收货人验收。此外，供方应在交货前向需方提供交货计划；运输、保险和装箱的费用由供方承担。</w:t>
      </w:r>
      <w:bookmarkEnd w:id="243"/>
      <w:bookmarkEnd w:id="244"/>
    </w:p>
    <w:p>
      <w:pPr>
        <w:pStyle w:val="4"/>
        <w:ind w:firstLine="480"/>
        <w:rPr>
          <w:b w:val="0"/>
          <w:bCs/>
        </w:rPr>
      </w:pPr>
      <w:bookmarkStart w:id="245" w:name="_Toc453596866"/>
      <w:bookmarkStart w:id="246" w:name="_Toc434942903"/>
      <w:r>
        <w:rPr>
          <w:rFonts w:hint="eastAsia"/>
          <w:b w:val="0"/>
          <w:bCs/>
        </w:rPr>
        <w:t>2、供方有权要求需方在收到货物时在收货清单上加盖鲜章或由合同约定的收货联系人签字并提供身份证明进行签收，否则可以不交接货物并不承担可能造成的延期供货责任。</w:t>
      </w:r>
      <w:bookmarkEnd w:id="245"/>
      <w:bookmarkEnd w:id="246"/>
    </w:p>
    <w:p>
      <w:pPr>
        <w:pStyle w:val="4"/>
        <w:ind w:firstLine="480"/>
        <w:rPr>
          <w:b w:val="0"/>
          <w:bCs/>
        </w:rPr>
      </w:pPr>
      <w:bookmarkStart w:id="247" w:name="_Toc453596867"/>
      <w:bookmarkStart w:id="248" w:name="_Toc434942904"/>
      <w:r>
        <w:rPr>
          <w:rFonts w:hint="eastAsia"/>
          <w:b w:val="0"/>
          <w:bCs/>
        </w:rPr>
        <w:t>3、由中标人负责将货物安全完好运至甲方指定地点，并指导安装、调试并保证验收合格。</w:t>
      </w:r>
      <w:bookmarkEnd w:id="247"/>
      <w:bookmarkEnd w:id="248"/>
    </w:p>
    <w:p>
      <w:pPr>
        <w:pStyle w:val="4"/>
        <w:ind w:firstLine="480"/>
        <w:rPr>
          <w:b w:val="0"/>
          <w:bCs/>
        </w:rPr>
      </w:pPr>
      <w:bookmarkStart w:id="249" w:name="_Toc434942905"/>
      <w:bookmarkStart w:id="250" w:name="_Toc453596868"/>
      <w:r>
        <w:rPr>
          <w:rFonts w:hint="eastAsia"/>
          <w:b w:val="0"/>
          <w:bCs/>
        </w:rPr>
        <w:t>4、供货时需提供厂家出货单。</w:t>
      </w:r>
      <w:bookmarkEnd w:id="249"/>
      <w:bookmarkEnd w:id="250"/>
    </w:p>
    <w:p>
      <w:pPr>
        <w:pStyle w:val="4"/>
        <w:ind w:firstLine="480"/>
        <w:rPr>
          <w:b w:val="0"/>
        </w:rPr>
      </w:pPr>
      <w:bookmarkStart w:id="251" w:name="_Toc453596869"/>
      <w:r>
        <w:rPr>
          <w:rFonts w:hint="eastAsia"/>
          <w:b w:val="0"/>
          <w:lang w:val="en-US"/>
        </w:rPr>
        <w:t>5、</w:t>
      </w:r>
      <w:r>
        <w:rPr>
          <w:rFonts w:hint="eastAsia"/>
          <w:b w:val="0"/>
        </w:rPr>
        <w:t>针对此次投标产品的产品质量合格证书。</w:t>
      </w:r>
      <w:bookmarkEnd w:id="251"/>
    </w:p>
    <w:p>
      <w:pPr>
        <w:pStyle w:val="4"/>
        <w:ind w:firstLine="480"/>
        <w:rPr>
          <w:b w:val="0"/>
          <w:lang w:val="en-US"/>
        </w:rPr>
      </w:pPr>
      <w:bookmarkStart w:id="252" w:name="_Toc453596870"/>
      <w:r>
        <w:rPr>
          <w:rFonts w:hint="eastAsia"/>
          <w:b w:val="0"/>
          <w:lang w:val="en-US"/>
        </w:rPr>
        <w:t>6、供货时必须提供甘肃省计量检定部门对该仪器检测器的检定合格证书。</w:t>
      </w:r>
      <w:bookmarkEnd w:id="252"/>
    </w:p>
    <w:p>
      <w:pPr>
        <w:pStyle w:val="4"/>
        <w:ind w:firstLine="480"/>
        <w:rPr>
          <w:b w:val="0"/>
        </w:rPr>
      </w:pPr>
      <w:bookmarkStart w:id="253" w:name="_Toc434942906"/>
      <w:bookmarkStart w:id="254" w:name="_Toc453596871"/>
      <w:r>
        <w:rPr>
          <w:rFonts w:hint="eastAsia"/>
          <w:b w:val="0"/>
        </w:rPr>
        <w:t>三、质量与验收标准及提出异议时间：</w:t>
      </w:r>
      <w:bookmarkEnd w:id="253"/>
      <w:bookmarkEnd w:id="254"/>
    </w:p>
    <w:p>
      <w:pPr>
        <w:pStyle w:val="4"/>
        <w:ind w:firstLine="480"/>
        <w:rPr>
          <w:b w:val="0"/>
          <w:bCs/>
        </w:rPr>
      </w:pPr>
      <w:bookmarkStart w:id="255" w:name="_Toc434942907"/>
      <w:bookmarkStart w:id="256" w:name="_Toc453596872"/>
      <w:r>
        <w:rPr>
          <w:rFonts w:hint="eastAsia"/>
          <w:b w:val="0"/>
        </w:rPr>
        <w:t>质量和验收标准依据以装箱单和国家有关法规规定</w:t>
      </w:r>
      <w:r>
        <w:rPr>
          <w:rFonts w:hint="eastAsia"/>
          <w:b w:val="0"/>
          <w:bCs/>
        </w:rPr>
        <w:t>。</w:t>
      </w:r>
      <w:bookmarkEnd w:id="255"/>
      <w:bookmarkEnd w:id="256"/>
    </w:p>
    <w:p>
      <w:pPr>
        <w:pStyle w:val="4"/>
        <w:numPr>
          <w:ilvl w:val="0"/>
          <w:numId w:val="6"/>
        </w:numPr>
        <w:ind w:firstLine="480"/>
        <w:rPr>
          <w:lang w:val="en-US"/>
        </w:rPr>
      </w:pPr>
      <w:bookmarkStart w:id="257" w:name="_Toc434942908"/>
      <w:bookmarkStart w:id="258" w:name="_Toc453596873"/>
      <w:r>
        <w:rPr>
          <w:rFonts w:hint="eastAsia"/>
          <w:b w:val="0"/>
          <w:bCs/>
        </w:rPr>
        <w:t>验收标准：</w:t>
      </w:r>
      <w:r>
        <w:rPr>
          <w:rFonts w:hint="eastAsia"/>
        </w:rPr>
        <w:t>1、招投标文件要求和承诺质量标准； 2、合格证；</w:t>
      </w:r>
      <w:r>
        <w:rPr>
          <w:rFonts w:hint="eastAsia"/>
          <w:b w:val="0"/>
          <w:bCs/>
        </w:rPr>
        <w:t>3</w:t>
      </w:r>
      <w:r>
        <w:rPr>
          <w:rFonts w:hint="eastAsia"/>
        </w:rPr>
        <w:t>、</w:t>
      </w:r>
      <w:bookmarkEnd w:id="257"/>
      <w:bookmarkEnd w:id="258"/>
      <w:r>
        <w:rPr>
          <w:rFonts w:hint="eastAsia"/>
          <w:lang w:val="en-US"/>
        </w:rPr>
        <w:t>投标产品在货物验收时，“*”号项及主要性能指标须完全满足，经专家鉴定验收若出现不符合“*”号项及主要性能指标的，采购人将终止合同，并取消供应商中标资格，无条件退货，并按照合同额全款赔偿。情节严重的，追究其相关法律责任。</w:t>
      </w:r>
    </w:p>
    <w:p>
      <w:pPr>
        <w:pStyle w:val="4"/>
        <w:spacing w:line="460" w:lineRule="exact"/>
        <w:ind w:firstLine="480"/>
        <w:rPr>
          <w:b w:val="0"/>
          <w:bCs/>
        </w:rPr>
      </w:pPr>
      <w:bookmarkStart w:id="259" w:name="_Toc453596874"/>
      <w:bookmarkStart w:id="260" w:name="_Toc434942909"/>
      <w:r>
        <w:rPr>
          <w:rFonts w:hint="eastAsia"/>
          <w:b w:val="0"/>
          <w:bCs/>
        </w:rPr>
        <w:t>（二）提出异议时间截止7天。</w:t>
      </w:r>
      <w:bookmarkEnd w:id="259"/>
      <w:bookmarkEnd w:id="260"/>
    </w:p>
    <w:p>
      <w:pPr>
        <w:pStyle w:val="4"/>
        <w:ind w:firstLine="480"/>
        <w:rPr>
          <w:b w:val="0"/>
          <w:bCs/>
        </w:rPr>
      </w:pPr>
      <w:bookmarkStart w:id="261" w:name="_Toc437524459"/>
      <w:bookmarkStart w:id="262" w:name="_Toc453596875"/>
      <w:bookmarkStart w:id="263" w:name="_Toc437525005"/>
      <w:r>
        <w:rPr>
          <w:rFonts w:hint="eastAsia"/>
          <w:b w:val="0"/>
          <w:bCs/>
          <w:lang w:val="en-US"/>
        </w:rPr>
        <w:t>四</w:t>
      </w:r>
      <w:r>
        <w:rPr>
          <w:rFonts w:hint="eastAsia"/>
          <w:b w:val="0"/>
          <w:bCs/>
        </w:rPr>
        <w:t>、售后服务：</w:t>
      </w:r>
      <w:bookmarkEnd w:id="261"/>
      <w:bookmarkEnd w:id="262"/>
      <w:bookmarkEnd w:id="263"/>
    </w:p>
    <w:p>
      <w:pPr>
        <w:spacing w:line="360" w:lineRule="auto"/>
        <w:ind w:firstLine="480" w:firstLineChars="200"/>
        <w:rPr>
          <w:rFonts w:ascii="宋体" w:hAnsi="宋体" w:cs="宋体"/>
          <w:color w:val="000000"/>
          <w:sz w:val="24"/>
        </w:rPr>
      </w:pPr>
      <w:bookmarkStart w:id="264" w:name="_Toc453596876"/>
      <w:bookmarkStart w:id="265" w:name="_Toc437524460"/>
      <w:bookmarkStart w:id="266" w:name="_Toc437525006"/>
      <w:r>
        <w:rPr>
          <w:rFonts w:hint="eastAsia" w:ascii="宋体" w:hAnsi="宋体" w:cs="宋体"/>
          <w:color w:val="000000"/>
          <w:sz w:val="24"/>
        </w:rPr>
        <w:t>以《装箱单》和国家有关法规规定为依据。产品服务标准以招标文件承诺服务标准提供服务。供方与需方另可补充达成如下条款：</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(一)供方必须按需方要求清单所需要的配置、参数、保质保量供货。</w:t>
      </w:r>
    </w:p>
    <w:p>
      <w:pPr>
        <w:spacing w:line="360" w:lineRule="auto"/>
        <w:ind w:firstLine="480" w:firstLineChars="200"/>
        <w:rPr>
          <w:rFonts w:ascii="宋体" w:hAnsi="宋体" w:cs="宋体"/>
          <w:color w:val="000000"/>
          <w:sz w:val="24"/>
        </w:rPr>
      </w:pPr>
      <w:r>
        <w:rPr>
          <w:rFonts w:hint="eastAsia" w:ascii="宋体" w:hAnsi="宋体" w:cs="宋体"/>
          <w:color w:val="000000"/>
          <w:sz w:val="24"/>
        </w:rPr>
        <w:t>（二）所提供的产品必须符合国家统一质量标准。</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（三）质保期为一年，出现问题12小时内响应，提供免费维修和更换配件服务。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（四）其它涉及维修服务内容的，供方应严格按照国家《医疗器械使用质量监督管理办法》的相关规定，配合需方进行维修。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（五）供方必须按需方要求协调制造商免费开放所有信息系统接口。</w:t>
      </w:r>
    </w:p>
    <w:bookmarkEnd w:id="264"/>
    <w:bookmarkEnd w:id="265"/>
    <w:bookmarkEnd w:id="266"/>
    <w:p>
      <w:pPr>
        <w:pStyle w:val="4"/>
        <w:ind w:firstLine="480"/>
        <w:rPr>
          <w:b w:val="0"/>
          <w:bCs/>
        </w:rPr>
      </w:pPr>
      <w:bookmarkStart w:id="267" w:name="_Toc437524464"/>
      <w:bookmarkStart w:id="268" w:name="_Toc453596880"/>
      <w:bookmarkStart w:id="269" w:name="_Toc437525010"/>
      <w:r>
        <w:rPr>
          <w:rFonts w:hint="eastAsia"/>
          <w:b w:val="0"/>
          <w:bCs/>
          <w:lang w:val="en-US"/>
        </w:rPr>
        <w:t>五</w:t>
      </w:r>
      <w:r>
        <w:rPr>
          <w:rFonts w:hint="eastAsia"/>
          <w:b w:val="0"/>
          <w:bCs/>
        </w:rPr>
        <w:t>、付款方式：</w:t>
      </w:r>
      <w:bookmarkEnd w:id="267"/>
      <w:bookmarkEnd w:id="268"/>
      <w:bookmarkEnd w:id="269"/>
    </w:p>
    <w:p>
      <w:pPr>
        <w:pStyle w:val="4"/>
        <w:ind w:firstLine="480"/>
        <w:rPr>
          <w:b w:val="0"/>
          <w:bCs/>
          <w:lang w:val="en-US"/>
        </w:rPr>
      </w:pPr>
      <w:bookmarkStart w:id="270" w:name="_Toc453596882"/>
      <w:bookmarkStart w:id="271" w:name="_Toc437524466"/>
      <w:bookmarkStart w:id="272" w:name="_Toc437525012"/>
      <w:r>
        <w:rPr>
          <w:rFonts w:hint="eastAsia"/>
          <w:b w:val="0"/>
          <w:bCs/>
          <w:lang w:val="en-US"/>
        </w:rPr>
        <w:t>（1）在中标通知书发出后7日内，供应商应向采购人递交中标金额5%的履约保证金，汇入采购人指定账户。自货物验收合格之日后，质量保证期满一年无息退还。</w:t>
      </w:r>
    </w:p>
    <w:p>
      <w:pPr>
        <w:pStyle w:val="4"/>
        <w:ind w:firstLine="480"/>
        <w:rPr>
          <w:b w:val="0"/>
          <w:bCs/>
          <w:lang w:val="en-US"/>
        </w:rPr>
      </w:pPr>
      <w:r>
        <w:rPr>
          <w:rFonts w:hint="eastAsia"/>
          <w:b w:val="0"/>
          <w:bCs/>
          <w:lang w:val="en-US"/>
        </w:rPr>
        <w:t>（2）货物到达指定交货地点经采购人召集相关专家验收或委托第三方检验合格后，采购人在15个工作日内向供应商支付合同总价款的100%，如果设备主要参数与招标文件不相符，采购人将终止合同，并取消供应商中标资格，无条件退货，并按照合同额全款赔偿。</w:t>
      </w:r>
    </w:p>
    <w:p>
      <w:pPr>
        <w:pStyle w:val="4"/>
        <w:ind w:firstLine="480"/>
        <w:rPr>
          <w:b w:val="0"/>
          <w:bCs/>
          <w:lang w:val="en-US"/>
        </w:rPr>
      </w:pPr>
      <w:r>
        <w:rPr>
          <w:rFonts w:hint="eastAsia"/>
          <w:b w:val="0"/>
          <w:bCs/>
          <w:lang w:val="en-US"/>
        </w:rPr>
        <w:t>（3）投标产品为进口设备的，在货物验收时，须提供产品全套海关报关材料，不能提供或提供虚假材料的，采购人将不予付款并取消供应商中标资格。情节严重的，追究其相关经济及法律责任。</w:t>
      </w:r>
    </w:p>
    <w:p>
      <w:pPr>
        <w:pStyle w:val="4"/>
        <w:ind w:firstLine="480"/>
        <w:rPr>
          <w:b w:val="0"/>
          <w:bCs/>
        </w:rPr>
      </w:pPr>
      <w:r>
        <w:rPr>
          <w:rFonts w:hint="eastAsia"/>
          <w:b w:val="0"/>
          <w:bCs/>
          <w:lang w:val="en-US"/>
        </w:rPr>
        <w:t>六</w:t>
      </w:r>
      <w:r>
        <w:rPr>
          <w:rFonts w:hint="eastAsia"/>
          <w:b w:val="0"/>
          <w:bCs/>
        </w:rPr>
        <w:t>、违约责任：</w:t>
      </w:r>
      <w:bookmarkEnd w:id="270"/>
      <w:bookmarkEnd w:id="271"/>
      <w:bookmarkEnd w:id="272"/>
    </w:p>
    <w:p>
      <w:pPr>
        <w:pStyle w:val="4"/>
        <w:ind w:firstLine="480"/>
        <w:rPr>
          <w:b w:val="0"/>
          <w:bCs/>
        </w:rPr>
      </w:pPr>
      <w:bookmarkStart w:id="273" w:name="_Toc437525013"/>
      <w:bookmarkStart w:id="274" w:name="_Toc437524467"/>
      <w:bookmarkStart w:id="275" w:name="_Toc453596883"/>
      <w:r>
        <w:rPr>
          <w:rFonts w:hint="eastAsia"/>
          <w:b w:val="0"/>
          <w:bCs/>
        </w:rPr>
        <w:t>1、供方未能按供货合同的约定近期完成交货或需方延期付款，每逾期一天，违约方应按合同总额1%向对方支付违约金，但违约金最高金额不超过合同金额的5%，逾期超过5日，有权解除合同。</w:t>
      </w:r>
      <w:bookmarkEnd w:id="273"/>
      <w:bookmarkEnd w:id="274"/>
      <w:bookmarkEnd w:id="275"/>
    </w:p>
    <w:p>
      <w:pPr>
        <w:pStyle w:val="4"/>
        <w:ind w:firstLine="480"/>
        <w:rPr>
          <w:b w:val="0"/>
          <w:bCs/>
        </w:rPr>
      </w:pPr>
      <w:bookmarkStart w:id="276" w:name="_Toc453596884"/>
      <w:bookmarkStart w:id="277" w:name="_Toc437525014"/>
      <w:bookmarkStart w:id="278" w:name="_Toc437524468"/>
      <w:r>
        <w:rPr>
          <w:rFonts w:hint="eastAsia"/>
          <w:b w:val="0"/>
          <w:bCs/>
        </w:rPr>
        <w:t>2、如因供方供应的设备质量问题，造成需方损失，供方应承担全部责任。</w:t>
      </w:r>
      <w:bookmarkEnd w:id="276"/>
      <w:bookmarkEnd w:id="277"/>
      <w:bookmarkEnd w:id="278"/>
    </w:p>
    <w:p>
      <w:pPr>
        <w:pStyle w:val="4"/>
        <w:ind w:firstLine="480"/>
        <w:rPr>
          <w:b w:val="0"/>
          <w:bCs/>
        </w:rPr>
      </w:pPr>
      <w:bookmarkStart w:id="279" w:name="_Toc437525015"/>
      <w:bookmarkStart w:id="280" w:name="_Toc437524469"/>
      <w:bookmarkStart w:id="281" w:name="_Toc453596885"/>
      <w:r>
        <w:rPr>
          <w:rFonts w:hint="eastAsia"/>
          <w:b w:val="0"/>
          <w:bCs/>
          <w:lang w:val="en-US"/>
        </w:rPr>
        <w:t>七</w:t>
      </w:r>
      <w:r>
        <w:rPr>
          <w:rFonts w:hint="eastAsia"/>
          <w:b w:val="0"/>
          <w:bCs/>
        </w:rPr>
        <w:t>、变更解除合同及解决纠纷方式：</w:t>
      </w:r>
      <w:bookmarkEnd w:id="279"/>
      <w:bookmarkEnd w:id="280"/>
      <w:bookmarkEnd w:id="281"/>
    </w:p>
    <w:p>
      <w:pPr>
        <w:pStyle w:val="4"/>
        <w:ind w:firstLine="480"/>
        <w:rPr>
          <w:b w:val="0"/>
          <w:bCs/>
        </w:rPr>
      </w:pPr>
      <w:bookmarkStart w:id="282" w:name="_Toc437524470"/>
      <w:bookmarkStart w:id="283" w:name="_Toc437525016"/>
      <w:bookmarkStart w:id="284" w:name="_Toc453596886"/>
      <w:r>
        <w:rPr>
          <w:rFonts w:hint="eastAsia"/>
          <w:b w:val="0"/>
          <w:bCs/>
        </w:rPr>
        <w:t>1、供需双方如变更或解除本合同，需经同级政府采购办公室书面同意。</w:t>
      </w:r>
      <w:bookmarkEnd w:id="282"/>
      <w:bookmarkEnd w:id="283"/>
      <w:bookmarkEnd w:id="284"/>
    </w:p>
    <w:p>
      <w:pPr>
        <w:pStyle w:val="4"/>
        <w:ind w:firstLine="480"/>
        <w:rPr>
          <w:b w:val="0"/>
          <w:bCs/>
        </w:rPr>
      </w:pPr>
      <w:bookmarkStart w:id="285" w:name="_Toc437525017"/>
      <w:bookmarkStart w:id="286" w:name="_Toc453596887"/>
      <w:bookmarkStart w:id="287" w:name="_Toc437524471"/>
      <w:r>
        <w:rPr>
          <w:rFonts w:hint="eastAsia"/>
          <w:b w:val="0"/>
          <w:bCs/>
        </w:rPr>
        <w:t>2、纠纷方式：双方协商□；向授权厂商投诉□；向财政部门投诉□；提请仲裁□；向人民法院提起诉讼□。</w:t>
      </w:r>
      <w:bookmarkEnd w:id="285"/>
      <w:bookmarkEnd w:id="286"/>
      <w:bookmarkEnd w:id="287"/>
      <w:r>
        <w:rPr>
          <w:rFonts w:hint="eastAsia"/>
          <w:b w:val="0"/>
          <w:bCs/>
        </w:rPr>
        <w:t xml:space="preserve">  </w:t>
      </w:r>
    </w:p>
    <w:p>
      <w:pPr>
        <w:pStyle w:val="4"/>
        <w:ind w:firstLine="480"/>
        <w:rPr>
          <w:b w:val="0"/>
          <w:bCs/>
        </w:rPr>
      </w:pPr>
      <w:bookmarkStart w:id="288" w:name="_Toc437525018"/>
      <w:bookmarkStart w:id="289" w:name="_Toc453596888"/>
      <w:bookmarkStart w:id="290" w:name="_Toc437524472"/>
      <w:r>
        <w:rPr>
          <w:rFonts w:hint="eastAsia"/>
          <w:b w:val="0"/>
          <w:bCs/>
          <w:lang w:val="en-US"/>
        </w:rPr>
        <w:t>八</w:t>
      </w:r>
      <w:r>
        <w:rPr>
          <w:rFonts w:hint="eastAsia"/>
          <w:b w:val="0"/>
          <w:bCs/>
        </w:rPr>
        <w:t>、其他事项：</w:t>
      </w:r>
      <w:bookmarkEnd w:id="288"/>
      <w:bookmarkEnd w:id="289"/>
      <w:bookmarkEnd w:id="290"/>
    </w:p>
    <w:p>
      <w:pPr>
        <w:pStyle w:val="4"/>
        <w:ind w:firstLine="480"/>
        <w:rPr>
          <w:b w:val="0"/>
          <w:bCs/>
        </w:rPr>
      </w:pPr>
      <w:bookmarkStart w:id="291" w:name="_Toc453596889"/>
      <w:bookmarkStart w:id="292" w:name="_Toc437525019"/>
      <w:bookmarkStart w:id="293" w:name="_Toc437524473"/>
      <w:r>
        <w:rPr>
          <w:rFonts w:hint="eastAsia"/>
          <w:b w:val="0"/>
          <w:bCs/>
        </w:rPr>
        <w:t>1、招标文件、投标文件和中标供应商承诺书、补充协议是本合同不可分割的部分，对采购人和中标供应商均具有法律效力，本合同未尽事宜，按相关法律规定办理。</w:t>
      </w:r>
      <w:bookmarkEnd w:id="291"/>
      <w:bookmarkEnd w:id="292"/>
      <w:bookmarkEnd w:id="293"/>
    </w:p>
    <w:p>
      <w:pPr>
        <w:pStyle w:val="4"/>
        <w:ind w:firstLine="480"/>
        <w:rPr>
          <w:b w:val="0"/>
          <w:bCs/>
        </w:rPr>
      </w:pPr>
      <w:bookmarkStart w:id="294" w:name="_Toc453596890"/>
      <w:bookmarkStart w:id="295" w:name="_Toc437525020"/>
      <w:bookmarkStart w:id="296" w:name="_Toc437524474"/>
      <w:r>
        <w:rPr>
          <w:rFonts w:hint="eastAsia"/>
          <w:b w:val="0"/>
          <w:bCs/>
        </w:rPr>
        <w:t>2、本合同为供应商与采购人买卖合同。一式五份，双方各执一份，财政部门政府采购办公室备案一份、白银市公共资源交易中心备案一份，代理公司一份</w:t>
      </w:r>
      <w:bookmarkEnd w:id="294"/>
      <w:bookmarkEnd w:id="295"/>
      <w:bookmarkEnd w:id="296"/>
    </w:p>
    <w:p>
      <w:pPr>
        <w:pStyle w:val="4"/>
        <w:ind w:firstLine="480"/>
        <w:rPr>
          <w:b w:val="0"/>
          <w:bCs/>
          <w:color w:val="000000"/>
        </w:rPr>
      </w:pPr>
      <w:r>
        <w:rPr>
          <w:rFonts w:hint="eastAsia"/>
          <w:b w:val="0"/>
          <w:bCs/>
          <w:color w:val="000000"/>
        </w:rPr>
        <w:br w:type="page"/>
      </w:r>
    </w:p>
    <w:tbl>
      <w:tblPr>
        <w:tblStyle w:val="40"/>
        <w:tblpPr w:leftFromText="180" w:rightFromText="180" w:vertAnchor="page" w:horzAnchor="margin" w:tblpXSpec="center" w:tblpY="2326"/>
        <w:tblW w:w="10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6"/>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7" w:hRule="atLeast"/>
        </w:trPr>
        <w:tc>
          <w:tcPr>
            <w:tcW w:w="4296" w:type="dxa"/>
            <w:vAlign w:val="center"/>
          </w:tcPr>
          <w:p>
            <w:pPr>
              <w:spacing w:line="500" w:lineRule="exact"/>
              <w:rPr>
                <w:rFonts w:ascii="宋体" w:hAnsi="宋体"/>
                <w:color w:val="000000"/>
                <w:sz w:val="24"/>
              </w:rPr>
            </w:pPr>
            <w:r>
              <w:rPr>
                <w:rFonts w:hint="eastAsia" w:ascii="宋体" w:hAnsi="宋体"/>
                <w:color w:val="000000"/>
                <w:sz w:val="24"/>
              </w:rPr>
              <w:t>供方:（章）</w:t>
            </w:r>
          </w:p>
          <w:p>
            <w:pPr>
              <w:spacing w:line="500" w:lineRule="exact"/>
              <w:rPr>
                <w:rFonts w:ascii="宋体" w:hAnsi="宋体"/>
                <w:color w:val="000000"/>
                <w:sz w:val="24"/>
              </w:rPr>
            </w:pPr>
            <w:r>
              <w:rPr>
                <w:rFonts w:hint="eastAsia" w:ascii="宋体" w:hAnsi="宋体"/>
                <w:color w:val="000000"/>
                <w:sz w:val="24"/>
              </w:rPr>
              <w:t>地址:</w:t>
            </w:r>
          </w:p>
          <w:p>
            <w:pPr>
              <w:spacing w:line="500" w:lineRule="exact"/>
              <w:rPr>
                <w:rFonts w:ascii="宋体" w:hAnsi="宋体"/>
                <w:color w:val="000000"/>
                <w:sz w:val="24"/>
              </w:rPr>
            </w:pPr>
            <w:r>
              <w:rPr>
                <w:rFonts w:hint="eastAsia" w:ascii="宋体" w:hAnsi="宋体"/>
                <w:color w:val="000000"/>
                <w:sz w:val="24"/>
              </w:rPr>
              <w:t>电话:</w:t>
            </w:r>
          </w:p>
          <w:p>
            <w:pPr>
              <w:spacing w:line="500" w:lineRule="exact"/>
              <w:rPr>
                <w:rFonts w:ascii="宋体" w:hAnsi="宋体"/>
                <w:color w:val="000000"/>
                <w:sz w:val="24"/>
              </w:rPr>
            </w:pPr>
            <w:r>
              <w:rPr>
                <w:rFonts w:hint="eastAsia" w:ascii="宋体" w:hAnsi="宋体"/>
                <w:color w:val="000000"/>
                <w:sz w:val="24"/>
              </w:rPr>
              <w:t>邮编:</w:t>
            </w:r>
          </w:p>
        </w:tc>
        <w:tc>
          <w:tcPr>
            <w:tcW w:w="5984" w:type="dxa"/>
            <w:vAlign w:val="center"/>
          </w:tcPr>
          <w:p>
            <w:pPr>
              <w:spacing w:line="500" w:lineRule="exact"/>
              <w:rPr>
                <w:rFonts w:ascii="宋体" w:hAnsi="宋体"/>
                <w:color w:val="000000"/>
                <w:sz w:val="24"/>
              </w:rPr>
            </w:pPr>
            <w:r>
              <w:rPr>
                <w:rFonts w:hint="eastAsia" w:ascii="宋体" w:hAnsi="宋体"/>
                <w:color w:val="000000"/>
                <w:sz w:val="24"/>
              </w:rPr>
              <w:t>需方:（章）</w:t>
            </w:r>
          </w:p>
          <w:p>
            <w:pPr>
              <w:spacing w:line="500" w:lineRule="exact"/>
              <w:rPr>
                <w:rFonts w:ascii="宋体" w:hAnsi="宋体"/>
                <w:color w:val="000000"/>
                <w:sz w:val="24"/>
              </w:rPr>
            </w:pPr>
            <w:r>
              <w:rPr>
                <w:rFonts w:hint="eastAsia" w:ascii="宋体" w:hAnsi="宋体"/>
                <w:color w:val="000000"/>
                <w:sz w:val="24"/>
              </w:rPr>
              <w:t>地址:</w:t>
            </w:r>
          </w:p>
          <w:p>
            <w:pPr>
              <w:spacing w:line="500" w:lineRule="exact"/>
              <w:rPr>
                <w:rFonts w:ascii="宋体" w:hAnsi="宋体"/>
                <w:color w:val="000000"/>
                <w:sz w:val="24"/>
              </w:rPr>
            </w:pPr>
            <w:r>
              <w:rPr>
                <w:rFonts w:hint="eastAsia" w:ascii="宋体" w:hAnsi="宋体"/>
                <w:color w:val="000000"/>
                <w:sz w:val="24"/>
              </w:rPr>
              <w:t>电话:</w:t>
            </w:r>
          </w:p>
          <w:p>
            <w:pPr>
              <w:spacing w:line="500" w:lineRule="exact"/>
              <w:rPr>
                <w:rFonts w:ascii="宋体" w:hAnsi="宋体"/>
                <w:color w:val="000000"/>
                <w:sz w:val="24"/>
              </w:rPr>
            </w:pPr>
            <w:r>
              <w:rPr>
                <w:rFonts w:hint="eastAsia" w:ascii="宋体" w:hAnsi="宋体"/>
                <w:color w:val="000000"/>
                <w:sz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9" w:hRule="atLeast"/>
        </w:trPr>
        <w:tc>
          <w:tcPr>
            <w:tcW w:w="4296" w:type="dxa"/>
            <w:vAlign w:val="center"/>
          </w:tcPr>
          <w:p>
            <w:pPr>
              <w:spacing w:line="500" w:lineRule="exact"/>
              <w:rPr>
                <w:rFonts w:ascii="宋体" w:hAnsi="宋体"/>
                <w:color w:val="000000"/>
                <w:sz w:val="24"/>
              </w:rPr>
            </w:pPr>
            <w:r>
              <w:rPr>
                <w:rFonts w:hint="eastAsia" w:ascii="宋体" w:hAnsi="宋体"/>
                <w:color w:val="000000"/>
                <w:sz w:val="24"/>
              </w:rPr>
              <w:t>法定代表人:</w:t>
            </w:r>
          </w:p>
          <w:p>
            <w:pPr>
              <w:spacing w:line="500" w:lineRule="exact"/>
              <w:rPr>
                <w:rFonts w:ascii="宋体" w:hAnsi="宋体"/>
                <w:color w:val="000000"/>
                <w:sz w:val="24"/>
              </w:rPr>
            </w:pPr>
            <w:r>
              <w:rPr>
                <w:rFonts w:hint="eastAsia" w:ascii="宋体" w:hAnsi="宋体"/>
                <w:color w:val="000000"/>
                <w:sz w:val="24"/>
              </w:rPr>
              <w:t>签字日期:</w:t>
            </w:r>
          </w:p>
        </w:tc>
        <w:tc>
          <w:tcPr>
            <w:tcW w:w="5984" w:type="dxa"/>
            <w:vAlign w:val="center"/>
          </w:tcPr>
          <w:p>
            <w:pPr>
              <w:spacing w:line="500" w:lineRule="exact"/>
              <w:rPr>
                <w:rFonts w:ascii="宋体" w:hAnsi="宋体"/>
                <w:color w:val="000000"/>
                <w:sz w:val="24"/>
              </w:rPr>
            </w:pPr>
            <w:r>
              <w:rPr>
                <w:rFonts w:hint="eastAsia" w:ascii="宋体" w:hAnsi="宋体"/>
                <w:color w:val="000000"/>
                <w:sz w:val="24"/>
              </w:rPr>
              <w:t>法定代表人:</w:t>
            </w:r>
          </w:p>
          <w:p>
            <w:pPr>
              <w:spacing w:line="500" w:lineRule="exact"/>
              <w:rPr>
                <w:rFonts w:ascii="宋体" w:hAnsi="宋体"/>
                <w:color w:val="000000"/>
                <w:sz w:val="24"/>
              </w:rPr>
            </w:pPr>
            <w:r>
              <w:rPr>
                <w:rFonts w:hint="eastAsia" w:ascii="宋体" w:hAnsi="宋体"/>
                <w:color w:val="000000"/>
                <w:sz w:val="24"/>
              </w:rPr>
              <w:t>(或委托代理人)</w:t>
            </w:r>
          </w:p>
          <w:p>
            <w:pPr>
              <w:spacing w:line="500" w:lineRule="exact"/>
              <w:rPr>
                <w:rFonts w:ascii="宋体" w:hAnsi="宋体"/>
                <w:color w:val="000000"/>
                <w:sz w:val="24"/>
              </w:rPr>
            </w:pPr>
            <w:r>
              <w:rPr>
                <w:rFonts w:hint="eastAsia" w:ascii="宋体" w:hAnsi="宋体"/>
                <w:color w:val="000000"/>
                <w:sz w:val="24"/>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exact"/>
        </w:trPr>
        <w:tc>
          <w:tcPr>
            <w:tcW w:w="4296" w:type="dxa"/>
            <w:vAlign w:val="center"/>
          </w:tcPr>
          <w:p>
            <w:pPr>
              <w:spacing w:line="500" w:lineRule="exact"/>
              <w:rPr>
                <w:rFonts w:ascii="宋体" w:hAnsi="宋体"/>
                <w:color w:val="000000"/>
                <w:sz w:val="24"/>
              </w:rPr>
            </w:pPr>
            <w:r>
              <w:rPr>
                <w:rFonts w:hint="eastAsia" w:ascii="宋体" w:hAnsi="宋体"/>
                <w:color w:val="000000"/>
                <w:sz w:val="24"/>
              </w:rPr>
              <w:t>经 办 人:</w:t>
            </w:r>
          </w:p>
          <w:p>
            <w:pPr>
              <w:spacing w:line="500" w:lineRule="exact"/>
              <w:rPr>
                <w:rFonts w:ascii="宋体" w:hAnsi="宋体"/>
                <w:color w:val="000000"/>
                <w:sz w:val="24"/>
              </w:rPr>
            </w:pPr>
            <w:r>
              <w:rPr>
                <w:rFonts w:hint="eastAsia" w:ascii="宋体" w:hAnsi="宋体"/>
                <w:color w:val="000000"/>
                <w:sz w:val="24"/>
              </w:rPr>
              <w:t>签字日期:</w:t>
            </w:r>
          </w:p>
        </w:tc>
        <w:tc>
          <w:tcPr>
            <w:tcW w:w="5984" w:type="dxa"/>
            <w:vAlign w:val="center"/>
          </w:tcPr>
          <w:p>
            <w:pPr>
              <w:spacing w:line="500" w:lineRule="exact"/>
              <w:rPr>
                <w:rFonts w:ascii="宋体" w:hAnsi="宋体"/>
                <w:color w:val="000000"/>
                <w:sz w:val="24"/>
              </w:rPr>
            </w:pPr>
            <w:r>
              <w:rPr>
                <w:rFonts w:hint="eastAsia" w:ascii="宋体" w:hAnsi="宋体"/>
                <w:color w:val="000000"/>
                <w:sz w:val="24"/>
              </w:rPr>
              <w:t>经 办 人:</w:t>
            </w:r>
          </w:p>
          <w:p>
            <w:pPr>
              <w:spacing w:line="500" w:lineRule="exact"/>
              <w:rPr>
                <w:rFonts w:ascii="宋体" w:hAnsi="宋体"/>
                <w:color w:val="000000"/>
                <w:sz w:val="24"/>
              </w:rPr>
            </w:pPr>
            <w:r>
              <w:rPr>
                <w:rFonts w:hint="eastAsia" w:ascii="宋体" w:hAnsi="宋体"/>
                <w:color w:val="000000"/>
                <w:sz w:val="24"/>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exact"/>
        </w:trPr>
        <w:tc>
          <w:tcPr>
            <w:tcW w:w="4296" w:type="dxa"/>
            <w:vAlign w:val="center"/>
          </w:tcPr>
          <w:p>
            <w:pPr>
              <w:spacing w:line="500" w:lineRule="exact"/>
              <w:rPr>
                <w:rFonts w:ascii="宋体" w:hAnsi="宋体"/>
                <w:color w:val="000000"/>
                <w:sz w:val="24"/>
              </w:rPr>
            </w:pPr>
            <w:r>
              <w:rPr>
                <w:rFonts w:hint="eastAsia" w:ascii="宋体" w:hAnsi="宋体"/>
                <w:color w:val="000000"/>
                <w:sz w:val="24"/>
              </w:rPr>
              <w:t>开户行:</w:t>
            </w:r>
          </w:p>
          <w:p>
            <w:pPr>
              <w:spacing w:line="500" w:lineRule="exact"/>
              <w:rPr>
                <w:rFonts w:ascii="宋体" w:hAnsi="宋体"/>
                <w:color w:val="000000"/>
                <w:sz w:val="24"/>
              </w:rPr>
            </w:pPr>
            <w:r>
              <w:rPr>
                <w:rFonts w:hint="eastAsia" w:ascii="宋体" w:hAnsi="宋体"/>
                <w:color w:val="000000"/>
                <w:sz w:val="24"/>
              </w:rPr>
              <w:t>账号:</w:t>
            </w:r>
          </w:p>
        </w:tc>
        <w:tc>
          <w:tcPr>
            <w:tcW w:w="5984" w:type="dxa"/>
            <w:vAlign w:val="center"/>
          </w:tcPr>
          <w:p>
            <w:pPr>
              <w:spacing w:line="500" w:lineRule="exact"/>
              <w:rPr>
                <w:rFonts w:ascii="宋体" w:hAnsi="宋体"/>
                <w:color w:val="000000"/>
                <w:sz w:val="24"/>
              </w:rPr>
            </w:pPr>
            <w:r>
              <w:rPr>
                <w:rFonts w:hint="eastAsia" w:ascii="宋体" w:hAnsi="宋体"/>
                <w:color w:val="000000"/>
                <w:sz w:val="24"/>
              </w:rPr>
              <w:t>开户行:</w:t>
            </w:r>
          </w:p>
          <w:p>
            <w:pPr>
              <w:spacing w:line="500" w:lineRule="exact"/>
              <w:rPr>
                <w:rFonts w:ascii="宋体" w:hAnsi="宋体"/>
                <w:color w:val="000000"/>
                <w:sz w:val="24"/>
              </w:rPr>
            </w:pPr>
            <w:r>
              <w:rPr>
                <w:rFonts w:hint="eastAsia" w:ascii="宋体" w:hAnsi="宋体"/>
                <w:color w:val="000000"/>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4" w:hRule="exact"/>
        </w:trPr>
        <w:tc>
          <w:tcPr>
            <w:tcW w:w="10280" w:type="dxa"/>
            <w:gridSpan w:val="2"/>
            <w:vAlign w:val="center"/>
          </w:tcPr>
          <w:p>
            <w:pPr>
              <w:spacing w:line="500" w:lineRule="exact"/>
              <w:rPr>
                <w:rFonts w:ascii="宋体" w:hAnsi="宋体"/>
                <w:color w:val="000000"/>
                <w:sz w:val="24"/>
              </w:rPr>
            </w:pPr>
            <w:r>
              <w:rPr>
                <w:rFonts w:hint="eastAsia" w:ascii="宋体" w:hAnsi="宋体"/>
                <w:color w:val="000000"/>
                <w:sz w:val="24"/>
              </w:rPr>
              <w:t>代理机构:（代理公司盖章）</w:t>
            </w:r>
          </w:p>
          <w:p>
            <w:pPr>
              <w:spacing w:line="500" w:lineRule="exact"/>
              <w:rPr>
                <w:rFonts w:ascii="宋体" w:hAnsi="宋体"/>
                <w:color w:val="000000"/>
                <w:sz w:val="24"/>
              </w:rPr>
            </w:pPr>
          </w:p>
          <w:p>
            <w:pPr>
              <w:spacing w:line="500" w:lineRule="exact"/>
              <w:rPr>
                <w:rFonts w:ascii="宋体" w:hAnsi="宋体"/>
                <w:color w:val="000000"/>
                <w:sz w:val="24"/>
              </w:rPr>
            </w:pPr>
            <w:r>
              <w:rPr>
                <w:rFonts w:hint="eastAsia" w:ascii="宋体" w:hAnsi="宋体"/>
                <w:color w:val="000000"/>
                <w:sz w:val="24"/>
              </w:rPr>
              <w:t>项目负责人签字:</w:t>
            </w:r>
          </w:p>
          <w:p>
            <w:pPr>
              <w:spacing w:line="500" w:lineRule="exact"/>
              <w:rPr>
                <w:rFonts w:ascii="宋体" w:hAnsi="宋体"/>
                <w:color w:val="000000"/>
                <w:sz w:val="24"/>
              </w:rPr>
            </w:pPr>
          </w:p>
          <w:p>
            <w:pPr>
              <w:spacing w:line="500" w:lineRule="exact"/>
              <w:rPr>
                <w:rFonts w:ascii="宋体" w:hAnsi="宋体"/>
                <w:color w:val="000000"/>
                <w:sz w:val="24"/>
              </w:rPr>
            </w:pPr>
            <w:r>
              <w:rPr>
                <w:rFonts w:hint="eastAsia" w:ascii="宋体" w:hAnsi="宋体"/>
                <w:color w:val="000000"/>
                <w:sz w:val="24"/>
              </w:rPr>
              <w:t>签字日期:</w:t>
            </w:r>
          </w:p>
        </w:tc>
      </w:tr>
    </w:tbl>
    <w:p>
      <w:pPr>
        <w:rPr>
          <w:rFonts w:ascii="宋体" w:hAnsi="宋体"/>
          <w:b/>
          <w:color w:val="000000"/>
          <w:sz w:val="24"/>
        </w:rPr>
      </w:pPr>
      <w:r>
        <w:rPr>
          <w:rFonts w:ascii="宋体" w:hAnsi="宋体"/>
          <w:b/>
          <w:bCs/>
          <w:color w:val="000000"/>
          <w:kern w:val="44"/>
          <w:sz w:val="44"/>
          <w:szCs w:val="44"/>
        </w:rPr>
        <w:br w:type="page"/>
      </w:r>
      <w:r>
        <w:rPr>
          <w:rFonts w:hint="eastAsia" w:ascii="宋体" w:hAnsi="宋体"/>
          <w:b/>
          <w:color w:val="000000"/>
          <w:sz w:val="24"/>
        </w:rPr>
        <w:t>附件2：</w:t>
      </w:r>
      <w:bookmarkStart w:id="297" w:name="_Toc139965361"/>
    </w:p>
    <w:p>
      <w:pPr>
        <w:pStyle w:val="3"/>
        <w:spacing w:before="0" w:after="0"/>
        <w:rPr>
          <w:rFonts w:ascii="宋体" w:hAnsi="宋体"/>
          <w:color w:val="000000"/>
          <w:sz w:val="36"/>
          <w:szCs w:val="36"/>
        </w:rPr>
      </w:pPr>
      <w:bookmarkStart w:id="298" w:name="_Toc453596891"/>
      <w:r>
        <w:rPr>
          <w:rFonts w:hint="eastAsia" w:ascii="宋体" w:hAnsi="宋体"/>
          <w:color w:val="000000"/>
          <w:sz w:val="36"/>
          <w:szCs w:val="36"/>
        </w:rPr>
        <w:t>投标函</w:t>
      </w:r>
      <w:bookmarkEnd w:id="297"/>
      <w:bookmarkEnd w:id="298"/>
    </w:p>
    <w:p>
      <w:pPr>
        <w:spacing w:line="500" w:lineRule="exact"/>
        <w:rPr>
          <w:rFonts w:ascii="宋体" w:hAnsi="宋体"/>
          <w:color w:val="000000"/>
          <w:sz w:val="24"/>
        </w:rPr>
      </w:pPr>
      <w:r>
        <w:rPr>
          <w:rFonts w:hint="eastAsia" w:ascii="宋体" w:hAnsi="宋体"/>
          <w:color w:val="000000"/>
          <w:sz w:val="24"/>
        </w:rPr>
        <w:t>致：</w:t>
      </w:r>
    </w:p>
    <w:p>
      <w:pPr>
        <w:spacing w:line="500" w:lineRule="exact"/>
        <w:ind w:firstLine="480" w:firstLineChars="200"/>
        <w:rPr>
          <w:rFonts w:ascii="宋体" w:hAnsi="宋体"/>
          <w:color w:val="000000"/>
          <w:sz w:val="24"/>
        </w:rPr>
      </w:pPr>
      <w:r>
        <w:rPr>
          <w:rFonts w:hint="eastAsia" w:ascii="宋体" w:hAnsi="宋体"/>
          <w:color w:val="000000"/>
          <w:sz w:val="24"/>
        </w:rPr>
        <w:t>根据已收到的招标编号为</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的白银市食品检验检测中心食品检（监）测能力建设项目招标文件，我单位经认真研究上述招标文件，决定参加本次投标。我方提交投标文件正本</w:t>
      </w:r>
      <w:r>
        <w:rPr>
          <w:rFonts w:hint="eastAsia" w:ascii="宋体" w:hAnsi="宋体"/>
          <w:color w:val="000000"/>
          <w:sz w:val="24"/>
          <w:u w:val="single"/>
        </w:rPr>
        <w:t xml:space="preserve">     </w:t>
      </w:r>
      <w:r>
        <w:rPr>
          <w:rFonts w:hint="eastAsia" w:ascii="宋体" w:hAnsi="宋体"/>
          <w:color w:val="000000"/>
          <w:sz w:val="24"/>
        </w:rPr>
        <w:t>份、副本</w:t>
      </w:r>
      <w:r>
        <w:rPr>
          <w:rFonts w:hint="eastAsia" w:ascii="宋体" w:hAnsi="宋体"/>
          <w:color w:val="000000"/>
          <w:sz w:val="24"/>
          <w:u w:val="single"/>
        </w:rPr>
        <w:t xml:space="preserve">     </w:t>
      </w:r>
      <w:r>
        <w:rPr>
          <w:rFonts w:hint="eastAsia" w:ascii="宋体" w:hAnsi="宋体"/>
          <w:color w:val="000000"/>
          <w:sz w:val="24"/>
        </w:rPr>
        <w:t>份并保证其真实性。我方愿承担该项目的实施和保修任务，履行招标文件中对中标单位的要求和应承担的责任和义务。同时我方郑重做出如下声明：</w:t>
      </w:r>
    </w:p>
    <w:p>
      <w:pPr>
        <w:spacing w:line="500" w:lineRule="exact"/>
        <w:ind w:firstLine="480" w:firstLineChars="200"/>
        <w:rPr>
          <w:rFonts w:ascii="宋体" w:hAnsi="宋体"/>
          <w:color w:val="000000"/>
          <w:sz w:val="24"/>
        </w:rPr>
      </w:pPr>
      <w:r>
        <w:rPr>
          <w:rFonts w:hint="eastAsia" w:ascii="宋体" w:hAnsi="宋体"/>
          <w:color w:val="000000"/>
          <w:sz w:val="24"/>
        </w:rPr>
        <w:t>1、我方完全接受招标文件中的内容，并将按招标文件的规定履行责任、义务。</w:t>
      </w:r>
    </w:p>
    <w:p>
      <w:pPr>
        <w:spacing w:line="500" w:lineRule="exact"/>
        <w:ind w:firstLine="480" w:firstLineChars="200"/>
        <w:rPr>
          <w:rFonts w:ascii="宋体" w:hAnsi="宋体"/>
          <w:color w:val="000000"/>
          <w:sz w:val="24"/>
        </w:rPr>
      </w:pPr>
      <w:r>
        <w:rPr>
          <w:rFonts w:hint="eastAsia" w:ascii="宋体" w:hAnsi="宋体"/>
          <w:color w:val="000000"/>
          <w:sz w:val="24"/>
        </w:rPr>
        <w:t>2、我方已详细审查全部招标文件，包括修改文件、参考资料及有关附件，无其他不明事项。</w:t>
      </w:r>
    </w:p>
    <w:p>
      <w:pPr>
        <w:spacing w:line="500" w:lineRule="exact"/>
        <w:ind w:firstLine="480" w:firstLineChars="200"/>
        <w:rPr>
          <w:rFonts w:ascii="宋体" w:hAnsi="宋体"/>
          <w:color w:val="000000"/>
          <w:sz w:val="24"/>
        </w:rPr>
      </w:pPr>
      <w:r>
        <w:rPr>
          <w:rFonts w:hint="eastAsia" w:ascii="宋体" w:hAnsi="宋体"/>
          <w:color w:val="000000"/>
          <w:sz w:val="24"/>
        </w:rPr>
        <w:t>3、我方同意提供贵方可能要求的与投标有关的任何证据或资料。</w:t>
      </w:r>
    </w:p>
    <w:p>
      <w:pPr>
        <w:spacing w:line="500" w:lineRule="exact"/>
        <w:ind w:firstLine="480" w:firstLineChars="200"/>
        <w:rPr>
          <w:rFonts w:ascii="宋体" w:hAnsi="宋体"/>
          <w:color w:val="000000"/>
          <w:sz w:val="24"/>
        </w:rPr>
      </w:pPr>
      <w:r>
        <w:rPr>
          <w:rFonts w:hint="eastAsia" w:ascii="宋体" w:hAnsi="宋体"/>
          <w:color w:val="000000"/>
          <w:sz w:val="24"/>
        </w:rPr>
        <w:t>4、如果我方中标，我方将按《中标通知书》要求签订、履行合同，承担责任、义务。</w:t>
      </w:r>
    </w:p>
    <w:p>
      <w:pPr>
        <w:spacing w:line="500" w:lineRule="exact"/>
        <w:ind w:firstLine="480" w:firstLineChars="200"/>
        <w:rPr>
          <w:rFonts w:ascii="宋体" w:hAnsi="宋体"/>
          <w:color w:val="000000"/>
          <w:sz w:val="24"/>
        </w:rPr>
      </w:pPr>
      <w:r>
        <w:rPr>
          <w:rFonts w:hint="eastAsia" w:ascii="宋体" w:hAnsi="宋体"/>
          <w:color w:val="000000"/>
          <w:sz w:val="24"/>
        </w:rPr>
        <w:t>5、我方同意所递交的投标文件在90天的投标有效期内有效，在此期间我方将受此约束。</w:t>
      </w:r>
    </w:p>
    <w:p>
      <w:pPr>
        <w:spacing w:line="500" w:lineRule="exact"/>
        <w:ind w:firstLine="480" w:firstLineChars="200"/>
        <w:rPr>
          <w:rFonts w:ascii="宋体" w:hAnsi="宋体"/>
          <w:color w:val="000000"/>
          <w:sz w:val="24"/>
        </w:rPr>
      </w:pPr>
      <w:r>
        <w:rPr>
          <w:rFonts w:hint="eastAsia" w:ascii="宋体" w:hAnsi="宋体"/>
          <w:color w:val="000000"/>
          <w:sz w:val="24"/>
        </w:rPr>
        <w:t>6、我们理解贵方不一定要接受最低报价的投标或收到的任何投标。</w:t>
      </w:r>
    </w:p>
    <w:p>
      <w:pPr>
        <w:spacing w:line="500" w:lineRule="exact"/>
        <w:ind w:firstLine="480" w:firstLineChars="200"/>
        <w:rPr>
          <w:rFonts w:ascii="宋体" w:hAnsi="宋体"/>
          <w:color w:val="000000"/>
          <w:sz w:val="24"/>
        </w:rPr>
      </w:pPr>
      <w:r>
        <w:rPr>
          <w:rFonts w:hint="eastAsia" w:ascii="宋体" w:hAnsi="宋体"/>
          <w:color w:val="000000"/>
          <w:sz w:val="24"/>
        </w:rPr>
        <w:t>7、投标有关的一切资金往来请使用以下帐户：</w:t>
      </w:r>
    </w:p>
    <w:p>
      <w:pPr>
        <w:spacing w:line="500" w:lineRule="exact"/>
        <w:ind w:firstLine="900" w:firstLineChars="375"/>
        <w:rPr>
          <w:rFonts w:ascii="宋体" w:hAnsi="宋体"/>
          <w:color w:val="000000"/>
          <w:sz w:val="24"/>
        </w:rPr>
      </w:pPr>
      <w:r>
        <w:rPr>
          <w:rFonts w:hint="eastAsia" w:ascii="宋体" w:hAnsi="宋体"/>
          <w:color w:val="000000"/>
          <w:sz w:val="24"/>
        </w:rPr>
        <w:t>开户行：</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ind w:firstLine="900" w:firstLineChars="375"/>
        <w:rPr>
          <w:rFonts w:ascii="宋体" w:hAnsi="宋体"/>
          <w:color w:val="000000"/>
          <w:sz w:val="24"/>
        </w:rPr>
      </w:pPr>
      <w:r>
        <w:rPr>
          <w:rFonts w:hint="eastAsia" w:ascii="宋体" w:hAnsi="宋体"/>
          <w:color w:val="000000"/>
          <w:sz w:val="24"/>
        </w:rPr>
        <w:t>户  名：</w:t>
      </w:r>
      <w:r>
        <w:rPr>
          <w:rFonts w:hint="eastAsia" w:ascii="宋体" w:hAnsi="宋体"/>
          <w:color w:val="000000"/>
          <w:sz w:val="24"/>
          <w:u w:val="single"/>
        </w:rPr>
        <w:t xml:space="preserve">                       </w:t>
      </w:r>
    </w:p>
    <w:p>
      <w:pPr>
        <w:spacing w:line="500" w:lineRule="exact"/>
        <w:ind w:firstLine="900" w:firstLineChars="375"/>
        <w:rPr>
          <w:rFonts w:ascii="宋体" w:hAnsi="宋体"/>
          <w:color w:val="000000"/>
          <w:sz w:val="24"/>
        </w:rPr>
      </w:pPr>
      <w:r>
        <w:rPr>
          <w:rFonts w:hint="eastAsia" w:ascii="宋体" w:hAnsi="宋体"/>
          <w:color w:val="000000"/>
          <w:sz w:val="24"/>
        </w:rPr>
        <w:t>账  号：</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8、与投标有关的一切正式信函请使用以下地址：</w:t>
      </w:r>
    </w:p>
    <w:p>
      <w:pPr>
        <w:spacing w:line="500" w:lineRule="exact"/>
        <w:ind w:firstLine="900" w:firstLineChars="375"/>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900" w:firstLineChars="375"/>
        <w:rPr>
          <w:rFonts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900" w:firstLineChars="375"/>
        <w:rPr>
          <w:rFonts w:ascii="宋体" w:hAnsi="宋体"/>
          <w:color w:val="000000"/>
          <w:sz w:val="24"/>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900" w:firstLineChars="375"/>
        <w:rPr>
          <w:rFonts w:ascii="宋体" w:hAnsi="宋体"/>
          <w:color w:val="000000"/>
          <w:sz w:val="24"/>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900" w:firstLineChars="375"/>
        <w:rPr>
          <w:rFonts w:ascii="宋体" w:hAnsi="宋体"/>
          <w:color w:val="000000"/>
          <w:sz w:val="24"/>
          <w:u w:val="single"/>
        </w:rPr>
      </w:pPr>
      <w:r>
        <w:rPr>
          <w:rFonts w:hint="eastAsia" w:ascii="宋体" w:hAnsi="宋体"/>
          <w:color w:val="000000"/>
          <w:sz w:val="24"/>
        </w:rPr>
        <w:t>单位鲜章：</w:t>
      </w:r>
      <w:r>
        <w:rPr>
          <w:rFonts w:hint="eastAsia" w:ascii="宋体" w:hAnsi="宋体"/>
          <w:color w:val="000000"/>
          <w:sz w:val="24"/>
          <w:u w:val="single"/>
        </w:rPr>
        <w:t xml:space="preserve">                        </w:t>
      </w:r>
    </w:p>
    <w:p>
      <w:pPr>
        <w:spacing w:line="500" w:lineRule="exact"/>
        <w:ind w:firstLine="900" w:firstLineChars="375"/>
        <w:rPr>
          <w:rFonts w:ascii="宋体" w:hAnsi="宋体"/>
          <w:color w:val="000000"/>
          <w:sz w:val="24"/>
        </w:rPr>
      </w:pPr>
      <w:r>
        <w:rPr>
          <w:rFonts w:hint="eastAsia" w:ascii="宋体" w:hAnsi="宋体"/>
          <w:color w:val="000000"/>
          <w:sz w:val="24"/>
        </w:rPr>
        <w:t>法定代表人或授权代表人签字：</w:t>
      </w:r>
      <w:r>
        <w:rPr>
          <w:rFonts w:hint="eastAsia" w:ascii="宋体" w:hAnsi="宋体"/>
          <w:color w:val="000000"/>
          <w:sz w:val="24"/>
          <w:u w:val="single"/>
        </w:rPr>
        <w:t xml:space="preserve">                      </w:t>
      </w:r>
      <w:r>
        <w:rPr>
          <w:rFonts w:hint="eastAsia" w:ascii="宋体" w:hAnsi="宋体"/>
          <w:color w:val="000000"/>
          <w:sz w:val="24"/>
        </w:rPr>
        <w:t xml:space="preserve">   </w:t>
      </w:r>
    </w:p>
    <w:p>
      <w:pPr>
        <w:pStyle w:val="18"/>
        <w:spacing w:line="500" w:lineRule="exact"/>
        <w:ind w:left="99" w:leftChars="47" w:firstLine="480" w:firstLineChars="200"/>
        <w:jc w:val="right"/>
        <w:rPr>
          <w:rFonts w:ascii="宋体" w:hAnsi="宋体"/>
          <w:color w:val="000000"/>
          <w:sz w:val="24"/>
        </w:rPr>
      </w:pPr>
    </w:p>
    <w:p>
      <w:pPr>
        <w:pStyle w:val="18"/>
        <w:spacing w:line="500" w:lineRule="exact"/>
        <w:ind w:left="0" w:leftChars="0" w:right="560" w:firstLine="5400" w:firstLineChars="2250"/>
        <w:rPr>
          <w:rFonts w:ascii="宋体" w:hAnsi="宋体"/>
          <w:color w:val="000000"/>
        </w:rPr>
      </w:pPr>
      <w:r>
        <w:rPr>
          <w:rFonts w:hint="eastAsia" w:ascii="宋体" w:hAnsi="宋体"/>
          <w:color w:val="000000"/>
          <w:sz w:val="24"/>
        </w:rPr>
        <w:t>年    月   日</w:t>
      </w:r>
    </w:p>
    <w:p>
      <w:pPr>
        <w:rPr>
          <w:rFonts w:ascii="宋体" w:hAnsi="宋体"/>
          <w:b/>
          <w:color w:val="000000"/>
          <w:sz w:val="24"/>
        </w:rPr>
      </w:pPr>
      <w:r>
        <w:rPr>
          <w:rFonts w:ascii="宋体" w:hAnsi="宋体"/>
          <w:b/>
          <w:color w:val="000000"/>
        </w:rPr>
        <w:br w:type="page"/>
      </w:r>
      <w:r>
        <w:rPr>
          <w:rFonts w:hint="eastAsia" w:ascii="宋体" w:hAnsi="宋体"/>
          <w:b/>
          <w:color w:val="000000"/>
          <w:sz w:val="24"/>
        </w:rPr>
        <w:t>附件3：</w:t>
      </w:r>
      <w:bookmarkStart w:id="299" w:name="_Toc139965362"/>
    </w:p>
    <w:p>
      <w:pPr>
        <w:pStyle w:val="3"/>
        <w:spacing w:before="0" w:after="0"/>
        <w:rPr>
          <w:rFonts w:ascii="宋体" w:hAnsi="宋体"/>
          <w:color w:val="000000"/>
          <w:sz w:val="36"/>
          <w:szCs w:val="36"/>
        </w:rPr>
      </w:pPr>
      <w:bookmarkStart w:id="300" w:name="_Toc453596892"/>
      <w:r>
        <w:rPr>
          <w:rFonts w:hint="eastAsia" w:ascii="宋体" w:hAnsi="宋体"/>
          <w:color w:val="000000"/>
          <w:sz w:val="36"/>
          <w:szCs w:val="36"/>
        </w:rPr>
        <w:t>法人授权</w:t>
      </w:r>
      <w:bookmarkEnd w:id="299"/>
      <w:r>
        <w:rPr>
          <w:rFonts w:hint="eastAsia" w:ascii="宋体" w:hAnsi="宋体"/>
          <w:color w:val="000000"/>
          <w:sz w:val="36"/>
          <w:szCs w:val="36"/>
        </w:rPr>
        <w:t>函</w:t>
      </w:r>
      <w:bookmarkEnd w:id="300"/>
    </w:p>
    <w:p>
      <w:pPr>
        <w:spacing w:line="30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 xml:space="preserve">致 ：  </w:t>
      </w:r>
    </w:p>
    <w:p>
      <w:pPr>
        <w:spacing w:line="360" w:lineRule="auto"/>
        <w:ind w:firstLine="480" w:firstLineChars="200"/>
        <w:rPr>
          <w:rFonts w:ascii="宋体" w:hAnsi="宋体"/>
          <w:color w:val="000000"/>
          <w:sz w:val="24"/>
        </w:rPr>
      </w:pPr>
      <w:r>
        <w:rPr>
          <w:rFonts w:hint="eastAsia" w:ascii="宋体" w:hAnsi="宋体"/>
          <w:color w:val="000000"/>
          <w:sz w:val="24"/>
        </w:rPr>
        <w:t>本授权函声明：</w:t>
      </w:r>
      <w:r>
        <w:rPr>
          <w:rFonts w:hint="eastAsia" w:ascii="宋体" w:hAnsi="宋体"/>
          <w:color w:val="000000"/>
          <w:sz w:val="24"/>
          <w:u w:val="single"/>
        </w:rPr>
        <w:t xml:space="preserve">            （投标人全称）         </w:t>
      </w:r>
      <w:r>
        <w:rPr>
          <w:rFonts w:hint="eastAsia" w:ascii="宋体" w:hAnsi="宋体"/>
          <w:color w:val="000000"/>
          <w:sz w:val="24"/>
        </w:rPr>
        <w:t>任命</w:t>
      </w:r>
      <w:r>
        <w:rPr>
          <w:rFonts w:hint="eastAsia" w:ascii="宋体" w:hAnsi="宋体"/>
          <w:color w:val="000000"/>
          <w:sz w:val="24"/>
          <w:u w:val="single"/>
        </w:rPr>
        <w:t xml:space="preserve"> （被授权人姓名、职务）   </w:t>
      </w:r>
      <w:r>
        <w:rPr>
          <w:rFonts w:hint="eastAsia" w:ascii="宋体" w:hAnsi="宋体"/>
          <w:color w:val="000000"/>
          <w:sz w:val="24"/>
        </w:rPr>
        <w:t>为我公司的授权代表人，参与招标编号为</w:t>
      </w:r>
      <w:r>
        <w:rPr>
          <w:rFonts w:hint="eastAsia"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的</w:t>
      </w:r>
      <w:r>
        <w:rPr>
          <w:rFonts w:hint="eastAsia" w:ascii="宋体" w:hAnsi="宋体"/>
          <w:sz w:val="24"/>
        </w:rPr>
        <w:t>白银市食品检验检测中心食品检（监）测能力建设项目（第二次）</w:t>
      </w:r>
      <w:r>
        <w:rPr>
          <w:rFonts w:hint="eastAsia" w:ascii="宋体" w:hAnsi="宋体"/>
          <w:color w:val="000000"/>
          <w:sz w:val="24"/>
        </w:rPr>
        <w:t>投标活动，以投标人的名义签署投标文件、进行合同谈判、签署合同和全权处理与之有关的一切事务。</w:t>
      </w:r>
    </w:p>
    <w:p>
      <w:pPr>
        <w:spacing w:line="360" w:lineRule="auto"/>
        <w:ind w:firstLine="480" w:firstLineChars="200"/>
        <w:rPr>
          <w:rFonts w:ascii="宋体" w:hAnsi="宋体"/>
          <w:color w:val="000000"/>
          <w:sz w:val="24"/>
        </w:rPr>
      </w:pPr>
      <w:r>
        <w:rPr>
          <w:rFonts w:hint="eastAsia" w:ascii="宋体" w:hAnsi="宋体"/>
          <w:color w:val="000000"/>
          <w:sz w:val="24"/>
        </w:rPr>
        <w:t>特签字如下，以资证明。</w:t>
      </w:r>
    </w:p>
    <w:p>
      <w:pPr>
        <w:spacing w:line="360" w:lineRule="auto"/>
        <w:ind w:firstLine="480" w:firstLineChars="200"/>
        <w:rPr>
          <w:rFonts w:ascii="宋体" w:hAnsi="宋体"/>
          <w:color w:val="000000"/>
          <w:sz w:val="24"/>
        </w:rPr>
      </w:pPr>
    </w:p>
    <w:p>
      <w:pPr>
        <w:spacing w:line="360" w:lineRule="auto"/>
        <w:ind w:firstLine="480" w:firstLineChars="200"/>
        <w:jc w:val="left"/>
        <w:rPr>
          <w:rFonts w:ascii="宋体" w:hAnsi="宋体"/>
          <w:color w:val="000000"/>
          <w:sz w:val="24"/>
          <w:u w:val="single"/>
        </w:rPr>
      </w:pPr>
      <w:r>
        <w:rPr>
          <w:rFonts w:hint="eastAsia" w:ascii="宋体" w:hAnsi="宋体"/>
          <w:color w:val="000000"/>
          <w:sz w:val="24"/>
        </w:rPr>
        <w:t>投标人名称：（鲜章）</w:t>
      </w:r>
    </w:p>
    <w:p>
      <w:pPr>
        <w:spacing w:line="360" w:lineRule="auto"/>
        <w:ind w:firstLine="480" w:firstLineChars="200"/>
        <w:rPr>
          <w:rFonts w:ascii="宋体" w:hAnsi="宋体"/>
          <w:color w:val="000000"/>
          <w:sz w:val="24"/>
          <w:u w:val="single"/>
        </w:rPr>
      </w:pPr>
      <w:r>
        <w:rPr>
          <w:rFonts w:hint="eastAsia" w:ascii="宋体" w:hAnsi="宋体"/>
          <w:color w:val="000000"/>
          <w:sz w:val="24"/>
        </w:rPr>
        <w:t>投标人地址：</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法定代表人：（签字或印章）</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被授权人：（签字或印章）：</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p>
    <w:p>
      <w:pPr>
        <w:spacing w:line="300" w:lineRule="auto"/>
        <w:ind w:firstLine="4560" w:firstLineChars="1900"/>
        <w:rPr>
          <w:rFonts w:ascii="宋体" w:hAnsi="宋体"/>
          <w:color w:val="000000"/>
          <w:sz w:val="24"/>
        </w:rPr>
      </w:pPr>
      <w:r>
        <w:rPr>
          <w:rFonts w:hint="eastAsia" w:ascii="宋体" w:hAnsi="宋体"/>
          <w:color w:val="000000"/>
          <w:sz w:val="24"/>
        </w:rPr>
        <w:t>授权日期：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480" w:lineRule="auto"/>
        <w:ind w:firstLine="480" w:firstLineChars="200"/>
        <w:rPr>
          <w:rFonts w:ascii="宋体" w:hAnsi="宋体"/>
          <w:color w:val="000000"/>
          <w:sz w:val="24"/>
        </w:rPr>
      </w:pPr>
      <w:r>
        <w:rPr>
          <w:rFonts w:ascii="宋体" w:hAnsi="宋体"/>
          <w:color w:val="000000"/>
          <w:sz w:val="24"/>
          <w:u w:val="single"/>
        </w:rPr>
        <w:pict>
          <v:shape id="Text Box 3" o:spid="_x0000_s1026" o:spt="202" type="#_x0000_t202" style="position:absolute;left:0pt;margin-left:261.35pt;margin-top:30pt;height:120pt;width:191.25pt;z-index:251657216;mso-width-relative:page;mso-height-relative:page;" coordsize="21600,21600">
            <v:path/>
            <v:fill focussize="0,0"/>
            <v:stroke joinstyle="miter"/>
            <v:imagedata o:title=""/>
            <o:lock v:ext="edit"/>
            <v:textbox>
              <w:txbxContent>
                <w:p>
                  <w:pPr>
                    <w:jc w:val="center"/>
                    <w:rPr>
                      <w:sz w:val="32"/>
                      <w:szCs w:val="32"/>
                    </w:rPr>
                  </w:pPr>
                </w:p>
                <w:p>
                  <w:pPr>
                    <w:jc w:val="center"/>
                    <w:rPr>
                      <w:sz w:val="32"/>
                      <w:szCs w:val="32"/>
                    </w:rPr>
                  </w:pPr>
                  <w:r>
                    <w:rPr>
                      <w:rFonts w:hint="eastAsia"/>
                      <w:sz w:val="32"/>
                      <w:szCs w:val="32"/>
                    </w:rPr>
                    <w:t>背面</w:t>
                  </w:r>
                </w:p>
              </w:txbxContent>
            </v:textbox>
          </v:shape>
        </w:pict>
      </w:r>
      <w:r>
        <w:rPr>
          <w:rFonts w:ascii="宋体" w:hAnsi="宋体"/>
          <w:color w:val="000000"/>
          <w:sz w:val="24"/>
        </w:rPr>
        <w:pict>
          <v:shape id="Text Box 2" o:spid="_x0000_s1027" o:spt="202" type="#_x0000_t202" style="position:absolute;left:0pt;margin-left:31.1pt;margin-top:30pt;height:120pt;width:195pt;z-index:251656192;mso-width-relative:page;mso-height-relative:page;" coordsize="21600,21600">
            <v:path/>
            <v:fill focussize="0,0"/>
            <v:stroke joinstyle="miter"/>
            <v:imagedata o:title=""/>
            <o:lock v:ext="edit"/>
            <v:textbox>
              <w:txbxContent>
                <w:p>
                  <w:pPr>
                    <w:jc w:val="center"/>
                    <w:rPr>
                      <w:sz w:val="32"/>
                      <w:szCs w:val="32"/>
                    </w:rPr>
                  </w:pPr>
                </w:p>
                <w:p>
                  <w:pPr>
                    <w:jc w:val="center"/>
                    <w:rPr>
                      <w:sz w:val="32"/>
                      <w:szCs w:val="32"/>
                    </w:rPr>
                  </w:pPr>
                  <w:r>
                    <w:rPr>
                      <w:rFonts w:hint="eastAsia"/>
                      <w:sz w:val="32"/>
                      <w:szCs w:val="32"/>
                    </w:rPr>
                    <w:t>正面</w:t>
                  </w:r>
                </w:p>
              </w:txbxContent>
            </v:textbox>
          </v:shape>
        </w:pict>
      </w:r>
      <w:r>
        <w:rPr>
          <w:rFonts w:hint="eastAsia" w:ascii="宋体" w:hAnsi="宋体"/>
          <w:color w:val="000000"/>
          <w:sz w:val="24"/>
        </w:rPr>
        <w:t>法定代表人身份复印件：</w:t>
      </w:r>
    </w:p>
    <w:p>
      <w:pPr>
        <w:spacing w:line="480" w:lineRule="auto"/>
        <w:ind w:firstLine="2160" w:firstLineChars="900"/>
        <w:rPr>
          <w:rFonts w:ascii="宋体" w:hAnsi="宋体"/>
          <w:color w:val="000000"/>
          <w:sz w:val="24"/>
        </w:rPr>
      </w:pPr>
    </w:p>
    <w:p>
      <w:pPr>
        <w:spacing w:line="480" w:lineRule="auto"/>
        <w:ind w:firstLine="2160" w:firstLineChars="900"/>
        <w:rPr>
          <w:rFonts w:ascii="宋体" w:hAnsi="宋体"/>
          <w:color w:val="000000"/>
          <w:sz w:val="24"/>
        </w:rPr>
      </w:pPr>
    </w:p>
    <w:p>
      <w:pPr>
        <w:spacing w:line="480" w:lineRule="auto"/>
        <w:ind w:firstLine="2160" w:firstLineChars="900"/>
        <w:rPr>
          <w:rFonts w:ascii="宋体" w:hAnsi="宋体"/>
          <w:color w:val="000000"/>
          <w:sz w:val="24"/>
          <w:u w:val="single"/>
        </w:rPr>
      </w:pPr>
    </w:p>
    <w:p>
      <w:pPr>
        <w:spacing w:line="480" w:lineRule="auto"/>
        <w:ind w:firstLine="2160" w:firstLineChars="900"/>
        <w:rPr>
          <w:rFonts w:ascii="宋体" w:hAnsi="宋体"/>
          <w:color w:val="000000"/>
          <w:sz w:val="24"/>
          <w:u w:val="single"/>
        </w:rPr>
      </w:pPr>
    </w:p>
    <w:p>
      <w:pPr>
        <w:spacing w:line="480" w:lineRule="auto"/>
        <w:ind w:firstLine="480" w:firstLineChars="200"/>
        <w:jc w:val="left"/>
        <w:rPr>
          <w:rFonts w:ascii="宋体" w:hAnsi="宋体"/>
          <w:color w:val="000000"/>
          <w:sz w:val="24"/>
        </w:rPr>
      </w:pPr>
      <w:r>
        <w:rPr>
          <w:rFonts w:hint="eastAsia" w:ascii="宋体" w:hAnsi="宋体"/>
          <w:color w:val="000000"/>
          <w:sz w:val="24"/>
        </w:rPr>
        <w:t>授权人身份证复印件：</w:t>
      </w:r>
    </w:p>
    <w:p>
      <w:pPr>
        <w:spacing w:line="300" w:lineRule="auto"/>
        <w:ind w:firstLine="570"/>
        <w:rPr>
          <w:rFonts w:ascii="宋体" w:hAnsi="宋体"/>
          <w:color w:val="000000"/>
          <w:sz w:val="24"/>
        </w:rPr>
      </w:pPr>
      <w:r>
        <w:rPr>
          <w:rFonts w:ascii="宋体" w:hAnsi="宋体"/>
          <w:color w:val="000000"/>
          <w:sz w:val="24"/>
        </w:rPr>
        <w:pict>
          <v:shape id="Text Box 4" o:spid="_x0000_s1028" o:spt="202" type="#_x0000_t202" style="position:absolute;left:0pt;margin-left:31.1pt;margin-top:13.05pt;height:111pt;width:201pt;z-index:251658240;mso-width-relative:page;mso-height-relative:page;" coordsize="21600,21600">
            <v:path/>
            <v:fill focussize="0,0"/>
            <v:stroke joinstyle="miter"/>
            <v:imagedata o:title=""/>
            <o:lock v:ext="edit"/>
            <v:textbox>
              <w:txbxContent>
                <w:p>
                  <w:pPr>
                    <w:jc w:val="center"/>
                    <w:rPr>
                      <w:sz w:val="32"/>
                      <w:szCs w:val="32"/>
                    </w:rPr>
                  </w:pPr>
                </w:p>
                <w:p>
                  <w:pPr>
                    <w:jc w:val="center"/>
                    <w:rPr>
                      <w:sz w:val="32"/>
                      <w:szCs w:val="32"/>
                    </w:rPr>
                  </w:pPr>
                  <w:r>
                    <w:rPr>
                      <w:rFonts w:hint="eastAsia"/>
                      <w:sz w:val="32"/>
                      <w:szCs w:val="32"/>
                    </w:rPr>
                    <w:t>正面</w:t>
                  </w:r>
                </w:p>
              </w:txbxContent>
            </v:textbox>
          </v:shape>
        </w:pict>
      </w:r>
      <w:r>
        <w:rPr>
          <w:rFonts w:ascii="宋体" w:hAnsi="宋体"/>
          <w:color w:val="000000"/>
          <w:sz w:val="24"/>
        </w:rPr>
        <w:pict>
          <v:shape id="Text Box 5" o:spid="_x0000_s1029" o:spt="202" type="#_x0000_t202" style="position:absolute;left:0pt;margin-left:261.35pt;margin-top:13.05pt;height:111pt;width:191.25pt;z-index:251659264;mso-width-relative:page;mso-height-relative:page;" coordsize="21600,21600">
            <v:path/>
            <v:fill focussize="0,0"/>
            <v:stroke joinstyle="miter"/>
            <v:imagedata o:title=""/>
            <o:lock v:ext="edit"/>
            <v:textbox>
              <w:txbxContent>
                <w:p>
                  <w:pPr>
                    <w:jc w:val="center"/>
                    <w:rPr>
                      <w:sz w:val="32"/>
                      <w:szCs w:val="32"/>
                    </w:rPr>
                  </w:pPr>
                </w:p>
                <w:p>
                  <w:pPr>
                    <w:jc w:val="center"/>
                    <w:rPr>
                      <w:sz w:val="32"/>
                      <w:szCs w:val="32"/>
                    </w:rPr>
                  </w:pPr>
                  <w:r>
                    <w:rPr>
                      <w:rFonts w:hint="eastAsia"/>
                      <w:sz w:val="32"/>
                      <w:szCs w:val="32"/>
                    </w:rPr>
                    <w:t>背面</w:t>
                  </w:r>
                </w:p>
                <w:p/>
              </w:txbxContent>
            </v:textbox>
          </v:shape>
        </w:pict>
      </w:r>
    </w:p>
    <w:p>
      <w:pPr>
        <w:spacing w:line="300" w:lineRule="auto"/>
        <w:ind w:firstLine="3360" w:firstLineChars="1400"/>
        <w:rPr>
          <w:rFonts w:ascii="宋体" w:hAnsi="宋体"/>
          <w:color w:val="000000"/>
          <w:sz w:val="24"/>
        </w:rPr>
      </w:pPr>
    </w:p>
    <w:p>
      <w:pPr>
        <w:spacing w:line="300" w:lineRule="auto"/>
        <w:rPr>
          <w:rFonts w:ascii="宋体" w:hAnsi="宋体"/>
          <w:color w:val="000000"/>
          <w:sz w:val="24"/>
        </w:rPr>
      </w:pPr>
    </w:p>
    <w:p>
      <w:pPr>
        <w:spacing w:line="300" w:lineRule="auto"/>
        <w:rPr>
          <w:rFonts w:ascii="宋体" w:hAnsi="宋体"/>
          <w:color w:val="000000"/>
          <w:sz w:val="24"/>
        </w:rPr>
      </w:pPr>
    </w:p>
    <w:p>
      <w:pPr>
        <w:spacing w:line="300" w:lineRule="auto"/>
        <w:rPr>
          <w:rFonts w:ascii="宋体" w:hAnsi="宋体"/>
          <w:color w:val="000000"/>
          <w:sz w:val="24"/>
        </w:rPr>
      </w:pPr>
    </w:p>
    <w:p>
      <w:pPr>
        <w:spacing w:line="300" w:lineRule="auto"/>
        <w:rPr>
          <w:rFonts w:ascii="宋体" w:hAnsi="宋体"/>
          <w:color w:val="000000"/>
          <w:sz w:val="24"/>
        </w:rPr>
      </w:pPr>
    </w:p>
    <w:p>
      <w:pPr>
        <w:spacing w:line="300" w:lineRule="auto"/>
        <w:rPr>
          <w:rFonts w:ascii="宋体" w:hAnsi="宋体"/>
          <w:color w:val="000000"/>
          <w:sz w:val="24"/>
        </w:rPr>
      </w:pPr>
    </w:p>
    <w:p>
      <w:pPr>
        <w:rPr>
          <w:rFonts w:ascii="宋体" w:hAnsi="宋体"/>
          <w:b/>
          <w:color w:val="000000"/>
          <w:sz w:val="24"/>
        </w:rPr>
      </w:pPr>
    </w:p>
    <w:p>
      <w:pPr>
        <w:pStyle w:val="3"/>
        <w:jc w:val="left"/>
        <w:rPr>
          <w:rFonts w:ascii="宋体" w:hAnsi="宋体"/>
          <w:bCs w:val="0"/>
          <w:color w:val="000000"/>
          <w:sz w:val="24"/>
          <w:szCs w:val="24"/>
        </w:rPr>
      </w:pPr>
      <w:bookmarkStart w:id="301" w:name="_Toc447207037"/>
      <w:bookmarkStart w:id="302" w:name="_Toc447749863"/>
      <w:bookmarkStart w:id="303" w:name="_Toc453596893"/>
      <w:r>
        <w:rPr>
          <w:rFonts w:hint="eastAsia" w:ascii="宋体" w:hAnsi="宋体"/>
          <w:bCs w:val="0"/>
          <w:color w:val="000000"/>
          <w:sz w:val="24"/>
          <w:szCs w:val="24"/>
        </w:rPr>
        <w:t>附件4： 法定代表人资格证明</w:t>
      </w:r>
      <w:bookmarkEnd w:id="301"/>
      <w:bookmarkEnd w:id="302"/>
      <w:bookmarkEnd w:id="303"/>
    </w:p>
    <w:p/>
    <w:p>
      <w:pPr>
        <w:pStyle w:val="3"/>
        <w:spacing w:before="0" w:after="0"/>
        <w:rPr>
          <w:rFonts w:ascii="宋体" w:hAnsi="宋体"/>
          <w:color w:val="000000"/>
          <w:sz w:val="36"/>
          <w:szCs w:val="36"/>
        </w:rPr>
      </w:pPr>
      <w:r>
        <w:rPr>
          <w:rFonts w:hint="eastAsia" w:ascii="宋体" w:hAnsi="宋体"/>
          <w:color w:val="000000"/>
          <w:sz w:val="36"/>
          <w:szCs w:val="36"/>
        </w:rPr>
        <w:t>法定代表人资格证明</w:t>
      </w:r>
    </w:p>
    <w:p>
      <w:pPr>
        <w:jc w:val="center"/>
        <w:rPr>
          <w:b/>
          <w:sz w:val="28"/>
        </w:rPr>
      </w:pPr>
    </w:p>
    <w:p>
      <w:pPr>
        <w:spacing w:line="360" w:lineRule="auto"/>
        <w:rPr>
          <w:color w:val="000000"/>
          <w:sz w:val="24"/>
        </w:rPr>
      </w:pPr>
      <w:r>
        <w:rPr>
          <w:rFonts w:hint="eastAsia"/>
          <w:color w:val="000000"/>
          <w:sz w:val="24"/>
        </w:rPr>
        <w:t>致：</w:t>
      </w:r>
    </w:p>
    <w:p>
      <w:pPr>
        <w:spacing w:line="360" w:lineRule="auto"/>
        <w:ind w:firstLine="480" w:firstLineChars="200"/>
        <w:rPr>
          <w:color w:val="000000"/>
          <w:sz w:val="24"/>
        </w:rPr>
      </w:pPr>
      <w:r>
        <w:rPr>
          <w:rFonts w:hint="eastAsia"/>
          <w:color w:val="000000"/>
          <w:sz w:val="24"/>
        </w:rPr>
        <w:t>姓名：</w:t>
      </w:r>
      <w:r>
        <w:rPr>
          <w:color w:val="000000"/>
          <w:sz w:val="24"/>
          <w:u w:val="single"/>
        </w:rPr>
        <w:t xml:space="preserve">             </w:t>
      </w:r>
      <w:r>
        <w:rPr>
          <w:rFonts w:hint="eastAsia"/>
          <w:color w:val="000000"/>
          <w:sz w:val="24"/>
        </w:rPr>
        <w:t>，性别：</w:t>
      </w:r>
      <w:r>
        <w:rPr>
          <w:color w:val="000000"/>
          <w:sz w:val="24"/>
          <w:u w:val="single"/>
        </w:rPr>
        <w:t xml:space="preserve">       </w:t>
      </w:r>
      <w:r>
        <w:rPr>
          <w:rFonts w:hint="eastAsia"/>
          <w:color w:val="000000"/>
          <w:sz w:val="24"/>
        </w:rPr>
        <w:t>，年龄：</w:t>
      </w:r>
      <w:r>
        <w:rPr>
          <w:color w:val="000000"/>
          <w:sz w:val="24"/>
          <w:u w:val="single"/>
        </w:rPr>
        <w:t xml:space="preserve">        </w:t>
      </w:r>
      <w:r>
        <w:rPr>
          <w:rFonts w:hint="eastAsia"/>
          <w:color w:val="000000"/>
          <w:sz w:val="24"/>
        </w:rPr>
        <w:t>，职务：</w:t>
      </w:r>
      <w:r>
        <w:rPr>
          <w:color w:val="000000"/>
          <w:sz w:val="24"/>
          <w:u w:val="single"/>
        </w:rPr>
        <w:t xml:space="preserve">            </w:t>
      </w:r>
      <w:r>
        <w:rPr>
          <w:rFonts w:hint="eastAsia"/>
          <w:color w:val="000000"/>
          <w:sz w:val="24"/>
        </w:rPr>
        <w:t>，身份证号码：</w:t>
      </w:r>
      <w:r>
        <w:rPr>
          <w:color w:val="000000"/>
          <w:sz w:val="24"/>
          <w:u w:val="single"/>
        </w:rPr>
        <w:t xml:space="preserve">                  </w:t>
      </w:r>
      <w:r>
        <w:rPr>
          <w:rFonts w:hint="eastAsia"/>
          <w:color w:val="000000"/>
          <w:sz w:val="24"/>
        </w:rPr>
        <w:t>，系</w:t>
      </w:r>
      <w:r>
        <w:rPr>
          <w:color w:val="000000"/>
          <w:sz w:val="24"/>
          <w:u w:val="single"/>
        </w:rPr>
        <w:t xml:space="preserve">       </w:t>
      </w:r>
      <w:r>
        <w:rPr>
          <w:rFonts w:hint="eastAsia"/>
          <w:color w:val="000000"/>
          <w:sz w:val="24"/>
          <w:u w:val="single"/>
        </w:rPr>
        <w:t>（供应商名称）</w:t>
      </w:r>
      <w:r>
        <w:rPr>
          <w:color w:val="000000"/>
          <w:sz w:val="24"/>
          <w:u w:val="single"/>
        </w:rPr>
        <w:t xml:space="preserve">      </w:t>
      </w:r>
      <w:r>
        <w:rPr>
          <w:rFonts w:hint="eastAsia"/>
          <w:color w:val="000000"/>
          <w:sz w:val="24"/>
        </w:rPr>
        <w:t>的法定代表人</w:t>
      </w:r>
      <w:r>
        <w:rPr>
          <w:color w:val="000000"/>
          <w:sz w:val="24"/>
        </w:rPr>
        <w:t>/</w:t>
      </w:r>
      <w:r>
        <w:rPr>
          <w:rFonts w:hint="eastAsia"/>
          <w:color w:val="000000"/>
          <w:sz w:val="24"/>
        </w:rPr>
        <w:t>负责人。为招标编号为</w:t>
      </w:r>
      <w:r>
        <w:rPr>
          <w:color w:val="000000"/>
          <w:sz w:val="24"/>
          <w:u w:val="single"/>
        </w:rPr>
        <w:t xml:space="preserve">              </w:t>
      </w:r>
      <w:r>
        <w:rPr>
          <w:color w:val="000000"/>
          <w:sz w:val="24"/>
        </w:rPr>
        <w:t xml:space="preserve"> </w:t>
      </w:r>
      <w:r>
        <w:rPr>
          <w:rFonts w:hint="eastAsia"/>
          <w:color w:val="000000"/>
          <w:sz w:val="24"/>
        </w:rPr>
        <w:t>的</w:t>
      </w:r>
      <w:r>
        <w:rPr>
          <w:rFonts w:ascii="宋体"/>
          <w:bCs/>
          <w:color w:val="000000"/>
          <w:sz w:val="24"/>
        </w:rPr>
        <w:t>XXXX</w:t>
      </w:r>
      <w:r>
        <w:rPr>
          <w:rFonts w:hint="eastAsia" w:ascii="宋体"/>
          <w:bCs/>
          <w:color w:val="000000"/>
          <w:sz w:val="24"/>
        </w:rPr>
        <w:t>单位所需</w:t>
      </w:r>
      <w:r>
        <w:rPr>
          <w:rFonts w:ascii="宋体"/>
          <w:bCs/>
          <w:color w:val="000000"/>
          <w:sz w:val="24"/>
        </w:rPr>
        <w:t>XXXX</w:t>
      </w:r>
      <w:r>
        <w:rPr>
          <w:rFonts w:hint="eastAsia" w:ascii="宋体"/>
          <w:bCs/>
          <w:color w:val="000000"/>
          <w:sz w:val="24"/>
        </w:rPr>
        <w:t>项目</w:t>
      </w:r>
      <w:r>
        <w:rPr>
          <w:rFonts w:hint="eastAsia"/>
          <w:color w:val="000000"/>
          <w:sz w:val="24"/>
        </w:rPr>
        <w:t>投标活动签署投标文件、进行合同谈判、签署合同和全权处理与之有关的一切事务。</w:t>
      </w:r>
    </w:p>
    <w:p>
      <w:pPr>
        <w:spacing w:line="360" w:lineRule="auto"/>
        <w:ind w:firstLine="480" w:firstLineChars="200"/>
        <w:rPr>
          <w:color w:val="000000"/>
          <w:sz w:val="24"/>
        </w:rPr>
      </w:pPr>
    </w:p>
    <w:p>
      <w:pPr>
        <w:spacing w:line="360" w:lineRule="auto"/>
        <w:ind w:firstLine="480" w:firstLineChars="200"/>
        <w:rPr>
          <w:color w:val="000000"/>
          <w:sz w:val="24"/>
        </w:rPr>
      </w:pPr>
      <w:r>
        <w:rPr>
          <w:rFonts w:hint="eastAsia"/>
          <w:color w:val="000000"/>
          <w:sz w:val="24"/>
        </w:rPr>
        <w:t>特此证明。</w:t>
      </w:r>
    </w:p>
    <w:p>
      <w:pPr>
        <w:spacing w:line="360" w:lineRule="auto"/>
        <w:ind w:firstLine="480" w:firstLineChars="200"/>
        <w:jc w:val="left"/>
        <w:rPr>
          <w:color w:val="000000"/>
          <w:sz w:val="24"/>
        </w:rPr>
      </w:pPr>
    </w:p>
    <w:p>
      <w:pPr>
        <w:spacing w:line="360" w:lineRule="auto"/>
        <w:ind w:firstLine="480" w:firstLineChars="200"/>
        <w:jc w:val="left"/>
        <w:rPr>
          <w:color w:val="000000"/>
          <w:sz w:val="24"/>
          <w:u w:val="single"/>
        </w:rPr>
      </w:pPr>
      <w:r>
        <w:rPr>
          <w:rFonts w:hint="eastAsia"/>
          <w:color w:val="000000"/>
          <w:sz w:val="24"/>
        </w:rPr>
        <w:t>投标人名称：（公章）</w:t>
      </w:r>
    </w:p>
    <w:p>
      <w:pPr>
        <w:spacing w:line="360" w:lineRule="auto"/>
        <w:ind w:firstLine="480" w:firstLineChars="200"/>
        <w:rPr>
          <w:color w:val="000000"/>
          <w:sz w:val="24"/>
          <w:u w:val="single"/>
        </w:rPr>
      </w:pPr>
      <w:r>
        <w:rPr>
          <w:rFonts w:hint="eastAsia"/>
          <w:color w:val="000000"/>
          <w:sz w:val="24"/>
        </w:rPr>
        <w:t>投标人地址：</w:t>
      </w:r>
      <w:r>
        <w:rPr>
          <w:color w:val="000000"/>
          <w:sz w:val="24"/>
          <w:u w:val="single"/>
        </w:rPr>
        <w:t xml:space="preserve">                                              </w:t>
      </w:r>
    </w:p>
    <w:p>
      <w:pPr>
        <w:spacing w:line="360" w:lineRule="auto"/>
        <w:ind w:firstLine="480" w:firstLineChars="200"/>
        <w:rPr>
          <w:color w:val="000000"/>
          <w:sz w:val="24"/>
          <w:u w:val="single"/>
        </w:rPr>
      </w:pPr>
    </w:p>
    <w:p>
      <w:pPr>
        <w:spacing w:line="360" w:lineRule="auto"/>
        <w:ind w:firstLine="480" w:firstLineChars="200"/>
        <w:rPr>
          <w:color w:val="000000"/>
          <w:sz w:val="24"/>
          <w:u w:val="single"/>
        </w:rPr>
      </w:pPr>
    </w:p>
    <w:p>
      <w:pPr>
        <w:spacing w:line="360" w:lineRule="auto"/>
        <w:ind w:firstLine="480" w:firstLineChars="200"/>
        <w:rPr>
          <w:color w:val="000000"/>
          <w:sz w:val="24"/>
        </w:rPr>
      </w:pPr>
      <w:r>
        <w:rPr>
          <w:color w:val="000000"/>
          <w:sz w:val="24"/>
        </w:rPr>
        <w:t xml:space="preserve">                                       </w:t>
      </w:r>
      <w:r>
        <w:rPr>
          <w:rFonts w:hint="eastAsia"/>
          <w:color w:val="000000"/>
          <w:sz w:val="24"/>
        </w:rPr>
        <w:t>日期：</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rPr>
          <w:color w:val="000000"/>
          <w:sz w:val="24"/>
        </w:rPr>
      </w:pPr>
      <w:r>
        <w:rPr>
          <w:rFonts w:hint="eastAsia"/>
          <w:color w:val="000000"/>
          <w:sz w:val="24"/>
        </w:rPr>
        <w:t>注：本证明书投标人必须提供。此处所述“法定代表人”或“负责人”，须与投标申请人的“营业执照”上的内容一致。</w:t>
      </w: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p>
    <w:p>
      <w:pPr>
        <w:rPr>
          <w:rFonts w:ascii="宋体" w:hAnsi="宋体"/>
          <w:b/>
          <w:color w:val="000000"/>
          <w:sz w:val="24"/>
        </w:rPr>
      </w:pPr>
      <w:r>
        <w:rPr>
          <w:rFonts w:hint="eastAsia" w:ascii="宋体" w:hAnsi="宋体"/>
          <w:b/>
          <w:color w:val="000000"/>
          <w:sz w:val="24"/>
        </w:rPr>
        <w:t>附件5：</w:t>
      </w:r>
      <w:bookmarkStart w:id="304" w:name="_Toc139965363"/>
    </w:p>
    <w:p>
      <w:pPr>
        <w:pStyle w:val="3"/>
        <w:spacing w:before="0" w:after="0"/>
        <w:rPr>
          <w:rFonts w:ascii="宋体" w:hAnsi="宋体"/>
          <w:color w:val="000000"/>
          <w:sz w:val="36"/>
          <w:szCs w:val="36"/>
        </w:rPr>
      </w:pPr>
      <w:bookmarkStart w:id="305" w:name="_Toc453596894"/>
      <w:r>
        <w:rPr>
          <w:rFonts w:hint="eastAsia" w:ascii="宋体" w:hAnsi="宋体"/>
          <w:color w:val="000000"/>
          <w:sz w:val="36"/>
          <w:szCs w:val="36"/>
        </w:rPr>
        <w:t>投标报价表</w:t>
      </w:r>
      <w:bookmarkEnd w:id="304"/>
      <w:bookmarkEnd w:id="305"/>
    </w:p>
    <w:p>
      <w:pPr>
        <w:spacing w:line="360" w:lineRule="auto"/>
        <w:rPr>
          <w:rFonts w:ascii="宋体" w:hAnsi="宋体"/>
          <w:color w:val="000000"/>
          <w:sz w:val="24"/>
        </w:rPr>
      </w:pPr>
    </w:p>
    <w:p>
      <w:pPr>
        <w:spacing w:line="360" w:lineRule="auto"/>
        <w:rPr>
          <w:rFonts w:ascii="宋体" w:hAnsi="宋体" w:cs="宋体"/>
          <w:bCs/>
          <w:color w:val="000000"/>
          <w:sz w:val="24"/>
        </w:rPr>
      </w:pPr>
      <w:r>
        <w:rPr>
          <w:rFonts w:hint="eastAsia" w:ascii="宋体" w:hAnsi="宋体" w:cs="宋体"/>
          <w:color w:val="000000"/>
          <w:sz w:val="24"/>
        </w:rPr>
        <w:t>项目名称：</w:t>
      </w:r>
      <w:r>
        <w:rPr>
          <w:rFonts w:hint="eastAsia" w:ascii="宋体" w:hAnsi="宋体" w:cs="宋体"/>
          <w:bCs/>
          <w:color w:val="000000"/>
          <w:sz w:val="24"/>
        </w:rPr>
        <w:t xml:space="preserve"> </w:t>
      </w:r>
    </w:p>
    <w:p>
      <w:pPr>
        <w:snapToGrid w:val="0"/>
        <w:spacing w:line="300" w:lineRule="auto"/>
        <w:rPr>
          <w:rFonts w:ascii="宋体" w:hAnsi="宋体" w:cs="宋体"/>
          <w:bCs/>
          <w:color w:val="000000"/>
          <w:sz w:val="24"/>
        </w:rPr>
      </w:pPr>
      <w:r>
        <w:rPr>
          <w:rFonts w:hint="eastAsia" w:ascii="宋体" w:hAnsi="宋体" w:cs="宋体"/>
          <w:color w:val="000000"/>
          <w:sz w:val="24"/>
        </w:rPr>
        <w:t>招标文件编号：</w:t>
      </w:r>
      <w:r>
        <w:rPr>
          <w:rFonts w:hint="eastAsia" w:ascii="宋体" w:hAnsi="宋体" w:cs="宋体"/>
          <w:bCs/>
          <w:color w:val="000000"/>
          <w:sz w:val="24"/>
        </w:rPr>
        <w:t xml:space="preserve"> </w:t>
      </w:r>
    </w:p>
    <w:p>
      <w:pPr>
        <w:snapToGrid w:val="0"/>
        <w:spacing w:line="300" w:lineRule="auto"/>
        <w:rPr>
          <w:rFonts w:ascii="宋体" w:hAnsi="宋体" w:cs="宋体"/>
          <w:color w:val="000000"/>
          <w:sz w:val="24"/>
        </w:rPr>
      </w:pPr>
    </w:p>
    <w:tbl>
      <w:tblPr>
        <w:tblStyle w:val="40"/>
        <w:tblW w:w="9426" w:type="dxa"/>
        <w:jc w:val="center"/>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98"/>
        <w:gridCol w:w="864"/>
        <w:gridCol w:w="1312"/>
        <w:gridCol w:w="848"/>
        <w:gridCol w:w="903"/>
        <w:gridCol w:w="1561"/>
        <w:gridCol w:w="1080"/>
        <w:gridCol w:w="1080"/>
        <w:gridCol w:w="1080"/>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8"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分包号</w:t>
            </w:r>
          </w:p>
        </w:tc>
        <w:tc>
          <w:tcPr>
            <w:tcW w:w="864"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品目号</w:t>
            </w:r>
          </w:p>
        </w:tc>
        <w:tc>
          <w:tcPr>
            <w:tcW w:w="1312"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货物名称</w:t>
            </w:r>
          </w:p>
        </w:tc>
        <w:tc>
          <w:tcPr>
            <w:tcW w:w="848"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商标</w:t>
            </w:r>
          </w:p>
        </w:tc>
        <w:tc>
          <w:tcPr>
            <w:tcW w:w="903"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型号规格</w:t>
            </w:r>
          </w:p>
        </w:tc>
        <w:tc>
          <w:tcPr>
            <w:tcW w:w="1561"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生产厂家</w:t>
            </w:r>
          </w:p>
        </w:tc>
        <w:tc>
          <w:tcPr>
            <w:tcW w:w="1080"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数量</w:t>
            </w:r>
          </w:p>
          <w:p>
            <w:pPr>
              <w:spacing w:line="300" w:lineRule="auto"/>
              <w:jc w:val="center"/>
              <w:rPr>
                <w:rFonts w:ascii="宋体" w:hAnsi="宋体" w:cs="宋体"/>
                <w:bCs/>
                <w:color w:val="000000"/>
                <w:sz w:val="24"/>
              </w:rPr>
            </w:pPr>
            <w:r>
              <w:rPr>
                <w:rFonts w:hint="eastAsia" w:ascii="宋体" w:hAnsi="宋体" w:cs="宋体"/>
                <w:bCs/>
                <w:color w:val="000000"/>
                <w:sz w:val="24"/>
              </w:rPr>
              <w:t>（单位）</w:t>
            </w:r>
          </w:p>
        </w:tc>
        <w:tc>
          <w:tcPr>
            <w:tcW w:w="1080"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单价</w:t>
            </w:r>
          </w:p>
          <w:p>
            <w:pPr>
              <w:spacing w:line="300" w:lineRule="auto"/>
              <w:jc w:val="center"/>
              <w:rPr>
                <w:rFonts w:ascii="宋体" w:hAnsi="宋体" w:cs="宋体"/>
                <w:bCs/>
                <w:color w:val="000000"/>
                <w:sz w:val="24"/>
              </w:rPr>
            </w:pPr>
            <w:r>
              <w:rPr>
                <w:rFonts w:hint="eastAsia" w:ascii="宋体" w:hAnsi="宋体" w:cs="宋体"/>
                <w:bCs/>
                <w:color w:val="000000"/>
                <w:sz w:val="24"/>
              </w:rPr>
              <w:t>（万元）</w:t>
            </w:r>
          </w:p>
        </w:tc>
        <w:tc>
          <w:tcPr>
            <w:tcW w:w="1080" w:type="dxa"/>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总价</w:t>
            </w:r>
          </w:p>
          <w:p>
            <w:pPr>
              <w:spacing w:line="300" w:lineRule="auto"/>
              <w:jc w:val="center"/>
              <w:rPr>
                <w:rFonts w:ascii="宋体" w:hAnsi="宋体" w:cs="宋体"/>
                <w:bCs/>
                <w:color w:val="000000"/>
                <w:sz w:val="24"/>
              </w:rPr>
            </w:pPr>
            <w:r>
              <w:rPr>
                <w:rFonts w:hint="eastAsia" w:ascii="宋体" w:hAnsi="宋体" w:cs="宋体"/>
                <w:bCs/>
                <w:color w:val="000000"/>
                <w:sz w:val="24"/>
              </w:rPr>
              <w:t>（万元）</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ascii="宋体" w:hAnsi="宋体" w:cs="宋体"/>
                <w:bCs/>
                <w:color w:val="000000"/>
                <w:sz w:val="24"/>
              </w:rPr>
            </w:pPr>
          </w:p>
        </w:tc>
        <w:tc>
          <w:tcPr>
            <w:tcW w:w="864" w:type="dxa"/>
            <w:vAlign w:val="center"/>
          </w:tcPr>
          <w:p>
            <w:pPr>
              <w:spacing w:line="300" w:lineRule="auto"/>
              <w:jc w:val="center"/>
              <w:rPr>
                <w:rFonts w:ascii="宋体" w:hAnsi="宋体" w:cs="宋体"/>
                <w:bCs/>
                <w:color w:val="000000"/>
                <w:sz w:val="24"/>
              </w:rPr>
            </w:pPr>
          </w:p>
        </w:tc>
        <w:tc>
          <w:tcPr>
            <w:tcW w:w="1312" w:type="dxa"/>
            <w:vAlign w:val="center"/>
          </w:tcPr>
          <w:p>
            <w:pPr>
              <w:spacing w:line="300" w:lineRule="auto"/>
              <w:jc w:val="center"/>
              <w:rPr>
                <w:rFonts w:ascii="宋体" w:hAnsi="宋体" w:cs="宋体"/>
                <w:bCs/>
                <w:color w:val="000000"/>
                <w:sz w:val="24"/>
              </w:rPr>
            </w:pPr>
          </w:p>
        </w:tc>
        <w:tc>
          <w:tcPr>
            <w:tcW w:w="848" w:type="dxa"/>
            <w:vAlign w:val="center"/>
          </w:tcPr>
          <w:p>
            <w:pPr>
              <w:spacing w:line="300" w:lineRule="auto"/>
              <w:jc w:val="center"/>
              <w:rPr>
                <w:rFonts w:ascii="宋体" w:hAnsi="宋体" w:cs="宋体"/>
                <w:bCs/>
                <w:color w:val="000000"/>
                <w:sz w:val="24"/>
              </w:rPr>
            </w:pPr>
          </w:p>
        </w:tc>
        <w:tc>
          <w:tcPr>
            <w:tcW w:w="903" w:type="dxa"/>
            <w:vAlign w:val="center"/>
          </w:tcPr>
          <w:p>
            <w:pPr>
              <w:spacing w:line="300" w:lineRule="auto"/>
              <w:jc w:val="center"/>
              <w:rPr>
                <w:rFonts w:ascii="宋体" w:hAnsi="宋体" w:cs="宋体"/>
                <w:bCs/>
                <w:color w:val="000000"/>
                <w:sz w:val="24"/>
              </w:rPr>
            </w:pPr>
          </w:p>
        </w:tc>
        <w:tc>
          <w:tcPr>
            <w:tcW w:w="1561"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ascii="宋体" w:hAnsi="宋体" w:cs="宋体"/>
                <w:bCs/>
                <w:color w:val="000000"/>
                <w:sz w:val="24"/>
              </w:rPr>
            </w:pPr>
          </w:p>
        </w:tc>
        <w:tc>
          <w:tcPr>
            <w:tcW w:w="864" w:type="dxa"/>
            <w:vAlign w:val="center"/>
          </w:tcPr>
          <w:p>
            <w:pPr>
              <w:spacing w:line="300" w:lineRule="auto"/>
              <w:jc w:val="center"/>
              <w:rPr>
                <w:rFonts w:ascii="宋体" w:hAnsi="宋体" w:cs="宋体"/>
                <w:bCs/>
                <w:color w:val="000000"/>
                <w:sz w:val="24"/>
              </w:rPr>
            </w:pPr>
          </w:p>
        </w:tc>
        <w:tc>
          <w:tcPr>
            <w:tcW w:w="1312" w:type="dxa"/>
            <w:vAlign w:val="center"/>
          </w:tcPr>
          <w:p>
            <w:pPr>
              <w:spacing w:line="300" w:lineRule="auto"/>
              <w:jc w:val="center"/>
              <w:rPr>
                <w:rFonts w:ascii="宋体" w:hAnsi="宋体" w:cs="宋体"/>
                <w:bCs/>
                <w:color w:val="000000"/>
                <w:sz w:val="24"/>
              </w:rPr>
            </w:pPr>
          </w:p>
        </w:tc>
        <w:tc>
          <w:tcPr>
            <w:tcW w:w="848" w:type="dxa"/>
            <w:vAlign w:val="center"/>
          </w:tcPr>
          <w:p>
            <w:pPr>
              <w:spacing w:line="300" w:lineRule="auto"/>
              <w:jc w:val="center"/>
              <w:rPr>
                <w:rFonts w:ascii="宋体" w:hAnsi="宋体" w:cs="宋体"/>
                <w:bCs/>
                <w:color w:val="000000"/>
                <w:sz w:val="24"/>
              </w:rPr>
            </w:pPr>
          </w:p>
        </w:tc>
        <w:tc>
          <w:tcPr>
            <w:tcW w:w="903" w:type="dxa"/>
            <w:vAlign w:val="center"/>
          </w:tcPr>
          <w:p>
            <w:pPr>
              <w:spacing w:line="300" w:lineRule="auto"/>
              <w:jc w:val="center"/>
              <w:rPr>
                <w:rFonts w:ascii="宋体" w:hAnsi="宋体" w:cs="宋体"/>
                <w:bCs/>
                <w:color w:val="000000"/>
                <w:sz w:val="24"/>
              </w:rPr>
            </w:pPr>
          </w:p>
        </w:tc>
        <w:tc>
          <w:tcPr>
            <w:tcW w:w="1561"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46" w:type="dxa"/>
            <w:gridSpan w:val="8"/>
            <w:vAlign w:val="center"/>
          </w:tcPr>
          <w:p>
            <w:pPr>
              <w:spacing w:line="300" w:lineRule="auto"/>
              <w:ind w:firstLine="1440" w:firstLineChars="600"/>
              <w:rPr>
                <w:rFonts w:ascii="宋体" w:hAnsi="宋体" w:cs="宋体"/>
                <w:bCs/>
                <w:color w:val="000000"/>
                <w:sz w:val="24"/>
              </w:rPr>
            </w:pPr>
            <w:r>
              <w:rPr>
                <w:rFonts w:hint="eastAsia" w:ascii="宋体" w:hAnsi="宋体" w:cs="宋体"/>
                <w:bCs/>
                <w:color w:val="000000"/>
                <w:sz w:val="24"/>
              </w:rPr>
              <w:t>合计：（大写）</w:t>
            </w: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ascii="宋体" w:hAnsi="宋体" w:cs="宋体"/>
                <w:bCs/>
                <w:color w:val="000000"/>
                <w:sz w:val="24"/>
              </w:rPr>
            </w:pPr>
          </w:p>
        </w:tc>
        <w:tc>
          <w:tcPr>
            <w:tcW w:w="864" w:type="dxa"/>
            <w:vAlign w:val="center"/>
          </w:tcPr>
          <w:p>
            <w:pPr>
              <w:spacing w:line="300" w:lineRule="auto"/>
              <w:jc w:val="center"/>
              <w:rPr>
                <w:rFonts w:ascii="宋体" w:hAnsi="宋体" w:cs="宋体"/>
                <w:bCs/>
                <w:color w:val="000000"/>
                <w:sz w:val="24"/>
              </w:rPr>
            </w:pPr>
          </w:p>
        </w:tc>
        <w:tc>
          <w:tcPr>
            <w:tcW w:w="1312" w:type="dxa"/>
            <w:vAlign w:val="center"/>
          </w:tcPr>
          <w:p>
            <w:pPr>
              <w:spacing w:line="300" w:lineRule="auto"/>
              <w:jc w:val="center"/>
              <w:rPr>
                <w:rFonts w:ascii="宋体" w:hAnsi="宋体" w:cs="宋体"/>
                <w:bCs/>
                <w:color w:val="000000"/>
                <w:sz w:val="24"/>
              </w:rPr>
            </w:pPr>
          </w:p>
        </w:tc>
        <w:tc>
          <w:tcPr>
            <w:tcW w:w="848" w:type="dxa"/>
            <w:vAlign w:val="center"/>
          </w:tcPr>
          <w:p>
            <w:pPr>
              <w:spacing w:line="300" w:lineRule="auto"/>
              <w:jc w:val="center"/>
              <w:rPr>
                <w:rFonts w:ascii="宋体" w:hAnsi="宋体" w:cs="宋体"/>
                <w:bCs/>
                <w:color w:val="000000"/>
                <w:sz w:val="24"/>
              </w:rPr>
            </w:pPr>
          </w:p>
        </w:tc>
        <w:tc>
          <w:tcPr>
            <w:tcW w:w="903" w:type="dxa"/>
            <w:vAlign w:val="center"/>
          </w:tcPr>
          <w:p>
            <w:pPr>
              <w:spacing w:line="300" w:lineRule="auto"/>
              <w:jc w:val="center"/>
              <w:rPr>
                <w:rFonts w:ascii="宋体" w:hAnsi="宋体" w:cs="宋体"/>
                <w:bCs/>
                <w:color w:val="000000"/>
                <w:sz w:val="24"/>
              </w:rPr>
            </w:pPr>
          </w:p>
        </w:tc>
        <w:tc>
          <w:tcPr>
            <w:tcW w:w="1561"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ascii="宋体" w:hAnsi="宋体" w:cs="宋体"/>
                <w:bCs/>
                <w:color w:val="000000"/>
                <w:sz w:val="24"/>
              </w:rPr>
            </w:pPr>
          </w:p>
        </w:tc>
        <w:tc>
          <w:tcPr>
            <w:tcW w:w="864" w:type="dxa"/>
            <w:vAlign w:val="center"/>
          </w:tcPr>
          <w:p>
            <w:pPr>
              <w:spacing w:line="300" w:lineRule="auto"/>
              <w:jc w:val="center"/>
              <w:rPr>
                <w:rFonts w:ascii="宋体" w:hAnsi="宋体" w:cs="宋体"/>
                <w:bCs/>
                <w:color w:val="000000"/>
                <w:sz w:val="24"/>
              </w:rPr>
            </w:pPr>
          </w:p>
        </w:tc>
        <w:tc>
          <w:tcPr>
            <w:tcW w:w="1312" w:type="dxa"/>
            <w:vAlign w:val="center"/>
          </w:tcPr>
          <w:p>
            <w:pPr>
              <w:spacing w:line="300" w:lineRule="auto"/>
              <w:jc w:val="center"/>
              <w:rPr>
                <w:rFonts w:ascii="宋体" w:hAnsi="宋体" w:cs="宋体"/>
                <w:bCs/>
                <w:color w:val="000000"/>
                <w:sz w:val="24"/>
              </w:rPr>
            </w:pPr>
          </w:p>
        </w:tc>
        <w:tc>
          <w:tcPr>
            <w:tcW w:w="848" w:type="dxa"/>
            <w:vAlign w:val="center"/>
          </w:tcPr>
          <w:p>
            <w:pPr>
              <w:spacing w:line="300" w:lineRule="auto"/>
              <w:jc w:val="center"/>
              <w:rPr>
                <w:rFonts w:ascii="宋体" w:hAnsi="宋体" w:cs="宋体"/>
                <w:bCs/>
                <w:color w:val="000000"/>
                <w:sz w:val="24"/>
              </w:rPr>
            </w:pPr>
          </w:p>
        </w:tc>
        <w:tc>
          <w:tcPr>
            <w:tcW w:w="903" w:type="dxa"/>
            <w:vAlign w:val="center"/>
          </w:tcPr>
          <w:p>
            <w:pPr>
              <w:spacing w:line="300" w:lineRule="auto"/>
              <w:jc w:val="center"/>
              <w:rPr>
                <w:rFonts w:ascii="宋体" w:hAnsi="宋体" w:cs="宋体"/>
                <w:bCs/>
                <w:color w:val="000000"/>
                <w:sz w:val="24"/>
              </w:rPr>
            </w:pPr>
          </w:p>
        </w:tc>
        <w:tc>
          <w:tcPr>
            <w:tcW w:w="1561"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46" w:type="dxa"/>
            <w:gridSpan w:val="8"/>
            <w:vAlign w:val="center"/>
          </w:tcPr>
          <w:p>
            <w:pPr>
              <w:spacing w:line="300" w:lineRule="auto"/>
              <w:ind w:firstLine="1440" w:firstLineChars="600"/>
              <w:rPr>
                <w:rFonts w:ascii="宋体" w:hAnsi="宋体" w:cs="宋体"/>
                <w:bCs/>
                <w:color w:val="000000"/>
                <w:sz w:val="24"/>
              </w:rPr>
            </w:pPr>
            <w:r>
              <w:rPr>
                <w:rFonts w:hint="eastAsia" w:ascii="宋体" w:hAnsi="宋体" w:cs="宋体"/>
                <w:bCs/>
                <w:color w:val="000000"/>
                <w:sz w:val="24"/>
              </w:rPr>
              <w:t>合计：（大写）</w:t>
            </w: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ascii="宋体" w:hAnsi="宋体" w:cs="宋体"/>
                <w:bCs/>
                <w:color w:val="000000"/>
                <w:sz w:val="24"/>
              </w:rPr>
            </w:pPr>
          </w:p>
        </w:tc>
        <w:tc>
          <w:tcPr>
            <w:tcW w:w="864" w:type="dxa"/>
            <w:vAlign w:val="center"/>
          </w:tcPr>
          <w:p>
            <w:pPr>
              <w:spacing w:line="300" w:lineRule="auto"/>
              <w:jc w:val="center"/>
              <w:rPr>
                <w:rFonts w:ascii="宋体" w:hAnsi="宋体" w:cs="宋体"/>
                <w:bCs/>
                <w:color w:val="000000"/>
                <w:sz w:val="24"/>
              </w:rPr>
            </w:pPr>
          </w:p>
        </w:tc>
        <w:tc>
          <w:tcPr>
            <w:tcW w:w="1312" w:type="dxa"/>
            <w:vAlign w:val="center"/>
          </w:tcPr>
          <w:p>
            <w:pPr>
              <w:spacing w:line="300" w:lineRule="auto"/>
              <w:jc w:val="center"/>
              <w:rPr>
                <w:rFonts w:ascii="宋体" w:hAnsi="宋体" w:cs="宋体"/>
                <w:bCs/>
                <w:color w:val="000000"/>
                <w:sz w:val="24"/>
              </w:rPr>
            </w:pPr>
          </w:p>
        </w:tc>
        <w:tc>
          <w:tcPr>
            <w:tcW w:w="848" w:type="dxa"/>
            <w:vAlign w:val="center"/>
          </w:tcPr>
          <w:p>
            <w:pPr>
              <w:spacing w:line="300" w:lineRule="auto"/>
              <w:jc w:val="center"/>
              <w:rPr>
                <w:rFonts w:ascii="宋体" w:hAnsi="宋体" w:cs="宋体"/>
                <w:bCs/>
                <w:color w:val="000000"/>
                <w:sz w:val="24"/>
              </w:rPr>
            </w:pPr>
          </w:p>
        </w:tc>
        <w:tc>
          <w:tcPr>
            <w:tcW w:w="903" w:type="dxa"/>
            <w:vAlign w:val="center"/>
          </w:tcPr>
          <w:p>
            <w:pPr>
              <w:spacing w:line="300" w:lineRule="auto"/>
              <w:jc w:val="center"/>
              <w:rPr>
                <w:rFonts w:ascii="宋体" w:hAnsi="宋体" w:cs="宋体"/>
                <w:bCs/>
                <w:color w:val="000000"/>
                <w:sz w:val="24"/>
              </w:rPr>
            </w:pPr>
          </w:p>
        </w:tc>
        <w:tc>
          <w:tcPr>
            <w:tcW w:w="1561"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698" w:type="dxa"/>
            <w:vAlign w:val="center"/>
          </w:tcPr>
          <w:p>
            <w:pPr>
              <w:spacing w:line="300" w:lineRule="auto"/>
              <w:jc w:val="center"/>
              <w:rPr>
                <w:rFonts w:ascii="宋体" w:hAnsi="宋体" w:cs="宋体"/>
                <w:bCs/>
                <w:color w:val="000000"/>
                <w:sz w:val="24"/>
              </w:rPr>
            </w:pPr>
          </w:p>
        </w:tc>
        <w:tc>
          <w:tcPr>
            <w:tcW w:w="864" w:type="dxa"/>
            <w:vAlign w:val="center"/>
          </w:tcPr>
          <w:p>
            <w:pPr>
              <w:spacing w:line="300" w:lineRule="auto"/>
              <w:jc w:val="center"/>
              <w:rPr>
                <w:rFonts w:ascii="宋体" w:hAnsi="宋体" w:cs="宋体"/>
                <w:bCs/>
                <w:color w:val="000000"/>
                <w:sz w:val="24"/>
              </w:rPr>
            </w:pPr>
          </w:p>
        </w:tc>
        <w:tc>
          <w:tcPr>
            <w:tcW w:w="1312" w:type="dxa"/>
            <w:vAlign w:val="center"/>
          </w:tcPr>
          <w:p>
            <w:pPr>
              <w:spacing w:line="300" w:lineRule="auto"/>
              <w:jc w:val="center"/>
              <w:rPr>
                <w:rFonts w:ascii="宋体" w:hAnsi="宋体" w:cs="宋体"/>
                <w:bCs/>
                <w:color w:val="000000"/>
                <w:sz w:val="24"/>
              </w:rPr>
            </w:pPr>
          </w:p>
        </w:tc>
        <w:tc>
          <w:tcPr>
            <w:tcW w:w="848" w:type="dxa"/>
            <w:vAlign w:val="center"/>
          </w:tcPr>
          <w:p>
            <w:pPr>
              <w:spacing w:line="300" w:lineRule="auto"/>
              <w:jc w:val="center"/>
              <w:rPr>
                <w:rFonts w:ascii="宋体" w:hAnsi="宋体" w:cs="宋体"/>
                <w:bCs/>
                <w:color w:val="000000"/>
                <w:sz w:val="24"/>
              </w:rPr>
            </w:pPr>
          </w:p>
        </w:tc>
        <w:tc>
          <w:tcPr>
            <w:tcW w:w="903" w:type="dxa"/>
            <w:vAlign w:val="center"/>
          </w:tcPr>
          <w:p>
            <w:pPr>
              <w:spacing w:line="300" w:lineRule="auto"/>
              <w:jc w:val="center"/>
              <w:rPr>
                <w:rFonts w:ascii="宋体" w:hAnsi="宋体" w:cs="宋体"/>
                <w:bCs/>
                <w:color w:val="000000"/>
                <w:sz w:val="24"/>
              </w:rPr>
            </w:pPr>
          </w:p>
        </w:tc>
        <w:tc>
          <w:tcPr>
            <w:tcW w:w="1561"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346" w:type="dxa"/>
            <w:gridSpan w:val="8"/>
            <w:vAlign w:val="center"/>
          </w:tcPr>
          <w:p>
            <w:pPr>
              <w:spacing w:line="300" w:lineRule="auto"/>
              <w:ind w:firstLine="1440" w:firstLineChars="600"/>
              <w:rPr>
                <w:rFonts w:ascii="宋体" w:hAnsi="宋体" w:cs="宋体"/>
                <w:bCs/>
                <w:color w:val="000000"/>
                <w:sz w:val="24"/>
              </w:rPr>
            </w:pPr>
            <w:r>
              <w:rPr>
                <w:rFonts w:hint="eastAsia" w:ascii="宋体" w:hAnsi="宋体" w:cs="宋体"/>
                <w:bCs/>
                <w:color w:val="000000"/>
                <w:sz w:val="24"/>
              </w:rPr>
              <w:t>合计：（大写）</w:t>
            </w:r>
          </w:p>
        </w:tc>
        <w:tc>
          <w:tcPr>
            <w:tcW w:w="1080" w:type="dxa"/>
            <w:vAlign w:val="center"/>
          </w:tcPr>
          <w:p>
            <w:pPr>
              <w:spacing w:line="300" w:lineRule="auto"/>
              <w:jc w:val="center"/>
              <w:rPr>
                <w:rFonts w:ascii="宋体" w:hAnsi="宋体" w:cs="宋体"/>
                <w:bCs/>
                <w:color w:val="000000"/>
                <w:sz w:val="24"/>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426" w:type="dxa"/>
            <w:gridSpan w:val="9"/>
            <w:vAlign w:val="center"/>
          </w:tcPr>
          <w:p>
            <w:pPr>
              <w:spacing w:line="300" w:lineRule="auto"/>
              <w:jc w:val="center"/>
              <w:rPr>
                <w:rFonts w:ascii="宋体" w:hAnsi="宋体" w:cs="宋体"/>
                <w:bCs/>
                <w:color w:val="000000"/>
                <w:sz w:val="24"/>
              </w:rPr>
            </w:pPr>
            <w:r>
              <w:rPr>
                <w:rFonts w:hint="eastAsia" w:ascii="宋体" w:hAnsi="宋体" w:cs="宋体"/>
                <w:bCs/>
                <w:color w:val="000000"/>
                <w:sz w:val="24"/>
              </w:rPr>
              <w:t>……</w:t>
            </w:r>
          </w:p>
        </w:tc>
      </w:tr>
    </w:tbl>
    <w:p>
      <w:pPr>
        <w:spacing w:line="300" w:lineRule="auto"/>
        <w:rPr>
          <w:rFonts w:ascii="宋体" w:hAnsi="宋体" w:cs="宋体"/>
          <w:bCs/>
          <w:color w:val="000000"/>
          <w:sz w:val="24"/>
        </w:rPr>
      </w:pPr>
    </w:p>
    <w:p>
      <w:pPr>
        <w:spacing w:line="300" w:lineRule="auto"/>
        <w:rPr>
          <w:rFonts w:ascii="宋体" w:hAnsi="宋体" w:cs="宋体"/>
          <w:bCs/>
          <w:color w:val="000000"/>
          <w:sz w:val="24"/>
        </w:rPr>
      </w:pPr>
      <w:r>
        <w:rPr>
          <w:rFonts w:hint="eastAsia" w:ascii="宋体" w:hAnsi="宋体" w:cs="宋体"/>
          <w:bCs/>
          <w:color w:val="000000"/>
          <w:sz w:val="24"/>
        </w:rPr>
        <w:t>注：1、为方便唱标，请将所投货物的商标、生产厂家为非中文名称的译为中文名称。</w:t>
      </w:r>
    </w:p>
    <w:p>
      <w:pPr>
        <w:numPr>
          <w:ilvl w:val="0"/>
          <w:numId w:val="7"/>
        </w:numPr>
        <w:spacing w:line="300" w:lineRule="auto"/>
        <w:ind w:firstLine="480" w:firstLineChars="200"/>
        <w:rPr>
          <w:rFonts w:ascii="宋体" w:hAnsi="宋体" w:cs="宋体"/>
          <w:color w:val="000000"/>
          <w:sz w:val="24"/>
        </w:rPr>
      </w:pPr>
      <w:r>
        <w:rPr>
          <w:rFonts w:hint="eastAsia" w:ascii="宋体" w:hAnsi="宋体" w:cs="宋体"/>
          <w:color w:val="000000"/>
          <w:sz w:val="24"/>
        </w:rPr>
        <w:t>此次投标报价（须标明每各品目报价及合计报价，否则视为无效投标）。</w:t>
      </w:r>
    </w:p>
    <w:p>
      <w:pPr>
        <w:spacing w:line="300" w:lineRule="auto"/>
        <w:rPr>
          <w:rFonts w:ascii="宋体" w:hAnsi="宋体" w:cs="宋体"/>
          <w:bCs/>
          <w:color w:val="000000"/>
          <w:sz w:val="24"/>
        </w:rPr>
      </w:pPr>
      <w:r>
        <w:rPr>
          <w:rFonts w:hint="eastAsia" w:ascii="宋体" w:hAnsi="宋体" w:cs="宋体"/>
          <w:bCs/>
          <w:color w:val="000000"/>
          <w:sz w:val="24"/>
        </w:rPr>
        <w:t xml:space="preserve">    3、报价部分，此次投标报价须标明各品目单价报价、各品目合计报价及本次招标采购货物总价，否则视为无效投标。</w:t>
      </w:r>
    </w:p>
    <w:p>
      <w:pPr>
        <w:spacing w:line="300" w:lineRule="auto"/>
        <w:rPr>
          <w:rFonts w:ascii="宋体" w:hAnsi="宋体" w:cs="宋体"/>
          <w:bCs/>
          <w:color w:val="000000"/>
          <w:sz w:val="24"/>
        </w:rPr>
      </w:pPr>
      <w:r>
        <w:rPr>
          <w:rFonts w:hint="eastAsia" w:ascii="宋体" w:hAnsi="宋体" w:cs="宋体"/>
          <w:bCs/>
          <w:color w:val="000000"/>
          <w:sz w:val="24"/>
        </w:rPr>
        <w:t>投标人名称（盖章）：</w:t>
      </w:r>
      <w:r>
        <w:rPr>
          <w:rFonts w:hint="eastAsia" w:ascii="宋体" w:hAnsi="宋体" w:cs="宋体"/>
          <w:bCs/>
          <w:color w:val="000000"/>
          <w:sz w:val="24"/>
          <w:u w:val="single"/>
        </w:rPr>
        <w:t xml:space="preserve">                                      </w:t>
      </w:r>
    </w:p>
    <w:p>
      <w:pPr>
        <w:spacing w:line="300" w:lineRule="auto"/>
        <w:rPr>
          <w:rFonts w:ascii="宋体" w:hAnsi="宋体" w:cs="宋体"/>
          <w:bCs/>
          <w:color w:val="000000"/>
          <w:sz w:val="24"/>
        </w:rPr>
      </w:pPr>
    </w:p>
    <w:p>
      <w:pPr>
        <w:spacing w:line="300" w:lineRule="auto"/>
        <w:rPr>
          <w:rFonts w:ascii="宋体" w:hAnsi="宋体" w:cs="宋体"/>
          <w:bCs/>
          <w:color w:val="000000"/>
          <w:sz w:val="24"/>
          <w:u w:val="single"/>
        </w:rPr>
      </w:pPr>
      <w:r>
        <w:rPr>
          <w:rFonts w:hint="eastAsia" w:ascii="宋体" w:hAnsi="宋体" w:cs="宋体"/>
          <w:bCs/>
          <w:color w:val="000000"/>
          <w:sz w:val="24"/>
        </w:rPr>
        <w:t>法定代表人或授权代表人（签字</w:t>
      </w:r>
      <w:r>
        <w:rPr>
          <w:rFonts w:hint="eastAsia" w:ascii="宋体" w:hAnsi="宋体" w:cs="宋体"/>
          <w:color w:val="000000"/>
          <w:sz w:val="24"/>
        </w:rPr>
        <w:t>或印章</w:t>
      </w:r>
      <w:r>
        <w:rPr>
          <w:rFonts w:hint="eastAsia" w:ascii="宋体" w:hAnsi="宋体" w:cs="宋体"/>
          <w:bCs/>
          <w:color w:val="000000"/>
          <w:sz w:val="24"/>
        </w:rPr>
        <w:t>）：</w:t>
      </w:r>
      <w:r>
        <w:rPr>
          <w:rFonts w:hint="eastAsia" w:ascii="宋体" w:hAnsi="宋体" w:cs="宋体"/>
          <w:bCs/>
          <w:color w:val="000000"/>
          <w:sz w:val="24"/>
          <w:u w:val="single"/>
        </w:rPr>
        <w:t xml:space="preserve">                                 </w:t>
      </w:r>
    </w:p>
    <w:p>
      <w:pPr>
        <w:spacing w:line="300" w:lineRule="auto"/>
        <w:rPr>
          <w:rFonts w:ascii="宋体" w:hAnsi="宋体" w:cs="宋体"/>
          <w:bCs/>
          <w:color w:val="000000"/>
          <w:sz w:val="24"/>
          <w:u w:val="single"/>
        </w:rPr>
      </w:pPr>
    </w:p>
    <w:p>
      <w:pPr>
        <w:spacing w:line="300" w:lineRule="auto"/>
        <w:ind w:right="600" w:firstLine="6000" w:firstLineChars="2500"/>
        <w:rPr>
          <w:rFonts w:ascii="宋体" w:hAnsi="宋体"/>
          <w:b/>
          <w:color w:val="000000"/>
          <w:sz w:val="24"/>
        </w:rPr>
      </w:pP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w:t>
      </w:r>
    </w:p>
    <w:p>
      <w:pPr>
        <w:rPr>
          <w:rFonts w:ascii="宋体" w:hAnsi="宋体"/>
          <w:b/>
          <w:color w:val="000000"/>
          <w:sz w:val="24"/>
        </w:rPr>
      </w:pPr>
      <w:r>
        <w:rPr>
          <w:rFonts w:ascii="宋体" w:hAnsi="宋体"/>
          <w:b/>
          <w:color w:val="000000"/>
        </w:rPr>
        <w:br w:type="page"/>
      </w:r>
      <w:r>
        <w:rPr>
          <w:rFonts w:hint="eastAsia" w:ascii="宋体" w:hAnsi="宋体"/>
          <w:b/>
          <w:color w:val="000000"/>
          <w:sz w:val="24"/>
        </w:rPr>
        <w:t>附件6：</w:t>
      </w:r>
      <w:bookmarkStart w:id="306" w:name="_Toc139965364"/>
    </w:p>
    <w:p>
      <w:pPr>
        <w:pStyle w:val="3"/>
        <w:spacing w:before="0" w:after="0"/>
        <w:rPr>
          <w:rFonts w:ascii="宋体" w:hAnsi="宋体"/>
          <w:color w:val="000000"/>
          <w:sz w:val="36"/>
          <w:szCs w:val="36"/>
        </w:rPr>
      </w:pPr>
      <w:bookmarkStart w:id="307" w:name="_Toc453596895"/>
      <w:r>
        <w:rPr>
          <w:rFonts w:hint="eastAsia" w:ascii="宋体" w:hAnsi="宋体"/>
          <w:color w:val="000000"/>
          <w:sz w:val="36"/>
          <w:szCs w:val="36"/>
        </w:rPr>
        <w:t>投标货物偏离表</w:t>
      </w:r>
      <w:bookmarkEnd w:id="306"/>
      <w:bookmarkEnd w:id="307"/>
    </w:p>
    <w:p>
      <w:pPr>
        <w:spacing w:line="300" w:lineRule="auto"/>
        <w:ind w:firstLine="120"/>
        <w:jc w:val="center"/>
        <w:rPr>
          <w:rFonts w:ascii="宋体" w:hAnsi="宋体"/>
          <w:b/>
          <w:bCs/>
          <w:color w:val="000000"/>
          <w:sz w:val="32"/>
          <w:szCs w:val="32"/>
        </w:rPr>
      </w:pPr>
    </w:p>
    <w:tbl>
      <w:tblPr>
        <w:tblStyle w:val="40"/>
        <w:tblW w:w="9360" w:type="dxa"/>
        <w:tblInd w:w="-165" w:type="dxa"/>
        <w:tblLayout w:type="fixed"/>
        <w:tblCellMar>
          <w:top w:w="0" w:type="dxa"/>
          <w:left w:w="0" w:type="dxa"/>
          <w:bottom w:w="0" w:type="dxa"/>
          <w:right w:w="0" w:type="dxa"/>
        </w:tblCellMar>
      </w:tblPr>
      <w:tblGrid>
        <w:gridCol w:w="1080"/>
        <w:gridCol w:w="1080"/>
        <w:gridCol w:w="1440"/>
        <w:gridCol w:w="1620"/>
        <w:gridCol w:w="2160"/>
        <w:gridCol w:w="1980"/>
      </w:tblGrid>
      <w:tr>
        <w:tblPrEx>
          <w:tblLayout w:type="fixed"/>
          <w:tblCellMar>
            <w:top w:w="0" w:type="dxa"/>
            <w:left w:w="0" w:type="dxa"/>
            <w:bottom w:w="0" w:type="dxa"/>
            <w:right w:w="0" w:type="dxa"/>
          </w:tblCellMar>
        </w:tblPrEx>
        <w:trPr>
          <w:cantSplit/>
          <w:trHeight w:val="402" w:hRule="atLeast"/>
        </w:trPr>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分包号</w:t>
            </w:r>
          </w:p>
        </w:tc>
        <w:tc>
          <w:tcPr>
            <w:tcW w:w="108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品目号</w:t>
            </w:r>
          </w:p>
        </w:tc>
        <w:tc>
          <w:tcPr>
            <w:tcW w:w="144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货物名称</w:t>
            </w:r>
          </w:p>
        </w:tc>
        <w:tc>
          <w:tcPr>
            <w:tcW w:w="162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型号规格</w:t>
            </w:r>
          </w:p>
        </w:tc>
        <w:tc>
          <w:tcPr>
            <w:tcW w:w="4140" w:type="dxa"/>
            <w:gridSpan w:val="2"/>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规格响应情况</w:t>
            </w:r>
          </w:p>
        </w:tc>
      </w:tr>
      <w:tr>
        <w:tblPrEx>
          <w:tblLayout w:type="fixed"/>
          <w:tblCellMar>
            <w:top w:w="0" w:type="dxa"/>
            <w:left w:w="0" w:type="dxa"/>
            <w:bottom w:w="0" w:type="dxa"/>
            <w:right w:w="0" w:type="dxa"/>
          </w:tblCellMar>
        </w:tblPrEx>
        <w:trPr>
          <w:cantSplit/>
          <w:trHeight w:val="402"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rPr>
            </w:pP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投标货物实际参数</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ind w:right="458" w:rightChars="218"/>
              <w:jc w:val="center"/>
              <w:rPr>
                <w:rFonts w:ascii="宋体" w:hAnsi="宋体"/>
                <w:color w:val="000000"/>
                <w:sz w:val="24"/>
              </w:rPr>
            </w:pPr>
            <w:r>
              <w:rPr>
                <w:rFonts w:hint="eastAsia" w:ascii="宋体" w:hAnsi="宋体"/>
                <w:color w:val="000000"/>
                <w:sz w:val="24"/>
              </w:rPr>
              <w:t xml:space="preserve">   偏离情况</w:t>
            </w:r>
          </w:p>
        </w:tc>
      </w:tr>
      <w:tr>
        <w:tblPrEx>
          <w:tblLayout w:type="fixed"/>
          <w:tblCellMar>
            <w:top w:w="0" w:type="dxa"/>
            <w:left w:w="0" w:type="dxa"/>
            <w:bottom w:w="0" w:type="dxa"/>
            <w:right w:w="0" w:type="dxa"/>
          </w:tblCellMar>
        </w:tblPrEx>
        <w:trPr>
          <w:trHeight w:val="390"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ind w:left="-15" w:leftChars="-7"/>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r>
      <w:tr>
        <w:tblPrEx>
          <w:tblLayout w:type="fixed"/>
          <w:tblCellMar>
            <w:top w:w="0" w:type="dxa"/>
            <w:left w:w="0" w:type="dxa"/>
            <w:bottom w:w="0" w:type="dxa"/>
            <w:right w:w="0" w:type="dxa"/>
          </w:tblCellMar>
        </w:tblPrEx>
        <w:trPr>
          <w:trHeight w:val="402" w:hRule="atLeast"/>
        </w:trPr>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08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p>
        </w:tc>
        <w:tc>
          <w:tcPr>
            <w:tcW w:w="144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162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c>
          <w:tcPr>
            <w:tcW w:w="2160"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rPr>
                <w:rFonts w:ascii="宋体" w:hAnsi="宋体"/>
                <w:color w:val="000000"/>
                <w:sz w:val="24"/>
              </w:rPr>
            </w:pPr>
            <w:r>
              <w:rPr>
                <w:rFonts w:hint="eastAsia" w:ascii="宋体" w:hAnsi="宋体"/>
                <w:color w:val="000000"/>
                <w:sz w:val="24"/>
              </w:rPr>
              <w:t>　</w:t>
            </w:r>
          </w:p>
        </w:tc>
        <w:tc>
          <w:tcPr>
            <w:tcW w:w="1980" w:type="dxa"/>
            <w:tcBorders>
              <w:top w:val="nil"/>
              <w:left w:val="nil"/>
              <w:bottom w:val="single" w:color="auto" w:sz="4" w:space="0"/>
              <w:right w:val="single" w:color="auto" w:sz="4" w:space="0"/>
            </w:tcBorders>
            <w:tcMar>
              <w:top w:w="15" w:type="dxa"/>
              <w:left w:w="15" w:type="dxa"/>
              <w:bottom w:w="0" w:type="dxa"/>
              <w:right w:w="15" w:type="dxa"/>
            </w:tcMar>
            <w:vAlign w:val="bottom"/>
          </w:tcPr>
          <w:p>
            <w:pPr>
              <w:rPr>
                <w:rFonts w:ascii="宋体" w:hAnsi="宋体"/>
                <w:color w:val="000000"/>
                <w:sz w:val="24"/>
              </w:rPr>
            </w:pPr>
            <w:r>
              <w:rPr>
                <w:rFonts w:hint="eastAsia" w:ascii="宋体" w:hAnsi="宋体"/>
                <w:color w:val="000000"/>
                <w:sz w:val="24"/>
              </w:rPr>
              <w:t>　</w:t>
            </w:r>
          </w:p>
        </w:tc>
      </w:tr>
    </w:tbl>
    <w:p>
      <w:pPr>
        <w:spacing w:line="300" w:lineRule="auto"/>
        <w:rPr>
          <w:rFonts w:ascii="宋体" w:hAnsi="宋体"/>
          <w:bCs/>
          <w:color w:val="000000"/>
          <w:sz w:val="24"/>
        </w:rPr>
      </w:pPr>
    </w:p>
    <w:p>
      <w:pPr>
        <w:spacing w:line="300" w:lineRule="auto"/>
        <w:rPr>
          <w:rFonts w:ascii="宋体" w:hAnsi="宋体"/>
          <w:bCs/>
          <w:color w:val="000000"/>
          <w:sz w:val="24"/>
        </w:rPr>
      </w:pPr>
    </w:p>
    <w:p>
      <w:pPr>
        <w:spacing w:line="300" w:lineRule="auto"/>
        <w:rPr>
          <w:rFonts w:ascii="宋体" w:hAnsi="宋体"/>
          <w:bCs/>
          <w:color w:val="000000"/>
          <w:sz w:val="24"/>
        </w:rPr>
      </w:pPr>
      <w:r>
        <w:rPr>
          <w:rFonts w:hint="eastAsia" w:ascii="宋体" w:hAnsi="宋体"/>
          <w:bCs/>
          <w:color w:val="000000"/>
          <w:sz w:val="24"/>
        </w:rPr>
        <w:t>投标人名称（盖章）：</w:t>
      </w:r>
      <w:r>
        <w:rPr>
          <w:rFonts w:hint="eastAsia" w:ascii="宋体" w:hAnsi="宋体"/>
          <w:bCs/>
          <w:color w:val="000000"/>
          <w:sz w:val="24"/>
          <w:u w:val="single"/>
        </w:rPr>
        <w:t xml:space="preserve">                                      </w:t>
      </w:r>
    </w:p>
    <w:p>
      <w:pPr>
        <w:spacing w:line="300" w:lineRule="auto"/>
        <w:rPr>
          <w:rFonts w:ascii="宋体" w:hAnsi="宋体"/>
          <w:bCs/>
          <w:color w:val="000000"/>
          <w:sz w:val="24"/>
        </w:rPr>
      </w:pPr>
    </w:p>
    <w:p>
      <w:pPr>
        <w:spacing w:line="300" w:lineRule="auto"/>
        <w:rPr>
          <w:rFonts w:ascii="宋体" w:hAnsi="宋体"/>
          <w:bCs/>
          <w:color w:val="000000"/>
          <w:sz w:val="24"/>
        </w:rPr>
      </w:pPr>
    </w:p>
    <w:p>
      <w:pPr>
        <w:spacing w:line="300" w:lineRule="auto"/>
        <w:rPr>
          <w:rFonts w:ascii="宋体" w:hAnsi="宋体"/>
          <w:bCs/>
          <w:color w:val="000000"/>
          <w:sz w:val="24"/>
        </w:rPr>
      </w:pPr>
    </w:p>
    <w:p>
      <w:pPr>
        <w:spacing w:line="300" w:lineRule="auto"/>
        <w:rPr>
          <w:rFonts w:ascii="宋体" w:hAnsi="宋体"/>
          <w:bCs/>
          <w:color w:val="000000"/>
          <w:sz w:val="24"/>
          <w:u w:val="single"/>
        </w:rPr>
      </w:pPr>
      <w:r>
        <w:rPr>
          <w:rFonts w:hint="eastAsia" w:ascii="宋体" w:hAnsi="宋体"/>
          <w:bCs/>
          <w:color w:val="000000"/>
          <w:sz w:val="24"/>
        </w:rPr>
        <w:t>法定代表人或授权代表人（签字</w:t>
      </w:r>
      <w:r>
        <w:rPr>
          <w:rFonts w:hint="eastAsia" w:ascii="宋体" w:hAnsi="宋体"/>
          <w:color w:val="000000"/>
          <w:sz w:val="24"/>
        </w:rPr>
        <w:t>或印章</w:t>
      </w:r>
      <w:r>
        <w:rPr>
          <w:rFonts w:hint="eastAsia" w:ascii="宋体" w:hAnsi="宋体"/>
          <w:bCs/>
          <w:color w:val="000000"/>
          <w:sz w:val="24"/>
        </w:rPr>
        <w:t>）：</w:t>
      </w:r>
      <w:r>
        <w:rPr>
          <w:rFonts w:hint="eastAsia" w:ascii="宋体" w:hAnsi="宋体"/>
          <w:bCs/>
          <w:color w:val="000000"/>
          <w:sz w:val="24"/>
          <w:u w:val="single"/>
        </w:rPr>
        <w:t xml:space="preserve">                                 </w:t>
      </w:r>
    </w:p>
    <w:p>
      <w:pPr>
        <w:spacing w:line="300" w:lineRule="auto"/>
        <w:rPr>
          <w:rFonts w:ascii="宋体" w:hAnsi="宋体"/>
          <w:bCs/>
          <w:color w:val="000000"/>
          <w:sz w:val="24"/>
        </w:rPr>
      </w:pPr>
    </w:p>
    <w:p>
      <w:pPr>
        <w:spacing w:line="300" w:lineRule="auto"/>
        <w:rPr>
          <w:rFonts w:ascii="宋体" w:hAnsi="宋体"/>
          <w:bCs/>
          <w:color w:val="000000"/>
          <w:sz w:val="24"/>
          <w:u w:val="single"/>
        </w:rPr>
      </w:pPr>
    </w:p>
    <w:p>
      <w:pPr>
        <w:snapToGrid w:val="0"/>
        <w:spacing w:line="300" w:lineRule="auto"/>
        <w:ind w:firstLine="5640" w:firstLineChars="2350"/>
        <w:rPr>
          <w:rFonts w:ascii="宋体" w:hAnsi="宋体"/>
          <w:b/>
          <w:bCs/>
          <w:color w:val="000000"/>
          <w:sz w:val="32"/>
        </w:rPr>
      </w:pPr>
      <w:r>
        <w:rPr>
          <w:rFonts w:hint="eastAsia" w:ascii="宋体" w:hAnsi="宋体"/>
          <w:bCs/>
          <w:color w:val="000000"/>
          <w:sz w:val="24"/>
          <w:u w:val="single"/>
        </w:rPr>
        <w:t xml:space="preserve">      </w:t>
      </w:r>
      <w:r>
        <w:rPr>
          <w:rFonts w:hint="eastAsia" w:ascii="宋体" w:hAnsi="宋体"/>
          <w:bCs/>
          <w:color w:val="000000"/>
          <w:sz w:val="24"/>
        </w:rPr>
        <w:t>年</w:t>
      </w:r>
      <w:r>
        <w:rPr>
          <w:rFonts w:hint="eastAsia" w:ascii="宋体" w:hAnsi="宋体"/>
          <w:bCs/>
          <w:color w:val="000000"/>
          <w:sz w:val="24"/>
          <w:u w:val="single"/>
        </w:rPr>
        <w:t xml:space="preserve">    </w:t>
      </w:r>
      <w:r>
        <w:rPr>
          <w:rFonts w:hint="eastAsia" w:ascii="宋体" w:hAnsi="宋体"/>
          <w:bCs/>
          <w:color w:val="000000"/>
          <w:sz w:val="24"/>
        </w:rPr>
        <w:t>月</w:t>
      </w:r>
      <w:r>
        <w:rPr>
          <w:rFonts w:hint="eastAsia" w:ascii="宋体" w:hAnsi="宋体"/>
          <w:bCs/>
          <w:color w:val="000000"/>
          <w:sz w:val="24"/>
          <w:u w:val="single"/>
        </w:rPr>
        <w:t xml:space="preserve">    </w:t>
      </w:r>
      <w:r>
        <w:rPr>
          <w:rFonts w:hint="eastAsia" w:ascii="宋体" w:hAnsi="宋体"/>
          <w:bCs/>
          <w:color w:val="000000"/>
          <w:sz w:val="24"/>
        </w:rPr>
        <w:t>日</w:t>
      </w:r>
    </w:p>
    <w:p>
      <w:pPr>
        <w:rPr>
          <w:rFonts w:ascii="宋体" w:hAnsi="宋体"/>
          <w:b/>
          <w:color w:val="000000"/>
          <w:sz w:val="24"/>
        </w:rPr>
      </w:pPr>
      <w:r>
        <w:rPr>
          <w:rFonts w:ascii="宋体" w:hAnsi="宋体"/>
          <w:b/>
          <w:bCs/>
          <w:color w:val="000000"/>
        </w:rPr>
        <w:br w:type="page"/>
      </w:r>
      <w:r>
        <w:rPr>
          <w:rFonts w:hint="eastAsia" w:ascii="宋体" w:hAnsi="宋体"/>
          <w:b/>
          <w:color w:val="000000"/>
          <w:sz w:val="24"/>
        </w:rPr>
        <w:t>附件7：</w:t>
      </w:r>
      <w:bookmarkStart w:id="308" w:name="_Toc139965365"/>
    </w:p>
    <w:p>
      <w:pPr>
        <w:pStyle w:val="3"/>
        <w:spacing w:before="0" w:after="0"/>
        <w:rPr>
          <w:rFonts w:ascii="宋体" w:hAnsi="宋体"/>
          <w:color w:val="000000"/>
          <w:sz w:val="36"/>
          <w:szCs w:val="36"/>
        </w:rPr>
      </w:pPr>
      <w:bookmarkStart w:id="309" w:name="_Toc453596896"/>
      <w:r>
        <w:rPr>
          <w:rFonts w:hint="eastAsia" w:ascii="宋体" w:hAnsi="宋体"/>
          <w:color w:val="000000"/>
          <w:sz w:val="36"/>
          <w:szCs w:val="36"/>
        </w:rPr>
        <w:t>生产厂家授权函</w:t>
      </w:r>
      <w:bookmarkEnd w:id="308"/>
      <w:bookmarkEnd w:id="309"/>
    </w:p>
    <w:p>
      <w:pPr>
        <w:jc w:val="center"/>
        <w:rPr>
          <w:rFonts w:ascii="宋体" w:hAnsi="宋体"/>
          <w:b/>
          <w:color w:val="000000"/>
          <w:sz w:val="32"/>
          <w:szCs w:val="32"/>
        </w:rPr>
      </w:pPr>
    </w:p>
    <w:p>
      <w:pPr>
        <w:topLinePunct/>
        <w:spacing w:line="480" w:lineRule="auto"/>
        <w:rPr>
          <w:rFonts w:ascii="宋体" w:hAnsi="宋体"/>
          <w:color w:val="000000"/>
          <w:sz w:val="24"/>
        </w:rPr>
      </w:pPr>
      <w:r>
        <w:rPr>
          <w:rFonts w:hint="eastAsia" w:ascii="宋体" w:hAnsi="宋体"/>
          <w:color w:val="000000"/>
          <w:sz w:val="24"/>
        </w:rPr>
        <w:t>致：</w:t>
      </w:r>
    </w:p>
    <w:p>
      <w:pPr>
        <w:topLinePunct/>
        <w:spacing w:line="480" w:lineRule="auto"/>
        <w:rPr>
          <w:rFonts w:ascii="宋体" w:hAnsi="宋体"/>
          <w:color w:val="000000"/>
          <w:sz w:val="24"/>
        </w:rPr>
      </w:pPr>
      <w:r>
        <w:rPr>
          <w:rFonts w:hint="eastAsia" w:ascii="宋体" w:hAnsi="宋体"/>
          <w:color w:val="000000"/>
          <w:sz w:val="24"/>
        </w:rPr>
        <w:t xml:space="preserve">    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日就白银市食品检验检测中心食品检（监）测能力建设项目（第二次）（招标编号：</w:t>
      </w:r>
      <w:r>
        <w:rPr>
          <w:rFonts w:hint="eastAsia" w:ascii="宋体" w:hAnsi="宋体"/>
          <w:color w:val="000000"/>
          <w:sz w:val="24"/>
          <w:u w:val="single"/>
        </w:rPr>
        <w:t xml:space="preserve">     </w:t>
      </w:r>
      <w:r>
        <w:rPr>
          <w:rFonts w:hint="eastAsia" w:ascii="宋体" w:hAnsi="宋体"/>
          <w:color w:val="000000"/>
          <w:sz w:val="24"/>
        </w:rPr>
        <w:t>）事宜，我公司作为投标产品的生产厂家特授权</w:t>
      </w:r>
      <w:r>
        <w:rPr>
          <w:rFonts w:hint="eastAsia" w:ascii="宋体" w:hAnsi="宋体"/>
          <w:color w:val="000000"/>
          <w:sz w:val="24"/>
          <w:u w:val="single"/>
        </w:rPr>
        <w:t xml:space="preserve">             </w:t>
      </w:r>
      <w:r>
        <w:rPr>
          <w:rFonts w:hint="eastAsia" w:ascii="宋体" w:hAnsi="宋体"/>
          <w:color w:val="000000"/>
          <w:sz w:val="24"/>
        </w:rPr>
        <w:t>(投标人名称)代理本公司进行投标，并提供我方制造的</w:t>
      </w:r>
      <w:r>
        <w:rPr>
          <w:rFonts w:hint="eastAsia" w:ascii="宋体" w:hAnsi="宋体"/>
          <w:color w:val="000000"/>
          <w:sz w:val="24"/>
          <w:u w:val="single"/>
        </w:rPr>
        <w:t xml:space="preserve">                          </w:t>
      </w:r>
      <w:r>
        <w:rPr>
          <w:rFonts w:hint="eastAsia" w:ascii="宋体" w:hAnsi="宋体"/>
          <w:color w:val="000000"/>
          <w:sz w:val="24"/>
        </w:rPr>
        <w:t>产品（产品型号），按贵方与</w:t>
      </w:r>
      <w:r>
        <w:rPr>
          <w:rFonts w:hint="eastAsia" w:ascii="宋体" w:hAnsi="宋体"/>
          <w:color w:val="000000"/>
          <w:sz w:val="24"/>
          <w:u w:val="single"/>
        </w:rPr>
        <w:t xml:space="preserve">                 </w:t>
      </w:r>
      <w:r>
        <w:rPr>
          <w:rFonts w:hint="eastAsia" w:ascii="宋体" w:hAnsi="宋体"/>
          <w:color w:val="000000"/>
          <w:sz w:val="24"/>
        </w:rPr>
        <w:t>(投标人名称)签订的合同要求，及时保质保量提供中标产品。</w:t>
      </w:r>
    </w:p>
    <w:p>
      <w:pPr>
        <w:topLinePunct/>
        <w:spacing w:line="480" w:lineRule="auto"/>
        <w:rPr>
          <w:rFonts w:ascii="宋体" w:hAnsi="宋体"/>
          <w:color w:val="000000"/>
          <w:sz w:val="24"/>
          <w:u w:val="single"/>
        </w:rPr>
      </w:pPr>
      <w:r>
        <w:rPr>
          <w:rFonts w:hint="eastAsia" w:ascii="宋体" w:hAnsi="宋体"/>
          <w:color w:val="000000"/>
          <w:sz w:val="24"/>
        </w:rPr>
        <w:t xml:space="preserve">    本授权函自</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日起有效，授权招标有效期60天。</w:t>
      </w:r>
    </w:p>
    <w:p>
      <w:pPr>
        <w:topLinePunct/>
        <w:spacing w:line="480" w:lineRule="auto"/>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r>
        <w:rPr>
          <w:rFonts w:hint="eastAsia" w:ascii="宋体" w:hAnsi="宋体"/>
          <w:color w:val="000000"/>
          <w:sz w:val="24"/>
        </w:rPr>
        <w:t xml:space="preserve">                                 授权厂家名称（盖章）：</w:t>
      </w:r>
    </w:p>
    <w:p>
      <w:pPr>
        <w:spacing w:line="500" w:lineRule="exact"/>
        <w:rPr>
          <w:rFonts w:ascii="宋体" w:hAnsi="宋体"/>
          <w:color w:val="000000"/>
          <w:sz w:val="24"/>
        </w:rPr>
      </w:pPr>
      <w:r>
        <w:rPr>
          <w:rFonts w:hint="eastAsia" w:ascii="宋体" w:hAnsi="宋体"/>
          <w:color w:val="000000"/>
          <w:sz w:val="24"/>
        </w:rPr>
        <w:t xml:space="preserve">                     </w:t>
      </w:r>
    </w:p>
    <w:p>
      <w:pPr>
        <w:spacing w:line="500" w:lineRule="exact"/>
        <w:rPr>
          <w:rFonts w:ascii="宋体" w:hAnsi="宋体"/>
          <w:color w:val="000000"/>
          <w:sz w:val="24"/>
        </w:rPr>
      </w:pPr>
      <w:r>
        <w:rPr>
          <w:rFonts w:hint="eastAsia" w:ascii="宋体" w:hAnsi="宋体"/>
          <w:color w:val="000000"/>
          <w:sz w:val="24"/>
        </w:rPr>
        <w:t xml:space="preserve">                                 法定代表人（签字）：</w:t>
      </w:r>
    </w:p>
    <w:p>
      <w:pPr>
        <w:spacing w:line="500" w:lineRule="exact"/>
        <w:rPr>
          <w:rFonts w:ascii="宋体" w:hAnsi="宋体"/>
          <w:color w:val="000000"/>
          <w:sz w:val="24"/>
        </w:rPr>
      </w:pPr>
      <w:r>
        <w:rPr>
          <w:rFonts w:hint="eastAsia" w:ascii="宋体" w:hAnsi="宋体"/>
          <w:color w:val="000000"/>
          <w:sz w:val="24"/>
        </w:rPr>
        <w:t xml:space="preserve">                     </w:t>
      </w:r>
    </w:p>
    <w:p>
      <w:pPr>
        <w:spacing w:line="500" w:lineRule="exact"/>
        <w:rPr>
          <w:rFonts w:ascii="宋体" w:hAnsi="宋体"/>
          <w:color w:val="000000"/>
        </w:rPr>
      </w:pPr>
      <w:r>
        <w:rPr>
          <w:rFonts w:hint="eastAsia" w:ascii="宋体" w:hAnsi="宋体"/>
          <w:color w:val="000000"/>
          <w:sz w:val="24"/>
        </w:rPr>
        <w:t xml:space="preserve">                                                           年   月   日 </w:t>
      </w:r>
    </w:p>
    <w:p>
      <w:pPr>
        <w:spacing w:line="360" w:lineRule="auto"/>
        <w:ind w:firstLine="420" w:firstLineChars="200"/>
        <w:rPr>
          <w:rFonts w:ascii="宋体" w:hAnsi="宋体"/>
          <w:color w:val="000000"/>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b/>
          <w:color w:val="000000"/>
          <w:sz w:val="24"/>
        </w:rPr>
        <w:t>附件8：</w:t>
      </w:r>
    </w:p>
    <w:p>
      <w:pPr>
        <w:pStyle w:val="3"/>
        <w:spacing w:before="0" w:after="0"/>
        <w:rPr>
          <w:rFonts w:ascii="宋体" w:hAnsi="宋体"/>
          <w:color w:val="000000"/>
          <w:sz w:val="36"/>
          <w:szCs w:val="36"/>
        </w:rPr>
      </w:pPr>
      <w:bookmarkStart w:id="310" w:name="_Toc453596897"/>
      <w:r>
        <w:rPr>
          <w:rFonts w:ascii="宋体" w:hAnsi="宋体"/>
          <w:color w:val="000000"/>
          <w:sz w:val="36"/>
          <w:szCs w:val="36"/>
        </w:rPr>
        <w:t>中小企业声明函</w:t>
      </w:r>
      <w:bookmarkEnd w:id="310"/>
    </w:p>
    <w:p>
      <w:pPr>
        <w:pStyle w:val="26"/>
        <w:spacing w:line="375" w:lineRule="atLeast"/>
      </w:pPr>
      <w:r>
        <w:t>　</w:t>
      </w:r>
      <w:r>
        <w:rPr>
          <w:rFonts w:hint="eastAsia"/>
        </w:rPr>
        <w:t xml:space="preserve">                          （非中小微企业不提供）</w:t>
      </w:r>
    </w:p>
    <w:p>
      <w:pPr>
        <w:pStyle w:val="26"/>
        <w:spacing w:line="500" w:lineRule="exact"/>
      </w:pPr>
      <w:r>
        <w:t>　　本公司郑重声明，根据《政府采购促进中小企业发展暂行办法》（财库[2011]181号）的规定，本公司为______（请填写：中型、小型、微型）企业。即，本公司同时满足以下条件：</w:t>
      </w:r>
    </w:p>
    <w:p>
      <w:pPr>
        <w:pStyle w:val="26"/>
        <w:spacing w:line="500" w:lineRule="exact"/>
      </w:pPr>
      <w:r>
        <w:t>　　1.根据《工业和信息化部、国家统计局、国家发展和改革委员会、财政部关于印发中小企业划型标准规定的通知》（工信部联企业[2011]300号）规定的划分标准，本公司为______（请填写：中型、小型、微型）企业。</w:t>
      </w:r>
    </w:p>
    <w:p>
      <w:pPr>
        <w:pStyle w:val="26"/>
        <w:spacing w:line="500" w:lineRule="exact"/>
      </w:pPr>
      <w: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26"/>
        <w:spacing w:line="500" w:lineRule="exact"/>
      </w:pPr>
      <w:r>
        <w:t>　　本公司对上述声明的真实性负责。如有虚假，将依法承担相应责任。</w:t>
      </w:r>
    </w:p>
    <w:p>
      <w:pPr>
        <w:pStyle w:val="26"/>
        <w:spacing w:line="500" w:lineRule="exact"/>
      </w:pPr>
      <w:r>
        <w:t xml:space="preserve">　　　　　　 　　　　　　　　　　　　　　 　企业名称（盖章）： </w:t>
      </w:r>
    </w:p>
    <w:p>
      <w:pPr>
        <w:pStyle w:val="17"/>
        <w:spacing w:line="500" w:lineRule="exact"/>
        <w:rPr>
          <w:rFonts w:hAnsi="宋体" w:cs="宋体"/>
          <w:sz w:val="24"/>
        </w:rPr>
      </w:pPr>
      <w:r>
        <w:rPr>
          <w:sz w:val="24"/>
        </w:rPr>
        <w:t>　　　　　　　　　　　　　　　　　　　　    日   期：　　</w:t>
      </w:r>
    </w:p>
    <w:p>
      <w:pPr>
        <w:pStyle w:val="17"/>
        <w:spacing w:line="500" w:lineRule="exact"/>
        <w:rPr>
          <w:rFonts w:hAnsi="宋体" w:cs="宋体"/>
          <w:sz w:val="24"/>
        </w:rPr>
      </w:pPr>
    </w:p>
    <w:p>
      <w:pPr>
        <w:pStyle w:val="17"/>
        <w:rPr>
          <w:rFonts w:hAnsi="宋体" w:cs="宋体"/>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color w:val="000000"/>
          <w:sz w:val="24"/>
        </w:rPr>
      </w:pPr>
    </w:p>
    <w:p>
      <w:pPr>
        <w:pStyle w:val="3"/>
        <w:jc w:val="both"/>
        <w:rPr>
          <w:rFonts w:ascii="宋体" w:hAnsi="宋体"/>
          <w:b w:val="0"/>
          <w:color w:val="000000"/>
          <w:sz w:val="24"/>
          <w:szCs w:val="24"/>
        </w:rPr>
      </w:pPr>
      <w:bookmarkStart w:id="311" w:name="_Toc453596900"/>
      <w:r>
        <w:rPr>
          <w:rFonts w:hint="eastAsia"/>
          <w:color w:val="000000"/>
          <w:sz w:val="24"/>
          <w:szCs w:val="24"/>
        </w:rPr>
        <w:t>附件9：</w:t>
      </w:r>
      <w:bookmarkEnd w:id="311"/>
    </w:p>
    <w:p>
      <w:pPr>
        <w:spacing w:line="480" w:lineRule="exact"/>
        <w:jc w:val="center"/>
        <w:rPr>
          <w:rFonts w:ascii="宋体" w:hAnsi="宋体"/>
          <w:b/>
          <w:sz w:val="24"/>
        </w:rPr>
      </w:pPr>
      <w:r>
        <w:rPr>
          <w:rFonts w:hint="eastAsia" w:ascii="宋体" w:hAnsi="宋体"/>
          <w:b/>
          <w:sz w:val="24"/>
        </w:rPr>
        <w:t>财政部工业和信息化部文件</w:t>
      </w:r>
    </w:p>
    <w:p>
      <w:pPr>
        <w:spacing w:line="480" w:lineRule="exact"/>
        <w:jc w:val="center"/>
        <w:rPr>
          <w:rFonts w:ascii="宋体" w:hAnsi="宋体"/>
          <w:b/>
          <w:sz w:val="24"/>
        </w:rPr>
      </w:pPr>
      <w:r>
        <w:rPr>
          <w:rFonts w:hint="eastAsia" w:ascii="宋体" w:hAnsi="宋体"/>
          <w:b/>
          <w:sz w:val="24"/>
        </w:rPr>
        <w:t>财库〔2011〕181号</w:t>
      </w:r>
    </w:p>
    <w:p>
      <w:pPr>
        <w:spacing w:line="500" w:lineRule="exact"/>
        <w:ind w:firstLine="495"/>
        <w:rPr>
          <w:rFonts w:ascii="宋体" w:hAnsi="宋体"/>
          <w:sz w:val="24"/>
        </w:rPr>
      </w:pPr>
      <w:r>
        <w:rPr>
          <w:rFonts w:hint="eastAsia" w:ascii="宋体" w:hAnsi="宋体"/>
          <w:sz w:val="24"/>
        </w:rPr>
        <w:t>关于印发《政府采购促进中小企业发展暂行办法》的通知</w:t>
      </w:r>
    </w:p>
    <w:p>
      <w:pPr>
        <w:spacing w:line="500" w:lineRule="exact"/>
        <w:ind w:firstLine="495"/>
        <w:rPr>
          <w:rFonts w:ascii="宋体" w:hAnsi="宋体"/>
          <w:sz w:val="24"/>
        </w:rPr>
      </w:pPr>
      <w:r>
        <w:rPr>
          <w:rFonts w:hint="eastAsia" w:ascii="宋体" w:hAnsi="宋体"/>
          <w:sz w:val="24"/>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r>
        <w:rPr>
          <w:rFonts w:hint="eastAsia" w:ascii="宋体" w:hAnsi="宋体"/>
          <w:sz w:val="24"/>
        </w:rPr>
        <w:br w:type="textWrapping"/>
      </w:r>
      <w:r>
        <w:rPr>
          <w:rFonts w:hint="eastAsia" w:ascii="宋体" w:hAnsi="宋体"/>
          <w:sz w:val="24"/>
        </w:rPr>
        <w:t>　　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r>
        <w:rPr>
          <w:rFonts w:hint="eastAsia" w:ascii="宋体" w:hAnsi="宋体"/>
          <w:sz w:val="24"/>
        </w:rPr>
        <w:br w:type="textWrapping"/>
      </w:r>
      <w:r>
        <w:rPr>
          <w:rFonts w:hint="eastAsia" w:ascii="宋体" w:hAnsi="宋体"/>
          <w:sz w:val="24"/>
        </w:rPr>
        <w:t>　　附件：政府采购促进中小企业发展暂行办法</w:t>
      </w:r>
      <w:r>
        <w:rPr>
          <w:rFonts w:hint="eastAsia" w:ascii="宋体" w:hAnsi="宋体"/>
          <w:sz w:val="24"/>
        </w:rPr>
        <w:br w:type="textWrapping"/>
      </w:r>
      <w:r>
        <w:rPr>
          <w:rFonts w:hint="eastAsia" w:ascii="宋体" w:hAnsi="宋体"/>
          <w:sz w:val="24"/>
        </w:rPr>
        <w:t>　　　　</w:t>
      </w:r>
    </w:p>
    <w:p>
      <w:pPr>
        <w:spacing w:line="500" w:lineRule="exact"/>
        <w:ind w:firstLine="495"/>
        <w:rPr>
          <w:rFonts w:ascii="宋体" w:hAnsi="宋体"/>
          <w:sz w:val="24"/>
        </w:rPr>
      </w:pPr>
      <w:r>
        <w:rPr>
          <w:rFonts w:hint="eastAsia" w:ascii="宋体" w:hAnsi="宋体"/>
          <w:sz w:val="24"/>
        </w:rPr>
        <w:t xml:space="preserve">                                             财政部</w:t>
      </w:r>
      <w:r>
        <w:rPr>
          <w:rFonts w:hint="eastAsia" w:ascii="宋体" w:hAnsi="宋体"/>
          <w:sz w:val="24"/>
        </w:rPr>
        <w:br w:type="textWrapping"/>
      </w:r>
      <w:r>
        <w:rPr>
          <w:rFonts w:hint="eastAsia" w:ascii="宋体" w:hAnsi="宋体"/>
          <w:sz w:val="24"/>
        </w:rPr>
        <w:t xml:space="preserve">                                             工业和信息化部</w:t>
      </w:r>
      <w:r>
        <w:rPr>
          <w:rFonts w:hint="eastAsia" w:ascii="宋体" w:hAnsi="宋体"/>
          <w:sz w:val="24"/>
        </w:rPr>
        <w:br w:type="textWrapping"/>
      </w:r>
      <w:r>
        <w:rPr>
          <w:rFonts w:hint="eastAsia" w:ascii="宋体" w:hAnsi="宋体"/>
          <w:sz w:val="24"/>
        </w:rPr>
        <w:t xml:space="preserve">                                          二〇一一年十二月二十九日</w:t>
      </w: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p>
    <w:p>
      <w:pPr>
        <w:spacing w:line="500" w:lineRule="exact"/>
        <w:ind w:firstLine="495"/>
        <w:rPr>
          <w:rFonts w:ascii="宋体" w:hAnsi="宋体"/>
          <w:sz w:val="24"/>
        </w:rPr>
      </w:pPr>
      <w:r>
        <w:rPr>
          <w:rFonts w:hint="eastAsia" w:ascii="宋体" w:hAnsi="宋体"/>
          <w:sz w:val="24"/>
        </w:rPr>
        <w:t>附件：</w:t>
      </w:r>
    </w:p>
    <w:p>
      <w:pPr>
        <w:spacing w:line="500" w:lineRule="exact"/>
        <w:ind w:firstLine="495"/>
        <w:rPr>
          <w:rFonts w:ascii="宋体" w:hAnsi="宋体"/>
          <w:sz w:val="24"/>
        </w:rPr>
      </w:pPr>
      <w:r>
        <w:rPr>
          <w:rFonts w:hint="eastAsia" w:ascii="宋体" w:hAnsi="宋体"/>
          <w:sz w:val="24"/>
        </w:rPr>
        <w:t>政府采购促进中小企业发展暂行办法</w:t>
      </w:r>
    </w:p>
    <w:p>
      <w:pPr>
        <w:spacing w:line="500" w:lineRule="exact"/>
        <w:ind w:firstLine="495"/>
        <w:rPr>
          <w:rFonts w:ascii="宋体" w:hAnsi="宋体"/>
          <w:sz w:val="24"/>
        </w:rPr>
      </w:pPr>
      <w:r>
        <w:rPr>
          <w:rFonts w:hint="eastAsia" w:ascii="宋体" w:hAnsi="宋体"/>
          <w:sz w:val="24"/>
        </w:rPr>
        <w:t>第一条 为了发挥政府采购的政策功能，促进符合国家经济和社会发展政策目标，产品、服务、信誉较好的中小企业发展，根据《中华人民共和国政府采购法》、《中华人民共和国中小企业促进法》等有关法律法规，制定本办法。</w:t>
      </w:r>
      <w:r>
        <w:rPr>
          <w:rFonts w:hint="eastAsia" w:ascii="宋体" w:hAnsi="宋体"/>
          <w:sz w:val="24"/>
        </w:rPr>
        <w:br w:type="textWrapping"/>
      </w:r>
      <w:r>
        <w:rPr>
          <w:rFonts w:hint="eastAsia" w:ascii="宋体" w:hAnsi="宋体"/>
          <w:sz w:val="24"/>
        </w:rPr>
        <w:t>　　第二条 本办法所称中小企业（含中型、小型、微型企业，下同）应当同时符合以下条件：</w:t>
      </w:r>
      <w:r>
        <w:rPr>
          <w:rFonts w:hint="eastAsia" w:ascii="宋体" w:hAnsi="宋体"/>
          <w:sz w:val="24"/>
        </w:rPr>
        <w:br w:type="textWrapping"/>
      </w:r>
      <w:r>
        <w:rPr>
          <w:rFonts w:hint="eastAsia" w:ascii="宋体" w:hAnsi="宋体"/>
          <w:sz w:val="24"/>
        </w:rPr>
        <w:t>　　（一）符合中小企业划分标准；</w:t>
      </w:r>
      <w:r>
        <w:rPr>
          <w:rFonts w:hint="eastAsia" w:ascii="宋体" w:hAnsi="宋体"/>
          <w:sz w:val="24"/>
        </w:rPr>
        <w:br w:type="textWrapping"/>
      </w:r>
      <w:r>
        <w:rPr>
          <w:rFonts w:hint="eastAsia" w:ascii="宋体" w:hAnsi="宋体"/>
          <w:sz w:val="24"/>
        </w:rPr>
        <w:t>　　（二）提供本企业制造的货物、承担的工程或者服务，或者提供其他中小企业制造的货物。本项所称货物不包括使用大型企业注册商标的货物。</w:t>
      </w:r>
      <w:r>
        <w:rPr>
          <w:rFonts w:hint="eastAsia" w:ascii="宋体" w:hAnsi="宋体"/>
          <w:sz w:val="24"/>
        </w:rPr>
        <w:br w:type="textWrapping"/>
      </w:r>
      <w:r>
        <w:rPr>
          <w:rFonts w:hint="eastAsia" w:ascii="宋体" w:hAnsi="宋体"/>
          <w:sz w:val="24"/>
        </w:rPr>
        <w:t>　　本办法所称中小企业划分标准，是指国务院有关部门根据企业从业人员、营业收入、资产总额等指标制定的中小企业划型标准。</w:t>
      </w:r>
      <w:r>
        <w:rPr>
          <w:rFonts w:hint="eastAsia" w:ascii="宋体" w:hAnsi="宋体"/>
          <w:sz w:val="24"/>
        </w:rPr>
        <w:br w:type="textWrapping"/>
      </w:r>
      <w:r>
        <w:rPr>
          <w:rFonts w:hint="eastAsia" w:ascii="宋体" w:hAnsi="宋体"/>
          <w:sz w:val="24"/>
        </w:rPr>
        <w:t>　　小型、微型企业提供中型企业制造的货物的，视同为中型企业。</w:t>
      </w:r>
      <w:r>
        <w:rPr>
          <w:rFonts w:hint="eastAsia" w:ascii="宋体" w:hAnsi="宋体"/>
          <w:sz w:val="24"/>
        </w:rPr>
        <w:br w:type="textWrapping"/>
      </w:r>
      <w:r>
        <w:rPr>
          <w:rFonts w:hint="eastAsia" w:ascii="宋体" w:hAnsi="宋体"/>
          <w:sz w:val="24"/>
        </w:rPr>
        <w:t>　　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r>
        <w:rPr>
          <w:rFonts w:hint="eastAsia" w:ascii="宋体" w:hAnsi="宋体"/>
          <w:sz w:val="24"/>
        </w:rPr>
        <w:br w:type="textWrapping"/>
      </w:r>
      <w:r>
        <w:rPr>
          <w:rFonts w:hint="eastAsia" w:ascii="宋体" w:hAnsi="宋体"/>
          <w:sz w:val="24"/>
        </w:rPr>
        <w:t>　　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r>
        <w:rPr>
          <w:rFonts w:hint="eastAsia" w:ascii="宋体" w:hAnsi="宋体"/>
          <w:sz w:val="24"/>
        </w:rPr>
        <w:br w:type="textWrapping"/>
      </w:r>
      <w:r>
        <w:rPr>
          <w:rFonts w:hint="eastAsia" w:ascii="宋体" w:hAnsi="宋体"/>
          <w:sz w:val="24"/>
        </w:rPr>
        <w:t>　　采购人或者采购代理机构在组织采购活动时，应当在招标文件或谈判文件、询价文件中注明该项目专门面向中小企业或小型、微型企业采购。</w:t>
      </w:r>
      <w:r>
        <w:rPr>
          <w:rFonts w:hint="eastAsia" w:ascii="宋体" w:hAnsi="宋体"/>
          <w:sz w:val="24"/>
        </w:rPr>
        <w:br w:type="textWrapping"/>
      </w:r>
      <w:r>
        <w:rPr>
          <w:rFonts w:hint="eastAsia" w:ascii="宋体" w:hAnsi="宋体"/>
          <w:sz w:val="24"/>
        </w:rPr>
        <w:t>　　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r>
        <w:rPr>
          <w:rFonts w:hint="eastAsia" w:ascii="宋体" w:hAnsi="宋体"/>
          <w:sz w:val="24"/>
        </w:rPr>
        <w:br w:type="textWrapping"/>
      </w:r>
      <w:r>
        <w:rPr>
          <w:rFonts w:hint="eastAsia" w:ascii="宋体" w:hAnsi="宋体"/>
          <w:sz w:val="24"/>
        </w:rPr>
        <w:t>　　参加政府采购活动的中小企业应当提供本办法规定的《中小企业声明函》（见附件）。</w:t>
      </w:r>
      <w:r>
        <w:rPr>
          <w:rFonts w:hint="eastAsia" w:ascii="宋体" w:hAnsi="宋体"/>
          <w:sz w:val="24"/>
        </w:rPr>
        <w:br w:type="textWrapping"/>
      </w:r>
      <w:r>
        <w:rPr>
          <w:rFonts w:hint="eastAsia" w:ascii="宋体" w:hAnsi="宋体"/>
          <w:sz w:val="24"/>
        </w:rPr>
        <w:t>　　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r>
        <w:rPr>
          <w:rFonts w:hint="eastAsia" w:ascii="宋体" w:hAnsi="宋体"/>
          <w:sz w:val="24"/>
        </w:rPr>
        <w:br w:type="textWrapping"/>
      </w:r>
      <w:r>
        <w:rPr>
          <w:rFonts w:hint="eastAsia" w:ascii="宋体" w:hAnsi="宋体"/>
          <w:sz w:val="24"/>
        </w:rPr>
        <w:t>　　联合体各方均为小型、微型企业的，联合体视同为小型、微型企业享受本办法第四条、第五条规定的扶持政策。</w:t>
      </w:r>
      <w:r>
        <w:rPr>
          <w:rFonts w:hint="eastAsia" w:ascii="宋体" w:hAnsi="宋体"/>
          <w:sz w:val="24"/>
        </w:rPr>
        <w:br w:type="textWrapping"/>
      </w:r>
      <w:r>
        <w:rPr>
          <w:rFonts w:hint="eastAsia" w:ascii="宋体" w:hAnsi="宋体"/>
          <w:sz w:val="24"/>
        </w:rPr>
        <w:t xml:space="preserve">　　组成联合体的大中型企业和其他自然人、法人或者其他组织，与小型、微型企业之间不得存在投资关系。 </w:t>
      </w:r>
      <w:r>
        <w:rPr>
          <w:rFonts w:hint="eastAsia" w:ascii="宋体" w:hAnsi="宋体"/>
          <w:sz w:val="24"/>
        </w:rPr>
        <w:br w:type="textWrapping"/>
      </w:r>
      <w:r>
        <w:rPr>
          <w:rFonts w:hint="eastAsia" w:ascii="宋体" w:hAnsi="宋体"/>
          <w:sz w:val="24"/>
        </w:rPr>
        <w:t>　　第七条 中小企业依据本办法第四条、第五条、第六条规定的政策获取政府采购合同后，小型、微型企业不得分包或转包给大型、中型企业，中型企业不得分包或转包给大型企业。</w:t>
      </w:r>
      <w:r>
        <w:rPr>
          <w:rFonts w:hint="eastAsia" w:ascii="宋体" w:hAnsi="宋体"/>
          <w:sz w:val="24"/>
        </w:rPr>
        <w:br w:type="textWrapping"/>
      </w:r>
      <w:r>
        <w:rPr>
          <w:rFonts w:hint="eastAsia" w:ascii="宋体" w:hAnsi="宋体"/>
          <w:sz w:val="24"/>
        </w:rPr>
        <w:t>　　第八条 鼓励采购人允许获得政府采购合同的大型企业依法向中小企业分包。</w:t>
      </w:r>
      <w:r>
        <w:rPr>
          <w:rFonts w:hint="eastAsia" w:ascii="宋体" w:hAnsi="宋体"/>
          <w:sz w:val="24"/>
        </w:rPr>
        <w:br w:type="textWrapping"/>
      </w:r>
      <w:r>
        <w:rPr>
          <w:rFonts w:hint="eastAsia" w:ascii="宋体" w:hAnsi="宋体"/>
          <w:sz w:val="24"/>
        </w:rPr>
        <w:t>　　大型企业向中小企业分包的金额，计入面向中小企业采购的统计数额。</w:t>
      </w:r>
      <w:r>
        <w:rPr>
          <w:rFonts w:hint="eastAsia" w:ascii="宋体" w:hAnsi="宋体"/>
          <w:sz w:val="24"/>
        </w:rPr>
        <w:br w:type="textWrapping"/>
      </w:r>
      <w:r>
        <w:rPr>
          <w:rFonts w:hint="eastAsia" w:ascii="宋体" w:hAnsi="宋体"/>
          <w:sz w:val="24"/>
        </w:rPr>
        <w:t>　　第九条 鼓励采购人在与中小企业签订政府采购合同时，在履约保证金、付款期限、付款方式等方面给予中小企业适当支持。采购人应当按照合同约定按时足额支付采购资金。</w:t>
      </w:r>
      <w:r>
        <w:rPr>
          <w:rFonts w:hint="eastAsia" w:ascii="宋体" w:hAnsi="宋体"/>
          <w:sz w:val="24"/>
        </w:rPr>
        <w:br w:type="textWrapping"/>
      </w:r>
      <w:r>
        <w:rPr>
          <w:rFonts w:hint="eastAsia" w:ascii="宋体" w:hAnsi="宋体"/>
          <w:sz w:val="24"/>
        </w:rPr>
        <w:t>　　第十条 鼓励在政府采购活动中引入信用担保手段，为中小企业在融资、投标保证、履约保证等方面提供专业化的担保服务。</w:t>
      </w:r>
      <w:r>
        <w:rPr>
          <w:rFonts w:hint="eastAsia" w:ascii="宋体" w:hAnsi="宋体"/>
          <w:sz w:val="24"/>
        </w:rPr>
        <w:br w:type="textWrapping"/>
      </w:r>
      <w:r>
        <w:rPr>
          <w:rFonts w:hint="eastAsia" w:ascii="宋体" w:hAnsi="宋体"/>
          <w:sz w:val="24"/>
        </w:rPr>
        <w:t>　　第十一条 各级财政部门和有关部门应当加大对中小企业参与政府采购的培训指导及专业化咨询服务力度，提高中小企业参与政府采购活动的能力。</w:t>
      </w:r>
      <w:r>
        <w:rPr>
          <w:rFonts w:hint="eastAsia" w:ascii="宋体" w:hAnsi="宋体"/>
          <w:sz w:val="24"/>
        </w:rPr>
        <w:br w:type="textWrapping"/>
      </w:r>
      <w:r>
        <w:rPr>
          <w:rFonts w:hint="eastAsia" w:ascii="宋体" w:hAnsi="宋体"/>
          <w:sz w:val="24"/>
        </w:rPr>
        <w:t>　　第十二条 各部门应当每年第一季度向同级财政部门报告本部门上一年度面向中小企业采购的具体情况，并在财政部指定的政府采购发布媒体公开预留项目执行情况以及本部门其他项目面向中小企业采购的情况。</w:t>
      </w:r>
      <w:r>
        <w:rPr>
          <w:rFonts w:hint="eastAsia" w:ascii="宋体" w:hAnsi="宋体"/>
          <w:sz w:val="24"/>
        </w:rPr>
        <w:br w:type="textWrapping"/>
      </w:r>
      <w:r>
        <w:rPr>
          <w:rFonts w:hint="eastAsia" w:ascii="宋体" w:hAnsi="宋体"/>
          <w:sz w:val="24"/>
        </w:rPr>
        <w:t>　　第十三条 各级财政部门应当积极推进政府采购信息化建设，提高政府采购信息发布透明度，提供便于中小企业获取政府采购信息的稳定渠道。</w:t>
      </w:r>
      <w:r>
        <w:rPr>
          <w:rFonts w:hint="eastAsia" w:ascii="宋体" w:hAnsi="宋体"/>
          <w:sz w:val="24"/>
        </w:rPr>
        <w:br w:type="textWrapping"/>
      </w:r>
      <w:r>
        <w:rPr>
          <w:rFonts w:hint="eastAsia" w:ascii="宋体" w:hAnsi="宋体"/>
          <w:sz w:val="24"/>
        </w:rPr>
        <w:t>　　第十四条 各级财政部门会同中小企业主管部门建立健全政府采购促进中小企业发展的有关制度，加强有关政策执行情况的监督检查。</w:t>
      </w:r>
      <w:r>
        <w:rPr>
          <w:rFonts w:hint="eastAsia" w:ascii="宋体" w:hAnsi="宋体"/>
          <w:sz w:val="24"/>
        </w:rPr>
        <w:br w:type="textWrapping"/>
      </w:r>
      <w:r>
        <w:rPr>
          <w:rFonts w:hint="eastAsia" w:ascii="宋体" w:hAnsi="宋体"/>
          <w:sz w:val="24"/>
        </w:rPr>
        <w:t>　　各部门负责对本部门政府采购促进中小企业发展各项工作的执行和管理。</w:t>
      </w:r>
      <w:r>
        <w:rPr>
          <w:rFonts w:hint="eastAsia" w:ascii="宋体" w:hAnsi="宋体"/>
          <w:sz w:val="24"/>
        </w:rPr>
        <w:br w:type="textWrapping"/>
      </w:r>
      <w:r>
        <w:rPr>
          <w:rFonts w:hint="eastAsia" w:ascii="宋体" w:hAnsi="宋体"/>
          <w:sz w:val="24"/>
        </w:rPr>
        <w:t>　　第十五条 政府采购监督检查和投诉处理中对中小企业的认定，由企业所在地的县级以上中小企业主管部门负责。</w:t>
      </w:r>
      <w:r>
        <w:rPr>
          <w:rFonts w:hint="eastAsia" w:ascii="宋体" w:hAnsi="宋体"/>
          <w:sz w:val="24"/>
        </w:rPr>
        <w:br w:type="textWrapping"/>
      </w:r>
      <w:r>
        <w:rPr>
          <w:rFonts w:hint="eastAsia" w:ascii="宋体" w:hAnsi="宋体"/>
          <w:sz w:val="24"/>
        </w:rPr>
        <w:t>　　第十六条 采购人、采购代理机构或者中小企业在政府采购活动中有违法违规行为的，依照政府采购法及有关法律法规处理。</w:t>
      </w:r>
      <w:r>
        <w:rPr>
          <w:rFonts w:hint="eastAsia" w:ascii="宋体" w:hAnsi="宋体"/>
          <w:sz w:val="24"/>
        </w:rPr>
        <w:br w:type="textWrapping"/>
      </w:r>
      <w:r>
        <w:rPr>
          <w:rFonts w:hint="eastAsia" w:ascii="宋体" w:hAnsi="宋体"/>
          <w:sz w:val="24"/>
        </w:rPr>
        <w:t>　　第十七条 本办法由财政部、工业和信息化部负责解释。</w:t>
      </w:r>
      <w:r>
        <w:rPr>
          <w:rFonts w:hint="eastAsia" w:ascii="宋体" w:hAnsi="宋体"/>
          <w:sz w:val="24"/>
        </w:rPr>
        <w:br w:type="textWrapping"/>
      </w:r>
      <w:r>
        <w:rPr>
          <w:rFonts w:hint="eastAsia" w:ascii="宋体" w:hAnsi="宋体"/>
          <w:sz w:val="24"/>
        </w:rPr>
        <w:t>　　第十八条 本办法自2012年1月1日起施行。</w:t>
      </w:r>
      <w:r>
        <w:rPr>
          <w:rFonts w:hint="eastAsia" w:ascii="宋体" w:hAnsi="宋体"/>
          <w:sz w:val="24"/>
        </w:rPr>
        <w:br w:type="textWrapping"/>
      </w:r>
      <w:r>
        <w:rPr>
          <w:rFonts w:hint="eastAsia" w:ascii="宋体" w:hAnsi="宋体"/>
          <w:sz w:val="24"/>
        </w:rPr>
        <w:t>　</w:t>
      </w:r>
    </w:p>
    <w:p>
      <w:pPr>
        <w:spacing w:line="500" w:lineRule="exact"/>
        <w:ind w:firstLine="495"/>
        <w:rPr>
          <w:rFonts w:ascii="宋体" w:hAnsi="宋体"/>
          <w:sz w:val="24"/>
        </w:rPr>
      </w:pPr>
      <w:r>
        <w:rPr>
          <w:rFonts w:hint="eastAsia" w:ascii="宋体" w:hAnsi="宋体"/>
          <w:sz w:val="24"/>
        </w:rPr>
        <w:t>附：中小企业声明函</w:t>
      </w:r>
    </w:p>
    <w:p>
      <w:pPr>
        <w:spacing w:line="500" w:lineRule="exact"/>
        <w:ind w:firstLine="495"/>
        <w:rPr>
          <w:rFonts w:ascii="宋体" w:hAnsi="宋体"/>
          <w:sz w:val="24"/>
        </w:rPr>
      </w:pPr>
      <w:r>
        <w:rPr>
          <w:rFonts w:hint="eastAsia" w:ascii="宋体" w:hAnsi="宋体"/>
          <w:sz w:val="24"/>
        </w:rPr>
        <w:t>　</w:t>
      </w:r>
    </w:p>
    <w:p>
      <w:pPr>
        <w:spacing w:line="500" w:lineRule="exact"/>
        <w:ind w:firstLine="495"/>
        <w:rPr>
          <w:rFonts w:ascii="宋体" w:hAnsi="宋体"/>
          <w:sz w:val="24"/>
        </w:rPr>
      </w:pPr>
      <w:r>
        <w:rPr>
          <w:rFonts w:hint="eastAsia" w:ascii="宋体" w:hAnsi="宋体"/>
          <w:sz w:val="24"/>
        </w:rPr>
        <w:t>中小企业声明函</w:t>
      </w:r>
    </w:p>
    <w:p>
      <w:pPr>
        <w:spacing w:line="500" w:lineRule="exact"/>
        <w:ind w:firstLine="495"/>
        <w:rPr>
          <w:rFonts w:ascii="宋体" w:hAnsi="宋体"/>
          <w:sz w:val="24"/>
        </w:rPr>
      </w:pPr>
      <w:r>
        <w:rPr>
          <w:rFonts w:hint="eastAsia" w:ascii="宋体" w:hAnsi="宋体"/>
          <w:sz w:val="24"/>
        </w:rPr>
        <w:t>　　本公司郑重声明，根据《政府采购促进中小企业发展暂行办法》（财库[2011]181号）的规定，本公司为______（请填写：中型、小型、微型）企业。即，本公司同时满足以下条件：</w:t>
      </w:r>
    </w:p>
    <w:p>
      <w:pPr>
        <w:spacing w:line="500" w:lineRule="exact"/>
        <w:ind w:firstLine="495"/>
        <w:rPr>
          <w:rFonts w:ascii="宋体" w:hAnsi="宋体"/>
          <w:sz w:val="24"/>
        </w:rPr>
      </w:pPr>
      <w:r>
        <w:rPr>
          <w:rFonts w:hint="eastAsia" w:ascii="宋体" w:hAnsi="宋体"/>
          <w:sz w:val="24"/>
        </w:rPr>
        <w:t>　　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95"/>
        <w:rPr>
          <w:rFonts w:ascii="宋体" w:hAnsi="宋体"/>
          <w:sz w:val="24"/>
        </w:rPr>
      </w:pPr>
      <w:r>
        <w:rPr>
          <w:rFonts w:hint="eastAsia" w:ascii="宋体" w:hAnsi="宋体"/>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95"/>
        <w:rPr>
          <w:rFonts w:ascii="宋体" w:hAnsi="宋体"/>
          <w:sz w:val="24"/>
        </w:rPr>
      </w:pPr>
      <w:r>
        <w:rPr>
          <w:rFonts w:hint="eastAsia" w:ascii="宋体" w:hAnsi="宋体"/>
          <w:sz w:val="24"/>
        </w:rPr>
        <w:t>　　本公司对上述声明的真实性负责。如有虚假，将依法承担相应责任。</w:t>
      </w:r>
    </w:p>
    <w:p>
      <w:pPr>
        <w:spacing w:line="500" w:lineRule="exact"/>
        <w:ind w:firstLine="495"/>
        <w:rPr>
          <w:rFonts w:ascii="宋体" w:hAnsi="宋体"/>
          <w:sz w:val="24"/>
        </w:rPr>
      </w:pPr>
      <w:r>
        <w:rPr>
          <w:rFonts w:hint="eastAsia" w:ascii="宋体" w:hAnsi="宋体"/>
          <w:sz w:val="24"/>
        </w:rPr>
        <w:t xml:space="preserve">　　　　　　 　　　　　　　　　　　　　　 　企业名称（盖章）： </w:t>
      </w:r>
    </w:p>
    <w:p>
      <w:pPr>
        <w:spacing w:line="500" w:lineRule="exact"/>
        <w:ind w:firstLine="495"/>
        <w:rPr>
          <w:rFonts w:ascii="宋体" w:hAnsi="宋体"/>
          <w:sz w:val="24"/>
        </w:rPr>
      </w:pPr>
      <w:r>
        <w:rPr>
          <w:rFonts w:hint="eastAsia" w:ascii="宋体" w:hAnsi="宋体"/>
          <w:sz w:val="24"/>
        </w:rPr>
        <w:t>　　　　　　　　　　　　　　　　　　　　 　日 期：　</w:t>
      </w:r>
    </w:p>
    <w:p>
      <w:pPr>
        <w:spacing w:line="500" w:lineRule="exact"/>
        <w:ind w:firstLine="495"/>
        <w:rPr>
          <w:rFonts w:ascii="宋体" w:hAnsi="宋体"/>
          <w:sz w:val="24"/>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pPr>
      <w:r>
        <w:rPr>
          <w:rStyle w:val="30"/>
          <w:rFonts w:hint="eastAsia"/>
        </w:rPr>
        <w:t>关于印发中小企业划型标准规定的通知</w:t>
      </w:r>
      <w:r>
        <w:rPr>
          <w:rFonts w:hint="eastAsia"/>
        </w:rPr>
        <w:br w:type="textWrapping"/>
      </w:r>
      <w:r>
        <w:rPr>
          <w:rFonts w:hint="eastAsia"/>
          <w:b/>
        </w:rPr>
        <w:t>工信部联企业〔2011〕300号</w:t>
      </w:r>
    </w:p>
    <w:p>
      <w:pPr>
        <w:pStyle w:val="26"/>
        <w:spacing w:line="480" w:lineRule="exact"/>
        <w:rPr>
          <w:rFonts w:cs="Times New Roman"/>
          <w:kern w:val="2"/>
        </w:rPr>
      </w:pPr>
      <w:r>
        <w:rPr>
          <w:rFonts w:hint="eastAsia" w:cs="Times New Roman"/>
          <w:kern w:val="2"/>
        </w:rPr>
        <w:t>各省、自治区、直辖市人民政府，国务院各部委、各直属机构及有关单位：</w:t>
      </w:r>
      <w:r>
        <w:rPr>
          <w:rFonts w:hint="eastAsia" w:cs="Times New Roman"/>
          <w:kern w:val="2"/>
        </w:rPr>
        <w:br w:type="textWrapping"/>
      </w:r>
      <w:r>
        <w:rPr>
          <w:rFonts w:hint="eastAsia" w:cs="Times New Roman"/>
          <w:kern w:val="2"/>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napToGrid w:val="0"/>
        <w:spacing w:before="100" w:beforeAutospacing="1" w:after="100" w:afterAutospacing="1" w:line="480" w:lineRule="exact"/>
        <w:jc w:val="right"/>
        <w:rPr>
          <w:rFonts w:ascii="宋体" w:hAnsi="宋体"/>
          <w:sz w:val="24"/>
        </w:rPr>
      </w:pPr>
      <w:r>
        <w:rPr>
          <w:rFonts w:hint="eastAsia" w:ascii="宋体" w:hAnsi="宋体"/>
          <w:sz w:val="24"/>
        </w:rPr>
        <w:t>　　　　　　　 工业和信息化部          国家统计局</w:t>
      </w:r>
    </w:p>
    <w:p>
      <w:pPr>
        <w:widowControl/>
        <w:snapToGrid w:val="0"/>
        <w:spacing w:before="100" w:beforeAutospacing="1" w:after="100" w:afterAutospacing="1" w:line="480" w:lineRule="exact"/>
        <w:jc w:val="right"/>
        <w:rPr>
          <w:rFonts w:ascii="宋体" w:hAnsi="宋体"/>
          <w:sz w:val="24"/>
        </w:rPr>
      </w:pPr>
      <w:r>
        <w:rPr>
          <w:rFonts w:hint="eastAsia" w:ascii="宋体" w:hAnsi="宋体"/>
          <w:sz w:val="24"/>
        </w:rPr>
        <w:t>　　           国家发展和改革委员会       财政部</w:t>
      </w:r>
    </w:p>
    <w:p>
      <w:pPr>
        <w:widowControl/>
        <w:snapToGrid w:val="0"/>
        <w:spacing w:before="100" w:beforeAutospacing="1" w:after="100" w:afterAutospacing="1" w:line="480" w:lineRule="exact"/>
        <w:jc w:val="right"/>
        <w:rPr>
          <w:rFonts w:ascii="宋体" w:hAnsi="宋体"/>
          <w:sz w:val="24"/>
        </w:rPr>
      </w:pPr>
      <w:r>
        <w:rPr>
          <w:rFonts w:hint="eastAsia" w:ascii="宋体" w:hAnsi="宋体"/>
          <w:sz w:val="24"/>
        </w:rPr>
        <w:t>　　                                                                          二○一一年六月十八日</w:t>
      </w:r>
    </w:p>
    <w:p>
      <w:pPr>
        <w:pStyle w:val="26"/>
        <w:spacing w:line="480" w:lineRule="exact"/>
      </w:pPr>
      <w:r>
        <w:rPr>
          <w:rFonts w:hint="eastAsia"/>
        </w:rPr>
        <w:t>　　　　</w:t>
      </w: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rPr>
          <w:rStyle w:val="30"/>
        </w:rPr>
      </w:pPr>
    </w:p>
    <w:p>
      <w:pPr>
        <w:pStyle w:val="26"/>
        <w:spacing w:line="480" w:lineRule="exact"/>
        <w:jc w:val="center"/>
      </w:pPr>
      <w:r>
        <w:rPr>
          <w:rStyle w:val="30"/>
          <w:rFonts w:hint="eastAsia"/>
        </w:rPr>
        <w:t>中小企业划型标准规定</w:t>
      </w:r>
    </w:p>
    <w:p>
      <w:pPr>
        <w:pStyle w:val="26"/>
        <w:spacing w:line="480" w:lineRule="exact"/>
        <w:rPr>
          <w:rFonts w:cs="Times New Roman"/>
          <w:kern w:val="2"/>
        </w:rPr>
      </w:pPr>
      <w:r>
        <w:rPr>
          <w:rFonts w:hint="eastAsia"/>
        </w:rPr>
        <w:t>　　</w:t>
      </w:r>
      <w:r>
        <w:rPr>
          <w:rFonts w:hint="eastAsia" w:cs="Times New Roman"/>
          <w:kern w:val="2"/>
        </w:rPr>
        <w:t>一、根据《中华人民共和国中小企业促进法》和《国务院关于进一步促进中小企业发展的若干意见》(国发〔2009〕36号)，制定本规定。</w:t>
      </w:r>
      <w:r>
        <w:rPr>
          <w:rFonts w:hint="eastAsia" w:cs="Times New Roman"/>
          <w:kern w:val="2"/>
        </w:rPr>
        <w:br w:type="textWrapping"/>
      </w:r>
      <w:r>
        <w:rPr>
          <w:rFonts w:hint="eastAsia" w:cs="Times New Roman"/>
          <w:kern w:val="2"/>
        </w:rPr>
        <w:t>　　二、中小企业划分为中型、小型、微型三种类型，具体标准根据企业从业人员、营业收入、资产总额等指标，结合行业特点制定。</w:t>
      </w:r>
      <w:r>
        <w:rPr>
          <w:rFonts w:hint="eastAsia" w:cs="Times New Roman"/>
          <w:kern w:val="2"/>
        </w:rPr>
        <w:br w:type="textWrapping"/>
      </w:r>
      <w:r>
        <w:rPr>
          <w:rFonts w:hint="eastAsia" w:cs="Times New Roman"/>
          <w:kern w:val="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Times New Roman"/>
          <w:kern w:val="2"/>
        </w:rPr>
        <w:br w:type="textWrapping"/>
      </w:r>
      <w:r>
        <w:rPr>
          <w:rFonts w:hint="eastAsia" w:cs="Times New Roman"/>
          <w:kern w:val="2"/>
        </w:rPr>
        <w:t>　　四、各行业划型标准为：</w:t>
      </w:r>
      <w:r>
        <w:rPr>
          <w:rFonts w:hint="eastAsia" w:cs="Times New Roman"/>
          <w:kern w:val="2"/>
        </w:rPr>
        <w:br w:type="textWrapping"/>
      </w:r>
      <w:r>
        <w:rPr>
          <w:rFonts w:hint="eastAsia" w:cs="Times New Roman"/>
          <w:kern w:val="2"/>
        </w:rPr>
        <w:t>　　（一）农、林、牧、渔业。营业收入20000万元以下的为中小微型企业。其中，营业收入500万元及以上的为中型企业，营业收入50万元及以上的为小型企业，营业收入50万元以下的为微型企业。</w:t>
      </w:r>
      <w:r>
        <w:rPr>
          <w:rFonts w:hint="eastAsia" w:cs="Times New Roman"/>
          <w:kern w:val="2"/>
        </w:rPr>
        <w:br w:type="textWrapping"/>
      </w:r>
      <w:r>
        <w:rPr>
          <w:rFonts w:hint="eastAsia" w:cs="Times New Roman"/>
          <w:kern w:val="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Times New Roman"/>
          <w:kern w:val="2"/>
        </w:rPr>
        <w:br w:type="textWrapping"/>
      </w:r>
      <w:r>
        <w:rPr>
          <w:rFonts w:hint="eastAsia" w:cs="Times New Roman"/>
          <w:kern w:val="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Times New Roman"/>
          <w:kern w:val="2"/>
        </w:rPr>
        <w:br w:type="textWrapping"/>
      </w:r>
      <w:r>
        <w:rPr>
          <w:rFonts w:hint="eastAsia" w:cs="Times New Roman"/>
          <w:kern w:val="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Times New Roman"/>
          <w:kern w:val="2"/>
        </w:rPr>
        <w:br w:type="textWrapping"/>
      </w:r>
      <w:r>
        <w:rPr>
          <w:rFonts w:hint="eastAsia" w:cs="Times New Roman"/>
          <w:kern w:val="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Times New Roman"/>
          <w:kern w:val="2"/>
        </w:rPr>
        <w:br w:type="textWrapping"/>
      </w:r>
      <w:r>
        <w:rPr>
          <w:rFonts w:hint="eastAsia" w:cs="Times New Roman"/>
          <w:kern w:val="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Times New Roman"/>
          <w:kern w:val="2"/>
        </w:rPr>
        <w:br w:type="textWrapping"/>
      </w:r>
      <w:r>
        <w:rPr>
          <w:rFonts w:hint="eastAsia" w:cs="Times New Roman"/>
          <w:kern w:val="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Times New Roman"/>
          <w:kern w:val="2"/>
        </w:rPr>
        <w:br w:type="textWrapping"/>
      </w:r>
      <w:r>
        <w:rPr>
          <w:rFonts w:hint="eastAsia" w:cs="Times New Roman"/>
          <w:kern w:val="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Times New Roman"/>
          <w:kern w:val="2"/>
        </w:rPr>
        <w:br w:type="textWrapping"/>
      </w:r>
      <w:r>
        <w:rPr>
          <w:rFonts w:hint="eastAsia" w:cs="Times New Roman"/>
          <w:kern w:val="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Times New Roman"/>
          <w:kern w:val="2"/>
        </w:rPr>
        <w:br w:type="textWrapping"/>
      </w:r>
      <w:r>
        <w:rPr>
          <w:rFonts w:hint="eastAsia" w:cs="Times New Roman"/>
          <w:kern w:val="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Times New Roman"/>
          <w:kern w:val="2"/>
        </w:rPr>
        <w:br w:type="textWrapping"/>
      </w:r>
      <w:r>
        <w:rPr>
          <w:rFonts w:hint="eastAsia" w:cs="Times New Roman"/>
          <w:kern w:val="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Times New Roman"/>
          <w:kern w:val="2"/>
        </w:rPr>
        <w:br w:type="textWrapping"/>
      </w:r>
      <w:r>
        <w:rPr>
          <w:rFonts w:hint="eastAsia" w:cs="Times New Roman"/>
          <w:kern w:val="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Times New Roman"/>
          <w:kern w:val="2"/>
        </w:rPr>
        <w:br w:type="textWrapping"/>
      </w:r>
      <w:r>
        <w:rPr>
          <w:rFonts w:hint="eastAsia" w:cs="Times New Roman"/>
          <w:kern w:val="2"/>
        </w:rPr>
        <w:t>　　（十六）其他未列明行业。从业人员300人以下的为中小微型企业。其中，从业人员100人及以上的为中型企业；从业人员10人及以上的为小型企业；从业人员10人以下的为微型企业。</w:t>
      </w:r>
      <w:r>
        <w:rPr>
          <w:rFonts w:hint="eastAsia" w:cs="Times New Roman"/>
          <w:kern w:val="2"/>
        </w:rPr>
        <w:br w:type="textWrapping"/>
      </w:r>
      <w:r>
        <w:rPr>
          <w:rFonts w:hint="eastAsia" w:cs="Times New Roman"/>
          <w:kern w:val="2"/>
        </w:rPr>
        <w:t>　　五、企业类型的划分以统计部门的统计数据为依据。</w:t>
      </w:r>
      <w:r>
        <w:rPr>
          <w:rFonts w:hint="eastAsia" w:cs="Times New Roman"/>
          <w:kern w:val="2"/>
        </w:rPr>
        <w:br w:type="textWrapping"/>
      </w:r>
      <w:r>
        <w:rPr>
          <w:rFonts w:hint="eastAsia" w:cs="Times New Roman"/>
          <w:kern w:val="2"/>
        </w:rPr>
        <w:t>　　六、本规定适用于在中华人民共和国境内依法设立的各类所有制和各种组织形式的企业。个体工商户和本规定以外的行业，参照本规定进行划型。</w:t>
      </w:r>
      <w:r>
        <w:rPr>
          <w:rFonts w:hint="eastAsia" w:cs="Times New Roman"/>
          <w:kern w:val="2"/>
        </w:rPr>
        <w:br w:type="textWrapping"/>
      </w:r>
      <w:r>
        <w:rPr>
          <w:rFonts w:hint="eastAsia" w:cs="Times New Roman"/>
          <w:kern w:val="2"/>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Times New Roman"/>
          <w:kern w:val="2"/>
        </w:rPr>
        <w:br w:type="textWrapping"/>
      </w:r>
      <w:r>
        <w:rPr>
          <w:rFonts w:hint="eastAsia" w:cs="Times New Roman"/>
          <w:kern w:val="2"/>
        </w:rPr>
        <w:t>　　八、本规定由工业和信息化部、国家统计局会同有关部门根据《国民经济行业分类》修订情况和企业发展变化情况适时修订。</w:t>
      </w:r>
      <w:r>
        <w:rPr>
          <w:rFonts w:hint="eastAsia" w:cs="Times New Roman"/>
          <w:kern w:val="2"/>
        </w:rPr>
        <w:br w:type="textWrapping"/>
      </w:r>
      <w:r>
        <w:rPr>
          <w:rFonts w:hint="eastAsia" w:cs="Times New Roman"/>
          <w:kern w:val="2"/>
        </w:rPr>
        <w:t>　　九、本规定由工业和信息化部、国家统计局会同有关部门负责解释。</w:t>
      </w:r>
      <w:r>
        <w:rPr>
          <w:rFonts w:hint="eastAsia" w:cs="Times New Roman"/>
          <w:kern w:val="2"/>
        </w:rPr>
        <w:br w:type="textWrapping"/>
      </w:r>
      <w:r>
        <w:rPr>
          <w:rFonts w:hint="eastAsia" w:cs="Times New Roman"/>
          <w:kern w:val="2"/>
        </w:rPr>
        <w:t>　　十、本规定自发布之日起执行，原国家经贸委、原国家计委、财政部和国家统计局2003年颁布的《中小企业标准暂行规定》同时废止。</w:t>
      </w:r>
    </w:p>
    <w:p>
      <w:pPr>
        <w:pStyle w:val="26"/>
        <w:spacing w:line="480" w:lineRule="exact"/>
        <w:rPr>
          <w:rFonts w:cs="Times New Roman"/>
          <w:kern w:val="2"/>
        </w:rPr>
      </w:pPr>
      <w:r>
        <w:rPr>
          <w:rFonts w:hint="eastAsia" w:cs="Times New Roman"/>
          <w:kern w:val="2"/>
        </w:rPr>
        <w:br w:type="page"/>
      </w:r>
    </w:p>
    <w:p>
      <w:pPr>
        <w:spacing w:before="312" w:beforeLines="100" w:after="312" w:afterLines="100"/>
        <w:jc w:val="center"/>
        <w:rPr>
          <w:sz w:val="44"/>
          <w:szCs w:val="44"/>
        </w:rPr>
      </w:pPr>
      <w:r>
        <w:rPr>
          <w:rFonts w:hint="eastAsia"/>
          <w:sz w:val="44"/>
          <w:szCs w:val="44"/>
        </w:rPr>
        <w:t>政府采购类项目招标文件确认函</w:t>
      </w:r>
    </w:p>
    <w:p>
      <w:pPr>
        <w:rPr>
          <w:rFonts w:ascii="仿宋_GB2312" w:eastAsia="仿宋_GB2312"/>
          <w:sz w:val="32"/>
          <w:szCs w:val="32"/>
        </w:rPr>
      </w:pPr>
      <w:r>
        <w:rPr>
          <w:rFonts w:hint="eastAsia" w:ascii="仿宋_GB2312" w:eastAsia="仿宋_GB2312"/>
          <w:sz w:val="32"/>
          <w:szCs w:val="32"/>
        </w:rPr>
        <w:t>白银市公共资源交易中心：</w:t>
      </w:r>
    </w:p>
    <w:p>
      <w:pPr>
        <w:ind w:firstLine="645"/>
        <w:rPr>
          <w:rFonts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白银市食品检验检测中心食品检（监）测能力建设项目（第二次）</w:t>
      </w:r>
    </w:p>
    <w:p>
      <w:pPr>
        <w:ind w:firstLine="645"/>
        <w:rPr>
          <w:rFonts w:ascii="仿宋_GB2312" w:eastAsia="仿宋_GB2312"/>
          <w:sz w:val="32"/>
          <w:szCs w:val="32"/>
        </w:rPr>
      </w:pPr>
      <w:r>
        <w:rPr>
          <w:rFonts w:hint="eastAsia" w:ascii="仿宋_GB2312" w:eastAsia="仿宋_GB2312"/>
          <w:sz w:val="32"/>
          <w:szCs w:val="32"/>
        </w:rPr>
        <w:t>招标编号：BGZJ-ZC17329</w:t>
      </w:r>
    </w:p>
    <w:p>
      <w:pPr>
        <w:ind w:firstLine="645"/>
        <w:rPr>
          <w:rFonts w:ascii="仿宋_GB2312" w:eastAsia="仿宋_GB2312"/>
          <w:sz w:val="32"/>
          <w:szCs w:val="32"/>
        </w:rPr>
      </w:pPr>
      <w:r>
        <w:rPr>
          <w:rFonts w:hint="eastAsia" w:ascii="仿宋_GB2312" w:eastAsia="仿宋_GB2312"/>
          <w:sz w:val="32"/>
          <w:szCs w:val="32"/>
        </w:rPr>
        <w:t>我单位关于此项政府采购类项目招标文件，由我单位及委托的中招国际招标有限公司甘肃分公司代理公司制作，本招标文件内容符合《政府采购法》、《政府采购法实施条例》等相关法律法规之规定，无特指供应商绑定条款，无倾向性参数，对每个潜在投标人均体现公平、公正原则，无歧视性条款。若因招标文件内容引起质疑、问询，以及投诉及调查等，由我单位负责解释答疑及承担相关责任。</w:t>
      </w:r>
    </w:p>
    <w:p>
      <w:pPr>
        <w:ind w:firstLine="645"/>
        <w:rPr>
          <w:rFonts w:ascii="仿宋_GB2312" w:eastAsia="仿宋_GB2312"/>
          <w:sz w:val="32"/>
          <w:szCs w:val="32"/>
        </w:rPr>
      </w:pPr>
    </w:p>
    <w:p>
      <w:pPr>
        <w:ind w:firstLine="645"/>
        <w:rPr>
          <w:rFonts w:ascii="仿宋_GB2312" w:eastAsia="仿宋_GB2312"/>
          <w:sz w:val="32"/>
          <w:szCs w:val="32"/>
        </w:rPr>
      </w:pPr>
    </w:p>
    <w:p>
      <w:pPr>
        <w:ind w:firstLine="645"/>
        <w:jc w:val="center"/>
        <w:rPr>
          <w:rFonts w:ascii="仿宋_GB2312" w:eastAsia="仿宋_GB2312"/>
          <w:sz w:val="32"/>
          <w:szCs w:val="32"/>
        </w:rPr>
      </w:pPr>
      <w:r>
        <w:rPr>
          <w:rFonts w:hint="eastAsia" w:ascii="仿宋_GB2312" w:eastAsia="仿宋_GB2312"/>
          <w:sz w:val="32"/>
          <w:szCs w:val="32"/>
        </w:rPr>
        <w:t>招标人签字（盖章）：</w:t>
      </w:r>
      <w:r>
        <w:rPr>
          <w:rFonts w:ascii="仿宋_GB2312" w:eastAsia="仿宋_GB2312"/>
          <w:sz w:val="32"/>
          <w:szCs w:val="32"/>
        </w:rPr>
        <w:t xml:space="preserve"> </w:t>
      </w:r>
    </w:p>
    <w:p>
      <w:pPr>
        <w:pStyle w:val="26"/>
        <w:spacing w:line="480" w:lineRule="exact"/>
        <w:jc w:val="center"/>
        <w:rPr>
          <w:rFonts w:cs="Times New Roman"/>
          <w:kern w:val="2"/>
        </w:rPr>
      </w:pPr>
      <w:r>
        <w:rPr>
          <w:rFonts w:hint="eastAsia" w:ascii="仿宋_GB2312" w:eastAsia="仿宋_GB2312"/>
          <w:sz w:val="32"/>
          <w:szCs w:val="32"/>
        </w:rPr>
        <w:t xml:space="preserve">  2017年9月27日</w:t>
      </w:r>
    </w:p>
    <w:p>
      <w:pPr>
        <w:spacing w:line="360" w:lineRule="auto"/>
        <w:rPr>
          <w:rFonts w:ascii="宋体" w:hAnsi="宋体"/>
          <w:color w:val="000000"/>
          <w:sz w:val="24"/>
        </w:rPr>
      </w:pPr>
    </w:p>
    <w:sectPr>
      <w:pgSz w:w="11906" w:h="16838"/>
      <w:pgMar w:top="1077" w:right="1134" w:bottom="1077"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pperplate Gothic Bold">
    <w:panose1 w:val="020E0705020206020404"/>
    <w:charset w:val="00"/>
    <w:family w:val="swiss"/>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16</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3</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90" w:firstLineChars="50"/>
      <w:jc w:val="both"/>
    </w:pPr>
    <w:r>
      <w:rPr>
        <w:rFonts w:hint="eastAsia"/>
        <w:i/>
        <w:u w:val="single"/>
      </w:rPr>
      <w:t xml:space="preserve">  中招国际招标有限公司甘肃分公司                                                            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90" w:firstLineChars="50"/>
      <w:jc w:val="both"/>
      <w:rPr>
        <w:u w:val="single"/>
      </w:rPr>
    </w:pPr>
    <w:r>
      <w:rPr>
        <w:rFonts w:hint="eastAsia"/>
        <w:i/>
        <w:u w:val="single"/>
      </w:rPr>
      <w:t xml:space="preserve">  中招国际招标有限公司甘肃分公司                                                              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BD78F"/>
    <w:multiLevelType w:val="singleLevel"/>
    <w:tmpl w:val="55DBD78F"/>
    <w:lvl w:ilvl="0" w:tentative="0">
      <w:start w:val="2"/>
      <w:numFmt w:val="decimal"/>
      <w:suff w:val="nothing"/>
      <w:lvlText w:val="%1、"/>
      <w:lvlJc w:val="left"/>
    </w:lvl>
  </w:abstractNum>
  <w:abstractNum w:abstractNumId="1">
    <w:nsid w:val="56FC9AAA"/>
    <w:multiLevelType w:val="singleLevel"/>
    <w:tmpl w:val="56FC9AAA"/>
    <w:lvl w:ilvl="0" w:tentative="0">
      <w:start w:val="1"/>
      <w:numFmt w:val="decimal"/>
      <w:pStyle w:val="15"/>
      <w:lvlText w:val="%1."/>
      <w:lvlJc w:val="left"/>
      <w:pPr>
        <w:tabs>
          <w:tab w:val="left" w:pos="1200"/>
        </w:tabs>
        <w:ind w:left="1200" w:hanging="360"/>
      </w:pPr>
    </w:lvl>
  </w:abstractNum>
  <w:abstractNum w:abstractNumId="2">
    <w:nsid w:val="5751365A"/>
    <w:multiLevelType w:val="singleLevel"/>
    <w:tmpl w:val="5751365A"/>
    <w:lvl w:ilvl="0" w:tentative="0">
      <w:start w:val="5"/>
      <w:numFmt w:val="decimal"/>
      <w:suff w:val="nothing"/>
      <w:lvlText w:val="%1、"/>
      <w:lvlJc w:val="left"/>
    </w:lvl>
  </w:abstractNum>
  <w:abstractNum w:abstractNumId="3">
    <w:nsid w:val="5861CFF6"/>
    <w:multiLevelType w:val="singleLevel"/>
    <w:tmpl w:val="5861CFF6"/>
    <w:lvl w:ilvl="0" w:tentative="0">
      <w:start w:val="1"/>
      <w:numFmt w:val="decimal"/>
      <w:suff w:val="nothing"/>
      <w:lvlText w:val="%1）"/>
      <w:lvlJc w:val="left"/>
    </w:lvl>
  </w:abstractNum>
  <w:abstractNum w:abstractNumId="4">
    <w:nsid w:val="58620CF3"/>
    <w:multiLevelType w:val="singleLevel"/>
    <w:tmpl w:val="58620CF3"/>
    <w:lvl w:ilvl="0" w:tentative="0">
      <w:start w:val="1"/>
      <w:numFmt w:val="chineseCounting"/>
      <w:suff w:val="nothing"/>
      <w:lvlText w:val="%1、"/>
      <w:lvlJc w:val="left"/>
    </w:lvl>
  </w:abstractNum>
  <w:abstractNum w:abstractNumId="5">
    <w:nsid w:val="5993B6C5"/>
    <w:multiLevelType w:val="singleLevel"/>
    <w:tmpl w:val="5993B6C5"/>
    <w:lvl w:ilvl="0" w:tentative="0">
      <w:start w:val="1"/>
      <w:numFmt w:val="chineseCounting"/>
      <w:suff w:val="nothing"/>
      <w:lvlText w:val="（%1）"/>
      <w:lvlJc w:val="left"/>
    </w:lvl>
  </w:abstractNum>
  <w:abstractNum w:abstractNumId="6">
    <w:nsid w:val="6A0C1BCE"/>
    <w:multiLevelType w:val="multilevel"/>
    <w:tmpl w:val="6A0C1BCE"/>
    <w:lvl w:ilvl="0" w:tentative="0">
      <w:start w:val="1"/>
      <w:numFmt w:val="decimal"/>
      <w:lvlText w:val="%1"/>
      <w:lvlJc w:val="left"/>
      <w:pPr>
        <w:tabs>
          <w:tab w:val="left" w:pos="170"/>
        </w:tabs>
        <w:ind w:left="0" w:firstLine="170"/>
      </w:pPr>
      <w:rPr>
        <w:rFonts w:hint="default"/>
      </w:rPr>
    </w:lvl>
    <w:lvl w:ilvl="1" w:tentative="0">
      <w:start w:val="1"/>
      <w:numFmt w:val="decimal"/>
      <w:lvlText w:val="%2)"/>
      <w:lvlJc w:val="left"/>
      <w:pPr>
        <w:tabs>
          <w:tab w:val="left" w:pos="590"/>
        </w:tabs>
        <w:ind w:left="590" w:hanging="420"/>
      </w:pPr>
      <w:rPr>
        <w:rFonts w:hint="default"/>
      </w:rPr>
    </w:lvl>
    <w:lvl w:ilvl="2" w:tentative="0">
      <w:start w:val="1"/>
      <w:numFmt w:val="decimal"/>
      <w:lvlText w:val="%3、"/>
      <w:lvlJc w:val="left"/>
      <w:pPr>
        <w:tabs>
          <w:tab w:val="left" w:pos="1200"/>
        </w:tabs>
        <w:ind w:left="1200" w:hanging="360"/>
      </w:pPr>
      <w:rPr>
        <w:rFonts w:hint="eastAsia"/>
      </w:rPr>
    </w:lvl>
    <w:lvl w:ilvl="3" w:tentative="0">
      <w:start w:val="1"/>
      <w:numFmt w:val="japaneseCounting"/>
      <w:lvlText w:val="%4、"/>
      <w:lvlJc w:val="left"/>
      <w:pPr>
        <w:tabs>
          <w:tab w:val="left" w:pos="2220"/>
        </w:tabs>
        <w:ind w:left="2220" w:hanging="960"/>
      </w:pPr>
      <w:rPr>
        <w:rFonts w:hint="default"/>
      </w:rPr>
    </w:lvl>
    <w:lvl w:ilvl="4" w:tentative="0">
      <w:start w:val="1"/>
      <w:numFmt w:val="decimal"/>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51001"/>
    <w:rsid w:val="0000701B"/>
    <w:rsid w:val="00011076"/>
    <w:rsid w:val="00013D9A"/>
    <w:rsid w:val="000201E3"/>
    <w:rsid w:val="00021F73"/>
    <w:rsid w:val="00023FEA"/>
    <w:rsid w:val="00033FEA"/>
    <w:rsid w:val="00036332"/>
    <w:rsid w:val="00043094"/>
    <w:rsid w:val="00075804"/>
    <w:rsid w:val="000769D8"/>
    <w:rsid w:val="00081312"/>
    <w:rsid w:val="000820DE"/>
    <w:rsid w:val="00084FB6"/>
    <w:rsid w:val="00085796"/>
    <w:rsid w:val="000928CA"/>
    <w:rsid w:val="0009334D"/>
    <w:rsid w:val="000A1348"/>
    <w:rsid w:val="000A13B6"/>
    <w:rsid w:val="000A36B0"/>
    <w:rsid w:val="000A4638"/>
    <w:rsid w:val="000A5521"/>
    <w:rsid w:val="000B02D6"/>
    <w:rsid w:val="000B23AA"/>
    <w:rsid w:val="000B26AF"/>
    <w:rsid w:val="000B5997"/>
    <w:rsid w:val="000C1A50"/>
    <w:rsid w:val="000D38B6"/>
    <w:rsid w:val="000E1D91"/>
    <w:rsid w:val="000E277F"/>
    <w:rsid w:val="000E3C70"/>
    <w:rsid w:val="000E6FC9"/>
    <w:rsid w:val="000E7A43"/>
    <w:rsid w:val="000F3B59"/>
    <w:rsid w:val="000F66BE"/>
    <w:rsid w:val="00103063"/>
    <w:rsid w:val="001047D2"/>
    <w:rsid w:val="00115F0C"/>
    <w:rsid w:val="00117557"/>
    <w:rsid w:val="00117DB8"/>
    <w:rsid w:val="00117FB8"/>
    <w:rsid w:val="0012312A"/>
    <w:rsid w:val="001269A6"/>
    <w:rsid w:val="00135A7A"/>
    <w:rsid w:val="001367F8"/>
    <w:rsid w:val="00147F32"/>
    <w:rsid w:val="001611D0"/>
    <w:rsid w:val="00162B57"/>
    <w:rsid w:val="00164D7C"/>
    <w:rsid w:val="001653D5"/>
    <w:rsid w:val="00165474"/>
    <w:rsid w:val="001664CE"/>
    <w:rsid w:val="001721BE"/>
    <w:rsid w:val="00172506"/>
    <w:rsid w:val="00176627"/>
    <w:rsid w:val="00176FF5"/>
    <w:rsid w:val="00180154"/>
    <w:rsid w:val="00192E91"/>
    <w:rsid w:val="00193211"/>
    <w:rsid w:val="00196033"/>
    <w:rsid w:val="001A16AD"/>
    <w:rsid w:val="001A1FFD"/>
    <w:rsid w:val="001A2F09"/>
    <w:rsid w:val="001A3FB6"/>
    <w:rsid w:val="001A746B"/>
    <w:rsid w:val="001B13DB"/>
    <w:rsid w:val="001B231E"/>
    <w:rsid w:val="001C4F3B"/>
    <w:rsid w:val="001C56D9"/>
    <w:rsid w:val="001D0E3E"/>
    <w:rsid w:val="001D2723"/>
    <w:rsid w:val="001D556B"/>
    <w:rsid w:val="001E2B30"/>
    <w:rsid w:val="001E7F93"/>
    <w:rsid w:val="001F3EDC"/>
    <w:rsid w:val="001F487F"/>
    <w:rsid w:val="00210269"/>
    <w:rsid w:val="00211895"/>
    <w:rsid w:val="00216BE6"/>
    <w:rsid w:val="0022018D"/>
    <w:rsid w:val="00222006"/>
    <w:rsid w:val="0022232A"/>
    <w:rsid w:val="00224A61"/>
    <w:rsid w:val="00225168"/>
    <w:rsid w:val="002276FF"/>
    <w:rsid w:val="002314E1"/>
    <w:rsid w:val="0023305C"/>
    <w:rsid w:val="00234AD3"/>
    <w:rsid w:val="00236A7A"/>
    <w:rsid w:val="00240999"/>
    <w:rsid w:val="002427EC"/>
    <w:rsid w:val="00253169"/>
    <w:rsid w:val="00254212"/>
    <w:rsid w:val="00257AEC"/>
    <w:rsid w:val="00262760"/>
    <w:rsid w:val="00262D71"/>
    <w:rsid w:val="00263B32"/>
    <w:rsid w:val="00264DF4"/>
    <w:rsid w:val="00266337"/>
    <w:rsid w:val="00266465"/>
    <w:rsid w:val="00270266"/>
    <w:rsid w:val="00273E8A"/>
    <w:rsid w:val="0027794E"/>
    <w:rsid w:val="002779A9"/>
    <w:rsid w:val="00277EF8"/>
    <w:rsid w:val="0028044E"/>
    <w:rsid w:val="00281803"/>
    <w:rsid w:val="00285F25"/>
    <w:rsid w:val="002976D3"/>
    <w:rsid w:val="00297E5F"/>
    <w:rsid w:val="00297EAD"/>
    <w:rsid w:val="002A2693"/>
    <w:rsid w:val="002A63C1"/>
    <w:rsid w:val="002B1896"/>
    <w:rsid w:val="002B484B"/>
    <w:rsid w:val="002B4A68"/>
    <w:rsid w:val="002C06E7"/>
    <w:rsid w:val="002C0CB6"/>
    <w:rsid w:val="002C2DAA"/>
    <w:rsid w:val="002C3EAA"/>
    <w:rsid w:val="002C6696"/>
    <w:rsid w:val="002C756E"/>
    <w:rsid w:val="002D00B4"/>
    <w:rsid w:val="002D272D"/>
    <w:rsid w:val="002D2E05"/>
    <w:rsid w:val="002D3A8D"/>
    <w:rsid w:val="002E2F70"/>
    <w:rsid w:val="002F298A"/>
    <w:rsid w:val="002F3EE9"/>
    <w:rsid w:val="003008FA"/>
    <w:rsid w:val="003032FF"/>
    <w:rsid w:val="00304D82"/>
    <w:rsid w:val="00305456"/>
    <w:rsid w:val="00310675"/>
    <w:rsid w:val="0031168D"/>
    <w:rsid w:val="00313534"/>
    <w:rsid w:val="00313AB7"/>
    <w:rsid w:val="00313BD6"/>
    <w:rsid w:val="00313E3D"/>
    <w:rsid w:val="00314544"/>
    <w:rsid w:val="003171FA"/>
    <w:rsid w:val="003173F6"/>
    <w:rsid w:val="00326355"/>
    <w:rsid w:val="003360F5"/>
    <w:rsid w:val="00355AC8"/>
    <w:rsid w:val="00361AF9"/>
    <w:rsid w:val="00364AA9"/>
    <w:rsid w:val="00364F9D"/>
    <w:rsid w:val="003700A7"/>
    <w:rsid w:val="00373129"/>
    <w:rsid w:val="00373608"/>
    <w:rsid w:val="003746CF"/>
    <w:rsid w:val="00375667"/>
    <w:rsid w:val="00377C37"/>
    <w:rsid w:val="00380AA4"/>
    <w:rsid w:val="00387DC9"/>
    <w:rsid w:val="003925A2"/>
    <w:rsid w:val="003A1827"/>
    <w:rsid w:val="003B0278"/>
    <w:rsid w:val="003B5A7F"/>
    <w:rsid w:val="003C04FB"/>
    <w:rsid w:val="003C1B43"/>
    <w:rsid w:val="003C277E"/>
    <w:rsid w:val="003C2B1E"/>
    <w:rsid w:val="003C4DAC"/>
    <w:rsid w:val="003C6F84"/>
    <w:rsid w:val="003D2077"/>
    <w:rsid w:val="003D48F4"/>
    <w:rsid w:val="003D69C7"/>
    <w:rsid w:val="003D758E"/>
    <w:rsid w:val="003E0AEC"/>
    <w:rsid w:val="003E0DAA"/>
    <w:rsid w:val="003E3272"/>
    <w:rsid w:val="003E52AB"/>
    <w:rsid w:val="003E72D8"/>
    <w:rsid w:val="003F7737"/>
    <w:rsid w:val="004018F4"/>
    <w:rsid w:val="00402B9D"/>
    <w:rsid w:val="00403575"/>
    <w:rsid w:val="0042099C"/>
    <w:rsid w:val="004234D5"/>
    <w:rsid w:val="00430C6C"/>
    <w:rsid w:val="004368EE"/>
    <w:rsid w:val="004379C4"/>
    <w:rsid w:val="00441129"/>
    <w:rsid w:val="004443B0"/>
    <w:rsid w:val="004543D5"/>
    <w:rsid w:val="004549F9"/>
    <w:rsid w:val="00455DEC"/>
    <w:rsid w:val="004561F2"/>
    <w:rsid w:val="00462778"/>
    <w:rsid w:val="00467965"/>
    <w:rsid w:val="0047084C"/>
    <w:rsid w:val="00471AD9"/>
    <w:rsid w:val="00476892"/>
    <w:rsid w:val="004779BB"/>
    <w:rsid w:val="00481B94"/>
    <w:rsid w:val="004870FF"/>
    <w:rsid w:val="00490135"/>
    <w:rsid w:val="004909B3"/>
    <w:rsid w:val="00492CC8"/>
    <w:rsid w:val="00494899"/>
    <w:rsid w:val="00494C91"/>
    <w:rsid w:val="0049732B"/>
    <w:rsid w:val="00497BBA"/>
    <w:rsid w:val="004A0487"/>
    <w:rsid w:val="004A111B"/>
    <w:rsid w:val="004B3A99"/>
    <w:rsid w:val="004B7923"/>
    <w:rsid w:val="004C405C"/>
    <w:rsid w:val="004C42CE"/>
    <w:rsid w:val="004D1A67"/>
    <w:rsid w:val="004D4D79"/>
    <w:rsid w:val="004E0D82"/>
    <w:rsid w:val="004E1869"/>
    <w:rsid w:val="004E5E4B"/>
    <w:rsid w:val="004E7F73"/>
    <w:rsid w:val="004F2465"/>
    <w:rsid w:val="004F2D20"/>
    <w:rsid w:val="004F3095"/>
    <w:rsid w:val="00500503"/>
    <w:rsid w:val="00501F6F"/>
    <w:rsid w:val="005065BB"/>
    <w:rsid w:val="00510A96"/>
    <w:rsid w:val="00514FE3"/>
    <w:rsid w:val="00521DF6"/>
    <w:rsid w:val="00525326"/>
    <w:rsid w:val="00527419"/>
    <w:rsid w:val="00531B36"/>
    <w:rsid w:val="0054445F"/>
    <w:rsid w:val="00556323"/>
    <w:rsid w:val="00556E0A"/>
    <w:rsid w:val="00560E74"/>
    <w:rsid w:val="0056185D"/>
    <w:rsid w:val="00566210"/>
    <w:rsid w:val="00570AB9"/>
    <w:rsid w:val="005710D2"/>
    <w:rsid w:val="0057290E"/>
    <w:rsid w:val="00574823"/>
    <w:rsid w:val="005749D6"/>
    <w:rsid w:val="00577A6C"/>
    <w:rsid w:val="00583020"/>
    <w:rsid w:val="00584035"/>
    <w:rsid w:val="00587481"/>
    <w:rsid w:val="00591CE6"/>
    <w:rsid w:val="00591EAE"/>
    <w:rsid w:val="005940FB"/>
    <w:rsid w:val="00597F0B"/>
    <w:rsid w:val="005A0287"/>
    <w:rsid w:val="005A0F8E"/>
    <w:rsid w:val="005A1CA0"/>
    <w:rsid w:val="005A1CC7"/>
    <w:rsid w:val="005A210D"/>
    <w:rsid w:val="005B75A6"/>
    <w:rsid w:val="005B791B"/>
    <w:rsid w:val="005C4AD2"/>
    <w:rsid w:val="005C4C2B"/>
    <w:rsid w:val="005C4E0B"/>
    <w:rsid w:val="005C6CBE"/>
    <w:rsid w:val="005D2212"/>
    <w:rsid w:val="005D4481"/>
    <w:rsid w:val="005D5ED4"/>
    <w:rsid w:val="005E24AC"/>
    <w:rsid w:val="005E56C1"/>
    <w:rsid w:val="005E6A7B"/>
    <w:rsid w:val="005E7139"/>
    <w:rsid w:val="005F4B00"/>
    <w:rsid w:val="006006E7"/>
    <w:rsid w:val="006045CE"/>
    <w:rsid w:val="00610A7C"/>
    <w:rsid w:val="00611666"/>
    <w:rsid w:val="00620E9B"/>
    <w:rsid w:val="00623873"/>
    <w:rsid w:val="006250B6"/>
    <w:rsid w:val="0062740A"/>
    <w:rsid w:val="00633B00"/>
    <w:rsid w:val="00637211"/>
    <w:rsid w:val="0064070A"/>
    <w:rsid w:val="00642FC1"/>
    <w:rsid w:val="00646D4A"/>
    <w:rsid w:val="00650197"/>
    <w:rsid w:val="006515BC"/>
    <w:rsid w:val="00657DD0"/>
    <w:rsid w:val="0066066C"/>
    <w:rsid w:val="006608BE"/>
    <w:rsid w:val="006636A5"/>
    <w:rsid w:val="006655EB"/>
    <w:rsid w:val="0067107E"/>
    <w:rsid w:val="00677DB7"/>
    <w:rsid w:val="0068286B"/>
    <w:rsid w:val="006834B0"/>
    <w:rsid w:val="00687CEB"/>
    <w:rsid w:val="006920F3"/>
    <w:rsid w:val="00693113"/>
    <w:rsid w:val="0069565F"/>
    <w:rsid w:val="006A2580"/>
    <w:rsid w:val="006A3E94"/>
    <w:rsid w:val="006A5990"/>
    <w:rsid w:val="006A7EB1"/>
    <w:rsid w:val="006B067B"/>
    <w:rsid w:val="006B0941"/>
    <w:rsid w:val="006B1B5B"/>
    <w:rsid w:val="006B57C4"/>
    <w:rsid w:val="006B6361"/>
    <w:rsid w:val="006C1C4D"/>
    <w:rsid w:val="006C489D"/>
    <w:rsid w:val="006C69A1"/>
    <w:rsid w:val="006E02BA"/>
    <w:rsid w:val="006E1B1C"/>
    <w:rsid w:val="006F14B6"/>
    <w:rsid w:val="006F1C59"/>
    <w:rsid w:val="006F3D37"/>
    <w:rsid w:val="006F4D90"/>
    <w:rsid w:val="006F4E38"/>
    <w:rsid w:val="00701795"/>
    <w:rsid w:val="00703348"/>
    <w:rsid w:val="0070514E"/>
    <w:rsid w:val="007125EF"/>
    <w:rsid w:val="007142F4"/>
    <w:rsid w:val="00723D41"/>
    <w:rsid w:val="007328E6"/>
    <w:rsid w:val="00735ED6"/>
    <w:rsid w:val="00740ABE"/>
    <w:rsid w:val="00742126"/>
    <w:rsid w:val="00743594"/>
    <w:rsid w:val="00746C79"/>
    <w:rsid w:val="00750EFE"/>
    <w:rsid w:val="00755317"/>
    <w:rsid w:val="0076268C"/>
    <w:rsid w:val="00772171"/>
    <w:rsid w:val="0077442A"/>
    <w:rsid w:val="0077607A"/>
    <w:rsid w:val="007779E9"/>
    <w:rsid w:val="00780F6C"/>
    <w:rsid w:val="0078504F"/>
    <w:rsid w:val="00787664"/>
    <w:rsid w:val="00787FF9"/>
    <w:rsid w:val="0079115C"/>
    <w:rsid w:val="007915EA"/>
    <w:rsid w:val="0079217A"/>
    <w:rsid w:val="00795F3A"/>
    <w:rsid w:val="007A296A"/>
    <w:rsid w:val="007A7C6F"/>
    <w:rsid w:val="007B07F3"/>
    <w:rsid w:val="007B73C1"/>
    <w:rsid w:val="007C6F87"/>
    <w:rsid w:val="007D57DA"/>
    <w:rsid w:val="007E02D6"/>
    <w:rsid w:val="007E57F4"/>
    <w:rsid w:val="007E5A3F"/>
    <w:rsid w:val="00800A32"/>
    <w:rsid w:val="008054B1"/>
    <w:rsid w:val="00805537"/>
    <w:rsid w:val="0081059E"/>
    <w:rsid w:val="00814C1F"/>
    <w:rsid w:val="00815CD9"/>
    <w:rsid w:val="008177D2"/>
    <w:rsid w:val="008246DA"/>
    <w:rsid w:val="008328FE"/>
    <w:rsid w:val="008372F0"/>
    <w:rsid w:val="00844AA0"/>
    <w:rsid w:val="008469D1"/>
    <w:rsid w:val="0085016F"/>
    <w:rsid w:val="00850E92"/>
    <w:rsid w:val="008514C6"/>
    <w:rsid w:val="00857FB6"/>
    <w:rsid w:val="00860A30"/>
    <w:rsid w:val="00861223"/>
    <w:rsid w:val="00870CEB"/>
    <w:rsid w:val="00872118"/>
    <w:rsid w:val="00874A15"/>
    <w:rsid w:val="00874C8E"/>
    <w:rsid w:val="008754A0"/>
    <w:rsid w:val="00885308"/>
    <w:rsid w:val="00885897"/>
    <w:rsid w:val="00885E5E"/>
    <w:rsid w:val="00887A15"/>
    <w:rsid w:val="0089114D"/>
    <w:rsid w:val="00892D58"/>
    <w:rsid w:val="008A1D71"/>
    <w:rsid w:val="008A3ECF"/>
    <w:rsid w:val="008A715B"/>
    <w:rsid w:val="008B4489"/>
    <w:rsid w:val="008B5AB4"/>
    <w:rsid w:val="008B795C"/>
    <w:rsid w:val="008C05E6"/>
    <w:rsid w:val="008C16A9"/>
    <w:rsid w:val="008C5F83"/>
    <w:rsid w:val="008D22A8"/>
    <w:rsid w:val="008D5347"/>
    <w:rsid w:val="008D783A"/>
    <w:rsid w:val="008E0664"/>
    <w:rsid w:val="008E4F5A"/>
    <w:rsid w:val="009051E7"/>
    <w:rsid w:val="009063BA"/>
    <w:rsid w:val="009078DB"/>
    <w:rsid w:val="00910BFE"/>
    <w:rsid w:val="00912C13"/>
    <w:rsid w:val="00914358"/>
    <w:rsid w:val="0091548D"/>
    <w:rsid w:val="009277A3"/>
    <w:rsid w:val="0093499B"/>
    <w:rsid w:val="009512D2"/>
    <w:rsid w:val="0095343A"/>
    <w:rsid w:val="009571AF"/>
    <w:rsid w:val="0096028A"/>
    <w:rsid w:val="00961376"/>
    <w:rsid w:val="00964524"/>
    <w:rsid w:val="0096491B"/>
    <w:rsid w:val="00965B26"/>
    <w:rsid w:val="00973826"/>
    <w:rsid w:val="00981AE9"/>
    <w:rsid w:val="00983D91"/>
    <w:rsid w:val="00985E8A"/>
    <w:rsid w:val="00985FEF"/>
    <w:rsid w:val="00992349"/>
    <w:rsid w:val="00992495"/>
    <w:rsid w:val="00992757"/>
    <w:rsid w:val="00993EC4"/>
    <w:rsid w:val="009952D3"/>
    <w:rsid w:val="009956D3"/>
    <w:rsid w:val="00995B08"/>
    <w:rsid w:val="00995C5E"/>
    <w:rsid w:val="009968CB"/>
    <w:rsid w:val="00997060"/>
    <w:rsid w:val="009A057D"/>
    <w:rsid w:val="009A2867"/>
    <w:rsid w:val="009A2E77"/>
    <w:rsid w:val="009A4B30"/>
    <w:rsid w:val="009B047D"/>
    <w:rsid w:val="009B0DCB"/>
    <w:rsid w:val="009B0E1F"/>
    <w:rsid w:val="009B44CC"/>
    <w:rsid w:val="009D4943"/>
    <w:rsid w:val="009D63F7"/>
    <w:rsid w:val="009E546A"/>
    <w:rsid w:val="009F2AD0"/>
    <w:rsid w:val="009F3C1D"/>
    <w:rsid w:val="009F55F2"/>
    <w:rsid w:val="00A018A6"/>
    <w:rsid w:val="00A02091"/>
    <w:rsid w:val="00A04669"/>
    <w:rsid w:val="00A07182"/>
    <w:rsid w:val="00A13556"/>
    <w:rsid w:val="00A215C2"/>
    <w:rsid w:val="00A246E4"/>
    <w:rsid w:val="00A27992"/>
    <w:rsid w:val="00A330DD"/>
    <w:rsid w:val="00A40AE9"/>
    <w:rsid w:val="00A4569D"/>
    <w:rsid w:val="00A468FA"/>
    <w:rsid w:val="00A474B0"/>
    <w:rsid w:val="00A47D55"/>
    <w:rsid w:val="00A51001"/>
    <w:rsid w:val="00A51646"/>
    <w:rsid w:val="00A53938"/>
    <w:rsid w:val="00A54387"/>
    <w:rsid w:val="00A5498E"/>
    <w:rsid w:val="00A56D6A"/>
    <w:rsid w:val="00A57B68"/>
    <w:rsid w:val="00A57D30"/>
    <w:rsid w:val="00A61B21"/>
    <w:rsid w:val="00A722C5"/>
    <w:rsid w:val="00A72EBD"/>
    <w:rsid w:val="00A73113"/>
    <w:rsid w:val="00A82D02"/>
    <w:rsid w:val="00A85F31"/>
    <w:rsid w:val="00A85FF6"/>
    <w:rsid w:val="00A87AF8"/>
    <w:rsid w:val="00A90386"/>
    <w:rsid w:val="00AA66D9"/>
    <w:rsid w:val="00AB02B7"/>
    <w:rsid w:val="00AB0485"/>
    <w:rsid w:val="00AB121B"/>
    <w:rsid w:val="00AB4C58"/>
    <w:rsid w:val="00AB54AA"/>
    <w:rsid w:val="00AB774F"/>
    <w:rsid w:val="00AC0F12"/>
    <w:rsid w:val="00AC273E"/>
    <w:rsid w:val="00AC32F7"/>
    <w:rsid w:val="00AC7C0F"/>
    <w:rsid w:val="00AD266D"/>
    <w:rsid w:val="00AD5D50"/>
    <w:rsid w:val="00AE0F7F"/>
    <w:rsid w:val="00AE3C2D"/>
    <w:rsid w:val="00AE5866"/>
    <w:rsid w:val="00AE7494"/>
    <w:rsid w:val="00AF0D78"/>
    <w:rsid w:val="00B009E8"/>
    <w:rsid w:val="00B116A8"/>
    <w:rsid w:val="00B202FF"/>
    <w:rsid w:val="00B247C6"/>
    <w:rsid w:val="00B26EF5"/>
    <w:rsid w:val="00B26F08"/>
    <w:rsid w:val="00B31036"/>
    <w:rsid w:val="00B377DB"/>
    <w:rsid w:val="00B44355"/>
    <w:rsid w:val="00B47310"/>
    <w:rsid w:val="00B50407"/>
    <w:rsid w:val="00B52440"/>
    <w:rsid w:val="00B53450"/>
    <w:rsid w:val="00B54728"/>
    <w:rsid w:val="00B60696"/>
    <w:rsid w:val="00B61F18"/>
    <w:rsid w:val="00B62CC5"/>
    <w:rsid w:val="00B635CA"/>
    <w:rsid w:val="00B63782"/>
    <w:rsid w:val="00B6530D"/>
    <w:rsid w:val="00B71121"/>
    <w:rsid w:val="00B745E5"/>
    <w:rsid w:val="00B74AD3"/>
    <w:rsid w:val="00B76A30"/>
    <w:rsid w:val="00B76E26"/>
    <w:rsid w:val="00B819D5"/>
    <w:rsid w:val="00B81F06"/>
    <w:rsid w:val="00B81FDA"/>
    <w:rsid w:val="00B872AF"/>
    <w:rsid w:val="00B954F8"/>
    <w:rsid w:val="00BA0FBC"/>
    <w:rsid w:val="00BA5340"/>
    <w:rsid w:val="00BB3781"/>
    <w:rsid w:val="00BB39C1"/>
    <w:rsid w:val="00BC2B32"/>
    <w:rsid w:val="00BC3CE3"/>
    <w:rsid w:val="00BC6F1A"/>
    <w:rsid w:val="00BD14FC"/>
    <w:rsid w:val="00BE0ADB"/>
    <w:rsid w:val="00BE2466"/>
    <w:rsid w:val="00BE2CFC"/>
    <w:rsid w:val="00BE4FEE"/>
    <w:rsid w:val="00BE5138"/>
    <w:rsid w:val="00BE5761"/>
    <w:rsid w:val="00BE5F12"/>
    <w:rsid w:val="00BF131C"/>
    <w:rsid w:val="00BF3680"/>
    <w:rsid w:val="00C010A5"/>
    <w:rsid w:val="00C05F97"/>
    <w:rsid w:val="00C10BC6"/>
    <w:rsid w:val="00C10E3C"/>
    <w:rsid w:val="00C11EDF"/>
    <w:rsid w:val="00C121BD"/>
    <w:rsid w:val="00C14F55"/>
    <w:rsid w:val="00C15A59"/>
    <w:rsid w:val="00C16F43"/>
    <w:rsid w:val="00C21226"/>
    <w:rsid w:val="00C240C9"/>
    <w:rsid w:val="00C259E6"/>
    <w:rsid w:val="00C26091"/>
    <w:rsid w:val="00C349F9"/>
    <w:rsid w:val="00C35B19"/>
    <w:rsid w:val="00C448CD"/>
    <w:rsid w:val="00C51DE9"/>
    <w:rsid w:val="00C565E7"/>
    <w:rsid w:val="00C630B1"/>
    <w:rsid w:val="00C63100"/>
    <w:rsid w:val="00C64959"/>
    <w:rsid w:val="00C65675"/>
    <w:rsid w:val="00C671FC"/>
    <w:rsid w:val="00C710D5"/>
    <w:rsid w:val="00C736C3"/>
    <w:rsid w:val="00C7460A"/>
    <w:rsid w:val="00C761FB"/>
    <w:rsid w:val="00C8014B"/>
    <w:rsid w:val="00C83A13"/>
    <w:rsid w:val="00C851DE"/>
    <w:rsid w:val="00C97282"/>
    <w:rsid w:val="00CA1736"/>
    <w:rsid w:val="00CA5C27"/>
    <w:rsid w:val="00CB149C"/>
    <w:rsid w:val="00CB33CB"/>
    <w:rsid w:val="00CC329B"/>
    <w:rsid w:val="00CD1D03"/>
    <w:rsid w:val="00CD1DBC"/>
    <w:rsid w:val="00CD37D6"/>
    <w:rsid w:val="00CD43EF"/>
    <w:rsid w:val="00CE0007"/>
    <w:rsid w:val="00CE19AE"/>
    <w:rsid w:val="00CE70F0"/>
    <w:rsid w:val="00CF1AF2"/>
    <w:rsid w:val="00CF3209"/>
    <w:rsid w:val="00D0140B"/>
    <w:rsid w:val="00D02ECA"/>
    <w:rsid w:val="00D03CE2"/>
    <w:rsid w:val="00D03D4A"/>
    <w:rsid w:val="00D04318"/>
    <w:rsid w:val="00D06960"/>
    <w:rsid w:val="00D124EB"/>
    <w:rsid w:val="00D1644B"/>
    <w:rsid w:val="00D17895"/>
    <w:rsid w:val="00D27F30"/>
    <w:rsid w:val="00D317F8"/>
    <w:rsid w:val="00D358B6"/>
    <w:rsid w:val="00D36EE7"/>
    <w:rsid w:val="00D3717B"/>
    <w:rsid w:val="00D43E11"/>
    <w:rsid w:val="00D46E60"/>
    <w:rsid w:val="00D470AC"/>
    <w:rsid w:val="00D520CB"/>
    <w:rsid w:val="00D57ED0"/>
    <w:rsid w:val="00D636B9"/>
    <w:rsid w:val="00D64A6E"/>
    <w:rsid w:val="00D71B59"/>
    <w:rsid w:val="00D736CC"/>
    <w:rsid w:val="00D76BA7"/>
    <w:rsid w:val="00D8542F"/>
    <w:rsid w:val="00D85804"/>
    <w:rsid w:val="00D8671E"/>
    <w:rsid w:val="00D928D5"/>
    <w:rsid w:val="00DA1C3F"/>
    <w:rsid w:val="00DA2D7D"/>
    <w:rsid w:val="00DA3543"/>
    <w:rsid w:val="00DA38EE"/>
    <w:rsid w:val="00DA3C47"/>
    <w:rsid w:val="00DB1483"/>
    <w:rsid w:val="00DB36FC"/>
    <w:rsid w:val="00DB5358"/>
    <w:rsid w:val="00DB6C5F"/>
    <w:rsid w:val="00DB76C1"/>
    <w:rsid w:val="00DC0605"/>
    <w:rsid w:val="00DC72FB"/>
    <w:rsid w:val="00DD18F7"/>
    <w:rsid w:val="00DD1DD3"/>
    <w:rsid w:val="00DD2A02"/>
    <w:rsid w:val="00DE1A68"/>
    <w:rsid w:val="00DE3D76"/>
    <w:rsid w:val="00DE427C"/>
    <w:rsid w:val="00DE516D"/>
    <w:rsid w:val="00DE6B0F"/>
    <w:rsid w:val="00DE6C88"/>
    <w:rsid w:val="00DE7A48"/>
    <w:rsid w:val="00E00E75"/>
    <w:rsid w:val="00E06AA8"/>
    <w:rsid w:val="00E14249"/>
    <w:rsid w:val="00E159FC"/>
    <w:rsid w:val="00E1701D"/>
    <w:rsid w:val="00E27E65"/>
    <w:rsid w:val="00E33925"/>
    <w:rsid w:val="00E34359"/>
    <w:rsid w:val="00E345A8"/>
    <w:rsid w:val="00E3653F"/>
    <w:rsid w:val="00E40565"/>
    <w:rsid w:val="00E41376"/>
    <w:rsid w:val="00E44F7D"/>
    <w:rsid w:val="00E47988"/>
    <w:rsid w:val="00E54C66"/>
    <w:rsid w:val="00E563A8"/>
    <w:rsid w:val="00E61590"/>
    <w:rsid w:val="00E6176D"/>
    <w:rsid w:val="00E66C28"/>
    <w:rsid w:val="00E6708B"/>
    <w:rsid w:val="00E67579"/>
    <w:rsid w:val="00E67897"/>
    <w:rsid w:val="00E70539"/>
    <w:rsid w:val="00E70CAB"/>
    <w:rsid w:val="00E713A8"/>
    <w:rsid w:val="00E74EF4"/>
    <w:rsid w:val="00E840F2"/>
    <w:rsid w:val="00E86A8C"/>
    <w:rsid w:val="00E86F2C"/>
    <w:rsid w:val="00E87A50"/>
    <w:rsid w:val="00E90500"/>
    <w:rsid w:val="00E90579"/>
    <w:rsid w:val="00E92350"/>
    <w:rsid w:val="00E963A7"/>
    <w:rsid w:val="00E96811"/>
    <w:rsid w:val="00EA1650"/>
    <w:rsid w:val="00EA1A8F"/>
    <w:rsid w:val="00EA6A2D"/>
    <w:rsid w:val="00EB1BC6"/>
    <w:rsid w:val="00EC063C"/>
    <w:rsid w:val="00ED0443"/>
    <w:rsid w:val="00ED081E"/>
    <w:rsid w:val="00ED3675"/>
    <w:rsid w:val="00ED52D9"/>
    <w:rsid w:val="00ED576F"/>
    <w:rsid w:val="00EE3E1B"/>
    <w:rsid w:val="00EE40CB"/>
    <w:rsid w:val="00EE656B"/>
    <w:rsid w:val="00EF318B"/>
    <w:rsid w:val="00F00E4A"/>
    <w:rsid w:val="00F0140C"/>
    <w:rsid w:val="00F022E5"/>
    <w:rsid w:val="00F025BA"/>
    <w:rsid w:val="00F034CE"/>
    <w:rsid w:val="00F039CA"/>
    <w:rsid w:val="00F06901"/>
    <w:rsid w:val="00F179A9"/>
    <w:rsid w:val="00F24B20"/>
    <w:rsid w:val="00F27067"/>
    <w:rsid w:val="00F274F1"/>
    <w:rsid w:val="00F27AD9"/>
    <w:rsid w:val="00F326CD"/>
    <w:rsid w:val="00F35A97"/>
    <w:rsid w:val="00F36DE4"/>
    <w:rsid w:val="00F45F28"/>
    <w:rsid w:val="00F53CBC"/>
    <w:rsid w:val="00F54D19"/>
    <w:rsid w:val="00F64926"/>
    <w:rsid w:val="00F66A6C"/>
    <w:rsid w:val="00F7613A"/>
    <w:rsid w:val="00F82513"/>
    <w:rsid w:val="00F83411"/>
    <w:rsid w:val="00F84B65"/>
    <w:rsid w:val="00F86B9F"/>
    <w:rsid w:val="00F903A8"/>
    <w:rsid w:val="00F9053C"/>
    <w:rsid w:val="00F96A01"/>
    <w:rsid w:val="00F97309"/>
    <w:rsid w:val="00F97882"/>
    <w:rsid w:val="00FB4467"/>
    <w:rsid w:val="00FB4D77"/>
    <w:rsid w:val="00FB4E73"/>
    <w:rsid w:val="00FB74C4"/>
    <w:rsid w:val="00FB772F"/>
    <w:rsid w:val="00FC24C1"/>
    <w:rsid w:val="00FD1C46"/>
    <w:rsid w:val="00FE16CA"/>
    <w:rsid w:val="00FE28F6"/>
    <w:rsid w:val="00FE5FD6"/>
    <w:rsid w:val="00FE7AC8"/>
    <w:rsid w:val="00FF081C"/>
    <w:rsid w:val="00FF09F4"/>
    <w:rsid w:val="00FF0DE6"/>
    <w:rsid w:val="012015EC"/>
    <w:rsid w:val="01245BEB"/>
    <w:rsid w:val="012D42FD"/>
    <w:rsid w:val="016F27E7"/>
    <w:rsid w:val="019B1DAD"/>
    <w:rsid w:val="01B22740"/>
    <w:rsid w:val="01B47A59"/>
    <w:rsid w:val="01C247F0"/>
    <w:rsid w:val="01CA1BFC"/>
    <w:rsid w:val="01E150A5"/>
    <w:rsid w:val="01F14930"/>
    <w:rsid w:val="02125874"/>
    <w:rsid w:val="021E3757"/>
    <w:rsid w:val="022C1CA1"/>
    <w:rsid w:val="02491F08"/>
    <w:rsid w:val="025D4E6D"/>
    <w:rsid w:val="025D6D0C"/>
    <w:rsid w:val="02835FA1"/>
    <w:rsid w:val="02993540"/>
    <w:rsid w:val="02B76703"/>
    <w:rsid w:val="02D06F2C"/>
    <w:rsid w:val="02E2795A"/>
    <w:rsid w:val="030B000A"/>
    <w:rsid w:val="033E7560"/>
    <w:rsid w:val="03653D6D"/>
    <w:rsid w:val="036D1790"/>
    <w:rsid w:val="039B3CA6"/>
    <w:rsid w:val="03B9272D"/>
    <w:rsid w:val="03E35AEF"/>
    <w:rsid w:val="03FC2E16"/>
    <w:rsid w:val="040C1B15"/>
    <w:rsid w:val="04354274"/>
    <w:rsid w:val="045A6A33"/>
    <w:rsid w:val="04664A43"/>
    <w:rsid w:val="04A610B0"/>
    <w:rsid w:val="05541795"/>
    <w:rsid w:val="05646EE5"/>
    <w:rsid w:val="057A60E3"/>
    <w:rsid w:val="058938A1"/>
    <w:rsid w:val="058A1323"/>
    <w:rsid w:val="058E041D"/>
    <w:rsid w:val="05B74771"/>
    <w:rsid w:val="05D639A0"/>
    <w:rsid w:val="06251328"/>
    <w:rsid w:val="06300BB7"/>
    <w:rsid w:val="064F144D"/>
    <w:rsid w:val="0654404A"/>
    <w:rsid w:val="067C79B2"/>
    <w:rsid w:val="068239E7"/>
    <w:rsid w:val="06B81D95"/>
    <w:rsid w:val="06D922CA"/>
    <w:rsid w:val="06E460DC"/>
    <w:rsid w:val="06E77940"/>
    <w:rsid w:val="07117EA5"/>
    <w:rsid w:val="071231C7"/>
    <w:rsid w:val="07D224E1"/>
    <w:rsid w:val="07D87C6E"/>
    <w:rsid w:val="07FD6BA9"/>
    <w:rsid w:val="080C2055"/>
    <w:rsid w:val="08533D34"/>
    <w:rsid w:val="08854643"/>
    <w:rsid w:val="08BB247D"/>
    <w:rsid w:val="08C52D6F"/>
    <w:rsid w:val="08D547C5"/>
    <w:rsid w:val="08E54928"/>
    <w:rsid w:val="08E9552D"/>
    <w:rsid w:val="08F02CB9"/>
    <w:rsid w:val="090E7CEB"/>
    <w:rsid w:val="0930603D"/>
    <w:rsid w:val="09317232"/>
    <w:rsid w:val="0971450C"/>
    <w:rsid w:val="097E7F9F"/>
    <w:rsid w:val="0997694A"/>
    <w:rsid w:val="09A1725A"/>
    <w:rsid w:val="09EE1557"/>
    <w:rsid w:val="0A035C46"/>
    <w:rsid w:val="0A3906D2"/>
    <w:rsid w:val="0A515D78"/>
    <w:rsid w:val="0A821DCB"/>
    <w:rsid w:val="0A922065"/>
    <w:rsid w:val="0A9E16FB"/>
    <w:rsid w:val="0ACF1ECA"/>
    <w:rsid w:val="0AF56886"/>
    <w:rsid w:val="0B6D0ACF"/>
    <w:rsid w:val="0B7B516D"/>
    <w:rsid w:val="0B8911D1"/>
    <w:rsid w:val="0B906705"/>
    <w:rsid w:val="0BEF4520"/>
    <w:rsid w:val="0C4F583E"/>
    <w:rsid w:val="0C545549"/>
    <w:rsid w:val="0C663265"/>
    <w:rsid w:val="0CAD145B"/>
    <w:rsid w:val="0CAE06C5"/>
    <w:rsid w:val="0CC37D7B"/>
    <w:rsid w:val="0CED6DDE"/>
    <w:rsid w:val="0D0B7276"/>
    <w:rsid w:val="0D4A6D5B"/>
    <w:rsid w:val="0D50256E"/>
    <w:rsid w:val="0D5D7F7A"/>
    <w:rsid w:val="0D627C85"/>
    <w:rsid w:val="0D6E5C96"/>
    <w:rsid w:val="0E026509"/>
    <w:rsid w:val="0E236A3E"/>
    <w:rsid w:val="0E52758D"/>
    <w:rsid w:val="0E7664C8"/>
    <w:rsid w:val="0E8A76E7"/>
    <w:rsid w:val="0EB053A8"/>
    <w:rsid w:val="0EBC02CE"/>
    <w:rsid w:val="0EC635F1"/>
    <w:rsid w:val="0EE16D35"/>
    <w:rsid w:val="0EEE4892"/>
    <w:rsid w:val="0EFA0CA0"/>
    <w:rsid w:val="0EFB4523"/>
    <w:rsid w:val="0F01062B"/>
    <w:rsid w:val="0F394008"/>
    <w:rsid w:val="0F424379"/>
    <w:rsid w:val="0F5A7DC0"/>
    <w:rsid w:val="0F604C43"/>
    <w:rsid w:val="0F6406CF"/>
    <w:rsid w:val="0F752B68"/>
    <w:rsid w:val="0F8F6F95"/>
    <w:rsid w:val="0FDB6DB6"/>
    <w:rsid w:val="0FF643BB"/>
    <w:rsid w:val="0FFD2BB8"/>
    <w:rsid w:val="1012756E"/>
    <w:rsid w:val="104F6C1E"/>
    <w:rsid w:val="108C5BB3"/>
    <w:rsid w:val="1091203B"/>
    <w:rsid w:val="10997447"/>
    <w:rsid w:val="10A0441E"/>
    <w:rsid w:val="10D07139"/>
    <w:rsid w:val="10E16942"/>
    <w:rsid w:val="113B4FA0"/>
    <w:rsid w:val="114C5FF1"/>
    <w:rsid w:val="115E56EC"/>
    <w:rsid w:val="116A1D1E"/>
    <w:rsid w:val="11956970"/>
    <w:rsid w:val="11B05D16"/>
    <w:rsid w:val="11B85AEF"/>
    <w:rsid w:val="11C7593B"/>
    <w:rsid w:val="11D85BD5"/>
    <w:rsid w:val="11F9242B"/>
    <w:rsid w:val="11FD2592"/>
    <w:rsid w:val="1215472A"/>
    <w:rsid w:val="12157C38"/>
    <w:rsid w:val="1220184D"/>
    <w:rsid w:val="1249138C"/>
    <w:rsid w:val="129A6BEC"/>
    <w:rsid w:val="129B26F3"/>
    <w:rsid w:val="12B97E21"/>
    <w:rsid w:val="12BA61C8"/>
    <w:rsid w:val="130749CB"/>
    <w:rsid w:val="13371015"/>
    <w:rsid w:val="13422C29"/>
    <w:rsid w:val="135C7F4F"/>
    <w:rsid w:val="136E1288"/>
    <w:rsid w:val="137E6490"/>
    <w:rsid w:val="13825C11"/>
    <w:rsid w:val="13A1414C"/>
    <w:rsid w:val="13D07AA6"/>
    <w:rsid w:val="13D7311C"/>
    <w:rsid w:val="14290821"/>
    <w:rsid w:val="142C4DA5"/>
    <w:rsid w:val="142E09D4"/>
    <w:rsid w:val="144F4060"/>
    <w:rsid w:val="145426E6"/>
    <w:rsid w:val="14725519"/>
    <w:rsid w:val="148122B0"/>
    <w:rsid w:val="148641BA"/>
    <w:rsid w:val="14A26EB5"/>
    <w:rsid w:val="14AE78FC"/>
    <w:rsid w:val="14C337BF"/>
    <w:rsid w:val="14CF02D1"/>
    <w:rsid w:val="14EA69E3"/>
    <w:rsid w:val="14FC547D"/>
    <w:rsid w:val="151D7BB0"/>
    <w:rsid w:val="15353059"/>
    <w:rsid w:val="153C0465"/>
    <w:rsid w:val="1588725F"/>
    <w:rsid w:val="15E7507B"/>
    <w:rsid w:val="16387403"/>
    <w:rsid w:val="164B4D9F"/>
    <w:rsid w:val="164D64F8"/>
    <w:rsid w:val="166A5654"/>
    <w:rsid w:val="166F22BD"/>
    <w:rsid w:val="16861701"/>
    <w:rsid w:val="1687370D"/>
    <w:rsid w:val="168C360A"/>
    <w:rsid w:val="16907885"/>
    <w:rsid w:val="172B7C90"/>
    <w:rsid w:val="17A056D1"/>
    <w:rsid w:val="17AF4F88"/>
    <w:rsid w:val="17D0041E"/>
    <w:rsid w:val="17D31A96"/>
    <w:rsid w:val="17D96B2F"/>
    <w:rsid w:val="17F10953"/>
    <w:rsid w:val="17F452F5"/>
    <w:rsid w:val="180622E5"/>
    <w:rsid w:val="180C3E4D"/>
    <w:rsid w:val="18371AA0"/>
    <w:rsid w:val="18584809"/>
    <w:rsid w:val="185C5637"/>
    <w:rsid w:val="18725A29"/>
    <w:rsid w:val="187D3DBA"/>
    <w:rsid w:val="18B72C9A"/>
    <w:rsid w:val="18B8291A"/>
    <w:rsid w:val="18D13844"/>
    <w:rsid w:val="1910462E"/>
    <w:rsid w:val="19312A3E"/>
    <w:rsid w:val="194931E4"/>
    <w:rsid w:val="19535C38"/>
    <w:rsid w:val="19756550"/>
    <w:rsid w:val="19876DCD"/>
    <w:rsid w:val="19B418B8"/>
    <w:rsid w:val="19D1519A"/>
    <w:rsid w:val="19D630F2"/>
    <w:rsid w:val="19F2719F"/>
    <w:rsid w:val="1A147646"/>
    <w:rsid w:val="1A1A0363"/>
    <w:rsid w:val="1A314705"/>
    <w:rsid w:val="1A591F5E"/>
    <w:rsid w:val="1A6516DC"/>
    <w:rsid w:val="1A6D5C95"/>
    <w:rsid w:val="1A8C70AA"/>
    <w:rsid w:val="1A8D159C"/>
    <w:rsid w:val="1A8E28A0"/>
    <w:rsid w:val="1AD1680D"/>
    <w:rsid w:val="1AE833FC"/>
    <w:rsid w:val="1AF866CC"/>
    <w:rsid w:val="1AFB5453"/>
    <w:rsid w:val="1AFD0956"/>
    <w:rsid w:val="1B0D5245"/>
    <w:rsid w:val="1B3D28E2"/>
    <w:rsid w:val="1B6415FF"/>
    <w:rsid w:val="1B6F7B32"/>
    <w:rsid w:val="1BCA6A25"/>
    <w:rsid w:val="1BD8402A"/>
    <w:rsid w:val="1BE1664A"/>
    <w:rsid w:val="1BE55C79"/>
    <w:rsid w:val="1C0340AA"/>
    <w:rsid w:val="1C144E7D"/>
    <w:rsid w:val="1C152EFC"/>
    <w:rsid w:val="1C32514F"/>
    <w:rsid w:val="1C5101AF"/>
    <w:rsid w:val="1C5D08D7"/>
    <w:rsid w:val="1C642E37"/>
    <w:rsid w:val="1C6E7533"/>
    <w:rsid w:val="1C7C5F60"/>
    <w:rsid w:val="1C812CD0"/>
    <w:rsid w:val="1CDF66EC"/>
    <w:rsid w:val="1CE60476"/>
    <w:rsid w:val="1D4258A1"/>
    <w:rsid w:val="1D453D13"/>
    <w:rsid w:val="1D6D3BD2"/>
    <w:rsid w:val="1D99379D"/>
    <w:rsid w:val="1DC65566"/>
    <w:rsid w:val="1DF041AC"/>
    <w:rsid w:val="1E112162"/>
    <w:rsid w:val="1E150B68"/>
    <w:rsid w:val="1E2223FC"/>
    <w:rsid w:val="1E2C078D"/>
    <w:rsid w:val="1E2F2444"/>
    <w:rsid w:val="1E36109D"/>
    <w:rsid w:val="1E551952"/>
    <w:rsid w:val="1E6D287C"/>
    <w:rsid w:val="1E9239B5"/>
    <w:rsid w:val="1EC67AA7"/>
    <w:rsid w:val="1EDF18B6"/>
    <w:rsid w:val="1EFE68E7"/>
    <w:rsid w:val="1F096E77"/>
    <w:rsid w:val="1F0B237A"/>
    <w:rsid w:val="1F192994"/>
    <w:rsid w:val="1F2C6132"/>
    <w:rsid w:val="1F321567"/>
    <w:rsid w:val="1F3856F9"/>
    <w:rsid w:val="1F5D2184"/>
    <w:rsid w:val="1F791A3E"/>
    <w:rsid w:val="1F9D516C"/>
    <w:rsid w:val="200B5767"/>
    <w:rsid w:val="20242AD1"/>
    <w:rsid w:val="20415C7A"/>
    <w:rsid w:val="204B2D06"/>
    <w:rsid w:val="208C2876"/>
    <w:rsid w:val="208D48F7"/>
    <w:rsid w:val="208E24F6"/>
    <w:rsid w:val="208E5D79"/>
    <w:rsid w:val="20986689"/>
    <w:rsid w:val="20C03FCA"/>
    <w:rsid w:val="20E33285"/>
    <w:rsid w:val="20E45483"/>
    <w:rsid w:val="20F06D17"/>
    <w:rsid w:val="21135FD2"/>
    <w:rsid w:val="21243CEE"/>
    <w:rsid w:val="2152200F"/>
    <w:rsid w:val="21816606"/>
    <w:rsid w:val="219C4D9C"/>
    <w:rsid w:val="21A03638"/>
    <w:rsid w:val="21AF01AA"/>
    <w:rsid w:val="21EA16EA"/>
    <w:rsid w:val="21F046BC"/>
    <w:rsid w:val="224B5CCF"/>
    <w:rsid w:val="22612CC7"/>
    <w:rsid w:val="22D04863"/>
    <w:rsid w:val="22D66F38"/>
    <w:rsid w:val="22E50B5D"/>
    <w:rsid w:val="22F56BF1"/>
    <w:rsid w:val="22F870EC"/>
    <w:rsid w:val="2317411E"/>
    <w:rsid w:val="23225D32"/>
    <w:rsid w:val="2364201F"/>
    <w:rsid w:val="237038B3"/>
    <w:rsid w:val="23817D5E"/>
    <w:rsid w:val="239A6C76"/>
    <w:rsid w:val="23AB4CFD"/>
    <w:rsid w:val="23C50DBF"/>
    <w:rsid w:val="2411343C"/>
    <w:rsid w:val="242755E0"/>
    <w:rsid w:val="246918CD"/>
    <w:rsid w:val="24971818"/>
    <w:rsid w:val="24C24208"/>
    <w:rsid w:val="24C424ED"/>
    <w:rsid w:val="24F301AC"/>
    <w:rsid w:val="253F2829"/>
    <w:rsid w:val="25B272E5"/>
    <w:rsid w:val="25C542C9"/>
    <w:rsid w:val="25C81489"/>
    <w:rsid w:val="260B6A7A"/>
    <w:rsid w:val="2622669F"/>
    <w:rsid w:val="26385E52"/>
    <w:rsid w:val="26E563DD"/>
    <w:rsid w:val="274C3DE4"/>
    <w:rsid w:val="27615D27"/>
    <w:rsid w:val="27762013"/>
    <w:rsid w:val="277933CE"/>
    <w:rsid w:val="27B841B7"/>
    <w:rsid w:val="27BA642A"/>
    <w:rsid w:val="27C24AC7"/>
    <w:rsid w:val="27D22B63"/>
    <w:rsid w:val="27FF492C"/>
    <w:rsid w:val="280520B8"/>
    <w:rsid w:val="282028E2"/>
    <w:rsid w:val="283A210D"/>
    <w:rsid w:val="28796FD7"/>
    <w:rsid w:val="2887138D"/>
    <w:rsid w:val="28A11F36"/>
    <w:rsid w:val="28DB73AB"/>
    <w:rsid w:val="28EF7AB7"/>
    <w:rsid w:val="29082BE0"/>
    <w:rsid w:val="2938592D"/>
    <w:rsid w:val="294C7E51"/>
    <w:rsid w:val="29B816FE"/>
    <w:rsid w:val="29C71D19"/>
    <w:rsid w:val="29C87BAD"/>
    <w:rsid w:val="29F15E02"/>
    <w:rsid w:val="2A2B3C3C"/>
    <w:rsid w:val="2A3D51DB"/>
    <w:rsid w:val="2A5C220C"/>
    <w:rsid w:val="2AAA7D8D"/>
    <w:rsid w:val="2ADB64C8"/>
    <w:rsid w:val="2AF54989"/>
    <w:rsid w:val="2B066E22"/>
    <w:rsid w:val="2B3631F4"/>
    <w:rsid w:val="2B3E6082"/>
    <w:rsid w:val="2B88197A"/>
    <w:rsid w:val="2B9B5117"/>
    <w:rsid w:val="2BA14AA2"/>
    <w:rsid w:val="2BBB0ECF"/>
    <w:rsid w:val="2BCB58E6"/>
    <w:rsid w:val="2C264CFB"/>
    <w:rsid w:val="2C324391"/>
    <w:rsid w:val="2C4C4F3B"/>
    <w:rsid w:val="2C680FE8"/>
    <w:rsid w:val="2C852B16"/>
    <w:rsid w:val="2C8C5D24"/>
    <w:rsid w:val="2C8E6CA9"/>
    <w:rsid w:val="2CB03356"/>
    <w:rsid w:val="2CB66B69"/>
    <w:rsid w:val="2CB97AED"/>
    <w:rsid w:val="2CE22050"/>
    <w:rsid w:val="2D0F2ECF"/>
    <w:rsid w:val="2D437A51"/>
    <w:rsid w:val="2D5122D3"/>
    <w:rsid w:val="2D6E2A94"/>
    <w:rsid w:val="2D901D4F"/>
    <w:rsid w:val="2DC1251E"/>
    <w:rsid w:val="2E06778F"/>
    <w:rsid w:val="2E0E4B9C"/>
    <w:rsid w:val="2E144526"/>
    <w:rsid w:val="2E2425C2"/>
    <w:rsid w:val="2E4F0E88"/>
    <w:rsid w:val="2E6C623A"/>
    <w:rsid w:val="2E8A57EA"/>
    <w:rsid w:val="2E922BF6"/>
    <w:rsid w:val="2E953B7B"/>
    <w:rsid w:val="2E992581"/>
    <w:rsid w:val="2EB05D9E"/>
    <w:rsid w:val="2EE352F4"/>
    <w:rsid w:val="2F7768F5"/>
    <w:rsid w:val="2F976C21"/>
    <w:rsid w:val="2FA539B8"/>
    <w:rsid w:val="2FB2524C"/>
    <w:rsid w:val="2FD8768A"/>
    <w:rsid w:val="2FDD0DAB"/>
    <w:rsid w:val="2FEA320C"/>
    <w:rsid w:val="303A3EAC"/>
    <w:rsid w:val="304F58B7"/>
    <w:rsid w:val="30673A76"/>
    <w:rsid w:val="306F4706"/>
    <w:rsid w:val="308E71B9"/>
    <w:rsid w:val="30925BBF"/>
    <w:rsid w:val="30A844DF"/>
    <w:rsid w:val="30AE1C6C"/>
    <w:rsid w:val="30B74AFA"/>
    <w:rsid w:val="30E07EBD"/>
    <w:rsid w:val="310103F1"/>
    <w:rsid w:val="31191E79"/>
    <w:rsid w:val="312F7A4A"/>
    <w:rsid w:val="3194727D"/>
    <w:rsid w:val="3198766B"/>
    <w:rsid w:val="31EC0299"/>
    <w:rsid w:val="320D2EAD"/>
    <w:rsid w:val="32375A37"/>
    <w:rsid w:val="324B391C"/>
    <w:rsid w:val="32666DBF"/>
    <w:rsid w:val="327515D8"/>
    <w:rsid w:val="327F1EE7"/>
    <w:rsid w:val="32C87D5D"/>
    <w:rsid w:val="32D30B3C"/>
    <w:rsid w:val="32E2469A"/>
    <w:rsid w:val="33071767"/>
    <w:rsid w:val="332162A7"/>
    <w:rsid w:val="3364345F"/>
    <w:rsid w:val="336445D5"/>
    <w:rsid w:val="33666DB6"/>
    <w:rsid w:val="33684063"/>
    <w:rsid w:val="33E5231C"/>
    <w:rsid w:val="33EC463C"/>
    <w:rsid w:val="340A166E"/>
    <w:rsid w:val="34343684"/>
    <w:rsid w:val="3453018D"/>
    <w:rsid w:val="345E497B"/>
    <w:rsid w:val="3461536F"/>
    <w:rsid w:val="346B6210"/>
    <w:rsid w:val="34704896"/>
    <w:rsid w:val="34774220"/>
    <w:rsid w:val="348B3CD8"/>
    <w:rsid w:val="34AE0799"/>
    <w:rsid w:val="34CE04B2"/>
    <w:rsid w:val="34DE4EC9"/>
    <w:rsid w:val="34E77D57"/>
    <w:rsid w:val="34E82E49"/>
    <w:rsid w:val="34F77FF2"/>
    <w:rsid w:val="34F934F5"/>
    <w:rsid w:val="3519182B"/>
    <w:rsid w:val="3523213B"/>
    <w:rsid w:val="35286799"/>
    <w:rsid w:val="354E0A01"/>
    <w:rsid w:val="35673B29"/>
    <w:rsid w:val="35684E2E"/>
    <w:rsid w:val="35865A80"/>
    <w:rsid w:val="35895362"/>
    <w:rsid w:val="35AF7623"/>
    <w:rsid w:val="35F13A8D"/>
    <w:rsid w:val="35F7449A"/>
    <w:rsid w:val="366D0F72"/>
    <w:rsid w:val="368A620A"/>
    <w:rsid w:val="36985925"/>
    <w:rsid w:val="36CE59FA"/>
    <w:rsid w:val="36D7684B"/>
    <w:rsid w:val="36D8477E"/>
    <w:rsid w:val="36DC6C12"/>
    <w:rsid w:val="370138CA"/>
    <w:rsid w:val="37083255"/>
    <w:rsid w:val="373720E7"/>
    <w:rsid w:val="37406C32"/>
    <w:rsid w:val="376F3088"/>
    <w:rsid w:val="379C3AC9"/>
    <w:rsid w:val="37BA2821"/>
    <w:rsid w:val="37CD6A8F"/>
    <w:rsid w:val="37CD7B1B"/>
    <w:rsid w:val="37D16451"/>
    <w:rsid w:val="37FA18E4"/>
    <w:rsid w:val="37FE664B"/>
    <w:rsid w:val="380A7823"/>
    <w:rsid w:val="3820608E"/>
    <w:rsid w:val="38242728"/>
    <w:rsid w:val="382C33B7"/>
    <w:rsid w:val="384C5E6B"/>
    <w:rsid w:val="388C0E52"/>
    <w:rsid w:val="38946BB9"/>
    <w:rsid w:val="38A5052B"/>
    <w:rsid w:val="38B761AD"/>
    <w:rsid w:val="38C42631"/>
    <w:rsid w:val="38CB7A3E"/>
    <w:rsid w:val="38F378FD"/>
    <w:rsid w:val="392A7A57"/>
    <w:rsid w:val="392B5328"/>
    <w:rsid w:val="39373560"/>
    <w:rsid w:val="39561BA0"/>
    <w:rsid w:val="39957106"/>
    <w:rsid w:val="39B20C35"/>
    <w:rsid w:val="39DB62DD"/>
    <w:rsid w:val="3A0F354D"/>
    <w:rsid w:val="3A121F53"/>
    <w:rsid w:val="3A22476C"/>
    <w:rsid w:val="3A227FEF"/>
    <w:rsid w:val="3A4614A9"/>
    <w:rsid w:val="3A4D3B5A"/>
    <w:rsid w:val="3A6B5E65"/>
    <w:rsid w:val="3A7171E9"/>
    <w:rsid w:val="3A836D8F"/>
    <w:rsid w:val="3AC220F7"/>
    <w:rsid w:val="3AD37E13"/>
    <w:rsid w:val="3B04129D"/>
    <w:rsid w:val="3B41527B"/>
    <w:rsid w:val="3B5A356F"/>
    <w:rsid w:val="3B8443B3"/>
    <w:rsid w:val="3B8E4CC3"/>
    <w:rsid w:val="3BA13CE3"/>
    <w:rsid w:val="3BBC450D"/>
    <w:rsid w:val="3BCB1A1D"/>
    <w:rsid w:val="3BCE7CAB"/>
    <w:rsid w:val="3BF153CB"/>
    <w:rsid w:val="3BF42302"/>
    <w:rsid w:val="3BF868F0"/>
    <w:rsid w:val="3C10781A"/>
    <w:rsid w:val="3C3C60E0"/>
    <w:rsid w:val="3C543787"/>
    <w:rsid w:val="3C874EDB"/>
    <w:rsid w:val="3C8F67E2"/>
    <w:rsid w:val="3CAE2B9C"/>
    <w:rsid w:val="3CD62A5B"/>
    <w:rsid w:val="3CE73FFB"/>
    <w:rsid w:val="3D1E66D3"/>
    <w:rsid w:val="3D5620B0"/>
    <w:rsid w:val="3D613BCD"/>
    <w:rsid w:val="3D6548C9"/>
    <w:rsid w:val="3DBF29D9"/>
    <w:rsid w:val="3E004AC7"/>
    <w:rsid w:val="3E021F55"/>
    <w:rsid w:val="3E461A5C"/>
    <w:rsid w:val="3E7A15A9"/>
    <w:rsid w:val="3EB42638"/>
    <w:rsid w:val="3EB56155"/>
    <w:rsid w:val="3EC24152"/>
    <w:rsid w:val="3EED0ECD"/>
    <w:rsid w:val="3F12049C"/>
    <w:rsid w:val="3F1E5DB3"/>
    <w:rsid w:val="3F5C6F82"/>
    <w:rsid w:val="3F5C7255"/>
    <w:rsid w:val="3F6B5F18"/>
    <w:rsid w:val="3F7D74B7"/>
    <w:rsid w:val="3F965E62"/>
    <w:rsid w:val="3FD272D9"/>
    <w:rsid w:val="3FDA7850"/>
    <w:rsid w:val="400F22A9"/>
    <w:rsid w:val="40BB01C3"/>
    <w:rsid w:val="40BE58C5"/>
    <w:rsid w:val="40E5405B"/>
    <w:rsid w:val="40E70C87"/>
    <w:rsid w:val="410C3445"/>
    <w:rsid w:val="41423EE2"/>
    <w:rsid w:val="414D7732"/>
    <w:rsid w:val="41601E30"/>
    <w:rsid w:val="41683B38"/>
    <w:rsid w:val="416B4012"/>
    <w:rsid w:val="41880811"/>
    <w:rsid w:val="41905F8B"/>
    <w:rsid w:val="419249A3"/>
    <w:rsid w:val="41970E2B"/>
    <w:rsid w:val="41F56C46"/>
    <w:rsid w:val="41F87BCB"/>
    <w:rsid w:val="4203015A"/>
    <w:rsid w:val="42461EC8"/>
    <w:rsid w:val="42A16D5F"/>
    <w:rsid w:val="42B47F7E"/>
    <w:rsid w:val="42B63481"/>
    <w:rsid w:val="42CC75CA"/>
    <w:rsid w:val="42E4524A"/>
    <w:rsid w:val="43374CD4"/>
    <w:rsid w:val="434807F2"/>
    <w:rsid w:val="437D79C7"/>
    <w:rsid w:val="439353EE"/>
    <w:rsid w:val="43C5363E"/>
    <w:rsid w:val="43CE06CA"/>
    <w:rsid w:val="44202A53"/>
    <w:rsid w:val="445239D1"/>
    <w:rsid w:val="446F1B4F"/>
    <w:rsid w:val="4491620A"/>
    <w:rsid w:val="44923C8C"/>
    <w:rsid w:val="44A83C31"/>
    <w:rsid w:val="44D16FF4"/>
    <w:rsid w:val="44D30FA2"/>
    <w:rsid w:val="44EA211C"/>
    <w:rsid w:val="45321D93"/>
    <w:rsid w:val="454050A9"/>
    <w:rsid w:val="455E7EDC"/>
    <w:rsid w:val="45651A65"/>
    <w:rsid w:val="45742080"/>
    <w:rsid w:val="458F3F2F"/>
    <w:rsid w:val="45B06662"/>
    <w:rsid w:val="45CC5F92"/>
    <w:rsid w:val="45E87E40"/>
    <w:rsid w:val="463734CD"/>
    <w:rsid w:val="46375641"/>
    <w:rsid w:val="46455CA5"/>
    <w:rsid w:val="4666070F"/>
    <w:rsid w:val="4670321D"/>
    <w:rsid w:val="467E5DB6"/>
    <w:rsid w:val="46C50728"/>
    <w:rsid w:val="46D3483C"/>
    <w:rsid w:val="46D354BF"/>
    <w:rsid w:val="46D509C3"/>
    <w:rsid w:val="46E71F62"/>
    <w:rsid w:val="46F02871"/>
    <w:rsid w:val="47112DA6"/>
    <w:rsid w:val="4716722E"/>
    <w:rsid w:val="472055BF"/>
    <w:rsid w:val="472B21EF"/>
    <w:rsid w:val="474038F5"/>
    <w:rsid w:val="474B6403"/>
    <w:rsid w:val="474D7A7B"/>
    <w:rsid w:val="475B1F20"/>
    <w:rsid w:val="476F52D8"/>
    <w:rsid w:val="477C2F27"/>
    <w:rsid w:val="47AF433C"/>
    <w:rsid w:val="47B84838"/>
    <w:rsid w:val="48054938"/>
    <w:rsid w:val="48185B57"/>
    <w:rsid w:val="48270370"/>
    <w:rsid w:val="48513732"/>
    <w:rsid w:val="488D5B16"/>
    <w:rsid w:val="48B06FCF"/>
    <w:rsid w:val="48D41AB7"/>
    <w:rsid w:val="49175A7A"/>
    <w:rsid w:val="49352AAB"/>
    <w:rsid w:val="49585529"/>
    <w:rsid w:val="497A3796"/>
    <w:rsid w:val="4981549D"/>
    <w:rsid w:val="49962722"/>
    <w:rsid w:val="49B06B72"/>
    <w:rsid w:val="49B5687D"/>
    <w:rsid w:val="49DF1C3F"/>
    <w:rsid w:val="49E57740"/>
    <w:rsid w:val="49F153DD"/>
    <w:rsid w:val="4A116005"/>
    <w:rsid w:val="4A1D1724"/>
    <w:rsid w:val="4A283338"/>
    <w:rsid w:val="4A344BCC"/>
    <w:rsid w:val="4A4473E5"/>
    <w:rsid w:val="4A64791A"/>
    <w:rsid w:val="4AE22767"/>
    <w:rsid w:val="4B082B2F"/>
    <w:rsid w:val="4B287AA6"/>
    <w:rsid w:val="4B3E2E80"/>
    <w:rsid w:val="4B521B21"/>
    <w:rsid w:val="4B552AA6"/>
    <w:rsid w:val="4B7B4EE4"/>
    <w:rsid w:val="4B9F5B7B"/>
    <w:rsid w:val="4BB431B3"/>
    <w:rsid w:val="4BBB5CCD"/>
    <w:rsid w:val="4BBF2155"/>
    <w:rsid w:val="4BCB5F67"/>
    <w:rsid w:val="4BF103A5"/>
    <w:rsid w:val="4C42372A"/>
    <w:rsid w:val="4C4423AE"/>
    <w:rsid w:val="4C4B1D39"/>
    <w:rsid w:val="4C513C42"/>
    <w:rsid w:val="4C753A95"/>
    <w:rsid w:val="4C816990"/>
    <w:rsid w:val="4C981E38"/>
    <w:rsid w:val="4C9E3D41"/>
    <w:rsid w:val="4CDA0323"/>
    <w:rsid w:val="4CF002C8"/>
    <w:rsid w:val="4CFA6659"/>
    <w:rsid w:val="4D023A66"/>
    <w:rsid w:val="4D3B1641"/>
    <w:rsid w:val="4D424CA4"/>
    <w:rsid w:val="4D521266"/>
    <w:rsid w:val="4D802136"/>
    <w:rsid w:val="4D8F494F"/>
    <w:rsid w:val="4DAD3EFF"/>
    <w:rsid w:val="4DB81912"/>
    <w:rsid w:val="4DC146F9"/>
    <w:rsid w:val="4DCA5A2D"/>
    <w:rsid w:val="4E085512"/>
    <w:rsid w:val="4E27133E"/>
    <w:rsid w:val="4E2C224E"/>
    <w:rsid w:val="4E3C2BAA"/>
    <w:rsid w:val="4E3D5CA8"/>
    <w:rsid w:val="4E516C0B"/>
    <w:rsid w:val="4E6423A8"/>
    <w:rsid w:val="4E7C32D2"/>
    <w:rsid w:val="4EC74B20"/>
    <w:rsid w:val="4EE355C5"/>
    <w:rsid w:val="4F147FCE"/>
    <w:rsid w:val="4F155A4F"/>
    <w:rsid w:val="4F391107"/>
    <w:rsid w:val="4F9B372A"/>
    <w:rsid w:val="4FAE0F48"/>
    <w:rsid w:val="4FE75DA8"/>
    <w:rsid w:val="50002FAF"/>
    <w:rsid w:val="50593704"/>
    <w:rsid w:val="50721FE0"/>
    <w:rsid w:val="50B326B9"/>
    <w:rsid w:val="50B53E76"/>
    <w:rsid w:val="50C136E9"/>
    <w:rsid w:val="50E36F44"/>
    <w:rsid w:val="51077C62"/>
    <w:rsid w:val="51137A93"/>
    <w:rsid w:val="511B2921"/>
    <w:rsid w:val="511E0023"/>
    <w:rsid w:val="512171C8"/>
    <w:rsid w:val="5136554C"/>
    <w:rsid w:val="51594984"/>
    <w:rsid w:val="51FB670C"/>
    <w:rsid w:val="520A47A8"/>
    <w:rsid w:val="52101CC2"/>
    <w:rsid w:val="521450B8"/>
    <w:rsid w:val="52254563"/>
    <w:rsid w:val="52432384"/>
    <w:rsid w:val="526273B5"/>
    <w:rsid w:val="528276B1"/>
    <w:rsid w:val="529E721A"/>
    <w:rsid w:val="52A90E2E"/>
    <w:rsid w:val="52CA47DB"/>
    <w:rsid w:val="52D0326C"/>
    <w:rsid w:val="52D43E71"/>
    <w:rsid w:val="52E23187"/>
    <w:rsid w:val="52F26CA4"/>
    <w:rsid w:val="53450CAD"/>
    <w:rsid w:val="53573EC2"/>
    <w:rsid w:val="53A71C4B"/>
    <w:rsid w:val="53B312E1"/>
    <w:rsid w:val="53D41815"/>
    <w:rsid w:val="53DF342A"/>
    <w:rsid w:val="53E30835"/>
    <w:rsid w:val="53F6524D"/>
    <w:rsid w:val="541E11A5"/>
    <w:rsid w:val="542F66AC"/>
    <w:rsid w:val="54473BD5"/>
    <w:rsid w:val="546A300E"/>
    <w:rsid w:val="5472041A"/>
    <w:rsid w:val="548B5741"/>
    <w:rsid w:val="54BB4772"/>
    <w:rsid w:val="54CC11F0"/>
    <w:rsid w:val="552856B7"/>
    <w:rsid w:val="553C3366"/>
    <w:rsid w:val="55640CA7"/>
    <w:rsid w:val="557B66CE"/>
    <w:rsid w:val="55910872"/>
    <w:rsid w:val="559B337F"/>
    <w:rsid w:val="55A2220A"/>
    <w:rsid w:val="55AE459E"/>
    <w:rsid w:val="55AF2020"/>
    <w:rsid w:val="55BB1EDB"/>
    <w:rsid w:val="55EA6B0B"/>
    <w:rsid w:val="55EC7C86"/>
    <w:rsid w:val="560B6EB6"/>
    <w:rsid w:val="56301675"/>
    <w:rsid w:val="566D6243"/>
    <w:rsid w:val="56766566"/>
    <w:rsid w:val="569149A4"/>
    <w:rsid w:val="56DD5C6E"/>
    <w:rsid w:val="56E03A17"/>
    <w:rsid w:val="56E46E1C"/>
    <w:rsid w:val="56ED52AB"/>
    <w:rsid w:val="56EF07AE"/>
    <w:rsid w:val="57030D69"/>
    <w:rsid w:val="5728768E"/>
    <w:rsid w:val="572D0293"/>
    <w:rsid w:val="57454E17"/>
    <w:rsid w:val="576C35FB"/>
    <w:rsid w:val="57A10251"/>
    <w:rsid w:val="57BD109B"/>
    <w:rsid w:val="57BE23E1"/>
    <w:rsid w:val="57C54F8E"/>
    <w:rsid w:val="57CC75C0"/>
    <w:rsid w:val="57D0331F"/>
    <w:rsid w:val="57E84249"/>
    <w:rsid w:val="57EF3BD4"/>
    <w:rsid w:val="581D5CA1"/>
    <w:rsid w:val="583355C2"/>
    <w:rsid w:val="58931AF2"/>
    <w:rsid w:val="589907E9"/>
    <w:rsid w:val="589E62CE"/>
    <w:rsid w:val="58A80E04"/>
    <w:rsid w:val="58E117C3"/>
    <w:rsid w:val="58FE41E6"/>
    <w:rsid w:val="59464185"/>
    <w:rsid w:val="594B777C"/>
    <w:rsid w:val="594D4BDF"/>
    <w:rsid w:val="59FA5E02"/>
    <w:rsid w:val="5A1070D1"/>
    <w:rsid w:val="5A175F1D"/>
    <w:rsid w:val="5A3D62F9"/>
    <w:rsid w:val="5A4440A8"/>
    <w:rsid w:val="5A451B2A"/>
    <w:rsid w:val="5A5468C1"/>
    <w:rsid w:val="5A6F35E4"/>
    <w:rsid w:val="5AD92912"/>
    <w:rsid w:val="5AE9027A"/>
    <w:rsid w:val="5AED79B9"/>
    <w:rsid w:val="5B235C95"/>
    <w:rsid w:val="5B2E1AA7"/>
    <w:rsid w:val="5B424E0A"/>
    <w:rsid w:val="5B767C9D"/>
    <w:rsid w:val="5B8F2DC6"/>
    <w:rsid w:val="5B9D42DA"/>
    <w:rsid w:val="5B9F25C1"/>
    <w:rsid w:val="5BA356DB"/>
    <w:rsid w:val="5BA444B3"/>
    <w:rsid w:val="5BA474E8"/>
    <w:rsid w:val="5BFC60BC"/>
    <w:rsid w:val="5C11209A"/>
    <w:rsid w:val="5C622D9E"/>
    <w:rsid w:val="5C63600F"/>
    <w:rsid w:val="5C717B35"/>
    <w:rsid w:val="5C743717"/>
    <w:rsid w:val="5CF4010E"/>
    <w:rsid w:val="5CFD0A1E"/>
    <w:rsid w:val="5D340EF8"/>
    <w:rsid w:val="5D487B98"/>
    <w:rsid w:val="5D4F4FA5"/>
    <w:rsid w:val="5D5A3336"/>
    <w:rsid w:val="5D6B6051"/>
    <w:rsid w:val="5D903810"/>
    <w:rsid w:val="5D913616"/>
    <w:rsid w:val="5D9C7622"/>
    <w:rsid w:val="5DA42363"/>
    <w:rsid w:val="5DA424B0"/>
    <w:rsid w:val="5DCF38C1"/>
    <w:rsid w:val="5DF631B4"/>
    <w:rsid w:val="5DFC439B"/>
    <w:rsid w:val="5E0943D3"/>
    <w:rsid w:val="5E525ACC"/>
    <w:rsid w:val="5E72057F"/>
    <w:rsid w:val="5E80393D"/>
    <w:rsid w:val="5E885FA6"/>
    <w:rsid w:val="5E940FD9"/>
    <w:rsid w:val="5EE31B38"/>
    <w:rsid w:val="5EF50B59"/>
    <w:rsid w:val="5F2B1033"/>
    <w:rsid w:val="5F342600"/>
    <w:rsid w:val="5F3A6DBE"/>
    <w:rsid w:val="5F483BA5"/>
    <w:rsid w:val="5F4C1567"/>
    <w:rsid w:val="5F775C2F"/>
    <w:rsid w:val="5FA805FC"/>
    <w:rsid w:val="5FD117C0"/>
    <w:rsid w:val="5FEF2F09"/>
    <w:rsid w:val="5FFB2605"/>
    <w:rsid w:val="60060996"/>
    <w:rsid w:val="60236600"/>
    <w:rsid w:val="603F1DF4"/>
    <w:rsid w:val="6050794B"/>
    <w:rsid w:val="609C218E"/>
    <w:rsid w:val="60CA77DA"/>
    <w:rsid w:val="60DB1C73"/>
    <w:rsid w:val="60DC76F4"/>
    <w:rsid w:val="60DE0402"/>
    <w:rsid w:val="60E115FE"/>
    <w:rsid w:val="60E40384"/>
    <w:rsid w:val="610F6C4A"/>
    <w:rsid w:val="61130ED3"/>
    <w:rsid w:val="61204966"/>
    <w:rsid w:val="614B322B"/>
    <w:rsid w:val="617678F3"/>
    <w:rsid w:val="61AF42C9"/>
    <w:rsid w:val="61B451D9"/>
    <w:rsid w:val="61B91A53"/>
    <w:rsid w:val="61EC7B72"/>
    <w:rsid w:val="61FC0E51"/>
    <w:rsid w:val="620F2070"/>
    <w:rsid w:val="624A67F6"/>
    <w:rsid w:val="6251055B"/>
    <w:rsid w:val="62527D22"/>
    <w:rsid w:val="62572464"/>
    <w:rsid w:val="625F7870"/>
    <w:rsid w:val="62AB5771"/>
    <w:rsid w:val="62C600E4"/>
    <w:rsid w:val="639E277B"/>
    <w:rsid w:val="63AF3D1A"/>
    <w:rsid w:val="63F25A88"/>
    <w:rsid w:val="64025D23"/>
    <w:rsid w:val="6420749E"/>
    <w:rsid w:val="643861FD"/>
    <w:rsid w:val="644259C9"/>
    <w:rsid w:val="64467711"/>
    <w:rsid w:val="64580CB0"/>
    <w:rsid w:val="64AC16BD"/>
    <w:rsid w:val="64C4575F"/>
    <w:rsid w:val="64EF46A6"/>
    <w:rsid w:val="65201B10"/>
    <w:rsid w:val="655C7259"/>
    <w:rsid w:val="656B1A72"/>
    <w:rsid w:val="658713A2"/>
    <w:rsid w:val="65A47ECD"/>
    <w:rsid w:val="65A50952"/>
    <w:rsid w:val="65A705D2"/>
    <w:rsid w:val="65B80935"/>
    <w:rsid w:val="65C47F6F"/>
    <w:rsid w:val="65C54EAC"/>
    <w:rsid w:val="65EC32C5"/>
    <w:rsid w:val="66106DCA"/>
    <w:rsid w:val="665528C5"/>
    <w:rsid w:val="665916FA"/>
    <w:rsid w:val="66AE3383"/>
    <w:rsid w:val="66D222BD"/>
    <w:rsid w:val="66DD064E"/>
    <w:rsid w:val="670A5C9B"/>
    <w:rsid w:val="67600C28"/>
    <w:rsid w:val="679502B9"/>
    <w:rsid w:val="67A01F21"/>
    <w:rsid w:val="67E66902"/>
    <w:rsid w:val="67E85689"/>
    <w:rsid w:val="680074AC"/>
    <w:rsid w:val="681803D6"/>
    <w:rsid w:val="6845219F"/>
    <w:rsid w:val="68752CEE"/>
    <w:rsid w:val="688C2914"/>
    <w:rsid w:val="688D2DE3"/>
    <w:rsid w:val="68906FDD"/>
    <w:rsid w:val="68A56E7E"/>
    <w:rsid w:val="68BC3F52"/>
    <w:rsid w:val="68C94977"/>
    <w:rsid w:val="68E33322"/>
    <w:rsid w:val="68F47A43"/>
    <w:rsid w:val="69290213"/>
    <w:rsid w:val="693F5C3A"/>
    <w:rsid w:val="6954235C"/>
    <w:rsid w:val="69713766"/>
    <w:rsid w:val="697D7C9D"/>
    <w:rsid w:val="69807F89"/>
    <w:rsid w:val="698D72B4"/>
    <w:rsid w:val="699D49D1"/>
    <w:rsid w:val="69ED43B5"/>
    <w:rsid w:val="69F134E0"/>
    <w:rsid w:val="69FD3A6F"/>
    <w:rsid w:val="69FF27F5"/>
    <w:rsid w:val="6A0F2A90"/>
    <w:rsid w:val="6A18591D"/>
    <w:rsid w:val="6A3F5BE3"/>
    <w:rsid w:val="6A67569D"/>
    <w:rsid w:val="6A935267"/>
    <w:rsid w:val="6A9A4BF2"/>
    <w:rsid w:val="6AA25882"/>
    <w:rsid w:val="6AB005E4"/>
    <w:rsid w:val="6AE63DB1"/>
    <w:rsid w:val="6B780B1C"/>
    <w:rsid w:val="6B876DF9"/>
    <w:rsid w:val="6B9238F1"/>
    <w:rsid w:val="6BA73AAA"/>
    <w:rsid w:val="6BB71B46"/>
    <w:rsid w:val="6BC049D4"/>
    <w:rsid w:val="6BD8207B"/>
    <w:rsid w:val="6BE35E8E"/>
    <w:rsid w:val="6BE70117"/>
    <w:rsid w:val="6BF07722"/>
    <w:rsid w:val="6BFD6A38"/>
    <w:rsid w:val="6C030392"/>
    <w:rsid w:val="6C030781"/>
    <w:rsid w:val="6C2E2A8A"/>
    <w:rsid w:val="6C482959"/>
    <w:rsid w:val="6C562949"/>
    <w:rsid w:val="6C5D6C59"/>
    <w:rsid w:val="6C7269F6"/>
    <w:rsid w:val="6C793E03"/>
    <w:rsid w:val="6CB82BD5"/>
    <w:rsid w:val="6CD23598"/>
    <w:rsid w:val="6CDE73AA"/>
    <w:rsid w:val="6CE33832"/>
    <w:rsid w:val="6CEC3D2B"/>
    <w:rsid w:val="6D26779F"/>
    <w:rsid w:val="6D270AA3"/>
    <w:rsid w:val="6D326E35"/>
    <w:rsid w:val="6D496A5A"/>
    <w:rsid w:val="6D537FFC"/>
    <w:rsid w:val="6D811A87"/>
    <w:rsid w:val="6D8B213E"/>
    <w:rsid w:val="6DCA281F"/>
    <w:rsid w:val="6E1F0530"/>
    <w:rsid w:val="6E255143"/>
    <w:rsid w:val="6E2F1DDF"/>
    <w:rsid w:val="6E3269D7"/>
    <w:rsid w:val="6E5A70FC"/>
    <w:rsid w:val="6E5F07A0"/>
    <w:rsid w:val="6E78714C"/>
    <w:rsid w:val="6E944A03"/>
    <w:rsid w:val="6E975EC3"/>
    <w:rsid w:val="6EA23AA0"/>
    <w:rsid w:val="6EA25D92"/>
    <w:rsid w:val="6ED435C4"/>
    <w:rsid w:val="6ED674E5"/>
    <w:rsid w:val="6ED84BE7"/>
    <w:rsid w:val="6F1C43D6"/>
    <w:rsid w:val="6F2914E1"/>
    <w:rsid w:val="6F416B95"/>
    <w:rsid w:val="6F55502F"/>
    <w:rsid w:val="6F792686"/>
    <w:rsid w:val="6F8E0E92"/>
    <w:rsid w:val="6F9C3A2B"/>
    <w:rsid w:val="6FA40E37"/>
    <w:rsid w:val="6FA50AB7"/>
    <w:rsid w:val="6FDA5A8E"/>
    <w:rsid w:val="6FF675BD"/>
    <w:rsid w:val="700709DC"/>
    <w:rsid w:val="702A4990"/>
    <w:rsid w:val="704A4E48"/>
    <w:rsid w:val="708A05B5"/>
    <w:rsid w:val="70D23AA8"/>
    <w:rsid w:val="70F9196A"/>
    <w:rsid w:val="7105557C"/>
    <w:rsid w:val="711D2C22"/>
    <w:rsid w:val="711D4E21"/>
    <w:rsid w:val="71283034"/>
    <w:rsid w:val="71400858"/>
    <w:rsid w:val="714F4472"/>
    <w:rsid w:val="71504376"/>
    <w:rsid w:val="71546269"/>
    <w:rsid w:val="71637CEA"/>
    <w:rsid w:val="7167651A"/>
    <w:rsid w:val="716C6225"/>
    <w:rsid w:val="71943B66"/>
    <w:rsid w:val="7198198F"/>
    <w:rsid w:val="71AA5D09"/>
    <w:rsid w:val="71D758D4"/>
    <w:rsid w:val="71DF4EDF"/>
    <w:rsid w:val="71FD7D12"/>
    <w:rsid w:val="72216C4D"/>
    <w:rsid w:val="72411700"/>
    <w:rsid w:val="727047CE"/>
    <w:rsid w:val="72910586"/>
    <w:rsid w:val="72A02FE2"/>
    <w:rsid w:val="72A14F9D"/>
    <w:rsid w:val="72AA36AE"/>
    <w:rsid w:val="72D51F74"/>
    <w:rsid w:val="72DF0305"/>
    <w:rsid w:val="72F0059F"/>
    <w:rsid w:val="72F737AD"/>
    <w:rsid w:val="7359501E"/>
    <w:rsid w:val="73663A61"/>
    <w:rsid w:val="73BE1EF1"/>
    <w:rsid w:val="73D42158"/>
    <w:rsid w:val="74054864"/>
    <w:rsid w:val="74534826"/>
    <w:rsid w:val="746B7A8B"/>
    <w:rsid w:val="748A03E1"/>
    <w:rsid w:val="7490224A"/>
    <w:rsid w:val="74950C58"/>
    <w:rsid w:val="749A61D6"/>
    <w:rsid w:val="74AF2AFE"/>
    <w:rsid w:val="74BF2D99"/>
    <w:rsid w:val="74DA0B92"/>
    <w:rsid w:val="74E276CC"/>
    <w:rsid w:val="750F3E1D"/>
    <w:rsid w:val="757415C3"/>
    <w:rsid w:val="757D4451"/>
    <w:rsid w:val="759130F1"/>
    <w:rsid w:val="759926FC"/>
    <w:rsid w:val="75A65309"/>
    <w:rsid w:val="75A8340A"/>
    <w:rsid w:val="760B1736"/>
    <w:rsid w:val="7614340F"/>
    <w:rsid w:val="763D100B"/>
    <w:rsid w:val="765D1540"/>
    <w:rsid w:val="766B0856"/>
    <w:rsid w:val="76704CDE"/>
    <w:rsid w:val="769F1FAA"/>
    <w:rsid w:val="76A57736"/>
    <w:rsid w:val="76AF5AC7"/>
    <w:rsid w:val="76C34768"/>
    <w:rsid w:val="76D54682"/>
    <w:rsid w:val="771F7182"/>
    <w:rsid w:val="77432AB8"/>
    <w:rsid w:val="77506994"/>
    <w:rsid w:val="775A5F60"/>
    <w:rsid w:val="7775458B"/>
    <w:rsid w:val="77846DA4"/>
    <w:rsid w:val="778A359F"/>
    <w:rsid w:val="77A923DC"/>
    <w:rsid w:val="77DD1C72"/>
    <w:rsid w:val="77F5035D"/>
    <w:rsid w:val="78286A83"/>
    <w:rsid w:val="785D6A87"/>
    <w:rsid w:val="78611B87"/>
    <w:rsid w:val="7862510D"/>
    <w:rsid w:val="786D6D22"/>
    <w:rsid w:val="789B1D0A"/>
    <w:rsid w:val="78A33979"/>
    <w:rsid w:val="78C5192F"/>
    <w:rsid w:val="78C62C34"/>
    <w:rsid w:val="78CC4B3D"/>
    <w:rsid w:val="7910652B"/>
    <w:rsid w:val="791F6B45"/>
    <w:rsid w:val="793B0674"/>
    <w:rsid w:val="7949798A"/>
    <w:rsid w:val="794A5C30"/>
    <w:rsid w:val="79626335"/>
    <w:rsid w:val="796614B8"/>
    <w:rsid w:val="796807B3"/>
    <w:rsid w:val="79710B4E"/>
    <w:rsid w:val="79741AD3"/>
    <w:rsid w:val="79842E2E"/>
    <w:rsid w:val="79957047"/>
    <w:rsid w:val="79C23DD0"/>
    <w:rsid w:val="79E60B0D"/>
    <w:rsid w:val="79EA5C73"/>
    <w:rsid w:val="7A1712DC"/>
    <w:rsid w:val="7A271576"/>
    <w:rsid w:val="7A2A75AF"/>
    <w:rsid w:val="7A417F22"/>
    <w:rsid w:val="7A4867F4"/>
    <w:rsid w:val="7A4C267C"/>
    <w:rsid w:val="7A96762C"/>
    <w:rsid w:val="7AA037BE"/>
    <w:rsid w:val="7AD0650C"/>
    <w:rsid w:val="7AD54B92"/>
    <w:rsid w:val="7AE14228"/>
    <w:rsid w:val="7AFE2997"/>
    <w:rsid w:val="7B074467"/>
    <w:rsid w:val="7B227210"/>
    <w:rsid w:val="7B440A49"/>
    <w:rsid w:val="7B5C60F0"/>
    <w:rsid w:val="7B6A2E87"/>
    <w:rsid w:val="7BB42002"/>
    <w:rsid w:val="7BCA0198"/>
    <w:rsid w:val="7BD34780"/>
    <w:rsid w:val="7BDE0C48"/>
    <w:rsid w:val="7BE71557"/>
    <w:rsid w:val="7BF73D70"/>
    <w:rsid w:val="7C2F194B"/>
    <w:rsid w:val="7C3A7CDC"/>
    <w:rsid w:val="7C4B37FA"/>
    <w:rsid w:val="7C56760C"/>
    <w:rsid w:val="7C5D6F97"/>
    <w:rsid w:val="7C5E6AEF"/>
    <w:rsid w:val="7C970076"/>
    <w:rsid w:val="7CA4518D"/>
    <w:rsid w:val="7CA7288F"/>
    <w:rsid w:val="7CBC64A5"/>
    <w:rsid w:val="7CC0123A"/>
    <w:rsid w:val="7CD45AA6"/>
    <w:rsid w:val="7CF46211"/>
    <w:rsid w:val="7D0C242A"/>
    <w:rsid w:val="7D1022BE"/>
    <w:rsid w:val="7D6B16D3"/>
    <w:rsid w:val="7D7901B0"/>
    <w:rsid w:val="7D7A0617"/>
    <w:rsid w:val="7D813877"/>
    <w:rsid w:val="7D9D1B22"/>
    <w:rsid w:val="7DB24046"/>
    <w:rsid w:val="7DCB29F1"/>
    <w:rsid w:val="7DF650AC"/>
    <w:rsid w:val="7DF847BA"/>
    <w:rsid w:val="7E0427CB"/>
    <w:rsid w:val="7E4D1CC6"/>
    <w:rsid w:val="7E8940A9"/>
    <w:rsid w:val="7E982C09"/>
    <w:rsid w:val="7EA21864"/>
    <w:rsid w:val="7EC9450E"/>
    <w:rsid w:val="7EF768DB"/>
    <w:rsid w:val="7F242C23"/>
    <w:rsid w:val="7F284EAC"/>
    <w:rsid w:val="7F431C3D"/>
    <w:rsid w:val="7F610509"/>
    <w:rsid w:val="7F654D11"/>
    <w:rsid w:val="7F8D2652"/>
    <w:rsid w:val="7F932FCE"/>
    <w:rsid w:val="7FC0612B"/>
    <w:rsid w:val="7FCB7F38"/>
    <w:rsid w:val="7FE1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line="360" w:lineRule="auto"/>
      <w:jc w:val="center"/>
      <w:outlineLvl w:val="0"/>
    </w:pPr>
    <w:rPr>
      <w:rFonts w:ascii="宋体" w:hAnsi="宋体"/>
      <w:b/>
      <w:bCs/>
      <w:kern w:val="44"/>
      <w:sz w:val="32"/>
      <w:szCs w:val="32"/>
    </w:rPr>
  </w:style>
  <w:style w:type="paragraph" w:styleId="3">
    <w:name w:val="heading 2"/>
    <w:basedOn w:val="1"/>
    <w:next w:val="1"/>
    <w:qFormat/>
    <w:uiPriority w:val="0"/>
    <w:pPr>
      <w:keepNext/>
      <w:keepLines/>
      <w:spacing w:before="260" w:after="260" w:line="360" w:lineRule="auto"/>
      <w:jc w:val="center"/>
      <w:outlineLvl w:val="1"/>
    </w:pPr>
    <w:rPr>
      <w:rFonts w:ascii="Arial" w:hAnsi="Arial"/>
      <w:b/>
      <w:bCs/>
      <w:sz w:val="48"/>
      <w:szCs w:val="32"/>
    </w:rPr>
  </w:style>
  <w:style w:type="paragraph" w:styleId="4">
    <w:name w:val="heading 3"/>
    <w:basedOn w:val="1"/>
    <w:next w:val="1"/>
    <w:qFormat/>
    <w:uiPriority w:val="0"/>
    <w:pPr>
      <w:spacing w:line="360" w:lineRule="auto"/>
      <w:ind w:firstLine="482" w:firstLineChars="200"/>
      <w:outlineLvl w:val="2"/>
    </w:pPr>
    <w:rPr>
      <w:rFonts w:ascii="宋体" w:hAnsi="宋体" w:cs="宋体"/>
      <w:b/>
      <w:sz w:val="24"/>
      <w:lang w:val="zh-CN"/>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9">
    <w:name w:val="Default Paragraph Font"/>
    <w:unhideWhenUsed/>
    <w:qFormat/>
    <w:uiPriority w:val="1"/>
  </w:style>
  <w:style w:type="table" w:default="1" w:styleId="40">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qFormat/>
    <w:uiPriority w:val="0"/>
    <w:pPr>
      <w:spacing w:after="120" w:line="360" w:lineRule="auto"/>
      <w:ind w:firstLine="420"/>
    </w:pPr>
    <w:rPr>
      <w:sz w:val="24"/>
      <w:szCs w:val="20"/>
    </w:rPr>
  </w:style>
  <w:style w:type="paragraph" w:styleId="12">
    <w:name w:val="annotation text"/>
    <w:basedOn w:val="1"/>
    <w:qFormat/>
    <w:uiPriority w:val="0"/>
    <w:pPr>
      <w:jc w:val="left"/>
    </w:pPr>
  </w:style>
  <w:style w:type="paragraph" w:styleId="13">
    <w:name w:val="Body Text"/>
    <w:basedOn w:val="1"/>
    <w:qFormat/>
    <w:uiPriority w:val="0"/>
    <w:pPr>
      <w:snapToGrid w:val="0"/>
      <w:spacing w:line="300" w:lineRule="auto"/>
    </w:pPr>
    <w:rPr>
      <w:rFonts w:ascii="宋体" w:hAnsi="宋体"/>
      <w:spacing w:val="4"/>
      <w:sz w:val="24"/>
      <w:szCs w:val="20"/>
    </w:rPr>
  </w:style>
  <w:style w:type="paragraph" w:styleId="14">
    <w:name w:val="Body Text Indent"/>
    <w:basedOn w:val="1"/>
    <w:qFormat/>
    <w:uiPriority w:val="0"/>
    <w:pPr>
      <w:spacing w:line="460" w:lineRule="exact"/>
      <w:ind w:firstLine="570"/>
    </w:pPr>
    <w:rPr>
      <w:b/>
      <w:bCs/>
      <w:sz w:val="28"/>
      <w:szCs w:val="20"/>
    </w:rPr>
  </w:style>
  <w:style w:type="paragraph" w:styleId="15">
    <w:name w:val="List Number 3"/>
    <w:basedOn w:val="1"/>
    <w:next w:val="11"/>
    <w:qFormat/>
    <w:uiPriority w:val="0"/>
    <w:pPr>
      <w:numPr>
        <w:ilvl w:val="0"/>
        <w:numId w:val="1"/>
      </w:numPr>
    </w:pPr>
  </w:style>
  <w:style w:type="paragraph" w:styleId="16">
    <w:name w:val="toc 3"/>
    <w:basedOn w:val="1"/>
    <w:next w:val="1"/>
    <w:qFormat/>
    <w:uiPriority w:val="39"/>
    <w:pPr>
      <w:ind w:left="840" w:leftChars="400"/>
    </w:pPr>
  </w:style>
  <w:style w:type="paragraph" w:styleId="17">
    <w:name w:val="Plain Text"/>
    <w:basedOn w:val="1"/>
    <w:qFormat/>
    <w:uiPriority w:val="0"/>
    <w:pPr>
      <w:adjustRightInd w:val="0"/>
      <w:spacing w:line="335" w:lineRule="atLeast"/>
      <w:textAlignment w:val="baseline"/>
    </w:pPr>
    <w:rPr>
      <w:rFonts w:ascii="宋体" w:hAnsi="Courier New" w:cs="Courier New"/>
      <w:szCs w:val="21"/>
    </w:rPr>
  </w:style>
  <w:style w:type="paragraph" w:styleId="18">
    <w:name w:val="Date"/>
    <w:basedOn w:val="1"/>
    <w:next w:val="1"/>
    <w:qFormat/>
    <w:uiPriority w:val="0"/>
    <w:pPr>
      <w:ind w:left="100" w:leftChars="2500"/>
    </w:pPr>
    <w:rPr>
      <w:sz w:val="28"/>
    </w:rPr>
  </w:style>
  <w:style w:type="paragraph" w:styleId="19">
    <w:name w:val="Body Text Indent 2"/>
    <w:basedOn w:val="1"/>
    <w:qFormat/>
    <w:uiPriority w:val="0"/>
    <w:pPr>
      <w:spacing w:line="460" w:lineRule="exact"/>
      <w:ind w:firstLine="570"/>
    </w:pPr>
    <w:rPr>
      <w:sz w:val="28"/>
      <w:szCs w:val="20"/>
    </w:r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9344"/>
      </w:tabs>
    </w:pPr>
  </w:style>
  <w:style w:type="paragraph" w:styleId="24">
    <w:name w:val="Body Text Indent 3"/>
    <w:basedOn w:val="1"/>
    <w:qFormat/>
    <w:uiPriority w:val="0"/>
    <w:pPr>
      <w:spacing w:after="120"/>
      <w:ind w:left="420"/>
    </w:pPr>
    <w:rPr>
      <w:sz w:val="16"/>
      <w:szCs w:val="16"/>
    </w:rPr>
  </w:style>
  <w:style w:type="paragraph" w:styleId="25">
    <w:name w:val="toc 2"/>
    <w:basedOn w:val="1"/>
    <w:next w:val="1"/>
    <w:qFormat/>
    <w:uiPriority w:val="39"/>
    <w:pPr>
      <w:ind w:left="420" w:leftChars="200"/>
    </w:pPr>
  </w:style>
  <w:style w:type="paragraph" w:styleId="2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7">
    <w:name w:val="index 1"/>
    <w:basedOn w:val="1"/>
    <w:next w:val="1"/>
    <w:semiHidden/>
    <w:qFormat/>
    <w:uiPriority w:val="0"/>
  </w:style>
  <w:style w:type="paragraph" w:styleId="28">
    <w:name w:val="index 2"/>
    <w:basedOn w:val="1"/>
    <w:next w:val="1"/>
    <w:semiHidden/>
    <w:qFormat/>
    <w:uiPriority w:val="0"/>
    <w:pPr>
      <w:ind w:left="200" w:leftChars="200"/>
    </w:pPr>
  </w:style>
  <w:style w:type="character" w:styleId="30">
    <w:name w:val="Strong"/>
    <w:qFormat/>
    <w:uiPriority w:val="0"/>
    <w:rPr>
      <w:b/>
      <w:bCs/>
    </w:rPr>
  </w:style>
  <w:style w:type="character" w:styleId="31">
    <w:name w:val="page number"/>
    <w:basedOn w:val="29"/>
    <w:qFormat/>
    <w:uiPriority w:val="0"/>
  </w:style>
  <w:style w:type="character" w:styleId="32">
    <w:name w:val="FollowedHyperlink"/>
    <w:qFormat/>
    <w:uiPriority w:val="0"/>
    <w:rPr>
      <w:rFonts w:ascii="Copperplate Gothic Bold" w:hAnsi="Copperplate Gothic Bold"/>
      <w:color w:val="333333"/>
      <w:kern w:val="0"/>
      <w:sz w:val="28"/>
      <w:szCs w:val="28"/>
      <w:u w:val="none"/>
    </w:rPr>
  </w:style>
  <w:style w:type="character" w:styleId="33">
    <w:name w:val="Emphasis"/>
    <w:qFormat/>
    <w:uiPriority w:val="0"/>
    <w:rPr>
      <w:rFonts w:ascii="Copperplate Gothic Bold" w:hAnsi="Copperplate Gothic Bold"/>
      <w:kern w:val="0"/>
      <w:sz w:val="28"/>
      <w:szCs w:val="28"/>
    </w:rPr>
  </w:style>
  <w:style w:type="character" w:styleId="34">
    <w:name w:val="HTML Definition"/>
    <w:qFormat/>
    <w:uiPriority w:val="0"/>
    <w:rPr>
      <w:rFonts w:ascii="Copperplate Gothic Bold" w:hAnsi="Copperplate Gothic Bold"/>
      <w:kern w:val="0"/>
      <w:sz w:val="28"/>
      <w:szCs w:val="28"/>
    </w:rPr>
  </w:style>
  <w:style w:type="character" w:styleId="35">
    <w:name w:val="HTML Acronym"/>
    <w:basedOn w:val="29"/>
    <w:qFormat/>
    <w:uiPriority w:val="0"/>
  </w:style>
  <w:style w:type="character" w:styleId="36">
    <w:name w:val="HTML Variable"/>
    <w:qFormat/>
    <w:uiPriority w:val="0"/>
    <w:rPr>
      <w:rFonts w:ascii="Copperplate Gothic Bold" w:hAnsi="Copperplate Gothic Bold"/>
      <w:kern w:val="0"/>
      <w:sz w:val="28"/>
      <w:szCs w:val="28"/>
    </w:rPr>
  </w:style>
  <w:style w:type="character" w:styleId="37">
    <w:name w:val="Hyperlink"/>
    <w:qFormat/>
    <w:uiPriority w:val="99"/>
    <w:rPr>
      <w:rFonts w:ascii="Copperplate Gothic Bold" w:hAnsi="Copperplate Gothic Bold"/>
      <w:color w:val="333333"/>
      <w:kern w:val="0"/>
      <w:sz w:val="28"/>
      <w:szCs w:val="28"/>
      <w:u w:val="none"/>
    </w:rPr>
  </w:style>
  <w:style w:type="character" w:styleId="38">
    <w:name w:val="HTML Code"/>
    <w:qFormat/>
    <w:uiPriority w:val="0"/>
    <w:rPr>
      <w:rFonts w:ascii="Courier New" w:hAnsi="Courier New"/>
      <w:kern w:val="0"/>
      <w:sz w:val="20"/>
      <w:szCs w:val="28"/>
    </w:rPr>
  </w:style>
  <w:style w:type="character" w:styleId="39">
    <w:name w:val="HTML Cite"/>
    <w:qFormat/>
    <w:uiPriority w:val="0"/>
    <w:rPr>
      <w:rFonts w:ascii="Copperplate Gothic Bold" w:hAnsi="Copperplate Gothic Bold"/>
      <w:kern w:val="0"/>
      <w:sz w:val="28"/>
      <w:szCs w:val="28"/>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Char Char1"/>
    <w:qFormat/>
    <w:uiPriority w:val="0"/>
    <w:rPr>
      <w:rFonts w:eastAsia="宋体"/>
      <w:b/>
      <w:bCs/>
      <w:kern w:val="44"/>
      <w:sz w:val="52"/>
      <w:szCs w:val="44"/>
      <w:lang w:val="en-US" w:eastAsia="zh-CN" w:bidi="ar-SA"/>
    </w:rPr>
  </w:style>
  <w:style w:type="character" w:customStyle="1" w:styleId="43">
    <w:name w:val="ca-22"/>
    <w:basedOn w:val="29"/>
    <w:qFormat/>
    <w:uiPriority w:val="0"/>
  </w:style>
  <w:style w:type="character" w:customStyle="1" w:styleId="44">
    <w:name w:val="font21"/>
    <w:qFormat/>
    <w:uiPriority w:val="0"/>
    <w:rPr>
      <w:rFonts w:hint="eastAsia" w:ascii="宋体" w:hAnsi="宋体" w:eastAsia="宋体" w:cs="宋体"/>
      <w:color w:val="000000"/>
      <w:sz w:val="20"/>
      <w:szCs w:val="20"/>
      <w:u w:val="none"/>
    </w:rPr>
  </w:style>
  <w:style w:type="character" w:customStyle="1" w:styleId="45">
    <w:name w:val="标题 2 Char"/>
    <w:qFormat/>
    <w:uiPriority w:val="0"/>
    <w:rPr>
      <w:rFonts w:ascii="Arial" w:hAnsi="Arial" w:eastAsia="宋体"/>
      <w:b/>
      <w:bCs/>
      <w:kern w:val="2"/>
      <w:sz w:val="48"/>
      <w:szCs w:val="32"/>
      <w:lang w:val="en-US" w:eastAsia="zh-CN" w:bidi="ar-SA"/>
    </w:rPr>
  </w:style>
  <w:style w:type="character" w:customStyle="1" w:styleId="46">
    <w:name w:val="ca-62"/>
    <w:basedOn w:val="29"/>
    <w:qFormat/>
    <w:uiPriority w:val="0"/>
  </w:style>
  <w:style w:type="character" w:customStyle="1" w:styleId="47">
    <w:name w:val="ca-32"/>
    <w:basedOn w:val="29"/>
    <w:qFormat/>
    <w:uiPriority w:val="0"/>
  </w:style>
  <w:style w:type="character" w:customStyle="1" w:styleId="48">
    <w:name w:val="font11"/>
    <w:qFormat/>
    <w:uiPriority w:val="0"/>
    <w:rPr>
      <w:rFonts w:hint="eastAsia" w:ascii="宋体" w:hAnsi="宋体" w:eastAsia="宋体" w:cs="宋体"/>
      <w:b/>
      <w:color w:val="000000"/>
      <w:sz w:val="20"/>
      <w:szCs w:val="20"/>
      <w:u w:val="none"/>
    </w:rPr>
  </w:style>
  <w:style w:type="character" w:customStyle="1" w:styleId="49">
    <w:name w:val="font41"/>
    <w:qFormat/>
    <w:uiPriority w:val="0"/>
    <w:rPr>
      <w:rFonts w:hint="eastAsia" w:ascii="宋体" w:hAnsi="宋体" w:eastAsia="宋体" w:cs="宋体"/>
      <w:b/>
      <w:color w:val="000000"/>
      <w:kern w:val="0"/>
      <w:sz w:val="20"/>
      <w:szCs w:val="20"/>
      <w:u w:val="none"/>
    </w:rPr>
  </w:style>
  <w:style w:type="character" w:customStyle="1" w:styleId="50">
    <w:name w:val="font01"/>
    <w:qFormat/>
    <w:uiPriority w:val="0"/>
    <w:rPr>
      <w:rFonts w:hint="eastAsia" w:ascii="宋体" w:hAnsi="宋体" w:eastAsia="宋体" w:cs="宋体"/>
      <w:color w:val="000000"/>
      <w:sz w:val="18"/>
      <w:szCs w:val="18"/>
      <w:u w:val="none"/>
    </w:rPr>
  </w:style>
  <w:style w:type="character" w:customStyle="1" w:styleId="51">
    <w:name w:val="ca-02"/>
    <w:basedOn w:val="29"/>
    <w:qFormat/>
    <w:uiPriority w:val="0"/>
  </w:style>
  <w:style w:type="character" w:customStyle="1" w:styleId="52">
    <w:name w:val="Char Char"/>
    <w:qFormat/>
    <w:uiPriority w:val="0"/>
    <w:rPr>
      <w:rFonts w:ascii="Arial" w:hAnsi="Arial" w:eastAsia="宋体"/>
      <w:b/>
      <w:bCs/>
      <w:kern w:val="2"/>
      <w:sz w:val="48"/>
      <w:szCs w:val="32"/>
      <w:lang w:val="en-US" w:eastAsia="zh-CN" w:bidi="ar-SA"/>
    </w:rPr>
  </w:style>
  <w:style w:type="character" w:customStyle="1" w:styleId="53">
    <w:name w:val="font31"/>
    <w:qFormat/>
    <w:uiPriority w:val="0"/>
    <w:rPr>
      <w:rFonts w:hint="eastAsia" w:ascii="宋体" w:hAnsi="宋体" w:eastAsia="宋体" w:cs="宋体"/>
      <w:color w:val="000000"/>
      <w:sz w:val="18"/>
      <w:szCs w:val="18"/>
      <w:u w:val="none"/>
    </w:rPr>
  </w:style>
  <w:style w:type="character" w:customStyle="1" w:styleId="54">
    <w:name w:val="font111"/>
    <w:qFormat/>
    <w:uiPriority w:val="0"/>
    <w:rPr>
      <w:rFonts w:hint="default" w:ascii="仿宋_GB2312" w:eastAsia="仿宋_GB2312" w:cs="仿宋_GB2312"/>
      <w:color w:val="000000"/>
      <w:sz w:val="20"/>
      <w:szCs w:val="20"/>
      <w:u w:val="none"/>
    </w:rPr>
  </w:style>
  <w:style w:type="character" w:customStyle="1" w:styleId="55">
    <w:name w:val="ca-52"/>
    <w:basedOn w:val="29"/>
    <w:qFormat/>
    <w:uiPriority w:val="0"/>
  </w:style>
  <w:style w:type="paragraph" w:customStyle="1" w:styleId="56">
    <w:name w:val="_Style 29"/>
    <w:basedOn w:val="1"/>
    <w:qFormat/>
    <w:uiPriority w:val="0"/>
    <w:pPr>
      <w:widowControl/>
      <w:spacing w:after="160" w:line="240" w:lineRule="exact"/>
      <w:jc w:val="left"/>
    </w:pPr>
    <w:rPr>
      <w:rFonts w:ascii="Verdana" w:hAnsi="Verdana"/>
      <w:kern w:val="0"/>
      <w:sz w:val="20"/>
      <w:szCs w:val="20"/>
      <w:lang w:eastAsia="en-US"/>
    </w:rPr>
  </w:style>
  <w:style w:type="paragraph" w:customStyle="1" w:styleId="57">
    <w:name w:val="表中"/>
    <w:basedOn w:val="1"/>
    <w:qFormat/>
    <w:uiPriority w:val="0"/>
    <w:pPr>
      <w:adjustRightInd w:val="0"/>
      <w:snapToGrid w:val="0"/>
      <w:spacing w:line="420" w:lineRule="atLeast"/>
      <w:jc w:val="center"/>
      <w:textAlignment w:val="baseline"/>
    </w:pPr>
    <w:rPr>
      <w:snapToGrid w:val="0"/>
      <w:kern w:val="0"/>
      <w:szCs w:val="20"/>
    </w:rPr>
  </w:style>
  <w:style w:type="paragraph" w:customStyle="1" w:styleId="58">
    <w:name w:val="标题4"/>
    <w:basedOn w:val="1"/>
    <w:qFormat/>
    <w:uiPriority w:val="0"/>
    <w:pPr>
      <w:spacing w:beforeLines="100" w:afterLines="100" w:line="360" w:lineRule="auto"/>
    </w:pPr>
    <w:rPr>
      <w:sz w:val="28"/>
    </w:rPr>
  </w:style>
  <w:style w:type="paragraph" w:customStyle="1" w:styleId="59">
    <w:name w:val="p0"/>
    <w:basedOn w:val="1"/>
    <w:qFormat/>
    <w:uiPriority w:val="0"/>
    <w:pPr>
      <w:widowControl/>
    </w:pPr>
    <w:rPr>
      <w:kern w:val="0"/>
      <w:szCs w:val="21"/>
    </w:rPr>
  </w:style>
  <w:style w:type="paragraph" w:customStyle="1" w:styleId="60">
    <w:name w:val="Char Char Char Char Char Char Char Char Char Char Char"/>
    <w:basedOn w:val="1"/>
    <w:qFormat/>
    <w:uiPriority w:val="0"/>
    <w:rPr>
      <w:rFonts w:ascii="Tahoma" w:hAnsi="Tahoma"/>
      <w:sz w:val="24"/>
      <w:szCs w:val="20"/>
    </w:rPr>
  </w:style>
  <w:style w:type="paragraph" w:customStyle="1" w:styleId="61">
    <w:name w:val="1"/>
    <w:basedOn w:val="1"/>
    <w:next w:val="13"/>
    <w:qFormat/>
    <w:uiPriority w:val="0"/>
    <w:pPr>
      <w:autoSpaceDE w:val="0"/>
      <w:autoSpaceDN w:val="0"/>
      <w:adjustRightInd w:val="0"/>
      <w:jc w:val="left"/>
      <w:textAlignment w:val="baseline"/>
    </w:pPr>
    <w:rPr>
      <w:rFonts w:ascii="宋体"/>
      <w:kern w:val="0"/>
      <w:sz w:val="28"/>
      <w:szCs w:val="20"/>
    </w:rPr>
  </w:style>
  <w:style w:type="paragraph" w:customStyle="1" w:styleId="62">
    <w:name w:val="pa-3"/>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_Style 1"/>
    <w:basedOn w:val="1"/>
    <w:qFormat/>
    <w:uiPriority w:val="0"/>
    <w:pPr>
      <w:widowControl/>
      <w:spacing w:after="160" w:line="240" w:lineRule="exact"/>
      <w:jc w:val="left"/>
    </w:pPr>
  </w:style>
  <w:style w:type="paragraph" w:customStyle="1" w:styleId="64">
    <w:name w:val="Char2 Char Char Char"/>
    <w:basedOn w:val="1"/>
    <w:qFormat/>
    <w:uiPriority w:val="0"/>
    <w:rPr>
      <w:rFonts w:ascii="Tahoma" w:hAnsi="Tahoma"/>
      <w:sz w:val="24"/>
      <w:szCs w:val="20"/>
    </w:rPr>
  </w:style>
  <w:style w:type="paragraph" w:customStyle="1" w:styleId="65">
    <w:name w:val="没有缩进（为图形使用）"/>
    <w:basedOn w:val="1"/>
    <w:qFormat/>
    <w:uiPriority w:val="0"/>
    <w:pPr>
      <w:spacing w:before="120" w:after="120" w:line="360" w:lineRule="auto"/>
    </w:pPr>
    <w:rPr>
      <w:sz w:val="24"/>
      <w:szCs w:val="20"/>
    </w:rPr>
  </w:style>
  <w:style w:type="paragraph" w:customStyle="1" w:styleId="66">
    <w:name w:val="List Paragraph1"/>
    <w:basedOn w:val="1"/>
    <w:unhideWhenUsed/>
    <w:qFormat/>
    <w:uiPriority w:val="99"/>
    <w:pPr>
      <w:ind w:firstLine="420" w:firstLineChars="200"/>
    </w:pPr>
    <w:rPr>
      <w:rFonts w:ascii="Calibri" w:hAnsi="Calibri"/>
    </w:rPr>
  </w:style>
  <w:style w:type="paragraph" w:customStyle="1" w:styleId="6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列出段落1"/>
    <w:basedOn w:val="1"/>
    <w:qFormat/>
    <w:uiPriority w:val="99"/>
    <w:pPr>
      <w:ind w:firstLine="420" w:firstLineChars="200"/>
    </w:pPr>
  </w:style>
  <w:style w:type="paragraph" w:customStyle="1" w:styleId="70">
    <w:name w:val="注"/>
    <w:basedOn w:val="1"/>
    <w:qFormat/>
    <w:uiPriority w:val="0"/>
    <w:pPr>
      <w:adjustRightInd w:val="0"/>
      <w:spacing w:line="420" w:lineRule="atLeast"/>
      <w:ind w:firstLine="340"/>
      <w:textAlignment w:val="baseline"/>
    </w:pPr>
    <w:rPr>
      <w:kern w:val="0"/>
      <w:sz w:val="18"/>
      <w:szCs w:val="20"/>
    </w:rPr>
  </w:style>
  <w:style w:type="paragraph" w:customStyle="1" w:styleId="71">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rPr>
  </w:style>
  <w:style w:type="paragraph" w:customStyle="1" w:styleId="73">
    <w:name w:val="Default Paragraph Char Char Char Char"/>
    <w:basedOn w:val="1"/>
    <w:next w:val="1"/>
    <w:qFormat/>
    <w:uiPriority w:val="0"/>
    <w:pPr>
      <w:widowControl/>
      <w:spacing w:line="360" w:lineRule="auto"/>
      <w:jc w:val="left"/>
    </w:pPr>
    <w:rPr>
      <w:rFonts w:ascii="Copperplate Gothic Bold" w:hAnsi="Copperplate Gothic Bold"/>
      <w:kern w:val="0"/>
      <w:sz w:val="28"/>
      <w:szCs w:val="28"/>
    </w:rPr>
  </w:style>
  <w:style w:type="paragraph" w:customStyle="1" w:styleId="74">
    <w:name w:val="Char2 Char Char Char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63</Pages>
  <Words>34941</Words>
  <Characters>12215</Characters>
  <Lines>101</Lines>
  <Paragraphs>94</Paragraphs>
  <ScaleCrop>false</ScaleCrop>
  <LinksUpToDate>false</LinksUpToDate>
  <CharactersWithSpaces>47062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2017-04-10T08:45:00Z</dcterms:created>
  <dc:creator>SDWM</dc:creator>
  <cp:lastModifiedBy>Administrator</cp:lastModifiedBy>
  <cp:lastPrinted>2017-09-27T06:45:00Z</cp:lastPrinted>
  <dcterms:modified xsi:type="dcterms:W3CDTF">2017-09-28T02:54:55Z</dcterms:modified>
  <dc:title>白银区城市管理综合执法局数字城管信息平台改造项目政府采购</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