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宋体" w:hAnsi="宋体"/>
          <w:b/>
          <w:color w:val="000000"/>
          <w:sz w:val="44"/>
        </w:rPr>
      </w:pPr>
    </w:p>
    <w:p>
      <w:pPr>
        <w:spacing w:line="240" w:lineRule="auto"/>
        <w:rPr>
          <w:rFonts w:hint="eastAsia" w:ascii="宋体" w:hAnsi="宋体"/>
          <w:b/>
          <w:color w:val="000000"/>
          <w:sz w:val="72"/>
        </w:rPr>
      </w:pPr>
      <w:r>
        <w:rPr>
          <w:rFonts w:hint="eastAsia" w:ascii="宋体" w:hAnsi="宋体"/>
          <w:b/>
          <w:color w:val="000000"/>
          <w:sz w:val="44"/>
        </w:rPr>
        <w:t xml:space="preserve">                                                                                                                                                                                                                                                                                                                                                                                                                                                                                                                                                                                                                                                                                                                                                                                                                                                                                                                                                                                    </w:t>
      </w:r>
    </w:p>
    <w:p>
      <w:pPr>
        <w:spacing w:line="360" w:lineRule="auto"/>
        <w:jc w:val="center"/>
        <w:rPr>
          <w:rFonts w:hint="eastAsia" w:ascii="宋体" w:hAnsi="宋体"/>
          <w:b/>
          <w:color w:val="000000"/>
          <w:sz w:val="52"/>
          <w:szCs w:val="52"/>
        </w:rPr>
      </w:pPr>
      <w:r>
        <w:rPr>
          <w:rFonts w:hint="eastAsia" w:ascii="宋体" w:hAnsi="宋体"/>
          <w:b/>
          <w:color w:val="000000"/>
          <w:sz w:val="52"/>
          <w:szCs w:val="52"/>
        </w:rPr>
        <w:t>白银市食品检验检测中心实验室检测</w:t>
      </w:r>
    </w:p>
    <w:p>
      <w:pPr>
        <w:spacing w:line="360" w:lineRule="auto"/>
        <w:jc w:val="center"/>
        <w:rPr>
          <w:rFonts w:hint="eastAsia" w:ascii="宋体" w:hAnsi="宋体"/>
          <w:b/>
          <w:color w:val="000000"/>
          <w:sz w:val="52"/>
          <w:szCs w:val="52"/>
        </w:rPr>
      </w:pPr>
      <w:r>
        <w:rPr>
          <w:rFonts w:hint="eastAsia" w:ascii="宋体" w:hAnsi="宋体"/>
          <w:b/>
          <w:color w:val="000000"/>
          <w:sz w:val="52"/>
          <w:szCs w:val="52"/>
        </w:rPr>
        <w:t>设备采购项目</w:t>
      </w:r>
    </w:p>
    <w:p>
      <w:pPr>
        <w:spacing w:line="360" w:lineRule="auto"/>
        <w:jc w:val="center"/>
        <w:rPr>
          <w:rFonts w:hint="eastAsia" w:ascii="宋体" w:hAnsi="宋体"/>
          <w:b/>
          <w:color w:val="000000"/>
          <w:sz w:val="72"/>
        </w:rPr>
      </w:pPr>
    </w:p>
    <w:p>
      <w:pPr>
        <w:spacing w:line="360" w:lineRule="auto"/>
        <w:jc w:val="center"/>
        <w:rPr>
          <w:rFonts w:hint="eastAsia" w:ascii="宋体" w:hAnsi="宋体"/>
          <w:b/>
          <w:color w:val="000000"/>
          <w:sz w:val="72"/>
        </w:rPr>
      </w:pPr>
      <w:r>
        <w:rPr>
          <w:rFonts w:hint="eastAsia" w:ascii="宋体" w:hAnsi="宋体"/>
          <w:b/>
          <w:color w:val="000000"/>
          <w:sz w:val="72"/>
        </w:rPr>
        <w:t>政府采购招标文件</w:t>
      </w:r>
    </w:p>
    <w:p>
      <w:pPr>
        <w:spacing w:line="360" w:lineRule="auto"/>
        <w:jc w:val="center"/>
        <w:rPr>
          <w:rFonts w:hint="eastAsia" w:ascii="宋体" w:hAnsi="宋体"/>
          <w:b/>
          <w:color w:val="000000"/>
          <w:sz w:val="32"/>
        </w:rPr>
      </w:pPr>
    </w:p>
    <w:p>
      <w:pPr>
        <w:spacing w:line="360" w:lineRule="auto"/>
        <w:rPr>
          <w:rFonts w:hint="eastAsia" w:ascii="宋体" w:hAnsi="宋体"/>
          <w:color w:val="000000"/>
          <w:sz w:val="32"/>
          <w:szCs w:val="32"/>
        </w:rPr>
      </w:pPr>
      <w:r>
        <w:rPr>
          <w:rFonts w:hint="eastAsia" w:ascii="宋体" w:hAnsi="宋体"/>
          <w:b/>
          <w:color w:val="000000"/>
          <w:sz w:val="32"/>
        </w:rPr>
        <w:t xml:space="preserve">               招标编号：BGZJ-ZC17330</w:t>
      </w:r>
      <w:r>
        <w:rPr>
          <w:rFonts w:hint="eastAsia" w:ascii="宋体" w:hAnsi="宋体"/>
          <w:b/>
          <w:color w:val="000000"/>
          <w:sz w:val="32"/>
          <w:lang w:val="en-US" w:eastAsia="zh-CN"/>
        </w:rPr>
        <w:t xml:space="preserve"> </w:t>
      </w:r>
      <w:r>
        <w:rPr>
          <w:rFonts w:hint="eastAsia" w:ascii="宋体" w:hAnsi="宋体"/>
          <w:b/>
          <w:color w:val="000000"/>
          <w:sz w:val="32"/>
        </w:rPr>
        <w:t xml:space="preserve">    </w:t>
      </w:r>
    </w:p>
    <w:p>
      <w:pPr>
        <w:spacing w:line="360" w:lineRule="auto"/>
        <w:ind w:firstLine="1606" w:firstLineChars="500"/>
        <w:rPr>
          <w:rFonts w:hint="eastAsia" w:ascii="宋体" w:hAnsi="宋体"/>
          <w:b/>
          <w:color w:val="000000"/>
          <w:sz w:val="32"/>
        </w:rPr>
      </w:pPr>
    </w:p>
    <w:p>
      <w:pPr>
        <w:spacing w:line="360" w:lineRule="auto"/>
        <w:ind w:firstLine="1606" w:firstLineChars="500"/>
        <w:rPr>
          <w:rFonts w:hint="eastAsia" w:ascii="宋体" w:hAnsi="宋体"/>
          <w:b/>
          <w:color w:val="000000"/>
          <w:sz w:val="32"/>
        </w:rPr>
      </w:pPr>
    </w:p>
    <w:p>
      <w:pPr>
        <w:spacing w:line="360" w:lineRule="auto"/>
        <w:rPr>
          <w:rFonts w:hint="eastAsia" w:ascii="宋体" w:hAnsi="宋体"/>
          <w:b/>
          <w:color w:val="000000"/>
          <w:sz w:val="32"/>
        </w:rPr>
      </w:pPr>
    </w:p>
    <w:p>
      <w:pPr>
        <w:spacing w:line="360" w:lineRule="auto"/>
        <w:ind w:firstLine="1606" w:firstLineChars="500"/>
        <w:rPr>
          <w:rFonts w:hint="eastAsia" w:ascii="宋体" w:hAnsi="宋体"/>
          <w:b/>
          <w:color w:val="000000"/>
          <w:sz w:val="32"/>
        </w:rPr>
      </w:pPr>
    </w:p>
    <w:p>
      <w:pPr>
        <w:spacing w:line="360" w:lineRule="auto"/>
        <w:ind w:firstLine="1606" w:firstLineChars="500"/>
        <w:rPr>
          <w:rFonts w:hint="eastAsia" w:ascii="宋体" w:hAnsi="宋体"/>
          <w:b/>
          <w:color w:val="000000"/>
          <w:sz w:val="32"/>
        </w:rPr>
      </w:pPr>
    </w:p>
    <w:p>
      <w:pPr>
        <w:spacing w:line="360" w:lineRule="auto"/>
        <w:ind w:firstLine="1606" w:firstLineChars="500"/>
        <w:rPr>
          <w:rFonts w:hint="eastAsia" w:ascii="宋体" w:hAnsi="宋体"/>
          <w:b/>
          <w:color w:val="000000"/>
          <w:sz w:val="32"/>
        </w:rPr>
      </w:pPr>
    </w:p>
    <w:p>
      <w:pPr>
        <w:spacing w:line="360" w:lineRule="auto"/>
        <w:ind w:firstLine="1606" w:firstLineChars="500"/>
        <w:rPr>
          <w:rFonts w:hint="eastAsia" w:ascii="宋体" w:hAnsi="宋体"/>
          <w:b/>
          <w:color w:val="000000"/>
          <w:sz w:val="32"/>
          <w:szCs w:val="32"/>
        </w:rPr>
      </w:pPr>
      <w:r>
        <w:rPr>
          <w:rFonts w:hint="eastAsia" w:ascii="宋体" w:hAnsi="宋体"/>
          <w:b/>
          <w:color w:val="000000"/>
          <w:sz w:val="32"/>
          <w:szCs w:val="32"/>
        </w:rPr>
        <w:t xml:space="preserve">    委托单位：</w:t>
      </w:r>
      <w:r>
        <w:rPr>
          <w:rFonts w:hint="eastAsia" w:ascii="宋体" w:hAnsi="宋体"/>
          <w:b/>
          <w:color w:val="000000"/>
          <w:sz w:val="32"/>
          <w:szCs w:val="32"/>
          <w:lang w:eastAsia="zh-CN"/>
        </w:rPr>
        <w:t>白银市食品检验检测中心</w:t>
      </w:r>
    </w:p>
    <w:p>
      <w:pPr>
        <w:spacing w:line="360" w:lineRule="auto"/>
        <w:ind w:firstLine="1606" w:firstLineChars="500"/>
        <w:rPr>
          <w:rFonts w:hint="eastAsia" w:ascii="宋体" w:hAnsi="宋体"/>
          <w:b/>
          <w:sz w:val="32"/>
          <w:szCs w:val="32"/>
        </w:rPr>
      </w:pPr>
      <w:r>
        <w:rPr>
          <w:rFonts w:hint="eastAsia" w:ascii="宋体" w:hAnsi="宋体"/>
          <w:b/>
          <w:color w:val="000000"/>
          <w:sz w:val="32"/>
          <w:szCs w:val="32"/>
        </w:rPr>
        <w:t xml:space="preserve">    招标机构：</w:t>
      </w:r>
      <w:r>
        <w:rPr>
          <w:rFonts w:hint="eastAsia" w:ascii="宋体" w:hAnsi="宋体"/>
          <w:b/>
          <w:sz w:val="32"/>
          <w:szCs w:val="32"/>
          <w:lang w:eastAsia="zh-CN"/>
        </w:rPr>
        <w:t>中招国际招标有限公司甘肃分公司</w:t>
      </w: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pStyle w:val="18"/>
        <w:spacing w:line="360" w:lineRule="auto"/>
        <w:ind w:left="0" w:leftChars="0"/>
        <w:jc w:val="center"/>
        <w:rPr>
          <w:rFonts w:ascii="宋体" w:hAnsi="宋体"/>
          <w:color w:val="000000"/>
        </w:rPr>
        <w:sectPr>
          <w:headerReference r:id="rId5" w:type="first"/>
          <w:headerReference r:id="rId3" w:type="default"/>
          <w:footerReference r:id="rId6" w:type="default"/>
          <w:headerReference r:id="rId4" w:type="even"/>
          <w:footerReference r:id="rId7" w:type="even"/>
          <w:pgSz w:w="11906" w:h="16838"/>
          <w:pgMar w:top="1134" w:right="1134" w:bottom="1134" w:left="1418" w:header="851" w:footer="992" w:gutter="0"/>
          <w:cols w:space="720" w:num="1"/>
          <w:titlePg/>
          <w:docGrid w:linePitch="312" w:charSpace="0"/>
        </w:sectPr>
      </w:pPr>
      <w:r>
        <w:rPr>
          <w:rFonts w:hint="eastAsia" w:ascii="宋体" w:hAnsi="宋体"/>
          <w:b/>
          <w:sz w:val="32"/>
          <w:szCs w:val="32"/>
        </w:rPr>
        <w:t>二○一七年</w:t>
      </w:r>
      <w:r>
        <w:rPr>
          <w:rFonts w:hint="eastAsia" w:ascii="宋体" w:hAnsi="宋体"/>
          <w:b/>
          <w:sz w:val="32"/>
          <w:szCs w:val="32"/>
          <w:lang w:eastAsia="zh-CN"/>
        </w:rPr>
        <w:t>八</w:t>
      </w:r>
      <w:r>
        <w:rPr>
          <w:rFonts w:hint="eastAsia" w:ascii="宋体" w:hAnsi="宋体"/>
          <w:b/>
          <w:sz w:val="32"/>
          <w:szCs w:val="32"/>
        </w:rPr>
        <w:t>月</w:t>
      </w:r>
      <w:r>
        <w:rPr>
          <w:rFonts w:hint="eastAsia" w:ascii="宋体" w:hAnsi="宋体"/>
        </w:rPr>
        <w:t xml:space="preserve">   </w:t>
      </w:r>
      <w:r>
        <w:rPr>
          <w:rFonts w:hint="eastAsia" w:ascii="宋体" w:hAnsi="宋体"/>
          <w:color w:val="000000"/>
        </w:rPr>
        <w:t xml:space="preserve">                                                                                                </w:t>
      </w:r>
    </w:p>
    <w:p>
      <w:pPr>
        <w:pStyle w:val="2"/>
        <w:spacing w:line="400" w:lineRule="exact"/>
        <w:rPr>
          <w:rFonts w:hint="eastAsia"/>
          <w:sz w:val="28"/>
          <w:szCs w:val="28"/>
        </w:rPr>
      </w:pPr>
      <w:bookmarkStart w:id="0" w:name="_Toc453596785"/>
      <w:r>
        <w:rPr>
          <w:rFonts w:hint="eastAsia"/>
          <w:sz w:val="28"/>
          <w:szCs w:val="28"/>
        </w:rPr>
        <w:t>目  录</w:t>
      </w:r>
      <w:bookmarkEnd w:id="0"/>
    </w:p>
    <w:p>
      <w:pPr>
        <w:pStyle w:val="23"/>
        <w:spacing w:line="500" w:lineRule="exact"/>
        <w:rPr>
          <w:rFonts w:ascii="宋体" w:hAnsi="宋体"/>
          <w:sz w:val="24"/>
          <w:lang w:val="en-US" w:eastAsia="zh-CN"/>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TOC \o "1-3" \h \z \u</w:instrText>
      </w:r>
      <w:r>
        <w:rPr>
          <w:rFonts w:ascii="宋体" w:hAnsi="宋体"/>
          <w:sz w:val="24"/>
        </w:rPr>
        <w:instrText xml:space="preserve"> </w:instrText>
      </w:r>
      <w:r>
        <w:rPr>
          <w:rFonts w:ascii="宋体" w:hAnsi="宋体"/>
          <w:sz w:val="24"/>
        </w:rPr>
        <w:fldChar w:fldCharType="separate"/>
      </w:r>
      <w:r>
        <w:fldChar w:fldCharType="begin"/>
      </w:r>
      <w:r>
        <w:instrText xml:space="preserve"> HYPERLINK \l "_Toc453596785" </w:instrText>
      </w:r>
      <w:r>
        <w:fldChar w:fldCharType="separate"/>
      </w:r>
      <w:r>
        <w:rPr>
          <w:rStyle w:val="37"/>
          <w:rFonts w:hint="eastAsia" w:ascii="宋体" w:hAnsi="宋体"/>
          <w:sz w:val="24"/>
          <w:szCs w:val="24"/>
        </w:rPr>
        <w:t>目</w:t>
      </w:r>
      <w:r>
        <w:rPr>
          <w:rStyle w:val="37"/>
          <w:rFonts w:ascii="宋体" w:hAnsi="宋体"/>
          <w:sz w:val="24"/>
          <w:szCs w:val="24"/>
        </w:rPr>
        <w:t xml:space="preserve">  </w:t>
      </w:r>
      <w:r>
        <w:rPr>
          <w:rStyle w:val="37"/>
          <w:rFonts w:hint="eastAsia" w:ascii="宋体" w:hAnsi="宋体"/>
          <w:sz w:val="24"/>
          <w:szCs w:val="24"/>
        </w:rPr>
        <w:t>录</w:t>
      </w:r>
      <w:r>
        <w:rPr>
          <w:rFonts w:ascii="宋体" w:hAnsi="宋体"/>
          <w:sz w:val="24"/>
        </w:rPr>
        <w:tab/>
      </w:r>
      <w:r>
        <w:rPr>
          <w:rFonts w:ascii="宋体" w:hAnsi="宋体"/>
          <w:sz w:val="24"/>
        </w:rPr>
        <w:fldChar w:fldCharType="begin"/>
      </w:r>
      <w:r>
        <w:rPr>
          <w:rFonts w:ascii="宋体" w:hAnsi="宋体"/>
          <w:sz w:val="24"/>
        </w:rPr>
        <w:instrText xml:space="preserve"> PAGEREF _Toc453596785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lang w:val="en-US" w:eastAsia="zh-CN"/>
        </w:rPr>
      </w:pPr>
      <w:r>
        <w:fldChar w:fldCharType="begin"/>
      </w:r>
      <w:r>
        <w:instrText xml:space="preserve"> HYPERLINK \l "_Toc453596786" </w:instrText>
      </w:r>
      <w:r>
        <w:fldChar w:fldCharType="separate"/>
      </w:r>
      <w:r>
        <w:rPr>
          <w:rStyle w:val="37"/>
          <w:rFonts w:hint="eastAsia" w:ascii="宋体" w:hAnsi="宋体"/>
          <w:sz w:val="24"/>
          <w:szCs w:val="24"/>
        </w:rPr>
        <w:t>公开招标公告</w:t>
      </w:r>
      <w:r>
        <w:rPr>
          <w:rFonts w:ascii="宋体" w:hAnsi="宋体"/>
          <w:sz w:val="24"/>
        </w:rPr>
        <w:tab/>
      </w:r>
      <w:r>
        <w:rPr>
          <w:rFonts w:ascii="宋体" w:hAnsi="宋体"/>
          <w:sz w:val="24"/>
        </w:rPr>
        <w:fldChar w:fldCharType="begin"/>
      </w:r>
      <w:r>
        <w:rPr>
          <w:rFonts w:ascii="宋体" w:hAnsi="宋体"/>
          <w:sz w:val="24"/>
        </w:rPr>
        <w:instrText xml:space="preserve"> PAGEREF _Toc453596786 \h </w:instrText>
      </w:r>
      <w:r>
        <w:rPr>
          <w:rFonts w:ascii="宋体" w:hAnsi="宋体"/>
          <w:sz w:val="24"/>
        </w:rPr>
        <w:fldChar w:fldCharType="separate"/>
      </w:r>
      <w:r>
        <w:rPr>
          <w:rFonts w:ascii="宋体" w:hAnsi="宋体"/>
          <w:sz w:val="24"/>
        </w:rPr>
        <w:t>4</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lang w:val="en-US" w:eastAsia="zh-CN"/>
        </w:rPr>
      </w:pPr>
      <w:r>
        <w:fldChar w:fldCharType="begin"/>
      </w:r>
      <w:r>
        <w:instrText xml:space="preserve"> HYPERLINK \l "_Toc453596787" </w:instrText>
      </w:r>
      <w:r>
        <w:fldChar w:fldCharType="separate"/>
      </w:r>
      <w:r>
        <w:rPr>
          <w:rStyle w:val="37"/>
          <w:rFonts w:hint="eastAsia" w:ascii="宋体" w:hAnsi="宋体"/>
          <w:sz w:val="24"/>
          <w:szCs w:val="24"/>
        </w:rPr>
        <w:t>投标须知前附表</w:t>
      </w:r>
      <w:r>
        <w:rPr>
          <w:rFonts w:ascii="宋体" w:hAnsi="宋体"/>
          <w:sz w:val="24"/>
        </w:rPr>
        <w:tab/>
      </w:r>
      <w:r>
        <w:rPr>
          <w:rFonts w:ascii="宋体" w:hAnsi="宋体"/>
          <w:sz w:val="24"/>
        </w:rPr>
        <w:fldChar w:fldCharType="begin"/>
      </w:r>
      <w:r>
        <w:rPr>
          <w:rFonts w:ascii="宋体" w:hAnsi="宋体"/>
          <w:sz w:val="24"/>
        </w:rPr>
        <w:instrText xml:space="preserve"> PAGEREF _Toc453596787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lang w:val="en-US" w:eastAsia="zh-CN"/>
        </w:rPr>
      </w:pPr>
      <w:r>
        <w:fldChar w:fldCharType="begin"/>
      </w:r>
      <w:r>
        <w:instrText xml:space="preserve"> HYPERLINK \l "_Toc453596788" </w:instrText>
      </w:r>
      <w:r>
        <w:fldChar w:fldCharType="separate"/>
      </w:r>
      <w:r>
        <w:rPr>
          <w:rStyle w:val="37"/>
          <w:rFonts w:ascii="宋体" w:hAnsi="宋体"/>
          <w:sz w:val="24"/>
          <w:szCs w:val="24"/>
        </w:rPr>
        <w:t>1</w:t>
      </w:r>
      <w:r>
        <w:rPr>
          <w:rStyle w:val="37"/>
          <w:rFonts w:hint="eastAsia" w:ascii="宋体" w:hAnsi="宋体"/>
          <w:sz w:val="24"/>
          <w:szCs w:val="24"/>
        </w:rPr>
        <w:t>、总</w:t>
      </w:r>
      <w:r>
        <w:rPr>
          <w:rStyle w:val="37"/>
          <w:rFonts w:ascii="宋体" w:hAnsi="宋体"/>
          <w:sz w:val="24"/>
          <w:szCs w:val="24"/>
        </w:rPr>
        <w:t xml:space="preserve">  </w:t>
      </w:r>
      <w:r>
        <w:rPr>
          <w:rStyle w:val="37"/>
          <w:rFonts w:hint="eastAsia" w:ascii="宋体" w:hAnsi="宋体"/>
          <w:sz w:val="24"/>
          <w:szCs w:val="24"/>
        </w:rPr>
        <w:t>则</w:t>
      </w:r>
      <w:r>
        <w:rPr>
          <w:rFonts w:ascii="宋体" w:hAnsi="宋体"/>
          <w:sz w:val="24"/>
        </w:rPr>
        <w:tab/>
      </w:r>
      <w:r>
        <w:rPr>
          <w:rFonts w:ascii="宋体" w:hAnsi="宋体"/>
          <w:sz w:val="24"/>
        </w:rPr>
        <w:fldChar w:fldCharType="begin"/>
      </w:r>
      <w:r>
        <w:rPr>
          <w:rFonts w:ascii="宋体" w:hAnsi="宋体"/>
          <w:sz w:val="24"/>
        </w:rPr>
        <w:instrText xml:space="preserve"> PAGEREF _Toc453596788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"_Toc453596789" </w:instrText>
      </w:r>
      <w:r>
        <w:fldChar w:fldCharType="separate"/>
      </w:r>
      <w:r>
        <w:rPr>
          <w:rStyle w:val="37"/>
          <w:rFonts w:ascii="宋体" w:hAnsi="宋体"/>
          <w:sz w:val="24"/>
          <w:szCs w:val="24"/>
          <w:lang w:val="en-US" w:eastAsia="zh-CN"/>
        </w:rPr>
        <w:t xml:space="preserve">1.1 </w:t>
      </w:r>
      <w:r>
        <w:rPr>
          <w:rStyle w:val="37"/>
          <w:rFonts w:hint="eastAsia" w:ascii="宋体" w:hAnsi="宋体"/>
          <w:sz w:val="24"/>
          <w:szCs w:val="24"/>
          <w:lang w:val="en-US" w:eastAsia="zh-CN"/>
        </w:rPr>
        <w:t>招标文件涉及术语的内涵及解释</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_Toc453596789 \h </w:instrText>
      </w:r>
      <w:r>
        <w:rPr>
          <w:rFonts w:ascii="宋体" w:hAnsi="宋体"/>
          <w:sz w:val="24"/>
          <w:lang w:val="en-US" w:eastAsia="zh-CN"/>
        </w:rPr>
        <w:fldChar w:fldCharType="separate"/>
      </w:r>
      <w:r>
        <w:rPr>
          <w:rFonts w:ascii="宋体" w:hAnsi="宋体"/>
          <w:sz w:val="24"/>
          <w:lang w:val="en-US" w:eastAsia="zh-CN"/>
        </w:rPr>
        <w:t>10</w:t>
      </w:r>
      <w:r>
        <w:rPr>
          <w:rFonts w:ascii="宋体" w:hAnsi="宋体"/>
          <w:sz w:val="24"/>
          <w:lang w:val="en-US" w:eastAsia="zh-CN"/>
        </w:rPr>
        <w:fldChar w:fldCharType="end"/>
      </w:r>
      <w:r>
        <w:rPr>
          <w:rFonts w:ascii="宋体" w:hAnsi="宋体"/>
          <w:sz w:val="24"/>
          <w:lang w:val="en-US" w:eastAsia="zh-CN"/>
        </w:rPr>
        <w:fldChar w:fldCharType="end"/>
      </w:r>
    </w:p>
    <w:p>
      <w:pPr>
        <w:pStyle w:val="23"/>
        <w:spacing w:line="500" w:lineRule="exact"/>
        <w:rPr>
          <w:rFonts w:ascii="宋体" w:hAnsi="宋体"/>
          <w:sz w:val="24"/>
          <w:lang w:val="en-US" w:eastAsia="zh-CN"/>
        </w:rPr>
      </w:pPr>
      <w:r>
        <w:fldChar w:fldCharType="begin"/>
      </w:r>
      <w:r>
        <w:instrText xml:space="preserve"> HYPERLINK \l "_Toc453596790" </w:instrText>
      </w:r>
      <w:r>
        <w:fldChar w:fldCharType="separate"/>
      </w:r>
      <w:r>
        <w:rPr>
          <w:rStyle w:val="37"/>
          <w:rFonts w:ascii="宋体" w:hAnsi="宋体"/>
          <w:sz w:val="24"/>
          <w:szCs w:val="24"/>
        </w:rPr>
        <w:t>2</w:t>
      </w:r>
      <w:r>
        <w:rPr>
          <w:rStyle w:val="37"/>
          <w:rFonts w:hint="eastAsia" w:ascii="宋体" w:hAnsi="宋体"/>
          <w:sz w:val="24"/>
          <w:szCs w:val="24"/>
        </w:rPr>
        <w:t>、投标须知</w:t>
      </w:r>
      <w:r>
        <w:rPr>
          <w:rFonts w:ascii="宋体" w:hAnsi="宋体"/>
          <w:sz w:val="24"/>
        </w:rPr>
        <w:tab/>
      </w:r>
      <w:r>
        <w:rPr>
          <w:rFonts w:ascii="宋体" w:hAnsi="宋体"/>
          <w:sz w:val="24"/>
        </w:rPr>
        <w:fldChar w:fldCharType="begin"/>
      </w:r>
      <w:r>
        <w:rPr>
          <w:rFonts w:ascii="宋体" w:hAnsi="宋体"/>
          <w:sz w:val="24"/>
        </w:rPr>
        <w:instrText xml:space="preserve"> PAGEREF _Toc453596790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"_Toc453596791" </w:instrText>
      </w:r>
      <w:r>
        <w:fldChar w:fldCharType="separate"/>
      </w:r>
      <w:r>
        <w:rPr>
          <w:rStyle w:val="37"/>
          <w:rFonts w:ascii="宋体" w:hAnsi="宋体"/>
          <w:sz w:val="24"/>
          <w:szCs w:val="24"/>
          <w:lang w:val="en-US" w:eastAsia="zh-CN"/>
        </w:rPr>
        <w:t xml:space="preserve">2.1 </w:t>
      </w:r>
      <w:r>
        <w:rPr>
          <w:rStyle w:val="37"/>
          <w:rFonts w:hint="eastAsia" w:ascii="宋体" w:hAnsi="宋体"/>
          <w:sz w:val="24"/>
          <w:szCs w:val="24"/>
          <w:lang w:val="en-US" w:eastAsia="zh-CN"/>
        </w:rPr>
        <w:t>招标</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_Toc453596791 \h </w:instrText>
      </w:r>
      <w:r>
        <w:rPr>
          <w:rFonts w:ascii="宋体" w:hAnsi="宋体"/>
          <w:sz w:val="24"/>
          <w:lang w:val="en-US" w:eastAsia="zh-CN"/>
        </w:rPr>
        <w:fldChar w:fldCharType="separate"/>
      </w:r>
      <w:r>
        <w:rPr>
          <w:rFonts w:ascii="宋体" w:hAnsi="宋体"/>
          <w:sz w:val="24"/>
          <w:lang w:val="en-US" w:eastAsia="zh-CN"/>
        </w:rPr>
        <w:t>11</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"_Toc453596792" </w:instrText>
      </w:r>
      <w:r>
        <w:fldChar w:fldCharType="separate"/>
      </w:r>
      <w:r>
        <w:rPr>
          <w:rStyle w:val="37"/>
          <w:rFonts w:ascii="宋体" w:hAnsi="宋体"/>
          <w:sz w:val="24"/>
          <w:szCs w:val="24"/>
          <w:lang w:val="en-US" w:eastAsia="zh-CN"/>
        </w:rPr>
        <w:t xml:space="preserve">2.1.1 </w:t>
      </w:r>
      <w:r>
        <w:rPr>
          <w:rStyle w:val="37"/>
          <w:rFonts w:hint="eastAsia" w:ascii="宋体" w:hAnsi="宋体"/>
          <w:sz w:val="24"/>
          <w:szCs w:val="24"/>
          <w:lang w:val="en-US" w:eastAsia="zh-CN"/>
        </w:rPr>
        <w:t>综合说明</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_Toc453596792 \h </w:instrText>
      </w:r>
      <w:r>
        <w:rPr>
          <w:rFonts w:ascii="宋体" w:hAnsi="宋体"/>
          <w:sz w:val="24"/>
          <w:lang w:val="en-US" w:eastAsia="zh-CN"/>
        </w:rPr>
        <w:fldChar w:fldCharType="separate"/>
      </w:r>
      <w:r>
        <w:rPr>
          <w:rFonts w:ascii="宋体" w:hAnsi="宋体"/>
          <w:sz w:val="24"/>
          <w:lang w:val="en-US" w:eastAsia="zh-CN"/>
        </w:rPr>
        <w:t>11</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"_Toc453596793" </w:instrText>
      </w:r>
      <w:r>
        <w:fldChar w:fldCharType="separate"/>
      </w:r>
      <w:r>
        <w:rPr>
          <w:rStyle w:val="37"/>
          <w:rFonts w:ascii="宋体" w:hAnsi="宋体"/>
          <w:sz w:val="24"/>
          <w:szCs w:val="24"/>
          <w:lang w:val="en-US" w:eastAsia="zh-CN"/>
        </w:rPr>
        <w:t xml:space="preserve">2.1.2 </w:t>
      </w:r>
      <w:r>
        <w:rPr>
          <w:rStyle w:val="37"/>
          <w:rFonts w:hint="eastAsia" w:ascii="宋体" w:hAnsi="宋体"/>
          <w:sz w:val="24"/>
          <w:szCs w:val="24"/>
          <w:lang w:val="en-US" w:eastAsia="zh-CN"/>
        </w:rPr>
        <w:t>招标文件的构成</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_Toc453596793 \h </w:instrText>
      </w:r>
      <w:r>
        <w:rPr>
          <w:rFonts w:ascii="宋体" w:hAnsi="宋体"/>
          <w:sz w:val="24"/>
          <w:lang w:val="en-US" w:eastAsia="zh-CN"/>
        </w:rPr>
        <w:fldChar w:fldCharType="separate"/>
      </w:r>
      <w:r>
        <w:rPr>
          <w:rFonts w:ascii="宋体" w:hAnsi="宋体"/>
          <w:sz w:val="24"/>
          <w:lang w:val="en-US" w:eastAsia="zh-CN"/>
        </w:rPr>
        <w:t>11</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"_Toc453596794" </w:instrText>
      </w:r>
      <w:r>
        <w:fldChar w:fldCharType="separate"/>
      </w:r>
      <w:r>
        <w:rPr>
          <w:rStyle w:val="37"/>
          <w:rFonts w:ascii="宋体" w:hAnsi="宋体"/>
          <w:sz w:val="24"/>
          <w:szCs w:val="24"/>
          <w:lang w:val="en-US" w:eastAsia="zh-CN"/>
        </w:rPr>
        <w:t xml:space="preserve">2.1.3 </w:t>
      </w:r>
      <w:r>
        <w:rPr>
          <w:rStyle w:val="37"/>
          <w:rFonts w:hint="eastAsia" w:ascii="宋体" w:hAnsi="宋体"/>
          <w:sz w:val="24"/>
          <w:szCs w:val="24"/>
          <w:lang w:val="en-US" w:eastAsia="zh-CN"/>
        </w:rPr>
        <w:t>招标文件的修改与补充</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_Toc453596794 \h </w:instrText>
      </w:r>
      <w:r>
        <w:rPr>
          <w:rFonts w:ascii="宋体" w:hAnsi="宋体"/>
          <w:sz w:val="24"/>
          <w:lang w:val="en-US" w:eastAsia="zh-CN"/>
        </w:rPr>
        <w:fldChar w:fldCharType="separate"/>
      </w:r>
      <w:r>
        <w:rPr>
          <w:rFonts w:ascii="宋体" w:hAnsi="宋体"/>
          <w:sz w:val="24"/>
          <w:lang w:val="en-US" w:eastAsia="zh-CN"/>
        </w:rPr>
        <w:t>11</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"_Toc453596795" </w:instrText>
      </w:r>
      <w:r>
        <w:fldChar w:fldCharType="separate"/>
      </w:r>
      <w:r>
        <w:rPr>
          <w:rStyle w:val="37"/>
          <w:rFonts w:ascii="宋体" w:hAnsi="宋体"/>
          <w:sz w:val="24"/>
          <w:szCs w:val="24"/>
          <w:lang w:val="en-US" w:eastAsia="zh-CN"/>
        </w:rPr>
        <w:t xml:space="preserve">2.1.4  </w:t>
      </w:r>
      <w:r>
        <w:rPr>
          <w:rStyle w:val="37"/>
          <w:rFonts w:hint="eastAsia" w:ascii="宋体" w:hAnsi="宋体"/>
          <w:sz w:val="24"/>
          <w:szCs w:val="24"/>
          <w:lang w:val="en-US" w:eastAsia="zh-CN"/>
        </w:rPr>
        <w:t>答疑会和现场考察</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_Toc453596795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"_Toc453596796" </w:instrText>
      </w:r>
      <w:r>
        <w:fldChar w:fldCharType="separate"/>
      </w:r>
      <w:r>
        <w:rPr>
          <w:rStyle w:val="37"/>
          <w:rFonts w:ascii="宋体" w:hAnsi="宋体"/>
          <w:sz w:val="24"/>
          <w:szCs w:val="24"/>
          <w:lang w:val="en-US" w:eastAsia="zh-CN"/>
        </w:rPr>
        <w:t xml:space="preserve">2.2 </w:t>
      </w:r>
      <w:r>
        <w:rPr>
          <w:rStyle w:val="37"/>
          <w:rFonts w:hint="eastAsia" w:ascii="宋体" w:hAnsi="宋体"/>
          <w:sz w:val="24"/>
          <w:szCs w:val="24"/>
          <w:lang w:val="en-US" w:eastAsia="zh-CN"/>
        </w:rPr>
        <w:t>投标</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_Toc453596796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"_Toc453596797" </w:instrText>
      </w:r>
      <w:r>
        <w:fldChar w:fldCharType="separate"/>
      </w:r>
      <w:r>
        <w:rPr>
          <w:rStyle w:val="37"/>
          <w:rFonts w:ascii="宋体" w:hAnsi="宋体"/>
          <w:sz w:val="24"/>
          <w:szCs w:val="24"/>
          <w:lang w:val="en-US" w:eastAsia="zh-CN"/>
        </w:rPr>
        <w:t>2.2.1</w:t>
      </w:r>
      <w:r>
        <w:rPr>
          <w:rStyle w:val="37"/>
          <w:rFonts w:hint="eastAsia" w:ascii="宋体" w:hAnsi="宋体"/>
          <w:sz w:val="24"/>
          <w:szCs w:val="24"/>
          <w:lang w:val="en-US" w:eastAsia="zh-CN"/>
        </w:rPr>
        <w:t>投标文件的语言</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_Toc453596797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"_Toc453596800" </w:instrText>
      </w:r>
      <w:r>
        <w:fldChar w:fldCharType="separate"/>
      </w:r>
      <w:r>
        <w:rPr>
          <w:rStyle w:val="37"/>
          <w:rFonts w:ascii="宋体" w:hAnsi="宋体"/>
          <w:sz w:val="24"/>
          <w:szCs w:val="24"/>
          <w:lang w:val="en-US" w:eastAsia="zh-CN"/>
        </w:rPr>
        <w:t>2.2.2</w:t>
      </w:r>
      <w:r>
        <w:rPr>
          <w:rStyle w:val="37"/>
          <w:rFonts w:hint="eastAsia" w:ascii="宋体" w:hAnsi="宋体"/>
          <w:sz w:val="24"/>
          <w:szCs w:val="24"/>
          <w:lang w:val="en-US" w:eastAsia="zh-CN"/>
        </w:rPr>
        <w:t>计量单位</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_Toc453596800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"_Toc453596802" </w:instrText>
      </w:r>
      <w:r>
        <w:fldChar w:fldCharType="separate"/>
      </w:r>
      <w:r>
        <w:rPr>
          <w:rStyle w:val="37"/>
          <w:rFonts w:ascii="宋体" w:hAnsi="宋体"/>
          <w:sz w:val="24"/>
          <w:szCs w:val="24"/>
          <w:lang w:val="en-US" w:eastAsia="zh-CN"/>
        </w:rPr>
        <w:t>2.2.3</w:t>
      </w:r>
      <w:r>
        <w:rPr>
          <w:rStyle w:val="37"/>
          <w:rFonts w:hint="eastAsia" w:ascii="宋体" w:hAnsi="宋体"/>
          <w:sz w:val="24"/>
          <w:szCs w:val="24"/>
          <w:lang w:val="en-US" w:eastAsia="zh-CN"/>
        </w:rPr>
        <w:t>投标货币</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_Toc453596802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"_Toc453596804" </w:instrText>
      </w:r>
      <w:r>
        <w:fldChar w:fldCharType="separate"/>
      </w:r>
      <w:r>
        <w:rPr>
          <w:rStyle w:val="37"/>
          <w:rFonts w:ascii="宋体" w:hAnsi="宋体"/>
          <w:sz w:val="24"/>
          <w:szCs w:val="24"/>
          <w:lang w:val="en-US" w:eastAsia="zh-CN"/>
        </w:rPr>
        <w:t>2.2.4</w:t>
      </w:r>
      <w:r>
        <w:rPr>
          <w:rStyle w:val="37"/>
          <w:rFonts w:hint="eastAsia" w:ascii="宋体" w:hAnsi="宋体"/>
          <w:sz w:val="24"/>
          <w:szCs w:val="24"/>
          <w:lang w:val="en-US" w:eastAsia="zh-CN"/>
        </w:rPr>
        <w:t>联合投标</w:t>
      </w:r>
      <w:r>
        <w:rPr>
          <w:rStyle w:val="37"/>
          <w:rFonts w:ascii="宋体" w:hAnsi="宋体"/>
          <w:sz w:val="24"/>
          <w:szCs w:val="24"/>
          <w:lang w:val="en-US" w:eastAsia="zh-CN"/>
        </w:rPr>
        <w:t>(</w:t>
      </w:r>
      <w:r>
        <w:rPr>
          <w:rStyle w:val="37"/>
          <w:rFonts w:hint="eastAsia" w:ascii="宋体" w:hAnsi="宋体"/>
          <w:sz w:val="24"/>
          <w:szCs w:val="24"/>
          <w:lang w:val="en-US" w:eastAsia="zh-CN"/>
        </w:rPr>
        <w:t>本项目不适用联合体投标</w:t>
      </w:r>
      <w:r>
        <w:rPr>
          <w:rStyle w:val="37"/>
          <w:rFonts w:ascii="宋体" w:hAnsi="宋体"/>
          <w:sz w:val="24"/>
          <w:szCs w:val="24"/>
          <w:lang w:val="en-US" w:eastAsia="zh-CN"/>
        </w:rPr>
        <w:t>)</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_Toc453596804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"_Toc453596809" </w:instrText>
      </w:r>
      <w:r>
        <w:fldChar w:fldCharType="separate"/>
      </w:r>
      <w:r>
        <w:rPr>
          <w:rStyle w:val="37"/>
          <w:rFonts w:ascii="宋体" w:hAnsi="宋体"/>
          <w:sz w:val="24"/>
          <w:szCs w:val="24"/>
          <w:lang w:val="en-US" w:eastAsia="zh-CN"/>
        </w:rPr>
        <w:t>2.2.5</w:t>
      </w:r>
      <w:r>
        <w:rPr>
          <w:rStyle w:val="37"/>
          <w:rFonts w:hint="eastAsia" w:ascii="宋体" w:hAnsi="宋体"/>
          <w:sz w:val="24"/>
          <w:szCs w:val="24"/>
          <w:lang w:val="en-US" w:eastAsia="zh-CN"/>
        </w:rPr>
        <w:t>知识产权</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_Toc453596809 \h </w:instrText>
      </w:r>
      <w:r>
        <w:rPr>
          <w:rFonts w:ascii="宋体" w:hAnsi="宋体"/>
          <w:sz w:val="24"/>
          <w:lang w:val="en-US" w:eastAsia="zh-CN"/>
        </w:rPr>
        <w:fldChar w:fldCharType="separate"/>
      </w:r>
      <w:r>
        <w:rPr>
          <w:rFonts w:ascii="宋体" w:hAnsi="宋体"/>
          <w:sz w:val="24"/>
          <w:lang w:val="en-US" w:eastAsia="zh-CN"/>
        </w:rPr>
        <w:t>13</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"_Toc453596814" </w:instrText>
      </w:r>
      <w:r>
        <w:fldChar w:fldCharType="separate"/>
      </w:r>
      <w:r>
        <w:rPr>
          <w:rStyle w:val="37"/>
          <w:rFonts w:ascii="宋体" w:hAnsi="宋体"/>
          <w:sz w:val="24"/>
          <w:szCs w:val="24"/>
          <w:lang w:val="en-US" w:eastAsia="zh-CN"/>
        </w:rPr>
        <w:t>2.2.6</w:t>
      </w:r>
      <w:r>
        <w:rPr>
          <w:rStyle w:val="37"/>
          <w:rFonts w:hint="eastAsia" w:ascii="宋体" w:hAnsi="宋体"/>
          <w:sz w:val="24"/>
          <w:szCs w:val="24"/>
          <w:lang w:val="en-US" w:eastAsia="zh-CN"/>
        </w:rPr>
        <w:t>投标综合要求及说明</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_Toc453596814 \h </w:instrText>
      </w:r>
      <w:r>
        <w:rPr>
          <w:rFonts w:ascii="宋体" w:hAnsi="宋体"/>
          <w:sz w:val="24"/>
          <w:lang w:val="en-US" w:eastAsia="zh-CN"/>
        </w:rPr>
        <w:fldChar w:fldCharType="separate"/>
      </w:r>
      <w:r>
        <w:rPr>
          <w:rFonts w:ascii="宋体" w:hAnsi="宋体"/>
          <w:sz w:val="24"/>
          <w:lang w:val="en-US" w:eastAsia="zh-CN"/>
        </w:rPr>
        <w:t>13</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"_Toc453596815" </w:instrText>
      </w:r>
      <w:r>
        <w:fldChar w:fldCharType="separate"/>
      </w:r>
      <w:r>
        <w:rPr>
          <w:rStyle w:val="37"/>
          <w:rFonts w:ascii="宋体" w:hAnsi="宋体"/>
          <w:sz w:val="24"/>
          <w:szCs w:val="24"/>
          <w:lang w:val="en-US" w:eastAsia="zh-CN"/>
        </w:rPr>
        <w:t>2.2.7</w:t>
      </w:r>
      <w:r>
        <w:rPr>
          <w:rStyle w:val="37"/>
          <w:rFonts w:hint="eastAsia" w:ascii="宋体" w:hAnsi="宋体"/>
          <w:sz w:val="24"/>
          <w:szCs w:val="24"/>
          <w:lang w:val="en-US" w:eastAsia="zh-CN"/>
        </w:rPr>
        <w:t>投标文件的组成</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_Toc453596815 \h </w:instrText>
      </w:r>
      <w:r>
        <w:rPr>
          <w:rFonts w:ascii="宋体" w:hAnsi="宋体"/>
          <w:sz w:val="24"/>
          <w:lang w:val="en-US" w:eastAsia="zh-CN"/>
        </w:rPr>
        <w:fldChar w:fldCharType="separate"/>
      </w:r>
      <w:r>
        <w:rPr>
          <w:rFonts w:ascii="宋体" w:hAnsi="宋体"/>
          <w:sz w:val="24"/>
          <w:lang w:val="en-US" w:eastAsia="zh-CN"/>
        </w:rPr>
        <w:t>14</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"_Toc453596816" </w:instrText>
      </w:r>
      <w:r>
        <w:fldChar w:fldCharType="separate"/>
      </w:r>
      <w:r>
        <w:rPr>
          <w:rStyle w:val="37"/>
          <w:rFonts w:ascii="宋体" w:hAnsi="宋体"/>
          <w:sz w:val="24"/>
          <w:szCs w:val="24"/>
          <w:lang w:val="en-US" w:eastAsia="zh-CN"/>
        </w:rPr>
        <w:t>2.2.8</w:t>
      </w:r>
      <w:r>
        <w:rPr>
          <w:rStyle w:val="37"/>
          <w:rFonts w:hint="eastAsia" w:ascii="宋体" w:hAnsi="宋体"/>
          <w:sz w:val="24"/>
          <w:szCs w:val="24"/>
          <w:lang w:val="en-US" w:eastAsia="zh-CN"/>
        </w:rPr>
        <w:t>投标文件格式</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_Toc453596816 \h </w:instrText>
      </w:r>
      <w:r>
        <w:rPr>
          <w:rFonts w:ascii="宋体" w:hAnsi="宋体"/>
          <w:sz w:val="24"/>
          <w:lang w:val="en-US" w:eastAsia="zh-CN"/>
        </w:rPr>
        <w:fldChar w:fldCharType="separate"/>
      </w:r>
      <w:r>
        <w:rPr>
          <w:rFonts w:ascii="宋体" w:hAnsi="宋体"/>
          <w:sz w:val="24"/>
          <w:lang w:val="en-US" w:eastAsia="zh-CN"/>
        </w:rPr>
        <w:t>16</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"_Toc453596817" </w:instrText>
      </w:r>
      <w:r>
        <w:fldChar w:fldCharType="separate"/>
      </w:r>
      <w:r>
        <w:rPr>
          <w:rStyle w:val="37"/>
          <w:rFonts w:ascii="宋体" w:hAnsi="宋体"/>
          <w:sz w:val="24"/>
          <w:szCs w:val="24"/>
          <w:lang w:val="en-US" w:eastAsia="zh-CN"/>
        </w:rPr>
        <w:t>2.2.9</w:t>
      </w:r>
      <w:r>
        <w:rPr>
          <w:rStyle w:val="37"/>
          <w:rFonts w:hint="eastAsia" w:ascii="宋体" w:hAnsi="宋体"/>
          <w:sz w:val="24"/>
          <w:szCs w:val="24"/>
          <w:lang w:val="en-US" w:eastAsia="zh-CN"/>
        </w:rPr>
        <w:t>投标有效期</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_Toc453596817 \h </w:instrText>
      </w:r>
      <w:r>
        <w:rPr>
          <w:rFonts w:ascii="宋体" w:hAnsi="宋体"/>
          <w:sz w:val="24"/>
          <w:lang w:val="en-US" w:eastAsia="zh-CN"/>
        </w:rPr>
        <w:fldChar w:fldCharType="separate"/>
      </w:r>
      <w:r>
        <w:rPr>
          <w:rFonts w:ascii="宋体" w:hAnsi="宋体"/>
          <w:sz w:val="24"/>
          <w:lang w:val="en-US" w:eastAsia="zh-CN"/>
        </w:rPr>
        <w:t>16</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"_Toc453596818" </w:instrText>
      </w:r>
      <w:r>
        <w:fldChar w:fldCharType="separate"/>
      </w:r>
      <w:r>
        <w:rPr>
          <w:rStyle w:val="37"/>
          <w:rFonts w:ascii="宋体" w:hAnsi="宋体"/>
          <w:sz w:val="24"/>
          <w:szCs w:val="24"/>
          <w:lang w:val="en-US" w:eastAsia="zh-CN"/>
        </w:rPr>
        <w:t xml:space="preserve">2.2.10 </w:t>
      </w:r>
      <w:r>
        <w:rPr>
          <w:rStyle w:val="37"/>
          <w:rFonts w:hint="eastAsia" w:ascii="宋体" w:hAnsi="宋体"/>
          <w:sz w:val="24"/>
          <w:szCs w:val="24"/>
          <w:lang w:val="en-US" w:eastAsia="zh-CN"/>
        </w:rPr>
        <w:t>投标保证金</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_Toc453596818 \h </w:instrText>
      </w:r>
      <w:r>
        <w:rPr>
          <w:rFonts w:ascii="宋体" w:hAnsi="宋体"/>
          <w:sz w:val="24"/>
          <w:lang w:val="en-US" w:eastAsia="zh-CN"/>
        </w:rPr>
        <w:fldChar w:fldCharType="separate"/>
      </w:r>
      <w:r>
        <w:rPr>
          <w:rFonts w:ascii="宋体" w:hAnsi="宋体"/>
          <w:sz w:val="24"/>
          <w:lang w:val="en-US" w:eastAsia="zh-CN"/>
        </w:rPr>
        <w:t>16</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"_Toc453596819" </w:instrText>
      </w:r>
      <w:r>
        <w:fldChar w:fldCharType="separate"/>
      </w:r>
      <w:r>
        <w:rPr>
          <w:rStyle w:val="37"/>
          <w:rFonts w:ascii="宋体" w:hAnsi="宋体"/>
          <w:sz w:val="24"/>
          <w:szCs w:val="24"/>
          <w:lang w:val="en-US" w:eastAsia="zh-CN"/>
        </w:rPr>
        <w:t>2.2.11</w:t>
      </w:r>
      <w:r>
        <w:rPr>
          <w:rStyle w:val="37"/>
          <w:rFonts w:hint="eastAsia" w:ascii="宋体" w:hAnsi="宋体"/>
          <w:sz w:val="24"/>
          <w:szCs w:val="24"/>
          <w:lang w:val="en-US" w:eastAsia="zh-CN"/>
        </w:rPr>
        <w:t>投标文件的份数和签署</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_Toc453596819 \h </w:instrText>
      </w:r>
      <w:r>
        <w:rPr>
          <w:rFonts w:ascii="宋体" w:hAnsi="宋体"/>
          <w:sz w:val="24"/>
          <w:lang w:val="en-US" w:eastAsia="zh-CN"/>
        </w:rPr>
        <w:fldChar w:fldCharType="separate"/>
      </w:r>
      <w:r>
        <w:rPr>
          <w:rFonts w:ascii="宋体" w:hAnsi="宋体"/>
          <w:sz w:val="24"/>
          <w:lang w:val="en-US" w:eastAsia="zh-CN"/>
        </w:rPr>
        <w:t>17</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"_Toc453596820" </w:instrText>
      </w:r>
      <w:r>
        <w:fldChar w:fldCharType="separate"/>
      </w:r>
      <w:r>
        <w:rPr>
          <w:rStyle w:val="37"/>
          <w:rFonts w:ascii="宋体" w:hAnsi="宋体"/>
          <w:sz w:val="24"/>
          <w:szCs w:val="24"/>
          <w:lang w:val="en-US" w:eastAsia="zh-CN"/>
        </w:rPr>
        <w:t xml:space="preserve">2.2.12 </w:t>
      </w:r>
      <w:r>
        <w:rPr>
          <w:rStyle w:val="37"/>
          <w:rFonts w:hint="eastAsia" w:ascii="宋体" w:hAnsi="宋体"/>
          <w:sz w:val="24"/>
          <w:szCs w:val="24"/>
          <w:lang w:val="en-US" w:eastAsia="zh-CN"/>
        </w:rPr>
        <w:t>投标文件的密封</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_Toc453596820 \h </w:instrText>
      </w:r>
      <w:r>
        <w:rPr>
          <w:rFonts w:ascii="宋体" w:hAnsi="宋体"/>
          <w:sz w:val="24"/>
          <w:lang w:val="en-US" w:eastAsia="zh-CN"/>
        </w:rPr>
        <w:fldChar w:fldCharType="separate"/>
      </w:r>
      <w:r>
        <w:rPr>
          <w:rFonts w:ascii="宋体" w:hAnsi="宋体"/>
          <w:sz w:val="24"/>
          <w:lang w:val="en-US" w:eastAsia="zh-CN"/>
        </w:rPr>
        <w:t>17</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"_Toc453596821" </w:instrText>
      </w:r>
      <w:r>
        <w:fldChar w:fldCharType="separate"/>
      </w:r>
      <w:r>
        <w:rPr>
          <w:rStyle w:val="37"/>
          <w:rFonts w:ascii="宋体" w:hAnsi="宋体"/>
          <w:sz w:val="24"/>
          <w:szCs w:val="24"/>
          <w:lang w:val="en-US" w:eastAsia="zh-CN"/>
        </w:rPr>
        <w:t>2.2.13</w:t>
      </w:r>
      <w:r>
        <w:rPr>
          <w:rStyle w:val="37"/>
          <w:rFonts w:hint="eastAsia" w:ascii="宋体" w:hAnsi="宋体"/>
          <w:sz w:val="24"/>
          <w:szCs w:val="24"/>
          <w:lang w:val="en-US" w:eastAsia="zh-CN"/>
        </w:rPr>
        <w:t>投标文件递交</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_Toc453596821 \h </w:instrText>
      </w:r>
      <w:r>
        <w:rPr>
          <w:rFonts w:ascii="宋体" w:hAnsi="宋体"/>
          <w:sz w:val="24"/>
          <w:lang w:val="en-US" w:eastAsia="zh-CN"/>
        </w:rPr>
        <w:fldChar w:fldCharType="separate"/>
      </w:r>
      <w:r>
        <w:rPr>
          <w:rFonts w:ascii="宋体" w:hAnsi="宋体"/>
          <w:sz w:val="24"/>
          <w:lang w:val="en-US" w:eastAsia="zh-CN"/>
        </w:rPr>
        <w:t>18</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"_Toc453596822" </w:instrText>
      </w:r>
      <w:r>
        <w:fldChar w:fldCharType="separate"/>
      </w:r>
      <w:r>
        <w:rPr>
          <w:rStyle w:val="37"/>
          <w:rFonts w:ascii="宋体" w:hAnsi="宋体"/>
          <w:sz w:val="24"/>
          <w:szCs w:val="24"/>
          <w:lang w:val="en-US" w:eastAsia="zh-CN"/>
        </w:rPr>
        <w:t xml:space="preserve">2.2.14 </w:t>
      </w:r>
      <w:r>
        <w:rPr>
          <w:rStyle w:val="37"/>
          <w:rFonts w:hint="eastAsia" w:ascii="宋体" w:hAnsi="宋体"/>
          <w:sz w:val="24"/>
          <w:szCs w:val="24"/>
          <w:lang w:val="en-US" w:eastAsia="zh-CN"/>
        </w:rPr>
        <w:t>投标文件递交时间</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_Toc453596822 \h </w:instrText>
      </w:r>
      <w:r>
        <w:rPr>
          <w:rFonts w:ascii="宋体" w:hAnsi="宋体"/>
          <w:sz w:val="24"/>
          <w:lang w:val="en-US" w:eastAsia="zh-CN"/>
        </w:rPr>
        <w:fldChar w:fldCharType="separate"/>
      </w:r>
      <w:r>
        <w:rPr>
          <w:rFonts w:ascii="宋体" w:hAnsi="宋体"/>
          <w:sz w:val="24"/>
          <w:lang w:val="en-US" w:eastAsia="zh-CN"/>
        </w:rPr>
        <w:t>18</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"_Toc453596823" </w:instrText>
      </w:r>
      <w:r>
        <w:fldChar w:fldCharType="separate"/>
      </w:r>
      <w:r>
        <w:rPr>
          <w:rStyle w:val="37"/>
          <w:rFonts w:ascii="宋体" w:hAnsi="宋体"/>
          <w:sz w:val="24"/>
          <w:szCs w:val="24"/>
          <w:lang w:val="en-US" w:eastAsia="zh-CN"/>
        </w:rPr>
        <w:t xml:space="preserve">2.2.15 </w:t>
      </w:r>
      <w:r>
        <w:rPr>
          <w:rStyle w:val="37"/>
          <w:rFonts w:hint="eastAsia" w:ascii="宋体" w:hAnsi="宋体"/>
          <w:sz w:val="24"/>
          <w:szCs w:val="24"/>
          <w:lang w:val="en-US" w:eastAsia="zh-CN"/>
        </w:rPr>
        <w:t>投标文件的修改与撤回</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_Toc453596823 \h </w:instrText>
      </w:r>
      <w:r>
        <w:rPr>
          <w:rFonts w:ascii="宋体" w:hAnsi="宋体"/>
          <w:sz w:val="24"/>
          <w:lang w:val="en-US" w:eastAsia="zh-CN"/>
        </w:rPr>
        <w:fldChar w:fldCharType="separate"/>
      </w:r>
      <w:r>
        <w:rPr>
          <w:rFonts w:ascii="宋体" w:hAnsi="宋体"/>
          <w:sz w:val="24"/>
          <w:lang w:val="en-US" w:eastAsia="zh-CN"/>
        </w:rPr>
        <w:t>18</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"_Toc453596824" </w:instrText>
      </w:r>
      <w:r>
        <w:fldChar w:fldCharType="separate"/>
      </w:r>
      <w:r>
        <w:rPr>
          <w:rStyle w:val="37"/>
          <w:rFonts w:ascii="宋体" w:hAnsi="宋体"/>
          <w:sz w:val="24"/>
          <w:szCs w:val="24"/>
          <w:lang w:val="en-US" w:eastAsia="zh-CN"/>
        </w:rPr>
        <w:t xml:space="preserve">2.3 </w:t>
      </w:r>
      <w:r>
        <w:rPr>
          <w:rStyle w:val="37"/>
          <w:rFonts w:hint="eastAsia" w:ascii="宋体" w:hAnsi="宋体"/>
          <w:sz w:val="24"/>
          <w:szCs w:val="24"/>
          <w:lang w:val="en-US" w:eastAsia="zh-CN"/>
        </w:rPr>
        <w:t>开标</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_Toc453596824 \h </w:instrText>
      </w:r>
      <w:r>
        <w:rPr>
          <w:rFonts w:ascii="宋体" w:hAnsi="宋体"/>
          <w:sz w:val="24"/>
          <w:lang w:val="en-US" w:eastAsia="zh-CN"/>
        </w:rPr>
        <w:fldChar w:fldCharType="separate"/>
      </w:r>
      <w:r>
        <w:rPr>
          <w:rFonts w:ascii="宋体" w:hAnsi="宋体"/>
          <w:sz w:val="24"/>
          <w:lang w:val="en-US" w:eastAsia="zh-CN"/>
        </w:rPr>
        <w:t>18</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"_Toc453596825" </w:instrText>
      </w:r>
      <w:r>
        <w:fldChar w:fldCharType="separate"/>
      </w:r>
      <w:r>
        <w:rPr>
          <w:rStyle w:val="37"/>
          <w:rFonts w:ascii="宋体" w:hAnsi="宋体"/>
          <w:bCs/>
          <w:sz w:val="24"/>
          <w:szCs w:val="24"/>
          <w:lang w:val="en-US" w:eastAsia="zh-CN"/>
        </w:rPr>
        <w:t>2.4</w:t>
      </w:r>
      <w:r>
        <w:rPr>
          <w:rStyle w:val="37"/>
          <w:rFonts w:hint="eastAsia" w:ascii="宋体" w:hAnsi="宋体"/>
          <w:bCs/>
          <w:sz w:val="24"/>
          <w:szCs w:val="24"/>
          <w:lang w:val="en-US" w:eastAsia="zh-CN"/>
        </w:rPr>
        <w:t>评标</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_Toc453596825 \h </w:instrText>
      </w:r>
      <w:r>
        <w:rPr>
          <w:rFonts w:ascii="宋体" w:hAnsi="宋体"/>
          <w:sz w:val="24"/>
          <w:lang w:val="en-US" w:eastAsia="zh-CN"/>
        </w:rPr>
        <w:fldChar w:fldCharType="separate"/>
      </w:r>
      <w:r>
        <w:rPr>
          <w:rFonts w:ascii="宋体" w:hAnsi="宋体"/>
          <w:sz w:val="24"/>
          <w:lang w:val="en-US" w:eastAsia="zh-CN"/>
        </w:rPr>
        <w:t>19</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Style w:val="37"/>
          <w:rFonts w:hint="eastAsia" w:ascii="宋体" w:hAnsi="宋体"/>
          <w:sz w:val="24"/>
          <w:szCs w:val="24"/>
          <w:lang w:val="en-US" w:eastAsia="zh-CN"/>
        </w:rPr>
      </w:pPr>
      <w:r>
        <w:fldChar w:fldCharType="begin"/>
      </w:r>
      <w:r>
        <w:instrText xml:space="preserve"> HYPERLINK \l "_Toc453596826" </w:instrText>
      </w:r>
      <w:r>
        <w:fldChar w:fldCharType="separate"/>
      </w:r>
      <w:r>
        <w:rPr>
          <w:rStyle w:val="37"/>
          <w:rFonts w:ascii="宋体" w:hAnsi="宋体"/>
          <w:bCs/>
          <w:sz w:val="24"/>
          <w:szCs w:val="24"/>
          <w:lang w:val="en-US" w:eastAsia="zh-CN"/>
        </w:rPr>
        <w:t>2.5</w:t>
      </w:r>
      <w:r>
        <w:rPr>
          <w:rStyle w:val="37"/>
          <w:rFonts w:hint="eastAsia" w:ascii="宋体" w:hAnsi="宋体"/>
          <w:bCs/>
          <w:sz w:val="24"/>
          <w:szCs w:val="24"/>
          <w:lang w:val="en-US" w:eastAsia="zh-CN"/>
        </w:rPr>
        <w:t>定标</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_Toc453596826 \h </w:instrText>
      </w:r>
      <w:r>
        <w:rPr>
          <w:rFonts w:ascii="宋体" w:hAnsi="宋体"/>
          <w:sz w:val="24"/>
          <w:lang w:val="en-US" w:eastAsia="zh-CN"/>
        </w:rPr>
        <w:fldChar w:fldCharType="separate"/>
      </w:r>
      <w:r>
        <w:rPr>
          <w:rFonts w:ascii="宋体" w:hAnsi="宋体"/>
          <w:sz w:val="24"/>
          <w:lang w:val="en-US" w:eastAsia="zh-CN"/>
        </w:rPr>
        <w:t>20</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"_Toc453596827" </w:instrText>
      </w:r>
      <w:r>
        <w:fldChar w:fldCharType="separate"/>
      </w:r>
      <w:r>
        <w:rPr>
          <w:rStyle w:val="37"/>
          <w:rFonts w:ascii="宋体" w:hAnsi="宋体"/>
          <w:sz w:val="24"/>
          <w:szCs w:val="24"/>
          <w:lang w:val="en-US" w:eastAsia="zh-CN"/>
        </w:rPr>
        <w:t>2.6</w:t>
      </w:r>
      <w:r>
        <w:rPr>
          <w:rStyle w:val="37"/>
          <w:rFonts w:hint="eastAsia" w:ascii="宋体" w:hAnsi="宋体"/>
          <w:sz w:val="24"/>
          <w:szCs w:val="24"/>
          <w:lang w:val="en-US" w:eastAsia="zh-CN"/>
        </w:rPr>
        <w:t>中标通知书及中标供应商的确定</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_Toc453596827 \h </w:instrText>
      </w:r>
      <w:r>
        <w:rPr>
          <w:rFonts w:ascii="宋体" w:hAnsi="宋体"/>
          <w:sz w:val="24"/>
          <w:lang w:val="en-US" w:eastAsia="zh-CN"/>
        </w:rPr>
        <w:fldChar w:fldCharType="separate"/>
      </w:r>
      <w:r>
        <w:rPr>
          <w:rFonts w:ascii="宋体" w:hAnsi="宋体"/>
          <w:sz w:val="24"/>
          <w:lang w:val="en-US" w:eastAsia="zh-CN"/>
        </w:rPr>
        <w:t>21</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"_Toc453596828" </w:instrText>
      </w:r>
      <w:r>
        <w:fldChar w:fldCharType="separate"/>
      </w:r>
      <w:r>
        <w:rPr>
          <w:rStyle w:val="37"/>
          <w:rFonts w:ascii="宋体" w:hAnsi="宋体"/>
          <w:sz w:val="24"/>
          <w:szCs w:val="24"/>
          <w:lang w:val="en-US" w:eastAsia="zh-CN"/>
        </w:rPr>
        <w:t xml:space="preserve">2.6.1 </w:t>
      </w:r>
      <w:r>
        <w:rPr>
          <w:rStyle w:val="37"/>
          <w:rFonts w:hint="eastAsia" w:ascii="宋体" w:hAnsi="宋体"/>
          <w:sz w:val="24"/>
          <w:szCs w:val="24"/>
          <w:lang w:val="en-US" w:eastAsia="zh-CN"/>
        </w:rPr>
        <w:t>中标供应商的确定</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_Toc453596828 \h </w:instrText>
      </w:r>
      <w:r>
        <w:rPr>
          <w:rFonts w:ascii="宋体" w:hAnsi="宋体"/>
          <w:sz w:val="24"/>
          <w:lang w:val="en-US" w:eastAsia="zh-CN"/>
        </w:rPr>
        <w:fldChar w:fldCharType="separate"/>
      </w:r>
      <w:r>
        <w:rPr>
          <w:rFonts w:ascii="宋体" w:hAnsi="宋体"/>
          <w:sz w:val="24"/>
          <w:lang w:val="en-US" w:eastAsia="zh-CN"/>
        </w:rPr>
        <w:t>21</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"_Toc453596829" </w:instrText>
      </w:r>
      <w:r>
        <w:fldChar w:fldCharType="separate"/>
      </w:r>
      <w:r>
        <w:rPr>
          <w:rStyle w:val="37"/>
          <w:rFonts w:ascii="宋体" w:hAnsi="宋体"/>
          <w:sz w:val="24"/>
          <w:szCs w:val="24"/>
          <w:lang w:val="en-US" w:eastAsia="zh-CN"/>
        </w:rPr>
        <w:t xml:space="preserve">2.6.2 </w:t>
      </w:r>
      <w:r>
        <w:rPr>
          <w:rStyle w:val="37"/>
          <w:rFonts w:hint="eastAsia" w:ascii="宋体" w:hAnsi="宋体"/>
          <w:sz w:val="24"/>
          <w:szCs w:val="24"/>
          <w:lang w:val="en-US" w:eastAsia="zh-CN"/>
        </w:rPr>
        <w:t>合同授予原则</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_Toc453596829 \h </w:instrText>
      </w:r>
      <w:r>
        <w:rPr>
          <w:rFonts w:ascii="宋体" w:hAnsi="宋体"/>
          <w:sz w:val="24"/>
          <w:lang w:val="en-US" w:eastAsia="zh-CN"/>
        </w:rPr>
        <w:fldChar w:fldCharType="separate"/>
      </w:r>
      <w:r>
        <w:rPr>
          <w:rFonts w:ascii="宋体" w:hAnsi="宋体"/>
          <w:sz w:val="24"/>
          <w:lang w:val="en-US" w:eastAsia="zh-CN"/>
        </w:rPr>
        <w:t>22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"_Toc453596830" </w:instrText>
      </w:r>
      <w:r>
        <w:fldChar w:fldCharType="separate"/>
      </w:r>
      <w:r>
        <w:rPr>
          <w:rStyle w:val="37"/>
          <w:rFonts w:ascii="宋体" w:hAnsi="宋体"/>
          <w:sz w:val="24"/>
          <w:szCs w:val="24"/>
          <w:lang w:val="en-US" w:eastAsia="zh-CN"/>
        </w:rPr>
        <w:t xml:space="preserve">2.6.3 </w:t>
      </w:r>
      <w:r>
        <w:rPr>
          <w:rStyle w:val="37"/>
          <w:rFonts w:hint="eastAsia" w:ascii="宋体" w:hAnsi="宋体"/>
          <w:sz w:val="24"/>
          <w:szCs w:val="24"/>
          <w:lang w:val="en-US" w:eastAsia="zh-CN"/>
        </w:rPr>
        <w:t>合同的签署、履行及验收</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_Toc453596830 \h </w:instrText>
      </w:r>
      <w:r>
        <w:rPr>
          <w:rFonts w:ascii="宋体" w:hAnsi="宋体"/>
          <w:sz w:val="24"/>
          <w:lang w:val="en-US" w:eastAsia="zh-CN"/>
        </w:rPr>
        <w:fldChar w:fldCharType="separate"/>
      </w:r>
      <w:r>
        <w:rPr>
          <w:rFonts w:ascii="宋体" w:hAnsi="宋体"/>
          <w:sz w:val="24"/>
          <w:lang w:val="en-US" w:eastAsia="zh-CN"/>
        </w:rPr>
        <w:t>22</w:t>
      </w:r>
      <w:r>
        <w:rPr>
          <w:rFonts w:ascii="宋体" w:hAnsi="宋体"/>
          <w:sz w:val="24"/>
          <w:lang w:val="en-US" w:eastAsia="zh-CN"/>
        </w:rPr>
        <w:fldChar w:fldCharType="end"/>
      </w:r>
      <w:r>
        <w:rPr>
          <w:rFonts w:ascii="宋体" w:hAnsi="宋体"/>
          <w:sz w:val="24"/>
          <w:lang w:val="en-US" w:eastAsia="zh-CN"/>
        </w:rPr>
        <w:fldChar w:fldCharType="end"/>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"_Toc453596836" </w:instrText>
      </w:r>
      <w:r>
        <w:fldChar w:fldCharType="separate"/>
      </w:r>
      <w:r>
        <w:rPr>
          <w:rStyle w:val="37"/>
          <w:rFonts w:ascii="宋体" w:hAnsi="宋体"/>
          <w:sz w:val="24"/>
          <w:szCs w:val="24"/>
          <w:lang w:val="en-US" w:eastAsia="zh-CN"/>
        </w:rPr>
        <w:t xml:space="preserve">2.6.4 </w:t>
      </w:r>
      <w:r>
        <w:rPr>
          <w:rStyle w:val="37"/>
          <w:rFonts w:hint="eastAsia" w:ascii="宋体" w:hAnsi="宋体"/>
          <w:sz w:val="24"/>
          <w:szCs w:val="24"/>
          <w:lang w:val="en-US" w:eastAsia="zh-CN"/>
        </w:rPr>
        <w:t>其他</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_Toc453596836 \h </w:instrText>
      </w:r>
      <w:r>
        <w:rPr>
          <w:rFonts w:ascii="宋体" w:hAnsi="宋体"/>
          <w:sz w:val="24"/>
          <w:lang w:val="en-US" w:eastAsia="zh-CN"/>
        </w:rPr>
        <w:fldChar w:fldCharType="separate"/>
      </w:r>
      <w:r>
        <w:rPr>
          <w:rFonts w:ascii="宋体" w:hAnsi="宋体"/>
          <w:sz w:val="24"/>
          <w:lang w:val="en-US" w:eastAsia="zh-CN"/>
        </w:rPr>
        <w:t>22</w:t>
      </w:r>
      <w:r>
        <w:rPr>
          <w:rFonts w:ascii="宋体" w:hAnsi="宋体"/>
          <w:sz w:val="24"/>
          <w:lang w:val="en-US" w:eastAsia="zh-CN"/>
        </w:rPr>
        <w:fldChar w:fldCharType="end"/>
      </w:r>
      <w:r>
        <w:rPr>
          <w:rFonts w:ascii="宋体" w:hAnsi="宋体"/>
          <w:sz w:val="24"/>
          <w:lang w:val="en-US" w:eastAsia="zh-CN"/>
        </w:rPr>
        <w:fldChar w:fldCharType="end"/>
      </w:r>
    </w:p>
    <w:p>
      <w:pPr>
        <w:pStyle w:val="23"/>
        <w:spacing w:line="500" w:lineRule="exact"/>
        <w:rPr>
          <w:rFonts w:ascii="宋体" w:hAnsi="宋体"/>
          <w:sz w:val="24"/>
          <w:lang w:val="en-US" w:eastAsia="zh-CN"/>
        </w:rPr>
      </w:pPr>
      <w:r>
        <w:fldChar w:fldCharType="begin"/>
      </w:r>
      <w:r>
        <w:instrText xml:space="preserve"> HYPERLINK \l "_Toc453596837" </w:instrText>
      </w:r>
      <w:r>
        <w:fldChar w:fldCharType="separate"/>
      </w:r>
      <w:r>
        <w:rPr>
          <w:rStyle w:val="37"/>
          <w:rFonts w:ascii="宋体" w:hAnsi="宋体"/>
          <w:sz w:val="24"/>
          <w:szCs w:val="24"/>
        </w:rPr>
        <w:t>3</w:t>
      </w:r>
      <w:r>
        <w:rPr>
          <w:rStyle w:val="37"/>
          <w:rFonts w:hint="eastAsia" w:ascii="宋体" w:hAnsi="宋体"/>
          <w:sz w:val="24"/>
          <w:szCs w:val="24"/>
        </w:rPr>
        <w:t>、澄清和质疑</w:t>
      </w:r>
      <w:r>
        <w:rPr>
          <w:rFonts w:ascii="宋体" w:hAnsi="宋体"/>
          <w:sz w:val="24"/>
        </w:rPr>
        <w:tab/>
      </w:r>
      <w:r>
        <w:rPr>
          <w:rFonts w:ascii="宋体" w:hAnsi="宋体"/>
          <w:sz w:val="24"/>
        </w:rPr>
        <w:fldChar w:fldCharType="begin"/>
      </w:r>
      <w:r>
        <w:rPr>
          <w:rFonts w:ascii="宋体" w:hAnsi="宋体"/>
          <w:sz w:val="24"/>
        </w:rPr>
        <w:instrText xml:space="preserve"> PAGEREF _Toc453596837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"_Toc453596838" </w:instrText>
      </w:r>
      <w:r>
        <w:fldChar w:fldCharType="separate"/>
      </w:r>
      <w:r>
        <w:rPr>
          <w:rStyle w:val="37"/>
          <w:rFonts w:ascii="宋体" w:hAnsi="宋体"/>
          <w:sz w:val="24"/>
          <w:szCs w:val="24"/>
          <w:lang w:val="en-US" w:eastAsia="zh-CN"/>
        </w:rPr>
        <w:t>3.1</w:t>
      </w:r>
      <w:r>
        <w:rPr>
          <w:rStyle w:val="37"/>
          <w:rFonts w:hint="eastAsia" w:ascii="宋体" w:hAnsi="宋体"/>
          <w:sz w:val="24"/>
          <w:szCs w:val="24"/>
          <w:lang w:val="en-US" w:eastAsia="zh-CN"/>
        </w:rPr>
        <w:t>综合说明</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_Toc453596838 \h </w:instrText>
      </w:r>
      <w:r>
        <w:rPr>
          <w:rFonts w:ascii="宋体" w:hAnsi="宋体"/>
          <w:sz w:val="24"/>
          <w:lang w:val="en-US" w:eastAsia="zh-CN"/>
        </w:rPr>
        <w:fldChar w:fldCharType="separate"/>
      </w:r>
      <w:r>
        <w:rPr>
          <w:rFonts w:ascii="宋体" w:hAnsi="宋体"/>
          <w:sz w:val="24"/>
          <w:lang w:val="en-US" w:eastAsia="zh-CN"/>
        </w:rPr>
        <w:t>23</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"_Toc453596839" </w:instrText>
      </w:r>
      <w:r>
        <w:fldChar w:fldCharType="separate"/>
      </w:r>
      <w:r>
        <w:rPr>
          <w:rStyle w:val="37"/>
          <w:rFonts w:ascii="宋体" w:hAnsi="宋体"/>
          <w:sz w:val="24"/>
          <w:szCs w:val="24"/>
          <w:lang w:val="en-US" w:eastAsia="zh-CN"/>
        </w:rPr>
        <w:t>3.2</w:t>
      </w:r>
      <w:r>
        <w:rPr>
          <w:rStyle w:val="37"/>
          <w:rFonts w:hint="eastAsia" w:ascii="宋体" w:hAnsi="宋体"/>
          <w:sz w:val="24"/>
          <w:szCs w:val="24"/>
          <w:lang w:val="en-US" w:eastAsia="zh-CN"/>
        </w:rPr>
        <w:t>对招标文件的澄清和质疑</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_Toc453596839 \h </w:instrText>
      </w:r>
      <w:r>
        <w:rPr>
          <w:rFonts w:ascii="宋体" w:hAnsi="宋体"/>
          <w:sz w:val="24"/>
          <w:lang w:val="en-US" w:eastAsia="zh-CN"/>
        </w:rPr>
        <w:fldChar w:fldCharType="separate"/>
      </w:r>
      <w:r>
        <w:rPr>
          <w:rFonts w:ascii="宋体" w:hAnsi="宋体"/>
          <w:sz w:val="24"/>
          <w:lang w:val="en-US" w:eastAsia="zh-CN"/>
        </w:rPr>
        <w:t>23</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"_Toc453596840" </w:instrText>
      </w:r>
      <w:r>
        <w:fldChar w:fldCharType="separate"/>
      </w:r>
      <w:r>
        <w:rPr>
          <w:rStyle w:val="37"/>
          <w:rFonts w:ascii="宋体" w:hAnsi="宋体"/>
          <w:sz w:val="24"/>
          <w:szCs w:val="24"/>
          <w:lang w:val="en-US" w:eastAsia="zh-CN"/>
        </w:rPr>
        <w:t>3.3</w:t>
      </w:r>
      <w:r>
        <w:rPr>
          <w:rStyle w:val="37"/>
          <w:rFonts w:hint="eastAsia" w:ascii="宋体" w:hAnsi="宋体"/>
          <w:sz w:val="24"/>
          <w:szCs w:val="24"/>
          <w:lang w:val="en-US" w:eastAsia="zh-CN"/>
        </w:rPr>
        <w:t>对招标过程和中标结果的质疑</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_Toc453596840 \h </w:instrText>
      </w:r>
      <w:r>
        <w:rPr>
          <w:rFonts w:ascii="宋体" w:hAnsi="宋体"/>
          <w:sz w:val="24"/>
          <w:lang w:val="en-US" w:eastAsia="zh-CN"/>
        </w:rPr>
        <w:fldChar w:fldCharType="separate"/>
      </w:r>
      <w:r>
        <w:rPr>
          <w:rFonts w:ascii="宋体" w:hAnsi="宋体"/>
          <w:sz w:val="24"/>
          <w:lang w:val="en-US" w:eastAsia="zh-CN"/>
        </w:rPr>
        <w:t>24</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"_Toc453596841" </w:instrText>
      </w:r>
      <w:r>
        <w:fldChar w:fldCharType="separate"/>
      </w:r>
      <w:r>
        <w:rPr>
          <w:rStyle w:val="37"/>
          <w:rFonts w:ascii="宋体" w:hAnsi="宋体"/>
          <w:sz w:val="24"/>
          <w:szCs w:val="24"/>
          <w:lang w:val="en-US" w:eastAsia="zh-CN"/>
        </w:rPr>
        <w:t>3.4</w:t>
      </w:r>
      <w:r>
        <w:rPr>
          <w:rStyle w:val="37"/>
          <w:rFonts w:hint="eastAsia" w:ascii="宋体" w:hAnsi="宋体"/>
          <w:sz w:val="24"/>
          <w:szCs w:val="24"/>
          <w:lang w:val="en-US" w:eastAsia="zh-CN"/>
        </w:rPr>
        <w:t>澄清或质疑不予受理的情况</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_Toc453596841 \h </w:instrText>
      </w:r>
      <w:r>
        <w:rPr>
          <w:rFonts w:ascii="宋体" w:hAnsi="宋体"/>
          <w:sz w:val="24"/>
          <w:lang w:val="en-US" w:eastAsia="zh-CN"/>
        </w:rPr>
        <w:fldChar w:fldCharType="separate"/>
      </w:r>
      <w:r>
        <w:rPr>
          <w:rFonts w:ascii="宋体" w:hAnsi="宋体"/>
          <w:sz w:val="24"/>
          <w:lang w:val="en-US" w:eastAsia="zh-CN"/>
        </w:rPr>
        <w:t>24</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"_Toc453596842" </w:instrText>
      </w:r>
      <w:r>
        <w:fldChar w:fldCharType="separate"/>
      </w:r>
      <w:r>
        <w:rPr>
          <w:rStyle w:val="37"/>
          <w:rFonts w:ascii="宋体" w:hAnsi="宋体"/>
          <w:sz w:val="24"/>
          <w:szCs w:val="24"/>
          <w:lang w:val="en-US" w:eastAsia="zh-CN"/>
        </w:rPr>
        <w:t>3.5</w:t>
      </w:r>
      <w:r>
        <w:rPr>
          <w:rStyle w:val="37"/>
          <w:rFonts w:hint="eastAsia" w:ascii="宋体" w:hAnsi="宋体"/>
          <w:sz w:val="24"/>
          <w:szCs w:val="24"/>
          <w:lang w:val="en-US" w:eastAsia="zh-CN"/>
        </w:rPr>
        <w:t>其他</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_Toc453596842 \h </w:instrText>
      </w:r>
      <w:r>
        <w:rPr>
          <w:rFonts w:ascii="宋体" w:hAnsi="宋体"/>
          <w:sz w:val="24"/>
          <w:lang w:val="en-US" w:eastAsia="zh-CN"/>
        </w:rPr>
        <w:fldChar w:fldCharType="separate"/>
      </w:r>
      <w:r>
        <w:rPr>
          <w:rFonts w:ascii="宋体" w:hAnsi="宋体"/>
          <w:sz w:val="24"/>
          <w:lang w:val="en-US" w:eastAsia="zh-CN"/>
        </w:rPr>
        <w:t>25</w:t>
      </w:r>
      <w:r>
        <w:rPr>
          <w:rFonts w:ascii="宋体" w:hAnsi="宋体"/>
          <w:sz w:val="24"/>
          <w:lang w:val="en-US" w:eastAsia="zh-CN"/>
        </w:rPr>
        <w:fldChar w:fldCharType="end"/>
      </w:r>
      <w:r>
        <w:rPr>
          <w:rFonts w:ascii="宋体" w:hAnsi="宋体"/>
          <w:sz w:val="24"/>
          <w:lang w:val="en-US" w:eastAsia="zh-CN"/>
        </w:rPr>
        <w:fldChar w:fldCharType="end"/>
      </w:r>
    </w:p>
    <w:p>
      <w:pPr>
        <w:pStyle w:val="23"/>
        <w:spacing w:line="500" w:lineRule="exact"/>
        <w:rPr>
          <w:rFonts w:ascii="宋体" w:hAnsi="宋体"/>
          <w:sz w:val="24"/>
          <w:lang w:val="en-US" w:eastAsia="zh-CN"/>
        </w:rPr>
      </w:pPr>
      <w:r>
        <w:fldChar w:fldCharType="begin"/>
      </w:r>
      <w:r>
        <w:instrText xml:space="preserve"> HYPERLINK \l "_Toc453596843" </w:instrText>
      </w:r>
      <w:r>
        <w:fldChar w:fldCharType="separate"/>
      </w:r>
      <w:r>
        <w:rPr>
          <w:rStyle w:val="37"/>
          <w:rFonts w:ascii="宋体" w:hAnsi="宋体"/>
          <w:sz w:val="24"/>
          <w:szCs w:val="24"/>
        </w:rPr>
        <w:t>4</w:t>
      </w:r>
      <w:r>
        <w:rPr>
          <w:rStyle w:val="37"/>
          <w:rFonts w:hint="eastAsia" w:ascii="宋体" w:hAnsi="宋体"/>
          <w:sz w:val="24"/>
          <w:szCs w:val="24"/>
        </w:rPr>
        <w:t>、货物需求</w:t>
      </w:r>
      <w:r>
        <w:rPr>
          <w:rFonts w:ascii="宋体" w:hAnsi="宋体"/>
          <w:sz w:val="24"/>
        </w:rPr>
        <w:tab/>
      </w:r>
      <w:r>
        <w:rPr>
          <w:rFonts w:ascii="宋体" w:hAnsi="宋体"/>
          <w:sz w:val="24"/>
        </w:rPr>
        <w:fldChar w:fldCharType="begin"/>
      </w:r>
      <w:r>
        <w:rPr>
          <w:rFonts w:ascii="宋体" w:hAnsi="宋体"/>
          <w:sz w:val="24"/>
        </w:rPr>
        <w:instrText xml:space="preserve"> PAGEREF _Toc453596843 \h </w:instrText>
      </w:r>
      <w:r>
        <w:rPr>
          <w:rFonts w:ascii="宋体" w:hAnsi="宋体"/>
          <w:sz w:val="24"/>
        </w:rPr>
        <w:fldChar w:fldCharType="separate"/>
      </w:r>
      <w:r>
        <w:rPr>
          <w:rFonts w:ascii="宋体" w:hAnsi="宋体"/>
          <w:sz w:val="24"/>
        </w:rPr>
        <w:t>26</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"_Toc453596844" </w:instrText>
      </w:r>
      <w:r>
        <w:fldChar w:fldCharType="separate"/>
      </w:r>
      <w:r>
        <w:rPr>
          <w:rStyle w:val="37"/>
          <w:rFonts w:ascii="宋体" w:hAnsi="宋体"/>
          <w:sz w:val="24"/>
          <w:szCs w:val="24"/>
          <w:lang w:val="en-US" w:eastAsia="zh-CN"/>
        </w:rPr>
        <w:t>4.1</w:t>
      </w:r>
      <w:r>
        <w:rPr>
          <w:rStyle w:val="37"/>
          <w:rFonts w:hint="eastAsia" w:ascii="宋体" w:hAnsi="宋体"/>
          <w:sz w:val="24"/>
          <w:szCs w:val="24"/>
          <w:lang w:val="en-US" w:eastAsia="zh-CN"/>
        </w:rPr>
        <w:t>货物需求一览表</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_Toc453596844 \h </w:instrText>
      </w:r>
      <w:r>
        <w:rPr>
          <w:rFonts w:ascii="宋体" w:hAnsi="宋体"/>
          <w:sz w:val="24"/>
          <w:lang w:val="en-US" w:eastAsia="zh-CN"/>
        </w:rPr>
        <w:fldChar w:fldCharType="separate"/>
      </w:r>
      <w:r>
        <w:rPr>
          <w:rFonts w:ascii="宋体" w:hAnsi="宋体"/>
          <w:sz w:val="24"/>
          <w:lang w:val="en-US" w:eastAsia="zh-CN"/>
        </w:rPr>
        <w:t>26</w:t>
      </w:r>
      <w:r>
        <w:rPr>
          <w:rFonts w:ascii="宋体" w:hAnsi="宋体"/>
          <w:sz w:val="24"/>
          <w:lang w:val="en-US" w:eastAsia="zh-CN"/>
        </w:rPr>
        <w:fldChar w:fldCharType="end"/>
      </w:r>
      <w:r>
        <w:rPr>
          <w:rFonts w:ascii="宋体" w:hAnsi="宋体"/>
          <w:sz w:val="24"/>
          <w:lang w:val="en-US" w:eastAsia="zh-CN"/>
        </w:rPr>
        <w:fldChar w:fldCharType="end"/>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"_Toc453596845" </w:instrText>
      </w:r>
      <w:r>
        <w:fldChar w:fldCharType="separate"/>
      </w:r>
      <w:r>
        <w:rPr>
          <w:rStyle w:val="37"/>
          <w:rFonts w:ascii="宋体" w:hAnsi="宋体"/>
          <w:sz w:val="24"/>
          <w:szCs w:val="24"/>
          <w:lang w:val="en-US" w:eastAsia="zh-CN"/>
        </w:rPr>
        <w:t xml:space="preserve">4.2 </w:t>
      </w:r>
      <w:r>
        <w:rPr>
          <w:rStyle w:val="37"/>
          <w:rFonts w:hint="eastAsia" w:ascii="宋体" w:hAnsi="宋体"/>
          <w:sz w:val="24"/>
          <w:szCs w:val="24"/>
          <w:lang w:val="en-US" w:eastAsia="zh-CN"/>
        </w:rPr>
        <w:t>交货时间及地点：</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_Toc453596845 \h </w:instrText>
      </w:r>
      <w:r>
        <w:rPr>
          <w:rFonts w:ascii="宋体" w:hAnsi="宋体"/>
          <w:sz w:val="24"/>
          <w:lang w:val="en-US" w:eastAsia="zh-CN"/>
        </w:rPr>
        <w:fldChar w:fldCharType="separate"/>
      </w:r>
      <w:r>
        <w:rPr>
          <w:rFonts w:ascii="宋体" w:hAnsi="宋体"/>
          <w:sz w:val="24"/>
          <w:lang w:val="en-US" w:eastAsia="zh-CN"/>
        </w:rPr>
        <w:t>26</w:t>
      </w:r>
      <w:r>
        <w:rPr>
          <w:rFonts w:ascii="宋体" w:hAnsi="宋体"/>
          <w:sz w:val="24"/>
          <w:lang w:val="en-US" w:eastAsia="zh-CN"/>
        </w:rPr>
        <w:fldChar w:fldCharType="end"/>
      </w:r>
      <w:r>
        <w:rPr>
          <w:rFonts w:ascii="宋体" w:hAnsi="宋体"/>
          <w:sz w:val="24"/>
          <w:lang w:val="en-US" w:eastAsia="zh-CN"/>
        </w:rPr>
        <w:fldChar w:fldCharType="end"/>
      </w:r>
    </w:p>
    <w:p>
      <w:pPr>
        <w:pStyle w:val="23"/>
        <w:spacing w:line="500" w:lineRule="exact"/>
        <w:rPr>
          <w:rFonts w:ascii="宋体" w:hAnsi="宋体"/>
          <w:sz w:val="24"/>
          <w:lang w:val="en-US" w:eastAsia="zh-CN"/>
        </w:rPr>
      </w:pPr>
      <w:r>
        <w:fldChar w:fldCharType="begin"/>
      </w:r>
      <w:r>
        <w:instrText xml:space="preserve"> HYPERLINK \l "_Toc453596846" </w:instrText>
      </w:r>
      <w:r>
        <w:fldChar w:fldCharType="separate"/>
      </w:r>
      <w:r>
        <w:rPr>
          <w:rStyle w:val="37"/>
          <w:rFonts w:hint="eastAsia" w:ascii="宋体" w:hAnsi="宋体"/>
          <w:sz w:val="24"/>
          <w:szCs w:val="24"/>
        </w:rPr>
        <w:t>5、技术要求</w:t>
      </w:r>
      <w:r>
        <w:rPr>
          <w:rFonts w:ascii="宋体" w:hAnsi="宋体"/>
          <w:sz w:val="24"/>
        </w:rPr>
        <w:tab/>
      </w:r>
      <w:r>
        <w:rPr>
          <w:rFonts w:ascii="宋体" w:hAnsi="宋体"/>
          <w:sz w:val="24"/>
        </w:rPr>
        <w:fldChar w:fldCharType="begin"/>
      </w:r>
      <w:r>
        <w:rPr>
          <w:rFonts w:ascii="宋体" w:hAnsi="宋体"/>
          <w:sz w:val="24"/>
        </w:rPr>
        <w:instrText xml:space="preserve"> PAGEREF _Toc453596846 \h </w:instrText>
      </w:r>
      <w:r>
        <w:rPr>
          <w:rFonts w:ascii="宋体" w:hAnsi="宋体"/>
          <w:sz w:val="24"/>
        </w:rPr>
        <w:fldChar w:fldCharType="separate"/>
      </w:r>
      <w:r>
        <w:rPr>
          <w:rFonts w:ascii="宋体" w:hAnsi="宋体"/>
          <w:sz w:val="24"/>
        </w:rPr>
        <w:t>27</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lang w:val="en-US" w:eastAsia="zh-CN"/>
        </w:rPr>
      </w:pPr>
      <w:r>
        <w:fldChar w:fldCharType="begin"/>
      </w:r>
      <w:r>
        <w:instrText xml:space="preserve"> HYPERLINK \l "_Toc453596847" </w:instrText>
      </w:r>
      <w:r>
        <w:fldChar w:fldCharType="separate"/>
      </w:r>
      <w:r>
        <w:rPr>
          <w:rStyle w:val="37"/>
          <w:rFonts w:ascii="宋体" w:hAnsi="宋体"/>
          <w:sz w:val="24"/>
          <w:szCs w:val="24"/>
        </w:rPr>
        <w:t>6</w:t>
      </w:r>
      <w:r>
        <w:rPr>
          <w:rStyle w:val="37"/>
          <w:rFonts w:hint="eastAsia" w:ascii="宋体" w:hAnsi="宋体"/>
          <w:sz w:val="24"/>
          <w:szCs w:val="24"/>
        </w:rPr>
        <w:t>、评标原则及办法</w:t>
      </w:r>
      <w:r>
        <w:rPr>
          <w:rFonts w:ascii="宋体" w:hAnsi="宋体"/>
          <w:sz w:val="24"/>
        </w:rPr>
        <w:tab/>
      </w:r>
      <w:r>
        <w:rPr>
          <w:rFonts w:hint="eastAsia" w:ascii="宋体" w:hAnsi="宋体"/>
          <w:sz w:val="24"/>
          <w:lang w:val="en-US" w:eastAsia="zh-CN"/>
        </w:rPr>
        <w:t>3</w:t>
      </w:r>
      <w:r>
        <w:rPr>
          <w:rFonts w:hint="eastAsia" w:ascii="宋体" w:hAnsi="宋体"/>
          <w:sz w:val="24"/>
          <w:lang w:val="en-US" w:eastAsia="zh-CN"/>
        </w:rPr>
        <w:fldChar w:fldCharType="end"/>
      </w:r>
      <w:r>
        <w:rPr>
          <w:rFonts w:hint="eastAsia" w:ascii="宋体" w:hAnsi="宋体"/>
          <w:sz w:val="24"/>
          <w:lang w:val="en-US" w:eastAsia="zh-CN"/>
        </w:rPr>
        <w:t>0</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"_Toc453596848" </w:instrText>
      </w:r>
      <w:r>
        <w:fldChar w:fldCharType="separate"/>
      </w:r>
      <w:r>
        <w:rPr>
          <w:rStyle w:val="37"/>
          <w:rFonts w:ascii="宋体" w:hAnsi="宋体"/>
          <w:sz w:val="24"/>
          <w:szCs w:val="24"/>
          <w:lang w:val="en-US" w:eastAsia="zh-CN"/>
        </w:rPr>
        <w:t xml:space="preserve">6.1 </w:t>
      </w:r>
      <w:r>
        <w:rPr>
          <w:rStyle w:val="37"/>
          <w:rFonts w:hint="eastAsia" w:ascii="宋体" w:hAnsi="宋体"/>
          <w:sz w:val="24"/>
          <w:szCs w:val="24"/>
          <w:lang w:val="en-US" w:eastAsia="zh-CN"/>
        </w:rPr>
        <w:t>评标工作中的原则及组织</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"_Toc453596849" </w:instrText>
      </w:r>
      <w:r>
        <w:fldChar w:fldCharType="separate"/>
      </w:r>
      <w:r>
        <w:rPr>
          <w:rStyle w:val="37"/>
          <w:rFonts w:ascii="宋体" w:hAnsi="宋体"/>
          <w:sz w:val="24"/>
          <w:szCs w:val="24"/>
          <w:lang w:val="en-US" w:eastAsia="zh-CN"/>
        </w:rPr>
        <w:t xml:space="preserve">6.1.1 </w:t>
      </w:r>
      <w:r>
        <w:rPr>
          <w:rStyle w:val="37"/>
          <w:rFonts w:hint="eastAsia" w:ascii="宋体" w:hAnsi="宋体"/>
          <w:sz w:val="24"/>
          <w:szCs w:val="24"/>
          <w:lang w:val="en-US" w:eastAsia="zh-CN"/>
        </w:rPr>
        <w:t>原则</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"_Toc453596850" </w:instrText>
      </w:r>
      <w:r>
        <w:fldChar w:fldCharType="separate"/>
      </w:r>
      <w:r>
        <w:rPr>
          <w:rStyle w:val="37"/>
          <w:rFonts w:ascii="宋体" w:hAnsi="宋体"/>
          <w:sz w:val="24"/>
          <w:szCs w:val="24"/>
          <w:lang w:val="en-US" w:eastAsia="zh-CN"/>
        </w:rPr>
        <w:t xml:space="preserve">6.1.2 </w:t>
      </w:r>
      <w:r>
        <w:rPr>
          <w:rStyle w:val="37"/>
          <w:rFonts w:hint="eastAsia" w:ascii="宋体" w:hAnsi="宋体"/>
          <w:sz w:val="24"/>
          <w:szCs w:val="24"/>
          <w:lang w:val="en-US" w:eastAsia="zh-CN"/>
        </w:rPr>
        <w:t>组织</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"_Toc453596851" </w:instrText>
      </w:r>
      <w:r>
        <w:fldChar w:fldCharType="separate"/>
      </w:r>
      <w:r>
        <w:rPr>
          <w:rStyle w:val="37"/>
          <w:rFonts w:ascii="宋体" w:hAnsi="宋体"/>
          <w:sz w:val="24"/>
          <w:szCs w:val="24"/>
          <w:lang w:val="en-US" w:eastAsia="zh-CN"/>
        </w:rPr>
        <w:t xml:space="preserve">6.2 </w:t>
      </w:r>
      <w:r>
        <w:rPr>
          <w:rStyle w:val="37"/>
          <w:rFonts w:hint="eastAsia" w:ascii="宋体" w:hAnsi="宋体"/>
          <w:sz w:val="24"/>
          <w:szCs w:val="24"/>
          <w:lang w:val="en-US" w:eastAsia="zh-CN"/>
        </w:rPr>
        <w:t>评标内容及标准</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lang w:val="en-US" w:eastAsia="zh-CN"/>
        </w:rPr>
        <w:t>1</w:t>
      </w:r>
    </w:p>
    <w:p>
      <w:pPr>
        <w:pStyle w:val="25"/>
        <w:tabs>
          <w:tab w:val="right" w:leader="dot" w:pos="9344"/>
        </w:tabs>
        <w:spacing w:line="500" w:lineRule="exact"/>
        <w:ind w:firstLine="480" w:firstLineChars="200"/>
        <w:rPr>
          <w:rFonts w:ascii="宋体" w:hAnsi="宋体"/>
          <w:sz w:val="24"/>
          <w:lang w:val="en-US" w:eastAsia="zh-CN"/>
        </w:rPr>
      </w:pPr>
      <w:r>
        <w:fldChar w:fldCharType="begin"/>
      </w:r>
      <w:r>
        <w:instrText xml:space="preserve"> HYPERLINK \l "_Toc453596852" </w:instrText>
      </w:r>
      <w:r>
        <w:fldChar w:fldCharType="separate"/>
      </w:r>
      <w:r>
        <w:rPr>
          <w:rStyle w:val="37"/>
          <w:rFonts w:ascii="宋体" w:hAnsi="宋体"/>
          <w:sz w:val="24"/>
          <w:szCs w:val="24"/>
          <w:lang w:val="en-US" w:eastAsia="zh-CN"/>
        </w:rPr>
        <w:t>6.2.1</w:t>
      </w:r>
      <w:r>
        <w:rPr>
          <w:rStyle w:val="37"/>
          <w:rFonts w:hint="eastAsia" w:ascii="宋体" w:hAnsi="宋体"/>
          <w:sz w:val="24"/>
          <w:szCs w:val="24"/>
          <w:lang w:val="en-US" w:eastAsia="zh-CN"/>
        </w:rPr>
        <w:t>评标内容</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lang w:val="en-US" w:eastAsia="zh-CN"/>
        </w:rPr>
        <w:t>1</w:t>
      </w:r>
    </w:p>
    <w:p>
      <w:pPr>
        <w:pStyle w:val="25"/>
        <w:tabs>
          <w:tab w:val="right" w:leader="dot" w:pos="9344"/>
        </w:tabs>
        <w:spacing w:line="500" w:lineRule="exact"/>
        <w:ind w:firstLine="480" w:firstLineChars="200"/>
        <w:rPr>
          <w:rFonts w:ascii="宋体" w:hAnsi="宋体"/>
          <w:sz w:val="24"/>
          <w:lang w:val="en-US" w:eastAsia="zh-CN"/>
        </w:rPr>
      </w:pPr>
      <w:r>
        <w:fldChar w:fldCharType="begin"/>
      </w:r>
      <w:r>
        <w:instrText xml:space="preserve"> HYPERLINK \l "_Toc453596853" </w:instrText>
      </w:r>
      <w:r>
        <w:fldChar w:fldCharType="separate"/>
      </w:r>
      <w:r>
        <w:rPr>
          <w:rStyle w:val="37"/>
          <w:rFonts w:ascii="宋体" w:hAnsi="宋体"/>
          <w:sz w:val="24"/>
          <w:szCs w:val="24"/>
          <w:lang w:val="en-US" w:eastAsia="zh-CN"/>
        </w:rPr>
        <w:t xml:space="preserve">6.2.2 </w:t>
      </w:r>
      <w:r>
        <w:rPr>
          <w:rStyle w:val="37"/>
          <w:rFonts w:hint="eastAsia" w:ascii="宋体" w:hAnsi="宋体"/>
          <w:sz w:val="24"/>
          <w:szCs w:val="24"/>
          <w:lang w:val="en-US" w:eastAsia="zh-CN"/>
        </w:rPr>
        <w:t>无效投标</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lang w:val="en-US" w:eastAsia="zh-CN"/>
        </w:rPr>
        <w:t>1</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"_Toc453596854" </w:instrText>
      </w:r>
      <w:r>
        <w:fldChar w:fldCharType="separate"/>
      </w:r>
      <w:r>
        <w:rPr>
          <w:rStyle w:val="37"/>
          <w:rFonts w:ascii="宋体" w:hAnsi="宋体" w:cs="宋体"/>
          <w:sz w:val="24"/>
          <w:szCs w:val="24"/>
          <w:lang w:val="zh-CN" w:eastAsia="zh-CN"/>
        </w:rPr>
        <w:t xml:space="preserve">6.3 </w:t>
      </w:r>
      <w:r>
        <w:rPr>
          <w:rStyle w:val="37"/>
          <w:rFonts w:hint="eastAsia" w:ascii="宋体" w:hAnsi="宋体" w:cs="宋体"/>
          <w:sz w:val="24"/>
          <w:szCs w:val="24"/>
          <w:lang w:val="zh-CN" w:eastAsia="zh-CN"/>
        </w:rPr>
        <w:t>评标的程序和方法</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3</w:t>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"_Toc453596855" </w:instrText>
      </w:r>
      <w:r>
        <w:fldChar w:fldCharType="separate"/>
      </w:r>
      <w:r>
        <w:rPr>
          <w:rStyle w:val="37"/>
          <w:rFonts w:ascii="宋体" w:hAnsi="宋体"/>
          <w:sz w:val="24"/>
          <w:szCs w:val="24"/>
          <w:lang w:val="en-US" w:eastAsia="zh-CN"/>
        </w:rPr>
        <w:t xml:space="preserve">6.3.1 </w:t>
      </w:r>
      <w:r>
        <w:rPr>
          <w:rStyle w:val="37"/>
          <w:rFonts w:hint="eastAsia" w:ascii="宋体" w:hAnsi="宋体"/>
          <w:sz w:val="24"/>
          <w:szCs w:val="24"/>
          <w:lang w:val="en-US" w:eastAsia="zh-CN"/>
        </w:rPr>
        <w:t>评标程序</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3</w:t>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"_Toc453596856" </w:instrText>
      </w:r>
      <w:r>
        <w:fldChar w:fldCharType="separate"/>
      </w:r>
      <w:r>
        <w:rPr>
          <w:rStyle w:val="37"/>
          <w:rFonts w:ascii="宋体" w:hAnsi="宋体"/>
          <w:sz w:val="24"/>
          <w:szCs w:val="24"/>
          <w:lang w:val="en-US" w:eastAsia="zh-CN"/>
        </w:rPr>
        <w:t>6.3.2</w:t>
      </w:r>
      <w:r>
        <w:rPr>
          <w:rStyle w:val="37"/>
          <w:rFonts w:hint="eastAsia" w:ascii="宋体" w:hAnsi="宋体"/>
          <w:sz w:val="24"/>
          <w:szCs w:val="24"/>
          <w:lang w:val="en-US" w:eastAsia="zh-CN"/>
        </w:rPr>
        <w:t>评标方法</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3</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"_Toc453596857" </w:instrText>
      </w:r>
      <w:r>
        <w:fldChar w:fldCharType="separate"/>
      </w:r>
      <w:r>
        <w:rPr>
          <w:rStyle w:val="37"/>
          <w:rFonts w:ascii="宋体" w:hAnsi="宋体"/>
          <w:sz w:val="24"/>
          <w:szCs w:val="24"/>
          <w:lang w:val="en-US" w:eastAsia="zh-CN"/>
        </w:rPr>
        <w:t xml:space="preserve">6.4 </w:t>
      </w:r>
      <w:r>
        <w:rPr>
          <w:rStyle w:val="37"/>
          <w:rFonts w:hint="eastAsia" w:ascii="宋体" w:hAnsi="宋体"/>
          <w:sz w:val="24"/>
          <w:szCs w:val="24"/>
          <w:lang w:val="en-US" w:eastAsia="zh-CN"/>
        </w:rPr>
        <w:t>评标委员会的职责及中标供应商的确定</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5</w:t>
      </w:r>
    </w:p>
    <w:p>
      <w:pPr>
        <w:pStyle w:val="16"/>
        <w:tabs>
          <w:tab w:val="right" w:leader="dot" w:pos="9344"/>
        </w:tabs>
        <w:spacing w:line="500" w:lineRule="exact"/>
        <w:rPr>
          <w:rFonts w:ascii="宋体" w:hAnsi="宋体"/>
          <w:sz w:val="24"/>
          <w:lang w:val="en-US" w:eastAsia="zh-CN"/>
        </w:rPr>
      </w:pPr>
      <w:r>
        <w:fldChar w:fldCharType="begin"/>
      </w:r>
      <w:r>
        <w:instrText xml:space="preserve"> HYPERLINK \l "_Toc453596858" </w:instrText>
      </w:r>
      <w:r>
        <w:fldChar w:fldCharType="separate"/>
      </w:r>
      <w:r>
        <w:rPr>
          <w:rStyle w:val="37"/>
          <w:rFonts w:ascii="宋体" w:hAnsi="宋体"/>
          <w:sz w:val="24"/>
          <w:szCs w:val="24"/>
          <w:lang w:val="en-US" w:eastAsia="zh-CN"/>
        </w:rPr>
        <w:t xml:space="preserve">6.4.1 </w:t>
      </w:r>
      <w:r>
        <w:rPr>
          <w:rStyle w:val="37"/>
          <w:rFonts w:hint="eastAsia" w:ascii="宋体" w:hAnsi="宋体"/>
          <w:sz w:val="24"/>
          <w:szCs w:val="24"/>
          <w:lang w:val="en-US" w:eastAsia="zh-CN"/>
        </w:rPr>
        <w:t>评标委员会的职责</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5</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"_Toc453596859" </w:instrText>
      </w:r>
      <w:r>
        <w:fldChar w:fldCharType="separate"/>
      </w:r>
      <w:r>
        <w:rPr>
          <w:rStyle w:val="37"/>
          <w:rFonts w:ascii="宋体" w:hAnsi="宋体"/>
          <w:sz w:val="24"/>
          <w:szCs w:val="24"/>
          <w:lang w:val="en-US" w:eastAsia="zh-CN"/>
        </w:rPr>
        <w:t xml:space="preserve">6.5 </w:t>
      </w:r>
      <w:r>
        <w:rPr>
          <w:rStyle w:val="37"/>
          <w:rFonts w:hint="eastAsia" w:ascii="宋体" w:hAnsi="宋体"/>
          <w:sz w:val="24"/>
          <w:szCs w:val="24"/>
          <w:lang w:val="en-US" w:eastAsia="zh-CN"/>
        </w:rPr>
        <w:t>废标</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5</w:t>
      </w:r>
    </w:p>
    <w:p>
      <w:pPr>
        <w:pStyle w:val="23"/>
        <w:spacing w:line="500" w:lineRule="exact"/>
        <w:rPr>
          <w:rFonts w:ascii="宋体" w:hAnsi="宋体"/>
          <w:sz w:val="24"/>
          <w:lang w:val="en-US" w:eastAsia="zh-CN"/>
        </w:rPr>
      </w:pPr>
      <w:r>
        <w:fldChar w:fldCharType="begin"/>
      </w:r>
      <w:r>
        <w:instrText xml:space="preserve"> HYPERLINK \l "_Toc453596860" </w:instrText>
      </w:r>
      <w:r>
        <w:fldChar w:fldCharType="separate"/>
      </w:r>
      <w:r>
        <w:rPr>
          <w:rStyle w:val="37"/>
          <w:rFonts w:ascii="宋体" w:hAnsi="宋体"/>
          <w:sz w:val="24"/>
          <w:szCs w:val="24"/>
        </w:rPr>
        <w:t>7</w:t>
      </w:r>
      <w:r>
        <w:rPr>
          <w:rStyle w:val="37"/>
          <w:rFonts w:hint="eastAsia" w:ascii="宋体" w:hAnsi="宋体"/>
          <w:sz w:val="24"/>
          <w:szCs w:val="24"/>
        </w:rPr>
        <w:t>、附件</w:t>
      </w:r>
      <w:r>
        <w:rPr>
          <w:rFonts w:ascii="宋体" w:hAnsi="宋体"/>
          <w:sz w:val="24"/>
        </w:rPr>
        <w:tab/>
      </w:r>
      <w:r>
        <w:rPr>
          <w:rFonts w:hint="eastAsia" w:ascii="宋体" w:hAnsi="宋体"/>
          <w:sz w:val="24"/>
          <w:lang w:val="en-US" w:eastAsia="zh-CN"/>
        </w:rPr>
        <w:t>3</w:t>
      </w:r>
      <w:r>
        <w:rPr>
          <w:rFonts w:hint="eastAsia" w:ascii="宋体" w:hAnsi="宋体"/>
          <w:sz w:val="24"/>
          <w:lang w:val="en-US" w:eastAsia="zh-CN"/>
        </w:rPr>
        <w:fldChar w:fldCharType="end"/>
      </w:r>
      <w:r>
        <w:rPr>
          <w:rFonts w:hint="eastAsia" w:ascii="宋体" w:hAnsi="宋体"/>
          <w:sz w:val="24"/>
          <w:lang w:val="en-US" w:eastAsia="zh-CN"/>
        </w:rPr>
        <w:t>6</w:t>
      </w:r>
    </w:p>
    <w:p>
      <w:pPr>
        <w:pStyle w:val="25"/>
        <w:tabs>
          <w:tab w:val="right" w:leader="dot" w:pos="9344"/>
        </w:tabs>
        <w:spacing w:line="500" w:lineRule="exact"/>
        <w:rPr>
          <w:rFonts w:ascii="宋体" w:hAnsi="宋体"/>
          <w:sz w:val="24"/>
          <w:lang w:val="en-US" w:eastAsia="zh-CN"/>
        </w:rPr>
      </w:pPr>
      <w:r>
        <w:rPr>
          <w:rStyle w:val="37"/>
          <w:rFonts w:hint="eastAsia" w:ascii="宋体" w:hAnsi="宋体"/>
          <w:sz w:val="24"/>
          <w:szCs w:val="24"/>
          <w:lang w:val="en-US" w:eastAsia="zh-CN"/>
        </w:rPr>
        <w:t>附件1：</w:t>
      </w:r>
      <w:r>
        <w:fldChar w:fldCharType="begin"/>
      </w:r>
      <w:r>
        <w:instrText xml:space="preserve"> HYPERLINK \l "_Toc453596861" </w:instrText>
      </w:r>
      <w:r>
        <w:fldChar w:fldCharType="separate"/>
      </w:r>
      <w:r>
        <w:rPr>
          <w:rStyle w:val="37"/>
          <w:rFonts w:hint="eastAsia" w:ascii="宋体" w:hAnsi="宋体"/>
          <w:sz w:val="24"/>
          <w:szCs w:val="24"/>
          <w:lang w:val="en-US" w:eastAsia="zh-CN"/>
        </w:rPr>
        <w:t>合同格式及条款</w:t>
      </w:r>
      <w:r>
        <w:rPr>
          <w:rFonts w:ascii="宋体" w:hAnsi="宋体"/>
          <w:sz w:val="24"/>
          <w:lang w:val="en-US" w:eastAsia="zh-CN"/>
        </w:rPr>
        <w:tab/>
      </w:r>
      <w:r>
        <w:rPr>
          <w:rFonts w:hint="eastAsia" w:ascii="宋体" w:hAnsi="宋体"/>
          <w:sz w:val="24"/>
        </w:rPr>
        <w:t>3</w:t>
      </w:r>
      <w:r>
        <w:rPr>
          <w:rFonts w:hint="eastAsia" w:ascii="宋体" w:hAnsi="宋体"/>
          <w:sz w:val="24"/>
        </w:rPr>
        <w:fldChar w:fldCharType="end"/>
      </w:r>
      <w:r>
        <w:rPr>
          <w:rFonts w:hint="eastAsia" w:ascii="宋体" w:hAnsi="宋体"/>
          <w:sz w:val="24"/>
        </w:rPr>
        <w:t>7</w:t>
      </w:r>
    </w:p>
    <w:p>
      <w:pPr>
        <w:pStyle w:val="25"/>
        <w:tabs>
          <w:tab w:val="right" w:leader="dot" w:pos="9344"/>
        </w:tabs>
        <w:spacing w:line="500" w:lineRule="exact"/>
        <w:rPr>
          <w:rFonts w:ascii="宋体" w:hAnsi="宋体"/>
          <w:sz w:val="24"/>
          <w:lang w:val="en-US" w:eastAsia="zh-CN"/>
        </w:rPr>
      </w:pPr>
      <w:r>
        <w:rPr>
          <w:rStyle w:val="37"/>
          <w:rFonts w:hint="eastAsia" w:ascii="宋体" w:hAnsi="宋体"/>
          <w:sz w:val="24"/>
          <w:szCs w:val="24"/>
          <w:lang w:val="en-US" w:eastAsia="zh-CN"/>
        </w:rPr>
        <w:t>附件2：</w:t>
      </w:r>
      <w:r>
        <w:fldChar w:fldCharType="begin"/>
      </w:r>
      <w:r>
        <w:instrText xml:space="preserve"> HYPERLINK \l "_Toc453596891" </w:instrText>
      </w:r>
      <w:r>
        <w:fldChar w:fldCharType="separate"/>
      </w:r>
      <w:r>
        <w:rPr>
          <w:rStyle w:val="37"/>
          <w:rFonts w:hint="eastAsia" w:ascii="宋体" w:hAnsi="宋体"/>
          <w:sz w:val="24"/>
          <w:szCs w:val="24"/>
          <w:lang w:val="en-US" w:eastAsia="zh-CN"/>
        </w:rPr>
        <w:t>投标函</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0</w:t>
      </w:r>
    </w:p>
    <w:p>
      <w:pPr>
        <w:pStyle w:val="25"/>
        <w:tabs>
          <w:tab w:val="right" w:leader="dot" w:pos="9344"/>
        </w:tabs>
        <w:spacing w:line="500" w:lineRule="exact"/>
        <w:rPr>
          <w:rFonts w:ascii="宋体" w:hAnsi="宋体"/>
          <w:sz w:val="24"/>
          <w:lang w:val="en-US" w:eastAsia="zh-CN"/>
        </w:rPr>
      </w:pPr>
      <w:r>
        <w:rPr>
          <w:rStyle w:val="37"/>
          <w:rFonts w:hint="eastAsia" w:ascii="宋体" w:hAnsi="宋体"/>
          <w:sz w:val="24"/>
          <w:szCs w:val="24"/>
          <w:lang w:val="en-US" w:eastAsia="zh-CN"/>
        </w:rPr>
        <w:t>附件3：</w:t>
      </w:r>
      <w:r>
        <w:fldChar w:fldCharType="begin"/>
      </w:r>
      <w:r>
        <w:instrText xml:space="preserve"> HYPERLINK \l "_Toc453596892" </w:instrText>
      </w:r>
      <w:r>
        <w:fldChar w:fldCharType="separate"/>
      </w:r>
      <w:r>
        <w:rPr>
          <w:rStyle w:val="37"/>
          <w:rFonts w:hint="eastAsia" w:ascii="宋体" w:hAnsi="宋体"/>
          <w:sz w:val="24"/>
          <w:szCs w:val="24"/>
          <w:lang w:val="en-US" w:eastAsia="zh-CN"/>
        </w:rPr>
        <w:t>法人授权函</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"_Toc453596893" </w:instrText>
      </w:r>
      <w:r>
        <w:fldChar w:fldCharType="separate"/>
      </w:r>
      <w:r>
        <w:rPr>
          <w:rStyle w:val="37"/>
          <w:rFonts w:hint="eastAsia" w:ascii="宋体" w:hAnsi="宋体"/>
          <w:sz w:val="24"/>
          <w:szCs w:val="24"/>
          <w:lang w:val="en-US" w:eastAsia="zh-CN"/>
        </w:rPr>
        <w:t>附件</w:t>
      </w:r>
      <w:r>
        <w:rPr>
          <w:rStyle w:val="37"/>
          <w:rFonts w:ascii="宋体" w:hAnsi="宋体"/>
          <w:sz w:val="24"/>
          <w:szCs w:val="24"/>
          <w:lang w:val="en-US" w:eastAsia="zh-CN"/>
        </w:rPr>
        <w:t>4</w:t>
      </w:r>
      <w:r>
        <w:rPr>
          <w:rStyle w:val="37"/>
          <w:rFonts w:hint="eastAsia" w:ascii="宋体" w:hAnsi="宋体"/>
          <w:sz w:val="24"/>
          <w:szCs w:val="24"/>
          <w:lang w:val="en-US" w:eastAsia="zh-CN"/>
        </w:rPr>
        <w:t>：法定代表人资格证明</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2</w:t>
      </w:r>
    </w:p>
    <w:p>
      <w:pPr>
        <w:pStyle w:val="25"/>
        <w:tabs>
          <w:tab w:val="right" w:leader="dot" w:pos="9344"/>
        </w:tabs>
        <w:spacing w:line="500" w:lineRule="exact"/>
        <w:rPr>
          <w:rFonts w:ascii="宋体" w:hAnsi="宋体"/>
          <w:sz w:val="24"/>
          <w:lang w:val="en-US" w:eastAsia="zh-CN"/>
        </w:rPr>
      </w:pPr>
      <w:r>
        <w:rPr>
          <w:rStyle w:val="37"/>
          <w:rFonts w:hint="eastAsia" w:ascii="宋体" w:hAnsi="宋体"/>
          <w:sz w:val="24"/>
          <w:szCs w:val="24"/>
          <w:lang w:val="en-US" w:eastAsia="zh-CN"/>
        </w:rPr>
        <w:t>附件5：</w:t>
      </w:r>
      <w:r>
        <w:fldChar w:fldCharType="begin"/>
      </w:r>
      <w:r>
        <w:instrText xml:space="preserve"> HYPERLINK \l "_Toc453596894" </w:instrText>
      </w:r>
      <w:r>
        <w:fldChar w:fldCharType="separate"/>
      </w:r>
      <w:r>
        <w:rPr>
          <w:rStyle w:val="37"/>
          <w:rFonts w:hint="eastAsia" w:ascii="宋体" w:hAnsi="宋体"/>
          <w:sz w:val="24"/>
          <w:szCs w:val="24"/>
          <w:lang w:val="en-US" w:eastAsia="zh-CN"/>
        </w:rPr>
        <w:t>投标报价表</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3</w:t>
      </w:r>
    </w:p>
    <w:p>
      <w:pPr>
        <w:pStyle w:val="25"/>
        <w:tabs>
          <w:tab w:val="right" w:leader="dot" w:pos="9344"/>
        </w:tabs>
        <w:spacing w:line="500" w:lineRule="exact"/>
        <w:rPr>
          <w:rFonts w:ascii="宋体" w:hAnsi="宋体"/>
          <w:sz w:val="24"/>
          <w:lang w:val="en-US" w:eastAsia="zh-CN"/>
        </w:rPr>
      </w:pPr>
      <w:r>
        <w:rPr>
          <w:rStyle w:val="37"/>
          <w:rFonts w:hint="eastAsia" w:ascii="宋体" w:hAnsi="宋体"/>
          <w:sz w:val="24"/>
          <w:szCs w:val="24"/>
          <w:lang w:val="en-US" w:eastAsia="zh-CN"/>
        </w:rPr>
        <w:t>附件6：</w:t>
      </w:r>
      <w:r>
        <w:fldChar w:fldCharType="begin"/>
      </w:r>
      <w:r>
        <w:instrText xml:space="preserve"> HYPERLINK \l "_Toc453596895" </w:instrText>
      </w:r>
      <w:r>
        <w:fldChar w:fldCharType="separate"/>
      </w:r>
      <w:r>
        <w:rPr>
          <w:rStyle w:val="37"/>
          <w:rFonts w:hint="eastAsia" w:ascii="宋体" w:hAnsi="宋体"/>
          <w:sz w:val="24"/>
          <w:szCs w:val="24"/>
          <w:lang w:val="en-US" w:eastAsia="zh-CN"/>
        </w:rPr>
        <w:t>投标货物偏离表</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4</w:t>
      </w:r>
    </w:p>
    <w:p>
      <w:pPr>
        <w:pStyle w:val="25"/>
        <w:tabs>
          <w:tab w:val="right" w:leader="dot" w:pos="9344"/>
        </w:tabs>
        <w:spacing w:line="500" w:lineRule="exact"/>
        <w:rPr>
          <w:rStyle w:val="37"/>
          <w:rFonts w:hint="eastAsia" w:ascii="宋体" w:hAnsi="宋体"/>
          <w:sz w:val="24"/>
          <w:szCs w:val="24"/>
          <w:lang w:val="en-US" w:eastAsia="zh-CN"/>
        </w:rPr>
      </w:pPr>
      <w:r>
        <w:rPr>
          <w:rStyle w:val="37"/>
          <w:rFonts w:hint="eastAsia" w:ascii="宋体" w:hAnsi="宋体"/>
          <w:sz w:val="24"/>
          <w:szCs w:val="24"/>
          <w:lang w:val="en-US" w:eastAsia="zh-CN"/>
        </w:rPr>
        <w:t>附件7：</w:t>
      </w:r>
      <w:r>
        <w:fldChar w:fldCharType="begin"/>
      </w:r>
      <w:r>
        <w:instrText xml:space="preserve"> HYPERLINK \l "_Toc453596896" </w:instrText>
      </w:r>
      <w:r>
        <w:fldChar w:fldCharType="separate"/>
      </w:r>
      <w:r>
        <w:rPr>
          <w:rStyle w:val="37"/>
          <w:rFonts w:hint="eastAsia" w:ascii="宋体" w:hAnsi="宋体"/>
          <w:sz w:val="24"/>
          <w:szCs w:val="24"/>
          <w:lang w:val="en-US" w:eastAsia="zh-CN"/>
        </w:rPr>
        <w:t>生产厂家授权函</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5</w:t>
      </w:r>
    </w:p>
    <w:p>
      <w:pPr>
        <w:pStyle w:val="25"/>
        <w:tabs>
          <w:tab w:val="right" w:leader="dot" w:pos="9344"/>
        </w:tabs>
        <w:spacing w:line="500" w:lineRule="exact"/>
        <w:rPr>
          <w:rFonts w:ascii="宋体" w:hAnsi="宋体"/>
          <w:sz w:val="24"/>
          <w:lang w:val="en-US" w:eastAsia="zh-CN"/>
        </w:rPr>
      </w:pPr>
      <w:r>
        <w:rPr>
          <w:rStyle w:val="37"/>
          <w:rFonts w:hint="eastAsia" w:ascii="宋体" w:hAnsi="宋体"/>
          <w:sz w:val="24"/>
          <w:szCs w:val="24"/>
          <w:lang w:val="en-US" w:eastAsia="zh-CN"/>
        </w:rPr>
        <w:t>附件8：</w:t>
      </w:r>
      <w:r>
        <w:fldChar w:fldCharType="begin"/>
      </w:r>
      <w:r>
        <w:instrText xml:space="preserve"> HYPERLINK \l "_Toc453596897" </w:instrText>
      </w:r>
      <w:r>
        <w:fldChar w:fldCharType="separate"/>
      </w:r>
      <w:r>
        <w:rPr>
          <w:rStyle w:val="37"/>
          <w:rFonts w:hint="eastAsia" w:ascii="宋体" w:hAnsi="宋体"/>
          <w:sz w:val="24"/>
          <w:szCs w:val="24"/>
          <w:lang w:val="en-US" w:eastAsia="zh-CN"/>
        </w:rPr>
        <w:t>中小企业声明函（非中小微企业不提供）</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6</w:t>
      </w:r>
    </w:p>
    <w:p>
      <w:pPr>
        <w:pStyle w:val="25"/>
        <w:tabs>
          <w:tab w:val="right" w:leader="dot" w:pos="9344"/>
        </w:tabs>
        <w:spacing w:line="500" w:lineRule="exact"/>
        <w:rPr>
          <w:rFonts w:ascii="宋体" w:hAnsi="宋体"/>
          <w:sz w:val="24"/>
          <w:lang w:val="en-US" w:eastAsia="zh-CN"/>
        </w:rPr>
      </w:pPr>
      <w:r>
        <w:fldChar w:fldCharType="begin"/>
      </w:r>
      <w:r>
        <w:instrText xml:space="preserve"> HYPERLINK \l "_Toc453596898" </w:instrText>
      </w:r>
      <w:r>
        <w:fldChar w:fldCharType="separate"/>
      </w:r>
      <w:r>
        <w:rPr>
          <w:rStyle w:val="37"/>
          <w:rFonts w:hint="eastAsia" w:ascii="宋体" w:hAnsi="宋体"/>
          <w:sz w:val="24"/>
          <w:szCs w:val="24"/>
          <w:lang w:val="en-US" w:eastAsia="zh-CN"/>
        </w:rPr>
        <w:t>附件</w:t>
      </w:r>
      <w:r>
        <w:rPr>
          <w:rStyle w:val="37"/>
          <w:rFonts w:ascii="宋体" w:hAnsi="宋体"/>
          <w:sz w:val="24"/>
          <w:szCs w:val="24"/>
          <w:lang w:val="en-US" w:eastAsia="zh-CN"/>
        </w:rPr>
        <w:t>9</w:t>
      </w:r>
      <w:r>
        <w:rPr>
          <w:rStyle w:val="37"/>
          <w:rFonts w:hint="eastAsia" w:ascii="宋体" w:hAnsi="宋体"/>
          <w:sz w:val="24"/>
          <w:szCs w:val="24"/>
          <w:lang w:val="en-US" w:eastAsia="zh-CN"/>
        </w:rPr>
        <w:t>：</w:t>
      </w:r>
      <w:r>
        <w:rPr>
          <w:rStyle w:val="37"/>
          <w:rFonts w:hint="eastAsia" w:ascii="宋体" w:hAnsi="宋体"/>
          <w:sz w:val="24"/>
          <w:szCs w:val="24"/>
          <w:lang w:val="en-US" w:eastAsia="zh-CN"/>
        </w:rPr>
        <w:fldChar w:fldCharType="end"/>
      </w:r>
      <w:r>
        <w:fldChar w:fldCharType="begin"/>
      </w:r>
      <w:r>
        <w:instrText xml:space="preserve"> HYPERLINK \l "_Toc453596900" </w:instrText>
      </w:r>
      <w:r>
        <w:fldChar w:fldCharType="separate"/>
      </w:r>
      <w:r>
        <w:rPr>
          <w:rStyle w:val="37"/>
          <w:rFonts w:hint="eastAsia" w:ascii="宋体" w:hAnsi="宋体"/>
          <w:sz w:val="24"/>
          <w:szCs w:val="24"/>
          <w:lang w:val="en-US" w:eastAsia="zh-CN"/>
        </w:rPr>
        <w:t>财库【2011】181号和工信部联企业【2011】300号文件</w:t>
      </w:r>
      <w:r>
        <w:rPr>
          <w:rFonts w:ascii="宋体" w:hAnsi="宋体"/>
          <w:sz w:val="24"/>
          <w:lang w:val="en-US" w:eastAsia="zh-CN"/>
        </w:rPr>
        <w:tab/>
      </w:r>
      <w:r>
        <w:rPr>
          <w:rFonts w:hint="eastAsia" w:ascii="宋体" w:hAnsi="宋体"/>
          <w:sz w:val="24"/>
        </w:rPr>
        <w:t>4</w:t>
      </w:r>
      <w:r>
        <w:rPr>
          <w:rFonts w:hint="eastAsia" w:ascii="宋体" w:hAnsi="宋体"/>
          <w:sz w:val="24"/>
        </w:rPr>
        <w:fldChar w:fldCharType="end"/>
      </w:r>
      <w:r>
        <w:rPr>
          <w:rFonts w:hint="eastAsia" w:ascii="宋体" w:hAnsi="宋体"/>
          <w:sz w:val="24"/>
        </w:rPr>
        <w:t>8</w:t>
      </w:r>
    </w:p>
    <w:p>
      <w:pPr>
        <w:spacing w:line="500" w:lineRule="exact"/>
        <w:jc w:val="center"/>
        <w:rPr>
          <w:rFonts w:hint="eastAsia" w:ascii="宋体" w:hAnsi="宋体" w:cs="宋体"/>
          <w:b/>
          <w:bCs/>
          <w:color w:val="000000"/>
          <w:sz w:val="28"/>
          <w:szCs w:val="28"/>
        </w:rPr>
      </w:pPr>
      <w:r>
        <w:rPr>
          <w:rFonts w:ascii="宋体" w:hAnsi="宋体"/>
          <w:sz w:val="24"/>
        </w:rPr>
        <w:fldChar w:fldCharType="end"/>
      </w:r>
      <w:r>
        <w:rPr>
          <w:rFonts w:hint="eastAsia" w:ascii="宋体" w:hAnsi="宋体"/>
          <w:color w:val="000000"/>
          <w:sz w:val="24"/>
        </w:rPr>
        <w:t xml:space="preserve">   </w:t>
      </w:r>
      <w:r>
        <w:rPr>
          <w:rFonts w:hint="eastAsia" w:ascii="宋体" w:hAnsi="宋体" w:cs="宋体"/>
          <w:b/>
          <w:bCs/>
          <w:color w:val="000000"/>
          <w:sz w:val="28"/>
          <w:szCs w:val="28"/>
        </w:rPr>
        <w:t xml:space="preserve"> </w:t>
      </w:r>
    </w:p>
    <w:p>
      <w:pPr>
        <w:spacing w:line="400" w:lineRule="exact"/>
        <w:jc w:val="center"/>
        <w:rPr>
          <w:rFonts w:hint="eastAsia" w:ascii="宋体" w:hAnsi="宋体" w:cs="宋体"/>
          <w:b/>
          <w:bCs/>
          <w:color w:val="000000"/>
          <w:sz w:val="28"/>
          <w:szCs w:val="28"/>
        </w:rPr>
      </w:pPr>
    </w:p>
    <w:p>
      <w:pPr>
        <w:spacing w:line="400" w:lineRule="exact"/>
        <w:jc w:val="center"/>
        <w:rPr>
          <w:rFonts w:hint="eastAsia" w:ascii="宋体" w:hAnsi="宋体" w:cs="宋体"/>
          <w:b/>
          <w:bCs/>
          <w:color w:val="000000"/>
          <w:sz w:val="28"/>
          <w:szCs w:val="28"/>
        </w:rPr>
      </w:pPr>
    </w:p>
    <w:p>
      <w:pPr>
        <w:spacing w:line="400" w:lineRule="exact"/>
        <w:rPr>
          <w:rFonts w:hint="eastAsia" w:ascii="宋体" w:hAnsi="宋体" w:cs="宋体"/>
          <w:b/>
          <w:bCs/>
          <w:color w:val="000000"/>
          <w:sz w:val="28"/>
          <w:szCs w:val="28"/>
        </w:rPr>
      </w:pPr>
    </w:p>
    <w:p>
      <w:pPr>
        <w:pStyle w:val="2"/>
        <w:rPr>
          <w:rFonts w:hint="eastAsia"/>
          <w:color w:val="000000"/>
          <w:sz w:val="28"/>
          <w:szCs w:val="28"/>
        </w:rPr>
      </w:pPr>
      <w:bookmarkStart w:id="1" w:name="_Toc453596786"/>
      <w:bookmarkStart w:id="2" w:name="_Toc139965325"/>
      <w:bookmarkStart w:id="3" w:name="_Toc128372051"/>
      <w:bookmarkStart w:id="4" w:name="_Toc128372729"/>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p>
    <w:p>
      <w:pPr>
        <w:pStyle w:val="2"/>
        <w:rPr>
          <w:rFonts w:hint="eastAsia"/>
          <w:color w:val="000000"/>
          <w:sz w:val="28"/>
          <w:szCs w:val="28"/>
        </w:rPr>
      </w:pPr>
      <w:r>
        <w:rPr>
          <w:rFonts w:hint="eastAsia"/>
          <w:color w:val="000000"/>
          <w:sz w:val="28"/>
          <w:szCs w:val="28"/>
        </w:rPr>
        <w:t>白银市食品检验检测中心实验室检测设备采购项目公开招标公告</w:t>
      </w:r>
      <w:bookmarkEnd w:id="1"/>
    </w:p>
    <w:p>
      <w:pPr>
        <w:keepNext w:val="0"/>
        <w:keepLines w:val="0"/>
        <w:pageBreakBefore w:val="0"/>
        <w:kinsoku/>
        <w:wordWrap/>
        <w:overflowPunct/>
        <w:topLinePunct w:val="0"/>
        <w:autoSpaceDE/>
        <w:autoSpaceDN/>
        <w:bidi w:val="0"/>
        <w:spacing w:line="400" w:lineRule="exact"/>
        <w:ind w:firstLine="480" w:firstLineChars="200"/>
        <w:textAlignment w:val="auto"/>
        <w:outlineLvl w:val="9"/>
        <w:rPr>
          <w:rFonts w:hint="eastAsia" w:ascii="宋体" w:hAnsi="宋体" w:cs="宋体"/>
          <w:sz w:val="24"/>
        </w:rPr>
      </w:pPr>
      <w:r>
        <w:rPr>
          <w:rFonts w:hint="eastAsia" w:ascii="宋体" w:hAnsi="宋体" w:cs="宋体"/>
          <w:sz w:val="24"/>
          <w:lang w:eastAsia="zh-CN"/>
        </w:rPr>
        <w:t>中招国际招标有限公司甘肃分公司</w:t>
      </w:r>
      <w:r>
        <w:rPr>
          <w:rFonts w:hint="eastAsia" w:ascii="宋体" w:hAnsi="宋体" w:cs="宋体"/>
          <w:sz w:val="24"/>
        </w:rPr>
        <w:t>受</w:t>
      </w:r>
      <w:r>
        <w:rPr>
          <w:rFonts w:hint="eastAsia" w:ascii="宋体" w:hAnsi="宋体" w:cs="宋体"/>
          <w:sz w:val="24"/>
          <w:lang w:eastAsia="zh-CN"/>
        </w:rPr>
        <w:t>白银市食品检验检测中心</w:t>
      </w:r>
      <w:r>
        <w:rPr>
          <w:rFonts w:hint="eastAsia" w:ascii="宋体" w:hAnsi="宋体" w:cs="宋体"/>
          <w:sz w:val="24"/>
        </w:rPr>
        <w:t>的委托，对白银市食品检验检测中心实验室检测设备采购项目以公开招标形式进行采购，欢迎符合资格条件的供应商前来投标。</w:t>
      </w:r>
    </w:p>
    <w:p>
      <w:pPr>
        <w:keepNext w:val="0"/>
        <w:keepLines w:val="0"/>
        <w:pageBreakBefore w:val="0"/>
        <w:numPr>
          <w:ilvl w:val="0"/>
          <w:numId w:val="2"/>
        </w:numPr>
        <w:kinsoku/>
        <w:wordWrap/>
        <w:overflowPunct/>
        <w:topLinePunct w:val="0"/>
        <w:autoSpaceDE/>
        <w:autoSpaceDN/>
        <w:bidi w:val="0"/>
        <w:spacing w:line="400" w:lineRule="exact"/>
        <w:ind w:firstLine="504" w:firstLineChars="209"/>
        <w:jc w:val="left"/>
        <w:textAlignment w:val="auto"/>
        <w:outlineLvl w:val="9"/>
        <w:rPr>
          <w:rFonts w:hint="eastAsia" w:ascii="宋体" w:hAnsi="宋体" w:cs="宋体"/>
          <w:sz w:val="24"/>
        </w:rPr>
      </w:pPr>
      <w:r>
        <w:rPr>
          <w:rFonts w:hint="eastAsia" w:ascii="宋体" w:hAnsi="宋体" w:cs="宋体"/>
          <w:b/>
          <w:sz w:val="24"/>
        </w:rPr>
        <w:t>招标文件编号：</w:t>
      </w:r>
      <w:r>
        <w:rPr>
          <w:rFonts w:hint="eastAsia" w:ascii="宋体" w:hAnsi="宋体" w:cs="宋体"/>
          <w:sz w:val="24"/>
        </w:rPr>
        <w:t>BGZJ-ZC17330</w:t>
      </w:r>
    </w:p>
    <w:p>
      <w:pPr>
        <w:keepNext w:val="0"/>
        <w:keepLines w:val="0"/>
        <w:pageBreakBefore w:val="0"/>
        <w:numPr>
          <w:ilvl w:val="0"/>
          <w:numId w:val="2"/>
        </w:numPr>
        <w:kinsoku/>
        <w:wordWrap/>
        <w:overflowPunct/>
        <w:topLinePunct w:val="0"/>
        <w:autoSpaceDE/>
        <w:autoSpaceDN/>
        <w:bidi w:val="0"/>
        <w:spacing w:line="400" w:lineRule="exact"/>
        <w:ind w:firstLine="504" w:firstLineChars="209"/>
        <w:jc w:val="left"/>
        <w:textAlignment w:val="auto"/>
        <w:outlineLvl w:val="9"/>
        <w:rPr>
          <w:rFonts w:hint="eastAsia" w:ascii="宋体" w:hAnsi="宋体" w:cs="宋体"/>
          <w:sz w:val="24"/>
        </w:rPr>
      </w:pPr>
      <w:r>
        <w:rPr>
          <w:rFonts w:hint="eastAsia" w:ascii="宋体" w:hAnsi="宋体" w:cs="宋体"/>
          <w:b/>
          <w:sz w:val="24"/>
        </w:rPr>
        <w:t>采购方式：</w:t>
      </w:r>
      <w:r>
        <w:rPr>
          <w:rFonts w:hint="eastAsia" w:ascii="宋体" w:hAnsi="宋体" w:cs="宋体"/>
          <w:sz w:val="24"/>
        </w:rPr>
        <w:t>公开招标</w:t>
      </w:r>
    </w:p>
    <w:p>
      <w:pPr>
        <w:keepNext w:val="0"/>
        <w:keepLines w:val="0"/>
        <w:pageBreakBefore w:val="0"/>
        <w:widowControl/>
        <w:kinsoku/>
        <w:wordWrap/>
        <w:overflowPunct/>
        <w:topLinePunct w:val="0"/>
        <w:autoSpaceDE/>
        <w:autoSpaceDN/>
        <w:bidi w:val="0"/>
        <w:spacing w:line="400" w:lineRule="exact"/>
        <w:ind w:right="31" w:firstLine="482" w:firstLineChars="200"/>
        <w:jc w:val="left"/>
        <w:textAlignment w:val="auto"/>
        <w:outlineLvl w:val="9"/>
        <w:rPr>
          <w:rFonts w:hint="eastAsia" w:ascii="宋体" w:hAnsi="宋体" w:cs="宋体"/>
          <w:sz w:val="24"/>
        </w:rPr>
      </w:pPr>
      <w:r>
        <w:rPr>
          <w:rFonts w:hint="eastAsia" w:ascii="宋体" w:hAnsi="宋体" w:cs="宋体"/>
          <w:b/>
          <w:sz w:val="24"/>
        </w:rPr>
        <w:t>三、招标内容：</w:t>
      </w:r>
      <w:r>
        <w:rPr>
          <w:rFonts w:hint="eastAsia" w:ascii="宋体" w:hAnsi="宋体" w:cs="宋体"/>
          <w:sz w:val="24"/>
        </w:rPr>
        <w:t>（共一个包，</w:t>
      </w:r>
      <w:r>
        <w:rPr>
          <w:rFonts w:hint="eastAsia" w:ascii="宋体" w:hAnsi="宋体" w:cs="宋体"/>
          <w:kern w:val="0"/>
          <w:sz w:val="24"/>
        </w:rPr>
        <w:t>具体要求详见招标文件</w:t>
      </w:r>
      <w:r>
        <w:rPr>
          <w:rFonts w:hint="eastAsia" w:ascii="宋体" w:hAnsi="宋体" w:cs="宋体"/>
          <w:sz w:val="24"/>
        </w:rPr>
        <w:t>）</w:t>
      </w:r>
    </w:p>
    <w:p>
      <w:pPr>
        <w:keepNext w:val="0"/>
        <w:keepLines w:val="0"/>
        <w:pageBreakBefore w:val="0"/>
        <w:widowControl/>
        <w:kinsoku/>
        <w:wordWrap/>
        <w:overflowPunct/>
        <w:topLinePunct w:val="0"/>
        <w:autoSpaceDE/>
        <w:autoSpaceDN/>
        <w:bidi w:val="0"/>
        <w:spacing w:line="400" w:lineRule="exact"/>
        <w:ind w:right="31" w:firstLine="480" w:firstLineChars="200"/>
        <w:jc w:val="left"/>
        <w:textAlignment w:val="auto"/>
        <w:outlineLvl w:val="9"/>
        <w:rPr>
          <w:rFonts w:hint="eastAsia" w:ascii="宋体" w:hAnsi="宋体" w:cs="宋体"/>
          <w:sz w:val="24"/>
        </w:rPr>
      </w:pPr>
      <w:r>
        <w:rPr>
          <w:rFonts w:hint="eastAsia" w:ascii="宋体" w:hAnsi="宋体" w:cs="宋体"/>
          <w:sz w:val="24"/>
        </w:rPr>
        <w:t xml:space="preserve"> （一）招标内容：</w:t>
      </w:r>
    </w:p>
    <w:tbl>
      <w:tblPr>
        <w:tblStyle w:val="41"/>
        <w:tblW w:w="8294" w:type="dxa"/>
        <w:jc w:val="center"/>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270"/>
        <w:gridCol w:w="1373"/>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035"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品目号</w:t>
            </w:r>
          </w:p>
        </w:tc>
        <w:tc>
          <w:tcPr>
            <w:tcW w:w="3270"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货物名称</w:t>
            </w:r>
          </w:p>
        </w:tc>
        <w:tc>
          <w:tcPr>
            <w:tcW w:w="1373"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数量（套）</w:t>
            </w:r>
          </w:p>
        </w:tc>
        <w:tc>
          <w:tcPr>
            <w:tcW w:w="2616"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035"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3270"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全自动电位滴定仪</w:t>
            </w:r>
          </w:p>
        </w:tc>
        <w:tc>
          <w:tcPr>
            <w:tcW w:w="1373"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2616"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进口产品，已论证公示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035"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2</w:t>
            </w:r>
          </w:p>
        </w:tc>
        <w:tc>
          <w:tcPr>
            <w:tcW w:w="3270"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全自动脂肪浸提系统</w:t>
            </w:r>
          </w:p>
        </w:tc>
        <w:tc>
          <w:tcPr>
            <w:tcW w:w="1373"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2616" w:type="dxa"/>
            <w:vAlign w:val="center"/>
          </w:tcPr>
          <w:p>
            <w:pPr>
              <w:keepNext w:val="0"/>
              <w:keepLines w:val="0"/>
              <w:pageBreakBefore w:val="0"/>
              <w:widowControl/>
              <w:kinsoku/>
              <w:wordWrap/>
              <w:overflowPunct/>
              <w:topLinePunct w:val="0"/>
              <w:autoSpaceDE/>
              <w:autoSpaceDN/>
              <w:bidi w:val="0"/>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进口产品，已论证公示</w:t>
            </w:r>
          </w:p>
        </w:tc>
      </w:tr>
    </w:tbl>
    <w:p>
      <w:pPr>
        <w:keepNext w:val="0"/>
        <w:keepLines w:val="0"/>
        <w:pageBreakBefore w:val="0"/>
        <w:widowControl/>
        <w:kinsoku/>
        <w:wordWrap/>
        <w:overflowPunct/>
        <w:topLinePunct w:val="0"/>
        <w:autoSpaceDE/>
        <w:autoSpaceDN/>
        <w:bidi w:val="0"/>
        <w:spacing w:line="400" w:lineRule="exact"/>
        <w:ind w:right="31" w:firstLine="480" w:firstLineChars="200"/>
        <w:jc w:val="left"/>
        <w:textAlignment w:val="auto"/>
        <w:outlineLvl w:val="9"/>
        <w:rPr>
          <w:rFonts w:hint="eastAsia" w:ascii="宋体" w:hAnsi="宋体" w:cs="宋体"/>
          <w:sz w:val="24"/>
        </w:rPr>
      </w:pPr>
      <w:r>
        <w:rPr>
          <w:rFonts w:hint="eastAsia" w:ascii="宋体" w:hAnsi="宋体" w:cs="宋体"/>
          <w:sz w:val="24"/>
        </w:rPr>
        <w:t xml:space="preserve"> （二）采购预算：</w:t>
      </w:r>
      <w:r>
        <w:rPr>
          <w:rFonts w:hint="eastAsia" w:ascii="宋体" w:hAnsi="宋体" w:cs="宋体"/>
          <w:sz w:val="24"/>
          <w:lang w:eastAsia="zh-CN"/>
        </w:rPr>
        <w:t>人民币</w:t>
      </w:r>
      <w:r>
        <w:rPr>
          <w:rFonts w:hint="eastAsia" w:ascii="宋体" w:hAnsi="宋体" w:cs="宋体"/>
          <w:sz w:val="24"/>
          <w:lang w:val="en-US" w:eastAsia="zh-CN"/>
        </w:rPr>
        <w:t>141</w:t>
      </w:r>
      <w:r>
        <w:rPr>
          <w:rFonts w:hint="eastAsia" w:ascii="宋体" w:hAnsi="宋体" w:cs="宋体"/>
          <w:sz w:val="24"/>
        </w:rPr>
        <w:t>万元</w:t>
      </w:r>
    </w:p>
    <w:p>
      <w:pPr>
        <w:keepNext w:val="0"/>
        <w:keepLines w:val="0"/>
        <w:pageBreakBefore w:val="0"/>
        <w:widowControl/>
        <w:kinsoku/>
        <w:wordWrap/>
        <w:overflowPunct/>
        <w:topLinePunct w:val="0"/>
        <w:autoSpaceDE/>
        <w:autoSpaceDN/>
        <w:bidi w:val="0"/>
        <w:spacing w:line="400" w:lineRule="exact"/>
        <w:ind w:right="31" w:firstLine="480" w:firstLineChars="200"/>
        <w:jc w:val="left"/>
        <w:textAlignment w:val="auto"/>
        <w:outlineLvl w:val="9"/>
        <w:rPr>
          <w:rFonts w:hint="eastAsia" w:ascii="宋体" w:hAnsi="宋体" w:cs="宋体"/>
          <w:sz w:val="24"/>
        </w:rPr>
      </w:pPr>
      <w:r>
        <w:rPr>
          <w:rFonts w:hint="eastAsia" w:ascii="宋体" w:hAnsi="宋体" w:cs="宋体"/>
          <w:sz w:val="24"/>
        </w:rPr>
        <w:t xml:space="preserve"> （三）评审办法：综合评分法</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outlineLvl w:val="9"/>
        <w:rPr>
          <w:rFonts w:ascii="宋体" w:hAnsi="宋体"/>
          <w:b/>
          <w:sz w:val="24"/>
        </w:rPr>
      </w:pPr>
      <w:r>
        <w:rPr>
          <w:rFonts w:hint="eastAsia" w:ascii="宋体" w:hAnsi="宋体"/>
          <w:b/>
          <w:sz w:val="24"/>
        </w:rPr>
        <w:t>四、供应商资格要求：</w:t>
      </w:r>
    </w:p>
    <w:p>
      <w:pPr>
        <w:keepNext w:val="0"/>
        <w:keepLines w:val="0"/>
        <w:pageBreakBefore w:val="0"/>
        <w:kinsoku/>
        <w:wordWrap/>
        <w:overflowPunct/>
        <w:topLinePunct w:val="0"/>
        <w:autoSpaceDE/>
        <w:autoSpaceDN/>
        <w:bidi w:val="0"/>
        <w:adjustRightInd w:val="0"/>
        <w:snapToGrid w:val="0"/>
        <w:spacing w:line="400" w:lineRule="exact"/>
        <w:textAlignment w:val="auto"/>
        <w:outlineLvl w:val="9"/>
        <w:rPr>
          <w:rFonts w:ascii="宋体" w:hAnsi="宋体"/>
          <w:sz w:val="24"/>
        </w:rPr>
      </w:pPr>
      <w:r>
        <w:rPr>
          <w:rFonts w:hint="eastAsia" w:ascii="宋体" w:hAnsi="宋体"/>
          <w:sz w:val="24"/>
        </w:rPr>
        <w:t xml:space="preserve">     （一）符合《政府采购法》第二十二条规定；</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sz w:val="24"/>
        </w:rPr>
      </w:pPr>
      <w:r>
        <w:rPr>
          <w:rFonts w:hint="eastAsia" w:ascii="宋体" w:hAnsi="宋体"/>
          <w:sz w:val="24"/>
        </w:rPr>
        <w:t xml:space="preserve"> （二）提供营业执照、机构代码证、税务登记证副本</w:t>
      </w:r>
      <w:r>
        <w:rPr>
          <w:rFonts w:hint="eastAsia" w:ascii="宋体" w:hAnsi="宋体" w:cs="宋体"/>
          <w:sz w:val="24"/>
        </w:rPr>
        <w:t>（法人营业执照、税务登记证、 组织机构代码证已三证合一的，则需提供具有统一社会信用代码的营业执照副本）</w:t>
      </w:r>
      <w:r>
        <w:rPr>
          <w:rFonts w:hint="eastAsia" w:ascii="宋体" w:hAnsi="宋体"/>
          <w:sz w:val="24"/>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ascii="宋体" w:hAnsi="宋体"/>
          <w:sz w:val="24"/>
        </w:rPr>
      </w:pPr>
      <w:r>
        <w:rPr>
          <w:rFonts w:hint="eastAsia" w:ascii="宋体" w:hAnsi="宋体"/>
          <w:sz w:val="24"/>
        </w:rPr>
        <w:t xml:space="preserve"> （三）提供法人授权函，法定代表人身份证明及被授权人身份证明；</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ascii="宋体" w:hAnsi="宋体"/>
          <w:sz w:val="24"/>
        </w:rPr>
      </w:pPr>
      <w:r>
        <w:rPr>
          <w:rFonts w:hint="eastAsia" w:ascii="宋体" w:hAnsi="宋体"/>
          <w:sz w:val="24"/>
        </w:rPr>
        <w:t xml:space="preserve"> （四）提供由供应商住所地或者业务发生地市（州）、县（区）人民检察院出具的行贿犯罪档案查询结果告知函原件</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ascii="宋体" w:hAnsi="宋体"/>
          <w:sz w:val="24"/>
        </w:rPr>
      </w:pPr>
      <w:r>
        <w:rPr>
          <w:rFonts w:hint="eastAsia" w:ascii="宋体" w:hAnsi="宋体"/>
          <w:sz w:val="24"/>
        </w:rPr>
        <w:t xml:space="preserve"> （五）提供参加政府采购活动近</w:t>
      </w:r>
      <w:r>
        <w:rPr>
          <w:rFonts w:hint="eastAsia" w:ascii="宋体" w:hAnsi="宋体"/>
          <w:sz w:val="24"/>
          <w:lang w:eastAsia="zh-CN"/>
        </w:rPr>
        <w:t>三</w:t>
      </w:r>
      <w:r>
        <w:rPr>
          <w:rFonts w:hint="eastAsia" w:ascii="宋体" w:hAnsi="宋体"/>
          <w:sz w:val="24"/>
        </w:rPr>
        <w:t>年内无重大违法记录书面声明</w:t>
      </w:r>
      <w:r>
        <w:rPr>
          <w:rFonts w:hint="eastAsia" w:ascii="宋体" w:hAnsi="宋体"/>
          <w:sz w:val="24"/>
          <w:lang w:eastAsia="zh-CN"/>
        </w:rPr>
        <w:t>原件</w:t>
      </w:r>
      <w:r>
        <w:rPr>
          <w:rFonts w:hint="eastAsia" w:ascii="宋体" w:hAnsi="宋体"/>
          <w:sz w:val="24"/>
        </w:rPr>
        <w:t>；</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宋体"/>
          <w:sz w:val="24"/>
        </w:rPr>
      </w:pPr>
      <w:r>
        <w:rPr>
          <w:rFonts w:hint="eastAsia" w:ascii="宋体" w:hAnsi="宋体"/>
          <w:sz w:val="24"/>
        </w:rPr>
        <w:t xml:space="preserve"> （六）</w:t>
      </w:r>
      <w:r>
        <w:rPr>
          <w:rFonts w:hint="eastAsia" w:ascii="宋体" w:hAnsi="宋体" w:cs="宋体"/>
          <w:sz w:val="24"/>
        </w:rPr>
        <w:t xml:space="preserve">提供投标产品生产厂家针对本项目的专项授权函或区域总代理针对本项目的转授权函（提供转授权函的，还需提供生产厂家对区域总代理的授权函复印件且该复印件须加盖区域总代理公章）和生产厂家售后服务承诺函；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宋体"/>
          <w:sz w:val="24"/>
        </w:rPr>
      </w:pPr>
      <w:r>
        <w:rPr>
          <w:rFonts w:hint="eastAsia" w:ascii="宋体" w:hAnsi="宋体" w:cs="宋体"/>
          <w:sz w:val="24"/>
        </w:rPr>
        <w:t xml:space="preserve">  (七)</w:t>
      </w:r>
      <w:r>
        <w:rPr>
          <w:rFonts w:hint="eastAsia" w:ascii="宋体" w:hAnsi="宋体"/>
          <w:sz w:val="24"/>
        </w:rPr>
        <w:t>须提供</w:t>
      </w:r>
      <w:r>
        <w:rPr>
          <w:rFonts w:hint="eastAsia" w:ascii="宋体" w:hAnsi="宋体" w:cs="宋体"/>
          <w:kern w:val="0"/>
          <w:sz w:val="24"/>
        </w:rPr>
        <w:t>财务审计报告</w:t>
      </w:r>
      <w:r>
        <w:rPr>
          <w:rFonts w:hint="eastAsia" w:ascii="宋体" w:hAnsi="宋体"/>
          <w:sz w:val="24"/>
        </w:rPr>
        <w:t>，依法缴纳税收和社会保障资金的相关材料。</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hint="eastAsia" w:ascii="宋体" w:hAnsi="宋体" w:cs="宋体"/>
          <w:b/>
          <w:sz w:val="24"/>
        </w:rPr>
      </w:pPr>
      <w:r>
        <w:rPr>
          <w:rFonts w:hint="eastAsia" w:ascii="宋体" w:hAnsi="宋体" w:cs="宋体"/>
          <w:b/>
          <w:sz w:val="24"/>
        </w:rPr>
        <w:t xml:space="preserve">    五、网上报名时间：</w:t>
      </w:r>
    </w:p>
    <w:p>
      <w:pPr>
        <w:keepNext w:val="0"/>
        <w:keepLines w:val="0"/>
        <w:pageBreakBefore w:val="0"/>
        <w:kinsoku/>
        <w:wordWrap/>
        <w:overflowPunct/>
        <w:topLinePunct w:val="0"/>
        <w:autoSpaceDE/>
        <w:autoSpaceDN/>
        <w:bidi w:val="0"/>
        <w:adjustRightInd w:val="0"/>
        <w:snapToGrid w:val="0"/>
        <w:spacing w:line="400" w:lineRule="exact"/>
        <w:ind w:left="1" w:firstLine="720" w:firstLineChars="300"/>
        <w:textAlignment w:val="auto"/>
        <w:outlineLvl w:val="9"/>
        <w:rPr>
          <w:rFonts w:hint="eastAsia" w:ascii="宋体" w:hAnsi="宋体" w:cs="宋体"/>
          <w:sz w:val="24"/>
          <w:highlight w:val="yellow"/>
        </w:rPr>
      </w:pPr>
      <w:r>
        <w:rPr>
          <w:rFonts w:hint="eastAsia" w:ascii="宋体" w:hAnsi="宋体" w:cs="宋体"/>
          <w:sz w:val="24"/>
        </w:rPr>
        <w:t>2017年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日0：00至2017年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24</w:t>
      </w:r>
      <w:r>
        <w:rPr>
          <w:rFonts w:hint="eastAsia" w:ascii="宋体" w:hAnsi="宋体" w:cs="宋体"/>
          <w:sz w:val="24"/>
        </w:rPr>
        <w:t>日</w:t>
      </w:r>
      <w:r>
        <w:rPr>
          <w:rFonts w:hint="eastAsia" w:ascii="宋体" w:hAnsi="宋体" w:cs="宋体"/>
          <w:sz w:val="24"/>
          <w:lang w:val="en-US" w:eastAsia="zh-CN"/>
        </w:rPr>
        <w:t>23</w:t>
      </w:r>
      <w:r>
        <w:rPr>
          <w:rFonts w:hint="eastAsia" w:ascii="宋体" w:hAnsi="宋体" w:cs="宋体"/>
          <w:sz w:val="24"/>
        </w:rPr>
        <w:t>:</w:t>
      </w:r>
      <w:r>
        <w:rPr>
          <w:rFonts w:hint="eastAsia" w:ascii="宋体" w:hAnsi="宋体" w:cs="宋体"/>
          <w:sz w:val="24"/>
          <w:lang w:val="en-US" w:eastAsia="zh-CN"/>
        </w:rPr>
        <w:t>59</w:t>
      </w:r>
      <w:r>
        <w:rPr>
          <w:rFonts w:hint="eastAsia" w:ascii="宋体" w:hAnsi="宋体" w:cs="宋体"/>
          <w:sz w:val="24"/>
        </w:rPr>
        <w:t>，</w:t>
      </w:r>
      <w:r>
        <w:rPr>
          <w:rFonts w:hint="eastAsia" w:ascii="宋体" w:hAnsi="宋体"/>
          <w:color w:val="000000"/>
          <w:sz w:val="24"/>
        </w:rPr>
        <w:t>登录白银市公共资源交易网（http://www.bygzjy.cn）网上报名，不接受线下报名。</w:t>
      </w:r>
    </w:p>
    <w:p>
      <w:pPr>
        <w:keepNext w:val="0"/>
        <w:keepLines w:val="0"/>
        <w:pageBreakBefore w:val="0"/>
        <w:kinsoku/>
        <w:wordWrap/>
        <w:overflowPunct/>
        <w:topLinePunct w:val="0"/>
        <w:autoSpaceDE/>
        <w:autoSpaceDN/>
        <w:bidi w:val="0"/>
        <w:adjustRightInd w:val="0"/>
        <w:snapToGrid w:val="0"/>
        <w:spacing w:line="400" w:lineRule="exact"/>
        <w:ind w:firstLine="482" w:firstLineChars="200"/>
        <w:textAlignment w:val="auto"/>
        <w:outlineLvl w:val="9"/>
        <w:rPr>
          <w:rFonts w:hint="eastAsia" w:ascii="宋体" w:hAnsi="宋体" w:cs="宋体"/>
          <w:b/>
          <w:bCs/>
          <w:sz w:val="24"/>
        </w:rPr>
      </w:pPr>
      <w:r>
        <w:rPr>
          <w:rFonts w:hint="eastAsia" w:ascii="宋体" w:hAnsi="宋体" w:cs="宋体"/>
          <w:b/>
          <w:bCs/>
          <w:sz w:val="24"/>
        </w:rPr>
        <w:t>六、招标文件获取时间及地点：</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宋体"/>
          <w:bCs/>
          <w:sz w:val="24"/>
        </w:rPr>
      </w:pPr>
      <w:r>
        <w:rPr>
          <w:rFonts w:hint="eastAsia" w:ascii="宋体" w:hAnsi="宋体" w:cs="宋体"/>
          <w:bCs/>
          <w:sz w:val="24"/>
        </w:rPr>
        <w:t>（一）时间：</w:t>
      </w:r>
      <w:r>
        <w:rPr>
          <w:rFonts w:hint="eastAsia" w:ascii="宋体" w:hAnsi="宋体" w:cs="宋体"/>
          <w:sz w:val="24"/>
        </w:rPr>
        <w:t>2017年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r>
        <w:rPr>
          <w:rFonts w:hint="eastAsia" w:ascii="宋体" w:hAnsi="宋体" w:cs="宋体"/>
          <w:bCs/>
          <w:sz w:val="24"/>
        </w:rPr>
        <w:t>00时00分至</w:t>
      </w:r>
      <w:r>
        <w:rPr>
          <w:rFonts w:hint="eastAsia" w:ascii="宋体" w:hAnsi="宋体" w:cs="宋体"/>
          <w:sz w:val="24"/>
        </w:rPr>
        <w:t>2017年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24</w:t>
      </w:r>
      <w:r>
        <w:rPr>
          <w:rFonts w:hint="eastAsia" w:ascii="宋体" w:hAnsi="宋体" w:cs="宋体"/>
          <w:sz w:val="24"/>
        </w:rPr>
        <w:t>日</w:t>
      </w:r>
      <w:r>
        <w:rPr>
          <w:rFonts w:hint="eastAsia" w:ascii="宋体" w:hAnsi="宋体" w:cs="宋体"/>
          <w:bCs/>
          <w:sz w:val="24"/>
          <w:lang w:val="en-US" w:eastAsia="zh-CN"/>
        </w:rPr>
        <w:t>23</w:t>
      </w:r>
      <w:r>
        <w:rPr>
          <w:rFonts w:hint="eastAsia" w:ascii="宋体" w:hAnsi="宋体" w:cs="宋体"/>
          <w:bCs/>
          <w:sz w:val="24"/>
        </w:rPr>
        <w:t>时</w:t>
      </w:r>
      <w:r>
        <w:rPr>
          <w:rFonts w:hint="eastAsia" w:ascii="宋体" w:hAnsi="宋体" w:cs="宋体"/>
          <w:bCs/>
          <w:sz w:val="24"/>
          <w:lang w:val="en-US" w:eastAsia="zh-CN"/>
        </w:rPr>
        <w:t>59</w:t>
      </w:r>
      <w:r>
        <w:rPr>
          <w:rFonts w:hint="eastAsia" w:ascii="宋体" w:hAnsi="宋体" w:cs="宋体"/>
          <w:bCs/>
          <w:sz w:val="24"/>
        </w:rPr>
        <w:t>分。</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outlineLvl w:val="9"/>
        <w:rPr>
          <w:rFonts w:hint="eastAsia" w:ascii="宋体" w:hAnsi="宋体" w:cs="宋体"/>
          <w:bCs/>
          <w:sz w:val="24"/>
        </w:rPr>
      </w:pPr>
      <w:r>
        <w:rPr>
          <w:rFonts w:hint="eastAsia" w:ascii="宋体" w:hAnsi="宋体" w:cs="宋体"/>
          <w:bCs/>
          <w:sz w:val="24"/>
        </w:rPr>
        <w:t>（二）方式：登录《甘肃政府采购网站》或《白银市公共资源交易中心网站》自行免费下载。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cs="宋体"/>
          <w:bCs/>
          <w:sz w:val="24"/>
        </w:rPr>
      </w:pPr>
      <w:r>
        <w:rPr>
          <w:rFonts w:hint="eastAsia" w:ascii="宋体" w:hAnsi="宋体" w:cs="宋体"/>
          <w:bCs/>
          <w:sz w:val="24"/>
        </w:rPr>
        <w:t>（三）网址：甘肃政府采购网www.gszfcg.gansu.gov.cn；白银市公共资源交易中心网站www.bygzjy.cn。</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9"/>
        <w:rPr>
          <w:rFonts w:hint="eastAsia" w:ascii="宋体" w:hAnsi="宋体" w:cs="宋体"/>
          <w:b/>
          <w:sz w:val="24"/>
        </w:rPr>
      </w:pPr>
      <w:r>
        <w:rPr>
          <w:rFonts w:hint="eastAsia" w:ascii="宋体" w:hAnsi="宋体" w:cs="宋体"/>
          <w:b/>
          <w:sz w:val="24"/>
        </w:rPr>
        <w:t>七、投标截止时间、开标时间及地点：</w:t>
      </w:r>
    </w:p>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宋体" w:hAnsi="宋体" w:cs="宋体"/>
          <w:bCs/>
          <w:sz w:val="24"/>
        </w:rPr>
      </w:pPr>
      <w:r>
        <w:rPr>
          <w:rFonts w:hint="eastAsia" w:ascii="宋体" w:hAnsi="宋体" w:cs="宋体"/>
          <w:bCs/>
          <w:sz w:val="24"/>
        </w:rPr>
        <w:t xml:space="preserve">    （一）投标截止时间：2017年</w:t>
      </w:r>
      <w:r>
        <w:rPr>
          <w:rFonts w:hint="eastAsia" w:ascii="宋体" w:hAnsi="宋体" w:cs="宋体"/>
          <w:bCs/>
          <w:sz w:val="24"/>
          <w:lang w:val="en-US" w:eastAsia="zh-CN"/>
        </w:rPr>
        <w:t>9</w:t>
      </w:r>
      <w:r>
        <w:rPr>
          <w:rFonts w:hint="eastAsia" w:ascii="宋体" w:hAnsi="宋体" w:cs="宋体"/>
          <w:bCs/>
          <w:sz w:val="24"/>
        </w:rPr>
        <w:t>月</w:t>
      </w:r>
      <w:r>
        <w:rPr>
          <w:rFonts w:hint="eastAsia" w:ascii="宋体" w:hAnsi="宋体" w:cs="宋体"/>
          <w:bCs/>
          <w:sz w:val="24"/>
          <w:lang w:val="en-US" w:eastAsia="zh-CN"/>
        </w:rPr>
        <w:t>12</w:t>
      </w:r>
      <w:r>
        <w:rPr>
          <w:rFonts w:hint="eastAsia" w:ascii="宋体" w:hAnsi="宋体" w:cs="宋体"/>
          <w:bCs/>
          <w:sz w:val="24"/>
        </w:rPr>
        <w:t>日</w:t>
      </w:r>
      <w:r>
        <w:rPr>
          <w:rFonts w:hint="eastAsia" w:ascii="宋体" w:hAnsi="宋体" w:cs="宋体"/>
          <w:bCs/>
          <w:sz w:val="24"/>
          <w:lang w:val="en-US" w:eastAsia="zh-CN"/>
        </w:rPr>
        <w:t>09</w:t>
      </w:r>
      <w:r>
        <w:rPr>
          <w:rFonts w:hint="eastAsia" w:ascii="宋体" w:hAnsi="宋体" w:cs="宋体"/>
          <w:bCs/>
          <w:sz w:val="24"/>
        </w:rPr>
        <w:t>时</w:t>
      </w:r>
      <w:r>
        <w:rPr>
          <w:rFonts w:hint="eastAsia" w:ascii="宋体" w:hAnsi="宋体" w:cs="宋体"/>
          <w:bCs/>
          <w:sz w:val="24"/>
          <w:lang w:eastAsia="zh-CN"/>
        </w:rPr>
        <w:t>整</w:t>
      </w:r>
      <w:r>
        <w:rPr>
          <w:rFonts w:hint="eastAsia" w:ascii="宋体" w:hAnsi="宋体" w:cs="宋体"/>
          <w:bCs/>
          <w:sz w:val="24"/>
        </w:rPr>
        <w:t>（北京时间，逾期不予受理）</w:t>
      </w:r>
    </w:p>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宋体" w:hAnsi="宋体" w:cs="宋体"/>
          <w:bCs/>
          <w:sz w:val="24"/>
        </w:rPr>
      </w:pPr>
      <w:r>
        <w:rPr>
          <w:rFonts w:hint="eastAsia" w:ascii="宋体" w:hAnsi="宋体" w:cs="宋体"/>
          <w:bCs/>
          <w:sz w:val="24"/>
        </w:rPr>
        <w:t xml:space="preserve">    （二）开标时间：2017年</w:t>
      </w:r>
      <w:r>
        <w:rPr>
          <w:rFonts w:hint="eastAsia" w:ascii="宋体" w:hAnsi="宋体" w:cs="宋体"/>
          <w:bCs/>
          <w:sz w:val="24"/>
          <w:lang w:val="en-US" w:eastAsia="zh-CN"/>
        </w:rPr>
        <w:t>9</w:t>
      </w:r>
      <w:r>
        <w:rPr>
          <w:rFonts w:hint="eastAsia" w:ascii="宋体" w:hAnsi="宋体" w:cs="宋体"/>
          <w:bCs/>
          <w:sz w:val="24"/>
        </w:rPr>
        <w:t>月</w:t>
      </w:r>
      <w:r>
        <w:rPr>
          <w:rFonts w:hint="eastAsia" w:ascii="宋体" w:hAnsi="宋体" w:cs="宋体"/>
          <w:bCs/>
          <w:sz w:val="24"/>
          <w:lang w:val="en-US" w:eastAsia="zh-CN"/>
        </w:rPr>
        <w:t>12</w:t>
      </w:r>
      <w:r>
        <w:rPr>
          <w:rFonts w:hint="eastAsia" w:ascii="宋体" w:hAnsi="宋体" w:cs="宋体"/>
          <w:bCs/>
          <w:sz w:val="24"/>
        </w:rPr>
        <w:t>日</w:t>
      </w:r>
      <w:r>
        <w:rPr>
          <w:rFonts w:hint="eastAsia" w:ascii="宋体" w:hAnsi="宋体" w:cs="宋体"/>
          <w:bCs/>
          <w:sz w:val="24"/>
          <w:lang w:val="en-US" w:eastAsia="zh-CN"/>
        </w:rPr>
        <w:t>09</w:t>
      </w:r>
      <w:r>
        <w:rPr>
          <w:rFonts w:hint="eastAsia" w:ascii="宋体" w:hAnsi="宋体" w:cs="宋体"/>
          <w:bCs/>
          <w:sz w:val="24"/>
        </w:rPr>
        <w:t>时</w:t>
      </w:r>
      <w:r>
        <w:rPr>
          <w:rFonts w:hint="eastAsia" w:ascii="宋体" w:hAnsi="宋体" w:cs="宋体"/>
          <w:bCs/>
          <w:sz w:val="24"/>
          <w:lang w:eastAsia="zh-CN"/>
        </w:rPr>
        <w:t>整</w:t>
      </w:r>
      <w:r>
        <w:rPr>
          <w:rFonts w:hint="eastAsia" w:ascii="宋体" w:hAnsi="宋体" w:cs="宋体"/>
          <w:bCs/>
          <w:sz w:val="24"/>
        </w:rPr>
        <w:t>（北京时间，逾期不予受理）</w:t>
      </w:r>
    </w:p>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宋体" w:hAnsi="宋体" w:cs="宋体"/>
          <w:sz w:val="24"/>
          <w:highlight w:val="yellow"/>
        </w:rPr>
      </w:pPr>
      <w:r>
        <w:rPr>
          <w:rFonts w:hint="eastAsia" w:ascii="宋体" w:hAnsi="宋体" w:cs="宋体"/>
          <w:bCs/>
          <w:sz w:val="24"/>
        </w:rPr>
        <w:t xml:space="preserve">    （三）开标地点：白银市公共资源交易中心2楼西侧第</w:t>
      </w:r>
      <w:r>
        <w:rPr>
          <w:rFonts w:hint="eastAsia" w:ascii="宋体" w:hAnsi="宋体" w:cs="宋体"/>
          <w:bCs/>
          <w:sz w:val="24"/>
          <w:lang w:val="en-US" w:eastAsia="zh-CN"/>
        </w:rPr>
        <w:t>二</w:t>
      </w:r>
      <w:r>
        <w:rPr>
          <w:rFonts w:hint="eastAsia" w:ascii="宋体" w:hAnsi="宋体" w:cs="宋体"/>
          <w:bCs/>
          <w:sz w:val="24"/>
        </w:rPr>
        <w:t>开标室。</w:t>
      </w:r>
    </w:p>
    <w:p>
      <w:pPr>
        <w:keepNext w:val="0"/>
        <w:keepLines w:val="0"/>
        <w:pageBreakBefore w:val="0"/>
        <w:widowControl w:val="0"/>
        <w:kinsoku/>
        <w:wordWrap/>
        <w:overflowPunct/>
        <w:topLinePunct w:val="0"/>
        <w:autoSpaceDE/>
        <w:autoSpaceDN/>
        <w:bidi w:val="0"/>
        <w:spacing w:line="440" w:lineRule="exact"/>
        <w:jc w:val="left"/>
        <w:textAlignment w:val="auto"/>
        <w:outlineLvl w:val="9"/>
        <w:rPr>
          <w:rFonts w:hint="eastAsia" w:ascii="宋体" w:hAnsi="宋体" w:cs="宋体"/>
          <w:b/>
          <w:sz w:val="24"/>
        </w:rPr>
      </w:pPr>
      <w:r>
        <w:rPr>
          <w:rFonts w:hint="eastAsia" w:ascii="宋体" w:hAnsi="宋体" w:cs="宋体"/>
          <w:b/>
          <w:sz w:val="24"/>
        </w:rPr>
        <w:t xml:space="preserve">    八、其他说明：</w:t>
      </w:r>
    </w:p>
    <w:p>
      <w:pPr>
        <w:keepNext w:val="0"/>
        <w:keepLines w:val="0"/>
        <w:pageBreakBefore w:val="0"/>
        <w:widowControl w:val="0"/>
        <w:kinsoku/>
        <w:wordWrap/>
        <w:overflowPunct/>
        <w:topLinePunct w:val="0"/>
        <w:autoSpaceDE/>
        <w:autoSpaceDN/>
        <w:bidi w:val="0"/>
        <w:spacing w:line="440" w:lineRule="exact"/>
        <w:ind w:left="420" w:leftChars="200" w:firstLine="480"/>
        <w:jc w:val="left"/>
        <w:textAlignment w:val="auto"/>
        <w:outlineLvl w:val="9"/>
        <w:rPr>
          <w:rFonts w:hint="eastAsia" w:ascii="宋体" w:hAnsi="宋体" w:cs="宋体"/>
          <w:sz w:val="24"/>
        </w:rPr>
      </w:pPr>
      <w:r>
        <w:rPr>
          <w:rFonts w:hint="eastAsia" w:ascii="宋体" w:hAnsi="宋体" w:cs="宋体"/>
          <w:sz w:val="24"/>
        </w:rPr>
        <w:t>为了规范交易平台的业务流程以及给用户提供方便快捷的服务</w:t>
      </w:r>
      <w:r>
        <w:rPr>
          <w:rFonts w:hint="eastAsia" w:ascii="宋体" w:hAnsi="宋体" w:cs="宋体"/>
          <w:sz w:val="24"/>
          <w:lang w:val="en-US" w:eastAsia="zh-CN"/>
        </w:rPr>
        <w:t>,</w:t>
      </w:r>
      <w:r>
        <w:rPr>
          <w:rFonts w:hint="eastAsia" w:ascii="宋体" w:hAnsi="宋体" w:cs="宋体"/>
          <w:sz w:val="24"/>
        </w:rPr>
        <w:t>凡是拟参与白银市公共资源交易活动的招标人、招标代理机构、投标单位需先在白银市公共资源交易网上注册，</w:t>
      </w:r>
      <w:r>
        <w:rPr>
          <w:rFonts w:hint="eastAsia" w:ascii="宋体" w:hAnsi="宋体" w:cs="宋体"/>
          <w:sz w:val="24"/>
          <w:lang w:eastAsia="zh-CN"/>
        </w:rPr>
        <w:t>注册信息审核通过后，</w:t>
      </w:r>
      <w:r>
        <w:rPr>
          <w:rFonts w:hint="eastAsia" w:ascii="宋体" w:hAnsi="宋体" w:cs="宋体"/>
          <w:sz w:val="24"/>
        </w:rPr>
        <w:t>方可</w:t>
      </w:r>
      <w:r>
        <w:rPr>
          <w:rFonts w:hint="eastAsia" w:ascii="宋体" w:hAnsi="宋体" w:cs="宋体"/>
          <w:sz w:val="24"/>
          <w:lang w:eastAsia="zh-CN"/>
        </w:rPr>
        <w:t>登录系统进行项目投标</w:t>
      </w:r>
      <w:r>
        <w:rPr>
          <w:rFonts w:hint="eastAsia" w:ascii="宋体" w:hAnsi="宋体" w:cs="宋体"/>
          <w:sz w:val="24"/>
        </w:rPr>
        <w:t>登记，投标“登记号”系统会实时发送到投标人手机。</w:t>
      </w:r>
    </w:p>
    <w:p>
      <w:pPr>
        <w:keepNext w:val="0"/>
        <w:keepLines w:val="0"/>
        <w:pageBreakBefore w:val="0"/>
        <w:widowControl w:val="0"/>
        <w:kinsoku/>
        <w:wordWrap/>
        <w:overflowPunct/>
        <w:topLinePunct w:val="0"/>
        <w:autoSpaceDE/>
        <w:autoSpaceDN/>
        <w:bidi w:val="0"/>
        <w:spacing w:line="440" w:lineRule="exact"/>
        <w:ind w:left="420" w:leftChars="200" w:firstLine="480"/>
        <w:jc w:val="left"/>
        <w:textAlignment w:val="auto"/>
        <w:outlineLvl w:val="9"/>
        <w:rPr>
          <w:rFonts w:hint="eastAsia" w:ascii="宋体" w:hAnsi="宋体" w:cs="宋体"/>
          <w:sz w:val="24"/>
        </w:rPr>
      </w:pPr>
      <w:r>
        <w:rPr>
          <w:rFonts w:hint="eastAsia" w:ascii="宋体" w:hAnsi="宋体" w:cs="宋体"/>
          <w:sz w:val="24"/>
          <w:lang w:eastAsia="zh-CN"/>
        </w:rPr>
        <w:t>注：填写信息必须真实有效。若有问题，请电话咨询：</w:t>
      </w:r>
      <w:r>
        <w:rPr>
          <w:rFonts w:hint="eastAsia" w:ascii="宋体" w:hAnsi="宋体" w:cs="宋体"/>
          <w:sz w:val="24"/>
        </w:rPr>
        <w:t>0943-8287909。</w:t>
      </w:r>
    </w:p>
    <w:p>
      <w:pPr>
        <w:keepNext w:val="0"/>
        <w:keepLines w:val="0"/>
        <w:pageBreakBefore w:val="0"/>
        <w:widowControl w:val="0"/>
        <w:kinsoku/>
        <w:wordWrap/>
        <w:overflowPunct/>
        <w:topLinePunct w:val="0"/>
        <w:autoSpaceDE/>
        <w:autoSpaceDN/>
        <w:bidi w:val="0"/>
        <w:spacing w:line="440" w:lineRule="exact"/>
        <w:ind w:firstLine="482" w:firstLineChars="200"/>
        <w:jc w:val="left"/>
        <w:textAlignment w:val="auto"/>
        <w:outlineLvl w:val="9"/>
        <w:rPr>
          <w:rFonts w:hint="eastAsia" w:ascii="宋体" w:hAnsi="宋体" w:cs="宋体"/>
          <w:b/>
          <w:sz w:val="24"/>
        </w:rPr>
      </w:pPr>
      <w:r>
        <w:rPr>
          <w:rFonts w:hint="eastAsia" w:ascii="宋体" w:hAnsi="宋体" w:cs="宋体"/>
          <w:b/>
          <w:sz w:val="24"/>
        </w:rPr>
        <w:t>九、投标保证金递交截止时间：递交投标文件截止前。</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（一）投标保证金提交方式为银行电汇，不接受其他方式的投标保证金。</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（二）投标人必须从基本账户以电汇方式提交保证金，且投标保证金单位名称必须与投标人登记的单位名称一致，不得以分公司、办事处或其他机构名义递交。</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三）投标人在办理投标保证金电汇手续时，在银行电汇单附言栏上必须且只填写投标保证金对应的投标项目标段（包）的8位数字登记号。在汇款单附言栏内不填或错填投标“登记号”，交易系统无法识别保证金所对应的项目标段（包）的，将导致投标无效；未按标段（包）逐笔递交保证金的，将导致投标无效。</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投标保证金其他问题，可登录白银市公共资源交易中心网站查看“网上缴纳投标保证金操作指南”。</w:t>
      </w:r>
    </w:p>
    <w:p>
      <w:pPr>
        <w:keepNext w:val="0"/>
        <w:keepLines w:val="0"/>
        <w:pageBreakBefore w:val="0"/>
        <w:widowControl w:val="0"/>
        <w:kinsoku/>
        <w:wordWrap/>
        <w:overflowPunct/>
        <w:topLinePunct w:val="0"/>
        <w:autoSpaceDE/>
        <w:autoSpaceDN/>
        <w:bidi w:val="0"/>
        <w:spacing w:line="440" w:lineRule="exact"/>
        <w:ind w:firstLine="482" w:firstLineChars="200"/>
        <w:jc w:val="left"/>
        <w:textAlignment w:val="auto"/>
        <w:outlineLvl w:val="9"/>
        <w:rPr>
          <w:rFonts w:hint="eastAsia" w:ascii="宋体" w:hAnsi="宋体" w:cs="宋体"/>
          <w:b/>
          <w:sz w:val="24"/>
        </w:rPr>
      </w:pPr>
      <w:r>
        <w:rPr>
          <w:rFonts w:hint="eastAsia" w:ascii="宋体" w:hAnsi="宋体" w:cs="宋体"/>
          <w:b/>
          <w:sz w:val="24"/>
        </w:rPr>
        <w:t>十、采购项目联系人及电话：</w:t>
      </w:r>
    </w:p>
    <w:p>
      <w:pPr>
        <w:keepNext w:val="0"/>
        <w:keepLines w:val="0"/>
        <w:pageBreakBefore w:val="0"/>
        <w:widowControl w:val="0"/>
        <w:kinsoku/>
        <w:wordWrap/>
        <w:overflowPunct/>
        <w:topLinePunct w:val="0"/>
        <w:autoSpaceDE/>
        <w:autoSpaceDN/>
        <w:bidi w:val="0"/>
        <w:spacing w:line="440" w:lineRule="exact"/>
        <w:ind w:right="-143" w:rightChars="-68" w:firstLine="480" w:firstLineChars="200"/>
        <w:textAlignment w:val="auto"/>
        <w:outlineLvl w:val="9"/>
        <w:rPr>
          <w:rFonts w:hint="eastAsia" w:ascii="宋体" w:hAnsi="宋体" w:cs="宋体"/>
          <w:color w:val="000000"/>
          <w:sz w:val="24"/>
        </w:rPr>
      </w:pPr>
      <w:r>
        <w:rPr>
          <w:rFonts w:hint="eastAsia" w:ascii="宋体" w:hAnsi="宋体" w:cs="宋体"/>
          <w:sz w:val="24"/>
        </w:rPr>
        <w:t xml:space="preserve">  采购单位：</w:t>
      </w:r>
      <w:r>
        <w:rPr>
          <w:rFonts w:hint="eastAsia" w:ascii="宋体" w:hAnsi="宋体" w:cs="宋体"/>
          <w:sz w:val="24"/>
          <w:lang w:eastAsia="zh-CN"/>
        </w:rPr>
        <w:t>白银市食品检验检测中心</w:t>
      </w:r>
    </w:p>
    <w:p>
      <w:pPr>
        <w:keepNext w:val="0"/>
        <w:keepLines w:val="0"/>
        <w:pageBreakBefore w:val="0"/>
        <w:widowControl w:val="0"/>
        <w:kinsoku/>
        <w:wordWrap/>
        <w:overflowPunct/>
        <w:topLinePunct w:val="0"/>
        <w:autoSpaceDE/>
        <w:autoSpaceDN/>
        <w:bidi w:val="0"/>
        <w:spacing w:line="440" w:lineRule="exact"/>
        <w:ind w:right="-143" w:rightChars="-68" w:firstLine="480" w:firstLineChars="200"/>
        <w:textAlignment w:val="auto"/>
        <w:outlineLvl w:val="9"/>
        <w:rPr>
          <w:rFonts w:hint="eastAsia" w:ascii="宋体" w:hAnsi="宋体" w:cs="宋体"/>
          <w:sz w:val="24"/>
        </w:rPr>
      </w:pPr>
      <w:r>
        <w:rPr>
          <w:rFonts w:hint="eastAsia" w:ascii="宋体" w:hAnsi="宋体" w:cs="宋体"/>
          <w:sz w:val="24"/>
        </w:rPr>
        <w:t xml:space="preserve">  联 系 人：</w:t>
      </w:r>
      <w:r>
        <w:rPr>
          <w:rFonts w:hint="eastAsia" w:ascii="宋体" w:hAnsi="宋体"/>
          <w:sz w:val="24"/>
          <w:szCs w:val="24"/>
          <w:lang w:eastAsia="zh-CN"/>
        </w:rPr>
        <w:t>寇宗红</w:t>
      </w:r>
      <w:r>
        <w:rPr>
          <w:rFonts w:hint="eastAsia" w:ascii="宋体" w:hAnsi="宋体" w:cs="宋体"/>
          <w:sz w:val="24"/>
        </w:rPr>
        <w:t xml:space="preserve">      联系电话：</w:t>
      </w:r>
      <w:r>
        <w:rPr>
          <w:rFonts w:hint="eastAsia" w:ascii="宋体" w:hAnsi="宋体"/>
          <w:sz w:val="24"/>
          <w:szCs w:val="24"/>
          <w:lang w:val="en-US" w:eastAsia="zh-CN"/>
        </w:rPr>
        <w:t>18794371268</w:t>
      </w:r>
    </w:p>
    <w:p>
      <w:pPr>
        <w:keepNext w:val="0"/>
        <w:keepLines w:val="0"/>
        <w:pageBreakBefore w:val="0"/>
        <w:widowControl w:val="0"/>
        <w:kinsoku/>
        <w:wordWrap/>
        <w:overflowPunct/>
        <w:topLinePunct w:val="0"/>
        <w:autoSpaceDE/>
        <w:autoSpaceDN/>
        <w:bidi w:val="0"/>
        <w:spacing w:line="440" w:lineRule="exact"/>
        <w:ind w:right="-143" w:rightChars="-68" w:firstLine="480" w:firstLineChars="200"/>
        <w:textAlignment w:val="auto"/>
        <w:outlineLvl w:val="9"/>
        <w:rPr>
          <w:rFonts w:hint="eastAsia" w:ascii="宋体" w:hAnsi="宋体" w:cs="宋体"/>
          <w:color w:val="000000"/>
          <w:kern w:val="0"/>
          <w:sz w:val="24"/>
        </w:rPr>
      </w:pPr>
      <w:r>
        <w:rPr>
          <w:rFonts w:hint="eastAsia" w:ascii="宋体" w:hAnsi="宋体" w:cs="宋体"/>
          <w:color w:val="000000"/>
          <w:kern w:val="0"/>
          <w:sz w:val="24"/>
        </w:rPr>
        <w:t xml:space="preserve">  代理机构：</w:t>
      </w:r>
      <w:r>
        <w:rPr>
          <w:rFonts w:hint="eastAsia" w:ascii="宋体" w:hAnsi="宋体" w:cs="宋体"/>
          <w:color w:val="000000"/>
          <w:sz w:val="24"/>
          <w:lang w:eastAsia="zh-CN"/>
        </w:rPr>
        <w:t>中招国际招标有限公司甘肃分公司</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color w:val="000000"/>
          <w:kern w:val="0"/>
          <w:sz w:val="24"/>
        </w:rPr>
        <w:t xml:space="preserve">  联 系 人：</w:t>
      </w:r>
      <w:r>
        <w:rPr>
          <w:rFonts w:hint="eastAsia" w:ascii="宋体" w:hAnsi="宋体" w:cs="宋体"/>
          <w:color w:val="000000"/>
          <w:kern w:val="0"/>
          <w:sz w:val="24"/>
          <w:lang w:eastAsia="zh-CN"/>
        </w:rPr>
        <w:t>杨</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eastAsia="zh-CN"/>
        </w:rPr>
        <w:t>琴</w:t>
      </w:r>
      <w:r>
        <w:rPr>
          <w:rFonts w:hint="eastAsia" w:ascii="宋体" w:hAnsi="宋体" w:cs="宋体"/>
          <w:color w:val="000000"/>
          <w:kern w:val="0"/>
          <w:sz w:val="24"/>
        </w:rPr>
        <w:t xml:space="preserve">     联系电话：</w:t>
      </w:r>
      <w:r>
        <w:rPr>
          <w:rFonts w:hint="eastAsia" w:ascii="宋体" w:hAnsi="宋体" w:cs="宋体"/>
          <w:sz w:val="24"/>
          <w:lang w:eastAsia="zh-CN"/>
        </w:rPr>
        <w:t>15294210898</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 xml:space="preserve">  白银市公共资源交易中心：</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outlineLvl w:val="9"/>
        <w:rPr>
          <w:rFonts w:hint="eastAsia" w:ascii="宋体" w:hAnsi="宋体" w:cs="宋体"/>
          <w:sz w:val="24"/>
        </w:rPr>
      </w:pPr>
      <w:r>
        <w:rPr>
          <w:rFonts w:hint="eastAsia" w:ascii="宋体" w:hAnsi="宋体" w:cs="宋体"/>
          <w:sz w:val="24"/>
        </w:rPr>
        <w:t xml:space="preserve">  联 系 人：</w:t>
      </w:r>
      <w:r>
        <w:rPr>
          <w:rFonts w:hint="eastAsia" w:ascii="宋体" w:hAnsi="宋体" w:cs="宋体"/>
          <w:sz w:val="24"/>
          <w:lang w:eastAsia="zh-CN"/>
        </w:rPr>
        <w:t>付</w:t>
      </w:r>
      <w:r>
        <w:rPr>
          <w:rFonts w:hint="eastAsia" w:ascii="宋体" w:hAnsi="宋体" w:cs="宋体"/>
          <w:sz w:val="24"/>
          <w:lang w:val="en-US" w:eastAsia="zh-CN"/>
        </w:rPr>
        <w:t xml:space="preserve"> </w:t>
      </w:r>
      <w:r>
        <w:rPr>
          <w:rFonts w:hint="eastAsia" w:ascii="宋体" w:hAnsi="宋体" w:cs="宋体"/>
          <w:sz w:val="24"/>
          <w:lang w:eastAsia="zh-CN"/>
        </w:rPr>
        <w:t>蓉</w:t>
      </w:r>
      <w:r>
        <w:rPr>
          <w:rFonts w:hint="eastAsia" w:ascii="宋体" w:hAnsi="宋体" w:cs="宋体"/>
          <w:sz w:val="24"/>
        </w:rPr>
        <w:t xml:space="preserve">      联系电话：0943-82879</w:t>
      </w:r>
      <w:r>
        <w:rPr>
          <w:rFonts w:hint="eastAsia" w:ascii="宋体" w:hAnsi="宋体" w:cs="宋体"/>
          <w:sz w:val="24"/>
          <w:lang w:val="en-US" w:eastAsia="zh-CN"/>
        </w:rPr>
        <w:t>00</w:t>
      </w:r>
    </w:p>
    <w:p>
      <w:pPr>
        <w:keepNext w:val="0"/>
        <w:keepLines w:val="0"/>
        <w:pageBreakBefore w:val="0"/>
        <w:widowControl w:val="0"/>
        <w:kinsoku/>
        <w:wordWrap/>
        <w:overflowPunct/>
        <w:topLinePunct w:val="0"/>
        <w:autoSpaceDE/>
        <w:autoSpaceDN/>
        <w:bidi w:val="0"/>
        <w:spacing w:line="440" w:lineRule="exact"/>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spacing w:line="440" w:lineRule="exact"/>
        <w:ind w:firstLine="480" w:firstLineChars="200"/>
        <w:jc w:val="right"/>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spacing w:line="440" w:lineRule="exact"/>
        <w:ind w:firstLine="480" w:firstLineChars="200"/>
        <w:jc w:val="right"/>
        <w:textAlignment w:val="auto"/>
        <w:outlineLvl w:val="9"/>
        <w:rPr>
          <w:rFonts w:hint="eastAsia" w:ascii="宋体" w:hAnsi="宋体" w:eastAsia="宋体" w:cs="宋体"/>
          <w:sz w:val="24"/>
          <w:lang w:eastAsia="zh-CN"/>
        </w:rPr>
      </w:pPr>
      <w:r>
        <w:rPr>
          <w:rFonts w:hint="eastAsia" w:ascii="宋体" w:hAnsi="宋体" w:cs="宋体"/>
          <w:sz w:val="24"/>
          <w:lang w:eastAsia="zh-CN"/>
        </w:rPr>
        <w:t>中招国际招标有限公司甘肃分公司</w:t>
      </w:r>
    </w:p>
    <w:p>
      <w:pPr>
        <w:keepNext w:val="0"/>
        <w:keepLines w:val="0"/>
        <w:pageBreakBefore w:val="0"/>
        <w:widowControl w:val="0"/>
        <w:kinsoku/>
        <w:wordWrap/>
        <w:overflowPunct/>
        <w:topLinePunct w:val="0"/>
        <w:autoSpaceDE/>
        <w:autoSpaceDN/>
        <w:bidi w:val="0"/>
        <w:spacing w:line="440" w:lineRule="exact"/>
        <w:textAlignment w:val="auto"/>
        <w:outlineLvl w:val="9"/>
        <w:rPr>
          <w:rFonts w:hint="eastAsia" w:ascii="宋体" w:hAnsi="宋体" w:cs="宋体"/>
          <w:sz w:val="24"/>
        </w:rPr>
      </w:pP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spacing w:line="440" w:lineRule="exact"/>
        <w:textAlignment w:val="auto"/>
        <w:outlineLvl w:val="9"/>
        <w:rPr>
          <w:rFonts w:hint="eastAsia" w:ascii="宋体" w:hAnsi="宋体" w:cs="宋体"/>
          <w:sz w:val="24"/>
        </w:rPr>
      </w:pPr>
      <w:r>
        <w:rPr>
          <w:rFonts w:hint="eastAsia" w:ascii="宋体" w:hAnsi="宋体" w:cs="宋体"/>
          <w:sz w:val="24"/>
        </w:rPr>
        <w:t xml:space="preserve">                                                           2017年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17</w:t>
      </w:r>
      <w:r>
        <w:rPr>
          <w:rFonts w:hint="eastAsia" w:ascii="宋体" w:hAnsi="宋体" w:cs="宋体"/>
          <w:sz w:val="24"/>
        </w:rPr>
        <w:t>日</w:t>
      </w:r>
    </w:p>
    <w:p>
      <w:pPr>
        <w:keepNext w:val="0"/>
        <w:keepLines w:val="0"/>
        <w:pageBreakBefore w:val="0"/>
        <w:kinsoku/>
        <w:wordWrap/>
        <w:overflowPunct/>
        <w:topLinePunct w:val="0"/>
        <w:autoSpaceDE/>
        <w:autoSpaceDN/>
        <w:bidi w:val="0"/>
        <w:spacing w:line="400" w:lineRule="exact"/>
        <w:textAlignment w:val="auto"/>
        <w:outlineLvl w:val="9"/>
        <w:rPr>
          <w:rFonts w:hint="eastAsia" w:ascii="宋体" w:hAnsi="宋体" w:cs="宋体"/>
          <w:sz w:val="24"/>
        </w:rPr>
      </w:pPr>
      <w:r>
        <w:rPr>
          <w:rFonts w:hint="eastAsia" w:ascii="宋体" w:hAnsi="宋体" w:cs="宋体"/>
          <w:sz w:val="24"/>
        </w:rPr>
        <w:br w:type="page"/>
      </w:r>
    </w:p>
    <w:p>
      <w:pPr>
        <w:keepNext w:val="0"/>
        <w:keepLines w:val="0"/>
        <w:pageBreakBefore w:val="0"/>
        <w:kinsoku/>
        <w:wordWrap/>
        <w:overflowPunct/>
        <w:topLinePunct w:val="0"/>
        <w:autoSpaceDE/>
        <w:autoSpaceDN/>
        <w:bidi w:val="0"/>
        <w:spacing w:line="400" w:lineRule="exact"/>
        <w:textAlignment w:val="auto"/>
        <w:outlineLvl w:val="9"/>
        <w:rPr>
          <w:rFonts w:hint="eastAsia" w:ascii="宋体" w:hAnsi="宋体" w:cs="宋体"/>
          <w:sz w:val="24"/>
        </w:rPr>
      </w:pPr>
    </w:p>
    <w:p>
      <w:pPr>
        <w:pStyle w:val="2"/>
        <w:rPr>
          <w:rFonts w:hint="eastAsia"/>
          <w:color w:val="000000"/>
        </w:rPr>
      </w:pPr>
      <w:bookmarkStart w:id="5" w:name="_Toc453596787"/>
      <w:r>
        <w:rPr>
          <w:rFonts w:hint="eastAsia"/>
          <w:color w:val="000000"/>
        </w:rPr>
        <w:t>投标须知</w:t>
      </w:r>
      <w:bookmarkEnd w:id="2"/>
      <w:bookmarkEnd w:id="3"/>
      <w:bookmarkEnd w:id="4"/>
      <w:r>
        <w:rPr>
          <w:rFonts w:hint="eastAsia"/>
          <w:color w:val="000000"/>
        </w:rPr>
        <w:t>前附表</w:t>
      </w:r>
      <w:bookmarkEnd w:id="5"/>
    </w:p>
    <w:p>
      <w:pPr>
        <w:ind w:firstLine="360" w:firstLineChars="150"/>
        <w:rPr>
          <w:rFonts w:hint="eastAsia" w:ascii="宋体" w:hAnsi="宋体"/>
          <w:color w:val="000000"/>
          <w:sz w:val="24"/>
        </w:rPr>
      </w:pPr>
      <w:r>
        <w:rPr>
          <w:rFonts w:hint="eastAsia" w:ascii="宋体" w:hAnsi="宋体"/>
          <w:color w:val="000000"/>
          <w:sz w:val="24"/>
        </w:rPr>
        <w:t>下述关于要采购的货物的具体资料是对投标须知的具体补充和修改，如果有矛盾的话，应以本资料表为准。</w:t>
      </w:r>
    </w:p>
    <w:tbl>
      <w:tblPr>
        <w:tblStyle w:val="40"/>
        <w:tblW w:w="9946" w:type="dxa"/>
        <w:tblInd w:w="-102"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53"/>
        <w:gridCol w:w="9193"/>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53" w:type="dxa"/>
            <w:vAlign w:val="center"/>
          </w:tcPr>
          <w:p>
            <w:pPr>
              <w:keepNext w:val="0"/>
              <w:keepLines w:val="0"/>
              <w:pageBreakBefore w:val="0"/>
              <w:kinsoku/>
              <w:wordWrap/>
              <w:overflowPunct/>
              <w:topLinePunct w:val="0"/>
              <w:bidi w:val="0"/>
              <w:snapToGrid/>
              <w:spacing w:line="400" w:lineRule="exact"/>
              <w:jc w:val="center"/>
              <w:textAlignment w:val="auto"/>
              <w:rPr>
                <w:rFonts w:ascii="宋体" w:hAnsi="宋体"/>
                <w:b/>
                <w:color w:val="000000"/>
                <w:sz w:val="24"/>
              </w:rPr>
            </w:pPr>
            <w:r>
              <w:rPr>
                <w:rFonts w:ascii="宋体" w:hAnsi="宋体"/>
                <w:b/>
                <w:color w:val="000000"/>
                <w:sz w:val="24"/>
              </w:rPr>
              <w:t>序号</w:t>
            </w:r>
          </w:p>
        </w:tc>
        <w:tc>
          <w:tcPr>
            <w:tcW w:w="9193" w:type="dxa"/>
            <w:vAlign w:val="center"/>
          </w:tcPr>
          <w:p>
            <w:pPr>
              <w:keepNext w:val="0"/>
              <w:keepLines w:val="0"/>
              <w:pageBreakBefore w:val="0"/>
              <w:kinsoku/>
              <w:wordWrap/>
              <w:overflowPunct/>
              <w:topLinePunct w:val="0"/>
              <w:bidi w:val="0"/>
              <w:snapToGrid/>
              <w:spacing w:line="400" w:lineRule="exact"/>
              <w:ind w:firstLine="482" w:firstLineChars="200"/>
              <w:jc w:val="center"/>
              <w:textAlignment w:val="auto"/>
              <w:rPr>
                <w:rFonts w:ascii="宋体" w:hAnsi="宋体"/>
                <w:b/>
                <w:color w:val="000000"/>
                <w:sz w:val="24"/>
              </w:rPr>
            </w:pPr>
            <w:r>
              <w:rPr>
                <w:rFonts w:ascii="宋体" w:hAnsi="宋体"/>
                <w:b/>
                <w:color w:val="000000"/>
                <w:sz w:val="24"/>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tcPr>
          <w:p>
            <w:pPr>
              <w:keepNext w:val="0"/>
              <w:keepLines w:val="0"/>
              <w:pageBreakBefore w:val="0"/>
              <w:kinsoku/>
              <w:wordWrap/>
              <w:overflowPunct/>
              <w:topLinePunct w:val="0"/>
              <w:bidi w:val="0"/>
              <w:snapToGrid/>
              <w:spacing w:line="400" w:lineRule="exact"/>
              <w:textAlignment w:val="auto"/>
              <w:rPr>
                <w:rFonts w:hint="eastAsia" w:ascii="宋体" w:hAnsi="宋体"/>
                <w:color w:val="000000"/>
                <w:sz w:val="24"/>
              </w:rPr>
            </w:pPr>
            <w:r>
              <w:rPr>
                <w:rFonts w:ascii="宋体" w:hAnsi="宋体"/>
                <w:color w:val="000000"/>
                <w:sz w:val="24"/>
              </w:rPr>
              <w:t>综合说明</w:t>
            </w:r>
            <w:r>
              <w:rPr>
                <w:rFonts w:hint="eastAsia" w:ascii="宋体" w:hAnsi="宋体"/>
                <w:color w:val="000000"/>
                <w:sz w:val="24"/>
              </w:rPr>
              <w:t>：</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000000"/>
                <w:sz w:val="24"/>
              </w:rPr>
            </w:pPr>
            <w:r>
              <w:rPr>
                <w:rFonts w:hint="eastAsia" w:ascii="宋体" w:hAnsi="宋体"/>
                <w:color w:val="000000"/>
                <w:sz w:val="24"/>
              </w:rPr>
              <w:t>1）项目</w:t>
            </w:r>
            <w:r>
              <w:rPr>
                <w:rFonts w:ascii="宋体" w:hAnsi="宋体"/>
                <w:color w:val="000000"/>
                <w:sz w:val="24"/>
              </w:rPr>
              <w:t>名称：</w:t>
            </w:r>
            <w:r>
              <w:rPr>
                <w:rFonts w:hint="eastAsia" w:ascii="宋体" w:hAnsi="宋体"/>
                <w:color w:val="000000"/>
                <w:sz w:val="24"/>
              </w:rPr>
              <w:t>白银市食品检验检测中心食品检（监）测能力建设项目</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sz w:val="24"/>
              </w:rPr>
            </w:pPr>
            <w:r>
              <w:rPr>
                <w:rFonts w:hint="eastAsia" w:ascii="宋体" w:hAnsi="宋体"/>
                <w:sz w:val="24"/>
              </w:rPr>
              <w:t>2）</w:t>
            </w:r>
            <w:r>
              <w:rPr>
                <w:rFonts w:ascii="宋体" w:hAnsi="宋体"/>
                <w:sz w:val="24"/>
              </w:rPr>
              <w:t>招标内容：</w:t>
            </w:r>
          </w:p>
          <w:tbl>
            <w:tblPr>
              <w:tblStyle w:val="41"/>
              <w:tblW w:w="8624" w:type="dxa"/>
              <w:jc w:val="center"/>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3328"/>
              <w:gridCol w:w="1355"/>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3" w:type="dxa"/>
                  <w:textDirection w:val="lrTb"/>
                  <w:vAlign w:val="center"/>
                </w:tcPr>
                <w:p>
                  <w:pPr>
                    <w:keepNext w:val="0"/>
                    <w:keepLines w:val="0"/>
                    <w:pageBreakBefore w:val="0"/>
                    <w:widowControl/>
                    <w:kinsoku/>
                    <w:wordWrap/>
                    <w:overflowPunct/>
                    <w:topLinePunct w:val="0"/>
                    <w:autoSpaceDE/>
                    <w:autoSpaceDN/>
                    <w:bidi w:val="0"/>
                    <w:snapToGrid/>
                    <w:spacing w:line="400" w:lineRule="exact"/>
                    <w:ind w:right="31" w:rightChars="0"/>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品目号</w:t>
                  </w:r>
                </w:p>
              </w:tc>
              <w:tc>
                <w:tcPr>
                  <w:tcW w:w="3328" w:type="dxa"/>
                  <w:textDirection w:val="lrTb"/>
                  <w:vAlign w:val="center"/>
                </w:tcPr>
                <w:p>
                  <w:pPr>
                    <w:keepNext w:val="0"/>
                    <w:keepLines w:val="0"/>
                    <w:pageBreakBefore w:val="0"/>
                    <w:widowControl/>
                    <w:kinsoku/>
                    <w:wordWrap/>
                    <w:overflowPunct/>
                    <w:topLinePunct w:val="0"/>
                    <w:autoSpaceDE/>
                    <w:autoSpaceDN/>
                    <w:bidi w:val="0"/>
                    <w:snapToGrid/>
                    <w:spacing w:line="400" w:lineRule="exact"/>
                    <w:ind w:right="31" w:rightChars="0"/>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货物名称</w:t>
                  </w:r>
                </w:p>
              </w:tc>
              <w:tc>
                <w:tcPr>
                  <w:tcW w:w="1355"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数量（套）</w:t>
                  </w:r>
                </w:p>
              </w:tc>
              <w:tc>
                <w:tcPr>
                  <w:tcW w:w="2778"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eastAsia="宋体" w:cs="宋体"/>
                      <w:b/>
                      <w:bCs/>
                      <w:sz w:val="24"/>
                      <w:vertAlign w:val="baseline"/>
                      <w:lang w:eastAsia="zh-CN"/>
                    </w:rPr>
                  </w:pPr>
                  <w:r>
                    <w:rPr>
                      <w:rFonts w:hint="eastAsia" w:ascii="宋体" w:hAnsi="宋体" w:cs="宋体"/>
                      <w:b/>
                      <w:bCs/>
                      <w:sz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3"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3328"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全自动电位滴定仪</w:t>
                  </w:r>
                </w:p>
              </w:tc>
              <w:tc>
                <w:tcPr>
                  <w:tcW w:w="1355"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2778"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进口产品，已论证公示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3"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2</w:t>
                  </w:r>
                </w:p>
              </w:tc>
              <w:tc>
                <w:tcPr>
                  <w:tcW w:w="3328"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全自动脂肪浸提系统</w:t>
                  </w:r>
                </w:p>
              </w:tc>
              <w:tc>
                <w:tcPr>
                  <w:tcW w:w="1355"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val="en-US" w:eastAsia="zh-CN"/>
                    </w:rPr>
                  </w:pPr>
                  <w:r>
                    <w:rPr>
                      <w:rFonts w:hint="eastAsia" w:ascii="宋体" w:hAnsi="宋体" w:cs="宋体"/>
                      <w:sz w:val="24"/>
                      <w:vertAlign w:val="baseline"/>
                      <w:lang w:val="en-US" w:eastAsia="zh-CN"/>
                    </w:rPr>
                    <w:t>1</w:t>
                  </w:r>
                </w:p>
              </w:tc>
              <w:tc>
                <w:tcPr>
                  <w:tcW w:w="2778" w:type="dxa"/>
                  <w:vAlign w:val="center"/>
                </w:tcPr>
                <w:p>
                  <w:pPr>
                    <w:keepNext w:val="0"/>
                    <w:keepLines w:val="0"/>
                    <w:pageBreakBefore w:val="0"/>
                    <w:widowControl/>
                    <w:kinsoku/>
                    <w:wordWrap/>
                    <w:overflowPunct/>
                    <w:topLinePunct w:val="0"/>
                    <w:autoSpaceDE/>
                    <w:autoSpaceDN/>
                    <w:bidi w:val="0"/>
                    <w:snapToGrid/>
                    <w:spacing w:line="400" w:lineRule="exact"/>
                    <w:ind w:right="31"/>
                    <w:jc w:val="center"/>
                    <w:textAlignment w:val="auto"/>
                    <w:outlineLvl w:val="9"/>
                    <w:rPr>
                      <w:rFonts w:hint="eastAsia" w:ascii="宋体" w:hAnsi="宋体" w:cs="宋体"/>
                      <w:sz w:val="24"/>
                      <w:vertAlign w:val="baseline"/>
                      <w:lang w:eastAsia="zh-CN"/>
                    </w:rPr>
                  </w:pPr>
                  <w:r>
                    <w:rPr>
                      <w:rFonts w:hint="eastAsia" w:ascii="宋体" w:hAnsi="宋体" w:cs="宋体"/>
                      <w:sz w:val="24"/>
                      <w:vertAlign w:val="baseline"/>
                      <w:lang w:eastAsia="zh-CN"/>
                    </w:rPr>
                    <w:t>进口产品，已论证公示</w:t>
                  </w:r>
                </w:p>
              </w:tc>
            </w:tr>
          </w:tbl>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cs="宋体"/>
                <w:sz w:val="24"/>
              </w:rPr>
              <w:t>（共一个包，</w:t>
            </w:r>
            <w:r>
              <w:rPr>
                <w:rFonts w:hint="eastAsia" w:ascii="宋体" w:hAnsi="宋体"/>
                <w:sz w:val="24"/>
              </w:rPr>
              <w:t>具体要求详见招标文件5.1技术要求</w:t>
            </w:r>
            <w:r>
              <w:rPr>
                <w:rFonts w:hint="eastAsia" w:ascii="宋体" w:hAnsi="宋体" w:cs="宋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3）采购预算：</w:t>
            </w:r>
            <w:r>
              <w:rPr>
                <w:rFonts w:hint="eastAsia" w:ascii="宋体" w:hAnsi="宋体"/>
                <w:sz w:val="24"/>
                <w:lang w:eastAsia="zh-CN"/>
              </w:rPr>
              <w:t>人民币</w:t>
            </w:r>
            <w:r>
              <w:rPr>
                <w:rFonts w:hint="eastAsia" w:ascii="宋体" w:hAnsi="宋体"/>
                <w:sz w:val="24"/>
                <w:lang w:val="en-US" w:eastAsia="zh-CN"/>
              </w:rPr>
              <w:t>141</w:t>
            </w:r>
            <w:r>
              <w:rPr>
                <w:rFonts w:hint="eastAsia" w:ascii="宋体" w:hAnsi="宋体"/>
                <w:sz w:val="24"/>
              </w:rPr>
              <w:t>万元</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 xml:space="preserve">4）招标方式：公开招标 </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5）评标办法：综合评分法</w:t>
            </w:r>
          </w:p>
          <w:p>
            <w:pPr>
              <w:keepNext w:val="0"/>
              <w:keepLines w:val="0"/>
              <w:pageBreakBefore w:val="0"/>
              <w:kinsoku/>
              <w:wordWrap/>
              <w:overflowPunct/>
              <w:topLinePunct w:val="0"/>
              <w:bidi w:val="0"/>
              <w:snapToGrid/>
              <w:spacing w:line="400" w:lineRule="exact"/>
              <w:ind w:firstLine="482" w:firstLineChars="200"/>
              <w:textAlignment w:val="auto"/>
              <w:rPr>
                <w:rFonts w:hint="eastAsia" w:ascii="宋体" w:hAnsi="宋体"/>
                <w:color w:val="000000"/>
                <w:sz w:val="24"/>
              </w:rPr>
            </w:pPr>
            <w:r>
              <w:rPr>
                <w:rFonts w:hint="eastAsia" w:ascii="宋体" w:hAnsi="宋体"/>
                <w:b/>
                <w:sz w:val="24"/>
                <w:lang w:val="zh-CN"/>
              </w:rPr>
              <w:t>投标人的投标报价超过采购预算的按无效投标处理。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tcPr>
          <w:p>
            <w:pPr>
              <w:keepNext w:val="0"/>
              <w:keepLines w:val="0"/>
              <w:pageBreakBefore w:val="0"/>
              <w:kinsoku/>
              <w:wordWrap/>
              <w:overflowPunct/>
              <w:topLinePunct w:val="0"/>
              <w:bidi w:val="0"/>
              <w:snapToGrid/>
              <w:spacing w:line="400" w:lineRule="exact"/>
              <w:textAlignment w:val="auto"/>
              <w:rPr>
                <w:rFonts w:hint="eastAsia" w:ascii="宋体" w:hAnsi="宋体"/>
                <w:color w:val="000000"/>
                <w:sz w:val="24"/>
              </w:rPr>
            </w:pPr>
            <w:r>
              <w:rPr>
                <w:rFonts w:hint="eastAsia" w:ascii="宋体" w:hAnsi="宋体"/>
                <w:color w:val="000000"/>
                <w:sz w:val="24"/>
              </w:rPr>
              <w:t>采购人：</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000000"/>
                <w:sz w:val="24"/>
              </w:rPr>
            </w:pPr>
            <w:r>
              <w:rPr>
                <w:rFonts w:hint="eastAsia" w:ascii="宋体" w:hAnsi="宋体"/>
                <w:color w:val="000000"/>
                <w:sz w:val="24"/>
              </w:rPr>
              <w:t>1）单位名称：</w:t>
            </w:r>
            <w:r>
              <w:rPr>
                <w:rFonts w:hint="eastAsia" w:ascii="宋体" w:hAnsi="宋体" w:cs="宋体"/>
                <w:color w:val="000000"/>
                <w:sz w:val="24"/>
                <w:lang w:eastAsia="zh-CN"/>
              </w:rPr>
              <w:t>白银市食品检验检测中心</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2）</w:t>
            </w:r>
            <w:r>
              <w:rPr>
                <w:rFonts w:ascii="宋体" w:hAnsi="宋体"/>
                <w:color w:val="000000"/>
                <w:sz w:val="24"/>
              </w:rPr>
              <w:t>联</w:t>
            </w:r>
            <w:r>
              <w:rPr>
                <w:rFonts w:hint="eastAsia" w:ascii="宋体" w:hAnsi="宋体"/>
                <w:color w:val="000000"/>
                <w:sz w:val="24"/>
              </w:rPr>
              <w:t xml:space="preserve"> </w:t>
            </w:r>
            <w:r>
              <w:rPr>
                <w:rFonts w:ascii="宋体" w:hAnsi="宋体"/>
                <w:color w:val="000000"/>
                <w:sz w:val="24"/>
              </w:rPr>
              <w:t>系</w:t>
            </w:r>
            <w:r>
              <w:rPr>
                <w:rFonts w:hint="eastAsia" w:ascii="宋体" w:hAnsi="宋体"/>
                <w:color w:val="000000"/>
                <w:sz w:val="24"/>
              </w:rPr>
              <w:t xml:space="preserve"> </w:t>
            </w:r>
            <w:r>
              <w:rPr>
                <w:rFonts w:ascii="宋体" w:hAnsi="宋体"/>
                <w:color w:val="000000"/>
                <w:sz w:val="24"/>
              </w:rPr>
              <w:t>人：</w:t>
            </w:r>
            <w:r>
              <w:rPr>
                <w:rFonts w:hint="eastAsia" w:ascii="宋体" w:hAnsi="宋体"/>
                <w:color w:val="000000"/>
                <w:sz w:val="24"/>
                <w:lang w:eastAsia="zh-CN"/>
              </w:rPr>
              <w:t>寇宗红</w:t>
            </w:r>
          </w:p>
          <w:p>
            <w:pPr>
              <w:keepNext w:val="0"/>
              <w:keepLines w:val="0"/>
              <w:pageBreakBefore w:val="0"/>
              <w:tabs>
                <w:tab w:val="left" w:pos="240"/>
              </w:tabs>
              <w:kinsoku/>
              <w:wordWrap/>
              <w:overflowPunct/>
              <w:topLinePunct w:val="0"/>
              <w:bidi w:val="0"/>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3）</w:t>
            </w:r>
            <w:r>
              <w:rPr>
                <w:rFonts w:ascii="宋体" w:hAnsi="宋体"/>
                <w:color w:val="000000"/>
                <w:sz w:val="24"/>
              </w:rPr>
              <w:t>联系电话：</w:t>
            </w:r>
            <w:r>
              <w:rPr>
                <w:rFonts w:hint="eastAsia" w:ascii="宋体" w:hAnsi="宋体"/>
                <w:color w:val="000000"/>
                <w:sz w:val="24"/>
                <w:lang w:val="en-US" w:eastAsia="zh-CN"/>
              </w:rPr>
              <w:t>18794371268</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tcPr>
          <w:p>
            <w:pPr>
              <w:keepNext w:val="0"/>
              <w:keepLines w:val="0"/>
              <w:pageBreakBefore w:val="0"/>
              <w:kinsoku/>
              <w:wordWrap/>
              <w:overflowPunct/>
              <w:topLinePunct w:val="0"/>
              <w:bidi w:val="0"/>
              <w:snapToGrid/>
              <w:spacing w:line="400" w:lineRule="exact"/>
              <w:textAlignment w:val="auto"/>
              <w:rPr>
                <w:rFonts w:hint="eastAsia" w:ascii="宋体" w:hAnsi="宋体"/>
                <w:color w:val="000000"/>
                <w:sz w:val="24"/>
              </w:rPr>
            </w:pPr>
            <w:r>
              <w:rPr>
                <w:rFonts w:hint="eastAsia" w:ascii="宋体" w:hAnsi="宋体"/>
                <w:color w:val="000000"/>
                <w:sz w:val="24"/>
              </w:rPr>
              <w:t>招标代理机构：</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000000"/>
                <w:sz w:val="24"/>
              </w:rPr>
            </w:pPr>
            <w:r>
              <w:rPr>
                <w:rFonts w:hint="eastAsia" w:ascii="宋体" w:hAnsi="宋体"/>
                <w:color w:val="000000"/>
                <w:sz w:val="24"/>
              </w:rPr>
              <w:t>1）单位</w:t>
            </w:r>
            <w:r>
              <w:rPr>
                <w:rFonts w:ascii="宋体" w:hAnsi="宋体"/>
                <w:color w:val="000000"/>
                <w:sz w:val="24"/>
              </w:rPr>
              <w:t>名称：</w:t>
            </w:r>
            <w:r>
              <w:rPr>
                <w:rFonts w:hint="eastAsia" w:ascii="宋体" w:hAnsi="宋体"/>
                <w:color w:val="000000"/>
                <w:sz w:val="24"/>
                <w:lang w:eastAsia="zh-CN"/>
              </w:rPr>
              <w:t>中招国际招标有限公司甘肃分公司</w:t>
            </w:r>
            <w:r>
              <w:rPr>
                <w:rFonts w:ascii="宋体" w:hAnsi="宋体"/>
                <w:color w:val="000000"/>
                <w:sz w:val="24"/>
              </w:rPr>
              <w:t xml:space="preserve"> </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000000"/>
                <w:sz w:val="24"/>
              </w:rPr>
            </w:pPr>
            <w:r>
              <w:rPr>
                <w:rFonts w:hint="eastAsia" w:ascii="宋体" w:hAnsi="宋体"/>
                <w:color w:val="000000"/>
                <w:sz w:val="24"/>
              </w:rPr>
              <w:t>2）联 系 人</w:t>
            </w:r>
            <w:r>
              <w:rPr>
                <w:rFonts w:ascii="宋体" w:hAnsi="宋体"/>
                <w:color w:val="000000"/>
                <w:sz w:val="24"/>
              </w:rPr>
              <w:t>：</w:t>
            </w:r>
            <w:r>
              <w:rPr>
                <w:rFonts w:hint="eastAsia" w:ascii="宋体" w:hAnsi="宋体"/>
                <w:color w:val="000000"/>
                <w:sz w:val="24"/>
                <w:lang w:eastAsia="zh-CN"/>
              </w:rPr>
              <w:t>杨琴</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3）联系电话</w:t>
            </w:r>
            <w:r>
              <w:rPr>
                <w:rFonts w:ascii="宋体" w:hAnsi="宋体"/>
                <w:color w:val="000000"/>
                <w:sz w:val="24"/>
              </w:rPr>
              <w:t>：</w:t>
            </w:r>
            <w:r>
              <w:rPr>
                <w:rFonts w:hint="eastAsia" w:ascii="宋体" w:hAnsi="宋体"/>
                <w:color w:val="000000"/>
                <w:sz w:val="24"/>
                <w:lang w:val="en-US" w:eastAsia="zh-CN"/>
              </w:rPr>
              <w:t>15294210898</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tcPr>
          <w:p>
            <w:pPr>
              <w:keepNext w:val="0"/>
              <w:keepLines w:val="0"/>
              <w:pageBreakBefore w:val="0"/>
              <w:kinsoku/>
              <w:wordWrap/>
              <w:overflowPunct/>
              <w:topLinePunct w:val="0"/>
              <w:bidi w:val="0"/>
              <w:snapToGrid/>
              <w:spacing w:line="400" w:lineRule="exact"/>
              <w:textAlignment w:val="auto"/>
              <w:rPr>
                <w:rFonts w:hint="eastAsia" w:ascii="宋体" w:hAnsi="宋体"/>
                <w:color w:val="000000"/>
                <w:sz w:val="24"/>
              </w:rPr>
            </w:pPr>
            <w:r>
              <w:rPr>
                <w:rFonts w:hint="eastAsia" w:ascii="宋体" w:hAnsi="宋体"/>
                <w:color w:val="000000"/>
                <w:sz w:val="24"/>
              </w:rPr>
              <w:t>付款方式：</w:t>
            </w:r>
          </w:p>
          <w:p>
            <w:pPr>
              <w:keepNext w:val="0"/>
              <w:keepLines w:val="0"/>
              <w:pageBreakBefore w:val="0"/>
              <w:kinsoku/>
              <w:wordWrap/>
              <w:overflowPunct/>
              <w:topLinePunct w:val="0"/>
              <w:bidi w:val="0"/>
              <w:snapToGrid/>
              <w:spacing w:line="400" w:lineRule="exact"/>
              <w:textAlignment w:val="auto"/>
              <w:rPr>
                <w:rFonts w:hint="eastAsia" w:ascii="宋体" w:hAnsi="宋体"/>
                <w:color w:val="auto"/>
                <w:sz w:val="24"/>
              </w:rPr>
            </w:pPr>
            <w:r>
              <w:rPr>
                <w:rFonts w:hint="eastAsia" w:ascii="宋体" w:hAnsi="宋体"/>
                <w:color w:val="auto"/>
                <w:sz w:val="24"/>
              </w:rPr>
              <w:t>（1）在中标通知书发出后7日内，供应商应向采购人递交中标金额5%的履约保证金，汇入采购人指定账户</w:t>
            </w:r>
            <w:r>
              <w:rPr>
                <w:rFonts w:hint="eastAsia" w:ascii="宋体" w:hAnsi="宋体"/>
                <w:color w:val="auto"/>
                <w:sz w:val="24"/>
                <w:lang w:eastAsia="zh-CN"/>
              </w:rPr>
              <w:t>。自货物验收合格之日起，质保期满一年后将无息退还。</w:t>
            </w:r>
          </w:p>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2）货物到达指定交货地点经采购人召集相关专家验收或委托第三方检验合格后，采购人在15个工作日内向供应商支付合同总价款的100%，如果设备主要参数与招标文件不相符，采购人将终止合同，并取消供应商中标资格，无条件退货，并按照合同额全款赔偿。</w:t>
            </w:r>
          </w:p>
          <w:p>
            <w:pPr>
              <w:keepNext w:val="0"/>
              <w:keepLines w:val="0"/>
              <w:pageBreakBefore w:val="0"/>
              <w:kinsoku/>
              <w:wordWrap/>
              <w:overflowPunct/>
              <w:topLinePunct w:val="0"/>
              <w:bidi w:val="0"/>
              <w:snapToGrid/>
              <w:spacing w:line="400" w:lineRule="exact"/>
              <w:textAlignment w:val="auto"/>
              <w:rPr>
                <w:rFonts w:hint="eastAsia" w:ascii="宋体" w:hAnsi="宋体"/>
                <w:color w:val="000000"/>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）投标产品为进口设备的，在货物验收时，须提供产品全套海关报关材料，不能提供或提供虚假材料的，采购人将不予付款并取消供应商中标资格。情节严重的，追究其相关经济及法律责任。</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tcPr>
          <w:p>
            <w:pPr>
              <w:keepNext w:val="0"/>
              <w:keepLines w:val="0"/>
              <w:pageBreakBefore w:val="0"/>
              <w:kinsoku/>
              <w:wordWrap/>
              <w:overflowPunct/>
              <w:topLinePunct w:val="0"/>
              <w:bidi w:val="0"/>
              <w:snapToGrid/>
              <w:spacing w:line="400" w:lineRule="exact"/>
              <w:textAlignment w:val="auto"/>
              <w:rPr>
                <w:rFonts w:hint="eastAsia" w:ascii="宋体" w:hAnsi="宋体"/>
                <w:color w:val="000000"/>
                <w:sz w:val="24"/>
              </w:rPr>
            </w:pPr>
            <w:r>
              <w:rPr>
                <w:rFonts w:ascii="宋体" w:hAnsi="宋体"/>
                <w:color w:val="000000"/>
                <w:sz w:val="24"/>
              </w:rPr>
              <w:t>资</w:t>
            </w:r>
            <w:r>
              <w:rPr>
                <w:rFonts w:hint="eastAsia" w:ascii="宋体" w:hAnsi="宋体"/>
                <w:color w:val="000000"/>
                <w:sz w:val="24"/>
              </w:rPr>
              <w:t>质文件要求</w:t>
            </w:r>
            <w:r>
              <w:rPr>
                <w:rFonts w:ascii="宋体" w:hAnsi="宋体"/>
                <w:sz w:val="24"/>
              </w:rPr>
              <w:t>：</w:t>
            </w:r>
            <w:r>
              <w:rPr>
                <w:rFonts w:hint="eastAsia" w:ascii="宋体" w:hAnsi="宋体"/>
                <w:sz w:val="24"/>
              </w:rPr>
              <w:t>（第1项原件带至</w:t>
            </w:r>
            <w:r>
              <w:rPr>
                <w:rFonts w:hint="eastAsia" w:ascii="宋体" w:hAnsi="宋体"/>
                <w:color w:val="000000"/>
                <w:sz w:val="24"/>
              </w:rPr>
              <w:t>现场备查)</w:t>
            </w:r>
          </w:p>
          <w:p>
            <w:pPr>
              <w:keepNext w:val="0"/>
              <w:keepLines w:val="0"/>
              <w:pageBreakBefore w:val="0"/>
              <w:numPr>
                <w:ilvl w:val="0"/>
                <w:numId w:val="4"/>
              </w:numPr>
              <w:kinsoku/>
              <w:wordWrap/>
              <w:overflowPunct/>
              <w:topLinePunct w:val="0"/>
              <w:bidi w:val="0"/>
              <w:snapToGrid/>
              <w:spacing w:line="400" w:lineRule="exact"/>
              <w:ind w:firstLine="480" w:firstLineChars="200"/>
              <w:textAlignment w:val="auto"/>
              <w:rPr>
                <w:rFonts w:hint="eastAsia" w:ascii="宋体" w:hAnsi="宋体" w:cs="宋体"/>
                <w:sz w:val="24"/>
              </w:rPr>
            </w:pPr>
            <w:r>
              <w:rPr>
                <w:rFonts w:hint="eastAsia" w:ascii="宋体" w:hAnsi="宋体"/>
                <w:color w:val="000000"/>
                <w:sz w:val="24"/>
              </w:rPr>
              <w:t>工商营业执照副本、国家和地方税务登记证副本、组织机构代码证副本（复印件加</w:t>
            </w:r>
            <w:r>
              <w:rPr>
                <w:rFonts w:hint="eastAsia" w:ascii="宋体" w:hAnsi="宋体"/>
                <w:sz w:val="24"/>
              </w:rPr>
              <w:t>盖鲜章）</w:t>
            </w:r>
            <w:r>
              <w:rPr>
                <w:rFonts w:hint="eastAsia" w:ascii="宋体" w:hAnsi="宋体" w:cs="宋体"/>
                <w:sz w:val="24"/>
              </w:rPr>
              <w:t>（法人营业执照、税务登记证、组织机构代码证已三证合一的，则需提供具有统一社会信用代码的营业执照副本</w:t>
            </w:r>
            <w:r>
              <w:rPr>
                <w:rFonts w:hint="eastAsia" w:ascii="宋体" w:hAnsi="宋体"/>
                <w:sz w:val="24"/>
              </w:rPr>
              <w:t>复印件加盖鲜章</w:t>
            </w:r>
            <w:r>
              <w:rPr>
                <w:rFonts w:hint="eastAsia" w:ascii="宋体" w:hAnsi="宋体" w:cs="宋体"/>
                <w:sz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2）法定代表人身份证（正反面复印件加盖鲜章）</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3）法人授权函（原件）及被授权人身份证（正反面复印件加盖鲜章）（1式2份，1份装入投标文件正本，1份带至开标现场）</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color w:val="000000"/>
                <w:sz w:val="24"/>
              </w:rPr>
            </w:pPr>
            <w:r>
              <w:rPr>
                <w:rFonts w:hint="eastAsia" w:ascii="宋体" w:hAnsi="宋体"/>
                <w:sz w:val="24"/>
              </w:rPr>
              <w:t>4）提供由供应商住所地或者业务发生地市（州）、县（区）人民检察院出具的行贿犯罪档案查询结果告知函</w:t>
            </w:r>
            <w:r>
              <w:rPr>
                <w:rFonts w:hint="eastAsia" w:ascii="宋体" w:hAnsi="宋体"/>
                <w:color w:val="000000"/>
                <w:sz w:val="24"/>
              </w:rPr>
              <w:t>（原件装入投标文件正本，并作为资格审查的必要条件）</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color w:val="FF0000"/>
                <w:sz w:val="24"/>
              </w:rPr>
            </w:pPr>
            <w:r>
              <w:rPr>
                <w:rFonts w:hint="eastAsia" w:ascii="宋体" w:hAnsi="宋体"/>
                <w:color w:val="000000"/>
                <w:sz w:val="24"/>
              </w:rPr>
              <w:t>5）提供参加政府采购活动</w:t>
            </w:r>
            <w:r>
              <w:rPr>
                <w:rFonts w:hint="eastAsia" w:ascii="宋体" w:hAnsi="宋体"/>
                <w:color w:val="000000"/>
                <w:sz w:val="24"/>
                <w:lang w:eastAsia="zh-CN"/>
              </w:rPr>
              <w:t>近三</w:t>
            </w:r>
            <w:r>
              <w:rPr>
                <w:rFonts w:hint="eastAsia" w:ascii="宋体" w:hAnsi="宋体"/>
                <w:color w:val="000000"/>
                <w:sz w:val="24"/>
              </w:rPr>
              <w:t>年内在</w:t>
            </w:r>
            <w:r>
              <w:rPr>
                <w:rFonts w:hint="eastAsia" w:ascii="宋体" w:hAnsi="宋体" w:cs="宋体"/>
                <w:color w:val="000000"/>
                <w:sz w:val="24"/>
              </w:rPr>
              <w:t>经营活动中没有重大违法记录的书面声明（原件装入投标文件正本</w:t>
            </w:r>
            <w:r>
              <w:rPr>
                <w:rFonts w:hint="eastAsia" w:ascii="宋体" w:hAnsi="宋体"/>
                <w:sz w:val="24"/>
              </w:rPr>
              <w:t>，并作为资格审查的必要条件</w:t>
            </w:r>
            <w:r>
              <w:rPr>
                <w:rFonts w:hint="eastAsia" w:ascii="宋体" w:hAnsi="宋体" w:cs="宋体"/>
                <w:color w:val="000000"/>
                <w:sz w:val="24"/>
              </w:rPr>
              <w:t>）</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color w:val="000000"/>
                <w:sz w:val="24"/>
              </w:rPr>
              <w:t>6</w:t>
            </w:r>
            <w:r>
              <w:rPr>
                <w:rFonts w:hint="eastAsia" w:ascii="宋体" w:hAnsi="宋体"/>
                <w:sz w:val="24"/>
              </w:rPr>
              <w:t>）</w:t>
            </w:r>
            <w:r>
              <w:rPr>
                <w:rFonts w:hint="eastAsia" w:ascii="宋体" w:hAnsi="宋体" w:cs="宋体"/>
                <w:sz w:val="24"/>
              </w:rPr>
              <w:t>提供投标产品生产厂家针对本项目的专项授权函或区域总代理针对本项目的转授权函（提供转授权函的，还需提供生产厂家对区域总代理的授权函复印件且该复印件须加盖区域总代理公章）和生产厂家售后服务承诺函；</w:t>
            </w:r>
            <w:r>
              <w:rPr>
                <w:rFonts w:hint="eastAsia" w:ascii="宋体" w:hAnsi="宋体"/>
                <w:sz w:val="24"/>
              </w:rPr>
              <w:t>（原件装入投标文件正本，并作为资格审查的必要条件）</w:t>
            </w:r>
          </w:p>
          <w:p>
            <w:pPr>
              <w:pStyle w:val="68"/>
              <w:keepNext w:val="0"/>
              <w:keepLines w:val="0"/>
              <w:pageBreakBefore w:val="0"/>
              <w:kinsoku/>
              <w:wordWrap/>
              <w:overflowPunct/>
              <w:topLinePunct w:val="0"/>
              <w:bidi w:val="0"/>
              <w:snapToGrid/>
              <w:spacing w:line="400" w:lineRule="exact"/>
              <w:textAlignment w:val="auto"/>
              <w:rPr>
                <w:rFonts w:hint="eastAsia" w:hAnsi="宋体"/>
              </w:rPr>
            </w:pPr>
            <w:r>
              <w:rPr>
                <w:rFonts w:hint="eastAsia" w:hAnsi="宋体"/>
                <w:lang w:val="en-US" w:eastAsia="zh-CN"/>
              </w:rPr>
              <w:t xml:space="preserve">   </w:t>
            </w:r>
            <w:r>
              <w:rPr>
                <w:rFonts w:hint="eastAsia" w:hAnsi="宋体"/>
              </w:rPr>
              <w:t>7）提供</w:t>
            </w:r>
            <w:r>
              <w:rPr>
                <w:rFonts w:hint="eastAsia" w:hAnsi="宋体"/>
                <w:lang w:val="en-US" w:eastAsia="zh-CN"/>
              </w:rPr>
              <w:t>2016</w:t>
            </w:r>
            <w:r>
              <w:rPr>
                <w:rFonts w:hint="eastAsia" w:hAnsi="宋体"/>
              </w:rPr>
              <w:t>年度财务审计报告，</w:t>
            </w:r>
            <w:r>
              <w:rPr>
                <w:rFonts w:hint="eastAsia" w:hAnsi="宋体"/>
                <w:lang w:eastAsia="zh-CN"/>
              </w:rPr>
              <w:t>（新成立的公司需提供开户银行出具的资信证明）（复印件加盖公章）</w:t>
            </w:r>
            <w:r>
              <w:rPr>
                <w:rFonts w:hint="eastAsia" w:hAnsi="宋体"/>
                <w:color w:val="000000" w:themeColor="text1"/>
                <w:lang w:eastAsia="zh-CN"/>
              </w:rPr>
              <w:t>；</w:t>
            </w:r>
            <w:r>
              <w:rPr>
                <w:rFonts w:hint="eastAsia" w:hAnsi="宋体"/>
                <w:color w:val="000000" w:themeColor="text1"/>
                <w:lang w:val="en-US" w:eastAsia="zh-CN"/>
              </w:rPr>
              <w:t>2016</w:t>
            </w:r>
            <w:r>
              <w:rPr>
                <w:rFonts w:hint="eastAsia" w:hAnsi="宋体"/>
                <w:color w:val="000000" w:themeColor="text1"/>
                <w:lang w:eastAsia="zh-CN"/>
              </w:rPr>
              <w:t>年度任意一个月</w:t>
            </w:r>
            <w:r>
              <w:rPr>
                <w:rFonts w:hint="eastAsia" w:hAnsi="宋体"/>
                <w:color w:val="000000" w:themeColor="text1"/>
              </w:rPr>
              <w:t>依法缴纳税收和社会保障资金的相关材料（复印件加盖公章）</w:t>
            </w:r>
          </w:p>
          <w:p>
            <w:pPr>
              <w:pStyle w:val="68"/>
              <w:keepNext w:val="0"/>
              <w:keepLines w:val="0"/>
              <w:pageBreakBefore w:val="0"/>
              <w:kinsoku/>
              <w:wordWrap/>
              <w:overflowPunct/>
              <w:topLinePunct w:val="0"/>
              <w:bidi w:val="0"/>
              <w:snapToGrid/>
              <w:spacing w:line="400" w:lineRule="exact"/>
              <w:ind w:firstLine="480" w:firstLineChars="200"/>
              <w:textAlignment w:val="auto"/>
              <w:rPr>
                <w:rFonts w:hint="eastAsia" w:hAnsi="宋体"/>
              </w:rPr>
            </w:pPr>
            <w:r>
              <w:rPr>
                <w:rFonts w:hint="eastAsia" w:hAnsi="宋体"/>
              </w:rPr>
              <w:t>以上条款为所有投标项目必须提供的文件，其中证书必须在有效期内，且第1项应按规定通过</w:t>
            </w:r>
            <w:r>
              <w:rPr>
                <w:rFonts w:hint="eastAsia" w:hAnsi="宋体"/>
                <w:lang w:val="en-US" w:eastAsia="zh-CN"/>
              </w:rPr>
              <w:t>2016年度</w:t>
            </w:r>
            <w:r>
              <w:rPr>
                <w:rFonts w:hint="eastAsia" w:hAnsi="宋体"/>
              </w:rPr>
              <w:t>年检或复审，所有证书复印件必须加盖投标人法人鲜章，另标注 “与原件一致”字样或加盖“与原件一致”条章。若法定代表人参加投标,须提供第2项，若法人授权人参加投标,须提供第2项和第3项。证书未按规定年检、复审或未按上述要求制作标书的，将视为无效投标。</w:t>
            </w:r>
          </w:p>
          <w:p>
            <w:pPr>
              <w:pStyle w:val="68"/>
              <w:keepNext w:val="0"/>
              <w:keepLines w:val="0"/>
              <w:pageBreakBefore w:val="0"/>
              <w:kinsoku/>
              <w:wordWrap/>
              <w:overflowPunct/>
              <w:topLinePunct w:val="0"/>
              <w:bidi w:val="0"/>
              <w:snapToGrid/>
              <w:spacing w:line="400" w:lineRule="exact"/>
              <w:ind w:firstLine="480" w:firstLineChars="200"/>
              <w:textAlignment w:val="auto"/>
              <w:rPr>
                <w:rFonts w:hint="eastAsia" w:hAnsi="宋体"/>
              </w:rPr>
            </w:pPr>
            <w:r>
              <w:rPr>
                <w:rFonts w:hint="eastAsia"/>
                <w:lang w:val="en-US" w:eastAsia="zh-CN"/>
              </w:rPr>
              <w:t>8</w:t>
            </w:r>
            <w:r>
              <w:rPr>
                <w:rFonts w:hint="eastAsia"/>
              </w:rPr>
              <w:t>）</w:t>
            </w:r>
            <w:r>
              <w:rPr>
                <w:rFonts w:hint="eastAsia" w:hAnsi="宋体"/>
              </w:rPr>
              <w:t>中小企业声明函（</w:t>
            </w:r>
            <w:r>
              <w:rPr>
                <w:rFonts w:hint="eastAsia" w:hAnsi="宋体"/>
                <w:b/>
                <w:bCs/>
              </w:rPr>
              <w:t>属于中小微企业的供应商提供</w:t>
            </w:r>
            <w:r>
              <w:rPr>
                <w:rFonts w:hint="eastAsia" w:hAnsi="宋体"/>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vAlign w:val="center"/>
          </w:tcPr>
          <w:p>
            <w:pPr>
              <w:keepNext w:val="0"/>
              <w:keepLines w:val="0"/>
              <w:pageBreakBefore w:val="0"/>
              <w:kinsoku/>
              <w:wordWrap/>
              <w:overflowPunct/>
              <w:topLinePunct w:val="0"/>
              <w:bidi w:val="0"/>
              <w:snapToGrid/>
              <w:spacing w:line="400" w:lineRule="exact"/>
              <w:textAlignment w:val="auto"/>
              <w:rPr>
                <w:rFonts w:ascii="宋体" w:hAnsi="宋体"/>
                <w:color w:val="000000"/>
                <w:sz w:val="24"/>
              </w:rPr>
            </w:pPr>
            <w:r>
              <w:rPr>
                <w:rFonts w:ascii="宋体" w:hAnsi="宋体"/>
                <w:color w:val="000000"/>
                <w:sz w:val="24"/>
              </w:rPr>
              <w:t>投标有效期：</w:t>
            </w:r>
            <w:r>
              <w:rPr>
                <w:rFonts w:ascii="宋体" w:hAnsi="宋体"/>
                <w:color w:val="000000"/>
                <w:sz w:val="24"/>
                <w:u w:val="single"/>
              </w:rPr>
              <w:t xml:space="preserve"> </w:t>
            </w:r>
            <w:r>
              <w:rPr>
                <w:rFonts w:hint="eastAsia" w:ascii="宋体" w:hAnsi="宋体"/>
                <w:color w:val="000000"/>
                <w:sz w:val="24"/>
                <w:u w:val="single"/>
                <w:lang w:val="en-US" w:eastAsia="zh-CN"/>
              </w:rPr>
              <w:t>9</w:t>
            </w:r>
            <w:r>
              <w:rPr>
                <w:rFonts w:hint="eastAsia" w:ascii="宋体" w:hAnsi="宋体"/>
                <w:color w:val="000000"/>
                <w:sz w:val="24"/>
                <w:u w:val="single"/>
              </w:rPr>
              <w:t>0</w:t>
            </w:r>
            <w:r>
              <w:rPr>
                <w:rFonts w:ascii="宋体" w:hAnsi="宋体"/>
                <w:color w:val="000000"/>
                <w:sz w:val="24"/>
                <w:u w:val="single"/>
              </w:rPr>
              <w:t xml:space="preserve"> </w:t>
            </w:r>
            <w:r>
              <w:rPr>
                <w:rFonts w:ascii="宋体" w:hAnsi="宋体"/>
                <w:color w:val="000000"/>
                <w:sz w:val="24"/>
              </w:rPr>
              <w:t>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color w:val="000000"/>
                <w:sz w:val="24"/>
              </w:rPr>
            </w:pPr>
          </w:p>
        </w:tc>
        <w:tc>
          <w:tcPr>
            <w:tcW w:w="9193" w:type="dxa"/>
            <w:vAlign w:val="center"/>
          </w:tcPr>
          <w:p>
            <w:pPr>
              <w:keepNext w:val="0"/>
              <w:keepLines w:val="0"/>
              <w:pageBreakBefore w:val="0"/>
              <w:kinsoku/>
              <w:wordWrap/>
              <w:overflowPunct/>
              <w:topLinePunct w:val="0"/>
              <w:bidi w:val="0"/>
              <w:snapToGrid/>
              <w:spacing w:line="400" w:lineRule="exact"/>
              <w:ind w:firstLine="480" w:firstLineChars="200"/>
              <w:textAlignment w:val="auto"/>
              <w:rPr>
                <w:rFonts w:ascii="宋体" w:hAnsi="宋体"/>
                <w:sz w:val="24"/>
              </w:rPr>
            </w:pPr>
            <w:r>
              <w:rPr>
                <w:rFonts w:hint="eastAsia" w:ascii="宋体" w:hAnsi="宋体"/>
                <w:sz w:val="24"/>
              </w:rPr>
              <w:t>注册信息须知：</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为了规范交易平台的业务流程以及给用户提供方便快捷的服务</w:t>
            </w:r>
            <w:r>
              <w:rPr>
                <w:rFonts w:hint="eastAsia" w:ascii="宋体" w:hAnsi="宋体"/>
                <w:sz w:val="24"/>
                <w:lang w:val="en-US" w:eastAsia="zh-CN"/>
              </w:rPr>
              <w:t>,</w:t>
            </w:r>
            <w:r>
              <w:rPr>
                <w:rFonts w:hint="eastAsia" w:ascii="宋体" w:hAnsi="宋体"/>
                <w:sz w:val="24"/>
              </w:rPr>
              <w:t>凡是拟参与白银市公共资源交易活动的招标人、招标代理机构、投标单位需先在白银市公共资源交易网上注册，</w:t>
            </w:r>
            <w:r>
              <w:rPr>
                <w:rFonts w:hint="eastAsia" w:ascii="宋体" w:hAnsi="宋体"/>
                <w:sz w:val="24"/>
                <w:lang w:eastAsia="zh-CN"/>
              </w:rPr>
              <w:t>注册信息审核通过后，</w:t>
            </w:r>
            <w:r>
              <w:rPr>
                <w:rFonts w:hint="eastAsia" w:ascii="宋体" w:hAnsi="宋体"/>
                <w:sz w:val="24"/>
              </w:rPr>
              <w:t>方可</w:t>
            </w:r>
            <w:r>
              <w:rPr>
                <w:rFonts w:hint="eastAsia" w:ascii="宋体" w:hAnsi="宋体"/>
                <w:sz w:val="24"/>
                <w:lang w:eastAsia="zh-CN"/>
              </w:rPr>
              <w:t>登录系统进行项目投标</w:t>
            </w:r>
            <w:r>
              <w:rPr>
                <w:rFonts w:hint="eastAsia" w:ascii="宋体" w:hAnsi="宋体"/>
                <w:sz w:val="24"/>
              </w:rPr>
              <w:t>登记，投标“登记号”系统会实时发送到投标人手机。</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lang w:eastAsia="zh-CN"/>
              </w:rPr>
              <w:t>注：填写信息必须真实有效。若有问题，请电话咨询：</w:t>
            </w:r>
            <w:r>
              <w:rPr>
                <w:rFonts w:hint="eastAsia" w:ascii="宋体" w:hAnsi="宋体"/>
                <w:sz w:val="24"/>
              </w:rPr>
              <w:t>0943-8287909。</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注意事项：</w:t>
            </w:r>
          </w:p>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 xml:space="preserve">    1) 投标保证金提交方式为银行电汇，不接受其他方式的投标保证金。</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2）投标人必须从基本帐户以电汇方式提交保证金，且投标保证金单位名称必须与投标人登记的单位名称一致，不得以分公司、办事处、个人或其他机构名义交纳。</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3）投标人在办理投标保证金电汇手续时，必须在银行电汇单附言栏上必须且只填写投标保证金对应的投标项目标段或包号的“登记号”（8位数字），以便网上退还。</w:t>
            </w:r>
          </w:p>
          <w:p>
            <w:pPr>
              <w:keepNext w:val="0"/>
              <w:keepLines w:val="0"/>
              <w:pageBreakBefore w:val="0"/>
              <w:kinsoku/>
              <w:wordWrap/>
              <w:overflowPunct/>
              <w:topLinePunct w:val="0"/>
              <w:bidi w:val="0"/>
              <w:snapToGrid/>
              <w:spacing w:line="400" w:lineRule="exact"/>
              <w:ind w:firstLine="480" w:firstLineChars="200"/>
              <w:textAlignment w:val="auto"/>
              <w:rPr>
                <w:rFonts w:hint="eastAsia" w:ascii="宋体" w:hAnsi="宋体"/>
                <w:sz w:val="24"/>
              </w:rPr>
            </w:pPr>
            <w:r>
              <w:rPr>
                <w:rFonts w:hint="eastAsia" w:ascii="宋体" w:hAnsi="宋体"/>
                <w:sz w:val="24"/>
              </w:rPr>
              <w:t>注：投标人投两个及以上标段或包号的，应该按每个标段或包号分别交纳投标保证金。</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sz w:val="24"/>
              </w:rPr>
            </w:pPr>
            <w:r>
              <w:rPr>
                <w:rFonts w:hint="eastAsia" w:ascii="宋体" w:hAnsi="宋体"/>
                <w:sz w:val="24"/>
              </w:rPr>
              <w:t>投标保证金数额及交纳方式：</w:t>
            </w:r>
          </w:p>
          <w:p>
            <w:pPr>
              <w:keepNext w:val="0"/>
              <w:keepLines w:val="0"/>
              <w:pageBreakBefore w:val="0"/>
              <w:kinsoku/>
              <w:wordWrap/>
              <w:overflowPunct/>
              <w:topLinePunct w:val="0"/>
              <w:bidi w:val="0"/>
              <w:snapToGrid/>
              <w:spacing w:line="400" w:lineRule="exact"/>
              <w:ind w:firstLine="480" w:firstLineChars="200"/>
              <w:textAlignment w:val="auto"/>
              <w:rPr>
                <w:rFonts w:ascii="宋体" w:hAnsi="宋体"/>
                <w:sz w:val="24"/>
              </w:rPr>
            </w:pPr>
            <w:r>
              <w:rPr>
                <w:rFonts w:hint="eastAsia" w:ascii="宋体" w:hAnsi="宋体"/>
                <w:sz w:val="24"/>
              </w:rPr>
              <w:t>投标人应于开标之前将投标保证金贰万元整（20000元）进账到白银市公共资源交易中心指定的账号，过期视为无效标。同时投标人须在投标文件中提交本项目投标保证金进帐单或电汇凭证等银行证明文件（复印件），否则视为无效投标。</w:t>
            </w:r>
          </w:p>
          <w:p>
            <w:pPr>
              <w:keepNext w:val="0"/>
              <w:keepLines w:val="0"/>
              <w:pageBreakBefore w:val="0"/>
              <w:kinsoku/>
              <w:wordWrap/>
              <w:overflowPunct/>
              <w:topLinePunct w:val="0"/>
              <w:bidi w:val="0"/>
              <w:snapToGrid/>
              <w:spacing w:line="400" w:lineRule="exact"/>
              <w:ind w:firstLine="240" w:firstLineChars="100"/>
              <w:textAlignment w:val="auto"/>
              <w:rPr>
                <w:rFonts w:hint="eastAsia" w:ascii="宋体" w:hAnsi="宋体"/>
                <w:color w:val="000000"/>
                <w:sz w:val="24"/>
              </w:rPr>
            </w:pPr>
            <w:r>
              <w:rPr>
                <w:rFonts w:hint="eastAsia" w:ascii="宋体" w:hAnsi="宋体"/>
                <w:sz w:val="24"/>
              </w:rPr>
              <w:t xml:space="preserve">（开户名称：白银市公共资源交易中心，开户银行：甘肃银行白银区支行 帐号：662202012635500020地点：白银市大十字友好路北侧白银公司办公楼对面)  </w:t>
            </w:r>
            <w:r>
              <w:rPr>
                <w:rFonts w:ascii="宋体" w:hAnsi="宋体"/>
                <w:sz w:val="24"/>
              </w:rPr>
              <w:t xml:space="preserve">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sz w:val="24"/>
              </w:rPr>
            </w:pPr>
          </w:p>
        </w:tc>
        <w:tc>
          <w:tcPr>
            <w:tcW w:w="9193" w:type="dxa"/>
            <w:vAlign w:val="center"/>
          </w:tcPr>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投标文件份数：</w:t>
            </w:r>
          </w:p>
          <w:p>
            <w:pPr>
              <w:keepNext w:val="0"/>
              <w:keepLines w:val="0"/>
              <w:pageBreakBefore w:val="0"/>
              <w:numPr>
                <w:ilvl w:val="2"/>
                <w:numId w:val="3"/>
              </w:numPr>
              <w:tabs>
                <w:tab w:val="left" w:pos="360"/>
                <w:tab w:val="clear" w:pos="1200"/>
              </w:tabs>
              <w:kinsoku/>
              <w:wordWrap/>
              <w:overflowPunct/>
              <w:topLinePunct w:val="0"/>
              <w:bidi w:val="0"/>
              <w:snapToGrid/>
              <w:spacing w:line="400" w:lineRule="exact"/>
              <w:ind w:left="360"/>
              <w:textAlignment w:val="auto"/>
              <w:rPr>
                <w:rFonts w:hint="eastAsia" w:ascii="宋体" w:hAnsi="宋体"/>
                <w:sz w:val="24"/>
              </w:rPr>
            </w:pPr>
            <w:r>
              <w:rPr>
                <w:rFonts w:ascii="宋体" w:hAnsi="宋体"/>
                <w:sz w:val="24"/>
              </w:rPr>
              <w:t>投标文件</w:t>
            </w:r>
            <w:r>
              <w:rPr>
                <w:rFonts w:hint="eastAsia" w:ascii="宋体" w:hAnsi="宋体"/>
                <w:sz w:val="24"/>
              </w:rPr>
              <w:t>份数</w:t>
            </w:r>
            <w:r>
              <w:rPr>
                <w:rFonts w:ascii="宋体" w:hAnsi="宋体"/>
                <w:sz w:val="24"/>
              </w:rPr>
              <w:t>：</w:t>
            </w:r>
            <w:r>
              <w:rPr>
                <w:rFonts w:hint="eastAsia" w:ascii="宋体" w:hAnsi="宋体"/>
                <w:sz w:val="24"/>
              </w:rPr>
              <w:t>供应商制作投标文件(有分包按分包制作、无分包按整包制作)</w:t>
            </w:r>
            <w:r>
              <w:rPr>
                <w:rFonts w:ascii="宋体" w:hAnsi="宋体"/>
                <w:sz w:val="24"/>
              </w:rPr>
              <w:t>正本</w:t>
            </w:r>
            <w:r>
              <w:rPr>
                <w:rFonts w:hint="eastAsia" w:ascii="宋体" w:hAnsi="宋体"/>
                <w:sz w:val="24"/>
                <w:u w:val="single"/>
              </w:rPr>
              <w:t xml:space="preserve"> </w:t>
            </w:r>
            <w:r>
              <w:rPr>
                <w:rFonts w:ascii="宋体" w:hAnsi="宋体"/>
                <w:sz w:val="24"/>
                <w:u w:val="single"/>
              </w:rPr>
              <w:t>1</w:t>
            </w:r>
            <w:r>
              <w:rPr>
                <w:rFonts w:hint="eastAsia" w:ascii="宋体" w:hAnsi="宋体"/>
                <w:sz w:val="24"/>
                <w:u w:val="single"/>
              </w:rPr>
              <w:t xml:space="preserve"> </w:t>
            </w:r>
            <w:r>
              <w:rPr>
                <w:rFonts w:ascii="宋体" w:hAnsi="宋体"/>
                <w:sz w:val="24"/>
              </w:rPr>
              <w:t>份，副本</w:t>
            </w:r>
            <w:r>
              <w:rPr>
                <w:rFonts w:hint="eastAsia" w:ascii="宋体" w:hAnsi="宋体"/>
                <w:sz w:val="24"/>
                <w:u w:val="single"/>
              </w:rPr>
              <w:t xml:space="preserve"> 2</w:t>
            </w:r>
            <w:r>
              <w:rPr>
                <w:rFonts w:ascii="宋体" w:hAnsi="宋体"/>
                <w:sz w:val="24"/>
              </w:rPr>
              <w:t>份</w:t>
            </w:r>
            <w:r>
              <w:rPr>
                <w:rFonts w:hint="eastAsia" w:ascii="宋体" w:hAnsi="宋体"/>
                <w:sz w:val="24"/>
              </w:rPr>
              <w:t>，电子版</w:t>
            </w:r>
            <w:r>
              <w:rPr>
                <w:rFonts w:hint="eastAsia" w:ascii="宋体" w:hAnsi="宋体"/>
                <w:sz w:val="24"/>
                <w:u w:val="single"/>
              </w:rPr>
              <w:t xml:space="preserve"> 1</w:t>
            </w:r>
            <w:r>
              <w:rPr>
                <w:rFonts w:hint="eastAsia" w:ascii="宋体" w:hAnsi="宋体"/>
                <w:sz w:val="24"/>
              </w:rPr>
              <w:t>份。</w:t>
            </w:r>
          </w:p>
          <w:p>
            <w:pPr>
              <w:keepNext w:val="0"/>
              <w:keepLines w:val="0"/>
              <w:pageBreakBefore w:val="0"/>
              <w:numPr>
                <w:ilvl w:val="2"/>
                <w:numId w:val="3"/>
              </w:numPr>
              <w:tabs>
                <w:tab w:val="left" w:pos="360"/>
                <w:tab w:val="clear" w:pos="1200"/>
              </w:tabs>
              <w:kinsoku/>
              <w:wordWrap/>
              <w:overflowPunct/>
              <w:topLinePunct w:val="0"/>
              <w:bidi w:val="0"/>
              <w:snapToGrid/>
              <w:spacing w:line="400" w:lineRule="exact"/>
              <w:ind w:left="360"/>
              <w:textAlignment w:val="auto"/>
              <w:rPr>
                <w:rFonts w:hint="eastAsia" w:ascii="宋体" w:hAnsi="宋体"/>
                <w:sz w:val="24"/>
              </w:rPr>
            </w:pPr>
            <w:r>
              <w:rPr>
                <w:rFonts w:hint="eastAsia" w:ascii="宋体" w:hAnsi="宋体"/>
                <w:sz w:val="24"/>
              </w:rPr>
              <w:t>投标文件须建立清晰目录并胶装成册。</w:t>
            </w:r>
          </w:p>
          <w:p>
            <w:pPr>
              <w:keepNext w:val="0"/>
              <w:keepLines w:val="0"/>
              <w:pageBreakBefore w:val="0"/>
              <w:kinsoku/>
              <w:wordWrap/>
              <w:overflowPunct/>
              <w:topLinePunct w:val="0"/>
              <w:bidi w:val="0"/>
              <w:snapToGrid/>
              <w:spacing w:line="400" w:lineRule="exact"/>
              <w:ind w:firstLine="360" w:firstLineChars="150"/>
              <w:textAlignment w:val="auto"/>
              <w:rPr>
                <w:rFonts w:ascii="宋体" w:hAnsi="宋体"/>
                <w:sz w:val="24"/>
              </w:rPr>
            </w:pPr>
            <w:r>
              <w:rPr>
                <w:rFonts w:hint="eastAsia" w:ascii="宋体" w:hAnsi="宋体"/>
                <w:sz w:val="24"/>
              </w:rPr>
              <w:t>未按该要求制作分装标书的，投标文件将被拒绝，对投标人产生的不利因素由其自行承担。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sz w:val="24"/>
              </w:rPr>
            </w:pPr>
          </w:p>
        </w:tc>
        <w:tc>
          <w:tcPr>
            <w:tcW w:w="9193" w:type="dxa"/>
            <w:vAlign w:val="center"/>
          </w:tcPr>
          <w:p>
            <w:pPr>
              <w:keepNext w:val="0"/>
              <w:keepLines w:val="0"/>
              <w:pageBreakBefore w:val="0"/>
              <w:kinsoku/>
              <w:wordWrap/>
              <w:overflowPunct/>
              <w:topLinePunct w:val="0"/>
              <w:bidi w:val="0"/>
              <w:snapToGrid/>
              <w:spacing w:line="400" w:lineRule="exact"/>
              <w:jc w:val="left"/>
              <w:textAlignment w:val="auto"/>
              <w:rPr>
                <w:rFonts w:hint="eastAsia" w:ascii="宋体" w:hAnsi="宋体"/>
                <w:sz w:val="24"/>
              </w:rPr>
            </w:pPr>
            <w:r>
              <w:rPr>
                <w:rFonts w:hint="eastAsia" w:ascii="宋体" w:hAnsi="宋体"/>
                <w:sz w:val="24"/>
              </w:rPr>
              <w:t>该采购项目不分包，不接受联合体投标。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sz w:val="24"/>
              </w:rPr>
            </w:pPr>
            <w:bookmarkStart w:id="6" w:name="_Toc128372730"/>
            <w:bookmarkStart w:id="7" w:name="_Toc128372052"/>
            <w:bookmarkStart w:id="8" w:name="_Toc139965326"/>
          </w:p>
        </w:tc>
        <w:tc>
          <w:tcPr>
            <w:tcW w:w="9193" w:type="dxa"/>
            <w:vAlign w:val="center"/>
          </w:tcPr>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服务费：招标结束后五个工作日内，中标供应商</w:t>
            </w:r>
            <w:r>
              <w:rPr>
                <w:rFonts w:hint="eastAsia" w:ascii="宋体" w:hAnsi="宋体"/>
                <w:sz w:val="24"/>
                <w:lang w:eastAsia="zh-CN"/>
              </w:rPr>
              <w:t>参</w:t>
            </w:r>
            <w:r>
              <w:rPr>
                <w:rFonts w:hint="eastAsia" w:ascii="宋体" w:hAnsi="宋体"/>
                <w:sz w:val="24"/>
              </w:rPr>
              <w:t>照</w:t>
            </w:r>
            <w:r>
              <w:rPr>
                <w:rFonts w:hint="eastAsia" w:ascii="宋体" w:hAnsi="宋体"/>
                <w:sz w:val="24"/>
                <w:lang w:eastAsia="zh-CN"/>
              </w:rPr>
              <w:t>原</w:t>
            </w:r>
            <w:r>
              <w:rPr>
                <w:rFonts w:hint="eastAsia" w:ascii="宋体" w:hAnsi="宋体"/>
                <w:sz w:val="24"/>
              </w:rPr>
              <w:t>国家计委颁发的《招标代理服务收费管理暂行办法》（计价格[2002]1980号）和发改办价格[2003]857号文件及双方协商缴纳，代理机构不得向中标商收取其他费用。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sz w:val="24"/>
              </w:rPr>
            </w:pPr>
          </w:p>
        </w:tc>
        <w:tc>
          <w:tcPr>
            <w:tcW w:w="9193" w:type="dxa"/>
            <w:vAlign w:val="center"/>
          </w:tcPr>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按照《政府采购信息公告管理办法》中华人民共和国财政部令第19号 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sz w:val="24"/>
              </w:rPr>
            </w:pPr>
          </w:p>
        </w:tc>
        <w:tc>
          <w:tcPr>
            <w:tcW w:w="9193" w:type="dxa"/>
            <w:vAlign w:val="center"/>
          </w:tcPr>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同一品牌同一型号产品只能由一家供应商参加，如果有多家代理商参加同一品牌同一型号产品投标的，评标中在其他条件合格的前提下，选取报价最低的供应商进入评标，舍掉其他供应商。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keepNext w:val="0"/>
              <w:keepLines w:val="0"/>
              <w:pageBreakBefore w:val="0"/>
              <w:numPr>
                <w:ilvl w:val="0"/>
                <w:numId w:val="3"/>
              </w:numPr>
              <w:kinsoku/>
              <w:wordWrap/>
              <w:overflowPunct/>
              <w:topLinePunct w:val="0"/>
              <w:bidi w:val="0"/>
              <w:snapToGrid/>
              <w:spacing w:line="400" w:lineRule="exact"/>
              <w:ind w:firstLine="281" w:firstLineChars="117"/>
              <w:textAlignment w:val="auto"/>
              <w:rPr>
                <w:rFonts w:ascii="宋体" w:hAnsi="宋体"/>
                <w:sz w:val="24"/>
              </w:rPr>
            </w:pPr>
          </w:p>
        </w:tc>
        <w:tc>
          <w:tcPr>
            <w:tcW w:w="9193" w:type="dxa"/>
            <w:vAlign w:val="center"/>
          </w:tcPr>
          <w:p>
            <w:pPr>
              <w:keepNext w:val="0"/>
              <w:keepLines w:val="0"/>
              <w:pageBreakBefore w:val="0"/>
              <w:tabs>
                <w:tab w:val="left" w:pos="720"/>
              </w:tabs>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1）对中小微企业执行财库【2011】181号及工信部联企业【2011】300号文件的规定，对其价格给予一定比例扣除，其评标价为按规定比例扣除后的价格。</w:t>
            </w:r>
          </w:p>
          <w:p>
            <w:pPr>
              <w:keepNext w:val="0"/>
              <w:keepLines w:val="0"/>
              <w:pageBreakBefore w:val="0"/>
              <w:tabs>
                <w:tab w:val="left" w:pos="720"/>
              </w:tabs>
              <w:kinsoku/>
              <w:wordWrap/>
              <w:overflowPunct/>
              <w:topLinePunct w:val="0"/>
              <w:bidi w:val="0"/>
              <w:snapToGrid/>
              <w:spacing w:line="400" w:lineRule="exact"/>
              <w:textAlignment w:val="auto"/>
              <w:rPr>
                <w:rFonts w:hint="eastAsia" w:ascii="宋体" w:hAnsi="宋体" w:cs="宋体"/>
                <w:sz w:val="24"/>
              </w:rPr>
            </w:pPr>
            <w:r>
              <w:rPr>
                <w:rFonts w:hint="eastAsia" w:ascii="宋体" w:hAnsi="宋体"/>
                <w:sz w:val="24"/>
              </w:rPr>
              <w:t>2）不符合财库【2011】181号及工信部联企业【2011】300号文件的规定企业的产品价格不予扣除。</w:t>
            </w:r>
          </w:p>
          <w:p>
            <w:pPr>
              <w:keepNext w:val="0"/>
              <w:keepLines w:val="0"/>
              <w:pageBreakBefore w:val="0"/>
              <w:kinsoku/>
              <w:wordWrap/>
              <w:overflowPunct/>
              <w:topLinePunct w:val="0"/>
              <w:bidi w:val="0"/>
              <w:snapToGrid/>
              <w:spacing w:line="400" w:lineRule="exact"/>
              <w:textAlignment w:val="auto"/>
              <w:rPr>
                <w:rFonts w:hint="eastAsia" w:ascii="宋体" w:hAnsi="宋体"/>
                <w:sz w:val="24"/>
              </w:rPr>
            </w:pPr>
            <w:r>
              <w:rPr>
                <w:rFonts w:hint="eastAsia" w:ascii="宋体" w:hAnsi="宋体"/>
                <w:sz w:val="24"/>
              </w:rPr>
              <w:t>3）本项目对小型和微型企业产品价格的扣除比例：6 %</w:t>
            </w:r>
          </w:p>
        </w:tc>
      </w:tr>
    </w:tbl>
    <w:p>
      <w:pPr>
        <w:pStyle w:val="2"/>
        <w:rPr>
          <w:rFonts w:hint="eastAsia"/>
          <w:color w:val="000000"/>
        </w:rPr>
      </w:pPr>
      <w:r>
        <w:rPr>
          <w:rFonts w:hint="eastAsia"/>
          <w:color w:val="000000"/>
        </w:rPr>
        <w:br w:type="page"/>
      </w:r>
    </w:p>
    <w:p>
      <w:pPr>
        <w:rPr>
          <w:rFonts w:hint="eastAsia"/>
        </w:rPr>
      </w:pPr>
    </w:p>
    <w:p>
      <w:pPr>
        <w:pStyle w:val="2"/>
        <w:jc w:val="center"/>
        <w:rPr>
          <w:rFonts w:hint="eastAsia"/>
          <w:color w:val="000000"/>
        </w:rPr>
      </w:pPr>
      <w:bookmarkStart w:id="9" w:name="_Toc453596788"/>
      <w:r>
        <w:rPr>
          <w:rFonts w:hint="eastAsia"/>
          <w:color w:val="000000"/>
        </w:rPr>
        <w:t>1、总  则</w:t>
      </w:r>
      <w:bookmarkEnd w:id="6"/>
      <w:bookmarkEnd w:id="7"/>
      <w:bookmarkEnd w:id="8"/>
      <w:bookmarkEnd w:id="9"/>
    </w:p>
    <w:p>
      <w:pPr>
        <w:pStyle w:val="3"/>
        <w:spacing w:line="490" w:lineRule="exact"/>
        <w:ind w:firstLine="482" w:firstLineChars="200"/>
        <w:jc w:val="both"/>
        <w:rPr>
          <w:rFonts w:hint="eastAsia" w:ascii="宋体" w:hAnsi="宋体"/>
          <w:color w:val="000000"/>
          <w:sz w:val="24"/>
        </w:rPr>
      </w:pPr>
      <w:bookmarkStart w:id="10" w:name="_Toc453596789"/>
      <w:r>
        <w:rPr>
          <w:rFonts w:hint="eastAsia" w:ascii="宋体" w:hAnsi="宋体"/>
          <w:color w:val="000000"/>
          <w:sz w:val="24"/>
        </w:rPr>
        <w:t>1.1 招标文件涉及术语的内涵及解释</w:t>
      </w:r>
      <w:bookmarkEnd w:id="10"/>
    </w:p>
    <w:p>
      <w:pPr>
        <w:spacing w:line="490" w:lineRule="exact"/>
        <w:ind w:firstLine="480" w:firstLineChars="200"/>
        <w:rPr>
          <w:rFonts w:hint="eastAsia" w:ascii="宋体" w:hAnsi="宋体"/>
          <w:color w:val="000000"/>
          <w:sz w:val="24"/>
        </w:rPr>
      </w:pPr>
      <w:r>
        <w:rPr>
          <w:rFonts w:hint="eastAsia" w:ascii="宋体" w:hAnsi="宋体"/>
          <w:color w:val="000000"/>
          <w:sz w:val="24"/>
        </w:rPr>
        <w:t>1)“政府采购当事人”是指在政府采购活动中享有权利和承担义务的各类主体，包括采购人、供应商和采购代理机构等。</w:t>
      </w:r>
    </w:p>
    <w:p>
      <w:pPr>
        <w:spacing w:line="490" w:lineRule="exact"/>
        <w:ind w:firstLine="480" w:firstLineChars="200"/>
        <w:rPr>
          <w:rFonts w:ascii="宋体" w:hAnsi="宋体"/>
          <w:color w:val="000000"/>
          <w:sz w:val="24"/>
        </w:rPr>
      </w:pPr>
      <w:r>
        <w:rPr>
          <w:rFonts w:hint="eastAsia" w:ascii="宋体" w:hAnsi="宋体"/>
          <w:color w:val="000000"/>
          <w:sz w:val="24"/>
        </w:rPr>
        <w:t>2)“采购人”是</w:t>
      </w:r>
      <w:r>
        <w:rPr>
          <w:rFonts w:ascii="宋体" w:hAnsi="宋体"/>
          <w:color w:val="000000"/>
          <w:sz w:val="24"/>
        </w:rPr>
        <w:t>指</w:t>
      </w:r>
      <w:r>
        <w:rPr>
          <w:rFonts w:hint="eastAsia" w:ascii="宋体" w:hAnsi="宋体"/>
          <w:color w:val="000000"/>
          <w:sz w:val="24"/>
        </w:rPr>
        <w:t>依法进行政府采购的国家机关、事业单位、团体组织。本项目是指</w:t>
      </w:r>
      <w:r>
        <w:rPr>
          <w:rFonts w:hint="eastAsia" w:ascii="宋体" w:hAnsi="宋体" w:cs="宋体"/>
          <w:color w:val="000000"/>
          <w:sz w:val="24"/>
          <w:lang w:eastAsia="zh-CN"/>
        </w:rPr>
        <w:t>白银市食品检验检测中心</w:t>
      </w:r>
      <w:r>
        <w:rPr>
          <w:rFonts w:hint="eastAsia" w:ascii="宋体" w:hAnsi="宋体" w:cs="宋体"/>
          <w:color w:val="000000"/>
          <w:sz w:val="24"/>
        </w:rPr>
        <w:t>。</w:t>
      </w:r>
    </w:p>
    <w:p>
      <w:pPr>
        <w:spacing w:line="490" w:lineRule="exact"/>
        <w:ind w:firstLine="480" w:firstLineChars="200"/>
        <w:rPr>
          <w:rFonts w:hint="eastAsia" w:ascii="宋体" w:hAnsi="宋体"/>
          <w:color w:val="000000"/>
          <w:sz w:val="24"/>
          <w:szCs w:val="30"/>
          <w:u w:val="single"/>
        </w:rPr>
      </w:pPr>
      <w:r>
        <w:rPr>
          <w:rFonts w:hint="eastAsia" w:ascii="宋体" w:hAnsi="宋体"/>
          <w:color w:val="000000"/>
          <w:sz w:val="24"/>
        </w:rPr>
        <w:t>3)“招标人”是指采购人和其委托的招标代理机构，本项目是指</w:t>
      </w:r>
      <w:r>
        <w:rPr>
          <w:rFonts w:hint="eastAsia" w:ascii="宋体" w:hAnsi="宋体" w:cs="宋体"/>
          <w:color w:val="000000"/>
          <w:sz w:val="24"/>
          <w:lang w:eastAsia="zh-CN"/>
        </w:rPr>
        <w:t>白银市食品检验检测中心</w:t>
      </w:r>
      <w:r>
        <w:rPr>
          <w:rFonts w:hint="eastAsia" w:ascii="宋体" w:hAnsi="宋体"/>
          <w:color w:val="000000"/>
          <w:sz w:val="24"/>
        </w:rPr>
        <w:t>和</w:t>
      </w:r>
      <w:r>
        <w:rPr>
          <w:rFonts w:hint="eastAsia" w:ascii="宋体" w:hAnsi="宋体"/>
          <w:color w:val="000000"/>
          <w:sz w:val="24"/>
          <w:lang w:eastAsia="zh-CN"/>
        </w:rPr>
        <w:t>中招国际招标有限公司甘肃分公司</w:t>
      </w:r>
      <w:r>
        <w:rPr>
          <w:rFonts w:hint="eastAsia" w:ascii="宋体" w:hAnsi="宋体"/>
          <w:color w:val="000000"/>
          <w:sz w:val="24"/>
        </w:rPr>
        <w:t>。</w:t>
      </w:r>
    </w:p>
    <w:p>
      <w:pPr>
        <w:spacing w:line="490" w:lineRule="exact"/>
        <w:ind w:firstLine="480" w:firstLineChars="200"/>
        <w:rPr>
          <w:rFonts w:hint="eastAsia" w:ascii="宋体" w:hAnsi="宋体"/>
          <w:color w:val="000000"/>
          <w:sz w:val="24"/>
        </w:rPr>
      </w:pPr>
      <w:r>
        <w:rPr>
          <w:rFonts w:hint="eastAsia" w:ascii="宋体" w:hAnsi="宋体"/>
          <w:color w:val="000000"/>
          <w:sz w:val="24"/>
        </w:rPr>
        <w:t>4)“投标人”是指向本次招标人提交投标文件的供应商。</w:t>
      </w:r>
    </w:p>
    <w:p>
      <w:pPr>
        <w:spacing w:line="490" w:lineRule="exact"/>
        <w:ind w:firstLine="480" w:firstLineChars="200"/>
        <w:rPr>
          <w:rFonts w:hint="eastAsia" w:ascii="宋体" w:hAnsi="宋体"/>
          <w:color w:val="000000"/>
          <w:sz w:val="24"/>
        </w:rPr>
      </w:pPr>
      <w:r>
        <w:rPr>
          <w:rFonts w:hint="eastAsia" w:ascii="宋体" w:hAnsi="宋体"/>
          <w:color w:val="000000"/>
          <w:sz w:val="24"/>
        </w:rPr>
        <w:t>5)“供应商”是指向采购人提供货物、工程或者服务的法人、其他组织或者自然人。</w:t>
      </w:r>
    </w:p>
    <w:p>
      <w:pPr>
        <w:spacing w:line="490" w:lineRule="exact"/>
        <w:ind w:firstLine="480" w:firstLineChars="200"/>
        <w:rPr>
          <w:rFonts w:hint="eastAsia" w:ascii="宋体" w:hAnsi="宋体"/>
          <w:color w:val="000000"/>
          <w:sz w:val="24"/>
        </w:rPr>
      </w:pPr>
      <w:r>
        <w:rPr>
          <w:rFonts w:hint="eastAsia" w:ascii="宋体" w:hAnsi="宋体"/>
          <w:color w:val="000000"/>
          <w:sz w:val="24"/>
        </w:rPr>
        <w:t>6)“招标文件”是指由招标人发出的文本、文件，包括全部章节和附件及答疑会议纪要及其他相关补充材料和相关变更内容。</w:t>
      </w:r>
    </w:p>
    <w:p>
      <w:pPr>
        <w:spacing w:line="490" w:lineRule="exact"/>
        <w:ind w:firstLine="480" w:firstLineChars="200"/>
        <w:rPr>
          <w:rFonts w:hint="eastAsia" w:ascii="宋体" w:hAnsi="宋体"/>
          <w:color w:val="000000"/>
          <w:sz w:val="24"/>
        </w:rPr>
      </w:pPr>
      <w:r>
        <w:rPr>
          <w:rFonts w:hint="eastAsia" w:ascii="宋体" w:hAnsi="宋体"/>
          <w:color w:val="000000"/>
          <w:sz w:val="24"/>
        </w:rPr>
        <w:t>7)“投标文件”是指投标人根据本招标文件向招标人提交的全部文件。</w:t>
      </w:r>
    </w:p>
    <w:p>
      <w:pPr>
        <w:spacing w:line="490" w:lineRule="exact"/>
        <w:ind w:firstLine="480" w:firstLineChars="200"/>
        <w:rPr>
          <w:rFonts w:hint="eastAsia" w:ascii="宋体" w:hAnsi="宋体"/>
          <w:color w:val="000000"/>
          <w:sz w:val="24"/>
        </w:rPr>
      </w:pPr>
      <w:r>
        <w:rPr>
          <w:rFonts w:hint="eastAsia" w:ascii="宋体" w:hAnsi="宋体"/>
          <w:color w:val="000000"/>
          <w:sz w:val="24"/>
        </w:rPr>
        <w:t>8)“采购文件”是指包括采购活动记录、采购预算、招标文件、投标文件、评标标准、评标报告、定标文件、合同文本、验收证明、质疑答复、投诉处理决定及其他有关文件、资料。</w:t>
      </w:r>
    </w:p>
    <w:p>
      <w:pPr>
        <w:spacing w:line="490" w:lineRule="exact"/>
        <w:ind w:firstLine="480" w:firstLineChars="200"/>
        <w:rPr>
          <w:rFonts w:hint="eastAsia" w:ascii="宋体" w:hAnsi="宋体"/>
          <w:color w:val="000000"/>
          <w:sz w:val="24"/>
        </w:rPr>
      </w:pPr>
      <w:r>
        <w:rPr>
          <w:rFonts w:hint="eastAsia" w:ascii="宋体" w:hAnsi="宋体"/>
          <w:color w:val="000000"/>
          <w:sz w:val="24"/>
        </w:rPr>
        <w:t>9)“货物”是指投标人中标后根据招标文件和合同的规定须向采购人提供的各种形态和种类的物品，包括原材料、燃料、设备等。</w:t>
      </w:r>
    </w:p>
    <w:p>
      <w:pPr>
        <w:spacing w:line="490" w:lineRule="exact"/>
        <w:ind w:firstLine="480" w:firstLineChars="200"/>
        <w:rPr>
          <w:rFonts w:hint="eastAsia" w:ascii="宋体" w:hAnsi="宋体"/>
          <w:color w:val="000000"/>
          <w:sz w:val="24"/>
        </w:rPr>
      </w:pPr>
      <w:r>
        <w:rPr>
          <w:rFonts w:hint="eastAsia" w:ascii="宋体" w:hAnsi="宋体"/>
          <w:color w:val="000000"/>
          <w:sz w:val="24"/>
        </w:rPr>
        <w:t>10）“工程”是指建设工程，包括建筑物和构筑物的新建、改建、扩建、装修、拆除、修缮等。</w:t>
      </w:r>
    </w:p>
    <w:p>
      <w:pPr>
        <w:spacing w:line="490" w:lineRule="exact"/>
        <w:ind w:firstLine="480" w:firstLineChars="200"/>
        <w:rPr>
          <w:rFonts w:hint="eastAsia" w:ascii="宋体" w:hAnsi="宋体"/>
          <w:color w:val="000000"/>
          <w:sz w:val="24"/>
        </w:rPr>
      </w:pPr>
      <w:r>
        <w:rPr>
          <w:rFonts w:hint="eastAsia" w:ascii="宋体" w:hAnsi="宋体"/>
          <w:color w:val="000000"/>
          <w:sz w:val="24"/>
        </w:rPr>
        <w:t>11)“服务”是指投标人中标后根据招标文件和合同的规定承担与供货、安装有关的服务，包括运输、仓储、保险以及其它的伴随服务，如售后、维修、更换和应承担的其它义务。</w:t>
      </w:r>
    </w:p>
    <w:p>
      <w:pPr>
        <w:spacing w:line="490" w:lineRule="exact"/>
        <w:ind w:firstLine="480" w:firstLineChars="200"/>
        <w:rPr>
          <w:rFonts w:hint="eastAsia" w:ascii="宋体" w:hAnsi="宋体"/>
          <w:color w:val="000000"/>
          <w:sz w:val="24"/>
        </w:rPr>
      </w:pPr>
      <w:r>
        <w:rPr>
          <w:rFonts w:hint="eastAsia" w:ascii="宋体" w:hAnsi="宋体"/>
          <w:color w:val="000000"/>
          <w:sz w:val="24"/>
        </w:rPr>
        <w:t>12）“</w:t>
      </w:r>
      <w:r>
        <w:rPr>
          <w:rFonts w:ascii="宋体" w:hAnsi="宋体"/>
          <w:color w:val="000000"/>
          <w:sz w:val="24"/>
        </w:rPr>
        <w:t>自主创新产品</w:t>
      </w:r>
      <w:r>
        <w:rPr>
          <w:rFonts w:hint="eastAsia" w:ascii="宋体" w:hAnsi="宋体"/>
          <w:color w:val="000000"/>
          <w:sz w:val="24"/>
        </w:rPr>
        <w:t>”</w:t>
      </w:r>
      <w:r>
        <w:rPr>
          <w:rFonts w:ascii="宋体" w:hAnsi="宋体"/>
          <w:color w:val="000000"/>
          <w:sz w:val="24"/>
        </w:rPr>
        <w:t>是指纳入财政部公布的《政府采购自主创新产品目录》(以下简称目录)的货物和服务。目录由财政部会同科技部等有关部门在国家认定的自主创新产品范围内研究制订。</w:t>
      </w:r>
    </w:p>
    <w:p>
      <w:pPr>
        <w:spacing w:line="490" w:lineRule="exact"/>
        <w:ind w:firstLine="480" w:firstLineChars="200"/>
        <w:rPr>
          <w:rFonts w:hint="eastAsia" w:ascii="宋体" w:hAnsi="宋体"/>
          <w:color w:val="000000"/>
          <w:sz w:val="24"/>
        </w:rPr>
      </w:pPr>
      <w:r>
        <w:rPr>
          <w:rFonts w:hint="eastAsia" w:ascii="宋体" w:hAnsi="宋体"/>
          <w:color w:val="000000"/>
          <w:sz w:val="24"/>
        </w:rPr>
        <w:t>13)“书面形式”是指任何手写、打印或印刷的各种函件，不包括电传、电报、传真、电子邮件。</w:t>
      </w:r>
      <w:bookmarkStart w:id="11" w:name="_Toc128372732"/>
      <w:bookmarkStart w:id="12" w:name="_Toc128372054"/>
      <w:bookmarkStart w:id="13" w:name="_Toc139965328"/>
    </w:p>
    <w:bookmarkEnd w:id="11"/>
    <w:bookmarkEnd w:id="12"/>
    <w:bookmarkEnd w:id="13"/>
    <w:p>
      <w:pPr>
        <w:pStyle w:val="2"/>
        <w:rPr>
          <w:rFonts w:hint="eastAsia"/>
          <w:color w:val="000000"/>
        </w:rPr>
      </w:pPr>
      <w:bookmarkStart w:id="14" w:name="_Toc128372058"/>
      <w:bookmarkStart w:id="15" w:name="_Toc139965332"/>
      <w:bookmarkStart w:id="16" w:name="_Toc128372736"/>
      <w:bookmarkStart w:id="17" w:name="_Toc453596790"/>
      <w:r>
        <w:rPr>
          <w:rFonts w:hint="eastAsia"/>
          <w:color w:val="000000"/>
        </w:rPr>
        <w:t>2、 投标</w:t>
      </w:r>
      <w:bookmarkEnd w:id="14"/>
      <w:bookmarkEnd w:id="15"/>
      <w:bookmarkEnd w:id="16"/>
      <w:r>
        <w:rPr>
          <w:rFonts w:hint="eastAsia"/>
          <w:color w:val="000000"/>
        </w:rPr>
        <w:t>须知</w:t>
      </w:r>
      <w:bookmarkEnd w:id="17"/>
    </w:p>
    <w:p>
      <w:pPr>
        <w:pStyle w:val="3"/>
        <w:spacing w:before="0" w:after="0" w:line="500" w:lineRule="exact"/>
        <w:ind w:firstLine="482" w:firstLineChars="200"/>
        <w:jc w:val="both"/>
        <w:rPr>
          <w:rFonts w:hint="eastAsia" w:ascii="宋体" w:hAnsi="宋体"/>
          <w:color w:val="000000"/>
          <w:sz w:val="24"/>
        </w:rPr>
      </w:pPr>
      <w:bookmarkStart w:id="18" w:name="_Toc453596791"/>
      <w:r>
        <w:rPr>
          <w:rFonts w:hint="eastAsia" w:ascii="宋体" w:hAnsi="宋体"/>
          <w:color w:val="000000"/>
          <w:sz w:val="24"/>
        </w:rPr>
        <w:t>2.1 招标</w:t>
      </w:r>
      <w:bookmarkEnd w:id="18"/>
    </w:p>
    <w:p>
      <w:pPr>
        <w:pStyle w:val="4"/>
        <w:spacing w:line="500" w:lineRule="exact"/>
        <w:rPr>
          <w:rFonts w:hint="eastAsia"/>
          <w:color w:val="000000"/>
        </w:rPr>
      </w:pPr>
      <w:bookmarkStart w:id="19" w:name="_Toc453596792"/>
      <w:r>
        <w:rPr>
          <w:rFonts w:hint="eastAsia"/>
          <w:color w:val="000000"/>
        </w:rPr>
        <w:t>2.1.1 综合说明</w:t>
      </w:r>
      <w:bookmarkEnd w:id="19"/>
    </w:p>
    <w:p>
      <w:pPr>
        <w:spacing w:line="500" w:lineRule="exact"/>
        <w:ind w:firstLine="480" w:firstLineChars="200"/>
        <w:rPr>
          <w:rFonts w:hint="eastAsia" w:ascii="宋体" w:hAnsi="宋体"/>
          <w:color w:val="000000"/>
          <w:sz w:val="24"/>
        </w:rPr>
      </w:pPr>
      <w:r>
        <w:rPr>
          <w:rFonts w:hint="eastAsia" w:ascii="宋体" w:hAnsi="宋体"/>
          <w:color w:val="000000"/>
          <w:sz w:val="24"/>
        </w:rPr>
        <w:t>本项目按照《中华人民共和国政府采购法</w:t>
      </w:r>
      <w:r>
        <w:rPr>
          <w:rFonts w:hint="eastAsia" w:ascii="宋体" w:hAnsi="宋体"/>
          <w:sz w:val="24"/>
        </w:rPr>
        <w:t>》《中华人民共和国政府采购法实施条例》</w:t>
      </w:r>
      <w:r>
        <w:rPr>
          <w:rFonts w:hint="eastAsia" w:ascii="宋体" w:hAnsi="宋体"/>
          <w:color w:val="000000"/>
          <w:sz w:val="24"/>
        </w:rPr>
        <w:t>及相关法规，已办理招标申请，并得到行业主管部门审核批准，现通过招标来择优选定货物服务的供货商。</w:t>
      </w:r>
      <w:bookmarkStart w:id="20" w:name="_Toc139965329"/>
      <w:bookmarkStart w:id="21" w:name="_Toc128372733"/>
      <w:bookmarkStart w:id="22" w:name="_Toc128372055"/>
      <w:r>
        <w:rPr>
          <w:rFonts w:hint="eastAsia" w:ascii="宋体" w:hAnsi="宋体"/>
          <w:color w:val="000000"/>
          <w:sz w:val="24"/>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p>
    <w:p>
      <w:pPr>
        <w:pStyle w:val="4"/>
        <w:spacing w:line="500" w:lineRule="exact"/>
        <w:rPr>
          <w:rFonts w:hint="eastAsia"/>
          <w:color w:val="000000"/>
        </w:rPr>
      </w:pPr>
      <w:bookmarkStart w:id="23" w:name="_Toc453596793"/>
      <w:r>
        <w:rPr>
          <w:color w:val="000000"/>
        </w:rPr>
        <w:t>2.1.2</w:t>
      </w:r>
      <w:r>
        <w:rPr>
          <w:rFonts w:hint="eastAsia"/>
          <w:color w:val="000000"/>
        </w:rPr>
        <w:t xml:space="preserve"> 招标文件的构成</w:t>
      </w:r>
      <w:bookmarkEnd w:id="23"/>
    </w:p>
    <w:p>
      <w:pPr>
        <w:spacing w:line="500" w:lineRule="exact"/>
        <w:ind w:firstLine="480" w:firstLineChars="200"/>
        <w:rPr>
          <w:rFonts w:hint="eastAsia" w:ascii="宋体" w:hAns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（1）招标公告； </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（2）投标人须知及前附表；</w:t>
      </w:r>
    </w:p>
    <w:p>
      <w:pPr>
        <w:spacing w:line="500" w:lineRule="exact"/>
        <w:ind w:firstLine="480" w:firstLineChars="200"/>
        <w:rPr>
          <w:rFonts w:hint="eastAsia" w:ascii="宋体" w:hAnsi="宋体"/>
          <w:color w:val="000000"/>
          <w:sz w:val="24"/>
        </w:rPr>
      </w:pPr>
      <w:r>
        <w:rPr>
          <w:rFonts w:hint="eastAsia" w:ascii="宋体" w:hAnsi="宋体"/>
          <w:color w:val="000000"/>
          <w:sz w:val="24"/>
        </w:rPr>
        <w:t>（3）投标文件格式要求；</w:t>
      </w:r>
    </w:p>
    <w:p>
      <w:pPr>
        <w:spacing w:line="500" w:lineRule="exact"/>
        <w:ind w:firstLine="480" w:firstLineChars="200"/>
        <w:rPr>
          <w:rFonts w:hint="eastAsia" w:ascii="宋体" w:hAnsi="宋体"/>
          <w:color w:val="000000"/>
          <w:sz w:val="24"/>
        </w:rPr>
      </w:pPr>
      <w:r>
        <w:rPr>
          <w:rFonts w:hint="eastAsia" w:ascii="宋体" w:hAnsi="宋体"/>
          <w:color w:val="000000"/>
          <w:sz w:val="24"/>
        </w:rPr>
        <w:t>（4）投标人有关资格证明文件要求；</w:t>
      </w:r>
    </w:p>
    <w:p>
      <w:pPr>
        <w:spacing w:line="500" w:lineRule="exact"/>
        <w:ind w:firstLine="480" w:firstLineChars="200"/>
        <w:rPr>
          <w:rFonts w:hint="eastAsia" w:ascii="宋体" w:hAnsi="宋体"/>
          <w:color w:val="000000"/>
          <w:sz w:val="24"/>
        </w:rPr>
      </w:pPr>
      <w:r>
        <w:rPr>
          <w:rFonts w:hint="eastAsia" w:ascii="宋体" w:hAnsi="宋体"/>
          <w:color w:val="000000"/>
          <w:sz w:val="24"/>
        </w:rPr>
        <w:t>（5）招标项目及要求；</w:t>
      </w:r>
    </w:p>
    <w:p>
      <w:pPr>
        <w:spacing w:line="500" w:lineRule="exact"/>
        <w:ind w:firstLine="480" w:firstLineChars="200"/>
        <w:rPr>
          <w:rFonts w:hint="eastAsia" w:ascii="宋体" w:hAnsi="宋体"/>
          <w:color w:val="000000"/>
          <w:sz w:val="24"/>
        </w:rPr>
      </w:pPr>
      <w:r>
        <w:rPr>
          <w:rFonts w:hint="eastAsia" w:ascii="宋体" w:hAnsi="宋体"/>
          <w:color w:val="000000"/>
          <w:sz w:val="24"/>
        </w:rPr>
        <w:t>（6）评标办法；</w:t>
      </w:r>
    </w:p>
    <w:p>
      <w:pPr>
        <w:spacing w:line="500" w:lineRule="exact"/>
        <w:ind w:firstLine="480" w:firstLineChars="200"/>
        <w:rPr>
          <w:rFonts w:hint="eastAsia" w:ascii="宋体" w:hAnsi="宋体"/>
          <w:color w:val="000000"/>
          <w:sz w:val="24"/>
        </w:rPr>
      </w:pPr>
      <w:r>
        <w:rPr>
          <w:rFonts w:hint="eastAsia" w:ascii="宋体" w:hAnsi="宋体"/>
          <w:color w:val="000000"/>
          <w:sz w:val="24"/>
        </w:rPr>
        <w:t>（7）合同主要条款。</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应认真阅读和充分理解招标文件中所有的事项、格式条款和规范要求。投标人没有对招标文件全面做出实质性响应是投标人的风险。没有按照招标文件要求作出实质性响应的投标文件将被拒绝，为无效投标，其风险自行承担。</w:t>
      </w:r>
    </w:p>
    <w:bookmarkEnd w:id="20"/>
    <w:bookmarkEnd w:id="21"/>
    <w:bookmarkEnd w:id="22"/>
    <w:p>
      <w:pPr>
        <w:pStyle w:val="4"/>
        <w:spacing w:line="500" w:lineRule="exact"/>
        <w:rPr>
          <w:rFonts w:hint="eastAsia"/>
          <w:color w:val="000000"/>
        </w:rPr>
      </w:pPr>
      <w:bookmarkStart w:id="24" w:name="_Toc128372061"/>
      <w:bookmarkStart w:id="25" w:name="_Toc453596794"/>
      <w:bookmarkStart w:id="26" w:name="_Toc128372739"/>
      <w:bookmarkStart w:id="27" w:name="_Toc139965335"/>
      <w:r>
        <w:rPr>
          <w:rFonts w:hint="eastAsia"/>
          <w:color w:val="000000"/>
        </w:rPr>
        <w:t>2.1.3 招标文件的修改与补充</w:t>
      </w:r>
      <w:bookmarkEnd w:id="24"/>
      <w:bookmarkEnd w:id="25"/>
      <w:bookmarkEnd w:id="26"/>
      <w:bookmarkEnd w:id="27"/>
    </w:p>
    <w:p>
      <w:pPr>
        <w:spacing w:line="500" w:lineRule="exact"/>
        <w:ind w:firstLine="480" w:firstLineChars="200"/>
        <w:rPr>
          <w:rFonts w:hint="eastAsia" w:ascii="宋体" w:hAnsi="宋体"/>
          <w:color w:val="000000"/>
          <w:sz w:val="24"/>
        </w:rPr>
      </w:pPr>
      <w:r>
        <w:rPr>
          <w:rFonts w:hint="eastAsia" w:ascii="宋体" w:hAnsi="宋体"/>
          <w:color w:val="000000"/>
          <w:sz w:val="24"/>
        </w:rPr>
        <w:t>投标截止日期3天前，无论出于何种原因，采购人（招标代理机构）可主动地或在解答投标人提出的问题时对招标文件进行修改。</w:t>
      </w:r>
    </w:p>
    <w:p>
      <w:pPr>
        <w:spacing w:line="500" w:lineRule="exact"/>
        <w:ind w:firstLine="480" w:firstLineChars="200"/>
        <w:rPr>
          <w:rFonts w:hint="eastAsia" w:ascii="宋体" w:hAnsi="宋体"/>
          <w:color w:val="000000"/>
          <w:sz w:val="24"/>
        </w:rPr>
      </w:pPr>
      <w:r>
        <w:rPr>
          <w:rFonts w:hint="eastAsia" w:ascii="宋体" w:hAnsi="宋体"/>
          <w:color w:val="000000"/>
          <w:sz w:val="24"/>
        </w:rPr>
        <w:t>采购人（招标代理机构）对已发出的招标文件进行澄清或者修改，将在招标文件要求的提交投标文件截止时间15日前进行，并以书面形式将澄清或者修改的内容通知所有购买了招标文件的供应商；不足15日的，采购人（招标代理机构）应当顺延提交投标文件的截止时间，投标截止日发生变化的应在相应媒体发变更公告。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spacing w:line="500" w:lineRule="exact"/>
        <w:ind w:firstLine="480" w:firstLineChars="200"/>
        <w:rPr>
          <w:rFonts w:hint="eastAsia" w:ascii="宋体" w:hAnsi="宋体"/>
          <w:color w:val="000000"/>
          <w:sz w:val="24"/>
        </w:rPr>
      </w:pPr>
      <w:r>
        <w:rPr>
          <w:rFonts w:hint="eastAsia" w:ascii="宋体" w:hAnsi="宋体"/>
          <w:color w:val="000000"/>
          <w:sz w:val="24"/>
        </w:rPr>
        <w:t>为使投标人准备投标时有充分时间对招标文件的补充或修改内容进行考虑和研究或由于其他原因，招标人应根据相关法律条例规定，决定是否延长投标文件递交截止时间和开标时间，并将此变更通知上述每一投标人。</w:t>
      </w:r>
    </w:p>
    <w:p>
      <w:pPr>
        <w:pStyle w:val="4"/>
        <w:spacing w:line="500" w:lineRule="exact"/>
        <w:rPr>
          <w:rFonts w:hint="eastAsia"/>
          <w:color w:val="000000"/>
        </w:rPr>
      </w:pPr>
      <w:bookmarkStart w:id="28" w:name="_Toc453596795"/>
      <w:r>
        <w:rPr>
          <w:color w:val="000000"/>
        </w:rPr>
        <w:t>2.1.</w:t>
      </w:r>
      <w:r>
        <w:rPr>
          <w:rFonts w:hint="eastAsia"/>
          <w:color w:val="000000"/>
        </w:rPr>
        <w:t>4  答疑会和现场考察</w:t>
      </w:r>
      <w:bookmarkEnd w:id="28"/>
    </w:p>
    <w:p>
      <w:pPr>
        <w:spacing w:line="500" w:lineRule="exact"/>
        <w:ind w:firstLine="480" w:firstLineChars="200"/>
        <w:rPr>
          <w:rFonts w:hint="eastAsia" w:ascii="宋体" w:hAnsi="宋体"/>
          <w:color w:val="000000"/>
          <w:sz w:val="24"/>
        </w:rPr>
      </w:pPr>
      <w:r>
        <w:rPr>
          <w:rFonts w:hint="eastAsia" w:ascii="宋体" w:hAnsi="宋体"/>
          <w:color w:val="000000"/>
          <w:sz w:val="24"/>
        </w:rPr>
        <w:t>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spacing w:line="500" w:lineRule="exact"/>
        <w:ind w:firstLine="480" w:firstLineChars="200"/>
        <w:rPr>
          <w:rFonts w:hint="eastAsia" w:ascii="宋体" w:hAnsi="宋体"/>
          <w:color w:val="000000"/>
          <w:sz w:val="24"/>
        </w:rPr>
      </w:pPr>
      <w:r>
        <w:rPr>
          <w:rFonts w:hint="eastAsia" w:ascii="宋体" w:hAnsi="宋体"/>
          <w:color w:val="000000"/>
          <w:sz w:val="24"/>
        </w:rPr>
        <w:t>供应商考察现场所发生的一切费用由供应商自己承担。</w:t>
      </w:r>
    </w:p>
    <w:p>
      <w:pPr>
        <w:pStyle w:val="3"/>
        <w:spacing w:before="0" w:after="0" w:line="500" w:lineRule="exact"/>
        <w:ind w:firstLine="482" w:firstLineChars="200"/>
        <w:jc w:val="both"/>
        <w:rPr>
          <w:rFonts w:hint="eastAsia" w:ascii="宋体" w:hAnsi="宋体"/>
          <w:color w:val="000000"/>
          <w:sz w:val="24"/>
        </w:rPr>
      </w:pPr>
      <w:bookmarkStart w:id="29" w:name="_Toc453596796"/>
      <w:r>
        <w:rPr>
          <w:rFonts w:hint="eastAsia" w:ascii="宋体" w:hAnsi="宋体"/>
          <w:color w:val="000000"/>
          <w:sz w:val="24"/>
        </w:rPr>
        <w:t>2.2 投标</w:t>
      </w:r>
      <w:bookmarkEnd w:id="29"/>
      <w:r>
        <w:rPr>
          <w:rFonts w:hint="eastAsia" w:ascii="宋体" w:hAnsi="宋体"/>
          <w:color w:val="000000"/>
          <w:sz w:val="24"/>
        </w:rPr>
        <w:t xml:space="preserve"> </w:t>
      </w:r>
    </w:p>
    <w:p>
      <w:pPr>
        <w:pStyle w:val="4"/>
        <w:spacing w:line="500" w:lineRule="exact"/>
        <w:rPr>
          <w:rFonts w:hint="eastAsia"/>
          <w:color w:val="000000"/>
        </w:rPr>
      </w:pPr>
      <w:bookmarkStart w:id="30" w:name="_Toc453596797"/>
      <w:r>
        <w:rPr>
          <w:color w:val="000000"/>
        </w:rPr>
        <w:t>2.2.1</w:t>
      </w:r>
      <w:r>
        <w:rPr>
          <w:rFonts w:hint="eastAsia"/>
          <w:color w:val="000000"/>
        </w:rPr>
        <w:t>投标文件的语言</w:t>
      </w:r>
      <w:bookmarkEnd w:id="30"/>
    </w:p>
    <w:p>
      <w:pPr>
        <w:pStyle w:val="4"/>
        <w:spacing w:line="500" w:lineRule="exact"/>
        <w:ind w:firstLine="480"/>
        <w:rPr>
          <w:rFonts w:hint="eastAsia" w:cs="Times New Roman"/>
          <w:b w:val="0"/>
          <w:color w:val="000000"/>
          <w:lang w:val="en-US"/>
        </w:rPr>
      </w:pPr>
      <w:bookmarkStart w:id="31" w:name="_Toc418157037"/>
      <w:bookmarkStart w:id="32" w:name="_Toc434942510"/>
      <w:bookmarkStart w:id="33" w:name="_Toc434942389"/>
      <w:bookmarkStart w:id="34" w:name="_Toc453596798"/>
      <w:bookmarkStart w:id="35" w:name="_Toc415577045"/>
      <w:bookmarkStart w:id="36" w:name="_Toc434942834"/>
      <w:bookmarkStart w:id="37" w:name="_Toc418087279"/>
      <w:r>
        <w:rPr>
          <w:rFonts w:hint="eastAsia" w:cs="Times New Roman"/>
          <w:b w:val="0"/>
          <w:color w:val="000000"/>
          <w:lang w:val="en-US"/>
        </w:rPr>
        <w:t>投标人提交的投标文件以及投标人与招标采购单位就有关投标的所有来往书面文件均须使用中文。投标文件中如附有外文资料，必须逐一对应翻译成中文并加盖投标人鲜章后附在相关外文资料后面，否则，投标人的投标文件将作为无效投标处理。</w:t>
      </w:r>
      <w:bookmarkEnd w:id="31"/>
      <w:bookmarkEnd w:id="32"/>
      <w:bookmarkEnd w:id="33"/>
      <w:bookmarkEnd w:id="34"/>
      <w:bookmarkEnd w:id="35"/>
      <w:bookmarkEnd w:id="36"/>
      <w:bookmarkEnd w:id="37"/>
    </w:p>
    <w:p>
      <w:pPr>
        <w:pStyle w:val="4"/>
        <w:spacing w:line="500" w:lineRule="exact"/>
        <w:ind w:firstLine="480"/>
        <w:rPr>
          <w:rFonts w:hint="eastAsia"/>
          <w:color w:val="000000"/>
        </w:rPr>
      </w:pPr>
      <w:bookmarkStart w:id="38" w:name="_Toc434942390"/>
      <w:bookmarkStart w:id="39" w:name="_Toc453596799"/>
      <w:bookmarkStart w:id="40" w:name="_Toc434942835"/>
      <w:bookmarkStart w:id="41" w:name="_Toc434942511"/>
      <w:bookmarkStart w:id="42" w:name="_Toc415577046"/>
      <w:bookmarkStart w:id="43" w:name="_Toc418087280"/>
      <w:bookmarkStart w:id="44" w:name="_Toc418157038"/>
      <w:r>
        <w:rPr>
          <w:rFonts w:hint="eastAsia" w:cs="Times New Roman"/>
          <w:b w:val="0"/>
          <w:color w:val="000000"/>
          <w:lang w:val="en-US"/>
        </w:rPr>
        <w:t>翻译的中文资料与外文资料如果出现差异和矛盾时，以中文为准。但不能故意错误翻译，否则，投标人的投标文件将作为无效投标处理。</w:t>
      </w:r>
      <w:bookmarkEnd w:id="38"/>
      <w:bookmarkEnd w:id="39"/>
      <w:bookmarkEnd w:id="40"/>
      <w:bookmarkEnd w:id="41"/>
      <w:bookmarkEnd w:id="42"/>
      <w:bookmarkEnd w:id="43"/>
      <w:bookmarkEnd w:id="44"/>
    </w:p>
    <w:p>
      <w:pPr>
        <w:pStyle w:val="4"/>
        <w:spacing w:line="500" w:lineRule="exact"/>
        <w:rPr>
          <w:rFonts w:hint="eastAsia"/>
          <w:color w:val="000000"/>
        </w:rPr>
      </w:pPr>
      <w:bookmarkStart w:id="45" w:name="_Toc453596800"/>
      <w:r>
        <w:rPr>
          <w:color w:val="000000"/>
        </w:rPr>
        <w:t>2.2.</w:t>
      </w:r>
      <w:r>
        <w:rPr>
          <w:rFonts w:hint="eastAsia"/>
          <w:color w:val="000000"/>
        </w:rPr>
        <w:t>2计量单位</w:t>
      </w:r>
      <w:bookmarkEnd w:id="45"/>
    </w:p>
    <w:p>
      <w:pPr>
        <w:pStyle w:val="4"/>
        <w:spacing w:line="500" w:lineRule="exact"/>
        <w:ind w:firstLine="480"/>
        <w:rPr>
          <w:rFonts w:hint="eastAsia"/>
          <w:color w:val="000000"/>
        </w:rPr>
      </w:pPr>
      <w:bookmarkStart w:id="46" w:name="_Toc453596801"/>
      <w:bookmarkStart w:id="47" w:name="_Toc434942392"/>
      <w:bookmarkStart w:id="48" w:name="_Toc415577048"/>
      <w:bookmarkStart w:id="49" w:name="_Toc418087282"/>
      <w:bookmarkStart w:id="50" w:name="_Toc434942837"/>
      <w:bookmarkStart w:id="51" w:name="_Toc418157040"/>
      <w:bookmarkStart w:id="52" w:name="_Toc434942513"/>
      <w:r>
        <w:rPr>
          <w:rFonts w:hint="eastAsia" w:cs="Times New Roman"/>
          <w:b w:val="0"/>
          <w:color w:val="000000"/>
          <w:lang w:val="en-US"/>
        </w:rPr>
        <w:t>除技术规格及要求中另有规定外，本采购项下的投标均采用国家法定的计量单位。</w:t>
      </w:r>
      <w:bookmarkEnd w:id="46"/>
      <w:bookmarkEnd w:id="47"/>
      <w:bookmarkEnd w:id="48"/>
      <w:bookmarkEnd w:id="49"/>
      <w:bookmarkEnd w:id="50"/>
      <w:bookmarkEnd w:id="51"/>
      <w:bookmarkEnd w:id="52"/>
    </w:p>
    <w:p>
      <w:pPr>
        <w:pStyle w:val="4"/>
        <w:spacing w:line="500" w:lineRule="exact"/>
        <w:rPr>
          <w:rFonts w:hint="eastAsia"/>
          <w:color w:val="000000"/>
        </w:rPr>
      </w:pPr>
      <w:bookmarkStart w:id="53" w:name="_Toc453596802"/>
      <w:r>
        <w:rPr>
          <w:color w:val="000000"/>
        </w:rPr>
        <w:t>2.2.3</w:t>
      </w:r>
      <w:r>
        <w:rPr>
          <w:rFonts w:hint="eastAsia"/>
          <w:color w:val="000000"/>
        </w:rPr>
        <w:t>投标货币</w:t>
      </w:r>
      <w:bookmarkEnd w:id="53"/>
    </w:p>
    <w:p>
      <w:pPr>
        <w:pStyle w:val="4"/>
        <w:spacing w:line="500" w:lineRule="exact"/>
        <w:ind w:firstLine="480"/>
        <w:rPr>
          <w:rFonts w:hint="eastAsia"/>
          <w:color w:val="000000"/>
        </w:rPr>
      </w:pPr>
      <w:bookmarkStart w:id="54" w:name="_Toc434942839"/>
      <w:bookmarkStart w:id="55" w:name="_Toc453596803"/>
      <w:bookmarkStart w:id="56" w:name="_Toc418087284"/>
      <w:bookmarkStart w:id="57" w:name="_Toc434942515"/>
      <w:bookmarkStart w:id="58" w:name="_Toc434942394"/>
      <w:bookmarkStart w:id="59" w:name="_Toc418157042"/>
      <w:bookmarkStart w:id="60" w:name="_Toc415577050"/>
      <w:r>
        <w:rPr>
          <w:rFonts w:hint="eastAsia" w:cs="Times New Roman"/>
          <w:b w:val="0"/>
          <w:color w:val="000000"/>
          <w:lang w:val="en-US"/>
        </w:rPr>
        <w:t>本次招标项目的投标均以人民币报价。</w:t>
      </w:r>
      <w:bookmarkEnd w:id="54"/>
      <w:bookmarkEnd w:id="55"/>
      <w:bookmarkEnd w:id="56"/>
      <w:bookmarkEnd w:id="57"/>
      <w:bookmarkEnd w:id="58"/>
      <w:bookmarkEnd w:id="59"/>
      <w:bookmarkEnd w:id="60"/>
    </w:p>
    <w:p>
      <w:pPr>
        <w:pStyle w:val="4"/>
        <w:spacing w:line="500" w:lineRule="exact"/>
        <w:rPr>
          <w:color w:val="000000"/>
        </w:rPr>
      </w:pPr>
      <w:bookmarkStart w:id="61" w:name="_Toc453596804"/>
      <w:r>
        <w:rPr>
          <w:color w:val="000000"/>
        </w:rPr>
        <w:t>2.2.</w:t>
      </w:r>
      <w:r>
        <w:rPr>
          <w:rFonts w:hint="eastAsia"/>
          <w:color w:val="000000"/>
        </w:rPr>
        <w:t>4联合投标(本项目不适用联合体投标)</w:t>
      </w:r>
      <w:bookmarkEnd w:id="61"/>
    </w:p>
    <w:p>
      <w:pPr>
        <w:pStyle w:val="4"/>
        <w:spacing w:line="500" w:lineRule="exact"/>
        <w:ind w:firstLine="480"/>
        <w:rPr>
          <w:rFonts w:hint="eastAsia" w:cs="Times New Roman"/>
          <w:b w:val="0"/>
          <w:color w:val="000000"/>
          <w:lang w:val="en-US"/>
        </w:rPr>
      </w:pPr>
      <w:bookmarkStart w:id="62" w:name="_Toc415577052"/>
      <w:bookmarkStart w:id="63" w:name="_Toc434942517"/>
      <w:bookmarkStart w:id="64" w:name="_Toc434942396"/>
      <w:bookmarkStart w:id="65" w:name="_Toc418157044"/>
      <w:bookmarkStart w:id="66" w:name="_Toc418087286"/>
      <w:bookmarkStart w:id="67" w:name="_Toc453596805"/>
      <w:bookmarkStart w:id="68" w:name="_Toc434942841"/>
      <w:r>
        <w:rPr>
          <w:rFonts w:hint="eastAsia" w:cs="Times New Roman"/>
          <w:b w:val="0"/>
          <w:color w:val="000000"/>
          <w:lang w:val="en-US"/>
        </w:rPr>
        <w:t>两个以上供应商可以组成一个投标联合体，以一个投标人的身份投标。以联合体形式参加投标的，联合体各方均应当符合《政府采购法》第二十二条第一款规定的条件及实施条例的规定。</w:t>
      </w:r>
      <w:bookmarkEnd w:id="62"/>
      <w:bookmarkEnd w:id="63"/>
      <w:bookmarkEnd w:id="64"/>
      <w:bookmarkEnd w:id="65"/>
      <w:bookmarkEnd w:id="66"/>
      <w:bookmarkEnd w:id="67"/>
      <w:bookmarkEnd w:id="68"/>
    </w:p>
    <w:p>
      <w:pPr>
        <w:pStyle w:val="4"/>
        <w:spacing w:line="500" w:lineRule="exact"/>
        <w:ind w:firstLine="480"/>
        <w:rPr>
          <w:rFonts w:cs="Times New Roman"/>
          <w:b w:val="0"/>
          <w:color w:val="000000"/>
          <w:lang w:val="en-US"/>
        </w:rPr>
      </w:pPr>
      <w:bookmarkStart w:id="69" w:name="_Toc453596806"/>
      <w:bookmarkStart w:id="70" w:name="_Toc434942518"/>
      <w:bookmarkStart w:id="71" w:name="_Toc434942842"/>
      <w:bookmarkStart w:id="72" w:name="_Toc434942397"/>
      <w:bookmarkStart w:id="73" w:name="_Toc418157045"/>
      <w:bookmarkStart w:id="74" w:name="_Toc418087287"/>
      <w:bookmarkStart w:id="75" w:name="_Toc415577053"/>
      <w:r>
        <w:rPr>
          <w:rFonts w:hint="eastAsia" w:cs="Times New Roman"/>
          <w:b w:val="0"/>
          <w:color w:val="000000"/>
          <w:lang w:val="en-US"/>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bookmarkEnd w:id="69"/>
      <w:bookmarkEnd w:id="70"/>
      <w:bookmarkEnd w:id="71"/>
      <w:bookmarkEnd w:id="72"/>
      <w:bookmarkEnd w:id="73"/>
      <w:bookmarkEnd w:id="74"/>
      <w:bookmarkEnd w:id="75"/>
    </w:p>
    <w:p>
      <w:pPr>
        <w:pStyle w:val="4"/>
        <w:spacing w:line="500" w:lineRule="exact"/>
        <w:ind w:firstLine="480"/>
        <w:rPr>
          <w:rFonts w:cs="Times New Roman"/>
          <w:b w:val="0"/>
          <w:color w:val="000000"/>
          <w:lang w:val="en-US"/>
        </w:rPr>
      </w:pPr>
      <w:bookmarkStart w:id="76" w:name="_Toc418087288"/>
      <w:bookmarkStart w:id="77" w:name="_Toc415577054"/>
      <w:bookmarkStart w:id="78" w:name="_Toc453596807"/>
      <w:bookmarkStart w:id="79" w:name="_Toc434942843"/>
      <w:bookmarkStart w:id="80" w:name="_Toc434942519"/>
      <w:bookmarkStart w:id="81" w:name="_Toc434942398"/>
      <w:bookmarkStart w:id="82" w:name="_Toc418157046"/>
      <w:r>
        <w:rPr>
          <w:rFonts w:hint="eastAsia" w:cs="Times New Roman"/>
          <w:b w:val="0"/>
          <w:color w:val="000000"/>
          <w:lang w:val="en-US"/>
        </w:rPr>
        <w:t>联合体应当确定其中一个单位为投标的全权代表，负责参加投标的一切事务，并承担投标及履约中应承担的全部责任与义务。</w:t>
      </w:r>
      <w:bookmarkEnd w:id="76"/>
      <w:bookmarkEnd w:id="77"/>
      <w:bookmarkEnd w:id="78"/>
      <w:bookmarkEnd w:id="79"/>
      <w:bookmarkEnd w:id="80"/>
      <w:bookmarkEnd w:id="81"/>
      <w:bookmarkEnd w:id="82"/>
    </w:p>
    <w:p>
      <w:pPr>
        <w:pStyle w:val="4"/>
        <w:spacing w:line="500" w:lineRule="exact"/>
        <w:ind w:firstLine="480"/>
        <w:rPr>
          <w:color w:val="000000"/>
        </w:rPr>
      </w:pPr>
      <w:bookmarkStart w:id="83" w:name="_Toc453596808"/>
      <w:bookmarkStart w:id="84" w:name="_Toc434942844"/>
      <w:bookmarkStart w:id="85" w:name="_Toc434942520"/>
      <w:bookmarkStart w:id="86" w:name="_Toc418087289"/>
      <w:bookmarkStart w:id="87" w:name="_Toc434942399"/>
      <w:bookmarkStart w:id="88" w:name="_Toc418157047"/>
      <w:bookmarkStart w:id="89" w:name="_Toc415577055"/>
      <w:r>
        <w:rPr>
          <w:rFonts w:hint="eastAsia" w:cs="Times New Roman"/>
          <w:b w:val="0"/>
          <w:color w:val="000000"/>
          <w:lang w:val="en-US"/>
        </w:rPr>
        <w:t>联合体各方应当共同与采购人签订采购合同，就采购合同约定的事项对采购人承担连带责任。</w:t>
      </w:r>
      <w:bookmarkEnd w:id="83"/>
      <w:bookmarkEnd w:id="84"/>
      <w:bookmarkEnd w:id="85"/>
      <w:bookmarkEnd w:id="86"/>
      <w:bookmarkEnd w:id="87"/>
      <w:bookmarkEnd w:id="88"/>
      <w:bookmarkEnd w:id="89"/>
    </w:p>
    <w:p>
      <w:pPr>
        <w:pStyle w:val="4"/>
        <w:spacing w:line="500" w:lineRule="exact"/>
        <w:rPr>
          <w:color w:val="000000"/>
        </w:rPr>
      </w:pPr>
      <w:bookmarkStart w:id="90" w:name="_Toc453596809"/>
      <w:r>
        <w:rPr>
          <w:color w:val="000000"/>
        </w:rPr>
        <w:t>2.2.</w:t>
      </w:r>
      <w:r>
        <w:rPr>
          <w:rFonts w:hint="eastAsia"/>
          <w:color w:val="000000"/>
        </w:rPr>
        <w:t>5知识产权</w:t>
      </w:r>
      <w:bookmarkEnd w:id="90"/>
    </w:p>
    <w:p>
      <w:pPr>
        <w:pStyle w:val="4"/>
        <w:spacing w:line="500" w:lineRule="exact"/>
        <w:ind w:firstLine="480"/>
        <w:rPr>
          <w:rFonts w:cs="Times New Roman"/>
          <w:b w:val="0"/>
          <w:color w:val="000000"/>
          <w:lang w:val="en-US"/>
        </w:rPr>
      </w:pPr>
      <w:bookmarkStart w:id="91" w:name="_Toc453596810"/>
      <w:bookmarkStart w:id="92" w:name="_Toc418157049"/>
      <w:bookmarkStart w:id="93" w:name="_Toc434942522"/>
      <w:bookmarkStart w:id="94" w:name="_Toc418087291"/>
      <w:bookmarkStart w:id="95" w:name="_Toc434942401"/>
      <w:bookmarkStart w:id="96" w:name="_Toc434942846"/>
      <w:bookmarkStart w:id="97" w:name="_Toc415577057"/>
      <w:r>
        <w:rPr>
          <w:rFonts w:hint="eastAsia" w:cs="Times New Roman"/>
          <w:b w:val="0"/>
          <w:color w:val="000000"/>
          <w:lang w:val="en-US"/>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End w:id="91"/>
      <w:bookmarkEnd w:id="92"/>
      <w:bookmarkEnd w:id="93"/>
      <w:bookmarkEnd w:id="94"/>
      <w:bookmarkEnd w:id="95"/>
      <w:bookmarkEnd w:id="96"/>
      <w:bookmarkEnd w:id="97"/>
    </w:p>
    <w:p>
      <w:pPr>
        <w:pStyle w:val="4"/>
        <w:spacing w:line="500" w:lineRule="exact"/>
        <w:ind w:firstLine="480"/>
        <w:rPr>
          <w:rFonts w:cs="Times New Roman"/>
          <w:b w:val="0"/>
          <w:color w:val="000000"/>
          <w:lang w:val="en-US"/>
        </w:rPr>
      </w:pPr>
      <w:bookmarkStart w:id="98" w:name="_Toc418087292"/>
      <w:bookmarkStart w:id="99" w:name="_Toc434942402"/>
      <w:bookmarkStart w:id="100" w:name="_Toc453596811"/>
      <w:bookmarkStart w:id="101" w:name="_Toc434942523"/>
      <w:bookmarkStart w:id="102" w:name="_Toc434942847"/>
      <w:bookmarkStart w:id="103" w:name="_Toc415577058"/>
      <w:bookmarkStart w:id="104" w:name="_Toc418157050"/>
      <w:r>
        <w:rPr>
          <w:rFonts w:hint="eastAsia" w:cs="Times New Roman"/>
          <w:b w:val="0"/>
          <w:color w:val="000000"/>
          <w:lang w:val="en-US"/>
        </w:rPr>
        <w:t>采购人享有本项目实施过程中产生的知识成果及知识产权。</w:t>
      </w:r>
      <w:bookmarkEnd w:id="98"/>
      <w:bookmarkEnd w:id="99"/>
      <w:bookmarkEnd w:id="100"/>
      <w:bookmarkEnd w:id="101"/>
      <w:bookmarkEnd w:id="102"/>
      <w:bookmarkEnd w:id="103"/>
      <w:bookmarkEnd w:id="104"/>
    </w:p>
    <w:p>
      <w:pPr>
        <w:pStyle w:val="4"/>
        <w:spacing w:line="500" w:lineRule="exact"/>
        <w:ind w:firstLine="480"/>
        <w:rPr>
          <w:rFonts w:cs="Times New Roman"/>
          <w:b w:val="0"/>
          <w:color w:val="000000"/>
          <w:lang w:val="en-US"/>
        </w:rPr>
      </w:pPr>
      <w:bookmarkStart w:id="105" w:name="_Toc418157051"/>
      <w:bookmarkStart w:id="106" w:name="_Toc418087293"/>
      <w:bookmarkStart w:id="107" w:name="_Toc434942403"/>
      <w:bookmarkStart w:id="108" w:name="_Toc434942848"/>
      <w:bookmarkStart w:id="109" w:name="_Toc415577059"/>
      <w:bookmarkStart w:id="110" w:name="_Toc434942524"/>
      <w:bookmarkStart w:id="111" w:name="_Toc453596812"/>
      <w:r>
        <w:rPr>
          <w:rFonts w:hint="eastAsia" w:cs="Times New Roman"/>
          <w:b w:val="0"/>
          <w:color w:val="000000"/>
          <w:lang w:val="en-US"/>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bookmarkEnd w:id="105"/>
      <w:bookmarkEnd w:id="106"/>
      <w:bookmarkEnd w:id="107"/>
      <w:bookmarkEnd w:id="108"/>
      <w:bookmarkEnd w:id="109"/>
      <w:bookmarkEnd w:id="110"/>
      <w:bookmarkEnd w:id="111"/>
    </w:p>
    <w:p>
      <w:pPr>
        <w:pStyle w:val="4"/>
        <w:spacing w:line="500" w:lineRule="exact"/>
        <w:ind w:firstLine="480"/>
        <w:rPr>
          <w:rFonts w:hint="eastAsia" w:cs="Times New Roman"/>
          <w:b w:val="0"/>
          <w:color w:val="000000"/>
          <w:lang w:val="en-US"/>
        </w:rPr>
      </w:pPr>
      <w:bookmarkStart w:id="112" w:name="_Toc434942849"/>
      <w:bookmarkStart w:id="113" w:name="_Toc415577060"/>
      <w:bookmarkStart w:id="114" w:name="_Toc453596813"/>
      <w:bookmarkStart w:id="115" w:name="_Toc434942525"/>
      <w:bookmarkStart w:id="116" w:name="_Toc418087294"/>
      <w:bookmarkStart w:id="117" w:name="_Toc434942404"/>
      <w:bookmarkStart w:id="118" w:name="_Toc418157052"/>
      <w:r>
        <w:rPr>
          <w:rFonts w:hint="eastAsia" w:cs="Times New Roman"/>
          <w:b w:val="0"/>
          <w:color w:val="000000"/>
          <w:lang w:val="en-US"/>
        </w:rPr>
        <w:t>如采用投标人所不拥有的知识产权，则在投标报价中必须包括合法获取该知识产权的相关费用。</w:t>
      </w:r>
      <w:bookmarkEnd w:id="112"/>
      <w:bookmarkEnd w:id="113"/>
      <w:bookmarkEnd w:id="114"/>
      <w:bookmarkEnd w:id="115"/>
      <w:bookmarkEnd w:id="116"/>
      <w:bookmarkEnd w:id="117"/>
      <w:bookmarkEnd w:id="118"/>
      <w:r>
        <w:rPr>
          <w:rFonts w:hint="eastAsia" w:cs="Times New Roman"/>
          <w:b w:val="0"/>
          <w:color w:val="000000"/>
          <w:lang w:val="en-US"/>
        </w:rPr>
        <w:t xml:space="preserve"> </w:t>
      </w:r>
    </w:p>
    <w:p>
      <w:pPr>
        <w:pStyle w:val="4"/>
        <w:spacing w:line="500" w:lineRule="exact"/>
        <w:rPr>
          <w:rFonts w:hint="eastAsia"/>
          <w:color w:val="000000"/>
        </w:rPr>
      </w:pPr>
      <w:bookmarkStart w:id="119" w:name="_Toc453596814"/>
      <w:r>
        <w:rPr>
          <w:rFonts w:hint="eastAsia"/>
          <w:color w:val="000000"/>
        </w:rPr>
        <w:t>2.2.6投标综合要求及说明</w:t>
      </w:r>
      <w:bookmarkEnd w:id="119"/>
    </w:p>
    <w:p>
      <w:pPr>
        <w:spacing w:line="500" w:lineRule="exact"/>
        <w:ind w:firstLine="480" w:firstLineChars="200"/>
        <w:rPr>
          <w:rFonts w:hint="eastAsia" w:ascii="宋体" w:hAnsi="宋体"/>
          <w:color w:val="000000"/>
          <w:sz w:val="24"/>
        </w:rPr>
      </w:pPr>
      <w:r>
        <w:rPr>
          <w:rFonts w:hint="eastAsia" w:ascii="宋体" w:hAnsi="宋体"/>
          <w:color w:val="000000"/>
          <w:sz w:val="24"/>
        </w:rPr>
        <w:t>1）投标人投标应按照招标人标书要求只能报一个方案进行投标，否则按无效投标处理；</w:t>
      </w:r>
    </w:p>
    <w:p>
      <w:pPr>
        <w:spacing w:line="500" w:lineRule="exact"/>
        <w:ind w:firstLine="480" w:firstLineChars="200"/>
        <w:rPr>
          <w:rFonts w:hint="eastAsia" w:ascii="宋体" w:hAnsi="宋体"/>
          <w:color w:val="000000"/>
          <w:sz w:val="24"/>
          <w:szCs w:val="32"/>
        </w:rPr>
      </w:pPr>
      <w:r>
        <w:rPr>
          <w:rFonts w:hint="eastAsia" w:ascii="宋体" w:hAnsi="宋体"/>
          <w:color w:val="000000"/>
          <w:sz w:val="24"/>
        </w:rPr>
        <w:t>2）投标人对投标产品技术性能的描述因欠缺或漏报而影响对投标人投标文件的评比，不利后果由投标人承担；</w:t>
      </w:r>
    </w:p>
    <w:p>
      <w:pPr>
        <w:spacing w:line="500" w:lineRule="exact"/>
        <w:ind w:firstLine="480" w:firstLineChars="200"/>
        <w:rPr>
          <w:rFonts w:hint="eastAsia" w:ascii="宋体" w:hAnsi="宋体"/>
          <w:color w:val="000000"/>
          <w:sz w:val="24"/>
        </w:rPr>
      </w:pPr>
      <w:r>
        <w:rPr>
          <w:rFonts w:hint="eastAsia" w:ascii="宋体" w:hAnsi="宋体"/>
          <w:color w:val="000000"/>
          <w:sz w:val="24"/>
        </w:rPr>
        <w:t>3）投标人在投标文件中所列出的所有货物、配件、软件等均视为包含在投标项目以及报价中；</w:t>
      </w:r>
    </w:p>
    <w:p>
      <w:pPr>
        <w:spacing w:line="500" w:lineRule="exact"/>
        <w:ind w:firstLine="480" w:firstLineChars="200"/>
        <w:rPr>
          <w:rFonts w:hint="eastAsia" w:ascii="宋体" w:hAnsi="宋体"/>
          <w:color w:val="000000"/>
          <w:sz w:val="24"/>
        </w:rPr>
      </w:pPr>
      <w:r>
        <w:rPr>
          <w:rFonts w:hint="eastAsia" w:ascii="宋体" w:hAnsi="宋体"/>
          <w:color w:val="000000"/>
          <w:sz w:val="24"/>
        </w:rPr>
        <w:t>4）投标人在本次项目中所提供的货物对于招标文件中的重要技术参数要求必须满足，并提供生产厂家的授权文件，必须符合国家相关规定的要求，否则视无效投标；</w:t>
      </w:r>
    </w:p>
    <w:p>
      <w:pPr>
        <w:spacing w:line="500" w:lineRule="exact"/>
        <w:ind w:firstLine="480" w:firstLineChars="200"/>
        <w:rPr>
          <w:rFonts w:hint="eastAsia" w:ascii="宋体" w:hAnsi="宋体"/>
          <w:color w:val="000000"/>
          <w:sz w:val="24"/>
        </w:rPr>
      </w:pPr>
      <w:r>
        <w:rPr>
          <w:rFonts w:hint="eastAsia" w:ascii="宋体" w:hAnsi="宋体"/>
          <w:color w:val="000000"/>
          <w:sz w:val="24"/>
        </w:rPr>
        <w:t>5)同一品牌同一型号产品只能由一家供应商参加，如果有多家代理商参加同一品牌同一型号产品投标的，评标中在其他条件合格的前提下，选取报价最低的供应商进入评标，舍掉其他供应商。</w:t>
      </w:r>
      <w:r>
        <w:rPr>
          <w:rFonts w:hint="eastAsia"/>
          <w:sz w:val="24"/>
        </w:rPr>
        <w:t>（财办库[2003]38号）</w:t>
      </w:r>
    </w:p>
    <w:p>
      <w:pPr>
        <w:spacing w:line="500" w:lineRule="exact"/>
        <w:ind w:firstLine="480" w:firstLineChars="200"/>
        <w:rPr>
          <w:rFonts w:hint="eastAsia" w:ascii="宋体" w:hAnsi="宋体"/>
          <w:color w:val="FF0000"/>
          <w:sz w:val="24"/>
        </w:rPr>
      </w:pPr>
      <w:r>
        <w:rPr>
          <w:rFonts w:hint="eastAsia" w:ascii="宋体" w:hAnsi="宋体"/>
          <w:sz w:val="24"/>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hint="eastAsia" w:ascii="宋体" w:hAnsi="宋体"/>
          <w:color w:val="000000"/>
          <w:sz w:val="24"/>
        </w:rPr>
      </w:pPr>
      <w:r>
        <w:rPr>
          <w:rFonts w:hint="eastAsia" w:ascii="宋体" w:hAnsi="宋体"/>
          <w:color w:val="000000"/>
          <w:sz w:val="24"/>
        </w:rPr>
        <w:t>7）招标人发现具有《政府采购法》第七十七条中第一至五项情形之一和财政部令[2004]第18号中第七十四条第一至五项情形之一的及第七十七条规定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spacing w:line="500" w:lineRule="exact"/>
        <w:ind w:firstLine="480" w:firstLineChars="200"/>
        <w:rPr>
          <w:rFonts w:hint="eastAsia" w:ascii="宋体" w:hAnsi="宋体"/>
          <w:color w:val="000000"/>
          <w:sz w:val="24"/>
        </w:rPr>
      </w:pPr>
      <w:r>
        <w:rPr>
          <w:rFonts w:hint="eastAsia" w:ascii="宋体" w:hAnsi="宋体"/>
          <w:color w:val="000000"/>
          <w:sz w:val="24"/>
        </w:rPr>
        <w:t>8）招标人可视投标品目价格情况适当增加或减少采购数量，并保留拆包或取消采购某些品目的权力；</w:t>
      </w:r>
    </w:p>
    <w:p>
      <w:pPr>
        <w:spacing w:line="500" w:lineRule="exact"/>
        <w:ind w:firstLine="480" w:firstLineChars="200"/>
        <w:rPr>
          <w:rFonts w:hint="eastAsia"/>
          <w:color w:val="000000"/>
        </w:rPr>
      </w:pPr>
      <w:r>
        <w:rPr>
          <w:rFonts w:hint="eastAsia" w:ascii="宋体" w:hAnsi="宋体"/>
          <w:color w:val="000000"/>
          <w:sz w:val="24"/>
        </w:rPr>
        <w:t>9）投标人应自行承担所有与准备和参加投标有关的费用。不论投标的结果如何，招标人无义务和责任承担相关费用。</w:t>
      </w:r>
    </w:p>
    <w:p>
      <w:pPr>
        <w:pStyle w:val="4"/>
        <w:spacing w:line="500" w:lineRule="exact"/>
        <w:rPr>
          <w:rFonts w:hint="eastAsia"/>
          <w:color w:val="000000"/>
        </w:rPr>
      </w:pPr>
      <w:bookmarkStart w:id="120" w:name="_Toc453596815"/>
      <w:r>
        <w:rPr>
          <w:rFonts w:hint="eastAsia"/>
          <w:color w:val="000000"/>
        </w:rPr>
        <w:t>2.2.7投标文件的组成</w:t>
      </w:r>
      <w:bookmarkEnd w:id="120"/>
    </w:p>
    <w:p>
      <w:pPr>
        <w:spacing w:line="500" w:lineRule="exact"/>
        <w:ind w:firstLine="480" w:firstLineChars="200"/>
        <w:rPr>
          <w:rFonts w:hint="eastAsia" w:ascii="宋体" w:hAnsi="宋体"/>
          <w:color w:val="000000"/>
          <w:sz w:val="24"/>
        </w:rPr>
      </w:pPr>
      <w:r>
        <w:rPr>
          <w:rFonts w:hint="eastAsia" w:ascii="宋体" w:hAnsi="宋体"/>
          <w:color w:val="000000"/>
          <w:sz w:val="24"/>
        </w:rPr>
        <w:t>投标人应按照招标文件的规定和要求编制投标文件。投标人拟在中标后将中标项目的非主体、非关键性工作交由他人完成的，应当在投标文件中载明；投标人如若在投标文件中没有注明，中标后将项目肢解、分包或者转包的，需方有权拒绝合同的执行。投标人编写的投标文件应包括下列部分：</w:t>
      </w:r>
    </w:p>
    <w:p>
      <w:pPr>
        <w:spacing w:line="500" w:lineRule="exact"/>
        <w:ind w:firstLine="482" w:firstLineChars="200"/>
        <w:rPr>
          <w:rFonts w:ascii="宋体" w:hAnsi="宋体"/>
          <w:color w:val="000000"/>
          <w:sz w:val="24"/>
        </w:rPr>
      </w:pPr>
      <w:r>
        <w:rPr>
          <w:rFonts w:hint="eastAsia" w:ascii="宋体" w:hAnsi="宋体"/>
          <w:b/>
          <w:color w:val="000000"/>
          <w:sz w:val="24"/>
        </w:rPr>
        <w:t>报价部分</w:t>
      </w:r>
      <w:r>
        <w:rPr>
          <w:rFonts w:hint="eastAsia" w:ascii="宋体" w:hAnsi="宋体"/>
          <w:color w:val="000000"/>
          <w:sz w:val="24"/>
        </w:rPr>
        <w:t>，此次投标报价须标明各品目单价报价、各品目合计报价及本次招标采购货物总价，否则视为无效投标。</w:t>
      </w:r>
    </w:p>
    <w:p>
      <w:pPr>
        <w:spacing w:line="500" w:lineRule="exact"/>
        <w:ind w:firstLine="480" w:firstLineChars="200"/>
        <w:rPr>
          <w:rFonts w:ascii="宋体" w:hAnsi="宋体"/>
          <w:color w:val="000000"/>
          <w:sz w:val="24"/>
        </w:rPr>
      </w:pPr>
      <w:r>
        <w:rPr>
          <w:rFonts w:hint="eastAsia" w:ascii="宋体" w:hAnsi="宋体"/>
          <w:color w:val="000000"/>
          <w:sz w:val="24"/>
        </w:rPr>
        <w:t>投标人按照招标文件要求填写的“开标一览表”及“报价明细表”。 本次招标报价要求：</w:t>
      </w:r>
    </w:p>
    <w:p>
      <w:pPr>
        <w:spacing w:line="500" w:lineRule="exact"/>
        <w:ind w:firstLine="480" w:firstLineChars="200"/>
        <w:rPr>
          <w:rFonts w:ascii="宋体" w:hAnsi="宋体"/>
          <w:color w:val="000000"/>
          <w:sz w:val="24"/>
        </w:rPr>
      </w:pPr>
      <w:r>
        <w:rPr>
          <w:rFonts w:hint="eastAsia" w:ascii="宋体" w:hAnsi="宋体"/>
          <w:color w:val="000000"/>
          <w:sz w:val="24"/>
        </w:rPr>
        <w:t>（1）投标人的报价是投标人响应招标项目要求的全部工作内容的价格体现，包括投标人完成本项目所需的一切费用。</w:t>
      </w:r>
    </w:p>
    <w:p>
      <w:pPr>
        <w:spacing w:line="360" w:lineRule="auto"/>
        <w:ind w:firstLine="480" w:firstLineChars="200"/>
        <w:rPr>
          <w:rFonts w:hint="eastAsia" w:ascii="宋体" w:hAnsi="宋体"/>
          <w:color w:val="000000"/>
          <w:sz w:val="24"/>
        </w:rPr>
      </w:pPr>
      <w:r>
        <w:rPr>
          <w:rFonts w:hint="eastAsia" w:ascii="宋体" w:hAnsi="宋体"/>
          <w:color w:val="000000"/>
          <w:sz w:val="24"/>
        </w:rPr>
        <w:t>（2）投标人每种货物只允许有一个报价，并且在合同履行过程中是固定不变的，任何有选择或可调整的报价将不予接受，并按无效投标处理。</w:t>
      </w:r>
    </w:p>
    <w:p>
      <w:pPr>
        <w:spacing w:line="500" w:lineRule="exact"/>
        <w:ind w:firstLine="482" w:firstLineChars="200"/>
        <w:rPr>
          <w:rFonts w:ascii="宋体" w:hAnsi="宋体"/>
          <w:color w:val="000000"/>
          <w:sz w:val="24"/>
        </w:rPr>
      </w:pPr>
      <w:r>
        <w:rPr>
          <w:rFonts w:hint="eastAsia" w:ascii="宋体" w:hAnsi="宋体"/>
          <w:b/>
          <w:color w:val="000000"/>
          <w:sz w:val="24"/>
        </w:rPr>
        <w:t>技术部分。</w:t>
      </w:r>
      <w:r>
        <w:rPr>
          <w:rFonts w:hint="eastAsia" w:ascii="宋体" w:hAnsi="宋体"/>
          <w:color w:val="000000"/>
          <w:sz w:val="24"/>
        </w:rPr>
        <w:t>投标人按照招标文件要求做出的技术应答，主要是针对招标项目的技术指标、参数和技术要求做出的实质性响应和满足。投标人的技术应答应包括下列内容：</w:t>
      </w:r>
    </w:p>
    <w:p>
      <w:pPr>
        <w:spacing w:line="500" w:lineRule="exact"/>
        <w:ind w:firstLine="480" w:firstLineChars="200"/>
        <w:rPr>
          <w:rFonts w:ascii="宋体" w:hAnsi="宋体"/>
          <w:color w:val="000000"/>
          <w:sz w:val="24"/>
        </w:rPr>
      </w:pPr>
      <w:r>
        <w:rPr>
          <w:rFonts w:hint="eastAsia" w:ascii="宋体" w:hAnsi="宋体"/>
          <w:color w:val="000000"/>
          <w:sz w:val="24"/>
        </w:rPr>
        <w:t>（1）投标产品的品牌、型号、配置；</w:t>
      </w:r>
    </w:p>
    <w:p>
      <w:pPr>
        <w:spacing w:line="500" w:lineRule="exact"/>
        <w:ind w:firstLine="480" w:firstLineChars="200"/>
        <w:rPr>
          <w:rFonts w:ascii="宋体" w:hAnsi="宋体"/>
          <w:color w:val="000000"/>
          <w:sz w:val="24"/>
        </w:rPr>
      </w:pPr>
      <w:r>
        <w:rPr>
          <w:rFonts w:hint="eastAsia" w:ascii="宋体" w:hAnsi="宋体"/>
          <w:color w:val="000000"/>
          <w:sz w:val="24"/>
        </w:rPr>
        <w:t>（2）详细的技术指标和参数；</w:t>
      </w:r>
    </w:p>
    <w:p>
      <w:pPr>
        <w:spacing w:line="500" w:lineRule="exact"/>
        <w:ind w:firstLine="480" w:firstLineChars="200"/>
        <w:rPr>
          <w:rFonts w:ascii="宋体" w:hAnsi="宋体"/>
          <w:color w:val="000000"/>
          <w:sz w:val="24"/>
        </w:rPr>
      </w:pPr>
      <w:r>
        <w:rPr>
          <w:rFonts w:hint="eastAsia" w:ascii="宋体" w:hAnsi="宋体"/>
          <w:color w:val="000000"/>
          <w:sz w:val="24"/>
        </w:rPr>
        <w:t>（3）技术方案、项目实施方案；</w:t>
      </w:r>
    </w:p>
    <w:p>
      <w:pPr>
        <w:spacing w:line="500" w:lineRule="exact"/>
        <w:ind w:firstLine="480" w:firstLineChars="200"/>
        <w:rPr>
          <w:rFonts w:ascii="宋体" w:hAnsi="宋体"/>
          <w:color w:val="000000"/>
          <w:sz w:val="24"/>
        </w:rPr>
      </w:pPr>
      <w:r>
        <w:rPr>
          <w:rFonts w:hint="eastAsia" w:ascii="宋体" w:hAnsi="宋体"/>
          <w:color w:val="000000"/>
          <w:sz w:val="24"/>
        </w:rPr>
        <w:t>（4）技术要求偏离表；</w:t>
      </w:r>
    </w:p>
    <w:p>
      <w:pPr>
        <w:spacing w:line="500" w:lineRule="exact"/>
        <w:ind w:firstLine="480" w:firstLineChars="200"/>
        <w:rPr>
          <w:rFonts w:ascii="宋体" w:hAnsi="宋体"/>
          <w:color w:val="000000"/>
          <w:sz w:val="24"/>
        </w:rPr>
      </w:pPr>
      <w:r>
        <w:rPr>
          <w:rFonts w:hint="eastAsia" w:ascii="宋体" w:hAnsi="宋体"/>
          <w:color w:val="000000"/>
          <w:sz w:val="24"/>
        </w:rPr>
        <w:t>（5）产品彩页资料；</w:t>
      </w:r>
    </w:p>
    <w:p>
      <w:pPr>
        <w:spacing w:line="500" w:lineRule="exact"/>
        <w:ind w:firstLine="480" w:firstLineChars="200"/>
        <w:rPr>
          <w:rFonts w:ascii="宋体" w:hAnsi="宋体"/>
          <w:color w:val="000000"/>
          <w:sz w:val="24"/>
        </w:rPr>
      </w:pPr>
      <w:r>
        <w:rPr>
          <w:rFonts w:hint="eastAsia" w:ascii="宋体" w:hAnsi="宋体"/>
          <w:color w:val="000000"/>
          <w:sz w:val="24"/>
        </w:rPr>
        <w:t>（6）产品工作环境条件；</w:t>
      </w:r>
    </w:p>
    <w:p>
      <w:pPr>
        <w:spacing w:line="500" w:lineRule="exact"/>
        <w:ind w:firstLine="480" w:firstLineChars="200"/>
        <w:rPr>
          <w:rFonts w:ascii="宋体" w:hAnsi="宋体"/>
          <w:color w:val="000000"/>
          <w:sz w:val="24"/>
        </w:rPr>
      </w:pPr>
      <w:r>
        <w:rPr>
          <w:rFonts w:hint="eastAsia" w:ascii="宋体" w:hAnsi="宋体"/>
          <w:color w:val="000000"/>
          <w:sz w:val="24"/>
        </w:rPr>
        <w:t>（7）产品验收标准和验收方法；</w:t>
      </w:r>
    </w:p>
    <w:p>
      <w:pPr>
        <w:spacing w:line="500" w:lineRule="exact"/>
        <w:ind w:firstLine="480" w:firstLineChars="200"/>
        <w:rPr>
          <w:rFonts w:ascii="宋体" w:hAnsi="宋体"/>
          <w:color w:val="000000"/>
          <w:sz w:val="24"/>
        </w:rPr>
      </w:pPr>
      <w:r>
        <w:rPr>
          <w:rFonts w:hint="eastAsia" w:ascii="宋体" w:hAnsi="宋体"/>
          <w:color w:val="000000"/>
          <w:sz w:val="24"/>
        </w:rPr>
        <w:t>（8）产品验收清单（注明各部件的品名、数量、价格、规格型号和原产地或生产厂家）；</w:t>
      </w:r>
    </w:p>
    <w:p>
      <w:pPr>
        <w:spacing w:line="500" w:lineRule="exact"/>
        <w:ind w:firstLine="480" w:firstLineChars="200"/>
        <w:rPr>
          <w:rFonts w:ascii="宋体" w:hAnsi="宋体"/>
          <w:color w:val="000000"/>
          <w:sz w:val="24"/>
        </w:rPr>
      </w:pPr>
      <w:r>
        <w:rPr>
          <w:rFonts w:hint="eastAsia" w:ascii="宋体" w:hAnsi="宋体"/>
          <w:color w:val="000000"/>
          <w:sz w:val="24"/>
        </w:rPr>
        <w:t>（9）投标人认为需要提供的文件和资料。</w:t>
      </w:r>
    </w:p>
    <w:p>
      <w:pPr>
        <w:spacing w:line="500" w:lineRule="exact"/>
        <w:ind w:firstLine="482" w:firstLineChars="200"/>
        <w:rPr>
          <w:rFonts w:ascii="宋体" w:hAnsi="宋体"/>
          <w:color w:val="000000"/>
          <w:sz w:val="24"/>
        </w:rPr>
      </w:pPr>
      <w:r>
        <w:rPr>
          <w:rFonts w:hint="eastAsia" w:ascii="宋体" w:hAnsi="宋体"/>
          <w:b/>
          <w:color w:val="000000"/>
          <w:sz w:val="24"/>
        </w:rPr>
        <w:t>商务部分。</w:t>
      </w:r>
      <w:r>
        <w:rPr>
          <w:rFonts w:hint="eastAsia" w:ascii="宋体" w:hAnsi="宋体"/>
          <w:color w:val="000000"/>
          <w:sz w:val="24"/>
        </w:rPr>
        <w:t>投标人按照招标文件要求提供的有关资质证明文件及优惠承诺。包括以下内容：</w:t>
      </w:r>
    </w:p>
    <w:p>
      <w:pPr>
        <w:spacing w:line="500" w:lineRule="exact"/>
        <w:ind w:firstLine="480" w:firstLineChars="200"/>
        <w:rPr>
          <w:rFonts w:ascii="宋体" w:hAnsi="宋体"/>
          <w:color w:val="000000"/>
          <w:sz w:val="24"/>
        </w:rPr>
      </w:pPr>
      <w:r>
        <w:rPr>
          <w:rFonts w:hint="eastAsia" w:ascii="宋体" w:hAnsi="宋体"/>
          <w:color w:val="000000"/>
          <w:sz w:val="24"/>
        </w:rPr>
        <w:t>（1）开标一览表（投标函及报价表）</w:t>
      </w:r>
    </w:p>
    <w:p>
      <w:pPr>
        <w:spacing w:line="500" w:lineRule="exact"/>
        <w:ind w:firstLine="480" w:firstLineChars="200"/>
        <w:rPr>
          <w:rFonts w:ascii="宋体" w:hAnsi="宋体"/>
          <w:sz w:val="24"/>
        </w:rPr>
      </w:pPr>
      <w:r>
        <w:rPr>
          <w:rFonts w:hint="eastAsia" w:ascii="宋体" w:hAnsi="宋体"/>
          <w:color w:val="000000"/>
          <w:sz w:val="24"/>
        </w:rPr>
        <w:t>（2）</w:t>
      </w:r>
      <w:r>
        <w:rPr>
          <w:rFonts w:hint="eastAsia" w:ascii="宋体" w:hAnsi="宋体"/>
          <w:sz w:val="24"/>
        </w:rPr>
        <w:t>经年检合格的投标人企业法人营业执照副本、国家和地方税务登记证副本、组织机构代码证复印件</w:t>
      </w:r>
      <w:r>
        <w:rPr>
          <w:rFonts w:hint="eastAsia" w:ascii="宋体" w:hAnsi="宋体" w:cs="宋体"/>
          <w:sz w:val="24"/>
        </w:rPr>
        <w:t>（法人营业执照、税务登记证、组织机构代码证已三证合一的，则需提供具有统一社会信用代码的营业执照副本）</w:t>
      </w:r>
    </w:p>
    <w:p>
      <w:pPr>
        <w:spacing w:line="500" w:lineRule="exact"/>
        <w:ind w:firstLine="480" w:firstLineChars="200"/>
        <w:rPr>
          <w:rFonts w:ascii="宋体" w:hAnsi="宋体"/>
          <w:sz w:val="24"/>
        </w:rPr>
      </w:pPr>
      <w:r>
        <w:rPr>
          <w:rFonts w:hint="eastAsia" w:ascii="宋体" w:hAnsi="宋体"/>
          <w:sz w:val="24"/>
        </w:rPr>
        <w:t>（3）法定代表人授权书原件（原件装入投标文件正本）、法人身份证复印件及授权代表身份证复印件(正反面)。（注:1式2份，1份装入正本中，1份单独递交开标现场工作人员确认其身份及法人或授权人身份证原件）</w:t>
      </w:r>
    </w:p>
    <w:p>
      <w:pPr>
        <w:spacing w:line="440" w:lineRule="exact"/>
        <w:ind w:firstLine="480" w:firstLineChars="200"/>
        <w:rPr>
          <w:rFonts w:hint="eastAsia" w:ascii="宋体" w:hAnsi="宋体"/>
          <w:sz w:val="24"/>
        </w:rPr>
      </w:pPr>
      <w:r>
        <w:rPr>
          <w:rFonts w:hint="eastAsia" w:ascii="宋体" w:hAnsi="宋体"/>
          <w:sz w:val="24"/>
        </w:rPr>
        <w:t>（4）投标保证金交纳凭证</w:t>
      </w:r>
    </w:p>
    <w:p>
      <w:pPr>
        <w:spacing w:line="500" w:lineRule="exact"/>
        <w:ind w:firstLine="480" w:firstLineChars="200"/>
        <w:rPr>
          <w:rFonts w:hint="eastAsia" w:ascii="宋体" w:hAnsi="宋体"/>
          <w:sz w:val="24"/>
        </w:rPr>
      </w:pPr>
      <w:r>
        <w:rPr>
          <w:rFonts w:hint="eastAsia" w:ascii="宋体" w:hAnsi="宋体"/>
          <w:sz w:val="24"/>
        </w:rPr>
        <w:t>（5）供应商住所地或者业务发生地市（州）、县（区）人民检察院出具的行贿犯罪档案查询结果告知函（原件）（原件装入投标文件正本，并作为资格审查的必要条件）</w:t>
      </w:r>
    </w:p>
    <w:p>
      <w:pPr>
        <w:spacing w:line="500" w:lineRule="exact"/>
        <w:ind w:firstLine="480" w:firstLineChars="200"/>
        <w:rPr>
          <w:rFonts w:hint="eastAsia" w:ascii="宋体" w:hAnsi="宋体"/>
          <w:sz w:val="24"/>
        </w:rPr>
      </w:pPr>
      <w:r>
        <w:rPr>
          <w:rFonts w:hint="eastAsia" w:ascii="宋体" w:hAnsi="宋体"/>
          <w:sz w:val="24"/>
        </w:rPr>
        <w:t>（6）供应商须提供参加政府采购活动</w:t>
      </w:r>
      <w:r>
        <w:rPr>
          <w:rFonts w:hint="eastAsia" w:ascii="宋体" w:hAnsi="宋体"/>
          <w:sz w:val="24"/>
          <w:lang w:eastAsia="zh-CN"/>
        </w:rPr>
        <w:t>近三</w:t>
      </w:r>
      <w:r>
        <w:rPr>
          <w:rFonts w:hint="eastAsia" w:ascii="宋体" w:hAnsi="宋体"/>
          <w:sz w:val="24"/>
        </w:rPr>
        <w:t>年内在经营活动中没有重大违法记录的书面声明（原件）（原件装入投标文件正本，并作为资格审查的必要条件）</w:t>
      </w:r>
    </w:p>
    <w:p>
      <w:pPr>
        <w:spacing w:line="500" w:lineRule="exact"/>
        <w:ind w:firstLine="480" w:firstLineChars="200"/>
        <w:rPr>
          <w:rFonts w:hint="eastAsia" w:ascii="宋体" w:hAnsi="宋体"/>
          <w:sz w:val="24"/>
        </w:rPr>
      </w:pPr>
      <w:r>
        <w:rPr>
          <w:rFonts w:hint="eastAsia" w:ascii="宋体" w:hAnsi="宋体"/>
          <w:sz w:val="24"/>
        </w:rPr>
        <w:t>（7）投标产品生产厂家针对本项目的专项授权函原件或区域总代理针对本项目的转授权函原件（提供转授权函的，还需提供生产厂家对区域总代理的授权函复印件且该复印件须加盖区域总代理公章）和生产厂家售后服务承诺函原件（原件装入投标文件正本，并作为资格审查的必要条件）</w:t>
      </w:r>
    </w:p>
    <w:p>
      <w:pPr>
        <w:spacing w:line="500" w:lineRule="exact"/>
        <w:ind w:firstLine="480" w:firstLineChars="200"/>
        <w:rPr>
          <w:rFonts w:hint="eastAsia" w:ascii="宋体" w:hAnsi="宋体"/>
          <w:sz w:val="24"/>
        </w:rPr>
      </w:pPr>
      <w:r>
        <w:rPr>
          <w:rFonts w:hint="eastAsia" w:ascii="宋体" w:hAnsi="宋体"/>
          <w:sz w:val="24"/>
        </w:rPr>
        <w:t>（8）提供</w:t>
      </w:r>
      <w:r>
        <w:rPr>
          <w:rFonts w:hint="eastAsia" w:ascii="宋体" w:hAnsi="宋体"/>
          <w:sz w:val="24"/>
          <w:lang w:val="en-US" w:eastAsia="zh-CN"/>
        </w:rPr>
        <w:t>2016</w:t>
      </w:r>
      <w:r>
        <w:rPr>
          <w:rFonts w:hint="eastAsia" w:ascii="宋体" w:hAnsi="宋体"/>
          <w:sz w:val="24"/>
        </w:rPr>
        <w:t>年度财务审计报告，</w:t>
      </w:r>
      <w:r>
        <w:rPr>
          <w:rFonts w:hint="eastAsia" w:ascii="宋体" w:hAnsi="宋体"/>
          <w:sz w:val="24"/>
          <w:lang w:eastAsia="zh-CN"/>
        </w:rPr>
        <w:t>（新成立的公司需提供开户银行出具的资信证明）（复印件加盖公章）；</w:t>
      </w:r>
      <w:r>
        <w:rPr>
          <w:rFonts w:hint="eastAsia" w:ascii="宋体" w:hAnsi="宋体"/>
          <w:sz w:val="24"/>
          <w:lang w:val="en-US" w:eastAsia="zh-CN"/>
        </w:rPr>
        <w:t>2016</w:t>
      </w:r>
      <w:r>
        <w:rPr>
          <w:rFonts w:hint="eastAsia" w:ascii="宋体" w:hAnsi="宋体"/>
          <w:sz w:val="24"/>
          <w:lang w:eastAsia="zh-CN"/>
        </w:rPr>
        <w:t>年度任意一个月</w:t>
      </w:r>
      <w:r>
        <w:rPr>
          <w:rFonts w:hint="eastAsia" w:ascii="宋体" w:hAnsi="宋体"/>
          <w:sz w:val="24"/>
        </w:rPr>
        <w:t>依法缴纳税收和社会保障资金的相关材料（复印件加盖公章）</w:t>
      </w:r>
    </w:p>
    <w:p>
      <w:pPr>
        <w:spacing w:line="500" w:lineRule="exact"/>
        <w:ind w:firstLine="480" w:firstLineChars="200"/>
        <w:rPr>
          <w:rFonts w:hint="eastAsia" w:ascii="宋体" w:hAnsi="宋体"/>
          <w:sz w:val="24"/>
        </w:rPr>
      </w:pPr>
      <w:r>
        <w:rPr>
          <w:rFonts w:hint="eastAsia" w:ascii="宋体" w:hAnsi="宋体"/>
          <w:sz w:val="24"/>
        </w:rPr>
        <w:t xml:space="preserve"> (9)</w:t>
      </w:r>
      <w:r>
        <w:rPr>
          <w:rFonts w:hint="eastAsia" w:ascii="宋体" w:hAnsi="宋体"/>
          <w:color w:val="000000"/>
          <w:sz w:val="24"/>
        </w:rPr>
        <w:t>中小企业声明函（属于中小微企业的供应商提供）</w:t>
      </w:r>
    </w:p>
    <w:p>
      <w:pPr>
        <w:spacing w:line="500" w:lineRule="exact"/>
        <w:ind w:firstLine="480" w:firstLineChars="200"/>
        <w:rPr>
          <w:rFonts w:ascii="宋体" w:hAnsi="宋体"/>
          <w:color w:val="000000"/>
          <w:sz w:val="24"/>
        </w:rPr>
      </w:pPr>
      <w:r>
        <w:rPr>
          <w:rFonts w:hint="eastAsia" w:ascii="宋体" w:hAnsi="宋体"/>
          <w:color w:val="000000"/>
          <w:sz w:val="24"/>
        </w:rPr>
        <w:t>（10）证明投标货物的合格性和投标人资格符合招标文件规定的证明文件</w:t>
      </w:r>
    </w:p>
    <w:p>
      <w:pPr>
        <w:spacing w:line="500" w:lineRule="exact"/>
        <w:ind w:firstLine="480" w:firstLineChars="200"/>
        <w:rPr>
          <w:rFonts w:ascii="宋体" w:hAnsi="宋体"/>
          <w:color w:val="000000"/>
          <w:sz w:val="24"/>
        </w:rPr>
      </w:pPr>
      <w:r>
        <w:rPr>
          <w:rFonts w:hint="eastAsia" w:ascii="宋体" w:hAnsi="宋体"/>
          <w:color w:val="000000"/>
          <w:sz w:val="24"/>
        </w:rPr>
        <w:t>（11）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）证明投标人业绩和荣誉的有关材料</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）商务条款偏离表</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4</w:t>
      </w:r>
      <w:r>
        <w:rPr>
          <w:rFonts w:hint="eastAsia" w:ascii="宋体" w:hAnsi="宋体"/>
          <w:color w:val="000000"/>
          <w:sz w:val="24"/>
        </w:rPr>
        <w:t>）其他投标人认为需要提供的文件和资料</w:t>
      </w:r>
    </w:p>
    <w:p>
      <w:pPr>
        <w:spacing w:line="500" w:lineRule="exact"/>
        <w:ind w:firstLine="482" w:firstLineChars="200"/>
        <w:rPr>
          <w:rFonts w:ascii="宋体" w:hAnsi="宋体"/>
          <w:color w:val="000000"/>
          <w:sz w:val="24"/>
        </w:rPr>
      </w:pPr>
      <w:r>
        <w:rPr>
          <w:rFonts w:hint="eastAsia" w:ascii="宋体" w:hAnsi="宋体"/>
          <w:b/>
          <w:color w:val="000000"/>
          <w:sz w:val="24"/>
        </w:rPr>
        <w:t>售后服务。</w:t>
      </w:r>
      <w:r>
        <w:rPr>
          <w:rFonts w:hint="eastAsia" w:ascii="宋体" w:hAnsi="宋体"/>
          <w:color w:val="000000"/>
          <w:sz w:val="24"/>
        </w:rPr>
        <w:t>投标人按照招标文件中售后服务要求做出的积极响应和承诺。包括以下内容：</w:t>
      </w:r>
    </w:p>
    <w:p>
      <w:pPr>
        <w:spacing w:line="500" w:lineRule="exact"/>
        <w:ind w:firstLine="480" w:firstLineChars="200"/>
        <w:rPr>
          <w:rFonts w:ascii="宋体" w:hAnsi="宋体"/>
          <w:color w:val="000000"/>
          <w:sz w:val="24"/>
        </w:rPr>
      </w:pPr>
      <w:r>
        <w:rPr>
          <w:rFonts w:hint="eastAsia" w:ascii="宋体" w:hAnsi="宋体"/>
          <w:color w:val="000000"/>
          <w:sz w:val="24"/>
        </w:rPr>
        <w:t>（1）产品制造厂家或投标人设立的售后服务机构网点清单、服务电话和维修人员名单（加盖鲜章）；</w:t>
      </w:r>
    </w:p>
    <w:p>
      <w:pPr>
        <w:spacing w:line="500" w:lineRule="exact"/>
        <w:ind w:firstLine="480" w:firstLineChars="200"/>
        <w:rPr>
          <w:rFonts w:ascii="宋体" w:hAnsi="宋体"/>
          <w:color w:val="000000"/>
          <w:sz w:val="24"/>
        </w:rPr>
      </w:pPr>
      <w:r>
        <w:rPr>
          <w:rFonts w:hint="eastAsia" w:ascii="宋体" w:hAnsi="宋体"/>
          <w:color w:val="000000"/>
          <w:sz w:val="24"/>
        </w:rPr>
        <w:t>（2）说明投标产品的保修时间、保修期内的保修内容与范围、维修响应时间等。分别提供产品制造厂家和投标人的服务承诺和保障措施；</w:t>
      </w:r>
    </w:p>
    <w:p>
      <w:pPr>
        <w:spacing w:line="500" w:lineRule="exact"/>
        <w:ind w:firstLine="480" w:firstLineChars="200"/>
        <w:rPr>
          <w:rFonts w:ascii="宋体" w:hAnsi="宋体"/>
          <w:color w:val="000000"/>
          <w:sz w:val="24"/>
        </w:rPr>
      </w:pPr>
      <w:r>
        <w:rPr>
          <w:rFonts w:hint="eastAsia" w:ascii="宋体" w:hAnsi="宋体"/>
          <w:color w:val="000000"/>
          <w:sz w:val="24"/>
        </w:rPr>
        <w:t>（3）培训措施：说明培训内容及培训的时间、地点、目标、培训人数、收费标准和办法；</w:t>
      </w:r>
    </w:p>
    <w:p>
      <w:pPr>
        <w:spacing w:line="500" w:lineRule="exact"/>
        <w:ind w:firstLine="480" w:firstLineChars="200"/>
        <w:rPr>
          <w:rFonts w:hint="eastAsia" w:ascii="宋体" w:hAnsi="宋体"/>
          <w:color w:val="000000"/>
          <w:sz w:val="24"/>
        </w:rPr>
      </w:pPr>
      <w:r>
        <w:rPr>
          <w:rFonts w:hint="eastAsia" w:ascii="宋体" w:hAnsi="宋体"/>
          <w:color w:val="000000"/>
          <w:sz w:val="24"/>
        </w:rPr>
        <w:t>（4）其他有利于用户的服务承诺。</w:t>
      </w:r>
    </w:p>
    <w:p>
      <w:pPr>
        <w:pStyle w:val="4"/>
        <w:spacing w:line="500" w:lineRule="exact"/>
        <w:rPr>
          <w:color w:val="000000"/>
        </w:rPr>
      </w:pPr>
      <w:bookmarkStart w:id="121" w:name="_Toc453596816"/>
      <w:r>
        <w:rPr>
          <w:color w:val="000000"/>
        </w:rPr>
        <w:t>2.2.</w:t>
      </w:r>
      <w:r>
        <w:rPr>
          <w:rFonts w:hint="eastAsia"/>
          <w:color w:val="000000"/>
        </w:rPr>
        <w:t>8投标文件格式</w:t>
      </w:r>
      <w:bookmarkEnd w:id="121"/>
    </w:p>
    <w:p>
      <w:pPr>
        <w:spacing w:line="500" w:lineRule="exact"/>
        <w:ind w:firstLine="480" w:firstLineChars="200"/>
        <w:rPr>
          <w:rFonts w:ascii="宋体" w:hAnsi="宋体"/>
          <w:color w:val="000000"/>
          <w:sz w:val="24"/>
        </w:rPr>
      </w:pPr>
      <w:r>
        <w:rPr>
          <w:rFonts w:hint="eastAsia" w:ascii="宋体" w:hAnsi="宋体"/>
          <w:color w:val="000000"/>
          <w:sz w:val="24"/>
        </w:rPr>
        <w:t>投标人应严格按照招标文件中提供的“投标文件格式”填写相关内容。除明确允许投标人可以自行编写的外，投标人不得以“投标文件格式”规定之外的方式填写相关内容。否则，投标人提供的投标文件将作为无效投标处理。</w:t>
      </w:r>
    </w:p>
    <w:p>
      <w:pPr>
        <w:spacing w:line="500" w:lineRule="exact"/>
        <w:ind w:firstLine="480" w:firstLineChars="200"/>
        <w:rPr>
          <w:rFonts w:ascii="宋体" w:hAnsi="宋体"/>
          <w:color w:val="000000"/>
          <w:sz w:val="24"/>
        </w:rPr>
      </w:pPr>
      <w:r>
        <w:rPr>
          <w:rFonts w:hint="eastAsia" w:ascii="宋体" w:hAnsi="宋体"/>
          <w:color w:val="000000"/>
          <w:sz w:val="24"/>
        </w:rPr>
        <w:t>对于没有格式要求的投标文件由投标人自行编写。</w:t>
      </w:r>
    </w:p>
    <w:p>
      <w:pPr>
        <w:pStyle w:val="4"/>
        <w:spacing w:line="500" w:lineRule="exact"/>
        <w:rPr>
          <w:rFonts w:hint="eastAsia"/>
          <w:color w:val="000000"/>
        </w:rPr>
      </w:pPr>
      <w:bookmarkStart w:id="122" w:name="_Toc453596817"/>
      <w:r>
        <w:rPr>
          <w:rFonts w:hint="eastAsia"/>
          <w:color w:val="000000"/>
        </w:rPr>
        <w:t>2.2.9投标有效期</w:t>
      </w:r>
      <w:bookmarkEnd w:id="122"/>
    </w:p>
    <w:p>
      <w:pPr>
        <w:spacing w:line="500" w:lineRule="exact"/>
        <w:ind w:firstLine="480" w:firstLineChars="200"/>
        <w:rPr>
          <w:rFonts w:hint="eastAsia" w:ascii="宋体" w:hAnsi="宋体"/>
          <w:color w:val="000000"/>
          <w:sz w:val="24"/>
        </w:rPr>
      </w:pPr>
      <w:r>
        <w:rPr>
          <w:rFonts w:hint="eastAsia" w:ascii="宋体" w:hAnsi="宋体"/>
          <w:color w:val="000000"/>
          <w:sz w:val="24"/>
        </w:rPr>
        <w:t>投标文件在正式递交日期起</w:t>
      </w:r>
      <w:r>
        <w:rPr>
          <w:rFonts w:hint="eastAsia" w:ascii="宋体" w:hAnsi="宋体"/>
          <w:color w:val="000000"/>
          <w:sz w:val="24"/>
          <w:lang w:val="en-US" w:eastAsia="zh-CN"/>
        </w:rPr>
        <w:t>9</w:t>
      </w:r>
      <w:r>
        <w:rPr>
          <w:rFonts w:hint="eastAsia" w:ascii="宋体" w:hAnsi="宋体"/>
          <w:color w:val="000000"/>
          <w:sz w:val="24"/>
        </w:rPr>
        <w:t>0日内有效。</w:t>
      </w:r>
    </w:p>
    <w:p>
      <w:pPr>
        <w:pStyle w:val="4"/>
        <w:spacing w:line="500" w:lineRule="exact"/>
        <w:rPr>
          <w:rFonts w:hint="eastAsia"/>
          <w:color w:val="000000"/>
        </w:rPr>
      </w:pPr>
      <w:bookmarkStart w:id="123" w:name="_Toc128372744"/>
      <w:bookmarkStart w:id="124" w:name="_Toc453596818"/>
      <w:bookmarkStart w:id="125" w:name="_Toc139965340"/>
      <w:bookmarkStart w:id="126" w:name="_Toc128372066"/>
      <w:r>
        <w:rPr>
          <w:rFonts w:hint="eastAsia"/>
          <w:color w:val="000000"/>
        </w:rPr>
        <w:t>2.2.10 投标保证金</w:t>
      </w:r>
      <w:bookmarkEnd w:id="123"/>
      <w:bookmarkEnd w:id="124"/>
      <w:bookmarkEnd w:id="125"/>
      <w:bookmarkEnd w:id="126"/>
    </w:p>
    <w:p>
      <w:pPr>
        <w:spacing w:line="500" w:lineRule="exact"/>
        <w:ind w:firstLine="480" w:firstLineChars="200"/>
        <w:rPr>
          <w:rFonts w:hint="eastAsia" w:ascii="宋体" w:hAnsi="宋体"/>
          <w:color w:val="000000"/>
          <w:sz w:val="24"/>
        </w:rPr>
      </w:pPr>
      <w:r>
        <w:rPr>
          <w:rFonts w:hint="eastAsia" w:ascii="宋体" w:hAnsi="宋体"/>
          <w:color w:val="000000"/>
          <w:sz w:val="24"/>
        </w:rPr>
        <w:t>投标保证金数额及交纳方式：</w:t>
      </w:r>
    </w:p>
    <w:p>
      <w:pPr>
        <w:spacing w:line="500" w:lineRule="exact"/>
        <w:ind w:firstLine="480" w:firstLineChars="200"/>
        <w:rPr>
          <w:rFonts w:hint="eastAsia" w:ascii="宋体" w:hAnsi="宋体"/>
          <w:color w:val="000000"/>
          <w:sz w:val="24"/>
        </w:rPr>
      </w:pPr>
      <w:r>
        <w:rPr>
          <w:rFonts w:hint="eastAsia" w:ascii="宋体" w:hAnsi="宋体"/>
          <w:color w:val="000000"/>
          <w:sz w:val="24"/>
        </w:rPr>
        <w:t>1) 投标保证金提交方式为银行电汇，不接受其他方式的投标保证金。</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2）投标人必须从基本帐户以电汇方式提交保证金，且投标保证金单位名称必须与投标人登记的单位名称一致，不得以分公司、办事处或其他机构名义交纳。</w:t>
      </w:r>
    </w:p>
    <w:p>
      <w:pPr>
        <w:spacing w:line="500" w:lineRule="exact"/>
        <w:ind w:firstLine="480" w:firstLineChars="200"/>
        <w:rPr>
          <w:rFonts w:hint="eastAsia" w:ascii="宋体" w:hAnsi="宋体"/>
          <w:color w:val="000000"/>
          <w:sz w:val="24"/>
        </w:rPr>
      </w:pPr>
      <w:r>
        <w:rPr>
          <w:rFonts w:hint="eastAsia" w:ascii="宋体" w:hAnsi="宋体"/>
          <w:color w:val="000000"/>
          <w:sz w:val="24"/>
        </w:rPr>
        <w:t>3）投标人在办理投标保证金电汇手续时，必须在银行电汇单附言栏上必须且只填写投标保证金对应的投标项目标段或包号的“登记号”（8位数字）</w:t>
      </w:r>
    </w:p>
    <w:p>
      <w:pPr>
        <w:spacing w:line="500" w:lineRule="exact"/>
        <w:ind w:firstLine="480" w:firstLineChars="200"/>
        <w:rPr>
          <w:rFonts w:hint="eastAsia" w:ascii="宋体" w:hAnsi="宋体"/>
          <w:color w:val="000000"/>
          <w:sz w:val="24"/>
        </w:rPr>
      </w:pPr>
      <w:r>
        <w:rPr>
          <w:rFonts w:hint="eastAsia" w:ascii="宋体" w:hAnsi="宋体"/>
          <w:color w:val="000000"/>
          <w:sz w:val="24"/>
        </w:rPr>
        <w:t>注：投标人投两个及以上标段或包号的，应该按每个标段或包号分别交纳投标保证金。</w:t>
      </w:r>
    </w:p>
    <w:p>
      <w:pPr>
        <w:spacing w:line="500" w:lineRule="exact"/>
        <w:ind w:firstLine="480" w:firstLineChars="200"/>
        <w:rPr>
          <w:rFonts w:hint="eastAsia" w:ascii="宋体" w:hAnsi="宋体"/>
          <w:color w:val="000000"/>
          <w:sz w:val="24"/>
        </w:rPr>
      </w:pPr>
      <w:r>
        <w:rPr>
          <w:rFonts w:hint="eastAsia" w:ascii="宋体" w:hAnsi="宋体"/>
          <w:color w:val="000000"/>
          <w:sz w:val="24"/>
        </w:rPr>
        <w:t>投标保证金数额及交纳方式：</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投标人应于开标之前将投标保证金</w:t>
      </w:r>
      <w:r>
        <w:rPr>
          <w:rFonts w:hint="eastAsia" w:ascii="宋体" w:hAnsi="宋体"/>
          <w:sz w:val="24"/>
        </w:rPr>
        <w:t>贰万元整（20000元）</w:t>
      </w:r>
      <w:r>
        <w:rPr>
          <w:rFonts w:hint="eastAsia" w:ascii="宋体" w:hAnsi="宋体"/>
          <w:color w:val="000000"/>
          <w:sz w:val="24"/>
        </w:rPr>
        <w:t>进账到白银市公共资源交易中心指定的账号，过期视为无效标。同时投标人须在投标文件中提交本项目投标保证金进帐单或电汇凭证等银行证明文件（复印件），否则视为无效投标。</w:t>
      </w:r>
    </w:p>
    <w:p>
      <w:pPr>
        <w:spacing w:line="500" w:lineRule="exact"/>
        <w:ind w:firstLine="480" w:firstLineChars="200"/>
        <w:rPr>
          <w:rFonts w:hint="eastAsia" w:ascii="宋体" w:hAnsi="宋体"/>
          <w:color w:val="000000"/>
          <w:sz w:val="24"/>
        </w:rPr>
      </w:pPr>
      <w:r>
        <w:rPr>
          <w:rFonts w:hint="eastAsia" w:ascii="宋体" w:hAnsi="宋体"/>
          <w:sz w:val="24"/>
        </w:rPr>
        <w:t xml:space="preserve">（开户名称：白银市公共资源交易中心，开户银行：甘肃银行白银区支行 帐号：662202012635500020地点：白银市大十字友好路北侧白银公司办公楼对面) </w:t>
      </w:r>
      <w:r>
        <w:rPr>
          <w:rFonts w:hint="eastAsia"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未中标投标人的投标保证金，在中标结果公示7个工作日后且无异议，投标单位联系采购代理机构办理退还事宜。中标商的投标保证金待与采购人签订合同后即予无息退还。对于未能按要求交纳投标保证金的投标，招标人将视为非实质性响应招标文件的要求而予以拒绝，即为无效投标。</w:t>
      </w:r>
    </w:p>
    <w:p>
      <w:pPr>
        <w:spacing w:line="500" w:lineRule="exact"/>
        <w:ind w:firstLine="480" w:firstLineChars="200"/>
        <w:rPr>
          <w:rFonts w:hint="eastAsia" w:ascii="宋体" w:hAnsi="宋体"/>
          <w:color w:val="000000"/>
          <w:sz w:val="24"/>
        </w:rPr>
      </w:pPr>
      <w:r>
        <w:rPr>
          <w:rFonts w:hint="eastAsia" w:ascii="宋体" w:hAnsi="宋体"/>
          <w:color w:val="000000"/>
          <w:sz w:val="24"/>
        </w:rPr>
        <w:t>如投标人有下列情况，投标保证金不予退还：</w:t>
      </w:r>
    </w:p>
    <w:p>
      <w:pPr>
        <w:spacing w:line="500" w:lineRule="exact"/>
        <w:ind w:firstLine="480" w:firstLineChars="200"/>
        <w:rPr>
          <w:rFonts w:hint="eastAsia" w:ascii="宋体" w:hAnsi="宋体"/>
          <w:color w:val="000000"/>
          <w:sz w:val="24"/>
        </w:rPr>
      </w:pPr>
      <w:bookmarkStart w:id="127" w:name="_Toc128372068"/>
      <w:bookmarkStart w:id="128" w:name="_Toc128372746"/>
      <w:bookmarkStart w:id="129" w:name="_Toc139965341"/>
      <w:r>
        <w:rPr>
          <w:rFonts w:hint="eastAsia" w:ascii="宋体" w:hAnsi="宋体"/>
          <w:color w:val="000000"/>
          <w:sz w:val="24"/>
        </w:rPr>
        <w:t>（1）如果投标人在招标文件规定的投标有效期内撤回投标。</w:t>
      </w:r>
    </w:p>
    <w:p>
      <w:pPr>
        <w:spacing w:line="500" w:lineRule="exact"/>
        <w:ind w:firstLine="480" w:firstLineChars="200"/>
        <w:rPr>
          <w:rFonts w:hint="eastAsia" w:ascii="宋体" w:hAnsi="宋体"/>
          <w:color w:val="000000"/>
          <w:sz w:val="24"/>
        </w:rPr>
      </w:pPr>
      <w:r>
        <w:rPr>
          <w:rFonts w:hint="eastAsia" w:ascii="宋体" w:hAnsi="宋体"/>
          <w:color w:val="000000"/>
          <w:sz w:val="24"/>
        </w:rPr>
        <w:t>（2）由于中标人的原因未能按照招标文件的规定与采购人签订合同。</w:t>
      </w:r>
    </w:p>
    <w:p>
      <w:pPr>
        <w:spacing w:line="500" w:lineRule="exact"/>
        <w:ind w:firstLine="480" w:firstLineChars="200"/>
        <w:rPr>
          <w:rFonts w:hint="eastAsia" w:ascii="宋体" w:hAnsi="宋体"/>
          <w:color w:val="000000"/>
          <w:sz w:val="24"/>
        </w:rPr>
      </w:pPr>
      <w:r>
        <w:rPr>
          <w:rFonts w:hint="eastAsia" w:ascii="宋体" w:hAnsi="宋体"/>
          <w:color w:val="000000"/>
          <w:sz w:val="24"/>
        </w:rPr>
        <w:t>（3）由于中标人的原因未能按照招标文件的规定交纳履约质量保证金。</w:t>
      </w:r>
    </w:p>
    <w:p>
      <w:pPr>
        <w:spacing w:line="500" w:lineRule="exact"/>
        <w:ind w:firstLine="480" w:firstLineChars="200"/>
        <w:rPr>
          <w:rFonts w:hint="eastAsia" w:ascii="宋体" w:hAnsi="宋体"/>
          <w:color w:val="000000"/>
          <w:sz w:val="24"/>
        </w:rPr>
      </w:pPr>
      <w:r>
        <w:rPr>
          <w:rFonts w:hint="eastAsia" w:ascii="宋体" w:hAnsi="宋体"/>
          <w:color w:val="000000"/>
          <w:sz w:val="24"/>
        </w:rPr>
        <w:t>（4）投标有效期内，投标人在政府采购活动中有违规、违纪和违法的行为。</w:t>
      </w:r>
    </w:p>
    <w:p>
      <w:pPr>
        <w:spacing w:line="500" w:lineRule="exact"/>
        <w:ind w:firstLine="480" w:firstLineChars="200"/>
        <w:rPr>
          <w:rFonts w:hint="eastAsia" w:ascii="宋体" w:hAnsi="宋体"/>
          <w:color w:val="000000"/>
          <w:sz w:val="24"/>
        </w:rPr>
      </w:pPr>
      <w:r>
        <w:rPr>
          <w:rFonts w:hint="eastAsia" w:ascii="宋体" w:hAnsi="宋体"/>
          <w:color w:val="000000"/>
          <w:sz w:val="24"/>
        </w:rPr>
        <w:t>（5）在中标公示期内放弃中标结果的。</w:t>
      </w:r>
    </w:p>
    <w:p>
      <w:pPr>
        <w:pStyle w:val="4"/>
        <w:spacing w:line="500" w:lineRule="exact"/>
        <w:rPr>
          <w:rFonts w:hint="eastAsia"/>
          <w:color w:val="000000"/>
        </w:rPr>
      </w:pPr>
      <w:bookmarkStart w:id="130" w:name="_Toc453596819"/>
      <w:r>
        <w:rPr>
          <w:rFonts w:hint="eastAsia"/>
          <w:color w:val="000000"/>
        </w:rPr>
        <w:t>2.2.</w:t>
      </w:r>
      <w:bookmarkEnd w:id="127"/>
      <w:bookmarkEnd w:id="128"/>
      <w:bookmarkEnd w:id="129"/>
      <w:bookmarkStart w:id="131" w:name="_Toc128372747"/>
      <w:bookmarkStart w:id="132" w:name="_Toc128372069"/>
      <w:bookmarkStart w:id="133" w:name="_Toc139965342"/>
      <w:r>
        <w:rPr>
          <w:rFonts w:hint="eastAsia"/>
          <w:color w:val="000000"/>
        </w:rPr>
        <w:t>11投标文件的份数和签署</w:t>
      </w:r>
      <w:bookmarkEnd w:id="130"/>
      <w:bookmarkEnd w:id="131"/>
      <w:bookmarkEnd w:id="132"/>
      <w:bookmarkEnd w:id="133"/>
    </w:p>
    <w:p>
      <w:pPr>
        <w:spacing w:line="500" w:lineRule="exact"/>
        <w:ind w:firstLine="480" w:firstLineChars="200"/>
        <w:rPr>
          <w:rFonts w:hint="eastAsia" w:ascii="宋体" w:hAnsi="宋体"/>
          <w:color w:val="000000"/>
          <w:sz w:val="24"/>
        </w:rPr>
      </w:pPr>
      <w:r>
        <w:rPr>
          <w:rFonts w:hint="eastAsia" w:ascii="宋体" w:hAnsi="宋体"/>
          <w:color w:val="000000"/>
          <w:sz w:val="24"/>
        </w:rPr>
        <w:t>投标人应编制正本（1份）、副本（2份）、电子版（1份）投标文件，并明确标明“正本”和“副本”“电子版”字样。投标文件正本和副本如有不一致之处，以正本为准。</w:t>
      </w:r>
    </w:p>
    <w:p>
      <w:pPr>
        <w:spacing w:line="500" w:lineRule="exact"/>
        <w:ind w:firstLine="480" w:firstLineChars="200"/>
        <w:rPr>
          <w:rFonts w:hint="eastAsia" w:ascii="宋体" w:hAnsi="宋体"/>
          <w:color w:val="000000"/>
          <w:sz w:val="24"/>
        </w:rPr>
      </w:pPr>
      <w:r>
        <w:rPr>
          <w:rFonts w:hint="eastAsia" w:ascii="宋体" w:hAnsi="宋体"/>
          <w:color w:val="000000"/>
          <w:sz w:val="24"/>
        </w:rPr>
        <w:t>投标文件中除要求由投标人法定代表人或被授权人签字的内容必须签字、盖章外，其他每页也须加盖鲜章。投标文件应使用不能擦去的墨水打印或书写。全套投标文件应无涂改和行间插字，除非这些删改是根据招标人的指示进行的，或者是投标人造成的必须修改的错误。修改处应由投标文件签字人签字证明。</w:t>
      </w:r>
    </w:p>
    <w:p>
      <w:pPr>
        <w:pStyle w:val="4"/>
        <w:spacing w:line="500" w:lineRule="exact"/>
        <w:rPr>
          <w:rFonts w:hint="eastAsia"/>
          <w:color w:val="000000"/>
        </w:rPr>
      </w:pPr>
      <w:bookmarkStart w:id="134" w:name="_Toc139965344"/>
      <w:bookmarkStart w:id="135" w:name="_Toc453596820"/>
      <w:bookmarkStart w:id="136" w:name="_Toc128372071"/>
      <w:bookmarkStart w:id="137" w:name="_Toc128372749"/>
      <w:r>
        <w:rPr>
          <w:rFonts w:hint="eastAsia"/>
          <w:color w:val="000000"/>
        </w:rPr>
        <w:t>2.2.12 投标文件的密封</w:t>
      </w:r>
      <w:bookmarkEnd w:id="134"/>
      <w:bookmarkEnd w:id="135"/>
      <w:bookmarkEnd w:id="136"/>
      <w:bookmarkEnd w:id="137"/>
    </w:p>
    <w:p>
      <w:pPr>
        <w:spacing w:line="500" w:lineRule="exact"/>
        <w:ind w:firstLine="480" w:firstLineChars="200"/>
        <w:rPr>
          <w:rFonts w:hint="eastAsia" w:ascii="宋体" w:hAnsi="宋体"/>
          <w:color w:val="000000"/>
          <w:sz w:val="24"/>
        </w:rPr>
      </w:pPr>
      <w:r>
        <w:rPr>
          <w:rFonts w:hint="eastAsia" w:ascii="宋体" w:hAnsi="宋体"/>
          <w:color w:val="000000"/>
          <w:sz w:val="24"/>
        </w:rPr>
        <w:t>投标人应将投标文件正、副本、电子版分别用标有“正本”和“副本”“电子版”字样的专用信封独立密封，并在信封上标明“项目名称”、“招标编号”、“投标商名称”（盖章）、“详细地址” 和“请勿于</w:t>
      </w:r>
      <w:r>
        <w:rPr>
          <w:rFonts w:hint="eastAsia" w:ascii="宋体" w:hAnsi="宋体"/>
          <w:color w:val="000000"/>
          <w:sz w:val="24"/>
          <w:u w:val="single"/>
        </w:rPr>
        <w:t>2017年</w:t>
      </w:r>
      <w:r>
        <w:rPr>
          <w:rFonts w:hint="eastAsia" w:ascii="宋体" w:hAnsi="宋体"/>
          <w:color w:val="000000"/>
          <w:sz w:val="24"/>
          <w:u w:val="single"/>
          <w:lang w:val="en-US" w:eastAsia="zh-CN"/>
        </w:rPr>
        <w:t>9</w:t>
      </w:r>
      <w:r>
        <w:rPr>
          <w:rFonts w:hint="eastAsia" w:ascii="宋体" w:hAnsi="宋体"/>
          <w:color w:val="000000"/>
          <w:sz w:val="24"/>
          <w:u w:val="single"/>
        </w:rPr>
        <w:t>月</w:t>
      </w:r>
      <w:r>
        <w:rPr>
          <w:rFonts w:hint="eastAsia" w:ascii="宋体" w:hAnsi="宋体"/>
          <w:color w:val="000000"/>
          <w:sz w:val="24"/>
          <w:u w:val="single"/>
          <w:lang w:val="en-US" w:eastAsia="zh-CN"/>
        </w:rPr>
        <w:t>12</w:t>
      </w:r>
      <w:r>
        <w:rPr>
          <w:rFonts w:hint="eastAsia" w:ascii="宋体" w:hAnsi="宋体"/>
          <w:color w:val="000000"/>
          <w:sz w:val="24"/>
          <w:u w:val="single"/>
        </w:rPr>
        <w:t>日</w:t>
      </w:r>
      <w:r>
        <w:rPr>
          <w:rFonts w:hint="eastAsia" w:ascii="宋体" w:hAnsi="宋体"/>
          <w:color w:val="000000"/>
          <w:sz w:val="24"/>
          <w:u w:val="single"/>
          <w:lang w:val="en-US" w:eastAsia="zh-CN"/>
        </w:rPr>
        <w:t>09:00</w:t>
      </w:r>
      <w:r>
        <w:rPr>
          <w:rFonts w:hint="eastAsia" w:ascii="宋体" w:hAnsi="宋体"/>
          <w:color w:val="000000"/>
          <w:sz w:val="24"/>
        </w:rPr>
        <w:t>之前启封！</w:t>
      </w:r>
      <w:r>
        <w:rPr>
          <w:rFonts w:ascii="宋体" w:hAnsi="宋体"/>
          <w:color w:val="000000"/>
          <w:sz w:val="24"/>
        </w:rPr>
        <w:t>”</w:t>
      </w:r>
      <w:r>
        <w:rPr>
          <w:rFonts w:hint="eastAsia" w:ascii="宋体" w:hAnsi="宋体"/>
          <w:color w:val="000000"/>
          <w:sz w:val="24"/>
        </w:rPr>
        <w:t>（盖骑缝章）的提示警句等。如果外层包封没有按上述规定密封并加注标志，将被视为无效投标，且招标人将不承担投标文件错放或提前开封的责任。为方便招标人唱标，投标人请另做一份由投标人法定代表人或被授权人签字、盖投标人鲜章的书面投标报价表（格式见附件4），单独密封于一小信封内，（密封要求与投标文件密封要求相同），同投标文件一同单独递交。</w:t>
      </w:r>
    </w:p>
    <w:p>
      <w:pPr>
        <w:pStyle w:val="4"/>
        <w:spacing w:line="500" w:lineRule="exact"/>
        <w:ind w:firstLine="0" w:firstLineChars="0"/>
        <w:rPr>
          <w:rFonts w:hint="eastAsia"/>
          <w:color w:val="000000"/>
        </w:rPr>
      </w:pPr>
      <w:bookmarkStart w:id="138" w:name="_Toc128372072"/>
      <w:bookmarkStart w:id="139" w:name="_Toc139965345"/>
      <w:bookmarkStart w:id="140" w:name="_Toc128372750"/>
      <w:r>
        <w:rPr>
          <w:rFonts w:hint="eastAsia"/>
          <w:color w:val="000000"/>
          <w:lang w:val="en-US"/>
        </w:rPr>
        <w:t xml:space="preserve">     </w:t>
      </w:r>
      <w:bookmarkStart w:id="141" w:name="_Toc453596821"/>
      <w:r>
        <w:rPr>
          <w:rFonts w:hint="eastAsia"/>
          <w:color w:val="000000"/>
        </w:rPr>
        <w:t>2.2.13投标文件递交</w:t>
      </w:r>
      <w:bookmarkEnd w:id="138"/>
      <w:bookmarkEnd w:id="139"/>
      <w:bookmarkEnd w:id="140"/>
      <w:bookmarkEnd w:id="141"/>
    </w:p>
    <w:p>
      <w:pPr>
        <w:spacing w:line="500" w:lineRule="exact"/>
        <w:ind w:firstLine="480" w:firstLineChars="200"/>
        <w:rPr>
          <w:rFonts w:ascii="宋体" w:hAnsi="宋体"/>
          <w:color w:val="000000"/>
          <w:sz w:val="24"/>
          <w:szCs w:val="30"/>
        </w:rPr>
      </w:pPr>
      <w:r>
        <w:rPr>
          <w:rFonts w:hint="eastAsia" w:ascii="宋体" w:hAnsi="宋体"/>
          <w:color w:val="000000"/>
          <w:sz w:val="24"/>
          <w:szCs w:val="30"/>
        </w:rPr>
        <w:t>投标文件应在投标文件递交时间内送达</w:t>
      </w:r>
      <w:r>
        <w:rPr>
          <w:rFonts w:hint="eastAsia" w:ascii="宋体" w:hAnsi="宋体"/>
          <w:color w:val="000000"/>
          <w:sz w:val="24"/>
        </w:rPr>
        <w:t>白银市公共资源交易中心2楼第</w:t>
      </w:r>
      <w:r>
        <w:rPr>
          <w:rFonts w:hint="eastAsia" w:ascii="宋体" w:hAnsi="宋体"/>
          <w:color w:val="000000"/>
          <w:sz w:val="24"/>
          <w:u w:val="single"/>
        </w:rPr>
        <w:t>2</w:t>
      </w:r>
      <w:r>
        <w:rPr>
          <w:rFonts w:hint="eastAsia" w:ascii="宋体" w:hAnsi="宋体"/>
          <w:color w:val="000000"/>
          <w:sz w:val="24"/>
        </w:rPr>
        <w:t>开标室，招标</w:t>
      </w:r>
      <w:r>
        <w:rPr>
          <w:rFonts w:hint="eastAsia" w:ascii="宋体" w:hAnsi="宋体"/>
          <w:color w:val="000000"/>
          <w:sz w:val="24"/>
          <w:szCs w:val="30"/>
        </w:rPr>
        <w:t>人将拒绝接受在投标截止时间后递交的投标文件。</w:t>
      </w:r>
    </w:p>
    <w:p>
      <w:pPr>
        <w:pStyle w:val="4"/>
        <w:spacing w:line="500" w:lineRule="exact"/>
        <w:ind w:firstLine="0" w:firstLineChars="0"/>
        <w:rPr>
          <w:color w:val="000000"/>
        </w:rPr>
      </w:pPr>
      <w:bookmarkStart w:id="142" w:name="_Toc128372751"/>
      <w:bookmarkStart w:id="143" w:name="_Toc139965346"/>
      <w:bookmarkStart w:id="144" w:name="_Toc128372073"/>
      <w:r>
        <w:rPr>
          <w:rFonts w:hint="eastAsia"/>
          <w:color w:val="000000"/>
          <w:lang w:val="en-US"/>
        </w:rPr>
        <w:t xml:space="preserve">    </w:t>
      </w:r>
      <w:bookmarkStart w:id="145" w:name="_Toc453596822"/>
      <w:r>
        <w:rPr>
          <w:rFonts w:hint="eastAsia"/>
          <w:color w:val="000000"/>
        </w:rPr>
        <w:t>2.2.14 投标</w:t>
      </w:r>
      <w:bookmarkEnd w:id="142"/>
      <w:bookmarkEnd w:id="143"/>
      <w:bookmarkEnd w:id="144"/>
      <w:r>
        <w:rPr>
          <w:rFonts w:hint="eastAsia"/>
          <w:color w:val="000000"/>
        </w:rPr>
        <w:t>文件递交时间</w:t>
      </w:r>
      <w:bookmarkEnd w:id="145"/>
    </w:p>
    <w:p>
      <w:pPr>
        <w:spacing w:line="500" w:lineRule="exact"/>
        <w:ind w:firstLine="480" w:firstLineChars="200"/>
        <w:rPr>
          <w:rFonts w:hint="eastAsia" w:ascii="宋体" w:hAnsi="宋体"/>
          <w:color w:val="000000"/>
          <w:sz w:val="24"/>
        </w:rPr>
      </w:pPr>
      <w:r>
        <w:rPr>
          <w:rFonts w:hint="eastAsia" w:ascii="宋体" w:hAnsi="宋体"/>
          <w:color w:val="000000"/>
          <w:sz w:val="24"/>
        </w:rPr>
        <w:t>投标文件递交截止时间</w:t>
      </w:r>
      <w:r>
        <w:rPr>
          <w:rFonts w:hint="eastAsia" w:ascii="宋体" w:hAnsi="宋体"/>
          <w:color w:val="000000"/>
          <w:sz w:val="24"/>
          <w:u w:val="none"/>
        </w:rPr>
        <w:t>2017年</w:t>
      </w:r>
      <w:r>
        <w:rPr>
          <w:rFonts w:hint="eastAsia" w:ascii="宋体" w:hAnsi="宋体"/>
          <w:color w:val="000000"/>
          <w:sz w:val="24"/>
          <w:u w:val="none"/>
          <w:lang w:val="en-US" w:eastAsia="zh-CN"/>
        </w:rPr>
        <w:t>9</w:t>
      </w:r>
      <w:r>
        <w:rPr>
          <w:rFonts w:hint="eastAsia" w:ascii="宋体" w:hAnsi="宋体"/>
          <w:color w:val="000000"/>
          <w:sz w:val="24"/>
          <w:u w:val="none"/>
        </w:rPr>
        <w:t>月</w:t>
      </w:r>
      <w:r>
        <w:rPr>
          <w:rFonts w:hint="eastAsia" w:ascii="宋体" w:hAnsi="宋体"/>
          <w:color w:val="000000"/>
          <w:sz w:val="24"/>
          <w:u w:val="none"/>
          <w:lang w:val="en-US" w:eastAsia="zh-CN"/>
        </w:rPr>
        <w:t>12</w:t>
      </w:r>
      <w:r>
        <w:rPr>
          <w:rFonts w:hint="eastAsia" w:ascii="宋体" w:hAnsi="宋体"/>
          <w:color w:val="000000"/>
          <w:sz w:val="24"/>
          <w:u w:val="none"/>
        </w:rPr>
        <w:t>日</w:t>
      </w:r>
      <w:r>
        <w:rPr>
          <w:rFonts w:hint="eastAsia" w:ascii="宋体" w:hAnsi="宋体"/>
          <w:color w:val="000000"/>
          <w:sz w:val="24"/>
          <w:u w:val="none"/>
          <w:lang w:val="en-US" w:eastAsia="zh-CN"/>
        </w:rPr>
        <w:t>9时</w:t>
      </w:r>
      <w:r>
        <w:rPr>
          <w:rFonts w:hint="eastAsia" w:ascii="宋体" w:hAnsi="宋体"/>
          <w:color w:val="000000"/>
          <w:sz w:val="24"/>
          <w:lang w:val="en-US" w:eastAsia="zh-CN"/>
        </w:rPr>
        <w:t>整</w:t>
      </w:r>
    </w:p>
    <w:p>
      <w:pPr>
        <w:spacing w:line="500" w:lineRule="exact"/>
        <w:ind w:firstLine="480" w:firstLineChars="200"/>
        <w:rPr>
          <w:rFonts w:hint="eastAsia" w:ascii="宋体" w:hAnsi="宋体"/>
          <w:color w:val="000000"/>
          <w:sz w:val="24"/>
        </w:rPr>
      </w:pPr>
      <w:r>
        <w:rPr>
          <w:rFonts w:hint="eastAsia" w:ascii="宋体" w:hAnsi="宋体"/>
          <w:color w:val="000000"/>
          <w:sz w:val="24"/>
        </w:rPr>
        <w:t>招标人或代理机构可视具体情况，延长投标截止时间和开标时间，但应当在提交投标文件截止时间3日前。变更时间应当在《甘肃政府采购网》《白银市公共资源交易中心网》发布。</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投标人出现以下情况，采购人（代理机构）将拒收其递交的投标文件。</w:t>
      </w:r>
    </w:p>
    <w:p>
      <w:pPr>
        <w:spacing w:line="500" w:lineRule="exact"/>
        <w:ind w:firstLine="480" w:firstLineChars="200"/>
        <w:rPr>
          <w:rFonts w:hint="eastAsia" w:ascii="宋体" w:hAnsi="宋体"/>
          <w:color w:val="000000"/>
          <w:sz w:val="24"/>
        </w:rPr>
      </w:pPr>
      <w:r>
        <w:rPr>
          <w:rFonts w:hint="eastAsia" w:ascii="宋体" w:hAnsi="宋体"/>
          <w:color w:val="000000"/>
          <w:sz w:val="24"/>
        </w:rPr>
        <w:t>（1）逾期送达投标文件的。</w:t>
      </w:r>
    </w:p>
    <w:p>
      <w:pPr>
        <w:spacing w:line="500" w:lineRule="exact"/>
        <w:ind w:firstLine="480" w:firstLineChars="200"/>
        <w:rPr>
          <w:rFonts w:hint="eastAsia" w:ascii="宋体" w:hAnsi="宋体"/>
          <w:color w:val="000000"/>
          <w:sz w:val="24"/>
        </w:rPr>
      </w:pPr>
      <w:r>
        <w:rPr>
          <w:rFonts w:hint="eastAsia" w:ascii="宋体" w:hAnsi="宋体"/>
          <w:color w:val="000000"/>
          <w:sz w:val="24"/>
        </w:rPr>
        <w:t>（2）未按招标文件要求密封投标文件的。</w:t>
      </w:r>
    </w:p>
    <w:p>
      <w:pPr>
        <w:spacing w:line="500" w:lineRule="exact"/>
        <w:ind w:firstLine="480" w:firstLineChars="200"/>
        <w:rPr>
          <w:rFonts w:hint="eastAsia" w:ascii="宋体" w:hAnsi="宋体"/>
          <w:color w:val="000000"/>
          <w:sz w:val="24"/>
        </w:rPr>
      </w:pPr>
      <w:r>
        <w:rPr>
          <w:rFonts w:hint="eastAsia" w:ascii="宋体" w:hAnsi="宋体"/>
          <w:color w:val="000000"/>
          <w:sz w:val="24"/>
        </w:rPr>
        <w:t>（3）未按规定交纳保证金的。</w:t>
      </w:r>
    </w:p>
    <w:p>
      <w:pPr>
        <w:spacing w:line="500" w:lineRule="exact"/>
        <w:ind w:firstLine="480" w:firstLineChars="200"/>
        <w:rPr>
          <w:rFonts w:hint="eastAsia" w:ascii="宋体" w:hAnsi="宋体"/>
          <w:color w:val="000000"/>
          <w:sz w:val="24"/>
        </w:rPr>
      </w:pPr>
      <w:r>
        <w:rPr>
          <w:rFonts w:hint="eastAsia" w:ascii="宋体" w:hAnsi="宋体"/>
          <w:color w:val="000000"/>
          <w:sz w:val="24"/>
        </w:rPr>
        <w:t>（4）投标单位出席开标会议时，法定代表人不能出具法人代表证明材料的或授权代表不能出具授权委托书原件的。</w:t>
      </w:r>
    </w:p>
    <w:p>
      <w:pPr>
        <w:pStyle w:val="4"/>
        <w:spacing w:line="500" w:lineRule="exact"/>
        <w:rPr>
          <w:rFonts w:hint="eastAsia"/>
          <w:color w:val="000000"/>
        </w:rPr>
      </w:pPr>
      <w:bookmarkStart w:id="146" w:name="_Toc128372074"/>
      <w:bookmarkStart w:id="147" w:name="_Toc128372752"/>
      <w:bookmarkStart w:id="148" w:name="_Toc453596823"/>
      <w:bookmarkStart w:id="149" w:name="_Toc139965347"/>
      <w:r>
        <w:rPr>
          <w:rFonts w:hint="eastAsia"/>
          <w:color w:val="000000"/>
        </w:rPr>
        <w:t>2.2.15 投标文件的修改与撤回</w:t>
      </w:r>
      <w:bookmarkEnd w:id="146"/>
      <w:bookmarkEnd w:id="147"/>
      <w:bookmarkEnd w:id="148"/>
      <w:bookmarkEnd w:id="149"/>
    </w:p>
    <w:p>
      <w:pPr>
        <w:spacing w:line="500" w:lineRule="exact"/>
        <w:ind w:firstLine="480" w:firstLineChars="200"/>
        <w:rPr>
          <w:rFonts w:hint="eastAsia" w:ascii="宋体" w:hAnsi="宋体"/>
          <w:color w:val="000000"/>
          <w:sz w:val="24"/>
        </w:rPr>
      </w:pPr>
      <w:r>
        <w:rPr>
          <w:rFonts w:hint="eastAsia" w:ascii="宋体" w:hAnsi="宋体"/>
          <w:color w:val="000000"/>
          <w:sz w:val="24"/>
        </w:rPr>
        <w:t>投标人可以在递交投标文件以后，在规定的投标截止时间之前，可以书面形式向招标人递交修改或撤回其投标文件的通知。在投标截止时间以后，不能更改投标文件。</w:t>
      </w:r>
    </w:p>
    <w:p>
      <w:pPr>
        <w:spacing w:line="500" w:lineRule="exact"/>
        <w:ind w:firstLine="480" w:firstLineChars="200"/>
        <w:rPr>
          <w:rFonts w:ascii="宋体" w:hAnsi="宋体"/>
          <w:color w:val="000000"/>
          <w:sz w:val="24"/>
        </w:rPr>
      </w:pPr>
      <w:r>
        <w:rPr>
          <w:rFonts w:hint="eastAsia" w:ascii="宋体" w:hAnsi="宋体"/>
          <w:color w:val="000000"/>
          <w:sz w:val="24"/>
        </w:rPr>
        <w:t>投标人的修改或撤回通知，应单独密封在一个信封中，在信封上注明“修改”或“撤回”的字样。同时，信封上还须按投标文件的密封要求加写标志。</w:t>
      </w:r>
    </w:p>
    <w:p>
      <w:pPr>
        <w:pStyle w:val="3"/>
        <w:spacing w:line="500" w:lineRule="exact"/>
        <w:ind w:firstLine="482" w:firstLineChars="200"/>
        <w:jc w:val="both"/>
        <w:rPr>
          <w:rFonts w:hint="eastAsia" w:ascii="宋体" w:hAnsi="宋体"/>
          <w:color w:val="000000"/>
          <w:sz w:val="24"/>
        </w:rPr>
      </w:pPr>
      <w:bookmarkStart w:id="150" w:name="_Toc139965348"/>
      <w:bookmarkStart w:id="151" w:name="_Toc128372753"/>
      <w:bookmarkStart w:id="152" w:name="_Toc453596824"/>
      <w:bookmarkStart w:id="153" w:name="_Toc128372075"/>
      <w:r>
        <w:rPr>
          <w:rFonts w:hint="eastAsia" w:ascii="宋体" w:hAnsi="宋体"/>
          <w:color w:val="000000"/>
          <w:sz w:val="24"/>
        </w:rPr>
        <w:t>2.3 开标</w:t>
      </w:r>
      <w:bookmarkEnd w:id="150"/>
      <w:bookmarkEnd w:id="151"/>
      <w:bookmarkEnd w:id="152"/>
      <w:bookmarkEnd w:id="153"/>
    </w:p>
    <w:p>
      <w:pPr>
        <w:spacing w:line="500" w:lineRule="exact"/>
        <w:ind w:firstLine="480" w:firstLineChars="200"/>
        <w:rPr>
          <w:rFonts w:hint="eastAsia" w:ascii="宋体" w:hAnsi="宋体"/>
          <w:color w:val="000000"/>
          <w:sz w:val="24"/>
        </w:rPr>
      </w:pPr>
      <w:r>
        <w:rPr>
          <w:rFonts w:hint="eastAsia" w:ascii="宋体" w:hAnsi="宋体"/>
          <w:color w:val="000000"/>
          <w:sz w:val="24"/>
        </w:rPr>
        <w:t>招标人将于规定的开标时间和地点举行开标会议，投标人的法定代表人或授权代表人必须参加开标会议。</w:t>
      </w:r>
    </w:p>
    <w:p>
      <w:pPr>
        <w:spacing w:line="500" w:lineRule="exact"/>
        <w:ind w:firstLine="480" w:firstLineChars="200"/>
        <w:rPr>
          <w:rFonts w:hint="eastAsia" w:ascii="宋体" w:hAnsi="宋体"/>
          <w:color w:val="000000"/>
          <w:sz w:val="24"/>
        </w:rPr>
      </w:pPr>
      <w:r>
        <w:rPr>
          <w:rFonts w:hint="eastAsia" w:ascii="宋体" w:hAnsi="宋体"/>
          <w:color w:val="000000"/>
          <w:sz w:val="24"/>
        </w:rPr>
        <w:t>开标会议在有关监督部门的监督下，由招标人组织并主持，对投标文件进行检查，除投标截止时间前递交合格撤回通知的投标文件不予开封外，将检查投标文件是否符合投标文件的密封要求。</w:t>
      </w:r>
    </w:p>
    <w:p>
      <w:pPr>
        <w:spacing w:line="500" w:lineRule="exact"/>
        <w:ind w:firstLine="480" w:firstLineChars="200"/>
        <w:rPr>
          <w:rFonts w:hint="eastAsia" w:ascii="宋体" w:hAnsi="宋体"/>
          <w:color w:val="000000"/>
          <w:sz w:val="24"/>
        </w:rPr>
      </w:pPr>
      <w:r>
        <w:rPr>
          <w:rFonts w:hint="eastAsia" w:ascii="宋体" w:hAnsi="宋体"/>
          <w:color w:val="000000"/>
          <w:sz w:val="24"/>
        </w:rPr>
        <w:t>开标后，将由招标人按照递交投标文件的逆顺序公开宣读有效投标人的投标报价表所有内容，以及招标人认为必要的其它内容。</w:t>
      </w:r>
    </w:p>
    <w:p>
      <w:pPr>
        <w:spacing w:line="500" w:lineRule="exact"/>
        <w:ind w:firstLine="480" w:firstLineChars="200"/>
        <w:rPr>
          <w:rFonts w:hint="eastAsia" w:ascii="宋体" w:hAnsi="宋体"/>
          <w:color w:val="000000"/>
          <w:sz w:val="24"/>
        </w:rPr>
      </w:pPr>
      <w:r>
        <w:rPr>
          <w:rFonts w:hint="eastAsia" w:ascii="宋体" w:hAnsi="宋体"/>
          <w:color w:val="000000"/>
          <w:sz w:val="24"/>
        </w:rPr>
        <w:t>招标人有权就投标文件中含混之处向投标人提出询问或澄清要求。</w:t>
      </w:r>
    </w:p>
    <w:p>
      <w:pPr>
        <w:spacing w:line="500" w:lineRule="exact"/>
        <w:ind w:firstLine="480" w:firstLineChars="200"/>
        <w:rPr>
          <w:rFonts w:hint="eastAsia" w:ascii="宋体" w:hAnsi="宋体"/>
          <w:color w:val="000000"/>
          <w:sz w:val="24"/>
        </w:rPr>
      </w:pPr>
      <w:r>
        <w:rPr>
          <w:rFonts w:hint="eastAsia" w:ascii="宋体" w:hAnsi="宋体"/>
          <w:color w:val="000000"/>
          <w:sz w:val="24"/>
        </w:rPr>
        <w:t>公开开标后，直到向中标的投标人授予合同时止，凡与审查、澄清、评价和比较投标的有关资料以及授标意见等均不得向投标人及与投标无关的其他人透露。</w:t>
      </w:r>
    </w:p>
    <w:p>
      <w:pPr>
        <w:keepNext/>
        <w:keepLines/>
        <w:spacing w:before="260" w:after="260" w:line="500" w:lineRule="exact"/>
        <w:ind w:firstLine="482" w:firstLineChars="200"/>
        <w:outlineLvl w:val="1"/>
        <w:rPr>
          <w:rFonts w:hint="eastAsia" w:ascii="宋体" w:hAnsi="宋体"/>
          <w:b/>
          <w:bCs/>
          <w:color w:val="000000"/>
          <w:sz w:val="24"/>
          <w:szCs w:val="32"/>
        </w:rPr>
      </w:pPr>
      <w:bookmarkStart w:id="154" w:name="_Toc453596825"/>
      <w:r>
        <w:rPr>
          <w:rFonts w:hint="eastAsia" w:ascii="宋体" w:hAnsi="宋体"/>
          <w:b/>
          <w:bCs/>
          <w:color w:val="000000"/>
          <w:sz w:val="24"/>
          <w:szCs w:val="32"/>
        </w:rPr>
        <w:t>2.4评标</w:t>
      </w:r>
      <w:bookmarkEnd w:id="154"/>
    </w:p>
    <w:p>
      <w:pPr>
        <w:spacing w:line="500" w:lineRule="exact"/>
        <w:ind w:firstLine="480" w:firstLineChars="200"/>
        <w:rPr>
          <w:rFonts w:hint="eastAsia" w:ascii="宋体" w:hAnsi="宋体"/>
          <w:color w:val="000000"/>
          <w:sz w:val="24"/>
        </w:rPr>
      </w:pPr>
      <w:r>
        <w:rPr>
          <w:rFonts w:hint="eastAsia" w:ascii="宋体" w:hAnsi="宋体"/>
          <w:color w:val="000000"/>
          <w:sz w:val="24"/>
        </w:rPr>
        <w:t>评标工作由招标人依法组建的评标委员会（以下简称评委会）负责。</w:t>
      </w:r>
    </w:p>
    <w:p>
      <w:pPr>
        <w:spacing w:line="500" w:lineRule="exact"/>
        <w:ind w:firstLine="480" w:firstLineChars="200"/>
        <w:rPr>
          <w:rFonts w:hint="eastAsia" w:ascii="宋体" w:hAnsi="宋体"/>
          <w:color w:val="000000"/>
          <w:sz w:val="24"/>
        </w:rPr>
      </w:pPr>
      <w:r>
        <w:rPr>
          <w:rFonts w:hint="eastAsia" w:ascii="宋体" w:hAnsi="宋体"/>
          <w:color w:val="000000"/>
          <w:sz w:val="24"/>
        </w:rPr>
        <w:t>评委会严格按照《政府采购货物和服务招标投标管理办法》（财政部第18号令）规定的程序和招标文件规定的评分办法及标准对投标文件进行评审打分。</w:t>
      </w:r>
    </w:p>
    <w:p>
      <w:pPr>
        <w:spacing w:line="500" w:lineRule="exact"/>
        <w:ind w:firstLine="480" w:firstLineChars="200"/>
        <w:rPr>
          <w:rFonts w:hint="eastAsia" w:ascii="宋体" w:hAnsi="宋体"/>
          <w:color w:val="000000"/>
          <w:sz w:val="24"/>
        </w:rPr>
      </w:pPr>
      <w:r>
        <w:rPr>
          <w:rFonts w:hint="eastAsia" w:ascii="宋体" w:hAnsi="宋体"/>
          <w:color w:val="000000"/>
          <w:sz w:val="24"/>
        </w:rPr>
        <w:t>评标过程严格保密。投标人对评委会的评标过程或合同授予决定施加影响的任何行为都可能导致其投标被拒绝。</w:t>
      </w:r>
    </w:p>
    <w:p>
      <w:pPr>
        <w:spacing w:line="500" w:lineRule="exact"/>
        <w:ind w:firstLine="480" w:firstLineChars="200"/>
        <w:rPr>
          <w:rFonts w:hint="eastAsia" w:ascii="宋体" w:hAnsi="宋体"/>
          <w:color w:val="000000"/>
          <w:sz w:val="24"/>
        </w:rPr>
      </w:pPr>
      <w:r>
        <w:rPr>
          <w:rFonts w:hint="eastAsia" w:ascii="宋体" w:hAnsi="宋体"/>
          <w:color w:val="000000"/>
          <w:sz w:val="24"/>
        </w:rPr>
        <w:t>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500" w:lineRule="exact"/>
        <w:ind w:firstLine="480" w:firstLineChars="200"/>
        <w:rPr>
          <w:rFonts w:hint="eastAsia" w:ascii="宋体" w:hAnsi="宋体"/>
          <w:color w:val="000000"/>
          <w:sz w:val="24"/>
        </w:rPr>
      </w:pPr>
      <w:r>
        <w:rPr>
          <w:rFonts w:hint="eastAsia" w:ascii="宋体" w:hAnsi="宋体"/>
          <w:color w:val="000000"/>
          <w:sz w:val="24"/>
        </w:rPr>
        <w:t>评委会认定实质性响应招标文件的投标是投标文件与招标文件要求的全部条款、条件和规格相符，没有实质性负偏离。评委会决定投标文件的响应性依据投标文件本身的内容，而不寻求外部的证据。</w:t>
      </w:r>
    </w:p>
    <w:p>
      <w:pPr>
        <w:spacing w:line="500" w:lineRule="exact"/>
        <w:ind w:firstLine="480" w:firstLineChars="200"/>
        <w:rPr>
          <w:rFonts w:hint="eastAsia" w:ascii="宋体" w:hAnsi="宋体"/>
          <w:color w:val="000000"/>
          <w:sz w:val="24"/>
        </w:rPr>
      </w:pPr>
      <w:r>
        <w:rPr>
          <w:rFonts w:hint="eastAsia" w:ascii="宋体" w:hAnsi="宋体"/>
          <w:color w:val="000000"/>
          <w:sz w:val="24"/>
        </w:rPr>
        <w:t>如果投标文件没有实质性响应招标文件的要求，评委会将予以拒绝。投标人不得通过修正或撤消不合要求的偏离或保留从而使其投标成为实质性响应的投标。</w:t>
      </w:r>
    </w:p>
    <w:p>
      <w:pPr>
        <w:spacing w:line="500" w:lineRule="exact"/>
        <w:ind w:firstLine="480" w:firstLineChars="200"/>
        <w:rPr>
          <w:rFonts w:hint="eastAsia" w:ascii="宋体" w:hAnsi="宋体"/>
          <w:color w:val="000000"/>
          <w:sz w:val="24"/>
        </w:rPr>
      </w:pPr>
      <w:r>
        <w:rPr>
          <w:rFonts w:hint="eastAsia" w:ascii="宋体" w:hAnsi="宋体"/>
          <w:color w:val="000000"/>
          <w:sz w:val="24"/>
        </w:rPr>
        <w:t>评委会只对确定为实质性响应招标文件要求的投标文件，根据招标文件的要求采用相同的评标程序、评分办法及标准进行评价和比较。</w:t>
      </w:r>
    </w:p>
    <w:p>
      <w:pPr>
        <w:spacing w:line="500" w:lineRule="exact"/>
        <w:ind w:firstLine="480" w:firstLineChars="200"/>
        <w:rPr>
          <w:rFonts w:hint="eastAsia" w:ascii="宋体" w:hAnsi="宋体"/>
          <w:color w:val="000000"/>
          <w:sz w:val="24"/>
        </w:rPr>
      </w:pPr>
      <w:r>
        <w:rPr>
          <w:rFonts w:hint="eastAsia" w:ascii="宋体" w:hAnsi="宋体"/>
          <w:color w:val="000000"/>
          <w:sz w:val="24"/>
        </w:rPr>
        <w:t>投标文件属于下列情况的，在资格性、符合性检查时按照无效投标处理：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（1）未按照招标文件规定交纳投标保证金的；</w:t>
      </w:r>
    </w:p>
    <w:p>
      <w:pPr>
        <w:spacing w:line="500" w:lineRule="exact"/>
        <w:ind w:firstLine="480" w:firstLineChars="200"/>
        <w:rPr>
          <w:rFonts w:hint="eastAsia" w:ascii="宋体" w:hAnsi="宋体"/>
          <w:color w:val="000000"/>
          <w:sz w:val="24"/>
        </w:rPr>
      </w:pPr>
      <w:r>
        <w:rPr>
          <w:rFonts w:hint="eastAsia" w:ascii="宋体" w:hAnsi="宋体"/>
          <w:color w:val="000000"/>
          <w:sz w:val="24"/>
        </w:rPr>
        <w:t>（2）未按照招标文件规定和要求密封、签署、盖章的;</w:t>
      </w:r>
    </w:p>
    <w:p>
      <w:pPr>
        <w:spacing w:line="500" w:lineRule="exact"/>
        <w:ind w:firstLine="480" w:firstLineChars="200"/>
        <w:rPr>
          <w:rFonts w:hint="eastAsia" w:ascii="宋体" w:hAnsi="宋体"/>
          <w:color w:val="000000"/>
          <w:sz w:val="24"/>
        </w:rPr>
      </w:pPr>
      <w:r>
        <w:rPr>
          <w:rFonts w:hint="eastAsia" w:ascii="宋体" w:hAnsi="宋体"/>
          <w:color w:val="000000"/>
          <w:sz w:val="24"/>
        </w:rPr>
        <w:t>（3）不具备招标文件中规定的资格条件和要求的;</w:t>
      </w:r>
    </w:p>
    <w:p>
      <w:pPr>
        <w:spacing w:line="500" w:lineRule="exact"/>
        <w:ind w:firstLine="480" w:firstLineChars="200"/>
        <w:rPr>
          <w:rFonts w:hint="eastAsia" w:ascii="宋体" w:hAnsi="宋体"/>
          <w:color w:val="000000"/>
          <w:sz w:val="24"/>
        </w:rPr>
      </w:pPr>
      <w:r>
        <w:rPr>
          <w:rFonts w:hint="eastAsia" w:ascii="宋体" w:hAnsi="宋体"/>
          <w:color w:val="000000"/>
          <w:sz w:val="24"/>
        </w:rPr>
        <w:t>（4）未按照招标文件规定的格式要求编制的；</w:t>
      </w:r>
    </w:p>
    <w:p>
      <w:pPr>
        <w:spacing w:line="500" w:lineRule="exact"/>
        <w:ind w:firstLine="480" w:firstLineChars="200"/>
        <w:rPr>
          <w:rFonts w:hint="eastAsia" w:ascii="宋体" w:hAnsi="宋体"/>
          <w:color w:val="000000"/>
          <w:sz w:val="24"/>
        </w:rPr>
      </w:pPr>
      <w:r>
        <w:rPr>
          <w:rFonts w:hint="eastAsia" w:ascii="宋体" w:hAnsi="宋体"/>
          <w:color w:val="000000"/>
          <w:sz w:val="24"/>
        </w:rPr>
        <w:t>（5）不符合法律法规和招标文件中规定的其他实质性要求的；</w:t>
      </w:r>
    </w:p>
    <w:p>
      <w:pPr>
        <w:spacing w:line="500" w:lineRule="exact"/>
        <w:ind w:firstLine="480" w:firstLineChars="200"/>
        <w:rPr>
          <w:rFonts w:hint="eastAsia" w:ascii="宋体" w:hAnsi="宋体"/>
          <w:color w:val="000000"/>
          <w:sz w:val="24"/>
        </w:rPr>
      </w:pPr>
      <w:r>
        <w:rPr>
          <w:rFonts w:hint="eastAsia" w:ascii="宋体" w:hAnsi="宋体"/>
          <w:color w:val="000000"/>
          <w:sz w:val="24"/>
        </w:rPr>
        <w:t>（6）招标文件规定的其他无效投标情形。</w:t>
      </w:r>
    </w:p>
    <w:p>
      <w:pPr>
        <w:spacing w:line="500" w:lineRule="exact"/>
        <w:ind w:firstLine="480" w:firstLineChars="200"/>
        <w:rPr>
          <w:rFonts w:hint="eastAsia" w:ascii="宋体" w:hAnsi="宋体"/>
          <w:color w:val="000000"/>
          <w:sz w:val="24"/>
        </w:rPr>
      </w:pPr>
      <w:r>
        <w:rPr>
          <w:rFonts w:hint="eastAsia" w:ascii="宋体" w:hAnsi="宋体"/>
          <w:color w:val="000000"/>
          <w:sz w:val="24"/>
          <w:lang w:val="en-US" w:eastAsia="zh-CN"/>
        </w:rPr>
        <w:t>2.4.1</w:t>
      </w:r>
      <w:r>
        <w:rPr>
          <w:rFonts w:hint="eastAsia" w:ascii="宋体" w:hAnsi="宋体"/>
          <w:color w:val="000000"/>
          <w:sz w:val="24"/>
        </w:rPr>
        <w:t>变更采购方式后采用的评标方法</w:t>
      </w:r>
    </w:p>
    <w:p>
      <w:pPr>
        <w:spacing w:line="500" w:lineRule="exact"/>
        <w:ind w:firstLine="480" w:firstLineChars="200"/>
        <w:rPr>
          <w:rFonts w:hint="eastAsia" w:ascii="宋体" w:hAnsi="宋体"/>
          <w:color w:val="000000"/>
          <w:sz w:val="24"/>
        </w:rPr>
      </w:pPr>
      <w:r>
        <w:rPr>
          <w:rFonts w:hint="eastAsia" w:ascii="宋体" w:hAnsi="宋体"/>
          <w:color w:val="000000"/>
          <w:sz w:val="24"/>
        </w:rPr>
        <w:t>经同级政府采购监管部门审核批准由公开招标变更为竞争性谈判或单一来源方式采购后，原采用 “综合评分法”的项目将选择“最低评标价法”作为评标方法。</w:t>
      </w:r>
    </w:p>
    <w:p>
      <w:pPr>
        <w:keepNext/>
        <w:keepLines/>
        <w:spacing w:before="260" w:after="260" w:line="500" w:lineRule="exact"/>
        <w:ind w:firstLine="482" w:firstLineChars="200"/>
        <w:outlineLvl w:val="1"/>
        <w:rPr>
          <w:rFonts w:hint="eastAsia" w:ascii="宋体" w:hAnsi="宋体"/>
          <w:b/>
          <w:bCs/>
          <w:color w:val="000000"/>
          <w:sz w:val="24"/>
          <w:szCs w:val="32"/>
        </w:rPr>
      </w:pPr>
      <w:bookmarkStart w:id="155" w:name="_Toc453596826"/>
      <w:r>
        <w:rPr>
          <w:rFonts w:hint="eastAsia" w:ascii="宋体" w:hAnsi="宋体"/>
          <w:b/>
          <w:bCs/>
          <w:color w:val="000000"/>
          <w:sz w:val="24"/>
          <w:szCs w:val="32"/>
        </w:rPr>
        <w:t>2.5定标</w:t>
      </w:r>
      <w:bookmarkEnd w:id="155"/>
    </w:p>
    <w:p>
      <w:pPr>
        <w:spacing w:line="500" w:lineRule="exact"/>
        <w:ind w:firstLine="482" w:firstLineChars="200"/>
        <w:rPr>
          <w:rFonts w:hint="eastAsia" w:ascii="宋体" w:hAnsi="宋体"/>
          <w:b/>
          <w:color w:val="000000"/>
          <w:sz w:val="24"/>
        </w:rPr>
      </w:pPr>
      <w:r>
        <w:rPr>
          <w:rFonts w:hint="eastAsia" w:ascii="宋体" w:hAnsi="宋体"/>
          <w:b/>
          <w:color w:val="000000"/>
          <w:sz w:val="24"/>
        </w:rPr>
        <w:t>定标原则</w:t>
      </w:r>
    </w:p>
    <w:p>
      <w:pPr>
        <w:spacing w:line="500" w:lineRule="exact"/>
        <w:ind w:firstLine="480" w:firstLineChars="200"/>
        <w:rPr>
          <w:rFonts w:hint="eastAsia" w:ascii="宋体" w:hAnsi="宋体"/>
          <w:color w:val="000000"/>
          <w:sz w:val="24"/>
        </w:rPr>
      </w:pPr>
      <w:r>
        <w:rPr>
          <w:rFonts w:hint="eastAsia" w:ascii="宋体" w:hAnsi="宋体"/>
          <w:color w:val="000000"/>
          <w:sz w:val="24"/>
        </w:rPr>
        <w:t>根据评委会推荐的中标候选人名单，按顺序确定中标人。</w:t>
      </w:r>
    </w:p>
    <w:p>
      <w:pPr>
        <w:spacing w:line="500" w:lineRule="exact"/>
        <w:ind w:firstLine="480" w:firstLineChars="200"/>
        <w:rPr>
          <w:rFonts w:hint="eastAsia" w:ascii="宋体" w:hAnsi="宋体"/>
          <w:color w:val="000000"/>
          <w:sz w:val="24"/>
        </w:rPr>
      </w:pPr>
      <w:r>
        <w:rPr>
          <w:rFonts w:hint="eastAsia" w:ascii="宋体" w:hAnsi="宋体"/>
          <w:color w:val="000000"/>
          <w:sz w:val="24"/>
        </w:rPr>
        <w:t>评标方法分为综合评分法和最低价评价法。</w:t>
      </w:r>
    </w:p>
    <w:p>
      <w:pPr>
        <w:spacing w:line="500" w:lineRule="exact"/>
        <w:ind w:firstLine="480" w:firstLineChars="200"/>
        <w:rPr>
          <w:rFonts w:hint="eastAsia" w:ascii="宋体" w:hAnsi="宋体"/>
          <w:sz w:val="24"/>
        </w:rPr>
      </w:pPr>
      <w:r>
        <w:rPr>
          <w:rFonts w:hint="eastAsia" w:ascii="宋体" w:hAnsi="宋体"/>
          <w:color w:val="000000"/>
          <w:sz w:val="24"/>
        </w:rPr>
        <w:t>综合评分法：是指在最大限度地满足招标文件实质性要求前提下，按照招标文件中规定的各项因素进行综合评审后，以评标总得分最高的投标人</w:t>
      </w:r>
      <w:r>
        <w:rPr>
          <w:rFonts w:hint="eastAsia" w:ascii="宋体" w:hAnsi="宋体"/>
          <w:sz w:val="24"/>
        </w:rPr>
        <w:t>作为拟中标供应商。综合评分法中的价格分统一采用低价优先法计算，即满足招标文件要求且合理的最低评标价为评标基准价，其价格分为满分。其他投标人的价格分统一按照下列公式计算：评标价得分＝（评标基准价/评标价）×价格权值×100%。</w:t>
      </w:r>
    </w:p>
    <w:p>
      <w:pPr>
        <w:spacing w:line="500" w:lineRule="exact"/>
        <w:ind w:firstLine="480" w:firstLineChars="200"/>
        <w:rPr>
          <w:rFonts w:ascii="宋体" w:hAnsi="宋体"/>
          <w:sz w:val="24"/>
        </w:rPr>
      </w:pPr>
      <w:r>
        <w:rPr>
          <w:rFonts w:ascii="宋体" w:hAnsi="宋体"/>
          <w:sz w:val="24"/>
        </w:rPr>
        <w:t>最低评标价法</w:t>
      </w:r>
      <w:r>
        <w:rPr>
          <w:rFonts w:hint="eastAsia" w:ascii="宋体" w:hAnsi="宋体"/>
          <w:sz w:val="24"/>
        </w:rPr>
        <w:t>：</w:t>
      </w:r>
      <w:r>
        <w:rPr>
          <w:rFonts w:ascii="宋体" w:hAnsi="宋体"/>
          <w:sz w:val="24"/>
        </w:rPr>
        <w:t>是指投标文件满足招标文件全部实质性要求且评标价最低的供应商为中标候选人的评标方法。</w:t>
      </w:r>
      <w:r>
        <w:rPr>
          <w:rFonts w:hint="eastAsia" w:ascii="宋体" w:hAnsi="宋体"/>
          <w:sz w:val="24"/>
        </w:rPr>
        <w:t>综合评分法</w:t>
      </w:r>
      <w:r>
        <w:rPr>
          <w:rFonts w:ascii="宋体" w:hAnsi="宋体"/>
          <w:sz w:val="24"/>
        </w:rPr>
        <w:t>，是指投标文件满足招标文件全部实质性要求且按照评审因素的量化指标评审得分最高的供应商为中标候选人的评标方法。</w:t>
      </w:r>
    </w:p>
    <w:p>
      <w:pPr>
        <w:spacing w:line="500" w:lineRule="exact"/>
        <w:ind w:firstLine="480" w:firstLineChars="200"/>
        <w:rPr>
          <w:rFonts w:hint="eastAsia" w:ascii="宋体" w:hAnsi="宋体"/>
          <w:b/>
          <w:color w:val="000000"/>
          <w:sz w:val="24"/>
        </w:rPr>
      </w:pPr>
      <w:r>
        <w:rPr>
          <w:rFonts w:hint="eastAsia" w:ascii="宋体" w:hAnsi="宋体"/>
          <w:sz w:val="24"/>
        </w:rPr>
        <w:t>对中小微企业执行财库【2011】181号及工信部联企业【2011】300号文件的规定，对其投标报价按6%扣除后的价格作为其评标价。不符合财库【2011】181号及工信部联企业【2011】300号文件的规定企业的产品价格不予扣除,</w:t>
      </w:r>
      <w:r>
        <w:rPr>
          <w:rFonts w:hint="eastAsia" w:ascii="宋体" w:hAnsi="宋体"/>
        </w:rPr>
        <w:t xml:space="preserve"> </w:t>
      </w:r>
      <w:r>
        <w:rPr>
          <w:rFonts w:hint="eastAsia" w:ascii="宋体" w:hAnsi="宋体"/>
          <w:sz w:val="24"/>
        </w:rPr>
        <w:t>其投标报价即为评标价。</w:t>
      </w:r>
      <w:r>
        <w:rPr>
          <w:rFonts w:ascii="宋体" w:hAnsi="宋体"/>
          <w:sz w:val="24"/>
        </w:rPr>
        <w:br w:type="textWrapping"/>
      </w:r>
      <w:r>
        <w:rPr>
          <w:rFonts w:hint="eastAsia" w:ascii="宋体" w:hAnsi="宋体"/>
          <w:b/>
          <w:color w:val="000000"/>
          <w:sz w:val="24"/>
        </w:rPr>
        <w:t>定标程序</w:t>
      </w:r>
    </w:p>
    <w:p>
      <w:pPr>
        <w:spacing w:line="500" w:lineRule="exact"/>
        <w:ind w:firstLine="480" w:firstLineChars="200"/>
        <w:rPr>
          <w:rFonts w:hint="eastAsia" w:ascii="宋体" w:hAnsi="宋体"/>
          <w:color w:val="000000"/>
          <w:sz w:val="24"/>
        </w:rPr>
      </w:pPr>
      <w:r>
        <w:rPr>
          <w:rFonts w:hint="eastAsia" w:ascii="宋体" w:hAnsi="宋体"/>
          <w:color w:val="000000"/>
          <w:sz w:val="24"/>
        </w:rPr>
        <w:t>评委会将评标情况写出书面报告，按照综合得分高低标明排列顺序。综合得分相同的，按投标报价由低到高顺序排列。得分且投标报价相同的，按技术指标优劣顺序排列。</w:t>
      </w:r>
    </w:p>
    <w:p>
      <w:pPr>
        <w:spacing w:line="500" w:lineRule="exact"/>
        <w:ind w:firstLine="480" w:firstLineChars="200"/>
        <w:rPr>
          <w:rFonts w:hint="eastAsia" w:ascii="宋体" w:hAnsi="宋体"/>
          <w:color w:val="000000"/>
          <w:sz w:val="24"/>
        </w:rPr>
      </w:pPr>
      <w:r>
        <w:rPr>
          <w:rFonts w:hint="eastAsia" w:ascii="宋体" w:hAnsi="宋体"/>
          <w:color w:val="000000"/>
          <w:sz w:val="24"/>
        </w:rPr>
        <w:t>评标报告是评标委员会根据全体评标成员签字的原始评标记录和评标结果编写的报告，主要内容包括：</w:t>
      </w:r>
    </w:p>
    <w:p>
      <w:pPr>
        <w:spacing w:line="500" w:lineRule="exact"/>
        <w:ind w:firstLine="480" w:firstLineChars="200"/>
        <w:rPr>
          <w:rFonts w:hint="eastAsia" w:ascii="宋体" w:hAnsi="宋体"/>
          <w:color w:val="000000"/>
          <w:sz w:val="24"/>
        </w:rPr>
      </w:pPr>
      <w:r>
        <w:rPr>
          <w:rFonts w:hint="eastAsia" w:ascii="宋体" w:hAnsi="宋体"/>
          <w:color w:val="000000"/>
          <w:sz w:val="24"/>
        </w:rPr>
        <w:t>1）招标公告刊登的媒体名称、开标日期和地点；</w:t>
      </w:r>
    </w:p>
    <w:p>
      <w:pPr>
        <w:spacing w:line="500" w:lineRule="exact"/>
        <w:ind w:firstLine="480" w:firstLineChars="200"/>
        <w:rPr>
          <w:rFonts w:hint="eastAsia" w:ascii="宋体" w:hAnsi="宋体"/>
          <w:color w:val="000000"/>
          <w:sz w:val="24"/>
        </w:rPr>
      </w:pPr>
      <w:r>
        <w:rPr>
          <w:rFonts w:hint="eastAsia" w:ascii="宋体" w:hAnsi="宋体"/>
          <w:color w:val="000000"/>
          <w:sz w:val="24"/>
        </w:rPr>
        <w:t>2）购买招标文件的投标人名单和评标委员会成员名单；</w:t>
      </w:r>
    </w:p>
    <w:p>
      <w:pPr>
        <w:spacing w:line="500" w:lineRule="exact"/>
        <w:ind w:firstLine="480" w:firstLineChars="200"/>
        <w:rPr>
          <w:rFonts w:hint="eastAsia" w:ascii="宋体" w:hAnsi="宋体"/>
          <w:color w:val="000000"/>
          <w:sz w:val="24"/>
        </w:rPr>
      </w:pPr>
      <w:r>
        <w:rPr>
          <w:rFonts w:hint="eastAsia" w:ascii="宋体" w:hAnsi="宋体"/>
          <w:color w:val="000000"/>
          <w:sz w:val="24"/>
        </w:rPr>
        <w:t>3）评标方法和标准；</w:t>
      </w:r>
    </w:p>
    <w:p>
      <w:pPr>
        <w:spacing w:line="500" w:lineRule="exact"/>
        <w:ind w:firstLine="480" w:firstLineChars="200"/>
        <w:rPr>
          <w:rFonts w:hint="eastAsia" w:ascii="宋体" w:hAnsi="宋体"/>
          <w:color w:val="000000"/>
          <w:sz w:val="24"/>
        </w:rPr>
      </w:pPr>
      <w:r>
        <w:rPr>
          <w:rFonts w:hint="eastAsia" w:ascii="宋体" w:hAnsi="宋体"/>
          <w:color w:val="000000"/>
          <w:sz w:val="24"/>
        </w:rPr>
        <w:t>4）开标记录和评标情况及说明，包括投标无效投标人名单及原因；</w:t>
      </w:r>
    </w:p>
    <w:p>
      <w:pPr>
        <w:spacing w:line="500" w:lineRule="exact"/>
        <w:ind w:firstLine="480" w:firstLineChars="200"/>
        <w:rPr>
          <w:rFonts w:hint="eastAsia" w:ascii="宋体" w:hAnsi="宋体"/>
          <w:color w:val="000000"/>
          <w:sz w:val="24"/>
        </w:rPr>
      </w:pPr>
      <w:r>
        <w:rPr>
          <w:rFonts w:hint="eastAsia" w:ascii="宋体" w:hAnsi="宋体"/>
          <w:color w:val="000000"/>
          <w:sz w:val="24"/>
        </w:rPr>
        <w:t>5）评标结果和中标候选供应商排序表；</w:t>
      </w:r>
    </w:p>
    <w:p>
      <w:pPr>
        <w:spacing w:line="500" w:lineRule="exact"/>
        <w:ind w:firstLine="480" w:firstLineChars="200"/>
        <w:rPr>
          <w:rFonts w:hint="eastAsia" w:ascii="宋体" w:hAnsi="宋体"/>
          <w:color w:val="000000"/>
          <w:sz w:val="24"/>
        </w:rPr>
      </w:pPr>
      <w:r>
        <w:rPr>
          <w:rFonts w:hint="eastAsia" w:ascii="宋体" w:hAnsi="宋体"/>
          <w:color w:val="000000"/>
          <w:sz w:val="24"/>
        </w:rPr>
        <w:t>6）评标委员会的授标建议。</w:t>
      </w:r>
    </w:p>
    <w:p>
      <w:pPr>
        <w:spacing w:line="500" w:lineRule="exact"/>
        <w:ind w:firstLine="480" w:firstLineChars="200"/>
        <w:rPr>
          <w:rFonts w:hint="eastAsia" w:ascii="宋体" w:hAnsi="宋体"/>
          <w:color w:val="000000"/>
          <w:sz w:val="24"/>
        </w:rPr>
      </w:pPr>
      <w:r>
        <w:rPr>
          <w:rFonts w:hint="eastAsia" w:ascii="宋体" w:hAnsi="宋体"/>
          <w:color w:val="000000"/>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纪录在案。</w:t>
      </w:r>
    </w:p>
    <w:p>
      <w:pPr>
        <w:spacing w:line="500" w:lineRule="exact"/>
        <w:ind w:firstLine="480" w:firstLineChars="200"/>
        <w:rPr>
          <w:rFonts w:hint="eastAsia" w:ascii="宋体" w:hAnsi="宋体"/>
          <w:color w:val="000000"/>
          <w:sz w:val="24"/>
        </w:rPr>
      </w:pPr>
      <w:r>
        <w:rPr>
          <w:rFonts w:hint="eastAsia" w:ascii="宋体" w:hAnsi="宋体"/>
          <w:color w:val="000000"/>
          <w:sz w:val="24"/>
        </w:rPr>
        <w:t>招标人在评标结束后两个工作日内将评标报告送采购人。</w:t>
      </w:r>
    </w:p>
    <w:p>
      <w:pPr>
        <w:spacing w:line="500" w:lineRule="exact"/>
        <w:ind w:firstLine="480" w:firstLineChars="200"/>
        <w:rPr>
          <w:rFonts w:hint="eastAsia" w:ascii="宋体" w:hAnsi="宋体"/>
          <w:color w:val="000000"/>
          <w:sz w:val="24"/>
        </w:rPr>
      </w:pPr>
      <w:r>
        <w:rPr>
          <w:rFonts w:hint="eastAsia" w:ascii="宋体" w:hAnsi="宋体"/>
          <w:color w:val="000000"/>
          <w:sz w:val="24"/>
        </w:rPr>
        <w:t>采购人在收到评标报告后五个工作日内，按照评标报告中推荐的中标候选人顺序确定中标人。</w:t>
      </w:r>
    </w:p>
    <w:p>
      <w:pPr>
        <w:spacing w:line="500" w:lineRule="exact"/>
        <w:ind w:firstLine="480" w:firstLineChars="200"/>
        <w:rPr>
          <w:rFonts w:hint="eastAsia" w:ascii="宋体" w:hAnsi="宋体"/>
          <w:color w:val="000000"/>
          <w:sz w:val="24"/>
        </w:rPr>
      </w:pPr>
      <w:r>
        <w:rPr>
          <w:rFonts w:hint="eastAsia" w:ascii="宋体" w:hAnsi="宋体"/>
          <w:color w:val="000000"/>
          <w:sz w:val="24"/>
        </w:rPr>
        <w:t>根据采购人确定的中标人，招标人在甘肃省政府采购网、白银市公共资源交易中心网上发布中标公告，同时向中标人发出中标通知书。</w:t>
      </w:r>
    </w:p>
    <w:p>
      <w:pPr>
        <w:spacing w:line="500" w:lineRule="exact"/>
        <w:ind w:firstLine="480" w:firstLineChars="200"/>
        <w:rPr>
          <w:rFonts w:hint="eastAsia" w:ascii="宋体" w:hAnsi="宋体"/>
          <w:color w:val="000000"/>
          <w:sz w:val="24"/>
        </w:rPr>
      </w:pPr>
      <w:r>
        <w:rPr>
          <w:rFonts w:hint="eastAsia" w:ascii="宋体" w:hAnsi="宋体"/>
          <w:color w:val="000000"/>
          <w:sz w:val="24"/>
        </w:rPr>
        <w:t>招标采购单位不解释中标或落标原因，不退回投标文件和其他投标资料。</w:t>
      </w:r>
    </w:p>
    <w:p>
      <w:pPr>
        <w:pStyle w:val="4"/>
        <w:spacing w:line="500" w:lineRule="exact"/>
        <w:ind w:firstLine="0" w:firstLineChars="0"/>
        <w:rPr>
          <w:rFonts w:hint="eastAsia"/>
          <w:color w:val="000000"/>
        </w:rPr>
      </w:pPr>
      <w:bookmarkStart w:id="156" w:name="_Toc139965352"/>
      <w:bookmarkStart w:id="157" w:name="_Toc128372079"/>
      <w:bookmarkStart w:id="158" w:name="_Toc128372757"/>
      <w:bookmarkStart w:id="159" w:name="_Toc453596827"/>
      <w:bookmarkStart w:id="160" w:name="_Toc139965351"/>
      <w:bookmarkStart w:id="161" w:name="_Toc128372078"/>
      <w:bookmarkStart w:id="162" w:name="_Toc128372756"/>
      <w:r>
        <w:rPr>
          <w:rFonts w:hint="eastAsia"/>
          <w:color w:val="000000"/>
        </w:rPr>
        <w:t>2.6  中标通知书</w:t>
      </w:r>
      <w:bookmarkEnd w:id="156"/>
      <w:bookmarkEnd w:id="157"/>
      <w:bookmarkEnd w:id="158"/>
      <w:r>
        <w:rPr>
          <w:rFonts w:hint="eastAsia"/>
          <w:color w:val="000000"/>
        </w:rPr>
        <w:t>及中标供应商的确定</w:t>
      </w:r>
      <w:bookmarkEnd w:id="159"/>
    </w:p>
    <w:p>
      <w:pPr>
        <w:pStyle w:val="4"/>
        <w:spacing w:line="500" w:lineRule="exact"/>
        <w:rPr>
          <w:rFonts w:hint="eastAsia"/>
          <w:color w:val="000000"/>
        </w:rPr>
      </w:pPr>
      <w:bookmarkStart w:id="163" w:name="_Toc453596828"/>
      <w:r>
        <w:rPr>
          <w:rFonts w:hint="eastAsia"/>
          <w:color w:val="000000"/>
        </w:rPr>
        <w:t>2.6.1 中标供应商的确定</w:t>
      </w:r>
      <w:bookmarkEnd w:id="163"/>
    </w:p>
    <w:p>
      <w:pPr>
        <w:spacing w:line="500" w:lineRule="exact"/>
        <w:ind w:firstLine="480" w:firstLineChars="200"/>
        <w:rPr>
          <w:rFonts w:hint="eastAsia" w:ascii="宋体" w:hAnsi="宋体"/>
          <w:color w:val="000000"/>
          <w:sz w:val="24"/>
        </w:rPr>
      </w:pPr>
      <w:r>
        <w:rPr>
          <w:rFonts w:hint="eastAsia" w:ascii="宋体" w:hAnsi="宋体"/>
          <w:color w:val="000000"/>
          <w:sz w:val="24"/>
        </w:rPr>
        <w:t>根据《中华人民共和国财政部令》第18号第五十九条之规定，采购人依法享有经授权的中标供应商确定权。</w:t>
      </w:r>
    </w:p>
    <w:p>
      <w:pPr>
        <w:spacing w:line="500" w:lineRule="exact"/>
        <w:ind w:firstLine="480" w:firstLineChars="200"/>
        <w:rPr>
          <w:rFonts w:hint="eastAsia" w:ascii="宋体" w:hAnsi="宋体"/>
          <w:color w:val="000000"/>
          <w:sz w:val="24"/>
        </w:rPr>
      </w:pPr>
      <w:r>
        <w:rPr>
          <w:rFonts w:hint="eastAsia" w:ascii="宋体" w:hAnsi="宋体"/>
          <w:color w:val="000000"/>
          <w:sz w:val="24"/>
        </w:rPr>
        <w:t>按照“综合评分法”，采购人原则上根据评标委员会的评议结果按顺序确定中标供应商。当评标总得分最高的投标供应商放弃成交、或因不可抗力提出不能履行合同，采购人可以确定评标总得分次高的投标供应商为中标供应商。</w:t>
      </w:r>
    </w:p>
    <w:p>
      <w:pPr>
        <w:spacing w:line="500" w:lineRule="exact"/>
        <w:ind w:firstLine="480" w:firstLineChars="200"/>
        <w:rPr>
          <w:rFonts w:hint="eastAsia" w:ascii="宋体" w:hAnsi="宋体"/>
          <w:color w:val="000000"/>
          <w:sz w:val="24"/>
        </w:rPr>
      </w:pPr>
      <w:r>
        <w:rPr>
          <w:rFonts w:hint="eastAsia" w:ascii="宋体" w:hAnsi="宋体"/>
          <w:color w:val="000000"/>
          <w:sz w:val="24"/>
        </w:rPr>
        <w:t>中标供应商确定后，由招标人以公告的方式公布中标结果并向中标供应商发出中标通知书，中标公示届满后，要求其按实际供货量与采购人签订合同。</w:t>
      </w:r>
    </w:p>
    <w:p>
      <w:pPr>
        <w:spacing w:line="500" w:lineRule="exact"/>
        <w:ind w:firstLine="480" w:firstLineChars="200"/>
        <w:rPr>
          <w:rFonts w:ascii="宋体" w:hAnsi="宋体"/>
          <w:color w:val="000000"/>
          <w:sz w:val="24"/>
        </w:rPr>
      </w:pPr>
      <w:r>
        <w:rPr>
          <w:rFonts w:hint="eastAsia" w:ascii="宋体" w:hAnsi="宋体"/>
          <w:color w:val="000000"/>
          <w:sz w:val="24"/>
        </w:rPr>
        <w:t>中标通知书对采购人和中标人均具有法律效力。中标通知书发出后，采购人改变中标结果，或者中标人无正当理由放弃中标的，应当承担相应的法律责任。</w:t>
      </w:r>
    </w:p>
    <w:p>
      <w:pPr>
        <w:spacing w:line="500" w:lineRule="exact"/>
        <w:ind w:firstLine="480" w:firstLineChars="200"/>
        <w:rPr>
          <w:rFonts w:ascii="宋体" w:hAnsi="宋体"/>
          <w:color w:val="000000"/>
          <w:sz w:val="24"/>
        </w:rPr>
      </w:pPr>
      <w:r>
        <w:rPr>
          <w:rFonts w:hint="eastAsia" w:ascii="宋体" w:hAnsi="宋体"/>
          <w:color w:val="000000"/>
          <w:sz w:val="24"/>
        </w:rPr>
        <w:t>中标人的投标文件本应作为无效投标处理或者有政府采购法律法规规章制度规定的中标无效情形的，市公共资源交易中心在取得有权主体的认定以后，应当宣布发出的中标通知书无效，并收回发出的中标通知书（中标人也应当缴回），依法重新确定中标人或者重新开展采购活动。</w:t>
      </w:r>
    </w:p>
    <w:p>
      <w:pPr>
        <w:spacing w:line="500" w:lineRule="exact"/>
        <w:ind w:firstLine="480" w:firstLineChars="200"/>
        <w:rPr>
          <w:rFonts w:hint="eastAsia"/>
          <w:color w:val="000000"/>
        </w:rPr>
      </w:pPr>
      <w:r>
        <w:rPr>
          <w:rFonts w:hint="eastAsia" w:ascii="宋体" w:hAnsi="宋体"/>
          <w:color w:val="000000"/>
          <w:sz w:val="24"/>
        </w:rPr>
        <w:t>按照“最低价法”，招标人原则</w:t>
      </w:r>
      <w:r>
        <w:rPr>
          <w:rFonts w:hint="eastAsia" w:ascii="宋体" w:hAnsi="宋体"/>
          <w:sz w:val="24"/>
        </w:rPr>
        <w:t>上在确定最低评标价的前提下，确定拟中标供应商</w:t>
      </w:r>
      <w:r>
        <w:rPr>
          <w:rFonts w:ascii="宋体" w:hAnsi="宋体"/>
          <w:sz w:val="24"/>
        </w:rPr>
        <w:t>。</w:t>
      </w:r>
      <w:r>
        <w:rPr>
          <w:rFonts w:hint="eastAsia" w:ascii="宋体" w:hAnsi="宋体"/>
          <w:sz w:val="24"/>
        </w:rPr>
        <w:t>当评标价最低的投标供应商放弃中标、或因不可抗</w:t>
      </w:r>
      <w:r>
        <w:rPr>
          <w:rFonts w:hint="eastAsia" w:ascii="宋体" w:hAnsi="宋体"/>
          <w:color w:val="000000"/>
          <w:sz w:val="24"/>
        </w:rPr>
        <w:t>力提出不能履行合同，招标人可以确定与排位在中标供应商之后第1位的中标候选供应商签订政府采购合同，以此类推。</w:t>
      </w:r>
    </w:p>
    <w:p>
      <w:pPr>
        <w:pStyle w:val="4"/>
        <w:spacing w:line="500" w:lineRule="exact"/>
        <w:rPr>
          <w:rFonts w:hint="eastAsia"/>
          <w:color w:val="000000"/>
        </w:rPr>
      </w:pPr>
      <w:bookmarkStart w:id="164" w:name="_Toc453596829"/>
      <w:bookmarkStart w:id="165" w:name="_Toc415577075"/>
      <w:r>
        <w:rPr>
          <w:rFonts w:hint="eastAsia"/>
          <w:color w:val="000000"/>
        </w:rPr>
        <w:t>2.6.2 合同授予</w:t>
      </w:r>
      <w:bookmarkEnd w:id="160"/>
      <w:bookmarkEnd w:id="161"/>
      <w:bookmarkEnd w:id="162"/>
      <w:r>
        <w:rPr>
          <w:rFonts w:hint="eastAsia"/>
          <w:color w:val="000000"/>
        </w:rPr>
        <w:t>原则</w:t>
      </w:r>
      <w:bookmarkEnd w:id="164"/>
      <w:bookmarkEnd w:id="165"/>
    </w:p>
    <w:p>
      <w:pPr>
        <w:spacing w:line="500" w:lineRule="exact"/>
        <w:ind w:firstLine="480" w:firstLineChars="200"/>
        <w:rPr>
          <w:rFonts w:hint="eastAsia" w:ascii="宋体" w:hAnsi="宋体"/>
          <w:color w:val="000000"/>
          <w:sz w:val="24"/>
        </w:rPr>
      </w:pPr>
      <w:r>
        <w:rPr>
          <w:rFonts w:hint="eastAsia" w:ascii="宋体" w:hAnsi="宋体"/>
          <w:color w:val="000000"/>
          <w:sz w:val="24"/>
        </w:rPr>
        <w:t>招标人将把合同授予经评标委员会评议推荐采购人确认的投标人。若因中标人违约或因不可抗力等原因不能被授予合同，则合同将授予排序在该投标人之后的下一个投标人。</w:t>
      </w:r>
    </w:p>
    <w:p>
      <w:pPr>
        <w:spacing w:line="500" w:lineRule="exact"/>
        <w:ind w:firstLine="480" w:firstLineChars="200"/>
        <w:rPr>
          <w:rFonts w:hint="eastAsia"/>
          <w:color w:val="000000"/>
        </w:rPr>
      </w:pPr>
      <w:r>
        <w:rPr>
          <w:rFonts w:hint="eastAsia" w:ascii="宋体" w:hAnsi="宋体"/>
          <w:color w:val="000000"/>
          <w:sz w:val="24"/>
        </w:rPr>
        <w:t>招标人保留在签订合同时调整方案需求和变动所购货物或材料数量的权力。</w:t>
      </w:r>
      <w:bookmarkStart w:id="166" w:name="_Toc128372080"/>
      <w:bookmarkStart w:id="167" w:name="_Toc139965353"/>
      <w:bookmarkStart w:id="168" w:name="_Toc128372758"/>
    </w:p>
    <w:p>
      <w:pPr>
        <w:pStyle w:val="4"/>
        <w:spacing w:line="500" w:lineRule="exact"/>
        <w:rPr>
          <w:rFonts w:hint="eastAsia"/>
          <w:color w:val="000000"/>
        </w:rPr>
      </w:pPr>
      <w:bookmarkStart w:id="169" w:name="_Toc415577076"/>
      <w:bookmarkStart w:id="170" w:name="_Toc453596830"/>
      <w:r>
        <w:rPr>
          <w:rFonts w:hint="eastAsia"/>
          <w:color w:val="000000"/>
        </w:rPr>
        <w:t>2.6.3 合同的签署</w:t>
      </w:r>
      <w:bookmarkEnd w:id="166"/>
      <w:bookmarkEnd w:id="167"/>
      <w:bookmarkEnd w:id="168"/>
      <w:r>
        <w:rPr>
          <w:rFonts w:hint="eastAsia"/>
          <w:color w:val="000000"/>
        </w:rPr>
        <w:t>、履行及验收</w:t>
      </w:r>
      <w:bookmarkEnd w:id="169"/>
      <w:bookmarkEnd w:id="170"/>
    </w:p>
    <w:p>
      <w:pPr>
        <w:spacing w:line="500" w:lineRule="exact"/>
        <w:ind w:firstLine="480" w:firstLineChars="200"/>
        <w:rPr>
          <w:rFonts w:hint="eastAsia" w:ascii="宋体" w:hAnsi="宋体"/>
          <w:color w:val="000000"/>
          <w:sz w:val="24"/>
        </w:rPr>
      </w:pPr>
      <w:r>
        <w:rPr>
          <w:rFonts w:hint="eastAsia" w:ascii="宋体" w:hAnsi="宋体"/>
          <w:color w:val="000000"/>
          <w:sz w:val="24"/>
        </w:rPr>
        <w:t>中标人按中标通知书中规定的时间和地点，由法定代表人或被授权人与需方签订合同。需方与中标人是合同权利与义务的直接、全部责任承担人。招标人所发出的中标通知书对需方和中标供应商具有同等法律效力。</w:t>
      </w:r>
    </w:p>
    <w:p>
      <w:pPr>
        <w:spacing w:line="500" w:lineRule="exact"/>
        <w:ind w:firstLine="480" w:firstLineChars="200"/>
        <w:rPr>
          <w:rFonts w:hint="eastAsia" w:ascii="宋体" w:hAnsi="宋体"/>
          <w:color w:val="000000"/>
          <w:sz w:val="24"/>
        </w:rPr>
      </w:pPr>
      <w:r>
        <w:rPr>
          <w:rFonts w:hint="eastAsia" w:ascii="宋体" w:hAnsi="宋体"/>
          <w:color w:val="000000"/>
          <w:sz w:val="24"/>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按照财政部令[2004]第18号第六十八条、第七十五条、第七十六条规定办理。此时可由招标人按照排名顺序与下一投标人签订合同。</w:t>
      </w:r>
    </w:p>
    <w:p>
      <w:pPr>
        <w:pStyle w:val="4"/>
        <w:spacing w:line="500" w:lineRule="exact"/>
        <w:ind w:firstLine="480"/>
        <w:rPr>
          <w:rFonts w:hint="eastAsia" w:cs="Times New Roman"/>
          <w:b w:val="0"/>
          <w:color w:val="000000"/>
          <w:lang w:val="en-US"/>
        </w:rPr>
      </w:pPr>
      <w:bookmarkStart w:id="171" w:name="_Toc434942867"/>
      <w:bookmarkStart w:id="172" w:name="_Toc453596831"/>
      <w:bookmarkStart w:id="173" w:name="_Toc418157070"/>
      <w:bookmarkStart w:id="174" w:name="_Toc415577078"/>
      <w:bookmarkStart w:id="175" w:name="_Toc418087312"/>
      <w:bookmarkStart w:id="176" w:name="_Toc434942421"/>
      <w:bookmarkStart w:id="177" w:name="_Toc139965354"/>
      <w:bookmarkStart w:id="178" w:name="_Toc128372081"/>
      <w:bookmarkStart w:id="179" w:name="_Toc128372759"/>
      <w:r>
        <w:rPr>
          <w:rFonts w:hint="eastAsia" w:cs="Times New Roman"/>
          <w:b w:val="0"/>
          <w:color w:val="000000"/>
          <w:lang w:val="en-US"/>
        </w:rPr>
        <w:t>如果中标人在规定的合同签订时间内，没有按照招标文件的规定交纳履约质量保证金，且又无正当理由的，将视为放弃中标，其交纳的投标保证金将不予退还。</w:t>
      </w:r>
      <w:bookmarkEnd w:id="171"/>
      <w:bookmarkEnd w:id="172"/>
      <w:bookmarkEnd w:id="173"/>
      <w:bookmarkEnd w:id="174"/>
      <w:bookmarkEnd w:id="175"/>
      <w:bookmarkEnd w:id="176"/>
    </w:p>
    <w:p>
      <w:pPr>
        <w:pStyle w:val="4"/>
        <w:spacing w:line="500" w:lineRule="exact"/>
        <w:rPr>
          <w:rFonts w:hint="eastAsia" w:cs="Times New Roman"/>
          <w:color w:val="000000"/>
          <w:lang w:val="en-US"/>
        </w:rPr>
      </w:pPr>
      <w:bookmarkStart w:id="180" w:name="_Toc418157071"/>
      <w:bookmarkStart w:id="181" w:name="_Toc415577079"/>
      <w:bookmarkStart w:id="182" w:name="_Toc418087313"/>
      <w:bookmarkStart w:id="183" w:name="_Toc453596832"/>
      <w:bookmarkStart w:id="184" w:name="_Toc434942422"/>
      <w:bookmarkStart w:id="185" w:name="_Toc434942868"/>
      <w:r>
        <w:rPr>
          <w:rFonts w:hint="eastAsia" w:cs="Times New Roman"/>
          <w:color w:val="000000"/>
          <w:lang w:val="en-US"/>
        </w:rPr>
        <w:t>履行合同</w:t>
      </w:r>
      <w:bookmarkEnd w:id="180"/>
      <w:bookmarkEnd w:id="181"/>
      <w:bookmarkEnd w:id="182"/>
      <w:bookmarkEnd w:id="183"/>
      <w:bookmarkEnd w:id="184"/>
      <w:bookmarkEnd w:id="185"/>
    </w:p>
    <w:p>
      <w:pPr>
        <w:pStyle w:val="4"/>
        <w:spacing w:line="500" w:lineRule="exact"/>
        <w:ind w:firstLine="480"/>
        <w:rPr>
          <w:rFonts w:hint="eastAsia" w:cs="Times New Roman"/>
          <w:b w:val="0"/>
          <w:color w:val="000000"/>
          <w:lang w:val="en-US"/>
        </w:rPr>
      </w:pPr>
      <w:bookmarkStart w:id="186" w:name="_Toc418087314"/>
      <w:bookmarkStart w:id="187" w:name="_Toc434942423"/>
      <w:bookmarkStart w:id="188" w:name="_Toc434942869"/>
      <w:bookmarkStart w:id="189" w:name="_Toc415577080"/>
      <w:bookmarkStart w:id="190" w:name="_Toc418157072"/>
      <w:bookmarkStart w:id="191" w:name="_Toc453596833"/>
      <w:r>
        <w:rPr>
          <w:rFonts w:hint="eastAsia" w:cs="Times New Roman"/>
          <w:b w:val="0"/>
          <w:color w:val="000000"/>
          <w:lang w:val="en-US"/>
        </w:rPr>
        <w:t>中标人与采购人签订合同后，合同双方应严格执行合同条款，履行合同规定的义务，保证合同的顺利完成。</w:t>
      </w:r>
      <w:bookmarkEnd w:id="186"/>
      <w:bookmarkEnd w:id="187"/>
      <w:bookmarkEnd w:id="188"/>
      <w:bookmarkEnd w:id="189"/>
      <w:bookmarkEnd w:id="190"/>
      <w:bookmarkEnd w:id="191"/>
    </w:p>
    <w:p>
      <w:pPr>
        <w:pStyle w:val="4"/>
        <w:spacing w:line="500" w:lineRule="exact"/>
        <w:ind w:firstLine="480"/>
        <w:rPr>
          <w:rFonts w:hint="eastAsia" w:cs="Times New Roman"/>
          <w:b w:val="0"/>
          <w:color w:val="000000"/>
          <w:lang w:val="en-US"/>
        </w:rPr>
      </w:pPr>
      <w:bookmarkStart w:id="192" w:name="_Toc434942870"/>
      <w:bookmarkStart w:id="193" w:name="_Toc434942424"/>
      <w:bookmarkStart w:id="194" w:name="_Toc418087315"/>
      <w:bookmarkStart w:id="195" w:name="_Toc418157073"/>
      <w:bookmarkStart w:id="196" w:name="_Toc453596834"/>
      <w:bookmarkStart w:id="197" w:name="_Toc415577081"/>
      <w:r>
        <w:rPr>
          <w:rFonts w:hint="eastAsia" w:cs="Times New Roman"/>
          <w:b w:val="0"/>
          <w:color w:val="000000"/>
          <w:lang w:val="en-US"/>
        </w:rPr>
        <w:t>在合同履行过程中，如发生合同纠纷，合同双方应按照《合同法》的有关规定进行处理。</w:t>
      </w:r>
      <w:bookmarkEnd w:id="192"/>
      <w:bookmarkEnd w:id="193"/>
      <w:bookmarkEnd w:id="194"/>
      <w:bookmarkEnd w:id="195"/>
      <w:bookmarkEnd w:id="196"/>
      <w:bookmarkEnd w:id="197"/>
    </w:p>
    <w:p>
      <w:pPr>
        <w:pStyle w:val="4"/>
        <w:spacing w:line="500" w:lineRule="exact"/>
        <w:rPr>
          <w:rFonts w:hint="eastAsia" w:cs="Times New Roman"/>
          <w:color w:val="000000"/>
          <w:lang w:val="en-US"/>
        </w:rPr>
      </w:pPr>
      <w:bookmarkStart w:id="198" w:name="_Toc418157074"/>
      <w:bookmarkStart w:id="199" w:name="_Toc434942425"/>
      <w:bookmarkStart w:id="200" w:name="_Toc453596835"/>
      <w:bookmarkStart w:id="201" w:name="_Toc418087316"/>
      <w:bookmarkStart w:id="202" w:name="_Toc434942871"/>
      <w:bookmarkStart w:id="203" w:name="_Toc415577082"/>
      <w:r>
        <w:rPr>
          <w:rFonts w:hint="eastAsia" w:cs="Times New Roman"/>
          <w:color w:val="000000"/>
          <w:lang w:val="en-US"/>
        </w:rPr>
        <w:t>验收</w:t>
      </w:r>
      <w:bookmarkEnd w:id="198"/>
      <w:bookmarkEnd w:id="199"/>
      <w:bookmarkEnd w:id="200"/>
      <w:bookmarkEnd w:id="201"/>
      <w:bookmarkEnd w:id="202"/>
      <w:bookmarkEnd w:id="203"/>
    </w:p>
    <w:p>
      <w:pPr>
        <w:spacing w:line="420" w:lineRule="exact"/>
        <w:ind w:firstLine="480" w:firstLineChars="200"/>
        <w:rPr>
          <w:rFonts w:hint="eastAsia" w:ascii="宋体" w:hAnsi="宋体"/>
          <w:color w:val="000000"/>
          <w:sz w:val="24"/>
        </w:rPr>
      </w:pPr>
      <w:bookmarkStart w:id="204" w:name="_Toc415577083"/>
      <w:bookmarkStart w:id="205" w:name="_Toc418087317"/>
      <w:r>
        <w:rPr>
          <w:rFonts w:hint="eastAsia" w:ascii="宋体" w:hAnsi="宋体"/>
          <w:color w:val="000000"/>
          <w:sz w:val="24"/>
        </w:rPr>
        <w:t>中标人交货时，由采购人依据合同组织验收，货物（设备）使用和运行合格无质量问题，采购人应签署《验收单》。</w:t>
      </w:r>
      <w:bookmarkEnd w:id="204"/>
      <w:bookmarkEnd w:id="205"/>
    </w:p>
    <w:p>
      <w:pPr>
        <w:pStyle w:val="4"/>
        <w:spacing w:line="500" w:lineRule="exact"/>
        <w:rPr>
          <w:rFonts w:hint="eastAsia"/>
          <w:color w:val="000000"/>
        </w:rPr>
      </w:pPr>
      <w:bookmarkStart w:id="206" w:name="_Toc415577084"/>
      <w:bookmarkStart w:id="207" w:name="_Toc453596836"/>
      <w:r>
        <w:rPr>
          <w:rFonts w:hint="eastAsia"/>
          <w:color w:val="000000"/>
        </w:rPr>
        <w:t>2.6.4 其他</w:t>
      </w:r>
      <w:bookmarkEnd w:id="177"/>
      <w:bookmarkEnd w:id="178"/>
      <w:bookmarkEnd w:id="179"/>
      <w:bookmarkEnd w:id="206"/>
      <w:bookmarkEnd w:id="207"/>
    </w:p>
    <w:p>
      <w:pPr>
        <w:spacing w:line="500" w:lineRule="exact"/>
        <w:ind w:firstLine="480" w:firstLineChars="200"/>
        <w:rPr>
          <w:rFonts w:hint="eastAsia"/>
          <w:color w:val="000000"/>
        </w:rPr>
      </w:pPr>
      <w:r>
        <w:rPr>
          <w:rFonts w:hint="eastAsia" w:ascii="宋体" w:hAnsi="宋体"/>
          <w:color w:val="000000"/>
          <w:sz w:val="24"/>
        </w:rPr>
        <w:t>中标后招标文件和投标文件未尽事宜另行商定。本招标文件由招标人负责解释。</w:t>
      </w:r>
    </w:p>
    <w:p>
      <w:pPr>
        <w:rPr>
          <w:rFonts w:hint="eastAsia"/>
        </w:rPr>
      </w:pPr>
    </w:p>
    <w:p>
      <w:pPr>
        <w:pStyle w:val="2"/>
        <w:jc w:val="center"/>
        <w:rPr>
          <w:rFonts w:hint="eastAsia"/>
          <w:color w:val="000000"/>
        </w:rPr>
      </w:pPr>
      <w:bookmarkStart w:id="208" w:name="_Toc453596837"/>
      <w:r>
        <w:rPr>
          <w:rFonts w:hint="eastAsia"/>
          <w:color w:val="000000"/>
        </w:rPr>
        <w:t>3、  澄清和质疑</w:t>
      </w:r>
      <w:bookmarkEnd w:id="208"/>
    </w:p>
    <w:p>
      <w:pPr>
        <w:pStyle w:val="3"/>
        <w:spacing w:line="500" w:lineRule="exact"/>
        <w:ind w:firstLine="482" w:firstLineChars="200"/>
        <w:jc w:val="both"/>
        <w:rPr>
          <w:rFonts w:hint="eastAsia" w:ascii="宋体" w:hAnsi="宋体"/>
          <w:color w:val="000000"/>
          <w:sz w:val="24"/>
        </w:rPr>
      </w:pPr>
      <w:bookmarkStart w:id="209" w:name="_Toc453596838"/>
      <w:r>
        <w:rPr>
          <w:rFonts w:hint="eastAsia" w:ascii="宋体" w:hAnsi="宋体"/>
          <w:color w:val="000000"/>
          <w:sz w:val="24"/>
        </w:rPr>
        <w:t>3.1综合说明</w:t>
      </w:r>
      <w:bookmarkEnd w:id="209"/>
    </w:p>
    <w:p>
      <w:pPr>
        <w:spacing w:line="500" w:lineRule="exact"/>
        <w:ind w:firstLine="480" w:firstLineChars="200"/>
        <w:rPr>
          <w:rFonts w:hint="eastAsia" w:ascii="宋体" w:hAnsi="宋体"/>
          <w:color w:val="000000"/>
          <w:sz w:val="24"/>
        </w:rPr>
      </w:pPr>
      <w:r>
        <w:rPr>
          <w:rFonts w:hint="eastAsia" w:ascii="宋体" w:hAnsi="宋体"/>
          <w:color w:val="000000"/>
          <w:sz w:val="24"/>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pStyle w:val="3"/>
        <w:spacing w:line="500" w:lineRule="exact"/>
        <w:ind w:firstLine="482"/>
        <w:jc w:val="both"/>
        <w:rPr>
          <w:rFonts w:hint="eastAsia" w:ascii="宋体" w:hAnsi="宋体"/>
          <w:color w:val="000000"/>
          <w:sz w:val="24"/>
        </w:rPr>
      </w:pPr>
      <w:bookmarkStart w:id="210" w:name="_Toc453596839"/>
      <w:r>
        <w:rPr>
          <w:rFonts w:hint="eastAsia" w:ascii="宋体" w:hAnsi="宋体"/>
          <w:color w:val="000000"/>
          <w:sz w:val="24"/>
        </w:rPr>
        <w:t>3.2对招标文件的澄清和质疑</w:t>
      </w:r>
      <w:bookmarkEnd w:id="210"/>
    </w:p>
    <w:p>
      <w:pPr>
        <w:adjustRightInd w:val="0"/>
        <w:spacing w:line="500" w:lineRule="exact"/>
        <w:ind w:left="120" w:leftChars="57" w:firstLine="480" w:firstLineChars="200"/>
        <w:rPr>
          <w:rFonts w:hint="eastAsia" w:ascii="宋体" w:hAnsi="宋体"/>
          <w:color w:val="000000"/>
          <w:sz w:val="24"/>
        </w:rPr>
      </w:pPr>
      <w:r>
        <w:rPr>
          <w:rFonts w:hint="eastAsia" w:ascii="宋体" w:hAnsi="宋体"/>
          <w:color w:val="000000"/>
          <w:sz w:val="24"/>
        </w:rPr>
        <w:t>投标人应尽早购买招标文件，若对招标文件有疑问需要澄清或质疑，须从公告第3天起的7个工作日由澄清或质疑方的法定代表人或授权投标人（必须为法定代表人授权进行该项目投标的被授权人）以书面形式向代理机构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w:t>
      </w:r>
      <w:r>
        <w:rPr>
          <w:rFonts w:hint="eastAsia" w:ascii="宋体" w:hAnsi="宋体"/>
          <w:bCs/>
          <w:color w:val="000000"/>
          <w:sz w:val="24"/>
        </w:rPr>
        <w:t>身份证复印件须正反面清晰、有效，并要求由该身份证持有人在复印件正反面非空白位置注明</w:t>
      </w:r>
      <w:r>
        <w:rPr>
          <w:rFonts w:hint="eastAsia" w:ascii="宋体" w:hAnsi="宋体" w:cs="Arial"/>
          <w:bCs/>
          <w:color w:val="000000"/>
          <w:sz w:val="24"/>
        </w:rPr>
        <w:t>“</w:t>
      </w:r>
      <w:r>
        <w:rPr>
          <w:rFonts w:hint="eastAsia" w:ascii="宋体" w:hAnsi="宋体"/>
          <w:bCs/>
          <w:color w:val="000000"/>
          <w:sz w:val="24"/>
        </w:rPr>
        <w:t>该复印件用于在白银市食品检验检测中心食品检（监）测能力建设项目澄清或质疑使用</w:t>
      </w:r>
      <w:r>
        <w:rPr>
          <w:rFonts w:hint="eastAsia" w:ascii="宋体" w:hAnsi="宋体" w:cs="Arial"/>
          <w:bCs/>
          <w:color w:val="000000"/>
          <w:sz w:val="24"/>
        </w:rPr>
        <w:t>”</w:t>
      </w:r>
      <w:r>
        <w:rPr>
          <w:rFonts w:hint="eastAsia" w:ascii="宋体" w:hAnsi="宋体"/>
          <w:bCs/>
          <w:color w:val="000000"/>
          <w:sz w:val="24"/>
        </w:rPr>
        <w:t>字样，并由身份证持有人签字确认</w:t>
      </w:r>
      <w:r>
        <w:rPr>
          <w:rFonts w:hint="eastAsia" w:ascii="宋体" w:hAnsi="宋体"/>
          <w:color w:val="000000"/>
          <w:sz w:val="24"/>
        </w:rPr>
        <w:t>。上述资料均须加盖鲜章。</w:t>
      </w:r>
    </w:p>
    <w:p>
      <w:pPr>
        <w:spacing w:line="500" w:lineRule="exact"/>
        <w:ind w:firstLine="480" w:firstLineChars="200"/>
        <w:rPr>
          <w:rFonts w:hint="eastAsia" w:ascii="宋体" w:hAnsi="宋体"/>
          <w:color w:val="000000"/>
          <w:sz w:val="24"/>
        </w:rPr>
      </w:pPr>
      <w:r>
        <w:rPr>
          <w:rFonts w:hint="eastAsia" w:ascii="宋体" w:hAnsi="宋体"/>
          <w:color w:val="000000"/>
          <w:sz w:val="24"/>
        </w:rPr>
        <w:t>代理机构应在收到质疑函7个工作日内根据澄清或质疑函的具体内容相应作出答复或不予答复，答复内容不得涉及商业秘密。作出答复的将以书面形式通知提出澄清或质疑的投标人和其他有关投标人，或在甘肃政府采购网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pStyle w:val="3"/>
        <w:spacing w:line="500" w:lineRule="exact"/>
        <w:ind w:firstLine="482"/>
        <w:jc w:val="both"/>
        <w:rPr>
          <w:rFonts w:hint="eastAsia" w:ascii="宋体" w:hAnsi="宋体"/>
          <w:color w:val="000000"/>
          <w:sz w:val="24"/>
          <w:szCs w:val="24"/>
        </w:rPr>
      </w:pPr>
      <w:bookmarkStart w:id="211" w:name="_Toc453596840"/>
      <w:r>
        <w:rPr>
          <w:rFonts w:hint="eastAsia" w:ascii="宋体" w:hAnsi="宋体"/>
          <w:color w:val="000000"/>
          <w:sz w:val="24"/>
          <w:szCs w:val="24"/>
        </w:rPr>
        <w:t>3.3对招标过程和中标结果的质疑</w:t>
      </w:r>
      <w:bookmarkEnd w:id="211"/>
    </w:p>
    <w:p>
      <w:pPr>
        <w:adjustRightInd w:val="0"/>
        <w:spacing w:line="500" w:lineRule="exact"/>
        <w:ind w:firstLine="480" w:firstLineChars="200"/>
        <w:rPr>
          <w:rFonts w:hint="eastAsia" w:ascii="宋体" w:hAnsi="宋体"/>
          <w:color w:val="000000"/>
          <w:sz w:val="24"/>
        </w:rPr>
      </w:pPr>
      <w:r>
        <w:rPr>
          <w:rFonts w:hint="eastAsia" w:ascii="宋体" w:hAnsi="宋体"/>
          <w:color w:val="000000"/>
          <w:sz w:val="24"/>
        </w:rPr>
        <w:t>投标人认为招标过程和中标结果使自己的权益受到损害的，可以在代理机构于甘肃政府采购网发布中标结果公告期限届满之日起七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w:t>
      </w:r>
      <w:r>
        <w:rPr>
          <w:rFonts w:hint="eastAsia" w:ascii="宋体" w:hAnsi="宋体"/>
          <w:bCs/>
          <w:color w:val="000000"/>
          <w:sz w:val="24"/>
        </w:rPr>
        <w:t>身份证复印件须正反面清晰、有效，并要求由该身份证持有人在复印件正反面非空白位置注明</w:t>
      </w:r>
      <w:r>
        <w:rPr>
          <w:rFonts w:hint="eastAsia" w:ascii="宋体" w:hAnsi="宋体" w:cs="Arial"/>
          <w:bCs/>
          <w:color w:val="000000"/>
          <w:sz w:val="24"/>
        </w:rPr>
        <w:t>“</w:t>
      </w:r>
      <w:r>
        <w:rPr>
          <w:rFonts w:hint="eastAsia" w:ascii="宋体" w:hAnsi="宋体"/>
          <w:bCs/>
          <w:color w:val="000000"/>
          <w:sz w:val="24"/>
        </w:rPr>
        <w:t>该复印件用于在白银市食品检验检测中心食品检（监）测能力建设项目质疑使用</w:t>
      </w:r>
      <w:r>
        <w:rPr>
          <w:rFonts w:hint="eastAsia" w:ascii="宋体" w:hAnsi="宋体" w:cs="Arial"/>
          <w:bCs/>
          <w:color w:val="000000"/>
          <w:sz w:val="24"/>
        </w:rPr>
        <w:t>”</w:t>
      </w:r>
      <w:r>
        <w:rPr>
          <w:rFonts w:hint="eastAsia" w:ascii="宋体" w:hAnsi="宋体"/>
          <w:bCs/>
          <w:color w:val="000000"/>
          <w:sz w:val="24"/>
        </w:rPr>
        <w:t>字样，并由身份证持有人签字确认。</w:t>
      </w:r>
      <w:r>
        <w:rPr>
          <w:rFonts w:hint="eastAsia" w:ascii="宋体" w:hAnsi="宋体"/>
          <w:color w:val="000000"/>
          <w:sz w:val="24"/>
        </w:rPr>
        <w:t>上述资料均须加盖鲜章。</w:t>
      </w:r>
    </w:p>
    <w:p>
      <w:pPr>
        <w:adjustRightInd w:val="0"/>
        <w:spacing w:line="500" w:lineRule="exact"/>
        <w:ind w:firstLine="480" w:firstLineChars="200"/>
        <w:rPr>
          <w:rFonts w:hint="eastAsia" w:ascii="宋体" w:hAnsi="宋体"/>
          <w:color w:val="000000"/>
          <w:sz w:val="24"/>
        </w:rPr>
      </w:pPr>
      <w:r>
        <w:rPr>
          <w:rFonts w:hint="eastAsia" w:ascii="宋体" w:hAnsi="宋体"/>
          <w:color w:val="000000"/>
          <w:sz w:val="24"/>
        </w:rPr>
        <w:t>代理机构应在受理投标人的书面质疑后，根据质疑函的具体内容及时向递交质疑函的投标人作出答复或不予答复，答复内容不得涉及商业秘密。作出答复的以书面形式通知递交质疑的投标人和其他有关投标人，或在甘肃政府采购网上予以公告。递交质疑的投标人和其他有关投标人在被告知、收到上述公告、通知或答疑书后，应立即向招标人回函确认。未确认情况应当视为对质疑答复的知晓，也将视为对质疑答复内容接受的默认。</w:t>
      </w:r>
    </w:p>
    <w:p>
      <w:pPr>
        <w:pStyle w:val="3"/>
        <w:spacing w:line="500" w:lineRule="exact"/>
        <w:ind w:firstLine="482"/>
        <w:jc w:val="both"/>
        <w:rPr>
          <w:rFonts w:hint="eastAsia" w:ascii="宋体" w:hAnsi="宋体"/>
          <w:color w:val="000000"/>
          <w:sz w:val="24"/>
        </w:rPr>
      </w:pPr>
      <w:bookmarkStart w:id="212" w:name="_Toc453596841"/>
      <w:r>
        <w:rPr>
          <w:rFonts w:hint="eastAsia" w:ascii="宋体" w:hAnsi="宋体"/>
          <w:color w:val="000000"/>
          <w:sz w:val="24"/>
        </w:rPr>
        <w:t>3.4澄清或质疑不予受理的情况</w:t>
      </w:r>
      <w:bookmarkEnd w:id="212"/>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有下列情形之一的，属于无效质疑，被质疑人不予受理</w:t>
      </w:r>
      <w:r>
        <w:rPr>
          <w:rFonts w:hint="eastAsia" w:ascii="宋体" w:hAnsi="宋体" w:cs="宋体"/>
          <w:color w:val="000000"/>
          <w:kern w:val="0"/>
          <w:sz w:val="24"/>
        </w:rPr>
        <w:t>，</w:t>
      </w:r>
      <w:r>
        <w:rPr>
          <w:rFonts w:hint="eastAsia" w:ascii="宋体" w:hAnsi="宋体"/>
          <w:color w:val="000000"/>
          <w:sz w:val="24"/>
        </w:rPr>
        <w:t>由此产生的影响由投标人自行承担</w:t>
      </w:r>
      <w:r>
        <w:rPr>
          <w:rFonts w:ascii="宋体" w:hAnsi="宋体" w:cs="宋体"/>
          <w:color w:val="000000"/>
          <w:kern w:val="0"/>
          <w:sz w:val="24"/>
        </w:rPr>
        <w:t>：</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(一)不是参与该政府采购项目活动供应商的;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(二)被质疑人为采购人或政府采购代理机构之外的；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(三)所有质疑事项超过质疑有效期的；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(四)以具有法律效力的文书送达之外方式提出的；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(五)</w:t>
      </w:r>
      <w:r>
        <w:rPr>
          <w:rFonts w:hint="eastAsia" w:ascii="宋体" w:hAnsi="宋体"/>
          <w:color w:val="000000"/>
          <w:sz w:val="24"/>
        </w:rPr>
        <w:t xml:space="preserve"> 未按上述规定递交澄清或质疑函的</w:t>
      </w:r>
      <w:r>
        <w:rPr>
          <w:rFonts w:ascii="宋体" w:hAnsi="宋体" w:cs="宋体"/>
          <w:color w:val="000000"/>
          <w:kern w:val="0"/>
          <w:sz w:val="24"/>
        </w:rPr>
        <w:t>；</w:t>
      </w:r>
    </w:p>
    <w:p>
      <w:pPr>
        <w:adjustRightInd w:val="0"/>
        <w:spacing w:line="500" w:lineRule="exact"/>
        <w:ind w:firstLine="480" w:firstLineChars="200"/>
        <w:rPr>
          <w:rFonts w:hint="eastAsia" w:ascii="宋体" w:hAnsi="宋体"/>
          <w:b/>
          <w:color w:val="000000"/>
          <w:sz w:val="24"/>
        </w:rPr>
      </w:pPr>
      <w:r>
        <w:rPr>
          <w:rFonts w:ascii="宋体" w:hAnsi="宋体" w:cs="宋体"/>
          <w:color w:val="000000"/>
          <w:kern w:val="0"/>
          <w:sz w:val="24"/>
        </w:rPr>
        <w:t>(</w:t>
      </w:r>
      <w:r>
        <w:rPr>
          <w:rFonts w:hint="eastAsia" w:ascii="宋体" w:hAnsi="宋体" w:cs="宋体"/>
          <w:color w:val="000000"/>
          <w:kern w:val="0"/>
          <w:sz w:val="24"/>
        </w:rPr>
        <w:t>六</w:t>
      </w:r>
      <w:r>
        <w:rPr>
          <w:rFonts w:ascii="宋体" w:hAnsi="宋体" w:cs="宋体"/>
          <w:color w:val="000000"/>
          <w:kern w:val="0"/>
          <w:sz w:val="24"/>
        </w:rPr>
        <w:t>) 其它不符合受理条件的情形。</w:t>
      </w:r>
    </w:p>
    <w:p>
      <w:pPr>
        <w:pStyle w:val="3"/>
        <w:spacing w:line="500" w:lineRule="exact"/>
        <w:ind w:firstLine="482" w:firstLineChars="200"/>
        <w:jc w:val="both"/>
        <w:rPr>
          <w:rFonts w:hint="eastAsia" w:ascii="宋体" w:hAnsi="宋体"/>
          <w:color w:val="000000"/>
          <w:sz w:val="24"/>
        </w:rPr>
      </w:pPr>
      <w:bookmarkStart w:id="213" w:name="_Toc453596842"/>
      <w:r>
        <w:rPr>
          <w:rFonts w:hint="eastAsia" w:ascii="宋体" w:hAnsi="宋体"/>
          <w:color w:val="000000"/>
          <w:sz w:val="24"/>
        </w:rPr>
        <w:t>3.5其他</w:t>
      </w:r>
      <w:bookmarkEnd w:id="213"/>
    </w:p>
    <w:p>
      <w:pPr>
        <w:adjustRightInd w:val="0"/>
        <w:spacing w:line="500" w:lineRule="exact"/>
        <w:ind w:firstLine="480" w:firstLineChars="200"/>
        <w:rPr>
          <w:rFonts w:hint="eastAsia" w:ascii="宋体" w:hAnsi="宋体"/>
          <w:color w:val="000000"/>
          <w:sz w:val="24"/>
        </w:rPr>
      </w:pPr>
      <w:r>
        <w:rPr>
          <w:rFonts w:hint="eastAsia" w:ascii="宋体" w:hAnsi="宋体"/>
          <w:color w:val="000000"/>
          <w:sz w:val="24"/>
        </w:rPr>
        <w:t>甘肃政府采购网网址：</w:t>
      </w:r>
      <w:r>
        <w:fldChar w:fldCharType="begin"/>
      </w:r>
      <w:r>
        <w:instrText xml:space="preserve"> HYPERLINK "http://www.gszfcg.gansu.gov.cn/" </w:instrText>
      </w:r>
      <w:r>
        <w:fldChar w:fldCharType="separate"/>
      </w:r>
      <w:r>
        <w:rPr>
          <w:rStyle w:val="37"/>
          <w:rFonts w:hint="eastAsia" w:ascii="宋体" w:hAnsi="宋体"/>
          <w:color w:val="000000"/>
          <w:sz w:val="24"/>
        </w:rPr>
        <w:t>http://www.gszfcg.gansu.gov.cn/</w:t>
      </w:r>
      <w:r>
        <w:rPr>
          <w:rStyle w:val="37"/>
          <w:rFonts w:hint="eastAsia" w:ascii="宋体" w:hAnsi="宋体"/>
          <w:color w:val="000000"/>
          <w:sz w:val="24"/>
        </w:rPr>
        <w:fldChar w:fldCharType="end"/>
      </w:r>
    </w:p>
    <w:p>
      <w:pPr>
        <w:tabs>
          <w:tab w:val="left" w:pos="525"/>
        </w:tabs>
        <w:spacing w:line="500" w:lineRule="exact"/>
        <w:rPr>
          <w:rFonts w:hint="eastAsia" w:ascii="宋体" w:hAnsi="宋体"/>
          <w:sz w:val="24"/>
        </w:rPr>
      </w:pPr>
      <w:r>
        <w:rPr>
          <w:rFonts w:hint="eastAsia" w:ascii="宋体" w:hAnsi="宋体"/>
          <w:sz w:val="24"/>
        </w:rPr>
        <w:t xml:space="preserve">    1.澄清或质疑函递交地点：</w:t>
      </w:r>
      <w:r>
        <w:rPr>
          <w:rFonts w:hint="eastAsia" w:ascii="宋体" w:hAnsi="宋体"/>
          <w:sz w:val="24"/>
          <w:lang w:eastAsia="zh-CN"/>
        </w:rPr>
        <w:t>中招国际招标有限公司甘肃分公司</w:t>
      </w:r>
      <w:r>
        <w:rPr>
          <w:rFonts w:hint="eastAsia" w:ascii="宋体" w:hAnsi="宋体"/>
          <w:sz w:val="24"/>
        </w:rPr>
        <w:t>（</w:t>
      </w:r>
      <w:r>
        <w:rPr>
          <w:rFonts w:hint="eastAsia" w:ascii="宋体" w:hAnsi="宋体" w:cs="宋体"/>
          <w:kern w:val="0"/>
          <w:sz w:val="24"/>
        </w:rPr>
        <w:t>兰州市</w:t>
      </w:r>
      <w:r>
        <w:rPr>
          <w:rFonts w:hint="eastAsia" w:ascii="宋体" w:hAnsi="宋体" w:cs="宋体"/>
          <w:kern w:val="0"/>
          <w:sz w:val="24"/>
          <w:lang w:eastAsia="zh-CN"/>
        </w:rPr>
        <w:t>城关区天水北路万达写字楼</w:t>
      </w:r>
      <w:r>
        <w:rPr>
          <w:rFonts w:hint="eastAsia" w:ascii="宋体" w:hAnsi="宋体" w:cs="宋体"/>
          <w:kern w:val="0"/>
          <w:sz w:val="24"/>
          <w:lang w:val="en-US" w:eastAsia="zh-CN"/>
        </w:rPr>
        <w:t>3612室</w:t>
      </w:r>
      <w:r>
        <w:rPr>
          <w:rFonts w:hint="eastAsia" w:ascii="宋体" w:hAnsi="宋体"/>
          <w:sz w:val="24"/>
        </w:rPr>
        <w:t>）</w:t>
      </w:r>
    </w:p>
    <w:p>
      <w:pPr>
        <w:tabs>
          <w:tab w:val="left" w:pos="525"/>
        </w:tabs>
        <w:spacing w:line="500" w:lineRule="exact"/>
        <w:rPr>
          <w:rFonts w:ascii="宋体" w:hAnsi="宋体"/>
          <w:sz w:val="24"/>
        </w:rPr>
      </w:pPr>
      <w:r>
        <w:rPr>
          <w:rFonts w:hint="eastAsia" w:ascii="宋体" w:hAnsi="宋体"/>
          <w:sz w:val="24"/>
        </w:rPr>
        <w:t xml:space="preserve">   2. 澄清或质疑函的递交应当采取当面递交的形式。</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2"/>
        <w:rPr>
          <w:rFonts w:hint="eastAsia"/>
          <w:b w:val="0"/>
          <w:color w:val="000000"/>
          <w:sz w:val="24"/>
        </w:rPr>
      </w:pPr>
      <w:bookmarkStart w:id="214" w:name="_Toc453596843"/>
      <w:r>
        <w:rPr>
          <w:rFonts w:hint="eastAsia"/>
          <w:color w:val="000000"/>
        </w:rPr>
        <w:t>4、 货物需求</w:t>
      </w:r>
      <w:bookmarkEnd w:id="214"/>
    </w:p>
    <w:p>
      <w:pPr>
        <w:pStyle w:val="3"/>
        <w:ind w:firstLine="482" w:firstLineChars="200"/>
        <w:jc w:val="both"/>
        <w:rPr>
          <w:rFonts w:hint="eastAsia" w:ascii="宋体" w:hAnsi="宋体"/>
          <w:color w:val="000000"/>
          <w:sz w:val="24"/>
        </w:rPr>
      </w:pPr>
      <w:bookmarkStart w:id="215" w:name="_Toc453596844"/>
      <w:bookmarkStart w:id="216" w:name="_Toc128372082"/>
      <w:bookmarkStart w:id="217" w:name="_Toc139965355"/>
      <w:bookmarkStart w:id="218" w:name="_Toc128372760"/>
      <w:r>
        <w:rPr>
          <w:rFonts w:hint="eastAsia" w:ascii="宋体" w:hAnsi="宋体"/>
          <w:color w:val="000000"/>
          <w:sz w:val="24"/>
        </w:rPr>
        <w:t>4.1货物需求一览表</w:t>
      </w:r>
      <w:bookmarkEnd w:id="215"/>
    </w:p>
    <w:tbl>
      <w:tblPr>
        <w:tblStyle w:val="40"/>
        <w:tblW w:w="8997" w:type="dxa"/>
        <w:jc w:val="center"/>
        <w:tblInd w:w="0" w:type="dxa"/>
        <w:tblLayout w:type="fixed"/>
        <w:tblCellMar>
          <w:top w:w="15" w:type="dxa"/>
          <w:left w:w="15" w:type="dxa"/>
          <w:bottom w:w="15" w:type="dxa"/>
          <w:right w:w="15" w:type="dxa"/>
        </w:tblCellMar>
      </w:tblPr>
      <w:tblGrid>
        <w:gridCol w:w="1207"/>
        <w:gridCol w:w="3413"/>
        <w:gridCol w:w="1935"/>
        <w:gridCol w:w="2442"/>
      </w:tblGrid>
      <w:tr>
        <w:tblPrEx>
          <w:tblLayout w:type="fixed"/>
          <w:tblCellMar>
            <w:top w:w="15" w:type="dxa"/>
            <w:left w:w="15" w:type="dxa"/>
            <w:bottom w:w="15" w:type="dxa"/>
            <w:right w:w="15" w:type="dxa"/>
          </w:tblCellMar>
        </w:tblPrEx>
        <w:trPr>
          <w:trHeight w:val="605" w:hRule="atLeast"/>
          <w:jc w:val="center"/>
        </w:trPr>
        <w:tc>
          <w:tcPr>
            <w:tcW w:w="1207"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hint="eastAsia" w:ascii="宋体" w:hAnsi="宋体" w:cs="宋体"/>
                <w:b/>
                <w:color w:val="000000"/>
                <w:kern w:val="0"/>
                <w:sz w:val="24"/>
              </w:rPr>
            </w:pPr>
            <w:r>
              <w:rPr>
                <w:rFonts w:hint="eastAsia" w:ascii="宋体" w:hAnsi="宋体" w:cs="宋体"/>
                <w:b/>
                <w:color w:val="000000"/>
                <w:kern w:val="0"/>
                <w:sz w:val="24"/>
              </w:rPr>
              <w:t>品目号</w:t>
            </w:r>
          </w:p>
        </w:tc>
        <w:tc>
          <w:tcPr>
            <w:tcW w:w="3413"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hint="eastAsia" w:ascii="宋体" w:hAnsi="宋体" w:cs="宋体"/>
                <w:b/>
                <w:color w:val="000000"/>
                <w:sz w:val="24"/>
              </w:rPr>
            </w:pPr>
            <w:r>
              <w:rPr>
                <w:rFonts w:hint="eastAsia" w:ascii="宋体" w:hAnsi="宋体" w:cs="宋体"/>
                <w:b/>
                <w:color w:val="000000"/>
                <w:sz w:val="24"/>
              </w:rPr>
              <w:t>货物名称</w:t>
            </w:r>
          </w:p>
        </w:tc>
        <w:tc>
          <w:tcPr>
            <w:tcW w:w="1935"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hint="eastAsia" w:ascii="宋体" w:hAnsi="宋体" w:cs="宋体"/>
                <w:b/>
                <w:color w:val="000000"/>
                <w:sz w:val="24"/>
              </w:rPr>
            </w:pPr>
            <w:r>
              <w:rPr>
                <w:rFonts w:hint="eastAsia" w:ascii="宋体" w:hAnsi="宋体" w:cs="宋体"/>
                <w:b/>
                <w:color w:val="000000"/>
                <w:kern w:val="0"/>
                <w:sz w:val="24"/>
              </w:rPr>
              <w:t>采购数量</w:t>
            </w:r>
          </w:p>
        </w:tc>
        <w:tc>
          <w:tcPr>
            <w:tcW w:w="2442"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hint="eastAsia" w:ascii="宋体" w:hAns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70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hint="eastAsia" w:ascii="宋体" w:hAnsi="宋体" w:cs="宋体"/>
                <w:color w:val="000000"/>
                <w:kern w:val="0"/>
                <w:sz w:val="24"/>
              </w:rPr>
            </w:pPr>
          </w:p>
        </w:tc>
        <w:tc>
          <w:tcPr>
            <w:tcW w:w="341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hint="eastAsia" w:ascii="宋体" w:hAnsi="宋体" w:cs="宋体"/>
                <w:color w:val="000000"/>
                <w:kern w:val="0"/>
                <w:sz w:val="24"/>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hint="eastAsia" w:ascii="宋体" w:hAnsi="宋体" w:cs="宋体"/>
                <w:color w:val="000000"/>
                <w:sz w:val="24"/>
              </w:rPr>
            </w:pPr>
          </w:p>
        </w:tc>
        <w:tc>
          <w:tcPr>
            <w:tcW w:w="244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hint="eastAsia" w:ascii="宋体" w:hAnsi="宋体" w:cs="宋体"/>
                <w:color w:val="000000"/>
                <w:kern w:val="0"/>
                <w:sz w:val="24"/>
              </w:rPr>
            </w:pPr>
          </w:p>
        </w:tc>
      </w:tr>
    </w:tbl>
    <w:p>
      <w:pPr>
        <w:rPr>
          <w:rFonts w:hint="eastAsia" w:ascii="宋体" w:hAnsi="宋体"/>
          <w:color w:val="000000"/>
        </w:rPr>
      </w:pPr>
      <w:r>
        <w:rPr>
          <w:rFonts w:hint="eastAsia" w:ascii="宋体" w:hAnsi="宋体"/>
          <w:color w:val="000000"/>
        </w:rPr>
        <w:t xml:space="preserve">    </w:t>
      </w:r>
    </w:p>
    <w:p>
      <w:pPr>
        <w:ind w:firstLine="480" w:firstLineChars="200"/>
        <w:rPr>
          <w:rFonts w:hint="eastAsia" w:ascii="宋体" w:hAnsi="宋体"/>
          <w:color w:val="000000"/>
          <w:sz w:val="24"/>
        </w:rPr>
      </w:pPr>
      <w:r>
        <w:rPr>
          <w:rFonts w:hint="eastAsia" w:ascii="宋体" w:hAnsi="宋体"/>
          <w:color w:val="000000"/>
          <w:sz w:val="24"/>
        </w:rPr>
        <w:t>注：表中“货物名称”为通用名称，且要求所投产品为20</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日以后生产的合格产品。</w:t>
      </w:r>
    </w:p>
    <w:p>
      <w:pPr>
        <w:pStyle w:val="3"/>
        <w:ind w:firstLine="482" w:firstLineChars="200"/>
        <w:jc w:val="both"/>
        <w:rPr>
          <w:rFonts w:hint="eastAsia" w:ascii="宋体" w:hAnsi="宋体"/>
          <w:b w:val="0"/>
          <w:bCs w:val="0"/>
          <w:color w:val="000000"/>
          <w:spacing w:val="-6"/>
          <w:sz w:val="24"/>
        </w:rPr>
      </w:pPr>
      <w:bookmarkStart w:id="219" w:name="_Toc453596845"/>
      <w:r>
        <w:rPr>
          <w:rFonts w:hint="eastAsia" w:ascii="宋体" w:hAnsi="宋体"/>
          <w:color w:val="000000"/>
          <w:sz w:val="24"/>
        </w:rPr>
        <w:t>4.2 交货时间及地点：</w:t>
      </w:r>
      <w:bookmarkEnd w:id="219"/>
      <w:r>
        <w:rPr>
          <w:rFonts w:hint="eastAsia" w:ascii="宋体" w:hAnsi="宋体"/>
          <w:color w:val="000000"/>
          <w:sz w:val="24"/>
        </w:rPr>
        <w:t xml:space="preserve"> </w:t>
      </w:r>
      <w:r>
        <w:rPr>
          <w:rFonts w:hint="eastAsia" w:ascii="宋体" w:hAnsi="宋体"/>
          <w:b w:val="0"/>
          <w:bCs w:val="0"/>
          <w:color w:val="000000"/>
          <w:spacing w:val="-6"/>
          <w:sz w:val="24"/>
        </w:rPr>
        <w:t xml:space="preserve"> </w:t>
      </w:r>
    </w:p>
    <w:p>
      <w:pPr>
        <w:pStyle w:val="14"/>
        <w:spacing w:line="360" w:lineRule="auto"/>
        <w:ind w:left="479" w:leftChars="228" w:firstLine="0"/>
        <w:rPr>
          <w:rFonts w:hint="eastAsia" w:ascii="宋体" w:hAnsi="宋体"/>
          <w:b w:val="0"/>
          <w:bCs w:val="0"/>
          <w:color w:val="000000"/>
          <w:spacing w:val="-6"/>
          <w:sz w:val="24"/>
        </w:rPr>
      </w:pPr>
      <w:r>
        <w:rPr>
          <w:rFonts w:hint="eastAsia" w:ascii="宋体" w:hAnsi="宋体"/>
          <w:b w:val="0"/>
          <w:bCs w:val="0"/>
          <w:color w:val="000000"/>
          <w:spacing w:val="-6"/>
          <w:sz w:val="24"/>
        </w:rPr>
        <w:t>交货时间：按照合同签订期限供货。</w:t>
      </w:r>
    </w:p>
    <w:p>
      <w:pPr>
        <w:pStyle w:val="14"/>
        <w:spacing w:line="360" w:lineRule="auto"/>
        <w:ind w:left="479" w:leftChars="228" w:firstLine="0"/>
        <w:rPr>
          <w:rFonts w:hint="eastAsia" w:ascii="宋体" w:hAnsi="宋体"/>
          <w:b w:val="0"/>
          <w:bCs w:val="0"/>
          <w:color w:val="000000"/>
          <w:spacing w:val="-6"/>
          <w:sz w:val="24"/>
        </w:rPr>
      </w:pPr>
      <w:r>
        <w:rPr>
          <w:rFonts w:hint="eastAsia" w:ascii="宋体" w:hAnsi="宋体"/>
          <w:b w:val="0"/>
          <w:bCs w:val="0"/>
          <w:color w:val="000000"/>
          <w:spacing w:val="-6"/>
          <w:sz w:val="24"/>
        </w:rPr>
        <w:t>交货地点：</w:t>
      </w:r>
      <w:r>
        <w:rPr>
          <w:rFonts w:hint="eastAsia" w:ascii="宋体" w:hAnsi="宋体"/>
          <w:b w:val="0"/>
          <w:bCs w:val="0"/>
          <w:color w:val="000000"/>
          <w:spacing w:val="-6"/>
          <w:sz w:val="24"/>
          <w:lang w:eastAsia="zh-CN"/>
        </w:rPr>
        <w:t>白银市食品检验检测中心</w:t>
      </w:r>
      <w:r>
        <w:rPr>
          <w:rFonts w:hint="eastAsia" w:ascii="宋体" w:hAnsi="宋体"/>
          <w:b w:val="0"/>
          <w:bCs w:val="0"/>
          <w:color w:val="000000"/>
          <w:spacing w:val="-6"/>
          <w:sz w:val="24"/>
        </w:rPr>
        <w:t>指定地点。</w:t>
      </w:r>
    </w:p>
    <w:p>
      <w:pPr>
        <w:rPr>
          <w:rFonts w:hint="eastAsia" w:ascii="宋体" w:hAnsi="宋体"/>
          <w:color w:val="000000"/>
        </w:rPr>
      </w:pPr>
      <w:r>
        <w:rPr>
          <w:rFonts w:hint="eastAsia" w:ascii="宋体" w:hAnsi="宋体"/>
          <w:color w:val="000000"/>
        </w:rPr>
        <w:t xml:space="preserve">    </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bookmarkEnd w:id="216"/>
    <w:bookmarkEnd w:id="217"/>
    <w:bookmarkEnd w:id="218"/>
    <w:p>
      <w:pPr>
        <w:pStyle w:val="2"/>
        <w:numPr>
          <w:ilvl w:val="0"/>
          <w:numId w:val="5"/>
        </w:numPr>
        <w:spacing w:line="480" w:lineRule="exact"/>
        <w:rPr>
          <w:rFonts w:hint="eastAsia"/>
        </w:rPr>
      </w:pPr>
      <w:bookmarkStart w:id="220" w:name="_Toc453596846"/>
      <w:r>
        <w:rPr>
          <w:rFonts w:hint="eastAsia"/>
          <w:color w:val="000000"/>
        </w:rPr>
        <w:t>技术要求</w:t>
      </w:r>
      <w:bookmarkEnd w:id="220"/>
    </w:p>
    <w:p>
      <w:pPr>
        <w:keepNext w:val="0"/>
        <w:keepLines w:val="0"/>
        <w:pageBreakBefore w:val="0"/>
        <w:kinsoku/>
        <w:wordWrap/>
        <w:overflowPunct/>
        <w:topLinePunct w:val="0"/>
        <w:autoSpaceDE/>
        <w:autoSpaceDN/>
        <w:bidi w:val="0"/>
        <w:spacing w:line="500" w:lineRule="exact"/>
        <w:ind w:left="0" w:leftChars="0" w:right="0" w:rightChars="0" w:firstLine="0" w:firstLineChars="0"/>
        <w:jc w:val="center"/>
        <w:textAlignment w:val="auto"/>
        <w:rPr>
          <w:rFonts w:hint="eastAsia" w:ascii="宋体" w:hAnsi="宋体"/>
          <w:b/>
          <w:bCs/>
          <w:sz w:val="28"/>
          <w:szCs w:val="28"/>
          <w:lang w:val="en-US" w:eastAsia="zh-CN"/>
        </w:rPr>
      </w:pPr>
      <w:bookmarkStart w:id="221" w:name="_Toc453596847"/>
      <w:r>
        <w:rPr>
          <w:rFonts w:hint="eastAsia" w:ascii="宋体" w:hAnsi="宋体"/>
          <w:b/>
          <w:bCs/>
          <w:sz w:val="28"/>
          <w:szCs w:val="28"/>
          <w:lang w:eastAsia="zh-CN"/>
        </w:rPr>
        <w:t>品目</w:t>
      </w:r>
      <w:r>
        <w:rPr>
          <w:rFonts w:hint="eastAsia" w:ascii="宋体" w:hAnsi="宋体"/>
          <w:b/>
          <w:bCs/>
          <w:sz w:val="28"/>
          <w:szCs w:val="28"/>
          <w:lang w:val="en-US" w:eastAsia="zh-CN"/>
        </w:rPr>
        <w:t>1：全自动电位滴定仪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bCs/>
          <w:sz w:val="22"/>
          <w:szCs w:val="22"/>
        </w:rPr>
      </w:pPr>
      <w:r>
        <w:rPr>
          <w:rFonts w:hint="eastAsia" w:ascii="宋体" w:hAnsi="宋体"/>
          <w:b/>
          <w:bCs/>
          <w:sz w:val="22"/>
          <w:szCs w:val="22"/>
        </w:rPr>
        <w:t>原装进口。</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bCs/>
          <w:szCs w:val="21"/>
        </w:rPr>
        <w:t>一、用途</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firstLine="420" w:firstLineChars="200"/>
        <w:textAlignment w:val="auto"/>
        <w:outlineLvl w:val="9"/>
        <w:rPr>
          <w:rFonts w:ascii="宋体" w:hAnsi="宋体" w:cs="宋体"/>
          <w:szCs w:val="21"/>
        </w:rPr>
      </w:pPr>
      <w:r>
        <w:rPr>
          <w:rFonts w:hint="eastAsia" w:ascii="宋体" w:hAnsi="宋体" w:cs="宋体"/>
          <w:szCs w:val="21"/>
        </w:rPr>
        <w:t xml:space="preserve">该设备用于各种食品、水等样品中酸碱、沉淀、络合等容量法滴定的全自动滴定实验，并能直接测量pH值、温度、电导率值。可全自动双通道按国标测定食品中的酸价、过氧化值、氯化钠、氨基酸态氮等。 </w:t>
      </w:r>
    </w:p>
    <w:p>
      <w:pPr>
        <w:keepNext w:val="0"/>
        <w:keepLines w:val="0"/>
        <w:pageBreakBefore w:val="0"/>
        <w:widowControl w:val="0"/>
        <w:numPr>
          <w:ilvl w:val="0"/>
          <w:numId w:val="6"/>
        </w:numPr>
        <w:kinsoku/>
        <w:wordWrap/>
        <w:overflowPunct/>
        <w:topLinePunct w:val="0"/>
        <w:autoSpaceDE/>
        <w:autoSpaceDN/>
        <w:bidi w:val="0"/>
        <w:spacing w:line="440" w:lineRule="exact"/>
        <w:ind w:right="0" w:rightChars="0"/>
        <w:textAlignment w:val="auto"/>
        <w:outlineLvl w:val="9"/>
        <w:rPr>
          <w:rFonts w:ascii="宋体" w:hAnsi="宋体"/>
          <w:b/>
          <w:sz w:val="24"/>
        </w:rPr>
      </w:pPr>
      <w:r>
        <w:rPr>
          <w:rFonts w:hint="eastAsia" w:ascii="宋体" w:hAnsi="宋体"/>
          <w:b/>
          <w:bCs/>
          <w:szCs w:val="21"/>
        </w:rPr>
        <w:t>技术参数</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bCs/>
          <w:szCs w:val="21"/>
        </w:rPr>
      </w:pPr>
      <w:r>
        <w:rPr>
          <w:rFonts w:hint="eastAsia" w:ascii="宋体" w:hAnsi="宋体"/>
          <w:b/>
          <w:bCs/>
          <w:szCs w:val="21"/>
        </w:rPr>
        <w:t>1.主机和工作站</w:t>
      </w:r>
    </w:p>
    <w:p>
      <w:pPr>
        <w:keepNext w:val="0"/>
        <w:keepLines w:val="0"/>
        <w:pageBreakBefore w:val="0"/>
        <w:widowControl w:val="0"/>
        <w:kinsoku/>
        <w:wordWrap/>
        <w:overflowPunct/>
        <w:topLinePunct w:val="0"/>
        <w:autoSpaceDE/>
        <w:autoSpaceDN/>
        <w:bidi w:val="0"/>
        <w:spacing w:line="440" w:lineRule="exact"/>
        <w:ind w:right="0" w:rightChars="0"/>
        <w:jc w:val="left"/>
        <w:textAlignment w:val="auto"/>
        <w:outlineLvl w:val="9"/>
        <w:rPr>
          <w:rFonts w:ascii="宋体" w:hAnsi="宋体"/>
          <w:szCs w:val="21"/>
        </w:rPr>
      </w:pPr>
      <w:r>
        <w:rPr>
          <w:rFonts w:hint="eastAsia" w:ascii="宋体" w:hAnsi="宋体"/>
          <w:szCs w:val="21"/>
        </w:rPr>
        <w:t>1.1工作模式：DET动态滴定、MET 等量滴定、SET 设定滴定、 MEAS 测量模式（电位，pH值，离子浓度以及温度）、CAL 电极校正、DOS 可控制电信号、 手工滴定、液体处理。</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*1.2</w:t>
      </w:r>
      <w:r>
        <w:rPr>
          <w:rFonts w:hint="eastAsia" w:ascii="宋体" w:hAnsi="宋体"/>
          <w:szCs w:val="21"/>
        </w:rPr>
        <w:t>平行滴定：单机版支持4平行滴定，机器人样品处理器支持 3平行滴定；此套设备需具备两平行双自动进样器滴定配置，可实现同一套设备两通道独立检测油品中的水溶性酸值、TAN\TBN等全自动进样双平行滴定等。</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1.3工作站：计算机软件工作站或中文彩色触摸屏任选</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1.4可执行具有7个以上内部循环的滴定方法。</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*1.5</w:t>
      </w:r>
      <w:r>
        <w:rPr>
          <w:rFonts w:hint="eastAsia" w:ascii="宋体" w:hAnsi="宋体"/>
          <w:szCs w:val="21"/>
        </w:rPr>
        <w:t>同时运行25种以上的多任务处理方法;方法中有</w:t>
      </w:r>
      <w:r>
        <w:rPr>
          <w:rFonts w:ascii="宋体" w:hAnsi="宋体"/>
          <w:szCs w:val="21"/>
        </w:rPr>
        <w:t>If</w:t>
      </w:r>
      <w:r>
        <w:rPr>
          <w:rFonts w:hint="eastAsia" w:ascii="宋体" w:hAnsi="宋体"/>
          <w:szCs w:val="21"/>
        </w:rPr>
        <w:t>...</w:t>
      </w:r>
      <w:r>
        <w:rPr>
          <w:rFonts w:ascii="宋体" w:hAnsi="宋体"/>
          <w:szCs w:val="21"/>
        </w:rPr>
        <w:t>then</w:t>
      </w:r>
      <w:r>
        <w:rPr>
          <w:rFonts w:hint="eastAsia" w:ascii="宋体" w:hAnsi="宋体"/>
          <w:szCs w:val="21"/>
        </w:rPr>
        <w:t>逻辑判断功能</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bCs/>
          <w:szCs w:val="21"/>
        </w:rPr>
      </w:pPr>
      <w:r>
        <w:rPr>
          <w:rFonts w:hint="eastAsia" w:ascii="宋体" w:hAnsi="宋体"/>
          <w:b/>
          <w:bCs/>
          <w:szCs w:val="21"/>
        </w:rPr>
        <w:t>2.活塞式滴定管</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*2.1</w:t>
      </w:r>
      <w:r>
        <w:rPr>
          <w:rFonts w:hint="eastAsia" w:ascii="宋体" w:hAnsi="宋体"/>
          <w:szCs w:val="21"/>
        </w:rPr>
        <w:t>活塞式滴定管：滴定管</w:t>
      </w:r>
      <w:r>
        <w:rPr>
          <w:rFonts w:hAnsi="宋体"/>
          <w:szCs w:val="21"/>
        </w:rPr>
        <w:t>四通路结构设计，完全实现</w:t>
      </w:r>
      <w:r>
        <w:rPr>
          <w:szCs w:val="21"/>
        </w:rPr>
        <w:t>“</w:t>
      </w:r>
      <w:r>
        <w:rPr>
          <w:rFonts w:hAnsi="宋体"/>
          <w:szCs w:val="21"/>
        </w:rPr>
        <w:t>一键式</w:t>
      </w:r>
      <w:r>
        <w:rPr>
          <w:szCs w:val="21"/>
        </w:rPr>
        <w:t>”</w:t>
      </w:r>
      <w:r>
        <w:rPr>
          <w:rFonts w:hAnsi="宋体"/>
          <w:szCs w:val="21"/>
        </w:rPr>
        <w:t>自动排空、清洗、充液、滴定</w:t>
      </w:r>
      <w:r>
        <w:rPr>
          <w:rFonts w:hint="eastAsia" w:hAnsi="宋体"/>
          <w:szCs w:val="21"/>
        </w:rPr>
        <w:t>。</w:t>
      </w:r>
      <w:r>
        <w:rPr>
          <w:rFonts w:hint="eastAsia" w:ascii="宋体" w:hAnsi="宋体"/>
          <w:szCs w:val="21"/>
        </w:rPr>
        <w:t>实现滴定管无死体积，方便各种溶液间的切换</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2.2滴定管容积：2，5，10，20，50</w:t>
      </w:r>
      <w:r>
        <w:rPr>
          <w:rFonts w:ascii="宋体" w:hAnsi="宋体"/>
          <w:szCs w:val="21"/>
        </w:rPr>
        <w:t xml:space="preserve"> m</w:t>
      </w:r>
      <w:r>
        <w:rPr>
          <w:rFonts w:hint="eastAsia" w:ascii="宋体" w:hAnsi="宋体"/>
          <w:szCs w:val="21"/>
        </w:rPr>
        <w:t>L任选</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*2.3</w:t>
      </w:r>
      <w:r>
        <w:rPr>
          <w:rFonts w:hint="eastAsia" w:ascii="宋体" w:hAnsi="宋体"/>
          <w:szCs w:val="21"/>
        </w:rPr>
        <w:t>分辨率：滴定管驱动器40000步进，配合20mL滴定管加液分辨率为0.2</w:t>
      </w:r>
      <w:r>
        <w:rPr>
          <w:rFonts w:hint="eastAsia" w:ascii="宋体" w:hAnsi="宋体" w:cs="宋体"/>
          <w:szCs w:val="21"/>
        </w:rPr>
        <w:t>μ</w:t>
      </w:r>
      <w:r>
        <w:rPr>
          <w:rFonts w:hint="eastAsia" w:ascii="宋体" w:hAnsi="宋体"/>
          <w:szCs w:val="21"/>
        </w:rPr>
        <w:t>L。</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*2.4</w:t>
      </w:r>
      <w:r>
        <w:rPr>
          <w:rFonts w:hint="eastAsia" w:ascii="宋体" w:hAnsi="宋体"/>
          <w:szCs w:val="21"/>
        </w:rPr>
        <w:t>加液准确度：</w:t>
      </w:r>
      <w:r>
        <w:rPr>
          <w:rFonts w:ascii="宋体" w:hAnsi="宋体"/>
          <w:szCs w:val="21"/>
        </w:rPr>
        <w:t>0.01%滴定管体积</w:t>
      </w:r>
      <w:r>
        <w:rPr>
          <w:rFonts w:hint="eastAsia" w:ascii="宋体" w:hAnsi="宋体"/>
          <w:szCs w:val="21"/>
        </w:rPr>
        <w:t>，优于</w:t>
      </w:r>
      <w:r>
        <w:rPr>
          <w:rFonts w:ascii="宋体" w:hAnsi="宋体"/>
          <w:szCs w:val="21"/>
        </w:rPr>
        <w:t xml:space="preserve"> ISO/DIN Standard 8655-3</w:t>
      </w:r>
      <w:r>
        <w:rPr>
          <w:rFonts w:hint="eastAsia" w:ascii="宋体" w:hAnsi="宋体"/>
          <w:szCs w:val="21"/>
        </w:rPr>
        <w:t>关于活塞式滴定管加液精度要求。</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2.5滴定管拥有大容量智能数据芯片，存储有关交换单元及滴定剂的信息，主机可自动读取</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*2.6</w:t>
      </w:r>
      <w:r>
        <w:rPr>
          <w:rFonts w:hint="eastAsia" w:ascii="宋体" w:hAnsi="宋体"/>
          <w:szCs w:val="21"/>
        </w:rPr>
        <w:t>主机可控制的活塞式滴定管个数不受限，每个活塞式滴定管都可以进行滴定或辅助配液，甚至是平行滴定。</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2.7试剂管理：无试剂接触更换试剂，试剂自我监控</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bCs/>
          <w:szCs w:val="21"/>
        </w:rPr>
      </w:pPr>
      <w:r>
        <w:rPr>
          <w:rFonts w:hint="eastAsia" w:ascii="宋体" w:hAnsi="宋体"/>
          <w:b/>
          <w:bCs/>
          <w:szCs w:val="21"/>
        </w:rPr>
        <w:t>3.测量输入</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3.1单台主机可控制测量输入数量：8</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*3.2</w:t>
      </w:r>
      <w:r>
        <w:rPr>
          <w:rFonts w:hint="eastAsia" w:ascii="宋体" w:hAnsi="宋体"/>
          <w:szCs w:val="21"/>
        </w:rPr>
        <w:t>电位测量</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3.2.1范围：</w:t>
      </w:r>
      <w:r>
        <w:rPr>
          <w:rFonts w:ascii="宋体" w:hAnsi="宋体"/>
          <w:szCs w:val="21"/>
        </w:rPr>
        <w:t>-</w:t>
      </w:r>
      <w:r>
        <w:rPr>
          <w:rFonts w:hint="eastAsia" w:ascii="宋体" w:hAnsi="宋体"/>
          <w:szCs w:val="21"/>
        </w:rPr>
        <w:t>220</w:t>
      </w:r>
      <w:r>
        <w:rPr>
          <w:rFonts w:ascii="宋体" w:hAnsi="宋体"/>
          <w:szCs w:val="21"/>
        </w:rPr>
        <w:t>0</w:t>
      </w:r>
      <w:r>
        <w:rPr>
          <w:rFonts w:hint="eastAsia" w:ascii="宋体" w:hAnsi="宋体"/>
          <w:szCs w:val="21"/>
        </w:rPr>
        <w:t>…</w:t>
      </w:r>
      <w:r>
        <w:rPr>
          <w:rFonts w:ascii="宋体" w:hAnsi="宋体"/>
          <w:szCs w:val="21"/>
        </w:rPr>
        <w:t>+</w:t>
      </w:r>
      <w:r>
        <w:rPr>
          <w:rFonts w:hint="eastAsia" w:ascii="宋体" w:hAnsi="宋体"/>
          <w:szCs w:val="21"/>
        </w:rPr>
        <w:t>220</w:t>
      </w:r>
      <w:r>
        <w:rPr>
          <w:rFonts w:ascii="宋体" w:hAnsi="宋体"/>
          <w:szCs w:val="21"/>
        </w:rPr>
        <w:t>0 mV</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3.2.2分辨率： </w:t>
      </w:r>
      <w:r>
        <w:rPr>
          <w:rFonts w:ascii="宋体" w:hAnsi="宋体"/>
          <w:szCs w:val="21"/>
        </w:rPr>
        <w:t>0.</w:t>
      </w:r>
      <w:r>
        <w:rPr>
          <w:rFonts w:hint="eastAsia" w:ascii="宋体" w:hAnsi="宋体"/>
          <w:szCs w:val="21"/>
        </w:rPr>
        <w:t>1</w:t>
      </w:r>
      <w:r>
        <w:rPr>
          <w:rFonts w:ascii="宋体" w:hAnsi="宋体"/>
          <w:szCs w:val="21"/>
        </w:rPr>
        <w:t>mv</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3.2.3准确度：</w:t>
      </w:r>
      <w:r>
        <w:rPr>
          <w:rFonts w:ascii="宋体" w:hAnsi="宋体"/>
          <w:szCs w:val="21"/>
        </w:rPr>
        <w:t>± 0.2 mV</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*3.3</w:t>
      </w:r>
      <w:r>
        <w:rPr>
          <w:rFonts w:hint="eastAsia" w:ascii="宋体" w:hAnsi="宋体"/>
          <w:szCs w:val="21"/>
        </w:rPr>
        <w:t>极化电位测量：</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3.3.1范围：</w:t>
      </w:r>
      <w:r>
        <w:rPr>
          <w:rFonts w:ascii="宋体" w:hAnsi="宋体"/>
          <w:szCs w:val="21"/>
        </w:rPr>
        <w:t>-</w:t>
      </w:r>
      <w:r>
        <w:rPr>
          <w:rFonts w:hint="eastAsia" w:ascii="宋体" w:hAnsi="宋体"/>
          <w:szCs w:val="21"/>
        </w:rPr>
        <w:t>220</w:t>
      </w:r>
      <w:r>
        <w:rPr>
          <w:rFonts w:ascii="宋体" w:hAnsi="宋体"/>
          <w:szCs w:val="21"/>
        </w:rPr>
        <w:t>0</w:t>
      </w:r>
      <w:r>
        <w:rPr>
          <w:rFonts w:hint="eastAsia" w:ascii="宋体" w:hAnsi="宋体"/>
          <w:szCs w:val="21"/>
        </w:rPr>
        <w:t>…</w:t>
      </w:r>
      <w:r>
        <w:rPr>
          <w:rFonts w:ascii="宋体" w:hAnsi="宋体"/>
          <w:szCs w:val="21"/>
        </w:rPr>
        <w:t>+</w:t>
      </w:r>
      <w:r>
        <w:rPr>
          <w:rFonts w:hint="eastAsia" w:ascii="宋体" w:hAnsi="宋体"/>
          <w:szCs w:val="21"/>
        </w:rPr>
        <w:t>220</w:t>
      </w:r>
      <w:r>
        <w:rPr>
          <w:rFonts w:ascii="宋体" w:hAnsi="宋体"/>
          <w:szCs w:val="21"/>
        </w:rPr>
        <w:t>0 mV</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3.3.2分辨率： </w:t>
      </w:r>
      <w:r>
        <w:rPr>
          <w:rFonts w:ascii="宋体" w:hAnsi="宋体"/>
          <w:szCs w:val="21"/>
        </w:rPr>
        <w:t>0.</w:t>
      </w:r>
      <w:r>
        <w:rPr>
          <w:rFonts w:hint="eastAsia" w:ascii="宋体" w:hAnsi="宋体"/>
          <w:szCs w:val="21"/>
        </w:rPr>
        <w:t>1</w:t>
      </w:r>
      <w:r>
        <w:rPr>
          <w:rFonts w:ascii="宋体" w:hAnsi="宋体"/>
          <w:szCs w:val="21"/>
        </w:rPr>
        <w:t>mv</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3.3.3准确度：</w:t>
      </w:r>
      <w:r>
        <w:rPr>
          <w:rFonts w:ascii="宋体" w:hAnsi="宋体"/>
          <w:szCs w:val="21"/>
        </w:rPr>
        <w:t>± 0.2 mV</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3.4数字智能电极，内置记忆芯片，可以记录电极类型、编号、序列号、起始校正数据、当前校正数据、队列数据和名称，完全实现了电极使用的可溯源性，更加全面符合FDA的要求，也大大减少了电极使用错误、混淆或编辑错误</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3.5电极连接线缆内置A/D转换器，在电极顶端直接将模拟信号转换成二进制代码，信号传输实现数字化。</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3.6数字化信号在测量输入中进一步转变为光信号传送至滴定仪/滴定模块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3.7测量输入实现无线化电感供电，减少了电磁干扰。</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bCs/>
          <w:szCs w:val="21"/>
        </w:rPr>
      </w:pPr>
      <w:r>
        <w:rPr>
          <w:rFonts w:hint="eastAsia" w:ascii="宋体" w:hAnsi="宋体"/>
          <w:b/>
          <w:bCs/>
          <w:szCs w:val="21"/>
        </w:rPr>
        <w:t>4.搅拌器:</w:t>
      </w:r>
      <w:r>
        <w:rPr>
          <w:rFonts w:hint="eastAsia" w:ascii="宋体" w:hAnsi="宋体"/>
          <w:szCs w:val="21"/>
        </w:rPr>
        <w:t>磁力或螺旋搅拌任选，可手动开关和调节速度，所有手动调节都受软件监控。</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bCs/>
          <w:szCs w:val="21"/>
        </w:rPr>
      </w:pPr>
      <w:r>
        <w:rPr>
          <w:rFonts w:hint="eastAsia" w:ascii="宋体" w:hAnsi="宋体"/>
          <w:b/>
          <w:bCs/>
          <w:szCs w:val="21"/>
        </w:rPr>
        <w:t>5.全自动进样器</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5.1可以控制样品处理器，样品处理器为模块化设计，处理能力可升级，例如120mL滴定体系，可配置30位，80位直至最高100位样品盘。</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*5.2</w:t>
      </w:r>
      <w:r>
        <w:rPr>
          <w:rFonts w:hint="eastAsia" w:ascii="宋体" w:hAnsi="宋体"/>
          <w:szCs w:val="21"/>
        </w:rPr>
        <w:t xml:space="preserve"> 具有两个自动进样位及抓取模块，可实现全自动进样两平行滴定。</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*5.3</w:t>
      </w:r>
      <w:r>
        <w:rPr>
          <w:rFonts w:hint="eastAsia" w:ascii="宋体" w:hAnsi="宋体"/>
          <w:szCs w:val="21"/>
        </w:rPr>
        <w:t xml:space="preserve"> 具有四个泵来实现两平行滴定的清洗和排液功能。</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 xml:space="preserve">*5.4 </w:t>
      </w:r>
      <w:r>
        <w:rPr>
          <w:rFonts w:hint="eastAsia" w:ascii="宋体" w:hAnsi="宋体"/>
          <w:szCs w:val="21"/>
        </w:rPr>
        <w:t>具有五个样品盘（</w:t>
      </w:r>
      <w:r>
        <w:rPr>
          <w:rFonts w:ascii="宋体" w:hAnsi="宋体"/>
          <w:szCs w:val="21"/>
        </w:rPr>
        <w:t>16</w:t>
      </w:r>
      <w:r>
        <w:rPr>
          <w:rFonts w:hint="eastAsia" w:ascii="宋体" w:hAnsi="宋体"/>
          <w:szCs w:val="21"/>
        </w:rPr>
        <w:t xml:space="preserve">位×120mL体系 3个； </w:t>
      </w:r>
      <w:r>
        <w:rPr>
          <w:rFonts w:ascii="宋体" w:hAnsi="宋体"/>
          <w:szCs w:val="21"/>
        </w:rPr>
        <w:t>9位</w:t>
      </w:r>
      <w:r>
        <w:rPr>
          <w:rFonts w:hint="eastAsia" w:ascii="宋体" w:hAnsi="宋体"/>
          <w:szCs w:val="21"/>
        </w:rPr>
        <w:t>×250mL体系 2个）双通道同时分析可实现食品中的酸价、过氧化值、氯等不同项目不同体积要求的全自动滴定实验。</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b/>
          <w:szCs w:val="21"/>
        </w:rPr>
        <w:t>6.计算机及激光打印机</w:t>
      </w:r>
      <w:r>
        <w:rPr>
          <w:rFonts w:hint="eastAsia" w:ascii="宋体" w:hAnsi="宋体"/>
          <w:szCs w:val="21"/>
        </w:rPr>
        <w:t>：配备市场主流商用电脑：I5处理器、四核1T硬盘、运行内存8G，</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9300以上独显、21寸液晶显示器。A4 可双面激光打印机。</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b/>
          <w:szCs w:val="21"/>
        </w:rPr>
      </w:pPr>
      <w:r>
        <w:rPr>
          <w:rFonts w:hint="eastAsia" w:ascii="宋体" w:hAnsi="宋体"/>
          <w:b/>
          <w:szCs w:val="21"/>
        </w:rPr>
        <w:t>二、配置清单</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1.主机                              1个 </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2.内置滴定管驱动器：                1个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3.外置滴定管驱动器：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3个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4.滴定管：                      </w:t>
      </w:r>
      <w:r>
        <w:rPr>
          <w:rFonts w:ascii="宋体" w:hAnsi="宋体"/>
          <w:szCs w:val="21"/>
        </w:rPr>
        <w:t xml:space="preserve">  </w:t>
      </w:r>
      <w:r>
        <w:rPr>
          <w:rFonts w:hint="eastAsia" w:ascii="宋体" w:hAnsi="宋体"/>
          <w:szCs w:val="21"/>
        </w:rPr>
        <w:t xml:space="preserve">  20mL</w:t>
      </w:r>
      <w:r>
        <w:rPr>
          <w:rFonts w:ascii="宋体" w:hAnsi="宋体"/>
          <w:szCs w:val="21"/>
        </w:rPr>
        <w:t xml:space="preserve"> </w:t>
      </w:r>
      <w:r>
        <w:rPr>
          <w:rFonts w:hint="eastAsia" w:ascii="宋体" w:hAnsi="宋体"/>
          <w:szCs w:val="21"/>
        </w:rPr>
        <w:t>2个</w:t>
      </w:r>
    </w:p>
    <w:p>
      <w:pPr>
        <w:keepNext w:val="0"/>
        <w:keepLines w:val="0"/>
        <w:pageBreakBefore w:val="0"/>
        <w:widowControl w:val="0"/>
        <w:kinsoku/>
        <w:wordWrap/>
        <w:overflowPunct/>
        <w:topLinePunct w:val="0"/>
        <w:autoSpaceDE/>
        <w:autoSpaceDN/>
        <w:bidi w:val="0"/>
        <w:spacing w:line="440" w:lineRule="exact"/>
        <w:ind w:right="0" w:rightChars="0" w:firstLine="3780" w:firstLineChars="1800"/>
        <w:textAlignment w:val="auto"/>
        <w:outlineLvl w:val="9"/>
        <w:rPr>
          <w:rFonts w:ascii="宋体" w:hAnsi="宋体"/>
          <w:szCs w:val="21"/>
        </w:rPr>
      </w:pPr>
      <w:r>
        <w:rPr>
          <w:rFonts w:hint="eastAsia" w:ascii="宋体" w:hAnsi="宋体"/>
          <w:szCs w:val="21"/>
        </w:rPr>
        <w:t>10mL</w:t>
      </w:r>
      <w:r>
        <w:rPr>
          <w:rFonts w:ascii="宋体" w:hAnsi="宋体"/>
          <w:szCs w:val="21"/>
        </w:rPr>
        <w:t xml:space="preserve"> </w:t>
      </w:r>
      <w:r>
        <w:rPr>
          <w:rFonts w:hint="eastAsia" w:ascii="宋体" w:hAnsi="宋体"/>
          <w:szCs w:val="21"/>
        </w:rPr>
        <w:t>2个</w:t>
      </w:r>
    </w:p>
    <w:p>
      <w:pPr>
        <w:keepNext w:val="0"/>
        <w:keepLines w:val="0"/>
        <w:pageBreakBefore w:val="0"/>
        <w:widowControl w:val="0"/>
        <w:kinsoku/>
        <w:wordWrap/>
        <w:overflowPunct/>
        <w:topLinePunct w:val="0"/>
        <w:autoSpaceDE/>
        <w:autoSpaceDN/>
        <w:bidi w:val="0"/>
        <w:spacing w:line="440" w:lineRule="exact"/>
        <w:ind w:right="0" w:rightChars="0" w:firstLine="3780" w:firstLineChars="1800"/>
        <w:textAlignment w:val="auto"/>
        <w:outlineLvl w:val="9"/>
        <w:rPr>
          <w:rFonts w:ascii="宋体" w:hAnsi="宋体"/>
          <w:szCs w:val="21"/>
        </w:rPr>
      </w:pPr>
      <w:r>
        <w:rPr>
          <w:rFonts w:hint="eastAsia" w:ascii="宋体" w:hAnsi="宋体"/>
          <w:szCs w:val="21"/>
        </w:rPr>
        <w:t>50mL 3个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5. 3S 适配器：                      4个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6.</w:t>
      </w:r>
      <w:r>
        <w:rPr>
          <w:rFonts w:hint="eastAsia" w:ascii="宋体" w:hAnsi="宋体" w:cs="宋体"/>
          <w:szCs w:val="21"/>
        </w:rPr>
        <w:t>非水复合酸碱滴定电极(酸价滴定)</w:t>
      </w:r>
      <w:r>
        <w:rPr>
          <w:rFonts w:hint="eastAsia" w:ascii="宋体" w:hAnsi="宋体"/>
          <w:szCs w:val="21"/>
        </w:rPr>
        <w:t xml:space="preserve">    </w:t>
      </w:r>
      <w:r>
        <w:rPr>
          <w:rFonts w:hint="eastAsia" w:ascii="宋体" w:hAnsi="宋体" w:cs="宋体"/>
          <w:szCs w:val="21"/>
        </w:rPr>
        <w:t>2根</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7.复合</w:t>
      </w:r>
      <w:r>
        <w:rPr>
          <w:rFonts w:ascii="宋体" w:hAnsi="宋体"/>
          <w:szCs w:val="21"/>
        </w:rPr>
        <w:t>水酸碱电极</w:t>
      </w:r>
      <w:r>
        <w:rPr>
          <w:rFonts w:hint="eastAsia" w:ascii="宋体" w:hAnsi="宋体"/>
          <w:szCs w:val="21"/>
        </w:rPr>
        <w:t xml:space="preserve">                    2根</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8.复合银滴定电极（氯滴定）：         1根</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9.复合铂电极（过氧化值滴定）：       1根</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10.双通道测量输入模块：             2套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11.电极电缆：                       2根</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12.仪器控制线：                     1根</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13.控制软件：                       1套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14.全自动样品处理器（可实现2平行滴定，5个盘位）：1套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15. 全自动样品盘（</w:t>
      </w:r>
      <w:r>
        <w:rPr>
          <w:rFonts w:ascii="宋体" w:hAnsi="宋体"/>
          <w:szCs w:val="21"/>
        </w:rPr>
        <w:t>9位</w:t>
      </w:r>
      <w:r>
        <w:rPr>
          <w:rFonts w:hint="eastAsia" w:ascii="宋体" w:hAnsi="宋体"/>
          <w:szCs w:val="21"/>
        </w:rPr>
        <w:t>×250mL体系）： 2个</w:t>
      </w:r>
    </w:p>
    <w:p>
      <w:pPr>
        <w:keepNext w:val="0"/>
        <w:keepLines w:val="0"/>
        <w:pageBreakBefore w:val="0"/>
        <w:widowControl w:val="0"/>
        <w:kinsoku/>
        <w:wordWrap/>
        <w:overflowPunct/>
        <w:topLinePunct w:val="0"/>
        <w:autoSpaceDE/>
        <w:autoSpaceDN/>
        <w:bidi w:val="0"/>
        <w:spacing w:line="440" w:lineRule="exact"/>
        <w:ind w:right="0" w:rightChars="0" w:firstLine="420" w:firstLineChars="200"/>
        <w:textAlignment w:val="auto"/>
        <w:outlineLvl w:val="9"/>
        <w:rPr>
          <w:rFonts w:ascii="宋体" w:hAnsi="宋体"/>
          <w:szCs w:val="21"/>
        </w:rPr>
      </w:pPr>
      <w:r>
        <w:rPr>
          <w:rFonts w:hint="eastAsia" w:ascii="宋体" w:hAnsi="宋体"/>
          <w:szCs w:val="21"/>
        </w:rPr>
        <w:t>全自动样品盘（16</w:t>
      </w:r>
      <w:r>
        <w:rPr>
          <w:rFonts w:ascii="宋体" w:hAnsi="宋体"/>
          <w:szCs w:val="21"/>
        </w:rPr>
        <w:t>位</w:t>
      </w:r>
      <w:r>
        <w:rPr>
          <w:rFonts w:hint="eastAsia" w:ascii="宋体" w:hAnsi="宋体"/>
          <w:szCs w:val="21"/>
        </w:rPr>
        <w:t>×120mL体系）：3个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16.全自动清洗泵：                    2个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17.全自动排液泵：                    2个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18.抓取模块                          2个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19.机械臂：                          1套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20.螺旋桨搅拌器                      3套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21.棕色试剂瓶                        10个</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22.滴定烧杯250mL                     60个 </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 xml:space="preserve">23.滴定烧杯120mL                     60个 </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24.计算机及激光打印机                 1套</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szCs w:val="21"/>
        </w:rPr>
      </w:pPr>
      <w:r>
        <w:rPr>
          <w:rFonts w:hint="eastAsia" w:ascii="宋体" w:hAnsi="宋体"/>
          <w:szCs w:val="21"/>
        </w:rPr>
        <w:t>三</w:t>
      </w:r>
      <w:r>
        <w:rPr>
          <w:rFonts w:hint="eastAsia" w:ascii="宋体" w:hAnsi="宋体"/>
          <w:b/>
          <w:bCs/>
          <w:szCs w:val="21"/>
        </w:rPr>
        <w:t>、服务及保修期</w:t>
      </w:r>
    </w:p>
    <w:p>
      <w:pPr>
        <w:keepNext w:val="0"/>
        <w:keepLines w:val="0"/>
        <w:pageBreakBefore w:val="0"/>
        <w:widowControl w:val="0"/>
        <w:kinsoku/>
        <w:wordWrap/>
        <w:overflowPunct/>
        <w:topLinePunct w:val="0"/>
        <w:autoSpaceDE/>
        <w:autoSpaceDN/>
        <w:bidi w:val="0"/>
        <w:spacing w:line="440" w:lineRule="exact"/>
        <w:ind w:right="0" w:rightChars="0"/>
        <w:textAlignment w:val="auto"/>
        <w:outlineLvl w:val="9"/>
        <w:rPr>
          <w:rFonts w:ascii="宋体" w:hAnsi="宋体" w:cs="宋体"/>
          <w:szCs w:val="21"/>
        </w:rPr>
      </w:pPr>
      <w:r>
        <w:rPr>
          <w:rFonts w:hint="eastAsia" w:ascii="宋体" w:hAnsi="宋体"/>
          <w:b/>
          <w:bCs/>
          <w:szCs w:val="21"/>
        </w:rPr>
        <w:t>*</w:t>
      </w:r>
      <w:r>
        <w:rPr>
          <w:rFonts w:ascii="宋体" w:hAnsi="宋体"/>
          <w:b/>
          <w:bCs/>
          <w:szCs w:val="21"/>
        </w:rPr>
        <w:t>1</w:t>
      </w:r>
      <w:r>
        <w:rPr>
          <w:rFonts w:hint="eastAsia" w:ascii="宋体" w:hAnsi="宋体"/>
          <w:b/>
          <w:bCs/>
          <w:szCs w:val="21"/>
        </w:rPr>
        <w:t>.</w:t>
      </w:r>
      <w:r>
        <w:rPr>
          <w:rFonts w:hint="eastAsia" w:ascii="宋体" w:hAnsi="宋体" w:cs="宋体"/>
          <w:szCs w:val="21"/>
        </w:rPr>
        <w:t xml:space="preserve"> 整机保修期为一年</w:t>
      </w:r>
      <w:r>
        <w:rPr>
          <w:rFonts w:hint="eastAsia" w:ascii="宋体" w:hAnsi="宋体" w:cs="宋体"/>
          <w:szCs w:val="21"/>
          <w:highlight w:val="none"/>
        </w:rPr>
        <w:t>，要求兰州</w:t>
      </w:r>
      <w:r>
        <w:rPr>
          <w:rFonts w:hint="eastAsia" w:ascii="宋体" w:hAnsi="宋体" w:cs="宋体"/>
          <w:szCs w:val="21"/>
          <w:highlight w:val="none"/>
          <w:lang w:eastAsia="zh-CN"/>
        </w:rPr>
        <w:t>市或本地区</w:t>
      </w:r>
      <w:r>
        <w:rPr>
          <w:rFonts w:hint="eastAsia" w:ascii="宋体" w:hAnsi="宋体" w:cs="宋体"/>
          <w:szCs w:val="21"/>
          <w:highlight w:val="none"/>
        </w:rPr>
        <w:t>有厂</w:t>
      </w:r>
      <w:r>
        <w:rPr>
          <w:rFonts w:hint="eastAsia" w:ascii="宋体" w:hAnsi="宋体" w:cs="宋体"/>
          <w:szCs w:val="21"/>
        </w:rPr>
        <w:t>家电化学售后服务办事处。</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textAlignment w:val="auto"/>
        <w:outlineLvl w:val="9"/>
        <w:rPr>
          <w:rFonts w:ascii="宋体" w:hAnsi="宋体" w:cs="宋体"/>
          <w:szCs w:val="21"/>
        </w:rPr>
      </w:pPr>
      <w:r>
        <w:rPr>
          <w:rFonts w:hint="eastAsia" w:ascii="宋体" w:hAnsi="宋体" w:cs="宋体"/>
          <w:szCs w:val="21"/>
        </w:rPr>
        <w:t>2.保修期内：24小时作出相应的问题答复；如电话不能解决问题，维修人员将在3个工作日内到达现场（视用户地理位置而定）如果仍未解决问题的，厂家需要提供一台相同性能仪器，在维修期内供用户免费使用。</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textAlignment w:val="auto"/>
        <w:outlineLvl w:val="9"/>
        <w:rPr>
          <w:rFonts w:ascii="宋体" w:hAnsi="宋体" w:cs="宋体"/>
          <w:szCs w:val="21"/>
        </w:rPr>
      </w:pPr>
      <w:r>
        <w:rPr>
          <w:rFonts w:hint="eastAsia" w:ascii="宋体" w:hAnsi="宋体" w:cs="宋体"/>
          <w:szCs w:val="21"/>
        </w:rPr>
        <w:t>3.保修期外：须</w:t>
      </w:r>
      <w:r>
        <w:rPr>
          <w:rFonts w:ascii="宋体" w:hAnsi="宋体" w:cs="宋体"/>
          <w:szCs w:val="21"/>
        </w:rPr>
        <w:t>提供24个月的维护保养服务合约。买方在签订此合约后，即可享受卖方提供的定期仪器维护保养服务，同时又可以获得12个月保修期届满后自动延长24个月的优惠政策。</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textAlignment w:val="auto"/>
        <w:outlineLvl w:val="9"/>
        <w:rPr>
          <w:rFonts w:ascii="宋体" w:hAnsi="宋体" w:cs="宋体"/>
          <w:szCs w:val="21"/>
        </w:rPr>
      </w:pPr>
      <w:r>
        <w:rPr>
          <w:rFonts w:hint="eastAsia" w:ascii="宋体" w:hAnsi="宋体" w:cs="宋体"/>
          <w:szCs w:val="21"/>
        </w:rPr>
        <w:t>4.</w:t>
      </w:r>
      <w:r>
        <w:rPr>
          <w:rFonts w:ascii="宋体" w:hAnsi="宋体" w:cs="宋体"/>
          <w:szCs w:val="21"/>
        </w:rPr>
        <w:t>技术资料</w:t>
      </w:r>
      <w:r>
        <w:rPr>
          <w:rFonts w:hint="eastAsia" w:ascii="宋体" w:hAnsi="宋体" w:cs="宋体"/>
          <w:szCs w:val="21"/>
        </w:rPr>
        <w:t>：</w:t>
      </w:r>
      <w:r>
        <w:rPr>
          <w:rFonts w:ascii="宋体" w:hAnsi="宋体" w:cs="宋体"/>
          <w:szCs w:val="21"/>
        </w:rPr>
        <w:t>详细的英文操作指南</w:t>
      </w:r>
      <w:r>
        <w:rPr>
          <w:rFonts w:hint="eastAsia" w:ascii="宋体" w:hAnsi="宋体" w:cs="宋体"/>
          <w:szCs w:val="21"/>
        </w:rPr>
        <w:t>和</w:t>
      </w:r>
      <w:r>
        <w:rPr>
          <w:rFonts w:ascii="宋体" w:hAnsi="宋体" w:cs="宋体"/>
          <w:szCs w:val="21"/>
        </w:rPr>
        <w:t>中文操作手册</w:t>
      </w:r>
      <w:r>
        <w:rPr>
          <w:rFonts w:hint="eastAsia" w:ascii="宋体" w:hAnsi="宋体" w:cs="宋体"/>
          <w:szCs w:val="21"/>
        </w:rPr>
        <w:t>，</w:t>
      </w:r>
      <w:r>
        <w:rPr>
          <w:rFonts w:ascii="宋体" w:hAnsi="宋体" w:cs="宋体"/>
          <w:szCs w:val="21"/>
        </w:rPr>
        <w:t>仪器维护的有关资料及质量认证书。</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textAlignment w:val="auto"/>
        <w:outlineLvl w:val="9"/>
        <w:rPr>
          <w:rFonts w:hint="eastAsia" w:ascii="宋体" w:hAnsi="宋体" w:cs="宋体"/>
          <w:szCs w:val="21"/>
        </w:rPr>
      </w:pPr>
      <w:r>
        <w:rPr>
          <w:rFonts w:hint="eastAsia" w:ascii="宋体" w:hAnsi="宋体" w:cs="宋体"/>
          <w:szCs w:val="21"/>
        </w:rPr>
        <w:t>5.</w:t>
      </w:r>
      <w:r>
        <w:rPr>
          <w:rFonts w:ascii="宋体" w:hAnsi="宋体" w:cs="宋体"/>
          <w:szCs w:val="21"/>
        </w:rPr>
        <w:t>技术服务和培训</w:t>
      </w:r>
      <w:r>
        <w:rPr>
          <w:rFonts w:hint="eastAsia" w:ascii="宋体" w:hAnsi="宋体" w:cs="宋体"/>
          <w:szCs w:val="21"/>
        </w:rPr>
        <w:t>：</w:t>
      </w:r>
      <w:r>
        <w:rPr>
          <w:rFonts w:ascii="宋体" w:hAnsi="宋体" w:cs="宋体"/>
          <w:szCs w:val="21"/>
        </w:rPr>
        <w:t>卖方须到买方提供现场免费安装、调试设备，进行操作试验，直至运行正常，为仪器操作人员提供必须的免费的操作及维护培训。</w:t>
      </w:r>
      <w:r>
        <w:rPr>
          <w:rFonts w:hint="eastAsia" w:ascii="宋体" w:hAnsi="宋体" w:cs="宋体"/>
          <w:szCs w:val="21"/>
        </w:rPr>
        <w:t>仪器运转正常后须提供免培训费2人次、2次厂家培训中心的强化培训。</w:t>
      </w: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textAlignment w:val="auto"/>
        <w:outlineLvl w:val="9"/>
        <w:rPr>
          <w:rFonts w:hint="eastAsia" w:ascii="宋体" w:hAnsi="宋体" w:cs="宋体"/>
          <w:b/>
          <w:bCs/>
          <w:szCs w:val="21"/>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textAlignment w:val="auto"/>
        <w:outlineLvl w:val="9"/>
        <w:rPr>
          <w:rFonts w:hint="eastAsia" w:ascii="宋体" w:hAnsi="宋体" w:eastAsia="宋体" w:cs="宋体"/>
          <w:b/>
          <w:bCs/>
          <w:szCs w:val="21"/>
          <w:lang w:eastAsia="zh-CN"/>
        </w:rPr>
      </w:pPr>
      <w:bookmarkStart w:id="311" w:name="_GoBack"/>
      <w:bookmarkEnd w:id="311"/>
      <w:r>
        <w:rPr>
          <w:rFonts w:hint="eastAsia" w:ascii="宋体" w:hAnsi="宋体" w:cs="宋体"/>
          <w:b/>
          <w:bCs/>
          <w:szCs w:val="21"/>
          <w:lang w:eastAsia="zh-CN"/>
        </w:rPr>
        <w:t>注：</w:t>
      </w:r>
      <w:r>
        <w:rPr>
          <w:rFonts w:ascii="宋体" w:hAnsi="宋体" w:cs="宋体"/>
          <w:b/>
          <w:bCs/>
          <w:szCs w:val="21"/>
        </w:rPr>
        <w:t>“*”号条款响应满足或正偏离的，必须提供产品厂家的技术支持材料（指厂家所投产品的样本或产品厂家为本项目出具的书面承诺，样本中有的指标以样本为准，样本中没有的指标以承诺书为准）。产品厂家的技术支持材料须加盖产品厂家印章和签字，否则投标将被拒绝。</w:t>
      </w:r>
    </w:p>
    <w:p>
      <w:pPr>
        <w:spacing w:line="500" w:lineRule="exact"/>
        <w:ind w:left="218" w:leftChars="104" w:firstLine="229" w:firstLineChars="95"/>
        <w:rPr>
          <w:rFonts w:ascii="宋体" w:hAnsi="宋体"/>
          <w:b/>
          <w:bCs/>
          <w:sz w:val="24"/>
        </w:rPr>
      </w:pPr>
    </w:p>
    <w:p>
      <w:pPr>
        <w:pStyle w:val="2"/>
        <w:spacing w:line="500" w:lineRule="exact"/>
        <w:rPr>
          <w:color w:val="000000"/>
          <w:sz w:val="28"/>
          <w:szCs w:val="28"/>
        </w:rPr>
      </w:pPr>
      <w:r>
        <w:rPr>
          <w:rFonts w:hint="eastAsia"/>
          <w:color w:val="000000"/>
          <w:sz w:val="28"/>
          <w:szCs w:val="28"/>
        </w:rPr>
        <w:t>品目2：全自动脂肪浸提系统</w:t>
      </w:r>
    </w:p>
    <w:p>
      <w:pPr>
        <w:rPr>
          <w:b/>
          <w:szCs w:val="21"/>
        </w:rPr>
      </w:pPr>
      <w:r>
        <w:rPr>
          <w:rFonts w:hint="eastAsia"/>
          <w:b/>
          <w:szCs w:val="21"/>
        </w:rPr>
        <w:t>原装进口。</w:t>
      </w:r>
    </w:p>
    <w:p>
      <w:pPr>
        <w:spacing w:line="400" w:lineRule="exact"/>
        <w:rPr>
          <w:szCs w:val="21"/>
        </w:rPr>
      </w:pPr>
      <w:r>
        <w:rPr>
          <w:rFonts w:hint="eastAsia"/>
          <w:b/>
          <w:bCs/>
          <w:szCs w:val="21"/>
        </w:rPr>
        <w:t>一、 主要用途：</w:t>
      </w:r>
      <w:r>
        <w:rPr>
          <w:rFonts w:hint="eastAsia"/>
          <w:szCs w:val="21"/>
        </w:rPr>
        <w:t>用于脂肪浸提及其它可溶性化合物的溶剂浸提。</w:t>
      </w:r>
    </w:p>
    <w:p>
      <w:pPr>
        <w:spacing w:line="400" w:lineRule="exact"/>
        <w:rPr>
          <w:b/>
          <w:bCs/>
          <w:szCs w:val="21"/>
        </w:rPr>
      </w:pPr>
      <w:r>
        <w:rPr>
          <w:rFonts w:hint="eastAsia"/>
          <w:b/>
          <w:bCs/>
          <w:szCs w:val="21"/>
        </w:rPr>
        <w:t>二、 技术指标</w:t>
      </w:r>
    </w:p>
    <w:p>
      <w:pPr>
        <w:spacing w:line="400" w:lineRule="exact"/>
        <w:rPr>
          <w:szCs w:val="21"/>
        </w:rPr>
      </w:pPr>
      <w:r>
        <w:rPr>
          <w:rFonts w:hint="eastAsia"/>
          <w:szCs w:val="21"/>
        </w:rPr>
        <w:t>2.1符合国际及国家标准的索氏浸提方法，连续工作8小时以上。</w:t>
      </w:r>
    </w:p>
    <w:p>
      <w:pPr>
        <w:spacing w:line="400" w:lineRule="exact"/>
        <w:rPr>
          <w:szCs w:val="21"/>
        </w:rPr>
      </w:pPr>
      <w:r>
        <w:rPr>
          <w:rFonts w:hint="eastAsia"/>
          <w:szCs w:val="21"/>
        </w:rPr>
        <w:t>2.2检测范围：0-100%；重复性：RSD≤1%</w:t>
      </w:r>
    </w:p>
    <w:p>
      <w:pPr>
        <w:spacing w:line="400" w:lineRule="exact"/>
        <w:rPr>
          <w:szCs w:val="21"/>
        </w:rPr>
      </w:pPr>
      <w:r>
        <w:rPr>
          <w:rFonts w:hint="eastAsia"/>
          <w:b/>
          <w:szCs w:val="21"/>
        </w:rPr>
        <w:t>*2.3</w:t>
      </w:r>
      <w:r>
        <w:rPr>
          <w:rFonts w:hint="eastAsia"/>
          <w:szCs w:val="21"/>
        </w:rPr>
        <w:t>批处理能力：6个/批，可扩展为12个/批</w:t>
      </w:r>
    </w:p>
    <w:p>
      <w:pPr>
        <w:spacing w:line="400" w:lineRule="exact"/>
        <w:rPr>
          <w:szCs w:val="21"/>
        </w:rPr>
      </w:pPr>
      <w:r>
        <w:rPr>
          <w:rFonts w:hint="eastAsia"/>
          <w:szCs w:val="21"/>
        </w:rPr>
        <w:t>2.4全自动操作系统，运行中不需人员看守，自动关机功能支持过夜操作。</w:t>
      </w:r>
    </w:p>
    <w:p>
      <w:pPr>
        <w:spacing w:line="400" w:lineRule="exact"/>
        <w:rPr>
          <w:szCs w:val="21"/>
        </w:rPr>
      </w:pPr>
      <w:r>
        <w:rPr>
          <w:rFonts w:hint="eastAsia"/>
          <w:szCs w:val="21"/>
        </w:rPr>
        <w:t>2.5可实现所有冷热浸提方法，每个浸提过程包括四个步骤：热浸提、淋洗、溶剂回收和预干燥。针对不同溶剂可在室温—285</w:t>
      </w:r>
      <w:r>
        <w:rPr>
          <w:rFonts w:hint="eastAsia" w:hAnsi="宋体"/>
          <w:szCs w:val="21"/>
        </w:rPr>
        <w:t>℃之间</w:t>
      </w:r>
      <w:r>
        <w:rPr>
          <w:rFonts w:hint="eastAsia"/>
          <w:szCs w:val="21"/>
        </w:rPr>
        <w:t>设置不同的浸提温度。每个步骤可单独设置时间，从0分钟至数十个小时不等。</w:t>
      </w:r>
    </w:p>
    <w:p>
      <w:pPr>
        <w:spacing w:line="400" w:lineRule="exact"/>
        <w:rPr>
          <w:szCs w:val="21"/>
        </w:rPr>
      </w:pPr>
      <w:r>
        <w:rPr>
          <w:rFonts w:hint="eastAsia"/>
          <w:b/>
          <w:szCs w:val="21"/>
        </w:rPr>
        <w:t>*2.6</w:t>
      </w:r>
      <w:r>
        <w:rPr>
          <w:rFonts w:hint="eastAsia"/>
          <w:szCs w:val="21"/>
        </w:rPr>
        <w:t>整个系统中包括独立的浸提单元和控制单元，将电子控制和溶剂提取分开，能够最大程度的保证操作安全。</w:t>
      </w:r>
    </w:p>
    <w:p>
      <w:pPr>
        <w:spacing w:line="400" w:lineRule="exact"/>
        <w:rPr>
          <w:szCs w:val="21"/>
        </w:rPr>
      </w:pPr>
      <w:r>
        <w:rPr>
          <w:rFonts w:hint="eastAsia"/>
          <w:szCs w:val="21"/>
        </w:rPr>
        <w:t>2.7超温报警功能：三级过温保护（145℃，210℃和330℃），对不同的溶剂采用不同的温度保护，保证操作安全。</w:t>
      </w:r>
    </w:p>
    <w:p>
      <w:pPr>
        <w:spacing w:line="400" w:lineRule="exact"/>
        <w:rPr>
          <w:szCs w:val="21"/>
        </w:rPr>
      </w:pPr>
      <w:r>
        <w:rPr>
          <w:rFonts w:hint="eastAsia"/>
          <w:b/>
          <w:szCs w:val="21"/>
        </w:rPr>
        <w:t>*2.8</w:t>
      </w:r>
      <w:r>
        <w:rPr>
          <w:rFonts w:hint="eastAsia"/>
          <w:szCs w:val="21"/>
        </w:rPr>
        <w:t>快速溶剂添加转盘在密闭状态下进行溶剂的添加，避免操作者暴露于溶剂环境。</w:t>
      </w:r>
    </w:p>
    <w:p>
      <w:pPr>
        <w:spacing w:line="400" w:lineRule="exact"/>
        <w:rPr>
          <w:szCs w:val="21"/>
        </w:rPr>
      </w:pPr>
      <w:r>
        <w:rPr>
          <w:rFonts w:hint="eastAsia"/>
          <w:b/>
          <w:szCs w:val="21"/>
        </w:rPr>
        <w:t>*2.9</w:t>
      </w:r>
      <w:r>
        <w:rPr>
          <w:rFonts w:hint="eastAsia"/>
          <w:szCs w:val="21"/>
        </w:rPr>
        <w:t>内置通风橱功能，避免溶剂蒸气聚集，增加安全性。</w:t>
      </w:r>
    </w:p>
    <w:p>
      <w:pPr>
        <w:spacing w:line="400" w:lineRule="exact"/>
        <w:rPr>
          <w:szCs w:val="21"/>
        </w:rPr>
      </w:pPr>
      <w:r>
        <w:rPr>
          <w:rFonts w:hint="eastAsia"/>
          <w:szCs w:val="21"/>
        </w:rPr>
        <w:t>2.10仪器能够独立完成浸提过程，不需要额外配置压缩空气或氮气保护等装置。</w:t>
      </w:r>
    </w:p>
    <w:p>
      <w:pPr>
        <w:spacing w:line="400" w:lineRule="exact"/>
        <w:rPr>
          <w:szCs w:val="21"/>
        </w:rPr>
      </w:pPr>
      <w:r>
        <w:rPr>
          <w:rFonts w:hint="eastAsia"/>
          <w:szCs w:val="21"/>
        </w:rPr>
        <w:t>2.11每个位置可单独加热或关闭，增加操作灵活性。</w:t>
      </w:r>
    </w:p>
    <w:p>
      <w:pPr>
        <w:spacing w:line="400" w:lineRule="exact"/>
        <w:rPr>
          <w:szCs w:val="21"/>
        </w:rPr>
      </w:pPr>
      <w:r>
        <w:rPr>
          <w:rFonts w:hint="eastAsia"/>
          <w:b/>
          <w:sz w:val="28"/>
          <w:szCs w:val="28"/>
        </w:rPr>
        <w:t>*</w:t>
      </w:r>
      <w:r>
        <w:rPr>
          <w:rFonts w:hint="eastAsia"/>
          <w:b/>
          <w:szCs w:val="21"/>
        </w:rPr>
        <w:t>2.12</w:t>
      </w:r>
      <w:r>
        <w:rPr>
          <w:rFonts w:hint="eastAsia"/>
          <w:szCs w:val="21"/>
        </w:rPr>
        <w:t>溶剂泄露报警传感器能够探测任何泄漏的溶剂，以保证操作安全。</w:t>
      </w:r>
    </w:p>
    <w:p>
      <w:pPr>
        <w:spacing w:line="400" w:lineRule="exact"/>
        <w:rPr>
          <w:szCs w:val="21"/>
        </w:rPr>
      </w:pPr>
      <w:r>
        <w:rPr>
          <w:rFonts w:hint="eastAsia"/>
          <w:szCs w:val="21"/>
        </w:rPr>
        <w:t>2.13溶剂可自动回收，并有溶剂罐排空报警功能，以避免溶剂存在时的误操作，增加安全性。</w:t>
      </w:r>
    </w:p>
    <w:p>
      <w:pPr>
        <w:spacing w:line="400" w:lineRule="exact"/>
        <w:rPr>
          <w:szCs w:val="21"/>
        </w:rPr>
      </w:pPr>
      <w:r>
        <w:rPr>
          <w:rFonts w:hint="eastAsia"/>
          <w:szCs w:val="21"/>
        </w:rPr>
        <w:t>2.14自调节的加热板，保证最大的热传递，能够处理宽范围的溶剂，包括一些沸点高的溶剂</w:t>
      </w:r>
    </w:p>
    <w:p>
      <w:pPr>
        <w:spacing w:line="400" w:lineRule="exact"/>
        <w:rPr>
          <w:szCs w:val="21"/>
        </w:rPr>
      </w:pPr>
      <w:r>
        <w:rPr>
          <w:rFonts w:hint="eastAsia"/>
          <w:szCs w:val="21"/>
        </w:rPr>
        <w:t>2.15多种规格的浸提杯可选，能在浸提过程中使用40ml，80ml或110ml的溶剂，增加操作灵活性。</w:t>
      </w:r>
    </w:p>
    <w:p>
      <w:pPr>
        <w:spacing w:line="400" w:lineRule="exact"/>
        <w:rPr>
          <w:szCs w:val="21"/>
        </w:rPr>
      </w:pPr>
      <w:r>
        <w:rPr>
          <w:rFonts w:hint="eastAsia"/>
          <w:szCs w:val="21"/>
        </w:rPr>
        <w:t>2.16全套的批次处理工具</w:t>
      </w:r>
      <w:r>
        <w:rPr>
          <w:rFonts w:hint="eastAsia"/>
          <w:szCs w:val="21"/>
          <w:lang w:val="sv-SE"/>
        </w:rPr>
        <w:t>，整个过程中完全避免手工接触和转移滤纸筒及浸提杯，防止样品污染。</w:t>
      </w:r>
    </w:p>
    <w:p>
      <w:pPr>
        <w:spacing w:line="400" w:lineRule="exact"/>
        <w:rPr>
          <w:szCs w:val="21"/>
        </w:rPr>
      </w:pPr>
      <w:r>
        <w:rPr>
          <w:rFonts w:hint="eastAsia"/>
          <w:szCs w:val="21"/>
        </w:rPr>
        <w:t>2.17如需检测总脂肪，可选用配套仪器Hydrotec 8000，进行全自动的酸水解，并且到浸提过程不需样品转移。</w:t>
      </w:r>
    </w:p>
    <w:p>
      <w:pPr>
        <w:spacing w:line="400" w:lineRule="exact"/>
        <w:rPr>
          <w:szCs w:val="21"/>
        </w:rPr>
      </w:pPr>
      <w:r>
        <w:rPr>
          <w:rFonts w:hint="eastAsia"/>
          <w:b/>
          <w:szCs w:val="21"/>
        </w:rPr>
        <w:t>*2.18</w:t>
      </w:r>
      <w:r>
        <w:rPr>
          <w:rFonts w:hint="eastAsia"/>
          <w:szCs w:val="21"/>
        </w:rPr>
        <w:t>浸提前</w:t>
      </w:r>
      <w:r>
        <w:rPr>
          <w:szCs w:val="21"/>
        </w:rPr>
        <w:t>样品处理与浸提系统同一品牌，</w:t>
      </w:r>
      <w:r>
        <w:rPr>
          <w:rFonts w:hint="eastAsia"/>
          <w:szCs w:val="21"/>
        </w:rPr>
        <w:t>前处理时没有水分损失。</w:t>
      </w:r>
    </w:p>
    <w:p>
      <w:pPr>
        <w:spacing w:line="400" w:lineRule="exact"/>
        <w:rPr>
          <w:szCs w:val="21"/>
        </w:rPr>
      </w:pPr>
      <w:r>
        <w:rPr>
          <w:rFonts w:hint="eastAsia"/>
          <w:szCs w:val="21"/>
        </w:rPr>
        <w:t>2.19仪器的盖子上有一个微动开关防止在研磨室打开的时候突然启动。</w:t>
      </w:r>
    </w:p>
    <w:p>
      <w:pPr>
        <w:spacing w:line="400" w:lineRule="exact"/>
        <w:rPr>
          <w:szCs w:val="21"/>
        </w:rPr>
      </w:pPr>
      <w:r>
        <w:rPr>
          <w:rFonts w:hint="eastAsia"/>
          <w:szCs w:val="21"/>
        </w:rPr>
        <w:t>2.20高速旋转的刀头和定时器的控制确保能够得到快速和重复性高的样品制备。</w:t>
      </w:r>
    </w:p>
    <w:p>
      <w:pPr>
        <w:spacing w:line="400" w:lineRule="exact"/>
        <w:rPr>
          <w:szCs w:val="21"/>
        </w:rPr>
      </w:pPr>
      <w:r>
        <w:rPr>
          <w:rFonts w:hint="eastAsia"/>
          <w:b/>
          <w:szCs w:val="21"/>
        </w:rPr>
        <w:t>*2.21</w:t>
      </w:r>
      <w:r>
        <w:rPr>
          <w:rFonts w:hint="eastAsia"/>
          <w:szCs w:val="21"/>
        </w:rPr>
        <w:t>带有可连接自来水或其他实验室冷却水源的冷却装置，可有效防止高脂肪样品的粘壁现象和高纤维样品的发热现象。</w:t>
      </w:r>
    </w:p>
    <w:p>
      <w:pPr>
        <w:spacing w:line="400" w:lineRule="exact"/>
        <w:rPr>
          <w:szCs w:val="21"/>
        </w:rPr>
      </w:pPr>
      <w:r>
        <w:rPr>
          <w:rFonts w:hint="eastAsia"/>
          <w:szCs w:val="21"/>
        </w:rPr>
        <w:t>2.22高速研磨，刀片转速16000rpm。</w:t>
      </w:r>
    </w:p>
    <w:p>
      <w:pPr>
        <w:spacing w:line="400" w:lineRule="exact"/>
        <w:rPr>
          <w:szCs w:val="21"/>
        </w:rPr>
      </w:pPr>
      <w:r>
        <w:rPr>
          <w:rFonts w:hint="eastAsia"/>
          <w:szCs w:val="21"/>
        </w:rPr>
        <w:t>2.23采用可完全拆卸的上盖，刀具、样品碗和盖子都可以很方便的取下，两个样品之间的清洁变得十分简单。</w:t>
      </w:r>
    </w:p>
    <w:p>
      <w:pPr>
        <w:spacing w:line="400" w:lineRule="exact"/>
        <w:rPr>
          <w:szCs w:val="21"/>
        </w:rPr>
      </w:pPr>
      <w:r>
        <w:rPr>
          <w:rFonts w:hint="eastAsia"/>
          <w:b/>
          <w:szCs w:val="21"/>
        </w:rPr>
        <w:t>*2.24</w:t>
      </w:r>
      <w:r>
        <w:rPr>
          <w:rFonts w:hint="eastAsia"/>
          <w:szCs w:val="21"/>
        </w:rPr>
        <w:t>定时器功能可以控制可重复的研磨条件。</w:t>
      </w:r>
    </w:p>
    <w:p>
      <w:pPr>
        <w:spacing w:line="400" w:lineRule="exact"/>
        <w:ind w:left="632" w:hanging="632" w:hangingChars="300"/>
        <w:rPr>
          <w:b/>
          <w:bCs/>
          <w:szCs w:val="21"/>
        </w:rPr>
      </w:pPr>
      <w:r>
        <w:rPr>
          <w:rFonts w:hint="eastAsia"/>
          <w:b/>
          <w:bCs/>
          <w:szCs w:val="21"/>
        </w:rPr>
        <w:t>三、 配置清单</w:t>
      </w:r>
    </w:p>
    <w:p>
      <w:pPr>
        <w:spacing w:line="400" w:lineRule="exact"/>
        <w:ind w:left="359" w:hanging="359" w:hangingChars="171"/>
        <w:rPr>
          <w:szCs w:val="21"/>
        </w:rPr>
      </w:pPr>
      <w:r>
        <w:rPr>
          <w:rFonts w:hint="eastAsia"/>
          <w:szCs w:val="21"/>
        </w:rPr>
        <w:t>3.1  自动索氏浸提系统                                          1套</w:t>
      </w:r>
    </w:p>
    <w:p>
      <w:pPr>
        <w:spacing w:line="400" w:lineRule="exact"/>
        <w:ind w:left="359" w:hanging="359" w:hangingChars="171"/>
        <w:rPr>
          <w:szCs w:val="21"/>
        </w:rPr>
      </w:pPr>
      <w:r>
        <w:rPr>
          <w:rFonts w:hint="eastAsia"/>
          <w:szCs w:val="21"/>
        </w:rPr>
        <w:t>3.1.1浸提单元                                                  1个</w:t>
      </w:r>
    </w:p>
    <w:p>
      <w:pPr>
        <w:spacing w:line="400" w:lineRule="exact"/>
        <w:ind w:left="359" w:hanging="359" w:hangingChars="171"/>
        <w:rPr>
          <w:szCs w:val="21"/>
        </w:rPr>
      </w:pPr>
      <w:r>
        <w:rPr>
          <w:rFonts w:hint="eastAsia"/>
          <w:szCs w:val="21"/>
        </w:rPr>
        <w:t>3.1.2 控制单元                                                  1个</w:t>
      </w:r>
    </w:p>
    <w:p>
      <w:pPr>
        <w:spacing w:line="400" w:lineRule="exact"/>
        <w:ind w:left="359" w:hanging="359" w:hangingChars="171"/>
        <w:rPr>
          <w:szCs w:val="21"/>
        </w:rPr>
      </w:pPr>
      <w:r>
        <w:rPr>
          <w:rFonts w:hint="eastAsia"/>
          <w:szCs w:val="21"/>
        </w:rPr>
        <w:t>3.1.3全套批次处理工具</w:t>
      </w:r>
    </w:p>
    <w:p>
      <w:pPr>
        <w:spacing w:line="400" w:lineRule="exact"/>
        <w:rPr>
          <w:szCs w:val="21"/>
          <w:lang w:val="sv-SE"/>
        </w:rPr>
      </w:pPr>
      <w:r>
        <w:rPr>
          <w:rFonts w:hint="eastAsia"/>
          <w:szCs w:val="21"/>
        </w:rPr>
        <w:t>3.1.3.1铝</w:t>
      </w:r>
      <w:r>
        <w:rPr>
          <w:rFonts w:hint="eastAsia"/>
          <w:szCs w:val="21"/>
          <w:lang w:val="sv-SE"/>
        </w:rPr>
        <w:t>浸提杯</w:t>
      </w:r>
      <w:r>
        <w:rPr>
          <w:rFonts w:hint="eastAsia"/>
          <w:szCs w:val="21"/>
        </w:rPr>
        <w:t xml:space="preserve"> </w:t>
      </w:r>
      <w:r>
        <w:rPr>
          <w:rFonts w:hint="eastAsia"/>
          <w:szCs w:val="21"/>
          <w:lang w:val="sv-SE"/>
        </w:rPr>
        <w:t>（6个/套）</w:t>
      </w:r>
      <w:r>
        <w:rPr>
          <w:rFonts w:hint="eastAsia"/>
          <w:szCs w:val="21"/>
        </w:rPr>
        <w:t xml:space="preserve">                                     </w:t>
      </w:r>
      <w:r>
        <w:rPr>
          <w:rFonts w:hint="eastAsia"/>
          <w:szCs w:val="21"/>
          <w:lang w:val="sv-SE"/>
        </w:rPr>
        <w:t>3套</w:t>
      </w:r>
    </w:p>
    <w:p>
      <w:pPr>
        <w:spacing w:line="400" w:lineRule="exact"/>
        <w:rPr>
          <w:szCs w:val="21"/>
          <w:lang w:val="sv-SE"/>
        </w:rPr>
      </w:pPr>
      <w:r>
        <w:rPr>
          <w:rFonts w:hint="eastAsia"/>
          <w:szCs w:val="21"/>
        </w:rPr>
        <w:t xml:space="preserve">3.1.3.2  </w:t>
      </w:r>
      <w:r>
        <w:rPr>
          <w:rFonts w:hint="eastAsia"/>
          <w:szCs w:val="21"/>
          <w:lang w:val="sv-SE"/>
        </w:rPr>
        <w:t>密封圈</w:t>
      </w:r>
      <w:r>
        <w:rPr>
          <w:rFonts w:hint="eastAsia"/>
          <w:szCs w:val="21"/>
        </w:rPr>
        <w:t xml:space="preserve">                                                 </w:t>
      </w:r>
      <w:r>
        <w:rPr>
          <w:rFonts w:hint="eastAsia"/>
          <w:szCs w:val="21"/>
          <w:lang w:val="sv-SE"/>
        </w:rPr>
        <w:t>2套</w:t>
      </w:r>
    </w:p>
    <w:p>
      <w:pPr>
        <w:spacing w:line="400" w:lineRule="exact"/>
        <w:rPr>
          <w:szCs w:val="21"/>
          <w:lang w:val="sv-SE"/>
        </w:rPr>
      </w:pPr>
      <w:r>
        <w:rPr>
          <w:rFonts w:hint="eastAsia"/>
          <w:szCs w:val="21"/>
        </w:rPr>
        <w:t>3.1.3.3</w:t>
      </w:r>
      <w:r>
        <w:rPr>
          <w:rFonts w:hint="eastAsia"/>
          <w:szCs w:val="21"/>
          <w:lang w:val="sv-SE"/>
        </w:rPr>
        <w:t>滤筒支架</w:t>
      </w:r>
      <w:r>
        <w:rPr>
          <w:rFonts w:hint="eastAsia"/>
          <w:szCs w:val="21"/>
        </w:rPr>
        <w:t xml:space="preserve">                                                </w:t>
      </w:r>
      <w:r>
        <w:rPr>
          <w:rFonts w:hint="eastAsia"/>
          <w:szCs w:val="21"/>
          <w:lang w:val="sv-SE"/>
        </w:rPr>
        <w:t>2套</w:t>
      </w:r>
    </w:p>
    <w:p>
      <w:pPr>
        <w:spacing w:line="400" w:lineRule="exact"/>
        <w:rPr>
          <w:szCs w:val="21"/>
          <w:lang w:val="sv-SE"/>
        </w:rPr>
      </w:pPr>
      <w:r>
        <w:rPr>
          <w:rFonts w:hint="eastAsia"/>
          <w:szCs w:val="21"/>
        </w:rPr>
        <w:t>3.1.3.4</w:t>
      </w:r>
      <w:r>
        <w:rPr>
          <w:rFonts w:hint="eastAsia"/>
          <w:szCs w:val="21"/>
          <w:lang w:val="sv-SE"/>
        </w:rPr>
        <w:t>滤筒接头（6个/套）</w:t>
      </w:r>
      <w:r>
        <w:rPr>
          <w:rFonts w:hint="eastAsia"/>
          <w:szCs w:val="21"/>
        </w:rPr>
        <w:t xml:space="preserve">                                      </w:t>
      </w:r>
      <w:r>
        <w:rPr>
          <w:rFonts w:hint="eastAsia"/>
          <w:szCs w:val="21"/>
          <w:lang w:val="sv-SE"/>
        </w:rPr>
        <w:t>2套</w:t>
      </w:r>
    </w:p>
    <w:p>
      <w:pPr>
        <w:spacing w:line="400" w:lineRule="exact"/>
        <w:rPr>
          <w:szCs w:val="21"/>
          <w:lang w:val="sv-SE"/>
        </w:rPr>
      </w:pPr>
      <w:r>
        <w:rPr>
          <w:rFonts w:hint="eastAsia"/>
          <w:szCs w:val="21"/>
        </w:rPr>
        <w:t>3.1.3.5</w:t>
      </w:r>
      <w:r>
        <w:rPr>
          <w:rFonts w:hint="eastAsia"/>
          <w:szCs w:val="21"/>
          <w:lang w:val="sv-SE"/>
        </w:rPr>
        <w:t>滤纸筒</w:t>
      </w:r>
      <w:r>
        <w:rPr>
          <w:rFonts w:hint="eastAsia"/>
          <w:szCs w:val="21"/>
        </w:rPr>
        <w:t xml:space="preserve"> </w:t>
      </w:r>
      <w:r>
        <w:rPr>
          <w:rFonts w:hint="eastAsia"/>
          <w:szCs w:val="21"/>
          <w:lang w:val="sv-SE"/>
        </w:rPr>
        <w:t>（25个/套）</w:t>
      </w:r>
      <w:r>
        <w:rPr>
          <w:rFonts w:hint="eastAsia"/>
          <w:szCs w:val="21"/>
        </w:rPr>
        <w:t xml:space="preserve">                                      </w:t>
      </w:r>
      <w:r>
        <w:rPr>
          <w:rFonts w:hint="eastAsia"/>
          <w:szCs w:val="21"/>
          <w:lang w:val="sv-SE"/>
        </w:rPr>
        <w:t>6套</w:t>
      </w:r>
    </w:p>
    <w:p>
      <w:pPr>
        <w:spacing w:line="400" w:lineRule="exact"/>
        <w:rPr>
          <w:szCs w:val="21"/>
          <w:lang w:val="sv-SE"/>
        </w:rPr>
      </w:pPr>
      <w:r>
        <w:rPr>
          <w:rFonts w:hint="eastAsia"/>
          <w:szCs w:val="21"/>
        </w:rPr>
        <w:t>3.1.3.6</w:t>
      </w:r>
      <w:r>
        <w:rPr>
          <w:rFonts w:hint="eastAsia"/>
          <w:szCs w:val="21"/>
          <w:lang w:val="sv-SE"/>
        </w:rPr>
        <w:t>玻璃浸提筒（6个/套）</w:t>
      </w:r>
      <w:r>
        <w:rPr>
          <w:rFonts w:hint="eastAsia"/>
          <w:szCs w:val="21"/>
        </w:rPr>
        <w:t xml:space="preserve">                                    </w:t>
      </w:r>
      <w:r>
        <w:rPr>
          <w:rFonts w:hint="eastAsia"/>
          <w:szCs w:val="21"/>
          <w:lang w:val="sv-SE"/>
        </w:rPr>
        <w:t>2套</w:t>
      </w:r>
    </w:p>
    <w:p>
      <w:pPr>
        <w:spacing w:line="400" w:lineRule="exact"/>
        <w:rPr>
          <w:szCs w:val="21"/>
          <w:lang w:val="sv-SE"/>
        </w:rPr>
      </w:pPr>
      <w:r>
        <w:rPr>
          <w:rFonts w:hint="eastAsia"/>
          <w:szCs w:val="21"/>
        </w:rPr>
        <w:t>3.1.3.7</w:t>
      </w:r>
      <w:r>
        <w:rPr>
          <w:rFonts w:hint="eastAsia"/>
          <w:szCs w:val="21"/>
          <w:lang w:val="sv-SE"/>
        </w:rPr>
        <w:t>滤筒对接工具                                            1个</w:t>
      </w:r>
    </w:p>
    <w:p>
      <w:pPr>
        <w:spacing w:line="400" w:lineRule="exact"/>
        <w:rPr>
          <w:szCs w:val="21"/>
          <w:lang w:val="sv-SE"/>
        </w:rPr>
      </w:pPr>
      <w:r>
        <w:rPr>
          <w:rFonts w:hint="eastAsia"/>
          <w:szCs w:val="21"/>
          <w:lang w:val="sv-SE"/>
        </w:rPr>
        <w:t>3.1.3.8滤筒放置夹                                              1个</w:t>
      </w:r>
    </w:p>
    <w:p>
      <w:pPr>
        <w:spacing w:line="400" w:lineRule="exact"/>
        <w:rPr>
          <w:szCs w:val="21"/>
          <w:lang w:val="sv-SE"/>
        </w:rPr>
      </w:pPr>
      <w:r>
        <w:rPr>
          <w:rFonts w:hint="eastAsia"/>
          <w:szCs w:val="21"/>
          <w:lang w:val="sv-SE"/>
        </w:rPr>
        <w:t>3.1.3.9浸提杯把持器</w:t>
      </w:r>
      <w:r>
        <w:rPr>
          <w:rFonts w:hint="eastAsia"/>
          <w:szCs w:val="21"/>
        </w:rPr>
        <w:t xml:space="preserve">                                            </w:t>
      </w:r>
      <w:r>
        <w:rPr>
          <w:rFonts w:hint="eastAsia"/>
          <w:szCs w:val="21"/>
          <w:lang w:val="sv-SE"/>
        </w:rPr>
        <w:t>1个</w:t>
      </w:r>
    </w:p>
    <w:p>
      <w:pPr>
        <w:spacing w:line="400" w:lineRule="exact"/>
        <w:rPr>
          <w:szCs w:val="21"/>
          <w:lang w:val="sv-SE"/>
        </w:rPr>
      </w:pPr>
      <w:r>
        <w:rPr>
          <w:rFonts w:hint="eastAsia"/>
          <w:szCs w:val="21"/>
        </w:rPr>
        <w:t>3.1.3.10</w:t>
      </w:r>
      <w:r>
        <w:rPr>
          <w:rFonts w:hint="eastAsia"/>
          <w:szCs w:val="21"/>
          <w:lang w:val="sv-SE"/>
        </w:rPr>
        <w:t>浸提杯手夹</w:t>
      </w:r>
      <w:r>
        <w:rPr>
          <w:rFonts w:hint="eastAsia"/>
          <w:szCs w:val="21"/>
        </w:rPr>
        <w:t xml:space="preserve">                                             </w:t>
      </w:r>
      <w:r>
        <w:rPr>
          <w:rFonts w:hint="eastAsia"/>
          <w:szCs w:val="21"/>
          <w:lang w:val="sv-SE"/>
        </w:rPr>
        <w:t>1个</w:t>
      </w:r>
    </w:p>
    <w:p>
      <w:pPr>
        <w:spacing w:line="400" w:lineRule="exact"/>
        <w:rPr>
          <w:szCs w:val="21"/>
          <w:lang w:val="sv-SE"/>
        </w:rPr>
      </w:pPr>
      <w:r>
        <w:rPr>
          <w:rFonts w:hint="eastAsia"/>
          <w:szCs w:val="21"/>
        </w:rPr>
        <w:t>3.1.3.11</w:t>
      </w:r>
      <w:r>
        <w:rPr>
          <w:rFonts w:hint="eastAsia"/>
          <w:szCs w:val="21"/>
          <w:lang w:val="sv-SE"/>
        </w:rPr>
        <w:t>浸提杯干燥架</w:t>
      </w:r>
      <w:r>
        <w:rPr>
          <w:rFonts w:hint="eastAsia"/>
          <w:szCs w:val="21"/>
        </w:rPr>
        <w:t xml:space="preserve">                                           </w:t>
      </w:r>
      <w:r>
        <w:rPr>
          <w:rFonts w:hint="eastAsia"/>
          <w:szCs w:val="21"/>
          <w:lang w:val="sv-SE"/>
        </w:rPr>
        <w:t>2个</w:t>
      </w:r>
    </w:p>
    <w:p>
      <w:pPr>
        <w:spacing w:line="400" w:lineRule="exact"/>
        <w:rPr>
          <w:szCs w:val="21"/>
          <w:lang w:val="sv-SE"/>
        </w:rPr>
      </w:pPr>
      <w:r>
        <w:rPr>
          <w:rFonts w:hint="eastAsia"/>
          <w:szCs w:val="21"/>
        </w:rPr>
        <w:t>3.1.3.12</w:t>
      </w:r>
      <w:r>
        <w:rPr>
          <w:rFonts w:hint="eastAsia"/>
          <w:szCs w:val="21"/>
          <w:lang w:val="sv-SE"/>
        </w:rPr>
        <w:t>溶剂添加管                                             2个</w:t>
      </w:r>
    </w:p>
    <w:p>
      <w:pPr>
        <w:spacing w:line="400" w:lineRule="exact"/>
        <w:rPr>
          <w:szCs w:val="21"/>
          <w:lang w:val="sv-SE"/>
        </w:rPr>
      </w:pPr>
      <w:r>
        <w:rPr>
          <w:rFonts w:hint="eastAsia"/>
          <w:szCs w:val="21"/>
        </w:rPr>
        <w:t>3.1.3.13</w:t>
      </w:r>
      <w:r>
        <w:rPr>
          <w:rFonts w:hint="eastAsia"/>
          <w:szCs w:val="21"/>
          <w:lang w:val="sv-SE"/>
        </w:rPr>
        <w:t>溶剂回收罐</w:t>
      </w:r>
      <w:r>
        <w:rPr>
          <w:rFonts w:hint="eastAsia"/>
          <w:szCs w:val="21"/>
        </w:rPr>
        <w:t xml:space="preserve">                                             </w:t>
      </w:r>
      <w:r>
        <w:rPr>
          <w:rFonts w:hint="eastAsia"/>
          <w:szCs w:val="21"/>
          <w:lang w:val="sv-SE"/>
        </w:rPr>
        <w:t>2个</w:t>
      </w:r>
    </w:p>
    <w:p>
      <w:pPr>
        <w:spacing w:line="400" w:lineRule="exact"/>
        <w:rPr>
          <w:szCs w:val="21"/>
        </w:rPr>
      </w:pPr>
      <w:r>
        <w:rPr>
          <w:rFonts w:hint="eastAsia"/>
          <w:szCs w:val="21"/>
        </w:rPr>
        <w:t xml:space="preserve">3.2 </w:t>
      </w:r>
      <w:r>
        <w:rPr>
          <w:rFonts w:hint="eastAsia"/>
          <w:szCs w:val="21"/>
          <w:lang w:val="sv-SE"/>
        </w:rPr>
        <w:t>综合型</w:t>
      </w:r>
      <w:r>
        <w:rPr>
          <w:szCs w:val="21"/>
          <w:lang w:val="sv-SE"/>
        </w:rPr>
        <w:t>样品</w:t>
      </w:r>
      <w:r>
        <w:rPr>
          <w:rFonts w:hint="eastAsia"/>
          <w:szCs w:val="21"/>
          <w:lang w:val="sv-SE"/>
        </w:rPr>
        <w:t>前处理刀式磨</w:t>
      </w:r>
      <w:r>
        <w:rPr>
          <w:rFonts w:hint="eastAsia"/>
          <w:szCs w:val="21"/>
        </w:rPr>
        <w:t xml:space="preserve">                                     </w:t>
      </w:r>
      <w:r>
        <w:rPr>
          <w:rFonts w:hint="eastAsia"/>
          <w:szCs w:val="21"/>
          <w:lang w:val="sv-SE"/>
        </w:rPr>
        <w:t>1套</w:t>
      </w:r>
      <w:r>
        <w:rPr>
          <w:rFonts w:hint="eastAsia"/>
          <w:szCs w:val="21"/>
        </w:rPr>
        <w:t xml:space="preserve">    </w:t>
      </w:r>
    </w:p>
    <w:p>
      <w:pPr>
        <w:spacing w:line="400" w:lineRule="exact"/>
        <w:rPr>
          <w:szCs w:val="21"/>
        </w:rPr>
      </w:pPr>
      <w:r>
        <w:rPr>
          <w:rFonts w:hint="eastAsia"/>
          <w:szCs w:val="21"/>
        </w:rPr>
        <w:t>3.2.1 三种规格刀片                                             2套</w:t>
      </w:r>
    </w:p>
    <w:p>
      <w:pPr>
        <w:spacing w:line="400" w:lineRule="exact"/>
        <w:rPr>
          <w:szCs w:val="21"/>
        </w:rPr>
      </w:pPr>
      <w:r>
        <w:rPr>
          <w:rFonts w:hint="eastAsia"/>
          <w:szCs w:val="21"/>
        </w:rPr>
        <w:t>3.2.2铝碗和盖子                                                1套</w:t>
      </w:r>
    </w:p>
    <w:p>
      <w:pPr>
        <w:spacing w:line="400" w:lineRule="exact"/>
        <w:rPr>
          <w:szCs w:val="21"/>
        </w:rPr>
      </w:pPr>
      <w:r>
        <w:rPr>
          <w:rFonts w:hint="eastAsia"/>
          <w:szCs w:val="21"/>
        </w:rPr>
        <w:t>3.2.3刮刀和刷子                                                1套</w:t>
      </w:r>
    </w:p>
    <w:p>
      <w:pPr>
        <w:spacing w:line="400" w:lineRule="exact"/>
        <w:rPr>
          <w:szCs w:val="21"/>
        </w:rPr>
      </w:pPr>
      <w:r>
        <w:rPr>
          <w:rFonts w:hint="eastAsia"/>
          <w:szCs w:val="21"/>
        </w:rPr>
        <w:t>3.2.4不锈钢托盘                                                1套</w:t>
      </w:r>
    </w:p>
    <w:p>
      <w:pPr>
        <w:spacing w:line="400" w:lineRule="exact"/>
        <w:rPr>
          <w:szCs w:val="21"/>
        </w:rPr>
      </w:pPr>
      <w:r>
        <w:rPr>
          <w:rFonts w:hint="eastAsia"/>
          <w:szCs w:val="21"/>
        </w:rPr>
        <w:t>3.2.5颗粒料进样口                                              1套</w:t>
      </w:r>
    </w:p>
    <w:p>
      <w:pPr>
        <w:spacing w:line="400" w:lineRule="exact"/>
        <w:ind w:left="281" w:hanging="281" w:hangingChars="134"/>
        <w:rPr>
          <w:szCs w:val="21"/>
        </w:rPr>
      </w:pPr>
      <w:r>
        <w:rPr>
          <w:rFonts w:hint="eastAsia"/>
          <w:szCs w:val="21"/>
        </w:rPr>
        <w:t>3.2.6技术资料：仪器操作手册（中、英文）；维护手册(中、英文)；质量认证书；针对不同样品的应用报告。</w:t>
      </w:r>
    </w:p>
    <w:p>
      <w:pPr>
        <w:keepNext w:val="0"/>
        <w:keepLines w:val="0"/>
        <w:pageBreakBefore w:val="0"/>
        <w:kinsoku/>
        <w:wordWrap/>
        <w:overflowPunct/>
        <w:topLinePunct w:val="0"/>
        <w:autoSpaceDE/>
        <w:autoSpaceDN/>
        <w:bidi w:val="0"/>
        <w:spacing w:line="460" w:lineRule="exact"/>
        <w:ind w:left="0" w:leftChars="0" w:right="0" w:rightChars="0" w:firstLine="0" w:firstLineChars="0"/>
        <w:jc w:val="both"/>
        <w:textAlignment w:val="auto"/>
        <w:outlineLvl w:val="9"/>
        <w:rPr>
          <w:b/>
          <w:bCs/>
          <w:szCs w:val="21"/>
        </w:rPr>
      </w:pPr>
      <w:r>
        <w:rPr>
          <w:rFonts w:hint="eastAsia"/>
          <w:b/>
          <w:bCs/>
          <w:szCs w:val="21"/>
        </w:rPr>
        <w:t>四、 售后服务及培训</w:t>
      </w:r>
    </w:p>
    <w:p>
      <w:pPr>
        <w:keepNext w:val="0"/>
        <w:keepLines w:val="0"/>
        <w:pageBreakBefore w:val="0"/>
        <w:kinsoku/>
        <w:wordWrap/>
        <w:overflowPunct/>
        <w:topLinePunct w:val="0"/>
        <w:autoSpaceDE/>
        <w:autoSpaceDN/>
        <w:bidi w:val="0"/>
        <w:spacing w:line="460" w:lineRule="exact"/>
        <w:ind w:left="0" w:leftChars="0" w:right="0" w:rightChars="0" w:firstLine="0" w:firstLineChars="0"/>
        <w:jc w:val="both"/>
        <w:textAlignment w:val="auto"/>
        <w:outlineLvl w:val="9"/>
        <w:rPr>
          <w:szCs w:val="21"/>
        </w:rPr>
      </w:pPr>
      <w:r>
        <w:rPr>
          <w:rFonts w:hint="eastAsia"/>
          <w:szCs w:val="21"/>
        </w:rPr>
        <w:t>4.1仪器生产厂家需在国内直接设有销售服务公司（需提供资质证明，包括厂家服务中心营业执照和工程师名单、联系方法及厂家盖章的售后服务承诺书等）。</w:t>
      </w:r>
    </w:p>
    <w:p>
      <w:pPr>
        <w:keepNext w:val="0"/>
        <w:keepLines w:val="0"/>
        <w:pageBreakBefore w:val="0"/>
        <w:kinsoku/>
        <w:wordWrap/>
        <w:overflowPunct/>
        <w:topLinePunct w:val="0"/>
        <w:autoSpaceDE/>
        <w:autoSpaceDN/>
        <w:bidi w:val="0"/>
        <w:spacing w:line="460" w:lineRule="exact"/>
        <w:ind w:left="0" w:leftChars="0" w:right="0" w:rightChars="0" w:firstLine="0" w:firstLineChars="0"/>
        <w:jc w:val="both"/>
        <w:textAlignment w:val="auto"/>
        <w:outlineLvl w:val="9"/>
        <w:rPr>
          <w:color w:val="FF0000"/>
          <w:szCs w:val="21"/>
        </w:rPr>
      </w:pPr>
      <w:r>
        <w:rPr>
          <w:b/>
          <w:szCs w:val="21"/>
        </w:rPr>
        <w:t>*</w:t>
      </w:r>
      <w:r>
        <w:rPr>
          <w:rFonts w:hint="eastAsia"/>
          <w:b/>
          <w:szCs w:val="21"/>
        </w:rPr>
        <w:t>4.2</w:t>
      </w:r>
      <w:r>
        <w:rPr>
          <w:rFonts w:hint="eastAsia"/>
          <w:szCs w:val="21"/>
        </w:rPr>
        <w:t>厂家工程师到现场免费培训，直至使用人员能完全独立操作；并免培训费提供2人次到生产工厂进行培训。安装调试经用户验收当天起，质量保证期一年。</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hint="eastAsia"/>
          <w:color w:val="000000"/>
        </w:rPr>
      </w:pPr>
      <w:r>
        <w:rPr>
          <w:rFonts w:hint="eastAsia"/>
          <w:szCs w:val="21"/>
        </w:rPr>
        <w:t>4.3厂家服务中心直接提供终身维修，维修响应时间为48小时。</w:t>
      </w:r>
    </w:p>
    <w:p>
      <w:pPr>
        <w:pStyle w:val="2"/>
        <w:rPr>
          <w:rFonts w:hint="eastAsia"/>
          <w:color w:val="000000"/>
        </w:rPr>
      </w:pPr>
      <w:r>
        <w:rPr>
          <w:rFonts w:hint="eastAsia"/>
          <w:color w:val="000000"/>
        </w:rPr>
        <w:br w:type="page"/>
      </w:r>
    </w:p>
    <w:p>
      <w:pPr>
        <w:pStyle w:val="2"/>
        <w:rPr>
          <w:rFonts w:hint="eastAsia"/>
          <w:color w:val="000000"/>
        </w:rPr>
      </w:pPr>
      <w:r>
        <w:rPr>
          <w:rFonts w:hint="eastAsia"/>
          <w:color w:val="000000"/>
        </w:rPr>
        <w:t>6、评标原则及办法</w:t>
      </w:r>
      <w:bookmarkEnd w:id="221"/>
    </w:p>
    <w:p>
      <w:pPr>
        <w:pStyle w:val="3"/>
        <w:spacing w:before="0" w:after="0" w:line="500" w:lineRule="exact"/>
        <w:ind w:firstLine="482" w:firstLineChars="200"/>
        <w:jc w:val="both"/>
        <w:rPr>
          <w:rFonts w:hint="eastAsia" w:ascii="宋体" w:hAnsi="宋体"/>
          <w:color w:val="000000"/>
          <w:sz w:val="24"/>
          <w:szCs w:val="24"/>
        </w:rPr>
      </w:pPr>
      <w:bookmarkStart w:id="222" w:name="_Toc453596848"/>
      <w:r>
        <w:rPr>
          <w:rFonts w:hint="eastAsia" w:ascii="宋体" w:hAnsi="宋体"/>
          <w:color w:val="000000"/>
          <w:sz w:val="24"/>
          <w:szCs w:val="24"/>
        </w:rPr>
        <w:t>6.1 评标工作中的原则及组织</w:t>
      </w:r>
      <w:bookmarkEnd w:id="222"/>
    </w:p>
    <w:p>
      <w:pPr>
        <w:pStyle w:val="4"/>
        <w:spacing w:line="500" w:lineRule="exact"/>
        <w:rPr>
          <w:rFonts w:hint="eastAsia"/>
          <w:color w:val="000000"/>
        </w:rPr>
      </w:pPr>
      <w:bookmarkStart w:id="223" w:name="_Toc453596849"/>
      <w:r>
        <w:rPr>
          <w:rFonts w:hint="eastAsia"/>
          <w:color w:val="000000"/>
        </w:rPr>
        <w:t>6.1.1 原则</w:t>
      </w:r>
      <w:bookmarkEnd w:id="223"/>
    </w:p>
    <w:p>
      <w:pPr>
        <w:pStyle w:val="14"/>
        <w:spacing w:line="50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rPr>
        <w:t>招标人组织评标，在监督部门监督下,根据《中华人民共和国政府采购法》《中华人民共和国政府采购法实施条例》组建评标委员会，由采购人代表和评标专家共同组成，评标委员会成员应坚持“公开、公平、公正”的宗旨</w:t>
      </w:r>
      <w:r>
        <w:rPr>
          <w:rFonts w:ascii="宋体" w:hAnsi="宋体"/>
          <w:b w:val="0"/>
          <w:bCs w:val="0"/>
          <w:color w:val="000000"/>
          <w:sz w:val="24"/>
          <w:szCs w:val="24"/>
        </w:rPr>
        <w:t>,</w:t>
      </w:r>
      <w:r>
        <w:rPr>
          <w:rFonts w:hint="eastAsia" w:ascii="宋体" w:hAnsi="宋体"/>
          <w:b w:val="0"/>
          <w:bCs w:val="0"/>
          <w:color w:val="000000"/>
          <w:sz w:val="24"/>
          <w:szCs w:val="24"/>
        </w:rPr>
        <w:t>认真细致地做好评标工作。</w:t>
      </w:r>
    </w:p>
    <w:p>
      <w:pPr>
        <w:spacing w:line="500" w:lineRule="exact"/>
        <w:ind w:firstLine="480" w:firstLineChars="200"/>
        <w:rPr>
          <w:rFonts w:hint="eastAsia" w:ascii="宋体" w:hAnsi="宋体"/>
          <w:color w:val="000000"/>
          <w:sz w:val="24"/>
        </w:rPr>
      </w:pPr>
      <w:r>
        <w:rPr>
          <w:rFonts w:hint="eastAsia" w:ascii="宋体" w:hAnsi="宋体"/>
          <w:color w:val="000000"/>
          <w:sz w:val="24"/>
        </w:rPr>
        <w:t>1）评标委员会成员人数不少于5人以上单数，其中技术、经济等方面的专家不少于成员总数的三分之二。</w:t>
      </w:r>
    </w:p>
    <w:p>
      <w:pPr>
        <w:spacing w:line="500" w:lineRule="exact"/>
        <w:ind w:firstLine="480" w:firstLineChars="200"/>
        <w:rPr>
          <w:rFonts w:hint="eastAsia" w:ascii="宋体" w:hAnsi="宋体"/>
          <w:color w:val="000000"/>
          <w:sz w:val="24"/>
        </w:rPr>
      </w:pPr>
      <w:r>
        <w:rPr>
          <w:rFonts w:hint="eastAsia" w:ascii="宋体" w:hAnsi="宋体"/>
          <w:color w:val="000000"/>
          <w:sz w:val="24"/>
        </w:rPr>
        <w:t>2）评标委员会成员应当客观、公正的履行职责，遵守职业道德，对所提出的评审意见承担个人责任。</w:t>
      </w:r>
    </w:p>
    <w:p>
      <w:pPr>
        <w:pStyle w:val="14"/>
        <w:spacing w:line="50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rPr>
        <w:t>3)评标委员会成员和与评标活动有关的工作人员不得透露对投标文件的评审和比较、中标候选人的推荐情况以及与评标有关的其他情况。</w:t>
      </w:r>
    </w:p>
    <w:p>
      <w:pPr>
        <w:pStyle w:val="4"/>
        <w:spacing w:line="500" w:lineRule="exact"/>
        <w:rPr>
          <w:rFonts w:hint="eastAsia"/>
          <w:color w:val="000000"/>
        </w:rPr>
      </w:pPr>
      <w:bookmarkStart w:id="224" w:name="_Toc453596850"/>
      <w:r>
        <w:rPr>
          <w:rFonts w:hint="eastAsia"/>
          <w:color w:val="000000"/>
        </w:rPr>
        <w:t>6.1.2 组织</w:t>
      </w:r>
      <w:bookmarkEnd w:id="224"/>
    </w:p>
    <w:p>
      <w:pPr>
        <w:spacing w:line="500" w:lineRule="exact"/>
        <w:ind w:firstLine="480" w:firstLineChars="200"/>
        <w:rPr>
          <w:rFonts w:ascii="宋体" w:hAnsi="宋体"/>
          <w:color w:val="000000"/>
          <w:sz w:val="24"/>
        </w:rPr>
      </w:pPr>
      <w:r>
        <w:rPr>
          <w:rFonts w:hint="eastAsia" w:ascii="宋体" w:hAnsi="宋体"/>
          <w:color w:val="000000"/>
          <w:sz w:val="24"/>
        </w:rPr>
        <w:t>1）评标委员会：由采购人代表和从专家库随机抽取的专家组成评标委员会。评标委员会下设商务评审组和技术评审组。商务评审组根据招标文件要求负责投标文件的商务审查评价；技术评审组根据招标文件要求负责投标文件的技术部分审查评价。</w:t>
      </w:r>
    </w:p>
    <w:p>
      <w:pPr>
        <w:spacing w:line="500" w:lineRule="exact"/>
        <w:ind w:firstLine="480" w:firstLineChars="200"/>
        <w:rPr>
          <w:rFonts w:hint="eastAsia" w:ascii="宋体" w:hAnsi="宋体"/>
          <w:color w:val="000000"/>
          <w:sz w:val="24"/>
        </w:rPr>
      </w:pPr>
      <w:r>
        <w:rPr>
          <w:rFonts w:hint="eastAsia" w:ascii="宋体" w:hAnsi="宋体"/>
          <w:color w:val="000000"/>
          <w:sz w:val="24"/>
        </w:rPr>
        <w:t>2）招标人</w:t>
      </w:r>
      <w:r>
        <w:rPr>
          <w:rFonts w:ascii="宋体" w:hAnsi="宋体"/>
          <w:color w:val="000000"/>
          <w:sz w:val="24"/>
        </w:rPr>
        <w:t>:</w:t>
      </w:r>
      <w:r>
        <w:rPr>
          <w:rFonts w:hint="eastAsia" w:ascii="宋体" w:hAnsi="宋体"/>
          <w:color w:val="000000"/>
          <w:sz w:val="24"/>
        </w:rPr>
        <w:t>由采购人和招标代理机构组成，负责对外联系并配合交易中心工作人员开标、评标的会务工作</w:t>
      </w:r>
      <w:r>
        <w:rPr>
          <w:rFonts w:ascii="宋体" w:hAnsi="宋体"/>
          <w:color w:val="000000"/>
          <w:sz w:val="24"/>
        </w:rPr>
        <w:t>,</w:t>
      </w:r>
      <w:r>
        <w:rPr>
          <w:rFonts w:hint="eastAsia" w:ascii="宋体" w:hAnsi="宋体"/>
          <w:color w:val="000000"/>
          <w:sz w:val="24"/>
        </w:rPr>
        <w:t>整理并向评标组分发投标资料、投标文件；做好投标开标和评标会议记录；对评标过程中的原始文件进行归档</w:t>
      </w:r>
      <w:r>
        <w:rPr>
          <w:rFonts w:ascii="宋体" w:hAnsi="宋体"/>
          <w:color w:val="000000"/>
          <w:sz w:val="24"/>
        </w:rPr>
        <w:t>;</w:t>
      </w:r>
      <w:r>
        <w:rPr>
          <w:rFonts w:hint="eastAsia" w:ascii="宋体" w:hAnsi="宋体"/>
          <w:color w:val="000000"/>
          <w:sz w:val="24"/>
        </w:rPr>
        <w:t>随时印发需要的文件资料</w:t>
      </w:r>
      <w:r>
        <w:rPr>
          <w:rFonts w:ascii="宋体" w:hAnsi="宋体"/>
          <w:color w:val="000000"/>
          <w:sz w:val="24"/>
        </w:rPr>
        <w:t>,</w:t>
      </w:r>
      <w:r>
        <w:rPr>
          <w:rFonts w:hint="eastAsia" w:ascii="宋体" w:hAnsi="宋体"/>
          <w:color w:val="000000"/>
          <w:sz w:val="24"/>
        </w:rPr>
        <w:t>对各种咨询函件及档案文件的统收统发。</w:t>
      </w:r>
    </w:p>
    <w:p>
      <w:pPr>
        <w:spacing w:line="500" w:lineRule="exact"/>
        <w:ind w:firstLine="480" w:firstLineChars="200"/>
        <w:rPr>
          <w:rFonts w:hint="eastAsia" w:ascii="宋体" w:hAnsi="宋体"/>
          <w:color w:val="000000"/>
          <w:sz w:val="24"/>
        </w:rPr>
      </w:pPr>
      <w:r>
        <w:rPr>
          <w:rFonts w:hint="eastAsia" w:ascii="宋体" w:hAnsi="宋体"/>
          <w:color w:val="000000"/>
          <w:sz w:val="24"/>
        </w:rPr>
        <w:t>3）监督部门：由</w:t>
      </w:r>
      <w:r>
        <w:rPr>
          <w:rFonts w:hint="eastAsia" w:ascii="宋体" w:hAnsi="宋体" w:cs="Arial"/>
          <w:color w:val="000000"/>
          <w:sz w:val="24"/>
        </w:rPr>
        <w:t>同级财政局采购办公室、市公共资源管理办公室、市公共资源交易中心监督科等有关监督部门组成，</w:t>
      </w:r>
      <w:r>
        <w:rPr>
          <w:rFonts w:hint="eastAsia" w:ascii="宋体" w:hAnsi="宋体"/>
          <w:color w:val="000000"/>
          <w:sz w:val="24"/>
        </w:rPr>
        <w:t>根据国家有关法律、法规及招标文件的规定</w:t>
      </w:r>
      <w:r>
        <w:rPr>
          <w:rFonts w:ascii="宋体" w:hAnsi="宋体"/>
          <w:color w:val="000000"/>
          <w:sz w:val="24"/>
        </w:rPr>
        <w:t>,</w:t>
      </w:r>
      <w:r>
        <w:rPr>
          <w:rFonts w:hint="eastAsia" w:ascii="宋体" w:hAnsi="宋体"/>
          <w:color w:val="000000"/>
          <w:sz w:val="24"/>
        </w:rPr>
        <w:t>对整个评标过程进行监督</w:t>
      </w:r>
      <w:r>
        <w:rPr>
          <w:rFonts w:ascii="宋体" w:hAnsi="宋体"/>
          <w:color w:val="000000"/>
          <w:sz w:val="24"/>
        </w:rPr>
        <w:t>,</w:t>
      </w:r>
      <w:r>
        <w:rPr>
          <w:rFonts w:hint="eastAsia" w:ascii="宋体" w:hAnsi="宋体"/>
          <w:color w:val="000000"/>
          <w:sz w:val="24"/>
        </w:rPr>
        <w:t>保证评标的公正性</w:t>
      </w:r>
      <w:r>
        <w:rPr>
          <w:rFonts w:ascii="宋体" w:hAnsi="宋体"/>
          <w:color w:val="000000"/>
          <w:sz w:val="24"/>
        </w:rPr>
        <w:t>,</w:t>
      </w:r>
      <w:r>
        <w:rPr>
          <w:rFonts w:hint="eastAsia" w:ascii="宋体" w:hAnsi="宋体"/>
          <w:color w:val="000000"/>
          <w:sz w:val="24"/>
        </w:rPr>
        <w:t>防止违法行为的产生。</w:t>
      </w:r>
    </w:p>
    <w:p>
      <w:pPr>
        <w:spacing w:line="500" w:lineRule="exact"/>
        <w:ind w:firstLine="480" w:firstLineChars="200"/>
        <w:rPr>
          <w:rFonts w:hint="eastAsia" w:ascii="宋体" w:hAnsi="宋体"/>
          <w:color w:val="000000"/>
          <w:sz w:val="24"/>
        </w:rPr>
      </w:pPr>
      <w:r>
        <w:rPr>
          <w:rFonts w:hint="eastAsia" w:ascii="宋体" w:hAnsi="宋体"/>
          <w:color w:val="000000"/>
          <w:sz w:val="24"/>
        </w:rPr>
        <w:t>4）审核小组：由监督部门和组织评审科共同组成，负责对评标委员会填写的商务打分表和技术打分表进行统计审核，并汇总计算总分。</w:t>
      </w:r>
    </w:p>
    <w:p>
      <w:pPr>
        <w:framePr w:w="1440" w:h="120" w:hRule="exact" w:wrap="around" w:vAnchor="page" w:hAnchor="page" w:x="362" w:y="542"/>
        <w:spacing w:line="500" w:lineRule="exact"/>
        <w:ind w:firstLine="480" w:firstLineChars="200"/>
        <w:rPr>
          <w:rFonts w:ascii="宋体" w:hAnsi="宋体"/>
          <w:color w:val="000000"/>
          <w:sz w:val="24"/>
        </w:rPr>
      </w:pPr>
    </w:p>
    <w:p>
      <w:pPr>
        <w:pStyle w:val="3"/>
        <w:spacing w:before="0" w:after="0" w:line="500" w:lineRule="exact"/>
        <w:ind w:firstLine="482" w:firstLineChars="200"/>
        <w:jc w:val="both"/>
        <w:rPr>
          <w:rFonts w:hint="eastAsia" w:ascii="宋体" w:hAnsi="宋体"/>
          <w:color w:val="000000"/>
          <w:sz w:val="24"/>
          <w:szCs w:val="24"/>
        </w:rPr>
      </w:pPr>
      <w:bookmarkStart w:id="225" w:name="_Toc453596851"/>
      <w:r>
        <w:rPr>
          <w:rFonts w:hint="eastAsia" w:ascii="宋体" w:hAnsi="宋体"/>
          <w:color w:val="000000"/>
          <w:sz w:val="24"/>
          <w:szCs w:val="24"/>
        </w:rPr>
        <w:t>6.2  评标内容及标准</w:t>
      </w:r>
      <w:bookmarkEnd w:id="225"/>
    </w:p>
    <w:p>
      <w:pPr>
        <w:pStyle w:val="3"/>
        <w:spacing w:before="0" w:after="0" w:line="500" w:lineRule="exact"/>
        <w:ind w:firstLine="482" w:firstLineChars="200"/>
        <w:jc w:val="both"/>
        <w:rPr>
          <w:rFonts w:hint="eastAsia" w:ascii="宋体" w:hAnsi="宋体"/>
          <w:color w:val="000000"/>
          <w:sz w:val="24"/>
          <w:szCs w:val="24"/>
        </w:rPr>
      </w:pPr>
      <w:bookmarkStart w:id="226" w:name="_Toc453596852"/>
      <w:r>
        <w:rPr>
          <w:rFonts w:hint="eastAsia" w:ascii="宋体" w:hAnsi="宋体"/>
          <w:color w:val="000000"/>
          <w:sz w:val="24"/>
          <w:szCs w:val="24"/>
        </w:rPr>
        <w:t>6.2.1评标内容</w:t>
      </w:r>
      <w:bookmarkEnd w:id="226"/>
    </w:p>
    <w:p>
      <w:pPr>
        <w:pStyle w:val="13"/>
        <w:snapToGrid/>
        <w:spacing w:line="500" w:lineRule="exact"/>
        <w:ind w:firstLine="496" w:firstLineChars="200"/>
        <w:rPr>
          <w:rFonts w:hint="eastAsia"/>
          <w:color w:val="000000"/>
          <w:szCs w:val="24"/>
        </w:rPr>
      </w:pPr>
      <w:r>
        <w:rPr>
          <w:rFonts w:hint="eastAsia"/>
          <w:color w:val="000000"/>
          <w:szCs w:val="24"/>
        </w:rPr>
        <w:t>评标委员会将审查投标书是否完整、有无计算上的错误、是否提交了投标保证金、文件签署是否合格、投标文件的总体编排是否有序。</w:t>
      </w:r>
    </w:p>
    <w:p>
      <w:pPr>
        <w:spacing w:line="500" w:lineRule="exact"/>
        <w:ind w:firstLine="480"/>
        <w:rPr>
          <w:rFonts w:ascii="宋体" w:hAnsi="宋体"/>
          <w:color w:val="000000"/>
          <w:sz w:val="24"/>
        </w:rPr>
      </w:pPr>
      <w:r>
        <w:rPr>
          <w:rFonts w:hint="eastAsia" w:ascii="宋体" w:hAnsi="宋体" w:cs="宋体"/>
          <w:color w:val="000000"/>
          <w:sz w:val="24"/>
          <w:lang w:val="zh-CN"/>
        </w:rPr>
        <w:t>招标人将组织评标委员会审查投标文件是否完整，审查投标人提供的资格证明文件，评估投标人的财务、技术和生产能力。如果评标委员会认定投标人未完全响应招标文件，其投标将被视为无效投标。</w:t>
      </w:r>
    </w:p>
    <w:p>
      <w:pPr>
        <w:tabs>
          <w:tab w:val="left" w:pos="8640"/>
        </w:tabs>
        <w:spacing w:line="500" w:lineRule="exact"/>
        <w:ind w:firstLine="480"/>
        <w:rPr>
          <w:rFonts w:ascii="宋体" w:hAnsi="宋体" w:cs="宋体"/>
          <w:color w:val="000000"/>
          <w:sz w:val="24"/>
          <w:lang w:val="zh-CN"/>
        </w:rPr>
      </w:pPr>
      <w:r>
        <w:rPr>
          <w:rFonts w:hint="eastAsia" w:ascii="宋体" w:hAnsi="宋体" w:cs="宋体"/>
          <w:color w:val="000000"/>
          <w:sz w:val="24"/>
          <w:lang w:val="zh-CN"/>
        </w:rPr>
        <w:t>评标委员会可以对确定为实质上响应招标文件要求的投标文件进行校核，修正错误的标准如下：</w:t>
      </w:r>
    </w:p>
    <w:p>
      <w:pPr>
        <w:spacing w:line="500" w:lineRule="exact"/>
        <w:ind w:firstLine="480"/>
        <w:rPr>
          <w:rFonts w:ascii="宋体" w:hAnsi="宋体" w:cs="宋体"/>
          <w:color w:val="000000"/>
          <w:sz w:val="24"/>
          <w:lang w:val="zh-CN"/>
        </w:rPr>
      </w:pPr>
      <w:r>
        <w:rPr>
          <w:rFonts w:ascii="宋体" w:hAnsi="宋体" w:cs="宋体"/>
          <w:color w:val="000000"/>
          <w:sz w:val="24"/>
          <w:lang w:val="zh-CN"/>
        </w:rPr>
        <w:t>1</w:t>
      </w:r>
      <w:r>
        <w:rPr>
          <w:rFonts w:hint="eastAsia" w:ascii="宋体" w:hAnsi="宋体" w:cs="宋体"/>
          <w:color w:val="000000"/>
          <w:sz w:val="24"/>
          <w:lang w:val="zh-CN"/>
        </w:rPr>
        <w:t>）如果用数字表示的数额与用文字表示的数额不一致时，以文字数额为准。</w:t>
      </w:r>
    </w:p>
    <w:p>
      <w:pPr>
        <w:spacing w:line="500" w:lineRule="exact"/>
        <w:ind w:firstLine="480"/>
        <w:rPr>
          <w:rFonts w:ascii="宋体" w:hAnsi="宋体" w:cs="宋体"/>
          <w:color w:val="000000"/>
          <w:sz w:val="24"/>
          <w:lang w:val="zh-CN"/>
        </w:rPr>
      </w:pPr>
      <w:r>
        <w:rPr>
          <w:rFonts w:ascii="宋体" w:hAnsi="宋体" w:cs="宋体"/>
          <w:color w:val="000000"/>
          <w:sz w:val="24"/>
          <w:lang w:val="zh-CN"/>
        </w:rPr>
        <w:t xml:space="preserve">2) </w:t>
      </w:r>
      <w:r>
        <w:rPr>
          <w:rFonts w:hint="eastAsia" w:ascii="宋体" w:hAnsi="宋体" w:cs="宋体"/>
          <w:color w:val="000000"/>
          <w:sz w:val="24"/>
          <w:lang w:val="zh-CN"/>
        </w:rPr>
        <w:t>当单价与总价之间不一致时，通常以标出的单价为准。除非评标委员会认为有明显的小数点错位，此时应以标出的总价为准，并修改单价。</w:t>
      </w:r>
    </w:p>
    <w:p>
      <w:pPr>
        <w:spacing w:line="500" w:lineRule="exact"/>
        <w:ind w:firstLine="480"/>
        <w:rPr>
          <w:rFonts w:ascii="宋体" w:hAnsi="宋体" w:cs="宋体"/>
          <w:color w:val="000000"/>
          <w:sz w:val="24"/>
          <w:lang w:val="zh-CN"/>
        </w:rPr>
      </w:pPr>
      <w:r>
        <w:rPr>
          <w:rFonts w:hint="eastAsia" w:ascii="宋体" w:hAnsi="宋体" w:cs="宋体"/>
          <w:color w:val="000000"/>
          <w:sz w:val="24"/>
          <w:lang w:val="zh-CN"/>
        </w:rPr>
        <w:t>如果投标人不接受对其错误的更正，其投标将被视为无效投标。</w:t>
      </w:r>
    </w:p>
    <w:p>
      <w:pPr>
        <w:tabs>
          <w:tab w:val="left" w:pos="8640"/>
        </w:tabs>
        <w:spacing w:line="500" w:lineRule="exact"/>
        <w:ind w:firstLine="480"/>
        <w:rPr>
          <w:rFonts w:ascii="宋体" w:hAnsi="宋体"/>
          <w:color w:val="000000"/>
          <w:sz w:val="24"/>
        </w:rPr>
      </w:pPr>
      <w:r>
        <w:rPr>
          <w:rFonts w:ascii="宋体" w:hAnsi="宋体" w:cs="宋体"/>
          <w:color w:val="000000"/>
          <w:sz w:val="24"/>
          <w:lang w:val="zh-CN"/>
        </w:rPr>
        <w:t>3</w:t>
      </w:r>
      <w:r>
        <w:rPr>
          <w:rFonts w:hint="eastAsia" w:ascii="宋体" w:hAnsi="宋体" w:cs="宋体"/>
          <w:color w:val="000000"/>
          <w:sz w:val="24"/>
          <w:lang w:val="zh-CN"/>
        </w:rPr>
        <w:t>）对于投标文件中不构成实质性偏差的小的不正规、不一致或不规则，评标委员会可以接受，但这种接受不能损害或影响任何投标人的相对排序。</w:t>
      </w:r>
    </w:p>
    <w:p>
      <w:pPr>
        <w:spacing w:line="500" w:lineRule="exact"/>
        <w:ind w:firstLine="480"/>
        <w:rPr>
          <w:rFonts w:ascii="宋体" w:hAnsi="宋体"/>
          <w:color w:val="000000"/>
          <w:spacing w:val="4"/>
          <w:sz w:val="24"/>
        </w:rPr>
      </w:pPr>
      <w:r>
        <w:rPr>
          <w:rFonts w:ascii="宋体" w:hAnsi="宋体" w:cs="宋体"/>
          <w:color w:val="000000"/>
          <w:spacing w:val="4"/>
          <w:sz w:val="24"/>
          <w:lang w:val="zh-CN"/>
        </w:rPr>
        <w:t>4</w:t>
      </w:r>
      <w:r>
        <w:rPr>
          <w:rFonts w:hint="eastAsia" w:ascii="宋体" w:hAnsi="宋体" w:cs="宋体"/>
          <w:color w:val="000000"/>
          <w:spacing w:val="4"/>
          <w:sz w:val="24"/>
          <w:lang w:val="zh-CN"/>
        </w:rPr>
        <w:t>）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tabs>
          <w:tab w:val="left" w:pos="8640"/>
        </w:tabs>
        <w:spacing w:line="500" w:lineRule="exact"/>
        <w:ind w:firstLine="480"/>
        <w:rPr>
          <w:rFonts w:hint="eastAsia" w:ascii="宋体" w:hAnsi="宋体" w:cs="宋体"/>
          <w:color w:val="000000"/>
          <w:sz w:val="24"/>
          <w:lang w:val="zh-CN"/>
        </w:rPr>
      </w:pPr>
      <w:r>
        <w:rPr>
          <w:rFonts w:ascii="宋体" w:hAnsi="宋体" w:cs="宋体"/>
          <w:color w:val="000000"/>
          <w:sz w:val="24"/>
          <w:lang w:val="zh-CN"/>
        </w:rPr>
        <w:t>5</w:t>
      </w:r>
      <w:r>
        <w:rPr>
          <w:rFonts w:hint="eastAsia" w:ascii="宋体" w:hAnsi="宋体" w:cs="宋体"/>
          <w:color w:val="000000"/>
          <w:sz w:val="24"/>
          <w:lang w:val="zh-CN"/>
        </w:rPr>
        <w:t>）如果投标文件实质上没有响应招标文件的要求，其投标将被视为无效投标，投标人不得通过修正或撤消不符合要求的偏离从而使其投标成为实质上响应的投标。</w:t>
      </w:r>
    </w:p>
    <w:p>
      <w:pPr>
        <w:pStyle w:val="3"/>
        <w:spacing w:before="0" w:after="0" w:line="500" w:lineRule="exact"/>
        <w:ind w:firstLine="482" w:firstLineChars="200"/>
        <w:jc w:val="both"/>
        <w:rPr>
          <w:rFonts w:hint="eastAsia" w:ascii="宋体" w:hAnsi="宋体"/>
          <w:color w:val="000000"/>
          <w:sz w:val="24"/>
          <w:szCs w:val="24"/>
        </w:rPr>
      </w:pPr>
      <w:bookmarkStart w:id="227" w:name="_Toc453596853"/>
      <w:r>
        <w:rPr>
          <w:rFonts w:hint="eastAsia" w:ascii="宋体" w:hAnsi="宋体"/>
          <w:color w:val="000000"/>
          <w:sz w:val="24"/>
          <w:szCs w:val="24"/>
        </w:rPr>
        <w:t>6.2.2 无效投标</w:t>
      </w:r>
      <w:bookmarkEnd w:id="227"/>
    </w:p>
    <w:p>
      <w:pPr>
        <w:spacing w:line="500" w:lineRule="exact"/>
        <w:ind w:firstLine="480" w:firstLineChars="200"/>
        <w:rPr>
          <w:rFonts w:hint="eastAsia" w:ascii="宋体" w:hAnsi="宋体"/>
          <w:color w:val="000000"/>
          <w:sz w:val="24"/>
        </w:rPr>
      </w:pPr>
      <w:r>
        <w:rPr>
          <w:rFonts w:hint="eastAsia" w:ascii="宋体" w:hAnsi="宋体"/>
          <w:color w:val="000000"/>
          <w:sz w:val="24"/>
        </w:rPr>
        <w:t>遇到下列情况之一时</w:t>
      </w:r>
      <w:r>
        <w:rPr>
          <w:rFonts w:ascii="宋体" w:hAnsi="宋体"/>
          <w:color w:val="000000"/>
          <w:sz w:val="24"/>
        </w:rPr>
        <w:t>,</w:t>
      </w:r>
      <w:r>
        <w:rPr>
          <w:rFonts w:hint="eastAsia" w:ascii="宋体" w:hAnsi="宋体"/>
          <w:color w:val="000000"/>
          <w:sz w:val="24"/>
        </w:rPr>
        <w:t xml:space="preserve"> 投标人的投标将被视为无效投标:</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1）投标人法定代表人或授权代理人未参加开标会议的；</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2）投标人未按要求交纳投标保证金或金额不足的；</w:t>
      </w:r>
    </w:p>
    <w:p>
      <w:pPr>
        <w:tabs>
          <w:tab w:val="left" w:pos="-540"/>
        </w:tabs>
        <w:spacing w:line="360" w:lineRule="auto"/>
        <w:ind w:left="479" w:leftChars="228"/>
        <w:rPr>
          <w:rFonts w:hint="eastAsia" w:ascii="宋体" w:hAnsi="宋体"/>
          <w:color w:val="000000"/>
          <w:spacing w:val="-6"/>
          <w:sz w:val="24"/>
        </w:rPr>
      </w:pPr>
      <w:r>
        <w:rPr>
          <w:rFonts w:hint="eastAsia" w:ascii="宋体" w:hAnsi="宋体"/>
          <w:color w:val="000000"/>
          <w:sz w:val="24"/>
        </w:rPr>
        <w:t>3）投标人未按要求递交提交</w:t>
      </w:r>
      <w:r>
        <w:rPr>
          <w:rFonts w:hint="eastAsia" w:ascii="宋体" w:hAnsi="宋体"/>
          <w:color w:val="000000"/>
          <w:spacing w:val="-6"/>
          <w:sz w:val="24"/>
        </w:rPr>
        <w:t>本项目投标保证金进帐单或电汇凭证等银行证明文件的；</w:t>
      </w:r>
    </w:p>
    <w:p>
      <w:pPr>
        <w:tabs>
          <w:tab w:val="left" w:pos="-540"/>
        </w:tabs>
        <w:spacing w:line="360" w:lineRule="auto"/>
        <w:ind w:left="479" w:leftChars="228"/>
        <w:rPr>
          <w:rFonts w:hint="eastAsia" w:ascii="宋体" w:hAnsi="宋体"/>
          <w:color w:val="000000"/>
          <w:sz w:val="24"/>
        </w:rPr>
      </w:pPr>
      <w:r>
        <w:rPr>
          <w:rFonts w:hint="eastAsia" w:ascii="宋体" w:hAnsi="宋体"/>
          <w:color w:val="000000"/>
          <w:spacing w:val="-6"/>
          <w:sz w:val="24"/>
        </w:rPr>
        <w:t xml:space="preserve"> (</w:t>
      </w:r>
      <w:r>
        <w:rPr>
          <w:rFonts w:ascii="宋体" w:hAnsi="宋体"/>
          <w:sz w:val="24"/>
        </w:rPr>
        <w:t>一）投标保证金提交方式为银行电汇，不接受其他方式的投标保证金。</w:t>
      </w:r>
      <w:r>
        <w:rPr>
          <w:rFonts w:ascii="宋体" w:hAnsi="宋体"/>
          <w:sz w:val="24"/>
        </w:rPr>
        <w:br w:type="textWrapping"/>
      </w:r>
      <w:r>
        <w:rPr>
          <w:rFonts w:ascii="宋体" w:hAnsi="宋体"/>
          <w:sz w:val="24"/>
        </w:rPr>
        <w:t>（二）投标人必须从基本账户以电汇方式提交保证金，且投标保证金单位名称必须与投标人登记的单位名称一致，不得以分公司、办事处或其他机构名义递交。</w:t>
      </w:r>
      <w:r>
        <w:rPr>
          <w:rFonts w:ascii="宋体" w:hAnsi="宋体"/>
          <w:sz w:val="24"/>
        </w:rPr>
        <w:br w:type="textWrapping"/>
      </w:r>
      <w:r>
        <w:rPr>
          <w:rFonts w:ascii="宋体" w:hAnsi="宋体"/>
          <w:sz w:val="24"/>
        </w:rPr>
        <w:t>（三）投标人在办理投标保证金电汇手续时，在银行电汇单附言栏上必须且只填写投标保证金对应的投标项目标段（包）的8位数字登记号。在汇款单附言栏内不填或错填投标“登记号”，交易系统无法识别保证金所对应的项目标段（包）的，将导致投标无效；未按标段（包）逐笔递交保证金的，将导致投标无效。</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 xml:space="preserve"> 投标文件未按规定编制、标注、密封、封装的； </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 xml:space="preserve"> 超出投标商经营范围投标的；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6）投标文件无投标人鲜章和法人或者法人授权代理人的印章或签字的；</w:t>
      </w:r>
    </w:p>
    <w:p>
      <w:pPr>
        <w:pStyle w:val="13"/>
        <w:snapToGrid/>
        <w:spacing w:line="500" w:lineRule="exact"/>
        <w:ind w:firstLine="496" w:firstLineChars="200"/>
        <w:rPr>
          <w:rFonts w:hint="eastAsia"/>
          <w:color w:val="000000"/>
          <w:szCs w:val="24"/>
        </w:rPr>
      </w:pPr>
      <w:r>
        <w:rPr>
          <w:rFonts w:hint="eastAsia"/>
          <w:color w:val="000000"/>
          <w:szCs w:val="24"/>
        </w:rPr>
        <w:t>7）投标函、法人授权函、投标报价表及投标货物偏离表未按规定格式填报的；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8）投标人未能提供法人授权函等证明文件和资料的，或提供的证件不齐或无效；</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 xml:space="preserve"> 投标文件未按照招标文件规定的格式填写，或者填写的内容不全，或者辨认不清产生歧义，或者涂改处未加盖投标人鲜章及法人或法人授权的代理人的印章或签字的；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10）投标文件中每包以两个及两个以上的方案进行投标的（招标文件另有规定的除外）；</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11）投标文件未能对招标文件提出的要求和条件作出实质性响应的；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12）投标人资格条件不符合国家有关规定和招标文件要求的，或者拒不按照要求对投标文件进行澄清、说明或者补正的；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13）投标文件附有招标人不能接受的条件的；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14）投标的产品（同一品牌、型号），在同一地区同一时间段内中标供应商应保证其实际投标价格低于其他任何非政府采购价格；其中：</w:t>
      </w:r>
    </w:p>
    <w:p>
      <w:pPr>
        <w:tabs>
          <w:tab w:val="left" w:pos="-540"/>
        </w:tabs>
        <w:spacing w:line="500" w:lineRule="exact"/>
        <w:ind w:firstLine="480" w:firstLineChars="200"/>
        <w:rPr>
          <w:rFonts w:hint="eastAsia" w:ascii="宋体" w:hAnsi="宋体"/>
          <w:color w:val="000000"/>
          <w:sz w:val="24"/>
        </w:rPr>
      </w:pPr>
      <w:r>
        <w:rPr>
          <w:rFonts w:ascii="宋体" w:hAnsi="宋体"/>
          <w:color w:val="000000"/>
          <w:sz w:val="24"/>
        </w:rPr>
        <w:t>①</w:t>
      </w:r>
      <w:r>
        <w:rPr>
          <w:rFonts w:hint="eastAsia" w:ascii="宋体" w:hAnsi="宋体"/>
          <w:color w:val="000000"/>
          <w:sz w:val="24"/>
        </w:rPr>
        <w:t xml:space="preserve"> 投标阶段应视为无效投标；</w:t>
      </w:r>
    </w:p>
    <w:p>
      <w:pPr>
        <w:tabs>
          <w:tab w:val="left" w:pos="-540"/>
        </w:tabs>
        <w:spacing w:line="500" w:lineRule="exact"/>
        <w:ind w:firstLine="480" w:firstLineChars="200"/>
        <w:rPr>
          <w:rFonts w:hint="eastAsia" w:ascii="宋体" w:hAnsi="宋体"/>
          <w:color w:val="000000"/>
          <w:sz w:val="24"/>
        </w:rPr>
      </w:pPr>
      <w:r>
        <w:rPr>
          <w:rFonts w:ascii="宋体" w:hAnsi="宋体"/>
          <w:color w:val="000000"/>
          <w:sz w:val="24"/>
        </w:rPr>
        <w:t>②</w:t>
      </w:r>
      <w:r>
        <w:rPr>
          <w:rFonts w:hint="eastAsia" w:ascii="宋体" w:hAnsi="宋体"/>
          <w:color w:val="000000"/>
          <w:sz w:val="24"/>
        </w:rPr>
        <w:t xml:space="preserve"> 已中标而无供货的视为中标无效；</w:t>
      </w:r>
    </w:p>
    <w:p>
      <w:pPr>
        <w:tabs>
          <w:tab w:val="left" w:pos="-540"/>
        </w:tabs>
        <w:spacing w:line="500" w:lineRule="exact"/>
        <w:ind w:firstLine="480" w:firstLineChars="200"/>
        <w:rPr>
          <w:rFonts w:hint="eastAsia" w:ascii="宋体" w:hAnsi="宋体"/>
          <w:color w:val="000000"/>
          <w:sz w:val="24"/>
        </w:rPr>
      </w:pPr>
      <w:r>
        <w:rPr>
          <w:rFonts w:ascii="宋体" w:hAnsi="宋体"/>
          <w:color w:val="000000"/>
          <w:sz w:val="24"/>
        </w:rPr>
        <w:t>③</w:t>
      </w:r>
      <w:r>
        <w:rPr>
          <w:rFonts w:hint="eastAsia" w:ascii="宋体" w:hAnsi="宋体"/>
          <w:color w:val="000000"/>
          <w:sz w:val="24"/>
        </w:rPr>
        <w:t xml:space="preserve"> 已供货者，供应商应承担由此给需方造成的损失。</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15）经评审委员会认定，认为生产制造企业通过控制授权函等方式，恶意抬高其产品价格。降低服务质量，价格明显高于在同一地区同一时间段内任何政府采购价格的；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16）投标有效期不足</w:t>
      </w:r>
      <w:r>
        <w:rPr>
          <w:rFonts w:hint="eastAsia" w:ascii="宋体" w:hAnsi="宋体"/>
          <w:color w:val="000000"/>
          <w:sz w:val="24"/>
          <w:lang w:val="en-US" w:eastAsia="zh-CN"/>
        </w:rPr>
        <w:t>9</w:t>
      </w:r>
      <w:r>
        <w:rPr>
          <w:rFonts w:hint="eastAsia" w:ascii="宋体" w:hAnsi="宋体"/>
          <w:color w:val="000000"/>
          <w:sz w:val="24"/>
        </w:rPr>
        <w:t>0天的；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17）在评标过程中，如果投标人试图在投标审查、澄清、比较及授予合同方面向招标人施加任何影响的；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18）投标人以他人名义投标、串通投标、以行贿手段谋取中标或者以弄虚作假等方式投标的；</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19）经核实两个或两个以上投标人的投标文件有雷同或有抄袭行为的；</w:t>
      </w:r>
    </w:p>
    <w:p>
      <w:pPr>
        <w:spacing w:line="500" w:lineRule="exact"/>
        <w:ind w:firstLine="480" w:firstLineChars="200"/>
        <w:rPr>
          <w:rFonts w:hint="eastAsia" w:ascii="宋体" w:hAnsi="宋体"/>
          <w:color w:val="000000"/>
          <w:sz w:val="24"/>
        </w:rPr>
      </w:pPr>
      <w:r>
        <w:rPr>
          <w:rFonts w:hint="eastAsia" w:ascii="宋体" w:hAnsi="宋体"/>
          <w:color w:val="000000"/>
          <w:sz w:val="24"/>
        </w:rPr>
        <w:t>20）违反《中华人民共和国政府采购法》的投标；</w:t>
      </w:r>
    </w:p>
    <w:p>
      <w:pPr>
        <w:tabs>
          <w:tab w:val="left" w:pos="-540"/>
        </w:tabs>
        <w:spacing w:line="500" w:lineRule="exact"/>
        <w:ind w:firstLine="480" w:firstLineChars="200"/>
        <w:rPr>
          <w:rFonts w:hint="eastAsia" w:ascii="宋体" w:hAnsi="宋体"/>
          <w:color w:val="000000"/>
          <w:sz w:val="24"/>
        </w:rPr>
      </w:pPr>
      <w:r>
        <w:rPr>
          <w:rFonts w:hint="eastAsia" w:ascii="宋体" w:hAnsi="宋体"/>
          <w:color w:val="000000"/>
          <w:sz w:val="24"/>
        </w:rPr>
        <w:t>21）招标文件规定的其它无效投标条件。</w:t>
      </w: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482"/>
        <w:jc w:val="both"/>
        <w:textAlignment w:val="auto"/>
        <w:rPr>
          <w:rFonts w:ascii="宋体" w:hAnsi="宋体" w:cs="宋体"/>
          <w:bCs w:val="0"/>
          <w:color w:val="000000"/>
          <w:sz w:val="24"/>
          <w:szCs w:val="24"/>
          <w:lang w:val="zh-CN"/>
        </w:rPr>
      </w:pPr>
      <w:bookmarkStart w:id="228" w:name="_Toc453596854"/>
      <w:r>
        <w:rPr>
          <w:rFonts w:hint="eastAsia" w:ascii="宋体" w:hAnsi="宋体" w:cs="宋体"/>
          <w:bCs w:val="0"/>
          <w:color w:val="000000"/>
          <w:sz w:val="24"/>
          <w:szCs w:val="24"/>
          <w:lang w:val="zh-CN"/>
        </w:rPr>
        <w:t>6</w:t>
      </w:r>
      <w:r>
        <w:rPr>
          <w:rFonts w:ascii="宋体" w:hAnsi="宋体" w:cs="宋体"/>
          <w:bCs w:val="0"/>
          <w:color w:val="000000"/>
          <w:sz w:val="24"/>
          <w:szCs w:val="24"/>
          <w:lang w:val="zh-CN"/>
        </w:rPr>
        <w:t xml:space="preserve">.3 </w:t>
      </w:r>
      <w:r>
        <w:rPr>
          <w:rFonts w:hint="eastAsia" w:ascii="宋体" w:hAnsi="宋体" w:cs="宋体"/>
          <w:bCs w:val="0"/>
          <w:color w:val="000000"/>
          <w:sz w:val="24"/>
          <w:szCs w:val="24"/>
          <w:lang w:val="zh-CN"/>
        </w:rPr>
        <w:t>评标的程序和方法</w:t>
      </w:r>
      <w:bookmarkEnd w:id="228"/>
    </w:p>
    <w:p>
      <w:pPr>
        <w:pStyle w:val="4"/>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rPr>
          <w:rFonts w:cs="Times New Roman"/>
          <w:b w:val="0"/>
          <w:color w:val="000000"/>
          <w:lang w:val="en-US"/>
        </w:rPr>
      </w:pPr>
      <w:bookmarkStart w:id="229" w:name="_Toc453596855"/>
      <w:r>
        <w:rPr>
          <w:rFonts w:hint="eastAsia" w:cs="Times New Roman"/>
          <w:b w:val="0"/>
          <w:color w:val="000000"/>
          <w:lang w:val="en-US"/>
        </w:rPr>
        <w:t>6</w:t>
      </w:r>
      <w:r>
        <w:rPr>
          <w:rFonts w:cs="Times New Roman"/>
          <w:b w:val="0"/>
          <w:color w:val="000000"/>
          <w:lang w:val="en-US"/>
        </w:rPr>
        <w:t xml:space="preserve">.3.1 </w:t>
      </w:r>
      <w:r>
        <w:rPr>
          <w:rFonts w:hint="eastAsia" w:cs="Times New Roman"/>
          <w:b w:val="0"/>
          <w:color w:val="000000"/>
          <w:lang w:val="en-US"/>
        </w:rPr>
        <w:t>评标程序</w:t>
      </w:r>
      <w:bookmarkEnd w:id="229"/>
    </w:p>
    <w:p>
      <w:pPr>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rPr>
          <w:rFonts w:hint="eastAsia" w:ascii="宋体" w:hAnsi="宋体"/>
          <w:color w:val="000000"/>
          <w:sz w:val="24"/>
        </w:rPr>
      </w:pPr>
      <w:r>
        <w:rPr>
          <w:rFonts w:hint="eastAsia" w:ascii="宋体" w:hAnsi="宋体"/>
          <w:color w:val="000000"/>
          <w:sz w:val="24"/>
        </w:rPr>
        <w:t>1）评标委员会商务评审组对投标文件中投标人资质进行审查评价及打分，填写商务打分表。完成打分后将商务打分表交由审核小组进行审核，对审核小组提出的审核意见有义务进行解释说明，必要时可以在审核小组的监督下对商务打分表进行修正，待审核无误后即可离开评标现场，不参与技术评审；</w:t>
      </w:r>
    </w:p>
    <w:p>
      <w:pPr>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rPr>
          <w:rFonts w:hint="eastAsia" w:ascii="宋体" w:hAnsi="宋体"/>
          <w:color w:val="000000"/>
          <w:sz w:val="24"/>
        </w:rPr>
      </w:pPr>
      <w:r>
        <w:rPr>
          <w:rFonts w:hint="eastAsia" w:ascii="宋体" w:hAnsi="宋体"/>
          <w:color w:val="000000"/>
          <w:sz w:val="24"/>
        </w:rPr>
        <w:t>2）评标委员会技术评审组对投标文件中技术部分进行审查评价及打分，填写技术打分表。完成打分后将技术打分表交由审核小组进行审核，对审核小组提出的审核意见有义务进行解释说明，必要时可以在审核小组的监督下技术打分表进行修正，待审核无误后即可离开评标现场。</w:t>
      </w:r>
    </w:p>
    <w:p>
      <w:pPr>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rPr>
          <w:rFonts w:hint="eastAsia" w:ascii="宋体" w:hAnsi="宋体"/>
          <w:color w:val="000000"/>
          <w:sz w:val="24"/>
        </w:rPr>
      </w:pPr>
      <w:r>
        <w:rPr>
          <w:rFonts w:hint="eastAsia" w:ascii="宋体" w:hAnsi="宋体"/>
          <w:color w:val="000000"/>
          <w:sz w:val="24"/>
        </w:rPr>
        <w:t>3）根据评标委员会填写的商务打分表和技术打分表，由审核小组对投标人的商务得分、技术得分、价格得分依次进行计算汇总。</w:t>
      </w:r>
    </w:p>
    <w:p>
      <w:pPr>
        <w:pStyle w:val="4"/>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rPr>
          <w:rFonts w:hint="eastAsia" w:cs="Times New Roman"/>
          <w:b w:val="0"/>
          <w:color w:val="000000"/>
          <w:lang w:val="en-US"/>
        </w:rPr>
      </w:pPr>
      <w:bookmarkStart w:id="230" w:name="_Toc453596856"/>
      <w:r>
        <w:rPr>
          <w:rFonts w:hint="eastAsia" w:cs="Times New Roman"/>
          <w:b w:val="0"/>
          <w:color w:val="000000"/>
          <w:lang w:val="en-US"/>
        </w:rPr>
        <w:t>6</w:t>
      </w:r>
      <w:r>
        <w:rPr>
          <w:rFonts w:cs="Times New Roman"/>
          <w:b w:val="0"/>
          <w:color w:val="000000"/>
          <w:lang w:val="en-US"/>
        </w:rPr>
        <w:t>.3.2</w:t>
      </w:r>
      <w:r>
        <w:rPr>
          <w:rFonts w:hint="eastAsia" w:cs="Times New Roman"/>
          <w:b w:val="0"/>
          <w:color w:val="000000"/>
          <w:lang w:val="en-US"/>
        </w:rPr>
        <w:t>评标方法</w:t>
      </w:r>
      <w:bookmarkEnd w:id="230"/>
    </w:p>
    <w:p>
      <w:pPr>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rPr>
          <w:rFonts w:hint="eastAsia" w:ascii="宋体" w:hAnsi="宋体"/>
          <w:sz w:val="24"/>
        </w:rPr>
      </w:pPr>
      <w:r>
        <w:rPr>
          <w:rFonts w:hint="eastAsia" w:ascii="宋体" w:hAnsi="宋体"/>
          <w:color w:val="000000"/>
          <w:sz w:val="24"/>
        </w:rPr>
        <w:t>本项目采用“综合评分法”，只有通过符合性审查的投标文件才能进入综合打分排序，即是指在最大限度地满足招标文件实质性要求前提下，按照招标文件中规定的各项因素进行综合评审后，以评标总得分最高的投标人作为拟中标供应商。综合评分法中的价格分统一采用低价优先法计算，即满足招标文</w:t>
      </w:r>
      <w:r>
        <w:rPr>
          <w:rFonts w:hint="eastAsia" w:ascii="宋体" w:hAnsi="宋体"/>
          <w:sz w:val="24"/>
        </w:rPr>
        <w:t>件要求且合理的最低评标价为评标基准价，其价格分为满分。其他投标人的价格分统一按照下列公式计算：评标价得分＝（评标基准价/评标价）×价格权值×100。</w:t>
      </w:r>
    </w:p>
    <w:p>
      <w:pPr>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对中小微企业执行财库【2011】181号及工信部联企业【2011】300号文件的规定，对其投标报价按6%扣除后的价格作为其评标价。不符合财库【2011】181号及工信部联企业【2011】300号文件的规定企业的产品价格不予扣除，其投标报价即为评标价。</w:t>
      </w:r>
    </w:p>
    <w:p>
      <w:pPr>
        <w:spacing w:line="500" w:lineRule="exact"/>
        <w:ind w:firstLine="480" w:firstLineChars="200"/>
        <w:rPr>
          <w:rFonts w:hint="eastAsia" w:ascii="宋体" w:hAnsi="宋体"/>
          <w:sz w:val="24"/>
        </w:rPr>
      </w:pPr>
      <w:r>
        <w:rPr>
          <w:rFonts w:hint="eastAsia" w:ascii="宋体" w:hAnsi="宋体"/>
          <w:sz w:val="24"/>
        </w:rPr>
        <w:br w:type="page"/>
      </w:r>
    </w:p>
    <w:tbl>
      <w:tblPr>
        <w:tblStyle w:val="40"/>
        <w:tblW w:w="9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774"/>
        <w:gridCol w:w="697"/>
        <w:gridCol w:w="394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13" w:type="dxa"/>
            <w:vAlign w:val="center"/>
          </w:tcPr>
          <w:p>
            <w:r>
              <w:rPr>
                <w:rFonts w:hint="eastAsia"/>
              </w:rPr>
              <w:t>序号</w:t>
            </w:r>
          </w:p>
        </w:tc>
        <w:tc>
          <w:tcPr>
            <w:tcW w:w="1774" w:type="dxa"/>
            <w:vAlign w:val="center"/>
          </w:tcPr>
          <w:p>
            <w:r>
              <w:rPr>
                <w:rFonts w:hint="eastAsia"/>
              </w:rPr>
              <w:t>评分因素及权重</w:t>
            </w:r>
          </w:p>
        </w:tc>
        <w:tc>
          <w:tcPr>
            <w:tcW w:w="697" w:type="dxa"/>
            <w:vAlign w:val="center"/>
          </w:tcPr>
          <w:p>
            <w:pPr>
              <w:jc w:val="center"/>
            </w:pPr>
            <w:r>
              <w:rPr>
                <w:rFonts w:hint="eastAsia"/>
              </w:rPr>
              <w:t>分值</w:t>
            </w:r>
          </w:p>
        </w:tc>
        <w:tc>
          <w:tcPr>
            <w:tcW w:w="3941" w:type="dxa"/>
            <w:vAlign w:val="center"/>
          </w:tcPr>
          <w:p>
            <w:pPr>
              <w:jc w:val="center"/>
            </w:pPr>
            <w:r>
              <w:rPr>
                <w:rFonts w:hint="eastAsia"/>
              </w:rPr>
              <w:t>评分标准</w:t>
            </w:r>
          </w:p>
        </w:tc>
        <w:tc>
          <w:tcPr>
            <w:tcW w:w="2627" w:type="dxa"/>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713" w:type="dxa"/>
            <w:vAlign w:val="center"/>
          </w:tcPr>
          <w:p>
            <w:pPr>
              <w:jc w:val="center"/>
            </w:pPr>
            <w:r>
              <w:t>1</w:t>
            </w:r>
          </w:p>
        </w:tc>
        <w:tc>
          <w:tcPr>
            <w:tcW w:w="1774" w:type="dxa"/>
            <w:vAlign w:val="center"/>
          </w:tcPr>
          <w:p>
            <w:pPr>
              <w:jc w:val="center"/>
            </w:pPr>
            <w:r>
              <w:rPr>
                <w:rFonts w:hint="eastAsia"/>
              </w:rPr>
              <w:t>报价30</w:t>
            </w:r>
            <w:r>
              <w:t>%</w:t>
            </w:r>
          </w:p>
        </w:tc>
        <w:tc>
          <w:tcPr>
            <w:tcW w:w="697" w:type="dxa"/>
            <w:vAlign w:val="center"/>
          </w:tcPr>
          <w:p>
            <w:pPr>
              <w:jc w:val="center"/>
            </w:pPr>
            <w:r>
              <w:rPr>
                <w:rFonts w:hint="eastAsia"/>
              </w:rPr>
              <w:t>30</w:t>
            </w:r>
          </w:p>
        </w:tc>
        <w:tc>
          <w:tcPr>
            <w:tcW w:w="3941" w:type="dxa"/>
            <w:vAlign w:val="center"/>
          </w:tcPr>
          <w:p>
            <w:r>
              <w:rPr>
                <w:rFonts w:hint="eastAsia"/>
              </w:rPr>
              <w:t>以本次最低投标报价为基准价，投标报价得分</w:t>
            </w:r>
            <w:r>
              <w:t>=(</w:t>
            </w:r>
            <w:r>
              <w:rPr>
                <w:rFonts w:hint="eastAsia"/>
              </w:rPr>
              <w:t>基准价／投标报价</w:t>
            </w:r>
            <w:r>
              <w:t>)</w:t>
            </w:r>
            <w:r>
              <w:rPr>
                <w:rFonts w:hint="eastAsia"/>
              </w:rPr>
              <w:t>×30</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7" w:hRule="atLeast"/>
          <w:jc w:val="center"/>
        </w:trPr>
        <w:tc>
          <w:tcPr>
            <w:tcW w:w="713" w:type="dxa"/>
            <w:vAlign w:val="center"/>
          </w:tcPr>
          <w:p>
            <w:pPr>
              <w:jc w:val="center"/>
              <w:rPr>
                <w:color w:val="auto"/>
              </w:rPr>
            </w:pPr>
            <w:r>
              <w:rPr>
                <w:color w:val="auto"/>
              </w:rPr>
              <w:t>2</w:t>
            </w:r>
          </w:p>
        </w:tc>
        <w:tc>
          <w:tcPr>
            <w:tcW w:w="1774" w:type="dxa"/>
            <w:vAlign w:val="center"/>
          </w:tcPr>
          <w:p>
            <w:pPr>
              <w:jc w:val="center"/>
              <w:rPr>
                <w:color w:val="auto"/>
              </w:rPr>
            </w:pPr>
            <w:r>
              <w:rPr>
                <w:rFonts w:hint="eastAsia"/>
                <w:color w:val="auto"/>
              </w:rPr>
              <w:t>技术指标和配置53</w:t>
            </w:r>
            <w:r>
              <w:rPr>
                <w:color w:val="auto"/>
              </w:rPr>
              <w:t>%</w:t>
            </w:r>
          </w:p>
        </w:tc>
        <w:tc>
          <w:tcPr>
            <w:tcW w:w="697" w:type="dxa"/>
            <w:vAlign w:val="center"/>
          </w:tcPr>
          <w:p>
            <w:pPr>
              <w:jc w:val="center"/>
              <w:rPr>
                <w:color w:val="auto"/>
              </w:rPr>
            </w:pPr>
            <w:r>
              <w:rPr>
                <w:rFonts w:hint="eastAsia"/>
                <w:color w:val="auto"/>
              </w:rPr>
              <w:t>53</w:t>
            </w:r>
          </w:p>
        </w:tc>
        <w:tc>
          <w:tcPr>
            <w:tcW w:w="3941" w:type="dxa"/>
            <w:vAlign w:val="center"/>
          </w:tcPr>
          <w:p>
            <w:pPr>
              <w:rPr>
                <w:color w:val="auto"/>
              </w:rPr>
            </w:pPr>
            <w:r>
              <w:rPr>
                <w:rFonts w:hint="eastAsia"/>
                <w:color w:val="auto"/>
              </w:rPr>
              <w:t>1.投标产品技术参数完全满足招标文件要求，得35分,每有</w:t>
            </w:r>
            <w:r>
              <w:rPr>
                <w:color w:val="auto"/>
              </w:rPr>
              <w:t>1</w:t>
            </w:r>
            <w:r>
              <w:rPr>
                <w:rFonts w:hint="eastAsia"/>
                <w:color w:val="auto"/>
              </w:rPr>
              <w:t>项负偏离扣3分，扣完为止。</w:t>
            </w:r>
            <w:r>
              <w:rPr>
                <w:color w:val="auto"/>
              </w:rPr>
              <w:t>(</w:t>
            </w:r>
            <w:r>
              <w:rPr>
                <w:rFonts w:hint="eastAsia"/>
                <w:color w:val="auto"/>
              </w:rPr>
              <w:t>满分35分</w:t>
            </w:r>
            <w:r>
              <w:rPr>
                <w:color w:val="auto"/>
              </w:rPr>
              <w:t>)</w:t>
            </w:r>
          </w:p>
          <w:p>
            <w:pPr>
              <w:rPr>
                <w:color w:val="auto"/>
              </w:rPr>
            </w:pPr>
            <w:r>
              <w:rPr>
                <w:rFonts w:hint="eastAsia"/>
                <w:color w:val="auto"/>
              </w:rPr>
              <w:t>2</w:t>
            </w:r>
            <w:r>
              <w:rPr>
                <w:color w:val="auto"/>
              </w:rPr>
              <w:t>.</w:t>
            </w:r>
            <w:r>
              <w:rPr>
                <w:rFonts w:hint="eastAsia"/>
                <w:color w:val="auto"/>
              </w:rPr>
              <w:t>每有一项正偏离加2分，最多加14分，正偏离以有效的证明文件为准。（满分14分）</w:t>
            </w:r>
          </w:p>
          <w:p>
            <w:pPr>
              <w:rPr>
                <w:color w:val="auto"/>
              </w:rPr>
            </w:pPr>
            <w:r>
              <w:rPr>
                <w:rFonts w:hint="eastAsia"/>
                <w:color w:val="auto"/>
              </w:rPr>
              <w:t>3</w:t>
            </w:r>
            <w:r>
              <w:rPr>
                <w:color w:val="auto"/>
              </w:rPr>
              <w:t>.</w:t>
            </w:r>
            <w:r>
              <w:rPr>
                <w:rFonts w:hint="eastAsia"/>
                <w:color w:val="auto"/>
              </w:rPr>
              <w:t>投标产品的整体技术性能指标、质量、使用效果及产品的适用性、可靠性、功能性和先进性进行评分，优4分，良2分，一般1分，差不得分。</w:t>
            </w:r>
            <w:r>
              <w:rPr>
                <w:color w:val="auto"/>
              </w:rPr>
              <w:t xml:space="preserve"> (</w:t>
            </w:r>
            <w:r>
              <w:rPr>
                <w:rFonts w:hint="eastAsia"/>
                <w:color w:val="auto"/>
              </w:rPr>
              <w:t>满分4分</w:t>
            </w:r>
            <w:r>
              <w:rPr>
                <w:color w:val="auto"/>
              </w:rPr>
              <w:t>)</w:t>
            </w:r>
            <w:r>
              <w:rPr>
                <w:rFonts w:hint="eastAsia"/>
                <w:color w:val="auto"/>
              </w:rPr>
              <w:t>。</w:t>
            </w:r>
          </w:p>
        </w:tc>
        <w:tc>
          <w:tcPr>
            <w:tcW w:w="2627" w:type="dxa"/>
            <w:vAlign w:val="center"/>
          </w:tcPr>
          <w:p>
            <w:r>
              <w:rPr>
                <w:rFonts w:hint="eastAsia"/>
              </w:rPr>
              <w:t>投标供应商应按投标产品填写真实技术参数值，“*”项及正偏离须提供有效证明材料【</w:t>
            </w:r>
            <w:r>
              <w:rPr>
                <w:rFonts w:ascii="宋体" w:hAnsi="宋体" w:cs="宋体"/>
                <w:szCs w:val="21"/>
              </w:rPr>
              <w:t>必须提供产品厂家的技术支持材料（指厂家所投产品的样本或产品厂家为本项目出具的书面承诺，样本中有的指标以样本为准，样本中没有的指标以承诺书为准）</w:t>
            </w:r>
            <w:r>
              <w:rPr>
                <w:rFonts w:hint="eastAsia"/>
              </w:rPr>
              <w:t>】</w:t>
            </w:r>
            <w:r>
              <w:t>,</w:t>
            </w:r>
            <w:r>
              <w:rPr>
                <w:rFonts w:hint="eastAsia"/>
              </w:rPr>
              <w:t>没有证明材料佐证的*项及</w:t>
            </w:r>
            <w:r>
              <w:t>“</w:t>
            </w:r>
            <w:r>
              <w:rPr>
                <w:rFonts w:hint="eastAsia"/>
              </w:rPr>
              <w:t>正偏离</w:t>
            </w:r>
            <w:r>
              <w:t>”</w:t>
            </w:r>
            <w:r>
              <w:rPr>
                <w:rFonts w:hint="eastAsia"/>
              </w:rPr>
              <w:t>、</w:t>
            </w:r>
            <w:r>
              <w:t>“</w:t>
            </w:r>
            <w:r>
              <w:rPr>
                <w:rFonts w:hint="eastAsia"/>
              </w:rPr>
              <w:t>无偏离</w:t>
            </w:r>
            <w:r>
              <w:t>”</w:t>
            </w:r>
            <w:r>
              <w:rPr>
                <w:rFonts w:hint="eastAsia"/>
              </w:rPr>
              <w:t>，评标委员会评审中将不予认可，并可判定投标产品对该条款的投标响应为</w:t>
            </w:r>
            <w:r>
              <w:t>“</w:t>
            </w:r>
            <w:r>
              <w:rPr>
                <w:rFonts w:hint="eastAsia"/>
              </w:rPr>
              <w:t>负偏离</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jc w:val="center"/>
        </w:trPr>
        <w:tc>
          <w:tcPr>
            <w:tcW w:w="713" w:type="dxa"/>
            <w:vAlign w:val="center"/>
          </w:tcPr>
          <w:p>
            <w:pPr>
              <w:jc w:val="center"/>
              <w:rPr>
                <w:color w:val="auto"/>
              </w:rPr>
            </w:pPr>
            <w:r>
              <w:rPr>
                <w:color w:val="auto"/>
              </w:rPr>
              <w:t>3</w:t>
            </w:r>
          </w:p>
        </w:tc>
        <w:tc>
          <w:tcPr>
            <w:tcW w:w="1774" w:type="dxa"/>
            <w:vAlign w:val="center"/>
          </w:tcPr>
          <w:p>
            <w:pPr>
              <w:jc w:val="center"/>
              <w:rPr>
                <w:color w:val="auto"/>
              </w:rPr>
            </w:pPr>
            <w:r>
              <w:rPr>
                <w:rFonts w:hint="eastAsia"/>
                <w:color w:val="auto"/>
              </w:rPr>
              <w:t>售后服务12</w:t>
            </w:r>
            <w:r>
              <w:rPr>
                <w:color w:val="auto"/>
              </w:rPr>
              <w:t>%</w:t>
            </w:r>
          </w:p>
        </w:tc>
        <w:tc>
          <w:tcPr>
            <w:tcW w:w="697" w:type="dxa"/>
            <w:vAlign w:val="center"/>
          </w:tcPr>
          <w:p>
            <w:pPr>
              <w:jc w:val="center"/>
              <w:rPr>
                <w:color w:val="auto"/>
              </w:rPr>
            </w:pPr>
            <w:r>
              <w:rPr>
                <w:rFonts w:hint="eastAsia"/>
                <w:color w:val="auto"/>
              </w:rPr>
              <w:t>12</w:t>
            </w:r>
          </w:p>
        </w:tc>
        <w:tc>
          <w:tcPr>
            <w:tcW w:w="3941" w:type="dxa"/>
            <w:vAlign w:val="center"/>
          </w:tcPr>
          <w:p>
            <w:pPr>
              <w:jc w:val="left"/>
              <w:rPr>
                <w:color w:val="auto"/>
              </w:rPr>
            </w:pPr>
            <w:r>
              <w:rPr>
                <w:rFonts w:hint="eastAsia"/>
                <w:color w:val="auto"/>
              </w:rPr>
              <w:t>1.在兰州市或本地区有售后服务网点的得3分。</w:t>
            </w:r>
          </w:p>
          <w:p>
            <w:pPr>
              <w:jc w:val="left"/>
              <w:rPr>
                <w:color w:val="auto"/>
              </w:rPr>
            </w:pPr>
            <w:r>
              <w:rPr>
                <w:rFonts w:hint="eastAsia"/>
                <w:color w:val="auto"/>
              </w:rPr>
              <w:t>2.项目实施方案和培训方案（9分）</w:t>
            </w:r>
          </w:p>
          <w:p>
            <w:pPr>
              <w:jc w:val="left"/>
              <w:rPr>
                <w:color w:val="auto"/>
              </w:rPr>
            </w:pPr>
            <w:r>
              <w:rPr>
                <w:rFonts w:hint="eastAsia"/>
                <w:color w:val="auto"/>
              </w:rPr>
              <w:t>①交货期限少于等于45天得2分；45-60天得1分，多于60天0分。</w:t>
            </w:r>
          </w:p>
          <w:p>
            <w:pPr>
              <w:jc w:val="left"/>
              <w:rPr>
                <w:color w:val="auto"/>
              </w:rPr>
            </w:pPr>
            <w:r>
              <w:rPr>
                <w:rFonts w:hint="eastAsia"/>
                <w:color w:val="auto"/>
              </w:rPr>
              <w:t>②提供本项目产品配送、安装等实施方案，详细可行得2分；一般，得1分；差，0分。</w:t>
            </w:r>
          </w:p>
          <w:p>
            <w:pPr>
              <w:jc w:val="left"/>
              <w:rPr>
                <w:color w:val="auto"/>
              </w:rPr>
            </w:pPr>
            <w:r>
              <w:rPr>
                <w:rFonts w:hint="eastAsia"/>
                <w:color w:val="auto"/>
              </w:rPr>
              <w:t>③投标人提供本项目的培训方案，详细得5分，一般得1分，差0分。</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13" w:type="dxa"/>
            <w:vAlign w:val="center"/>
          </w:tcPr>
          <w:p>
            <w:pPr>
              <w:jc w:val="center"/>
            </w:pPr>
            <w:r>
              <w:rPr>
                <w:rFonts w:hint="eastAsia"/>
              </w:rPr>
              <w:t>4</w:t>
            </w:r>
          </w:p>
        </w:tc>
        <w:tc>
          <w:tcPr>
            <w:tcW w:w="1774" w:type="dxa"/>
            <w:vAlign w:val="center"/>
          </w:tcPr>
          <w:p>
            <w:pPr>
              <w:jc w:val="center"/>
            </w:pPr>
            <w:r>
              <w:rPr>
                <w:rFonts w:hint="eastAsia"/>
              </w:rPr>
              <w:t>信誉2</w:t>
            </w:r>
            <w:r>
              <w:t>%</w:t>
            </w:r>
          </w:p>
        </w:tc>
        <w:tc>
          <w:tcPr>
            <w:tcW w:w="697" w:type="dxa"/>
            <w:vAlign w:val="center"/>
          </w:tcPr>
          <w:p>
            <w:pPr>
              <w:jc w:val="center"/>
            </w:pPr>
            <w:r>
              <w:rPr>
                <w:rFonts w:hint="eastAsia"/>
              </w:rPr>
              <w:t>2</w:t>
            </w:r>
          </w:p>
        </w:tc>
        <w:tc>
          <w:tcPr>
            <w:tcW w:w="3941" w:type="dxa"/>
            <w:vAlign w:val="top"/>
          </w:tcPr>
          <w:p>
            <w:pPr>
              <w:jc w:val="left"/>
            </w:pPr>
            <w:r>
              <w:rPr>
                <w:rFonts w:hint="eastAsia"/>
              </w:rPr>
              <w:t>提供由省级以上部门颁发的重合同守信用证书，得2分，否则不得分。</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713" w:type="dxa"/>
            <w:vAlign w:val="center"/>
          </w:tcPr>
          <w:p>
            <w:pPr>
              <w:jc w:val="center"/>
            </w:pPr>
            <w:r>
              <w:rPr>
                <w:rFonts w:hint="eastAsia"/>
              </w:rPr>
              <w:t>5</w:t>
            </w:r>
          </w:p>
        </w:tc>
        <w:tc>
          <w:tcPr>
            <w:tcW w:w="1774" w:type="dxa"/>
            <w:vAlign w:val="center"/>
          </w:tcPr>
          <w:p>
            <w:pPr>
              <w:jc w:val="center"/>
            </w:pPr>
            <w:r>
              <w:rPr>
                <w:rFonts w:hint="eastAsia"/>
              </w:rPr>
              <w:t>投标文件制作3</w:t>
            </w:r>
            <w:r>
              <w:t>%</w:t>
            </w:r>
          </w:p>
        </w:tc>
        <w:tc>
          <w:tcPr>
            <w:tcW w:w="697" w:type="dxa"/>
            <w:vAlign w:val="center"/>
          </w:tcPr>
          <w:p>
            <w:pPr>
              <w:jc w:val="center"/>
            </w:pPr>
            <w:r>
              <w:rPr>
                <w:rFonts w:hint="eastAsia"/>
              </w:rPr>
              <w:t>3</w:t>
            </w:r>
          </w:p>
        </w:tc>
        <w:tc>
          <w:tcPr>
            <w:tcW w:w="3941" w:type="dxa"/>
            <w:vAlign w:val="center"/>
          </w:tcPr>
          <w:p>
            <w:pPr>
              <w:jc w:val="left"/>
            </w:pPr>
            <w:r>
              <w:rPr>
                <w:rFonts w:hint="eastAsia"/>
              </w:rPr>
              <w:t>投标文件制作规范，有目录、附件齐全的、所提供与投标产品相同配置及参数的说明书或彩页能详细反映招标文件技术参数的得3分，否则不得分</w:t>
            </w:r>
            <w:r>
              <w:rPr>
                <w:rFonts w:hint="eastAsia"/>
                <w:lang w:eastAsia="zh-CN"/>
              </w:rPr>
              <w:t>。</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752" w:type="dxa"/>
            <w:gridSpan w:val="5"/>
            <w:vAlign w:val="center"/>
          </w:tcPr>
          <w:p>
            <w:pPr>
              <w:rPr>
                <w:b/>
                <w:bCs/>
              </w:rPr>
            </w:pPr>
            <w:r>
              <w:rPr>
                <w:b/>
                <w:bCs/>
              </w:rPr>
              <w:t>*</w:t>
            </w:r>
            <w:r>
              <w:rPr>
                <w:rFonts w:hint="eastAsia"/>
                <w:b/>
                <w:bCs/>
              </w:rPr>
              <w:t>以上所有证明材料须提供原件现场备查，如投标人不能提供，评标委员会有权不予认可。</w:t>
            </w:r>
          </w:p>
          <w:p>
            <w:r>
              <w:rPr>
                <w:b/>
                <w:bCs/>
              </w:rPr>
              <w:t>“*”</w:t>
            </w:r>
            <w:r>
              <w:rPr>
                <w:rFonts w:hint="eastAsia"/>
                <w:b/>
                <w:bCs/>
                <w:lang w:eastAsia="zh-CN"/>
              </w:rPr>
              <w:t>项技术</w:t>
            </w:r>
            <w:r>
              <w:rPr>
                <w:rFonts w:hint="eastAsia"/>
                <w:b/>
                <w:bCs/>
              </w:rPr>
              <w:t>参数不满足</w:t>
            </w:r>
            <w:r>
              <w:rPr>
                <w:rFonts w:hint="eastAsia"/>
                <w:b/>
                <w:bCs/>
                <w:lang w:eastAsia="zh-CN"/>
              </w:rPr>
              <w:t>招标文件要求</w:t>
            </w:r>
            <w:r>
              <w:rPr>
                <w:rFonts w:hint="eastAsia"/>
                <w:b/>
                <w:bCs/>
              </w:rPr>
              <w:t>按废标处理。</w:t>
            </w:r>
          </w:p>
        </w:tc>
      </w:tr>
    </w:tbl>
    <w:p>
      <w:pPr>
        <w:spacing w:line="500" w:lineRule="exact"/>
        <w:ind w:firstLine="480" w:firstLineChars="200"/>
        <w:rPr>
          <w:rFonts w:hint="eastAsia" w:ascii="宋体" w:hAnsi="宋体"/>
          <w:color w:val="000000"/>
          <w:sz w:val="24"/>
        </w:rPr>
      </w:pPr>
      <w:r>
        <w:rPr>
          <w:rFonts w:hint="eastAsia" w:ascii="宋体" w:hAnsi="宋体"/>
          <w:sz w:val="24"/>
        </w:rPr>
        <w:t>6.3.3变更采购方式后采用的评标方法</w:t>
      </w:r>
    </w:p>
    <w:p>
      <w:pPr>
        <w:spacing w:line="500" w:lineRule="exact"/>
        <w:ind w:firstLine="480" w:firstLineChars="200"/>
        <w:rPr>
          <w:rFonts w:hint="eastAsia" w:ascii="宋体" w:hAnsi="宋体" w:cs="宋体"/>
          <w:color w:val="000000"/>
          <w:sz w:val="24"/>
          <w:lang w:val="zh-CN"/>
        </w:rPr>
      </w:pPr>
      <w:r>
        <w:rPr>
          <w:rFonts w:hint="eastAsia" w:ascii="宋体" w:hAnsi="宋体"/>
          <w:bCs/>
          <w:color w:val="000000"/>
          <w:sz w:val="24"/>
        </w:rPr>
        <w:t>经同级政府采购监管部门审核批准由公开招标变更为竞争性谈判或其他采购方式采购后，原采用 “综合评分法”的项目将选择</w:t>
      </w:r>
      <w:r>
        <w:rPr>
          <w:rFonts w:ascii="宋体" w:hAnsi="宋体" w:cs="宋体"/>
          <w:color w:val="000000"/>
          <w:sz w:val="24"/>
          <w:lang w:val="zh-CN"/>
        </w:rPr>
        <w:t>“</w:t>
      </w:r>
      <w:r>
        <w:rPr>
          <w:rFonts w:hint="eastAsia" w:ascii="宋体" w:hAnsi="宋体" w:cs="宋体"/>
          <w:color w:val="000000"/>
          <w:sz w:val="24"/>
          <w:lang w:val="zh-CN"/>
        </w:rPr>
        <w:t>最低评标价法</w:t>
      </w:r>
      <w:r>
        <w:rPr>
          <w:rFonts w:ascii="宋体" w:hAnsi="宋体" w:cs="宋体"/>
          <w:color w:val="000000"/>
          <w:sz w:val="24"/>
          <w:lang w:val="zh-CN"/>
        </w:rPr>
        <w:t>”</w:t>
      </w:r>
      <w:r>
        <w:rPr>
          <w:rFonts w:hint="eastAsia" w:ascii="宋体" w:hAnsi="宋体" w:cs="宋体"/>
          <w:color w:val="000000"/>
          <w:sz w:val="24"/>
          <w:lang w:val="zh-CN"/>
        </w:rPr>
        <w:t>做为评标方法。</w:t>
      </w:r>
    </w:p>
    <w:p>
      <w:pPr>
        <w:pStyle w:val="3"/>
        <w:spacing w:before="0" w:after="0" w:line="500" w:lineRule="exact"/>
        <w:ind w:firstLine="482" w:firstLineChars="200"/>
        <w:jc w:val="both"/>
        <w:rPr>
          <w:rFonts w:hint="eastAsia" w:ascii="宋体" w:hAnsi="宋体"/>
          <w:color w:val="000000"/>
          <w:sz w:val="24"/>
          <w:szCs w:val="24"/>
        </w:rPr>
      </w:pPr>
      <w:bookmarkStart w:id="231" w:name="_Toc453596857"/>
      <w:r>
        <w:rPr>
          <w:rFonts w:hint="eastAsia" w:ascii="宋体" w:hAnsi="宋体"/>
          <w:color w:val="000000"/>
          <w:sz w:val="24"/>
          <w:szCs w:val="24"/>
        </w:rPr>
        <w:t>6.4 评标委员会的职责及中标供应商的确定</w:t>
      </w:r>
      <w:bookmarkEnd w:id="231"/>
    </w:p>
    <w:p>
      <w:pPr>
        <w:pStyle w:val="4"/>
        <w:spacing w:line="500" w:lineRule="exact"/>
        <w:rPr>
          <w:rFonts w:hint="eastAsia"/>
          <w:color w:val="000000"/>
        </w:rPr>
      </w:pPr>
      <w:bookmarkStart w:id="232" w:name="_Toc453596858"/>
      <w:r>
        <w:rPr>
          <w:rFonts w:hint="eastAsia"/>
          <w:color w:val="000000"/>
        </w:rPr>
        <w:t>6.4.1 评标委员会的职责</w:t>
      </w:r>
      <w:bookmarkEnd w:id="232"/>
    </w:p>
    <w:p>
      <w:pPr>
        <w:spacing w:line="500" w:lineRule="exact"/>
        <w:ind w:firstLine="480" w:firstLineChars="200"/>
        <w:rPr>
          <w:rFonts w:hint="eastAsia" w:ascii="宋体" w:hAnsi="宋体"/>
          <w:color w:val="000000"/>
          <w:sz w:val="24"/>
        </w:rPr>
      </w:pPr>
      <w:r>
        <w:rPr>
          <w:rFonts w:hint="eastAsia" w:ascii="宋体" w:hAnsi="宋体"/>
          <w:color w:val="000000"/>
          <w:sz w:val="24"/>
        </w:rPr>
        <w:t>评标委员会完成评标后，提出书面评标报告。评标报告是评标委员会根据全体评标成员签字的原始评标记录和评标结果编写的报告，主要内容包括：</w:t>
      </w:r>
    </w:p>
    <w:p>
      <w:pPr>
        <w:spacing w:line="500" w:lineRule="exact"/>
        <w:ind w:firstLine="480" w:firstLineChars="200"/>
        <w:rPr>
          <w:rFonts w:hint="eastAsia" w:ascii="宋体" w:hAnsi="宋体"/>
          <w:color w:val="000000"/>
          <w:sz w:val="24"/>
        </w:rPr>
      </w:pPr>
      <w:r>
        <w:rPr>
          <w:rFonts w:hint="eastAsia" w:ascii="宋体" w:hAnsi="宋体"/>
          <w:color w:val="000000"/>
          <w:sz w:val="24"/>
        </w:rPr>
        <w:t>1）招标公告刊登的媒体名称、开标日期和地点；</w:t>
      </w:r>
    </w:p>
    <w:p>
      <w:pPr>
        <w:spacing w:line="500" w:lineRule="exact"/>
        <w:ind w:firstLine="480" w:firstLineChars="200"/>
        <w:rPr>
          <w:rFonts w:hint="eastAsia" w:ascii="宋体" w:hAnsi="宋体"/>
          <w:color w:val="000000"/>
          <w:sz w:val="24"/>
        </w:rPr>
      </w:pPr>
      <w:r>
        <w:rPr>
          <w:rFonts w:hint="eastAsia" w:ascii="宋体" w:hAnsi="宋体"/>
          <w:color w:val="000000"/>
          <w:sz w:val="24"/>
        </w:rPr>
        <w:t>2）购买招标文件的投标人名单和评标委员会成员名单；</w:t>
      </w:r>
    </w:p>
    <w:p>
      <w:pPr>
        <w:spacing w:line="500" w:lineRule="exact"/>
        <w:ind w:firstLine="480" w:firstLineChars="200"/>
        <w:rPr>
          <w:rFonts w:hint="eastAsia" w:ascii="宋体" w:hAnsi="宋体"/>
          <w:color w:val="000000"/>
          <w:sz w:val="24"/>
        </w:rPr>
      </w:pPr>
      <w:r>
        <w:rPr>
          <w:rFonts w:hint="eastAsia" w:ascii="宋体" w:hAnsi="宋体"/>
          <w:color w:val="000000"/>
          <w:sz w:val="24"/>
        </w:rPr>
        <w:t>3）评标方法和标准；</w:t>
      </w:r>
    </w:p>
    <w:p>
      <w:pPr>
        <w:spacing w:line="500" w:lineRule="exact"/>
        <w:ind w:firstLine="480" w:firstLineChars="200"/>
        <w:rPr>
          <w:rFonts w:hint="eastAsia" w:ascii="宋体" w:hAnsi="宋体"/>
          <w:color w:val="000000"/>
          <w:sz w:val="24"/>
        </w:rPr>
      </w:pPr>
      <w:r>
        <w:rPr>
          <w:rFonts w:hint="eastAsia" w:ascii="宋体" w:hAnsi="宋体"/>
          <w:color w:val="000000"/>
          <w:sz w:val="24"/>
        </w:rPr>
        <w:t>4）开标记录和评标情况及说明，包括投标无效投标人名单及原因；</w:t>
      </w:r>
    </w:p>
    <w:p>
      <w:pPr>
        <w:spacing w:line="500" w:lineRule="exact"/>
        <w:ind w:firstLine="480" w:firstLineChars="200"/>
        <w:rPr>
          <w:rFonts w:hint="eastAsia" w:ascii="宋体" w:hAnsi="宋体"/>
          <w:color w:val="000000"/>
          <w:sz w:val="24"/>
        </w:rPr>
      </w:pPr>
      <w:r>
        <w:rPr>
          <w:rFonts w:hint="eastAsia" w:ascii="宋体" w:hAnsi="宋体"/>
          <w:color w:val="000000"/>
          <w:sz w:val="24"/>
        </w:rPr>
        <w:t>5）评标结果和中标候选供应商排序表；</w:t>
      </w:r>
    </w:p>
    <w:p>
      <w:pPr>
        <w:spacing w:line="500" w:lineRule="exact"/>
        <w:ind w:firstLine="480" w:firstLineChars="200"/>
        <w:rPr>
          <w:rFonts w:hint="eastAsia" w:ascii="宋体" w:hAnsi="宋体"/>
          <w:color w:val="000000"/>
          <w:sz w:val="24"/>
        </w:rPr>
      </w:pPr>
      <w:r>
        <w:rPr>
          <w:rFonts w:hint="eastAsia" w:ascii="宋体" w:hAnsi="宋体"/>
          <w:color w:val="000000"/>
          <w:sz w:val="24"/>
        </w:rPr>
        <w:t>6）评标委员会的授标建议。</w:t>
      </w:r>
    </w:p>
    <w:p>
      <w:pPr>
        <w:spacing w:line="500" w:lineRule="exact"/>
        <w:ind w:firstLine="480" w:firstLineChars="200"/>
        <w:rPr>
          <w:rFonts w:hint="eastAsia" w:ascii="宋体" w:hAnsi="宋体"/>
          <w:color w:val="000000"/>
          <w:sz w:val="24"/>
        </w:rPr>
      </w:pPr>
      <w:r>
        <w:rPr>
          <w:rFonts w:hint="eastAsia" w:ascii="宋体" w:hAnsi="宋体"/>
          <w:color w:val="000000"/>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纪录在案。</w:t>
      </w:r>
    </w:p>
    <w:p>
      <w:pPr>
        <w:pStyle w:val="3"/>
        <w:spacing w:before="0" w:after="0" w:line="500" w:lineRule="exact"/>
        <w:ind w:firstLine="482" w:firstLineChars="200"/>
        <w:jc w:val="both"/>
        <w:rPr>
          <w:rFonts w:hint="eastAsia" w:ascii="宋体" w:hAnsi="宋体"/>
          <w:color w:val="000000"/>
          <w:sz w:val="24"/>
          <w:szCs w:val="24"/>
        </w:rPr>
      </w:pPr>
      <w:bookmarkStart w:id="233" w:name="_Toc453596859"/>
      <w:r>
        <w:rPr>
          <w:rFonts w:hint="eastAsia" w:ascii="宋体" w:hAnsi="宋体"/>
          <w:color w:val="000000"/>
          <w:sz w:val="24"/>
          <w:szCs w:val="24"/>
        </w:rPr>
        <w:t>6.5 废标</w:t>
      </w:r>
      <w:bookmarkEnd w:id="233"/>
    </w:p>
    <w:p>
      <w:pPr>
        <w:pStyle w:val="14"/>
        <w:spacing w:line="500" w:lineRule="exact"/>
        <w:ind w:left="359" w:leftChars="171" w:firstLine="120" w:firstLineChars="50"/>
        <w:rPr>
          <w:rFonts w:hint="eastAsia" w:ascii="宋体" w:hAnsi="宋体"/>
          <w:b w:val="0"/>
          <w:bCs w:val="0"/>
          <w:color w:val="000000"/>
          <w:sz w:val="24"/>
          <w:szCs w:val="24"/>
        </w:rPr>
      </w:pPr>
      <w:r>
        <w:rPr>
          <w:rFonts w:ascii="宋体" w:hAnsi="宋体"/>
          <w:b w:val="0"/>
          <w:bCs w:val="0"/>
          <w:color w:val="000000"/>
          <w:sz w:val="24"/>
          <w:szCs w:val="24"/>
        </w:rPr>
        <w:t>在招标采购中，出现下列情形之一的，应予废标：</w:t>
      </w:r>
    </w:p>
    <w:p>
      <w:pPr>
        <w:pStyle w:val="14"/>
        <w:spacing w:line="500" w:lineRule="exact"/>
        <w:ind w:firstLine="569" w:firstLineChars="237"/>
        <w:rPr>
          <w:rFonts w:ascii="宋体" w:hAnsi="宋体"/>
          <w:b w:val="0"/>
          <w:bCs w:val="0"/>
          <w:color w:val="000000"/>
          <w:sz w:val="24"/>
          <w:szCs w:val="24"/>
          <w:u w:val="double"/>
        </w:rPr>
      </w:pPr>
      <w:r>
        <w:rPr>
          <w:rFonts w:hint="eastAsia" w:ascii="宋体" w:hAnsi="宋体"/>
          <w:b w:val="0"/>
          <w:bCs w:val="0"/>
          <w:color w:val="000000"/>
          <w:sz w:val="24"/>
          <w:szCs w:val="24"/>
        </w:rPr>
        <w:t>1</w:t>
      </w:r>
      <w:r>
        <w:rPr>
          <w:rFonts w:ascii="宋体" w:hAnsi="宋体"/>
          <w:b w:val="0"/>
          <w:bCs w:val="0"/>
          <w:color w:val="000000"/>
          <w:sz w:val="24"/>
          <w:szCs w:val="24"/>
        </w:rPr>
        <w:t>）符合专业条件的供应商或者对招标文件作实质响应的供应商不足三家的</w:t>
      </w:r>
      <w:r>
        <w:rPr>
          <w:rFonts w:hint="eastAsia" w:ascii="宋体" w:hAnsi="宋体"/>
          <w:b w:val="0"/>
          <w:bCs w:val="0"/>
          <w:color w:val="000000"/>
          <w:sz w:val="24"/>
          <w:szCs w:val="24"/>
        </w:rPr>
        <w:t>（经同级政府采购监管部门审核批准的除外）</w:t>
      </w:r>
      <w:r>
        <w:rPr>
          <w:rFonts w:ascii="宋体" w:hAnsi="宋体"/>
          <w:b w:val="0"/>
          <w:bCs w:val="0"/>
          <w:color w:val="000000"/>
          <w:sz w:val="24"/>
          <w:szCs w:val="24"/>
        </w:rPr>
        <w:t>；</w:t>
      </w:r>
    </w:p>
    <w:p>
      <w:pPr>
        <w:pStyle w:val="14"/>
        <w:spacing w:line="500" w:lineRule="exact"/>
        <w:ind w:firstLine="480" w:firstLineChars="200"/>
        <w:rPr>
          <w:rFonts w:hint="eastAsia" w:ascii="宋体" w:hAnsi="宋体"/>
          <w:b w:val="0"/>
          <w:bCs w:val="0"/>
          <w:color w:val="000000"/>
          <w:sz w:val="24"/>
          <w:szCs w:val="24"/>
        </w:rPr>
      </w:pPr>
      <w:r>
        <w:rPr>
          <w:rFonts w:hint="eastAsia" w:ascii="宋体" w:hAnsi="宋体"/>
          <w:b w:val="0"/>
          <w:bCs w:val="0"/>
          <w:color w:val="000000"/>
          <w:sz w:val="24"/>
          <w:szCs w:val="24"/>
        </w:rPr>
        <w:t>2</w:t>
      </w:r>
      <w:r>
        <w:rPr>
          <w:rFonts w:ascii="宋体" w:hAnsi="宋体"/>
          <w:b w:val="0"/>
          <w:bCs w:val="0"/>
          <w:color w:val="000000"/>
          <w:sz w:val="24"/>
          <w:szCs w:val="24"/>
        </w:rPr>
        <w:t>）出现影响采购公正的违法、违规行为的；</w:t>
      </w:r>
    </w:p>
    <w:p>
      <w:pPr>
        <w:pStyle w:val="14"/>
        <w:spacing w:line="500" w:lineRule="exact"/>
        <w:ind w:left="479" w:leftChars="228" w:firstLine="0"/>
        <w:rPr>
          <w:rFonts w:ascii="宋体" w:hAnsi="宋体"/>
          <w:b w:val="0"/>
          <w:bCs w:val="0"/>
          <w:color w:val="000000"/>
          <w:sz w:val="24"/>
          <w:szCs w:val="24"/>
        </w:rPr>
      </w:pPr>
      <w:r>
        <w:rPr>
          <w:rFonts w:hint="eastAsia" w:ascii="宋体" w:hAnsi="宋体"/>
          <w:b w:val="0"/>
          <w:bCs w:val="0"/>
          <w:color w:val="000000"/>
          <w:sz w:val="24"/>
          <w:szCs w:val="24"/>
        </w:rPr>
        <w:t>3</w:t>
      </w:r>
      <w:r>
        <w:rPr>
          <w:rFonts w:ascii="宋体" w:hAnsi="宋体"/>
          <w:b w:val="0"/>
          <w:bCs w:val="0"/>
          <w:color w:val="000000"/>
          <w:sz w:val="24"/>
          <w:szCs w:val="24"/>
        </w:rPr>
        <w:t>）投标人的报价均超过了采购预算，采购人不能支付的；</w:t>
      </w:r>
    </w:p>
    <w:p>
      <w:pPr>
        <w:pStyle w:val="14"/>
        <w:spacing w:line="500" w:lineRule="exact"/>
        <w:ind w:left="479" w:leftChars="228" w:firstLine="0"/>
        <w:rPr>
          <w:rFonts w:ascii="宋体" w:hAnsi="宋体"/>
          <w:b w:val="0"/>
          <w:bCs w:val="0"/>
          <w:color w:val="000000"/>
          <w:sz w:val="24"/>
          <w:szCs w:val="24"/>
        </w:rPr>
      </w:pPr>
      <w:r>
        <w:rPr>
          <w:rFonts w:hint="eastAsia" w:ascii="宋体" w:hAnsi="宋体"/>
          <w:b w:val="0"/>
          <w:bCs w:val="0"/>
          <w:color w:val="000000"/>
          <w:sz w:val="24"/>
          <w:szCs w:val="24"/>
        </w:rPr>
        <w:t>4</w:t>
      </w:r>
      <w:r>
        <w:rPr>
          <w:rFonts w:ascii="宋体" w:hAnsi="宋体"/>
          <w:b w:val="0"/>
          <w:bCs w:val="0"/>
          <w:color w:val="000000"/>
          <w:sz w:val="24"/>
          <w:szCs w:val="24"/>
        </w:rPr>
        <w:t>）因重大变故，采购任务取消的。</w:t>
      </w:r>
    </w:p>
    <w:p>
      <w:pPr>
        <w:pStyle w:val="14"/>
        <w:spacing w:line="500" w:lineRule="exact"/>
        <w:ind w:left="479" w:leftChars="228" w:firstLine="0"/>
        <w:rPr>
          <w:rFonts w:hint="eastAsia"/>
          <w:color w:val="000000"/>
        </w:rPr>
      </w:pPr>
      <w:r>
        <w:rPr>
          <w:rFonts w:ascii="宋体" w:hAnsi="宋体"/>
          <w:b w:val="0"/>
          <w:bCs w:val="0"/>
          <w:color w:val="000000"/>
          <w:sz w:val="24"/>
          <w:szCs w:val="24"/>
        </w:rPr>
        <w:t>废标后，采购人应当将废标理由通知所有</w:t>
      </w:r>
      <w:r>
        <w:rPr>
          <w:rFonts w:hint="eastAsia" w:ascii="宋体" w:hAnsi="宋体"/>
          <w:b w:val="0"/>
          <w:bCs w:val="0"/>
          <w:color w:val="000000"/>
          <w:sz w:val="24"/>
          <w:szCs w:val="24"/>
        </w:rPr>
        <w:t>采购当事</w:t>
      </w:r>
      <w:r>
        <w:rPr>
          <w:rFonts w:ascii="宋体" w:hAnsi="宋体"/>
          <w:b w:val="0"/>
          <w:bCs w:val="0"/>
          <w:color w:val="000000"/>
          <w:sz w:val="24"/>
          <w:szCs w:val="24"/>
        </w:rPr>
        <w:t>人。</w:t>
      </w:r>
    </w:p>
    <w:p>
      <w:pPr>
        <w:pStyle w:val="2"/>
        <w:rPr>
          <w:rFonts w:hint="eastAsia"/>
          <w:color w:val="000000"/>
        </w:rPr>
      </w:pPr>
      <w:r>
        <w:rPr>
          <w:rFonts w:hint="eastAsia"/>
          <w:color w:val="000000"/>
        </w:rPr>
        <w:br w:type="page"/>
      </w:r>
    </w:p>
    <w:p>
      <w:pPr>
        <w:pStyle w:val="2"/>
        <w:rPr>
          <w:rFonts w:hint="eastAsia"/>
          <w:color w:val="000000"/>
        </w:rPr>
      </w:pPr>
      <w:bookmarkStart w:id="234" w:name="_Toc453596860"/>
      <w:r>
        <w:rPr>
          <w:rFonts w:hint="eastAsia"/>
          <w:color w:val="000000"/>
        </w:rPr>
        <w:t>7、附件</w:t>
      </w:r>
      <w:bookmarkEnd w:id="234"/>
    </w:p>
    <w:p>
      <w:pPr>
        <w:spacing w:line="360" w:lineRule="auto"/>
        <w:ind w:firstLine="480" w:firstLineChars="200"/>
        <w:rPr>
          <w:rFonts w:hint="eastAsia" w:ascii="宋体" w:hAnsi="宋体"/>
          <w:color w:val="000000"/>
          <w:sz w:val="24"/>
        </w:rPr>
      </w:pPr>
      <w:r>
        <w:rPr>
          <w:rFonts w:hint="eastAsia" w:ascii="宋体" w:hAnsi="宋体"/>
          <w:color w:val="000000"/>
          <w:sz w:val="24"/>
        </w:rPr>
        <w:t>附件1：合同格式及条款</w:t>
      </w:r>
    </w:p>
    <w:p>
      <w:pPr>
        <w:spacing w:line="360" w:lineRule="auto"/>
        <w:ind w:firstLine="480" w:firstLineChars="200"/>
        <w:rPr>
          <w:rFonts w:hint="eastAsia" w:ascii="宋体" w:hAnsi="宋体"/>
          <w:color w:val="000000"/>
          <w:sz w:val="24"/>
        </w:rPr>
      </w:pPr>
      <w:r>
        <w:rPr>
          <w:rFonts w:hint="eastAsia" w:ascii="宋体" w:hAnsi="宋体"/>
          <w:color w:val="000000"/>
          <w:sz w:val="24"/>
        </w:rPr>
        <w:t>附件2：投标函</w:t>
      </w:r>
    </w:p>
    <w:p>
      <w:pPr>
        <w:spacing w:line="360" w:lineRule="auto"/>
        <w:ind w:firstLine="480" w:firstLineChars="200"/>
        <w:rPr>
          <w:rFonts w:hint="eastAsia" w:ascii="宋体" w:hAnsi="宋体"/>
          <w:color w:val="000000"/>
          <w:sz w:val="24"/>
        </w:rPr>
      </w:pPr>
      <w:r>
        <w:rPr>
          <w:rFonts w:hint="eastAsia" w:ascii="宋体" w:hAnsi="宋体"/>
          <w:color w:val="000000"/>
          <w:sz w:val="24"/>
        </w:rPr>
        <w:t>附件3：法人授权函</w:t>
      </w:r>
    </w:p>
    <w:p>
      <w:pPr>
        <w:spacing w:line="360" w:lineRule="auto"/>
        <w:ind w:firstLine="480" w:firstLineChars="200"/>
        <w:rPr>
          <w:rFonts w:hint="eastAsia" w:ascii="宋体" w:hAnsi="宋体"/>
          <w:color w:val="000000"/>
          <w:sz w:val="24"/>
        </w:rPr>
      </w:pPr>
      <w:r>
        <w:rPr>
          <w:rFonts w:hint="eastAsia" w:ascii="宋体" w:hAnsi="宋体"/>
          <w:color w:val="000000"/>
          <w:sz w:val="24"/>
        </w:rPr>
        <w:t>附件4：法定代表人资格证明</w:t>
      </w:r>
    </w:p>
    <w:p>
      <w:pPr>
        <w:spacing w:line="360" w:lineRule="auto"/>
        <w:ind w:firstLine="480" w:firstLineChars="200"/>
        <w:rPr>
          <w:rFonts w:hint="eastAsia" w:ascii="宋体" w:hAnsi="宋体"/>
          <w:color w:val="000000"/>
          <w:sz w:val="24"/>
        </w:rPr>
      </w:pPr>
      <w:r>
        <w:rPr>
          <w:rFonts w:hint="eastAsia" w:ascii="宋体" w:hAnsi="宋体"/>
          <w:color w:val="000000"/>
          <w:sz w:val="24"/>
        </w:rPr>
        <w:t>附件5：投标报价表</w:t>
      </w:r>
    </w:p>
    <w:p>
      <w:pPr>
        <w:spacing w:line="360" w:lineRule="auto"/>
        <w:ind w:firstLine="480" w:firstLineChars="200"/>
        <w:rPr>
          <w:rFonts w:hint="eastAsia" w:ascii="宋体" w:hAnsi="宋体"/>
          <w:color w:val="000000"/>
          <w:sz w:val="24"/>
        </w:rPr>
      </w:pPr>
      <w:r>
        <w:rPr>
          <w:rFonts w:hint="eastAsia" w:ascii="宋体" w:hAnsi="宋体"/>
          <w:color w:val="000000"/>
          <w:sz w:val="24"/>
        </w:rPr>
        <w:t>附件6：投标货物偏离表</w:t>
      </w:r>
    </w:p>
    <w:p>
      <w:pPr>
        <w:spacing w:line="360" w:lineRule="auto"/>
        <w:ind w:firstLine="480" w:firstLineChars="200"/>
        <w:rPr>
          <w:rFonts w:hint="eastAsia" w:ascii="宋体" w:hAnsi="宋体"/>
          <w:color w:val="000000"/>
          <w:sz w:val="24"/>
        </w:rPr>
      </w:pPr>
      <w:r>
        <w:rPr>
          <w:rFonts w:hint="eastAsia" w:ascii="宋体" w:hAnsi="宋体"/>
          <w:color w:val="000000"/>
          <w:sz w:val="24"/>
        </w:rPr>
        <w:t>附件7：生产厂家授权函</w:t>
      </w:r>
    </w:p>
    <w:p>
      <w:pPr>
        <w:pStyle w:val="13"/>
        <w:snapToGrid/>
        <w:spacing w:line="360" w:lineRule="auto"/>
        <w:ind w:firstLine="496" w:firstLineChars="200"/>
        <w:rPr>
          <w:rFonts w:hint="eastAsia"/>
          <w:color w:val="000000"/>
        </w:rPr>
      </w:pPr>
      <w:r>
        <w:rPr>
          <w:rFonts w:hint="eastAsia"/>
          <w:color w:val="000000"/>
        </w:rPr>
        <w:t>附件8：</w:t>
      </w:r>
      <w:r>
        <w:rPr>
          <w:rFonts w:hint="eastAsia"/>
        </w:rPr>
        <w:t>中小企业声明函（非中小微企业不提供）</w:t>
      </w:r>
    </w:p>
    <w:p>
      <w:pPr>
        <w:pStyle w:val="13"/>
        <w:snapToGrid/>
        <w:spacing w:line="360" w:lineRule="auto"/>
        <w:ind w:firstLine="496" w:firstLineChars="200"/>
        <w:rPr>
          <w:rFonts w:hint="eastAsia"/>
          <w:color w:val="000000"/>
        </w:rPr>
      </w:pPr>
      <w:r>
        <w:rPr>
          <w:rFonts w:hint="eastAsia"/>
          <w:color w:val="000000"/>
        </w:rPr>
        <w:t>附件9：招标文件确认函</w:t>
      </w:r>
    </w:p>
    <w:p>
      <w:pPr>
        <w:pStyle w:val="13"/>
        <w:snapToGrid/>
        <w:spacing w:line="360" w:lineRule="auto"/>
        <w:ind w:firstLine="496" w:firstLineChars="200"/>
        <w:rPr>
          <w:rFonts w:hint="eastAsia"/>
          <w:color w:val="000000"/>
        </w:rPr>
      </w:pPr>
      <w:r>
        <w:rPr>
          <w:rFonts w:hint="eastAsia"/>
        </w:rPr>
        <w:t>附件10：财库【2011】181号和工信部联企业【2011】300号文件</w:t>
      </w:r>
    </w:p>
    <w:p>
      <w:pPr>
        <w:pStyle w:val="13"/>
        <w:snapToGrid/>
        <w:spacing w:line="360" w:lineRule="auto"/>
        <w:ind w:firstLine="496" w:firstLineChars="200"/>
        <w:rPr>
          <w:rStyle w:val="45"/>
          <w:rFonts w:hint="eastAsia" w:ascii="宋体" w:hAnsi="宋体"/>
          <w:b w:val="0"/>
          <w:bCs w:val="0"/>
          <w:color w:val="000000"/>
          <w:sz w:val="24"/>
          <w:szCs w:val="20"/>
        </w:rPr>
      </w:pPr>
      <w:r>
        <w:rPr>
          <w:rFonts w:hint="eastAsia"/>
          <w:color w:val="000000"/>
        </w:rPr>
        <w:t>(以上附件内容详见后附件)</w:t>
      </w:r>
    </w:p>
    <w:p>
      <w:pPr>
        <w:spacing w:line="360" w:lineRule="auto"/>
        <w:rPr>
          <w:rFonts w:hint="eastAsia" w:ascii="宋体" w:hAnsi="宋体"/>
          <w:b/>
          <w:color w:val="000000"/>
          <w:sz w:val="24"/>
        </w:rPr>
      </w:pPr>
      <w:r>
        <w:rPr>
          <w:rStyle w:val="45"/>
          <w:rFonts w:ascii="宋体" w:hAnsi="宋体"/>
          <w:color w:val="000000"/>
          <w:sz w:val="36"/>
          <w:szCs w:val="36"/>
        </w:rPr>
        <w:br w:type="page"/>
      </w:r>
      <w:r>
        <w:rPr>
          <w:rFonts w:hint="eastAsia" w:ascii="宋体" w:hAnsi="宋体"/>
          <w:b/>
          <w:color w:val="000000"/>
          <w:sz w:val="24"/>
        </w:rPr>
        <w:t>附件1：</w:t>
      </w:r>
    </w:p>
    <w:p>
      <w:pPr>
        <w:pStyle w:val="3"/>
        <w:spacing w:before="0" w:after="0"/>
        <w:rPr>
          <w:rFonts w:hint="eastAsia" w:ascii="宋体" w:hAnsi="宋体"/>
          <w:b w:val="0"/>
          <w:color w:val="000000"/>
          <w:sz w:val="24"/>
        </w:rPr>
      </w:pPr>
      <w:bookmarkStart w:id="235" w:name="_Toc453596861"/>
      <w:r>
        <w:rPr>
          <w:rFonts w:hint="eastAsia" w:ascii="宋体" w:hAnsi="宋体"/>
          <w:color w:val="000000"/>
          <w:sz w:val="36"/>
          <w:szCs w:val="36"/>
        </w:rPr>
        <w:t>合同格式及条款</w:t>
      </w:r>
      <w:bookmarkEnd w:id="235"/>
    </w:p>
    <w:p>
      <w:pPr>
        <w:jc w:val="center"/>
        <w:rPr>
          <w:rFonts w:hint="eastAsia" w:ascii="宋体" w:hAnsi="宋体"/>
          <w:b/>
          <w:color w:val="000000"/>
          <w:sz w:val="48"/>
          <w:szCs w:val="48"/>
        </w:rPr>
      </w:pPr>
      <w:r>
        <w:rPr>
          <w:rFonts w:hint="eastAsia" w:ascii="宋体" w:hAnsi="宋体"/>
          <w:b/>
          <w:color w:val="000000"/>
          <w:sz w:val="48"/>
          <w:szCs w:val="48"/>
        </w:rPr>
        <w:t>政 府 采 购 供 销 合 同</w:t>
      </w:r>
    </w:p>
    <w:p>
      <w:pPr>
        <w:spacing w:line="320" w:lineRule="exact"/>
        <w:rPr>
          <w:rFonts w:hint="eastAsia" w:ascii="宋体" w:hAnsi="宋体"/>
          <w:b/>
          <w:color w:val="000000"/>
          <w:sz w:val="48"/>
          <w:szCs w:val="48"/>
        </w:rPr>
      </w:pPr>
    </w:p>
    <w:p>
      <w:pPr>
        <w:spacing w:line="320" w:lineRule="exact"/>
        <w:ind w:firstLine="2409" w:firstLineChars="800"/>
        <w:rPr>
          <w:rFonts w:hint="eastAsia" w:ascii="宋体" w:hAnsi="宋体"/>
          <w:color w:val="000000"/>
          <w:sz w:val="24"/>
        </w:rPr>
      </w:pPr>
      <w:r>
        <w:rPr>
          <w:rFonts w:hint="eastAsia" w:ascii="宋体" w:hAnsi="宋体"/>
          <w:b/>
          <w:color w:val="000000"/>
          <w:sz w:val="30"/>
          <w:szCs w:val="30"/>
        </w:rPr>
        <w:t>合同编号：</w:t>
      </w:r>
      <w:r>
        <w:rPr>
          <w:rFonts w:ascii="宋体" w:hAnsi="宋体"/>
          <w:color w:val="000000"/>
          <w:sz w:val="32"/>
          <w:szCs w:val="32"/>
        </w:rPr>
        <w:t>BGZJ-ZC</w:t>
      </w:r>
      <w:r>
        <w:rPr>
          <w:rFonts w:hint="eastAsia" w:ascii="宋体" w:hAnsi="宋体"/>
          <w:color w:val="000000"/>
          <w:sz w:val="32"/>
          <w:szCs w:val="32"/>
          <w:u w:val="single"/>
        </w:rPr>
        <w:t xml:space="preserve">  </w:t>
      </w:r>
      <w:r>
        <w:rPr>
          <w:rFonts w:hint="eastAsia" w:ascii="宋体" w:hAnsi="宋体"/>
          <w:b/>
          <w:color w:val="000000"/>
          <w:sz w:val="30"/>
          <w:szCs w:val="30"/>
        </w:rPr>
        <w:t>号</w:t>
      </w:r>
    </w:p>
    <w:p>
      <w:pPr>
        <w:spacing w:line="500" w:lineRule="exact"/>
        <w:rPr>
          <w:rFonts w:hint="eastAsia" w:ascii="宋体" w:hAnsi="宋体"/>
          <w:color w:val="000000"/>
          <w:sz w:val="24"/>
        </w:rPr>
      </w:pPr>
      <w:r>
        <w:rPr>
          <w:rFonts w:hint="eastAsia" w:ascii="宋体" w:hAnsi="宋体"/>
          <w:color w:val="000000"/>
          <w:sz w:val="24"/>
        </w:rPr>
        <w:t>需    方：</w:t>
      </w:r>
      <w:r>
        <w:rPr>
          <w:rFonts w:hint="eastAsia" w:ascii="宋体" w:hAnsi="宋体"/>
          <w:bCs/>
          <w:color w:val="000000"/>
          <w:sz w:val="24"/>
          <w:lang w:eastAsia="zh-CN"/>
        </w:rPr>
        <w:t>白银市食品检验检测中心</w:t>
      </w:r>
      <w:r>
        <w:rPr>
          <w:rFonts w:hint="eastAsia" w:ascii="宋体" w:hAnsi="宋体"/>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 xml:space="preserve">供    方： </w:t>
      </w:r>
    </w:p>
    <w:p>
      <w:pPr>
        <w:spacing w:line="500" w:lineRule="exact"/>
        <w:rPr>
          <w:rFonts w:hint="eastAsia" w:ascii="宋体" w:hAnsi="宋体"/>
          <w:color w:val="000000"/>
          <w:sz w:val="24"/>
        </w:rPr>
      </w:pPr>
      <w:r>
        <w:rPr>
          <w:rFonts w:hint="eastAsia" w:ascii="宋体" w:hAnsi="宋体"/>
          <w:color w:val="000000"/>
          <w:sz w:val="24"/>
        </w:rPr>
        <w:t>集中采购机构或：</w:t>
      </w:r>
      <w:r>
        <w:rPr>
          <w:rFonts w:hint="eastAsia" w:ascii="宋体" w:hAnsi="宋体"/>
          <w:color w:val="000000"/>
          <w:sz w:val="24"/>
          <w:lang w:eastAsia="zh-CN"/>
        </w:rPr>
        <w:t>中招国际招标有限公司甘肃分公司</w:t>
      </w:r>
      <w:r>
        <w:rPr>
          <w:rFonts w:hint="eastAsia"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line="500" w:lineRule="exact"/>
        <w:rPr>
          <w:rFonts w:hint="eastAsia" w:ascii="宋体" w:hAnsi="宋体"/>
          <w:color w:val="000000"/>
          <w:sz w:val="24"/>
        </w:rPr>
      </w:pPr>
      <w:r>
        <w:rPr>
          <w:rFonts w:hint="eastAsia" w:ascii="宋体" w:hAnsi="宋体"/>
          <w:color w:val="000000"/>
          <w:sz w:val="24"/>
        </w:rPr>
        <w:t>一、采购品目、型号、数量及金额（注：填写不下时，可按此表格自行打印清单）</w:t>
      </w:r>
    </w:p>
    <w:tbl>
      <w:tblPr>
        <w:tblStyle w:val="40"/>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1276"/>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27" w:type="dxa"/>
            <w:vAlign w:val="center"/>
          </w:tcPr>
          <w:p>
            <w:pPr>
              <w:spacing w:line="500" w:lineRule="exact"/>
              <w:jc w:val="center"/>
              <w:rPr>
                <w:rFonts w:hint="eastAsia" w:ascii="宋体" w:hAnsi="宋体"/>
                <w:color w:val="000000"/>
                <w:sz w:val="24"/>
              </w:rPr>
            </w:pPr>
            <w:r>
              <w:rPr>
                <w:rFonts w:hint="eastAsia" w:ascii="宋体" w:hAnsi="宋体"/>
                <w:color w:val="000000"/>
                <w:sz w:val="24"/>
              </w:rPr>
              <w:t>项目</w:t>
            </w:r>
          </w:p>
        </w:tc>
        <w:tc>
          <w:tcPr>
            <w:tcW w:w="2551" w:type="dxa"/>
            <w:vAlign w:val="center"/>
          </w:tcPr>
          <w:p>
            <w:pPr>
              <w:spacing w:line="500" w:lineRule="exact"/>
              <w:jc w:val="center"/>
              <w:rPr>
                <w:rFonts w:hint="eastAsia" w:ascii="宋体" w:hAnsi="宋体"/>
                <w:color w:val="000000"/>
                <w:sz w:val="24"/>
              </w:rPr>
            </w:pPr>
            <w:r>
              <w:rPr>
                <w:rFonts w:hint="eastAsia" w:ascii="宋体" w:hAnsi="宋体"/>
                <w:color w:val="000000"/>
                <w:sz w:val="24"/>
              </w:rPr>
              <w:t>型号及主要技术指标</w:t>
            </w:r>
          </w:p>
        </w:tc>
        <w:tc>
          <w:tcPr>
            <w:tcW w:w="1276" w:type="dxa"/>
            <w:vAlign w:val="center"/>
          </w:tcPr>
          <w:p>
            <w:pPr>
              <w:spacing w:line="500" w:lineRule="exact"/>
              <w:jc w:val="center"/>
              <w:rPr>
                <w:rFonts w:hint="eastAsia" w:ascii="宋体" w:hAnsi="宋体"/>
                <w:color w:val="000000"/>
                <w:sz w:val="24"/>
              </w:rPr>
            </w:pPr>
            <w:r>
              <w:rPr>
                <w:rFonts w:hint="eastAsia" w:ascii="宋体" w:hAnsi="宋体"/>
                <w:color w:val="000000"/>
                <w:sz w:val="24"/>
              </w:rPr>
              <w:t>采购预算（万元）</w:t>
            </w:r>
          </w:p>
        </w:tc>
        <w:tc>
          <w:tcPr>
            <w:tcW w:w="1276" w:type="dxa"/>
            <w:vAlign w:val="center"/>
          </w:tcPr>
          <w:p>
            <w:pPr>
              <w:spacing w:line="500" w:lineRule="exact"/>
              <w:jc w:val="center"/>
              <w:rPr>
                <w:rFonts w:hint="eastAsia" w:ascii="宋体" w:hAnsi="宋体"/>
                <w:color w:val="000000"/>
                <w:sz w:val="24"/>
              </w:rPr>
            </w:pPr>
            <w:r>
              <w:rPr>
                <w:rFonts w:hint="eastAsia" w:ascii="宋体" w:hAnsi="宋体"/>
                <w:color w:val="000000"/>
                <w:sz w:val="24"/>
              </w:rPr>
              <w:t>中标价（万元）</w:t>
            </w:r>
          </w:p>
        </w:tc>
        <w:tc>
          <w:tcPr>
            <w:tcW w:w="1276" w:type="dxa"/>
            <w:vAlign w:val="center"/>
          </w:tcPr>
          <w:p>
            <w:pPr>
              <w:spacing w:line="500" w:lineRule="exact"/>
              <w:jc w:val="center"/>
              <w:rPr>
                <w:rFonts w:hint="eastAsia" w:ascii="宋体" w:hAnsi="宋体"/>
                <w:color w:val="000000"/>
                <w:sz w:val="24"/>
              </w:rPr>
            </w:pPr>
            <w:r>
              <w:rPr>
                <w:rFonts w:hint="eastAsia" w:ascii="宋体" w:hAnsi="宋体"/>
                <w:color w:val="000000"/>
                <w:sz w:val="24"/>
              </w:rPr>
              <w:t>节约资金（万元）</w:t>
            </w:r>
          </w:p>
        </w:tc>
        <w:tc>
          <w:tcPr>
            <w:tcW w:w="1134" w:type="dxa"/>
            <w:vAlign w:val="center"/>
          </w:tcPr>
          <w:p>
            <w:pPr>
              <w:spacing w:line="500" w:lineRule="exact"/>
              <w:jc w:val="center"/>
              <w:rPr>
                <w:rFonts w:hint="eastAsia" w:ascii="宋体" w:hAnsi="宋体"/>
                <w:color w:val="000000"/>
                <w:sz w:val="24"/>
              </w:rPr>
            </w:pPr>
            <w:r>
              <w:rPr>
                <w:rFonts w:hint="eastAsia" w:ascii="宋体" w:hAnsi="宋体"/>
                <w:color w:val="000000"/>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27" w:type="dxa"/>
            <w:vAlign w:val="center"/>
          </w:tcPr>
          <w:p>
            <w:pPr>
              <w:spacing w:line="500" w:lineRule="exact"/>
              <w:jc w:val="center"/>
              <w:rPr>
                <w:rFonts w:hint="eastAsia" w:ascii="宋体" w:hAnsi="宋体"/>
                <w:color w:val="000000"/>
                <w:sz w:val="24"/>
              </w:rPr>
            </w:pPr>
            <w:r>
              <w:rPr>
                <w:rFonts w:hint="eastAsia" w:ascii="宋体" w:hAnsi="宋体"/>
                <w:color w:val="000000"/>
                <w:sz w:val="24"/>
              </w:rPr>
              <w:t xml:space="preserve"> </w:t>
            </w:r>
          </w:p>
        </w:tc>
        <w:tc>
          <w:tcPr>
            <w:tcW w:w="2551" w:type="dxa"/>
            <w:vAlign w:val="center"/>
          </w:tcPr>
          <w:p>
            <w:pPr>
              <w:spacing w:line="500" w:lineRule="exact"/>
              <w:jc w:val="center"/>
              <w:rPr>
                <w:rFonts w:hint="eastAsia" w:ascii="宋体" w:hAnsi="宋体"/>
                <w:color w:val="000000"/>
                <w:sz w:val="24"/>
              </w:rPr>
            </w:pPr>
          </w:p>
        </w:tc>
        <w:tc>
          <w:tcPr>
            <w:tcW w:w="1276" w:type="dxa"/>
            <w:vAlign w:val="center"/>
          </w:tcPr>
          <w:p>
            <w:pPr>
              <w:spacing w:line="500" w:lineRule="exact"/>
              <w:jc w:val="center"/>
              <w:rPr>
                <w:rFonts w:hint="eastAsia" w:ascii="宋体" w:hAnsi="宋体"/>
                <w:color w:val="000000"/>
                <w:sz w:val="24"/>
              </w:rPr>
            </w:pPr>
          </w:p>
        </w:tc>
        <w:tc>
          <w:tcPr>
            <w:tcW w:w="1276" w:type="dxa"/>
            <w:vAlign w:val="center"/>
          </w:tcPr>
          <w:p>
            <w:pPr>
              <w:spacing w:line="500" w:lineRule="exact"/>
              <w:jc w:val="center"/>
              <w:rPr>
                <w:rFonts w:hint="eastAsia" w:ascii="宋体" w:hAnsi="宋体"/>
                <w:color w:val="000000"/>
                <w:sz w:val="24"/>
              </w:rPr>
            </w:pPr>
          </w:p>
        </w:tc>
        <w:tc>
          <w:tcPr>
            <w:tcW w:w="1276" w:type="dxa"/>
            <w:vAlign w:val="center"/>
          </w:tcPr>
          <w:p>
            <w:pPr>
              <w:spacing w:line="500" w:lineRule="exact"/>
              <w:jc w:val="center"/>
              <w:rPr>
                <w:rFonts w:hint="eastAsia" w:ascii="宋体" w:hAnsi="宋体"/>
                <w:color w:val="000000"/>
                <w:sz w:val="24"/>
              </w:rPr>
            </w:pPr>
          </w:p>
        </w:tc>
        <w:tc>
          <w:tcPr>
            <w:tcW w:w="1134" w:type="dxa"/>
            <w:vAlign w:val="center"/>
          </w:tcPr>
          <w:p>
            <w:pPr>
              <w:spacing w:line="500" w:lineRule="exact"/>
              <w:jc w:val="center"/>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二、交货地点、时间：</w:t>
      </w:r>
    </w:p>
    <w:p>
      <w:pPr>
        <w:pStyle w:val="4"/>
        <w:ind w:firstLine="480"/>
        <w:rPr>
          <w:rFonts w:hint="eastAsia"/>
          <w:b w:val="0"/>
          <w:bCs/>
        </w:rPr>
      </w:pPr>
      <w:bookmarkStart w:id="236" w:name="_Toc434942898"/>
      <w:bookmarkStart w:id="237" w:name="_Toc453596862"/>
      <w:r>
        <w:rPr>
          <w:rFonts w:hint="eastAsia"/>
          <w:b w:val="0"/>
          <w:bCs/>
        </w:rPr>
        <w:t>交货时间：合同签订后</w:t>
      </w:r>
      <w:r>
        <w:rPr>
          <w:rFonts w:hint="eastAsia"/>
          <w:b w:val="0"/>
          <w:bCs/>
          <w:lang w:val="en-US"/>
        </w:rPr>
        <w:t>30</w:t>
      </w:r>
      <w:r>
        <w:rPr>
          <w:rFonts w:hint="eastAsia"/>
          <w:b w:val="0"/>
          <w:bCs/>
        </w:rPr>
        <w:t>日内供货。</w:t>
      </w:r>
      <w:bookmarkEnd w:id="236"/>
      <w:bookmarkEnd w:id="237"/>
      <w:r>
        <w:rPr>
          <w:rFonts w:hint="eastAsia"/>
          <w:b w:val="0"/>
          <w:bCs/>
        </w:rPr>
        <w:t xml:space="preserve">      </w:t>
      </w:r>
      <w:bookmarkStart w:id="238" w:name="_Toc434942900"/>
    </w:p>
    <w:p>
      <w:pPr>
        <w:pStyle w:val="4"/>
        <w:ind w:firstLine="480"/>
        <w:rPr>
          <w:rFonts w:hint="eastAsia"/>
          <w:b w:val="0"/>
          <w:bCs/>
        </w:rPr>
      </w:pPr>
      <w:bookmarkStart w:id="239" w:name="_Toc453596863"/>
      <w:r>
        <w:rPr>
          <w:rFonts w:hint="eastAsia"/>
          <w:b w:val="0"/>
          <w:bCs/>
        </w:rPr>
        <w:t>地点：</w:t>
      </w:r>
      <w:r>
        <w:rPr>
          <w:rFonts w:hint="eastAsia"/>
          <w:b w:val="0"/>
          <w:bCs/>
          <w:lang w:eastAsia="zh-CN"/>
        </w:rPr>
        <w:t>白银市食品检验检测中心</w:t>
      </w:r>
      <w:r>
        <w:rPr>
          <w:rFonts w:hint="eastAsia"/>
          <w:b w:val="0"/>
          <w:bCs/>
        </w:rPr>
        <w:t>指定</w:t>
      </w:r>
      <w:bookmarkEnd w:id="238"/>
      <w:r>
        <w:rPr>
          <w:rFonts w:hint="eastAsia"/>
          <w:b w:val="0"/>
          <w:bCs/>
          <w:lang w:val="en-US"/>
        </w:rPr>
        <w:t>地点</w:t>
      </w:r>
      <w:bookmarkEnd w:id="239"/>
      <w:r>
        <w:rPr>
          <w:rFonts w:hint="eastAsia"/>
          <w:b w:val="0"/>
          <w:bCs/>
        </w:rPr>
        <w:t xml:space="preserve">     </w:t>
      </w:r>
    </w:p>
    <w:p>
      <w:pPr>
        <w:pStyle w:val="4"/>
        <w:ind w:firstLine="480"/>
        <w:rPr>
          <w:rFonts w:hint="eastAsia"/>
          <w:b w:val="0"/>
          <w:bCs/>
        </w:rPr>
      </w:pPr>
      <w:bookmarkStart w:id="240" w:name="_Toc434942901"/>
      <w:bookmarkStart w:id="241" w:name="_Toc453596864"/>
      <w:r>
        <w:rPr>
          <w:rFonts w:hint="eastAsia"/>
          <w:b w:val="0"/>
          <w:bCs/>
        </w:rPr>
        <w:t>交货方式及安装问题：</w:t>
      </w:r>
      <w:bookmarkEnd w:id="240"/>
      <w:bookmarkEnd w:id="241"/>
    </w:p>
    <w:p>
      <w:pPr>
        <w:pStyle w:val="4"/>
        <w:ind w:firstLine="480"/>
        <w:rPr>
          <w:rFonts w:hint="eastAsia"/>
          <w:b w:val="0"/>
          <w:bCs/>
        </w:rPr>
      </w:pPr>
      <w:bookmarkStart w:id="242" w:name="_Toc434942902"/>
      <w:bookmarkStart w:id="243" w:name="_Toc453596865"/>
      <w:r>
        <w:rPr>
          <w:rFonts w:hint="eastAsia"/>
          <w:b w:val="0"/>
          <w:bCs/>
        </w:rPr>
        <w:t>1、供货方送货上门，供方将货物送到指定地点，交由指定收货人验收。此外，供方应在交货前向需方提供交货计划；运输、保险和装箱的费用由供方承担。</w:t>
      </w:r>
      <w:bookmarkEnd w:id="242"/>
      <w:bookmarkEnd w:id="243"/>
    </w:p>
    <w:p>
      <w:pPr>
        <w:pStyle w:val="4"/>
        <w:ind w:firstLine="480"/>
        <w:rPr>
          <w:rFonts w:hint="eastAsia"/>
          <w:b w:val="0"/>
          <w:bCs/>
        </w:rPr>
      </w:pPr>
      <w:bookmarkStart w:id="244" w:name="_Toc434942903"/>
      <w:bookmarkStart w:id="245" w:name="_Toc453596866"/>
      <w:r>
        <w:rPr>
          <w:rFonts w:hint="eastAsia"/>
          <w:b w:val="0"/>
          <w:bCs/>
        </w:rPr>
        <w:t>2、供方有权要求需方在收到货物时在收货清单上加盖鲜章或由合同约定的收货联系人签字并提供身份证明进行签收，否则可以不交接货物并不承担可能造成的延期供货责任。</w:t>
      </w:r>
      <w:bookmarkEnd w:id="244"/>
      <w:bookmarkEnd w:id="245"/>
    </w:p>
    <w:p>
      <w:pPr>
        <w:pStyle w:val="4"/>
        <w:ind w:firstLine="480"/>
        <w:rPr>
          <w:rFonts w:hint="eastAsia"/>
          <w:b w:val="0"/>
          <w:bCs/>
        </w:rPr>
      </w:pPr>
      <w:bookmarkStart w:id="246" w:name="_Toc434942904"/>
      <w:bookmarkStart w:id="247" w:name="_Toc453596867"/>
      <w:r>
        <w:rPr>
          <w:rFonts w:hint="eastAsia"/>
          <w:b w:val="0"/>
          <w:bCs/>
        </w:rPr>
        <w:t>3、由中标人负责将货物安全完好运至甲方指定地点，并指导安装、调试并保证验收合格。</w:t>
      </w:r>
      <w:bookmarkEnd w:id="246"/>
      <w:bookmarkEnd w:id="247"/>
    </w:p>
    <w:p>
      <w:pPr>
        <w:pStyle w:val="4"/>
        <w:ind w:firstLine="480"/>
        <w:rPr>
          <w:rFonts w:hint="eastAsia"/>
          <w:b w:val="0"/>
          <w:bCs/>
        </w:rPr>
      </w:pPr>
      <w:bookmarkStart w:id="248" w:name="_Toc434942905"/>
      <w:bookmarkStart w:id="249" w:name="_Toc453596868"/>
      <w:r>
        <w:rPr>
          <w:rFonts w:hint="eastAsia"/>
          <w:b w:val="0"/>
          <w:bCs/>
        </w:rPr>
        <w:t>4、供货时需提供厂家出货单。</w:t>
      </w:r>
      <w:bookmarkEnd w:id="248"/>
      <w:bookmarkEnd w:id="249"/>
    </w:p>
    <w:p>
      <w:pPr>
        <w:pStyle w:val="4"/>
        <w:ind w:firstLine="480"/>
        <w:rPr>
          <w:rFonts w:hint="eastAsia"/>
          <w:b w:val="0"/>
        </w:rPr>
      </w:pPr>
      <w:bookmarkStart w:id="250" w:name="_Toc453596869"/>
      <w:r>
        <w:rPr>
          <w:rFonts w:hint="eastAsia"/>
          <w:b w:val="0"/>
          <w:lang w:val="en-US"/>
        </w:rPr>
        <w:t>5、</w:t>
      </w:r>
      <w:r>
        <w:rPr>
          <w:rFonts w:hint="eastAsia"/>
          <w:b w:val="0"/>
        </w:rPr>
        <w:t>针对此次投标产品的产品质量合格证书。</w:t>
      </w:r>
      <w:bookmarkEnd w:id="250"/>
    </w:p>
    <w:p>
      <w:pPr>
        <w:pStyle w:val="4"/>
        <w:ind w:firstLine="480"/>
        <w:rPr>
          <w:rFonts w:hint="eastAsia"/>
          <w:b w:val="0"/>
          <w:lang w:val="en-US"/>
        </w:rPr>
      </w:pPr>
      <w:bookmarkStart w:id="251" w:name="_Toc453596870"/>
      <w:r>
        <w:rPr>
          <w:rFonts w:hint="eastAsia"/>
          <w:b w:val="0"/>
          <w:lang w:val="en-US"/>
        </w:rPr>
        <w:t>6、供货时必须提供甘肃省计量检定部门对该仪器检测器的检定合格证书。</w:t>
      </w:r>
      <w:bookmarkEnd w:id="251"/>
    </w:p>
    <w:p>
      <w:pPr>
        <w:pStyle w:val="4"/>
        <w:ind w:firstLine="480"/>
        <w:rPr>
          <w:rFonts w:hint="eastAsia"/>
          <w:b w:val="0"/>
        </w:rPr>
      </w:pPr>
      <w:bookmarkStart w:id="252" w:name="_Toc434942906"/>
      <w:bookmarkStart w:id="253" w:name="_Toc453596871"/>
      <w:r>
        <w:rPr>
          <w:rFonts w:hint="eastAsia"/>
          <w:b w:val="0"/>
        </w:rPr>
        <w:t>三、质量与验收标准及提出异议时间：</w:t>
      </w:r>
      <w:bookmarkEnd w:id="252"/>
      <w:bookmarkEnd w:id="253"/>
    </w:p>
    <w:p>
      <w:pPr>
        <w:pStyle w:val="4"/>
        <w:ind w:firstLine="480"/>
        <w:rPr>
          <w:rFonts w:hint="eastAsia"/>
          <w:b w:val="0"/>
          <w:bCs/>
        </w:rPr>
      </w:pPr>
      <w:bookmarkStart w:id="254" w:name="_Toc453596872"/>
      <w:bookmarkStart w:id="255" w:name="_Toc434942907"/>
      <w:r>
        <w:rPr>
          <w:rFonts w:hint="eastAsia"/>
          <w:b w:val="0"/>
        </w:rPr>
        <w:t>质量和验收标准依据以装箱单和国家有关法规规定</w:t>
      </w:r>
      <w:r>
        <w:rPr>
          <w:rFonts w:hint="eastAsia"/>
          <w:b w:val="0"/>
          <w:bCs/>
        </w:rPr>
        <w:t>。</w:t>
      </w:r>
      <w:bookmarkEnd w:id="254"/>
      <w:bookmarkEnd w:id="255"/>
    </w:p>
    <w:p>
      <w:pPr>
        <w:pStyle w:val="4"/>
        <w:ind w:firstLine="480"/>
        <w:rPr>
          <w:rFonts w:hint="eastAsia"/>
          <w:b w:val="0"/>
          <w:bCs/>
        </w:rPr>
      </w:pPr>
      <w:bookmarkStart w:id="256" w:name="_Toc434942908"/>
      <w:bookmarkStart w:id="257" w:name="_Toc453596873"/>
      <w:r>
        <w:rPr>
          <w:rFonts w:hint="eastAsia"/>
          <w:b w:val="0"/>
          <w:bCs/>
        </w:rPr>
        <w:t>（一）验收标准：</w:t>
      </w:r>
      <w:bookmarkEnd w:id="256"/>
      <w:bookmarkEnd w:id="257"/>
      <w:r>
        <w:rPr>
          <w:rFonts w:hint="eastAsia"/>
          <w:b/>
          <w:bCs w:val="0"/>
        </w:rPr>
        <w:t>1、招投标文件要求和承诺质量标准； 2、合格证；3、</w:t>
      </w:r>
      <w:r>
        <w:rPr>
          <w:rFonts w:hint="eastAsia" w:ascii="宋体" w:hAnsi="宋体" w:eastAsia="宋体" w:cs="宋体"/>
          <w:b/>
          <w:bCs w:val="0"/>
          <w:kern w:val="2"/>
          <w:sz w:val="24"/>
          <w:szCs w:val="24"/>
          <w:lang w:val="en-US" w:eastAsia="zh-CN" w:bidi="ar-SA"/>
        </w:rPr>
        <w:t>投标产品在货物验收时，“*”号项及主要性能指标须完全满足，经专家鉴定验收若出现不符合“*”号项及主要性能指标的，采购人将终止合同，并取消供应商中标资格，无条件退货，并按照合同额全款赔偿。情节严重的，追究其相关法律责任。</w:t>
      </w:r>
    </w:p>
    <w:p>
      <w:pPr>
        <w:pStyle w:val="4"/>
        <w:ind w:firstLine="480"/>
        <w:rPr>
          <w:rFonts w:hint="eastAsia"/>
          <w:b w:val="0"/>
          <w:bCs/>
        </w:rPr>
      </w:pPr>
      <w:bookmarkStart w:id="258" w:name="_Toc434942909"/>
      <w:bookmarkStart w:id="259" w:name="_Toc453596874"/>
      <w:r>
        <w:rPr>
          <w:rFonts w:hint="eastAsia"/>
          <w:b w:val="0"/>
          <w:bCs/>
        </w:rPr>
        <w:t>（二）提出异议时间截止7天。</w:t>
      </w:r>
      <w:bookmarkEnd w:id="258"/>
      <w:bookmarkEnd w:id="259"/>
    </w:p>
    <w:p>
      <w:pPr>
        <w:pStyle w:val="4"/>
        <w:ind w:firstLine="480"/>
        <w:rPr>
          <w:rFonts w:hint="eastAsia"/>
          <w:b w:val="0"/>
          <w:bCs/>
        </w:rPr>
      </w:pPr>
      <w:bookmarkStart w:id="260" w:name="_Toc437524459"/>
      <w:bookmarkStart w:id="261" w:name="_Toc453596875"/>
      <w:bookmarkStart w:id="262" w:name="_Toc437525005"/>
      <w:r>
        <w:rPr>
          <w:rFonts w:hint="eastAsia"/>
          <w:b w:val="0"/>
          <w:bCs/>
          <w:lang w:val="en-US"/>
        </w:rPr>
        <w:t>四</w:t>
      </w:r>
      <w:r>
        <w:rPr>
          <w:rFonts w:hint="eastAsia"/>
          <w:b w:val="0"/>
          <w:bCs/>
        </w:rPr>
        <w:t>、售后服务：</w:t>
      </w:r>
      <w:bookmarkEnd w:id="260"/>
      <w:bookmarkEnd w:id="261"/>
      <w:bookmarkEnd w:id="262"/>
    </w:p>
    <w:p>
      <w:pPr>
        <w:spacing w:line="360" w:lineRule="auto"/>
        <w:ind w:firstLine="480" w:firstLineChars="200"/>
        <w:rPr>
          <w:rFonts w:hint="eastAsia" w:ascii="宋体" w:hAnsi="宋体" w:cs="宋体"/>
          <w:color w:val="000000"/>
          <w:sz w:val="24"/>
        </w:rPr>
      </w:pPr>
      <w:bookmarkStart w:id="263" w:name="_Toc453596876"/>
      <w:bookmarkStart w:id="264" w:name="_Toc437525006"/>
      <w:bookmarkStart w:id="265" w:name="_Toc437524460"/>
      <w:r>
        <w:rPr>
          <w:rFonts w:hint="eastAsia" w:ascii="宋体" w:hAnsi="宋体" w:cs="宋体"/>
          <w:color w:val="000000"/>
          <w:sz w:val="24"/>
        </w:rPr>
        <w:t>以《装箱单》和国家有关法规规定为依据。产品服务标准以招标文件承诺服务标准提供服务。供方与需方另可补充达成如下条款：</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(一)供方必须按需方要求清单所需要的配置、参数、保质保量供货。</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（二）所提供的产品必须符合国家统一质量标准。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（三）质保期为一年，出现问题12小时内响应，提供免费维修和更换配件服务。</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（四）其它涉及维修服务内容的，供方应严格按照国家《医疗器械使用质量监督管理办法》的相关规定，配合需方进行维修。</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（五）供方必须按需方要求协调制造商免费开放所有信息系统接口。</w:t>
      </w:r>
    </w:p>
    <w:bookmarkEnd w:id="263"/>
    <w:bookmarkEnd w:id="264"/>
    <w:bookmarkEnd w:id="265"/>
    <w:p>
      <w:pPr>
        <w:pStyle w:val="4"/>
        <w:ind w:firstLine="480"/>
        <w:rPr>
          <w:rFonts w:hint="eastAsia"/>
          <w:b w:val="0"/>
          <w:bCs/>
        </w:rPr>
      </w:pPr>
      <w:bookmarkStart w:id="266" w:name="_Toc437524464"/>
      <w:bookmarkStart w:id="267" w:name="_Toc437525010"/>
      <w:bookmarkStart w:id="268" w:name="_Toc453596880"/>
      <w:r>
        <w:rPr>
          <w:rFonts w:hint="eastAsia"/>
          <w:b w:val="0"/>
          <w:bCs/>
          <w:lang w:val="en-US"/>
        </w:rPr>
        <w:t>五</w:t>
      </w:r>
      <w:r>
        <w:rPr>
          <w:rFonts w:hint="eastAsia"/>
          <w:b w:val="0"/>
          <w:bCs/>
        </w:rPr>
        <w:t>、付款方式：</w:t>
      </w:r>
      <w:bookmarkEnd w:id="266"/>
      <w:bookmarkEnd w:id="267"/>
      <w:bookmarkEnd w:id="268"/>
    </w:p>
    <w:p>
      <w:pPr>
        <w:pStyle w:val="4"/>
        <w:ind w:firstLine="480"/>
        <w:rPr>
          <w:rFonts w:hint="eastAsia"/>
          <w:b w:val="0"/>
          <w:bCs/>
          <w:lang w:val="en-US"/>
        </w:rPr>
      </w:pPr>
      <w:bookmarkStart w:id="269" w:name="_Toc453596882"/>
      <w:bookmarkStart w:id="270" w:name="_Toc437524466"/>
      <w:bookmarkStart w:id="271" w:name="_Toc437525012"/>
      <w:r>
        <w:rPr>
          <w:rFonts w:hint="eastAsia"/>
          <w:b w:val="0"/>
          <w:bCs/>
          <w:lang w:val="en-US"/>
        </w:rPr>
        <w:t>（1）在中标通知书发出后7日内，供应商应向采购人递交中标金额5%的履约保证金，汇入采购人指定账户。</w:t>
      </w:r>
    </w:p>
    <w:p>
      <w:pPr>
        <w:pStyle w:val="4"/>
        <w:ind w:firstLine="480"/>
        <w:rPr>
          <w:rFonts w:hint="eastAsia"/>
          <w:b w:val="0"/>
          <w:bCs/>
          <w:lang w:val="en-US"/>
        </w:rPr>
      </w:pPr>
      <w:r>
        <w:rPr>
          <w:rFonts w:hint="eastAsia"/>
          <w:b w:val="0"/>
          <w:bCs/>
          <w:lang w:val="en-US"/>
        </w:rPr>
        <w:t>（2）货物到达指定交货地点经采购人召集相关专家验收或委托第三方检验合格后，采购人在15个工作日内向供应商支付合同总价款的100%，如果设备主要参数与招标文件不相符，采购人将终止合同，并取消供应商中标资格，无条件退货，并按照合同额全款赔偿。</w:t>
      </w:r>
    </w:p>
    <w:p>
      <w:pPr>
        <w:pStyle w:val="4"/>
        <w:ind w:firstLine="480"/>
        <w:rPr>
          <w:rFonts w:hint="eastAsia"/>
          <w:b w:val="0"/>
          <w:bCs/>
          <w:lang w:val="en-US"/>
        </w:rPr>
      </w:pPr>
      <w:r>
        <w:rPr>
          <w:rFonts w:hint="eastAsia"/>
          <w:b w:val="0"/>
          <w:bCs/>
          <w:lang w:val="en-US"/>
        </w:rPr>
        <w:t>（3）供应商提交的履约保证金则自动转为质量保证金，质保期十二个月满采购人将无息退还。</w:t>
      </w:r>
    </w:p>
    <w:p>
      <w:pPr>
        <w:pStyle w:val="4"/>
        <w:ind w:firstLine="480"/>
        <w:rPr>
          <w:rFonts w:hint="eastAsia"/>
          <w:b w:val="0"/>
          <w:bCs/>
          <w:lang w:val="en-US"/>
        </w:rPr>
      </w:pPr>
      <w:r>
        <w:rPr>
          <w:rFonts w:hint="eastAsia"/>
          <w:b w:val="0"/>
          <w:bCs/>
          <w:lang w:val="en-US"/>
        </w:rPr>
        <w:t>（4）投标产品为进口设备的，在货物验收时，须提供产品全套海关报关材料，不能提供或提供虚假材料的，采购人将不予付款并取消供应商中标资格。情节严重的，追究其相关经济及法律责任。</w:t>
      </w:r>
    </w:p>
    <w:p>
      <w:pPr>
        <w:pStyle w:val="4"/>
        <w:ind w:firstLine="480"/>
        <w:rPr>
          <w:rFonts w:hint="eastAsia"/>
          <w:b w:val="0"/>
          <w:bCs/>
        </w:rPr>
      </w:pPr>
      <w:r>
        <w:rPr>
          <w:rFonts w:hint="eastAsia"/>
          <w:b w:val="0"/>
          <w:bCs/>
          <w:lang w:val="en-US"/>
        </w:rPr>
        <w:t>六</w:t>
      </w:r>
      <w:r>
        <w:rPr>
          <w:rFonts w:hint="eastAsia"/>
          <w:b w:val="0"/>
          <w:bCs/>
        </w:rPr>
        <w:t>、违约责任：</w:t>
      </w:r>
      <w:bookmarkEnd w:id="269"/>
      <w:bookmarkEnd w:id="270"/>
      <w:bookmarkEnd w:id="271"/>
    </w:p>
    <w:p>
      <w:pPr>
        <w:pStyle w:val="4"/>
        <w:ind w:firstLine="480"/>
        <w:rPr>
          <w:rFonts w:hint="eastAsia"/>
          <w:b w:val="0"/>
          <w:bCs/>
        </w:rPr>
      </w:pPr>
      <w:bookmarkStart w:id="272" w:name="_Toc437524467"/>
      <w:bookmarkStart w:id="273" w:name="_Toc437525013"/>
      <w:bookmarkStart w:id="274" w:name="_Toc453596883"/>
      <w:r>
        <w:rPr>
          <w:rFonts w:hint="eastAsia"/>
          <w:b w:val="0"/>
          <w:bCs/>
        </w:rPr>
        <w:t>1、供方未能按供货合同的约定近期完成交货或需方延期付款，每逾期一天，违约方应按合同总额1%向对方支付违约金，但违约金最高金额不超过合同金额的5%，逾期超过5日，有权解除合同。</w:t>
      </w:r>
      <w:bookmarkEnd w:id="272"/>
      <w:bookmarkEnd w:id="273"/>
      <w:bookmarkEnd w:id="274"/>
    </w:p>
    <w:p>
      <w:pPr>
        <w:pStyle w:val="4"/>
        <w:ind w:firstLine="480"/>
        <w:rPr>
          <w:rFonts w:hint="eastAsia"/>
          <w:b w:val="0"/>
          <w:bCs/>
        </w:rPr>
      </w:pPr>
      <w:bookmarkStart w:id="275" w:name="_Toc453596884"/>
      <w:bookmarkStart w:id="276" w:name="_Toc437524468"/>
      <w:bookmarkStart w:id="277" w:name="_Toc437525014"/>
      <w:r>
        <w:rPr>
          <w:rFonts w:hint="eastAsia"/>
          <w:b w:val="0"/>
          <w:bCs/>
        </w:rPr>
        <w:t>2、如因供方供应的设备质量问题，造成需方损失，供方应承担全部责任。</w:t>
      </w:r>
      <w:bookmarkEnd w:id="275"/>
      <w:bookmarkEnd w:id="276"/>
      <w:bookmarkEnd w:id="277"/>
    </w:p>
    <w:p>
      <w:pPr>
        <w:pStyle w:val="4"/>
        <w:ind w:firstLine="480"/>
        <w:rPr>
          <w:rFonts w:hint="eastAsia"/>
          <w:b w:val="0"/>
          <w:bCs/>
        </w:rPr>
      </w:pPr>
      <w:bookmarkStart w:id="278" w:name="_Toc437524469"/>
      <w:bookmarkStart w:id="279" w:name="_Toc453596885"/>
      <w:bookmarkStart w:id="280" w:name="_Toc437525015"/>
      <w:r>
        <w:rPr>
          <w:rFonts w:hint="eastAsia"/>
          <w:b w:val="0"/>
          <w:bCs/>
          <w:lang w:val="en-US"/>
        </w:rPr>
        <w:t>七</w:t>
      </w:r>
      <w:r>
        <w:rPr>
          <w:rFonts w:hint="eastAsia"/>
          <w:b w:val="0"/>
          <w:bCs/>
        </w:rPr>
        <w:t>、变更解除合同及解决纠纷方式：</w:t>
      </w:r>
      <w:bookmarkEnd w:id="278"/>
      <w:bookmarkEnd w:id="279"/>
      <w:bookmarkEnd w:id="280"/>
    </w:p>
    <w:p>
      <w:pPr>
        <w:pStyle w:val="4"/>
        <w:ind w:firstLine="480"/>
        <w:rPr>
          <w:rFonts w:hint="eastAsia"/>
          <w:b w:val="0"/>
          <w:bCs/>
        </w:rPr>
      </w:pPr>
      <w:bookmarkStart w:id="281" w:name="_Toc453596886"/>
      <w:bookmarkStart w:id="282" w:name="_Toc437525016"/>
      <w:bookmarkStart w:id="283" w:name="_Toc437524470"/>
      <w:r>
        <w:rPr>
          <w:rFonts w:hint="eastAsia"/>
          <w:b w:val="0"/>
          <w:bCs/>
        </w:rPr>
        <w:t>1、供需双方如变更或解除本合同，需经同级政府采购办公室书面同意。</w:t>
      </w:r>
      <w:bookmarkEnd w:id="281"/>
      <w:bookmarkEnd w:id="282"/>
      <w:bookmarkEnd w:id="283"/>
    </w:p>
    <w:p>
      <w:pPr>
        <w:pStyle w:val="4"/>
        <w:ind w:firstLine="480"/>
        <w:rPr>
          <w:rFonts w:hint="eastAsia"/>
          <w:b w:val="0"/>
          <w:bCs/>
        </w:rPr>
      </w:pPr>
      <w:bookmarkStart w:id="284" w:name="_Toc437525017"/>
      <w:bookmarkStart w:id="285" w:name="_Toc453596887"/>
      <w:bookmarkStart w:id="286" w:name="_Toc437524471"/>
      <w:r>
        <w:rPr>
          <w:rFonts w:hint="eastAsia"/>
          <w:b w:val="0"/>
          <w:bCs/>
        </w:rPr>
        <w:t>2、纠纷方式：双方协商□；向授权厂商投诉□；向财政部门投诉□；提请仲裁□；向人民法院提起诉讼□。</w:t>
      </w:r>
      <w:bookmarkEnd w:id="284"/>
      <w:bookmarkEnd w:id="285"/>
      <w:bookmarkEnd w:id="286"/>
      <w:r>
        <w:rPr>
          <w:rFonts w:hint="eastAsia"/>
          <w:b w:val="0"/>
          <w:bCs/>
        </w:rPr>
        <w:t xml:space="preserve">  </w:t>
      </w:r>
    </w:p>
    <w:p>
      <w:pPr>
        <w:pStyle w:val="4"/>
        <w:ind w:firstLine="480"/>
        <w:rPr>
          <w:rFonts w:hint="eastAsia"/>
          <w:b w:val="0"/>
          <w:bCs/>
        </w:rPr>
      </w:pPr>
      <w:bookmarkStart w:id="287" w:name="_Toc437524472"/>
      <w:bookmarkStart w:id="288" w:name="_Toc453596888"/>
      <w:bookmarkStart w:id="289" w:name="_Toc437525018"/>
      <w:r>
        <w:rPr>
          <w:rFonts w:hint="eastAsia"/>
          <w:b w:val="0"/>
          <w:bCs/>
          <w:lang w:val="en-US"/>
        </w:rPr>
        <w:t>八</w:t>
      </w:r>
      <w:r>
        <w:rPr>
          <w:rFonts w:hint="eastAsia"/>
          <w:b w:val="0"/>
          <w:bCs/>
        </w:rPr>
        <w:t>、其他事项：</w:t>
      </w:r>
      <w:bookmarkEnd w:id="287"/>
      <w:bookmarkEnd w:id="288"/>
      <w:bookmarkEnd w:id="289"/>
    </w:p>
    <w:p>
      <w:pPr>
        <w:pStyle w:val="4"/>
        <w:ind w:firstLine="480"/>
        <w:rPr>
          <w:rFonts w:hint="eastAsia"/>
          <w:b w:val="0"/>
          <w:bCs/>
        </w:rPr>
      </w:pPr>
      <w:bookmarkStart w:id="290" w:name="_Toc437524473"/>
      <w:bookmarkStart w:id="291" w:name="_Toc437525019"/>
      <w:bookmarkStart w:id="292" w:name="_Toc453596889"/>
      <w:r>
        <w:rPr>
          <w:rFonts w:hint="eastAsia"/>
          <w:b w:val="0"/>
          <w:bCs/>
        </w:rPr>
        <w:t>1、招标文件、投标文件和中标供应商承诺书、补充协议是本合同不可分割的部分，对采购人和中标供应商均具有法律效力，本合同未尽事宜，按相关法律规定办理。</w:t>
      </w:r>
      <w:bookmarkEnd w:id="290"/>
      <w:bookmarkEnd w:id="291"/>
      <w:bookmarkEnd w:id="292"/>
    </w:p>
    <w:p>
      <w:pPr>
        <w:pStyle w:val="4"/>
        <w:ind w:firstLine="480"/>
        <w:rPr>
          <w:rFonts w:hint="eastAsia"/>
          <w:b w:val="0"/>
          <w:bCs/>
        </w:rPr>
      </w:pPr>
      <w:bookmarkStart w:id="293" w:name="_Toc453596890"/>
      <w:bookmarkStart w:id="294" w:name="_Toc437525020"/>
      <w:bookmarkStart w:id="295" w:name="_Toc437524474"/>
      <w:r>
        <w:rPr>
          <w:rFonts w:hint="eastAsia"/>
          <w:b w:val="0"/>
          <w:bCs/>
        </w:rPr>
        <w:t>2、本合同为供应商与采购人买卖合同。一式五份，双方各执一份，财政部门政府采购办公室备案一份、白银市公共资源交易中心备案一份，代理公司一份</w:t>
      </w:r>
      <w:bookmarkEnd w:id="293"/>
      <w:bookmarkEnd w:id="294"/>
      <w:bookmarkEnd w:id="295"/>
    </w:p>
    <w:p>
      <w:pPr>
        <w:pStyle w:val="4"/>
        <w:ind w:firstLine="480"/>
        <w:rPr>
          <w:rFonts w:hint="eastAsia"/>
          <w:b w:val="0"/>
          <w:bCs/>
          <w:color w:val="000000"/>
        </w:rPr>
      </w:pPr>
      <w:r>
        <w:rPr>
          <w:rFonts w:hint="eastAsia"/>
          <w:b w:val="0"/>
          <w:bCs/>
          <w:color w:val="000000"/>
        </w:rPr>
        <w:br w:type="page"/>
      </w:r>
    </w:p>
    <w:tbl>
      <w:tblPr>
        <w:tblStyle w:val="40"/>
        <w:tblpPr w:leftFromText="180" w:rightFromText="180" w:vertAnchor="page" w:horzAnchor="margin" w:tblpXSpec="center" w:tblpY="2326"/>
        <w:tblW w:w="10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7" w:hRule="atLeast"/>
        </w:trPr>
        <w:tc>
          <w:tcPr>
            <w:tcW w:w="4296" w:type="dxa"/>
            <w:vAlign w:val="center"/>
          </w:tcPr>
          <w:p>
            <w:pPr>
              <w:spacing w:line="500" w:lineRule="exact"/>
              <w:rPr>
                <w:rFonts w:hint="eastAsia" w:ascii="宋体" w:hAnsi="宋体"/>
                <w:color w:val="000000"/>
                <w:sz w:val="24"/>
              </w:rPr>
            </w:pPr>
            <w:r>
              <w:rPr>
                <w:rFonts w:hint="eastAsia" w:ascii="宋体" w:hAnsi="宋体"/>
                <w:color w:val="000000"/>
                <w:sz w:val="24"/>
              </w:rPr>
              <w:t>供方:（章）</w:t>
            </w:r>
          </w:p>
          <w:p>
            <w:pPr>
              <w:spacing w:line="500" w:lineRule="exact"/>
              <w:rPr>
                <w:rFonts w:hint="eastAsia" w:ascii="宋体" w:hAnsi="宋体"/>
                <w:color w:val="000000"/>
                <w:sz w:val="24"/>
              </w:rPr>
            </w:pPr>
            <w:r>
              <w:rPr>
                <w:rFonts w:hint="eastAsia" w:ascii="宋体" w:hAnsi="宋体"/>
                <w:color w:val="000000"/>
                <w:sz w:val="24"/>
              </w:rPr>
              <w:t>地址:</w:t>
            </w:r>
          </w:p>
          <w:p>
            <w:pPr>
              <w:spacing w:line="500" w:lineRule="exact"/>
              <w:rPr>
                <w:rFonts w:hint="eastAsia" w:ascii="宋体" w:hAnsi="宋体"/>
                <w:color w:val="000000"/>
                <w:sz w:val="24"/>
              </w:rPr>
            </w:pPr>
            <w:r>
              <w:rPr>
                <w:rFonts w:hint="eastAsia" w:ascii="宋体" w:hAnsi="宋体"/>
                <w:color w:val="000000"/>
                <w:sz w:val="24"/>
              </w:rPr>
              <w:t>电话:</w:t>
            </w:r>
          </w:p>
          <w:p>
            <w:pPr>
              <w:spacing w:line="500" w:lineRule="exact"/>
              <w:rPr>
                <w:rFonts w:hint="eastAsia" w:ascii="宋体" w:hAnsi="宋体"/>
                <w:color w:val="000000"/>
                <w:sz w:val="24"/>
              </w:rPr>
            </w:pPr>
            <w:r>
              <w:rPr>
                <w:rFonts w:hint="eastAsia" w:ascii="宋体" w:hAnsi="宋体"/>
                <w:color w:val="000000"/>
                <w:sz w:val="24"/>
              </w:rPr>
              <w:t>邮编:</w:t>
            </w:r>
          </w:p>
        </w:tc>
        <w:tc>
          <w:tcPr>
            <w:tcW w:w="5984" w:type="dxa"/>
            <w:vAlign w:val="center"/>
          </w:tcPr>
          <w:p>
            <w:pPr>
              <w:spacing w:line="500" w:lineRule="exact"/>
              <w:rPr>
                <w:rFonts w:hint="eastAsia" w:ascii="宋体" w:hAnsi="宋体"/>
                <w:color w:val="000000"/>
                <w:sz w:val="24"/>
              </w:rPr>
            </w:pPr>
            <w:r>
              <w:rPr>
                <w:rFonts w:hint="eastAsia" w:ascii="宋体" w:hAnsi="宋体"/>
                <w:color w:val="000000"/>
                <w:sz w:val="24"/>
              </w:rPr>
              <w:t>需方:（章）</w:t>
            </w:r>
          </w:p>
          <w:p>
            <w:pPr>
              <w:spacing w:line="500" w:lineRule="exact"/>
              <w:rPr>
                <w:rFonts w:hint="eastAsia" w:ascii="宋体" w:hAnsi="宋体"/>
                <w:color w:val="000000"/>
                <w:sz w:val="24"/>
              </w:rPr>
            </w:pPr>
            <w:r>
              <w:rPr>
                <w:rFonts w:hint="eastAsia" w:ascii="宋体" w:hAnsi="宋体"/>
                <w:color w:val="000000"/>
                <w:sz w:val="24"/>
              </w:rPr>
              <w:t>地址:</w:t>
            </w:r>
          </w:p>
          <w:p>
            <w:pPr>
              <w:spacing w:line="500" w:lineRule="exact"/>
              <w:rPr>
                <w:rFonts w:hint="eastAsia" w:ascii="宋体" w:hAnsi="宋体"/>
                <w:color w:val="000000"/>
                <w:sz w:val="24"/>
              </w:rPr>
            </w:pPr>
            <w:r>
              <w:rPr>
                <w:rFonts w:hint="eastAsia" w:ascii="宋体" w:hAnsi="宋体"/>
                <w:color w:val="000000"/>
                <w:sz w:val="24"/>
              </w:rPr>
              <w:t>电话:</w:t>
            </w:r>
          </w:p>
          <w:p>
            <w:pPr>
              <w:spacing w:line="500" w:lineRule="exact"/>
              <w:rPr>
                <w:rFonts w:hint="eastAsia" w:ascii="宋体" w:hAnsi="宋体"/>
                <w:color w:val="000000"/>
                <w:sz w:val="24"/>
              </w:rPr>
            </w:pPr>
            <w:r>
              <w:rPr>
                <w:rFonts w:hint="eastAsia" w:ascii="宋体" w:hAnsi="宋体"/>
                <w:color w:val="00000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9" w:hRule="atLeast"/>
        </w:trPr>
        <w:tc>
          <w:tcPr>
            <w:tcW w:w="4296" w:type="dxa"/>
            <w:vAlign w:val="center"/>
          </w:tcPr>
          <w:p>
            <w:pPr>
              <w:spacing w:line="500" w:lineRule="exact"/>
              <w:rPr>
                <w:rFonts w:hint="eastAsia" w:ascii="宋体" w:hAnsi="宋体"/>
                <w:color w:val="000000"/>
                <w:sz w:val="24"/>
              </w:rPr>
            </w:pPr>
            <w:r>
              <w:rPr>
                <w:rFonts w:hint="eastAsia" w:ascii="宋体" w:hAnsi="宋体"/>
                <w:color w:val="000000"/>
                <w:sz w:val="24"/>
              </w:rPr>
              <w:t>法定代表人:</w:t>
            </w:r>
          </w:p>
          <w:p>
            <w:pPr>
              <w:spacing w:line="500" w:lineRule="exact"/>
              <w:rPr>
                <w:rFonts w:hint="eastAsia" w:ascii="宋体" w:hAnsi="宋体"/>
                <w:color w:val="000000"/>
                <w:sz w:val="24"/>
              </w:rPr>
            </w:pPr>
            <w:r>
              <w:rPr>
                <w:rFonts w:hint="eastAsia" w:ascii="宋体" w:hAnsi="宋体"/>
                <w:color w:val="000000"/>
                <w:sz w:val="24"/>
              </w:rPr>
              <w:t>签字日期:</w:t>
            </w:r>
          </w:p>
        </w:tc>
        <w:tc>
          <w:tcPr>
            <w:tcW w:w="5984" w:type="dxa"/>
            <w:vAlign w:val="center"/>
          </w:tcPr>
          <w:p>
            <w:pPr>
              <w:spacing w:line="500" w:lineRule="exact"/>
              <w:rPr>
                <w:rFonts w:hint="eastAsia" w:ascii="宋体" w:hAnsi="宋体"/>
                <w:color w:val="000000"/>
                <w:sz w:val="24"/>
              </w:rPr>
            </w:pPr>
            <w:r>
              <w:rPr>
                <w:rFonts w:hint="eastAsia" w:ascii="宋体" w:hAnsi="宋体"/>
                <w:color w:val="000000"/>
                <w:sz w:val="24"/>
              </w:rPr>
              <w:t>法定代表人:</w:t>
            </w:r>
          </w:p>
          <w:p>
            <w:pPr>
              <w:spacing w:line="500" w:lineRule="exact"/>
              <w:rPr>
                <w:rFonts w:hint="eastAsia" w:ascii="宋体" w:hAnsi="宋体"/>
                <w:color w:val="000000"/>
                <w:sz w:val="24"/>
              </w:rPr>
            </w:pPr>
            <w:r>
              <w:rPr>
                <w:rFonts w:hint="eastAsia" w:ascii="宋体" w:hAnsi="宋体"/>
                <w:color w:val="000000"/>
                <w:sz w:val="24"/>
              </w:rPr>
              <w:t>(或委托代理人)</w:t>
            </w:r>
          </w:p>
          <w:p>
            <w:pPr>
              <w:spacing w:line="500" w:lineRule="exact"/>
              <w:rPr>
                <w:rFonts w:hint="eastAsia" w:ascii="宋体" w:hAnsi="宋体"/>
                <w:color w:val="000000"/>
                <w:sz w:val="24"/>
              </w:rPr>
            </w:pPr>
            <w:r>
              <w:rPr>
                <w:rFonts w:hint="eastAsia" w:ascii="宋体" w:hAnsi="宋体"/>
                <w:color w:val="000000"/>
                <w:sz w:val="24"/>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exact"/>
        </w:trPr>
        <w:tc>
          <w:tcPr>
            <w:tcW w:w="4296" w:type="dxa"/>
            <w:vAlign w:val="center"/>
          </w:tcPr>
          <w:p>
            <w:pPr>
              <w:spacing w:line="500" w:lineRule="exact"/>
              <w:rPr>
                <w:rFonts w:hint="eastAsia" w:ascii="宋体" w:hAnsi="宋体"/>
                <w:color w:val="000000"/>
                <w:sz w:val="24"/>
              </w:rPr>
            </w:pPr>
            <w:r>
              <w:rPr>
                <w:rFonts w:hint="eastAsia" w:ascii="宋体" w:hAnsi="宋体"/>
                <w:color w:val="000000"/>
                <w:sz w:val="24"/>
              </w:rPr>
              <w:t>经 办 人:</w:t>
            </w:r>
          </w:p>
          <w:p>
            <w:pPr>
              <w:spacing w:line="500" w:lineRule="exact"/>
              <w:rPr>
                <w:rFonts w:hint="eastAsia" w:ascii="宋体" w:hAnsi="宋体"/>
                <w:color w:val="000000"/>
                <w:sz w:val="24"/>
              </w:rPr>
            </w:pPr>
            <w:r>
              <w:rPr>
                <w:rFonts w:hint="eastAsia" w:ascii="宋体" w:hAnsi="宋体"/>
                <w:color w:val="000000"/>
                <w:sz w:val="24"/>
              </w:rPr>
              <w:t>签字日期:</w:t>
            </w:r>
          </w:p>
        </w:tc>
        <w:tc>
          <w:tcPr>
            <w:tcW w:w="5984" w:type="dxa"/>
            <w:vAlign w:val="center"/>
          </w:tcPr>
          <w:p>
            <w:pPr>
              <w:spacing w:line="500" w:lineRule="exact"/>
              <w:rPr>
                <w:rFonts w:hint="eastAsia" w:ascii="宋体" w:hAnsi="宋体"/>
                <w:color w:val="000000"/>
                <w:sz w:val="24"/>
              </w:rPr>
            </w:pPr>
            <w:r>
              <w:rPr>
                <w:rFonts w:hint="eastAsia" w:ascii="宋体" w:hAnsi="宋体"/>
                <w:color w:val="000000"/>
                <w:sz w:val="24"/>
              </w:rPr>
              <w:t>经 办 人:</w:t>
            </w:r>
          </w:p>
          <w:p>
            <w:pPr>
              <w:spacing w:line="500" w:lineRule="exact"/>
              <w:rPr>
                <w:rFonts w:hint="eastAsia" w:ascii="宋体" w:hAnsi="宋体"/>
                <w:color w:val="000000"/>
                <w:sz w:val="24"/>
              </w:rPr>
            </w:pPr>
            <w:r>
              <w:rPr>
                <w:rFonts w:hint="eastAsia" w:ascii="宋体" w:hAnsi="宋体"/>
                <w:color w:val="000000"/>
                <w:sz w:val="24"/>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exact"/>
        </w:trPr>
        <w:tc>
          <w:tcPr>
            <w:tcW w:w="4296" w:type="dxa"/>
            <w:vAlign w:val="center"/>
          </w:tcPr>
          <w:p>
            <w:pPr>
              <w:spacing w:line="500" w:lineRule="exact"/>
              <w:rPr>
                <w:rFonts w:hint="eastAsia" w:ascii="宋体" w:hAnsi="宋体"/>
                <w:color w:val="000000"/>
                <w:sz w:val="24"/>
              </w:rPr>
            </w:pPr>
            <w:r>
              <w:rPr>
                <w:rFonts w:hint="eastAsia" w:ascii="宋体" w:hAnsi="宋体"/>
                <w:color w:val="000000"/>
                <w:sz w:val="24"/>
              </w:rPr>
              <w:t>开户行:</w:t>
            </w:r>
          </w:p>
          <w:p>
            <w:pPr>
              <w:spacing w:line="500" w:lineRule="exact"/>
              <w:rPr>
                <w:rFonts w:hint="eastAsia" w:ascii="宋体" w:hAnsi="宋体"/>
                <w:color w:val="000000"/>
                <w:sz w:val="24"/>
              </w:rPr>
            </w:pPr>
            <w:r>
              <w:rPr>
                <w:rFonts w:hint="eastAsia" w:ascii="宋体" w:hAnsi="宋体"/>
                <w:color w:val="000000"/>
                <w:sz w:val="24"/>
              </w:rPr>
              <w:t>账号:</w:t>
            </w:r>
          </w:p>
        </w:tc>
        <w:tc>
          <w:tcPr>
            <w:tcW w:w="5984" w:type="dxa"/>
            <w:vAlign w:val="center"/>
          </w:tcPr>
          <w:p>
            <w:pPr>
              <w:spacing w:line="500" w:lineRule="exact"/>
              <w:rPr>
                <w:rFonts w:hint="eastAsia" w:ascii="宋体" w:hAnsi="宋体"/>
                <w:color w:val="000000"/>
                <w:sz w:val="24"/>
              </w:rPr>
            </w:pPr>
            <w:r>
              <w:rPr>
                <w:rFonts w:hint="eastAsia" w:ascii="宋体" w:hAnsi="宋体"/>
                <w:color w:val="000000"/>
                <w:sz w:val="24"/>
              </w:rPr>
              <w:t>开户行:</w:t>
            </w:r>
          </w:p>
          <w:p>
            <w:pPr>
              <w:spacing w:line="500" w:lineRule="exact"/>
              <w:rPr>
                <w:rFonts w:hint="eastAsia" w:ascii="宋体" w:hAnsi="宋体"/>
                <w:color w:val="000000"/>
                <w:sz w:val="24"/>
              </w:rPr>
            </w:pPr>
            <w:r>
              <w:rPr>
                <w:rFonts w:hint="eastAsia" w:ascii="宋体" w:hAnsi="宋体"/>
                <w:color w:val="000000"/>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4" w:hRule="exact"/>
        </w:trPr>
        <w:tc>
          <w:tcPr>
            <w:tcW w:w="10280" w:type="dxa"/>
            <w:gridSpan w:val="2"/>
            <w:vAlign w:val="center"/>
          </w:tcPr>
          <w:p>
            <w:pPr>
              <w:spacing w:line="500" w:lineRule="exact"/>
              <w:rPr>
                <w:rFonts w:hint="eastAsia" w:ascii="宋体" w:hAnsi="宋体"/>
                <w:color w:val="000000"/>
                <w:sz w:val="24"/>
              </w:rPr>
            </w:pPr>
            <w:r>
              <w:rPr>
                <w:rFonts w:hint="eastAsia" w:ascii="宋体" w:hAnsi="宋体"/>
                <w:color w:val="000000"/>
                <w:sz w:val="24"/>
              </w:rPr>
              <w:t>代理机构:（代理公司盖章）</w:t>
            </w: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lang w:eastAsia="zh-CN"/>
              </w:rPr>
              <w:t>项目负责人</w:t>
            </w:r>
            <w:r>
              <w:rPr>
                <w:rFonts w:hint="eastAsia" w:ascii="宋体" w:hAnsi="宋体"/>
                <w:color w:val="000000"/>
                <w:sz w:val="24"/>
              </w:rPr>
              <w:t>签字:</w:t>
            </w: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签字日期:</w:t>
            </w:r>
          </w:p>
        </w:tc>
      </w:tr>
    </w:tbl>
    <w:p>
      <w:pPr>
        <w:rPr>
          <w:rFonts w:hint="eastAsia" w:ascii="宋体" w:hAnsi="宋体"/>
          <w:b/>
          <w:color w:val="000000"/>
          <w:sz w:val="24"/>
        </w:rPr>
      </w:pPr>
      <w:r>
        <w:rPr>
          <w:rFonts w:ascii="宋体" w:hAnsi="宋体"/>
          <w:b/>
          <w:bCs/>
          <w:color w:val="000000"/>
          <w:kern w:val="44"/>
          <w:sz w:val="44"/>
          <w:szCs w:val="44"/>
        </w:rPr>
        <w:br w:type="page"/>
      </w:r>
      <w:r>
        <w:rPr>
          <w:rFonts w:hint="eastAsia" w:ascii="宋体" w:hAnsi="宋体"/>
          <w:b/>
          <w:color w:val="000000"/>
          <w:sz w:val="24"/>
        </w:rPr>
        <w:t>附件2：</w:t>
      </w:r>
      <w:bookmarkStart w:id="296" w:name="_Toc139965361"/>
    </w:p>
    <w:p>
      <w:pPr>
        <w:pStyle w:val="3"/>
        <w:spacing w:before="0" w:after="0"/>
        <w:rPr>
          <w:rFonts w:ascii="宋体" w:hAnsi="宋体"/>
          <w:color w:val="000000"/>
          <w:sz w:val="36"/>
          <w:szCs w:val="36"/>
        </w:rPr>
      </w:pPr>
      <w:bookmarkStart w:id="297" w:name="_Toc453596891"/>
      <w:r>
        <w:rPr>
          <w:rFonts w:hint="eastAsia" w:ascii="宋体" w:hAnsi="宋体"/>
          <w:color w:val="000000"/>
          <w:sz w:val="36"/>
          <w:szCs w:val="36"/>
        </w:rPr>
        <w:t>投标函</w:t>
      </w:r>
      <w:bookmarkEnd w:id="296"/>
      <w:bookmarkEnd w:id="297"/>
    </w:p>
    <w:p>
      <w:pPr>
        <w:spacing w:line="500" w:lineRule="exact"/>
        <w:rPr>
          <w:rFonts w:hint="eastAsia" w:ascii="宋体" w:hAnsi="宋体"/>
          <w:color w:val="000000"/>
          <w:sz w:val="24"/>
        </w:rPr>
      </w:pPr>
      <w:r>
        <w:rPr>
          <w:rFonts w:hint="eastAsia" w:ascii="宋体" w:hAnsi="宋体"/>
          <w:color w:val="000000"/>
          <w:sz w:val="24"/>
        </w:rPr>
        <w:t>致：</w:t>
      </w:r>
    </w:p>
    <w:p>
      <w:pPr>
        <w:spacing w:line="500" w:lineRule="exact"/>
        <w:ind w:firstLine="480" w:firstLineChars="200"/>
        <w:rPr>
          <w:rFonts w:hint="eastAsia" w:ascii="宋体" w:hAnsi="宋体"/>
          <w:color w:val="000000"/>
          <w:sz w:val="24"/>
        </w:rPr>
      </w:pPr>
      <w:r>
        <w:rPr>
          <w:rFonts w:hint="eastAsia" w:ascii="宋体" w:hAnsi="宋体"/>
          <w:color w:val="000000"/>
          <w:sz w:val="24"/>
        </w:rPr>
        <w:t>根据已收到的招标编号为</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的白银市食品检验检测中心实验室检测设备采购项目招标文件，我单位经认真研究上述招标文件，决定参加本次投标。我方提交投标文件正本</w:t>
      </w:r>
      <w:r>
        <w:rPr>
          <w:rFonts w:hint="eastAsia" w:ascii="宋体" w:hAnsi="宋体"/>
          <w:color w:val="000000"/>
          <w:sz w:val="24"/>
          <w:u w:val="single"/>
        </w:rPr>
        <w:t xml:space="preserve">     </w:t>
      </w:r>
      <w:r>
        <w:rPr>
          <w:rFonts w:hint="eastAsia" w:ascii="宋体" w:hAnsi="宋体"/>
          <w:color w:val="000000"/>
          <w:sz w:val="24"/>
        </w:rPr>
        <w:t>份、副本</w:t>
      </w:r>
      <w:r>
        <w:rPr>
          <w:rFonts w:hint="eastAsia" w:ascii="宋体" w:hAnsi="宋体"/>
          <w:color w:val="000000"/>
          <w:sz w:val="24"/>
          <w:u w:val="single"/>
        </w:rPr>
        <w:t xml:space="preserve">     </w:t>
      </w:r>
      <w:r>
        <w:rPr>
          <w:rFonts w:hint="eastAsia" w:ascii="宋体" w:hAnsi="宋体"/>
          <w:color w:val="000000"/>
          <w:sz w:val="24"/>
        </w:rPr>
        <w:t>份并保证其真实性。我方愿承担该项目的实施和保修任务，履行招标文件中对中标单位的要求和应承担的责任和义务。同时我方郑重做出如下声明：</w:t>
      </w:r>
    </w:p>
    <w:p>
      <w:pPr>
        <w:spacing w:line="500" w:lineRule="exact"/>
        <w:ind w:firstLine="480" w:firstLineChars="200"/>
        <w:rPr>
          <w:rFonts w:hint="eastAsia" w:ascii="宋体" w:hAnsi="宋体"/>
          <w:color w:val="000000"/>
          <w:sz w:val="24"/>
        </w:rPr>
      </w:pPr>
      <w:r>
        <w:rPr>
          <w:rFonts w:hint="eastAsia" w:ascii="宋体" w:hAnsi="宋体"/>
          <w:color w:val="000000"/>
          <w:sz w:val="24"/>
        </w:rPr>
        <w:t>1、我方完全接受招标文件中的内容，并将按招标文件的规定履行责任、义务。</w:t>
      </w:r>
    </w:p>
    <w:p>
      <w:pPr>
        <w:spacing w:line="500" w:lineRule="exact"/>
        <w:ind w:firstLine="480" w:firstLineChars="200"/>
        <w:rPr>
          <w:rFonts w:hint="eastAsia" w:ascii="宋体" w:hAnsi="宋体"/>
          <w:color w:val="000000"/>
          <w:sz w:val="24"/>
        </w:rPr>
      </w:pPr>
      <w:r>
        <w:rPr>
          <w:rFonts w:hint="eastAsia" w:ascii="宋体" w:hAnsi="宋体"/>
          <w:color w:val="000000"/>
          <w:sz w:val="24"/>
        </w:rPr>
        <w:t>2、我方已详细审查全部招标文件，包括修改文件、参考资料及有关附件，无其他不明事项。</w:t>
      </w:r>
    </w:p>
    <w:p>
      <w:pPr>
        <w:spacing w:line="500" w:lineRule="exact"/>
        <w:ind w:firstLine="480" w:firstLineChars="200"/>
        <w:rPr>
          <w:rFonts w:hint="eastAsia" w:ascii="宋体" w:hAnsi="宋体"/>
          <w:color w:val="000000"/>
          <w:sz w:val="24"/>
        </w:rPr>
      </w:pPr>
      <w:r>
        <w:rPr>
          <w:rFonts w:hint="eastAsia" w:ascii="宋体" w:hAnsi="宋体"/>
          <w:color w:val="000000"/>
          <w:sz w:val="24"/>
        </w:rPr>
        <w:t>3、我方同意提供贵方可能要求的与投标有关的任何证据或资料。</w:t>
      </w:r>
    </w:p>
    <w:p>
      <w:pPr>
        <w:spacing w:line="500" w:lineRule="exact"/>
        <w:ind w:firstLine="480" w:firstLineChars="200"/>
        <w:rPr>
          <w:rFonts w:hint="eastAsia" w:ascii="宋体" w:hAnsi="宋体"/>
          <w:color w:val="000000"/>
          <w:sz w:val="24"/>
        </w:rPr>
      </w:pPr>
      <w:r>
        <w:rPr>
          <w:rFonts w:hint="eastAsia" w:ascii="宋体" w:hAnsi="宋体"/>
          <w:color w:val="000000"/>
          <w:sz w:val="24"/>
        </w:rPr>
        <w:t>4、如果我方中标，我方将按《中标通知书》要求签订、履行合同，承担责任、义务。</w:t>
      </w:r>
    </w:p>
    <w:p>
      <w:pPr>
        <w:spacing w:line="500" w:lineRule="exact"/>
        <w:ind w:firstLine="480" w:firstLineChars="200"/>
        <w:rPr>
          <w:rFonts w:hint="eastAsia" w:ascii="宋体" w:hAnsi="宋体"/>
          <w:color w:val="000000"/>
          <w:sz w:val="24"/>
        </w:rPr>
      </w:pPr>
      <w:r>
        <w:rPr>
          <w:rFonts w:hint="eastAsia" w:ascii="宋体" w:hAnsi="宋体"/>
          <w:color w:val="000000"/>
          <w:sz w:val="24"/>
        </w:rPr>
        <w:t>5、我方同意所递交的投标文件在</w:t>
      </w:r>
      <w:r>
        <w:rPr>
          <w:rFonts w:hint="eastAsia" w:ascii="宋体" w:hAnsi="宋体"/>
          <w:color w:val="000000"/>
          <w:sz w:val="24"/>
          <w:lang w:val="en-US" w:eastAsia="zh-CN"/>
        </w:rPr>
        <w:t>90</w:t>
      </w:r>
      <w:r>
        <w:rPr>
          <w:rFonts w:hint="eastAsia" w:ascii="宋体" w:hAnsi="宋体"/>
          <w:color w:val="000000"/>
          <w:sz w:val="24"/>
        </w:rPr>
        <w:t>天的投标有效期内有效，在此期间我方将受此约束。</w:t>
      </w:r>
    </w:p>
    <w:p>
      <w:pPr>
        <w:spacing w:line="500" w:lineRule="exact"/>
        <w:ind w:firstLine="480" w:firstLineChars="200"/>
        <w:rPr>
          <w:rFonts w:hint="eastAsia" w:ascii="宋体" w:hAnsi="宋体"/>
          <w:color w:val="000000"/>
          <w:sz w:val="24"/>
        </w:rPr>
      </w:pPr>
      <w:r>
        <w:rPr>
          <w:rFonts w:hint="eastAsia" w:ascii="宋体" w:hAnsi="宋体"/>
          <w:color w:val="000000"/>
          <w:sz w:val="24"/>
        </w:rPr>
        <w:t>6、我们理解贵方不一定要接受最低报价的投标或收到的任何投标。</w:t>
      </w:r>
    </w:p>
    <w:p>
      <w:pPr>
        <w:spacing w:line="500" w:lineRule="exact"/>
        <w:ind w:firstLine="480" w:firstLineChars="200"/>
        <w:rPr>
          <w:rFonts w:hint="eastAsia" w:ascii="宋体" w:hAnsi="宋体"/>
          <w:color w:val="000000"/>
          <w:sz w:val="24"/>
        </w:rPr>
      </w:pPr>
      <w:r>
        <w:rPr>
          <w:rFonts w:hint="eastAsia" w:ascii="宋体" w:hAnsi="宋体"/>
          <w:color w:val="000000"/>
          <w:sz w:val="24"/>
        </w:rPr>
        <w:t>7、投标有关的一切资金往来请使用以下帐户：</w:t>
      </w:r>
    </w:p>
    <w:p>
      <w:pPr>
        <w:spacing w:line="500" w:lineRule="exact"/>
        <w:ind w:firstLine="900" w:firstLineChars="375"/>
        <w:rPr>
          <w:rFonts w:hint="eastAsia" w:ascii="宋体" w:hAnsi="宋体"/>
          <w:color w:val="000000"/>
          <w:sz w:val="24"/>
        </w:rPr>
      </w:pPr>
      <w:r>
        <w:rPr>
          <w:rFonts w:hint="eastAsia" w:ascii="宋体" w:hAnsi="宋体"/>
          <w:color w:val="000000"/>
          <w:sz w:val="24"/>
        </w:rPr>
        <w:t>开户行：</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ind w:firstLine="900" w:firstLineChars="375"/>
        <w:rPr>
          <w:rFonts w:hint="eastAsia" w:ascii="宋体" w:hAnsi="宋体"/>
          <w:color w:val="000000"/>
          <w:sz w:val="24"/>
        </w:rPr>
      </w:pPr>
      <w:r>
        <w:rPr>
          <w:rFonts w:hint="eastAsia" w:ascii="宋体" w:hAnsi="宋体"/>
          <w:color w:val="000000"/>
          <w:sz w:val="24"/>
        </w:rPr>
        <w:t>户  名：</w:t>
      </w:r>
      <w:r>
        <w:rPr>
          <w:rFonts w:hint="eastAsia" w:ascii="宋体" w:hAnsi="宋体"/>
          <w:color w:val="000000"/>
          <w:sz w:val="24"/>
          <w:u w:val="single"/>
        </w:rPr>
        <w:t xml:space="preserve">                       </w:t>
      </w:r>
    </w:p>
    <w:p>
      <w:pPr>
        <w:spacing w:line="500" w:lineRule="exact"/>
        <w:ind w:firstLine="900" w:firstLineChars="375"/>
        <w:rPr>
          <w:rFonts w:hint="eastAsia" w:ascii="宋体" w:hAnsi="宋体"/>
          <w:color w:val="000000"/>
          <w:sz w:val="24"/>
        </w:rPr>
      </w:pPr>
      <w:r>
        <w:rPr>
          <w:rFonts w:hint="eastAsia" w:ascii="宋体" w:hAnsi="宋体"/>
          <w:color w:val="000000"/>
          <w:sz w:val="24"/>
        </w:rPr>
        <w:t>账  号：</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8、与投标有关的一切正式信函请使用以下地址：</w:t>
      </w:r>
    </w:p>
    <w:p>
      <w:pPr>
        <w:spacing w:line="500" w:lineRule="exact"/>
        <w:ind w:firstLine="900" w:firstLineChars="375"/>
        <w:rPr>
          <w:rFonts w:hint="eastAsia"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900" w:firstLineChars="375"/>
        <w:rPr>
          <w:rFonts w:hint="eastAsia"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900" w:firstLineChars="375"/>
        <w:rPr>
          <w:rFonts w:hint="eastAsia" w:ascii="宋体" w:hAnsi="宋体"/>
          <w:color w:val="000000"/>
          <w:sz w:val="24"/>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900" w:firstLineChars="375"/>
        <w:rPr>
          <w:rFonts w:hint="eastAsia" w:ascii="宋体" w:hAnsi="宋体"/>
          <w:color w:val="000000"/>
          <w:sz w:val="24"/>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900" w:firstLineChars="375"/>
        <w:rPr>
          <w:rFonts w:hint="eastAsia" w:ascii="宋体" w:hAnsi="宋体"/>
          <w:color w:val="000000"/>
          <w:sz w:val="24"/>
          <w:u w:val="single"/>
        </w:rPr>
      </w:pPr>
      <w:r>
        <w:rPr>
          <w:rFonts w:hint="eastAsia" w:ascii="宋体" w:hAnsi="宋体"/>
          <w:color w:val="000000"/>
          <w:sz w:val="24"/>
        </w:rPr>
        <w:t>单位鲜章：</w:t>
      </w:r>
      <w:r>
        <w:rPr>
          <w:rFonts w:hint="eastAsia" w:ascii="宋体" w:hAnsi="宋体"/>
          <w:color w:val="000000"/>
          <w:sz w:val="24"/>
          <w:u w:val="single"/>
        </w:rPr>
        <w:t xml:space="preserve">                        </w:t>
      </w:r>
    </w:p>
    <w:p>
      <w:pPr>
        <w:spacing w:line="500" w:lineRule="exact"/>
        <w:ind w:firstLine="900" w:firstLineChars="375"/>
        <w:rPr>
          <w:rFonts w:hint="eastAsia" w:ascii="宋体" w:hAnsi="宋体"/>
          <w:color w:val="000000"/>
          <w:sz w:val="24"/>
        </w:rPr>
      </w:pPr>
      <w:r>
        <w:rPr>
          <w:rFonts w:hint="eastAsia" w:ascii="宋体" w:hAnsi="宋体"/>
          <w:color w:val="000000"/>
          <w:sz w:val="24"/>
        </w:rPr>
        <w:t>法定代表人或授权代表人签字：</w:t>
      </w:r>
      <w:r>
        <w:rPr>
          <w:rFonts w:hint="eastAsia" w:ascii="宋体" w:hAnsi="宋体"/>
          <w:color w:val="000000"/>
          <w:sz w:val="24"/>
          <w:u w:val="single"/>
        </w:rPr>
        <w:t xml:space="preserve">                      </w:t>
      </w:r>
      <w:r>
        <w:rPr>
          <w:rFonts w:hint="eastAsia" w:ascii="宋体" w:hAnsi="宋体"/>
          <w:color w:val="000000"/>
          <w:sz w:val="24"/>
        </w:rPr>
        <w:t xml:space="preserve">   </w:t>
      </w:r>
    </w:p>
    <w:p>
      <w:pPr>
        <w:pStyle w:val="18"/>
        <w:spacing w:line="500" w:lineRule="exact"/>
        <w:ind w:left="99" w:leftChars="47" w:firstLine="480" w:firstLineChars="200"/>
        <w:jc w:val="right"/>
        <w:rPr>
          <w:rFonts w:hint="eastAsia" w:ascii="宋体" w:hAnsi="宋体"/>
          <w:color w:val="000000"/>
          <w:sz w:val="24"/>
        </w:rPr>
      </w:pPr>
    </w:p>
    <w:p>
      <w:pPr>
        <w:pStyle w:val="18"/>
        <w:spacing w:line="500" w:lineRule="exact"/>
        <w:ind w:left="0" w:leftChars="0" w:right="560" w:firstLine="5400" w:firstLineChars="2250"/>
        <w:rPr>
          <w:rFonts w:hint="eastAsia" w:ascii="宋体" w:hAnsi="宋体"/>
          <w:color w:val="000000"/>
        </w:rPr>
      </w:pPr>
      <w:r>
        <w:rPr>
          <w:rFonts w:hint="eastAsia" w:ascii="宋体" w:hAnsi="宋体"/>
          <w:color w:val="000000"/>
          <w:sz w:val="24"/>
        </w:rPr>
        <w:t>年    月   日</w:t>
      </w:r>
    </w:p>
    <w:p>
      <w:pPr>
        <w:rPr>
          <w:rFonts w:hint="eastAsia" w:ascii="宋体" w:hAnsi="宋体"/>
          <w:b/>
          <w:color w:val="000000"/>
          <w:sz w:val="24"/>
        </w:rPr>
      </w:pPr>
      <w:r>
        <w:rPr>
          <w:rFonts w:ascii="宋体" w:hAnsi="宋体"/>
          <w:b/>
          <w:color w:val="000000"/>
        </w:rPr>
        <w:br w:type="page"/>
      </w:r>
      <w:r>
        <w:rPr>
          <w:rFonts w:hint="eastAsia" w:ascii="宋体" w:hAnsi="宋体"/>
          <w:b/>
          <w:color w:val="000000"/>
          <w:sz w:val="24"/>
        </w:rPr>
        <w:t>附件3：</w:t>
      </w:r>
      <w:bookmarkStart w:id="298" w:name="_Toc139965362"/>
    </w:p>
    <w:p>
      <w:pPr>
        <w:pStyle w:val="3"/>
        <w:spacing w:before="0" w:after="0"/>
        <w:rPr>
          <w:rFonts w:hint="eastAsia" w:ascii="宋体" w:hAnsi="宋体"/>
          <w:color w:val="000000"/>
          <w:sz w:val="36"/>
          <w:szCs w:val="36"/>
        </w:rPr>
      </w:pPr>
      <w:bookmarkStart w:id="299" w:name="_Toc453596892"/>
      <w:r>
        <w:rPr>
          <w:rFonts w:hint="eastAsia" w:ascii="宋体" w:hAnsi="宋体"/>
          <w:color w:val="000000"/>
          <w:sz w:val="36"/>
          <w:szCs w:val="36"/>
        </w:rPr>
        <w:t>法人授权</w:t>
      </w:r>
      <w:bookmarkEnd w:id="298"/>
      <w:r>
        <w:rPr>
          <w:rFonts w:hint="eastAsia" w:ascii="宋体" w:hAnsi="宋体"/>
          <w:color w:val="000000"/>
          <w:sz w:val="36"/>
          <w:szCs w:val="36"/>
        </w:rPr>
        <w:t>函</w:t>
      </w:r>
      <w:bookmarkEnd w:id="299"/>
    </w:p>
    <w:p>
      <w:pPr>
        <w:spacing w:line="30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rPr>
        <w:t xml:space="preserve">致 ：  </w:t>
      </w:r>
    </w:p>
    <w:p>
      <w:pPr>
        <w:spacing w:line="360" w:lineRule="auto"/>
        <w:ind w:firstLine="480" w:firstLineChars="200"/>
        <w:rPr>
          <w:rFonts w:hint="eastAsia" w:ascii="宋体" w:hAnsi="宋体"/>
          <w:color w:val="000000"/>
          <w:sz w:val="24"/>
        </w:rPr>
      </w:pPr>
      <w:r>
        <w:rPr>
          <w:rFonts w:hint="eastAsia" w:ascii="宋体" w:hAnsi="宋体"/>
          <w:color w:val="000000"/>
          <w:sz w:val="24"/>
        </w:rPr>
        <w:t>本授权函声明：</w:t>
      </w:r>
      <w:r>
        <w:rPr>
          <w:rFonts w:hint="eastAsia" w:ascii="宋体" w:hAnsi="宋体"/>
          <w:color w:val="000000"/>
          <w:sz w:val="24"/>
          <w:u w:val="single"/>
        </w:rPr>
        <w:t xml:space="preserve">            （投标人全称）         </w:t>
      </w:r>
      <w:r>
        <w:rPr>
          <w:rFonts w:hint="eastAsia" w:ascii="宋体" w:hAnsi="宋体"/>
          <w:color w:val="000000"/>
          <w:sz w:val="24"/>
        </w:rPr>
        <w:t>任命</w:t>
      </w:r>
      <w:r>
        <w:rPr>
          <w:rFonts w:hint="eastAsia" w:ascii="宋体" w:hAnsi="宋体"/>
          <w:color w:val="000000"/>
          <w:sz w:val="24"/>
          <w:u w:val="single"/>
        </w:rPr>
        <w:t xml:space="preserve"> （被授权人姓名、职务）   </w:t>
      </w:r>
      <w:r>
        <w:rPr>
          <w:rFonts w:hint="eastAsia" w:ascii="宋体" w:hAnsi="宋体"/>
          <w:color w:val="000000"/>
          <w:sz w:val="24"/>
        </w:rPr>
        <w:t>为我公司的授权代表人，参与招标编号为</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的白银市食品检验检测中心实验室检测设备采购项目投标活动，以投标人的名义签署投标文件、进行合同谈判、签署合同和全权处理与之有关的一切事务。</w:t>
      </w:r>
    </w:p>
    <w:p>
      <w:pPr>
        <w:spacing w:line="360" w:lineRule="auto"/>
        <w:ind w:firstLine="480" w:firstLineChars="200"/>
        <w:rPr>
          <w:rFonts w:hint="eastAsia" w:ascii="宋体" w:hAnsi="宋体"/>
          <w:color w:val="000000"/>
          <w:sz w:val="24"/>
        </w:rPr>
      </w:pPr>
      <w:r>
        <w:rPr>
          <w:rFonts w:hint="eastAsia" w:ascii="宋体" w:hAnsi="宋体"/>
          <w:color w:val="000000"/>
          <w:sz w:val="24"/>
        </w:rPr>
        <w:t>特签字如下，以资证明。</w:t>
      </w:r>
    </w:p>
    <w:p>
      <w:pPr>
        <w:spacing w:line="360" w:lineRule="auto"/>
        <w:ind w:firstLine="480" w:firstLineChars="200"/>
        <w:rPr>
          <w:rFonts w:hint="eastAsia" w:ascii="宋体" w:hAnsi="宋体"/>
          <w:color w:val="000000"/>
          <w:sz w:val="24"/>
        </w:rPr>
      </w:pPr>
    </w:p>
    <w:p>
      <w:pPr>
        <w:spacing w:line="360" w:lineRule="auto"/>
        <w:ind w:firstLine="480" w:firstLineChars="200"/>
        <w:jc w:val="left"/>
        <w:rPr>
          <w:rFonts w:hint="eastAsia" w:ascii="宋体" w:hAnsi="宋体"/>
          <w:color w:val="000000"/>
          <w:sz w:val="24"/>
          <w:u w:val="single"/>
        </w:rPr>
      </w:pPr>
      <w:r>
        <w:rPr>
          <w:rFonts w:hint="eastAsia" w:ascii="宋体" w:hAnsi="宋体"/>
          <w:color w:val="000000"/>
          <w:sz w:val="24"/>
        </w:rPr>
        <w:t>投标人名称：（鲜章）</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投标人地址：</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法定代表人：（签字或印章）</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被授权人：（签字或印章）：</w:t>
      </w:r>
      <w:r>
        <w:rPr>
          <w:rFonts w:hint="eastAsia" w:ascii="宋体" w:hAnsi="宋体"/>
          <w:color w:val="000000"/>
          <w:sz w:val="24"/>
          <w:u w:val="single"/>
        </w:rPr>
        <w:t xml:space="preserve">                     </w:t>
      </w:r>
    </w:p>
    <w:p>
      <w:pPr>
        <w:spacing w:line="480" w:lineRule="auto"/>
        <w:ind w:firstLine="2160" w:firstLineChars="900"/>
        <w:rPr>
          <w:rFonts w:hint="eastAsia" w:ascii="宋体" w:hAnsi="宋体"/>
          <w:color w:val="000000"/>
          <w:sz w:val="24"/>
        </w:rPr>
      </w:pPr>
    </w:p>
    <w:p>
      <w:pPr>
        <w:spacing w:line="300" w:lineRule="auto"/>
        <w:ind w:firstLine="4560" w:firstLineChars="1900"/>
        <w:rPr>
          <w:rFonts w:hint="eastAsia" w:ascii="宋体" w:hAnsi="宋体"/>
          <w:color w:val="000000"/>
          <w:sz w:val="24"/>
        </w:rPr>
      </w:pPr>
      <w:r>
        <w:rPr>
          <w:rFonts w:hint="eastAsia" w:ascii="宋体" w:hAnsi="宋体"/>
          <w:color w:val="000000"/>
          <w:sz w:val="24"/>
        </w:rPr>
        <w:t>授权日期：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480" w:lineRule="auto"/>
        <w:ind w:firstLine="480" w:firstLineChars="200"/>
        <w:rPr>
          <w:rFonts w:hint="eastAsia" w:ascii="宋体" w:hAnsi="宋体"/>
          <w:color w:val="000000"/>
          <w:sz w:val="24"/>
        </w:rPr>
      </w:pPr>
      <w:r>
        <w:rPr>
          <w:rFonts w:hint="eastAsia" w:ascii="宋体" w:hAnsi="宋体"/>
          <w:color w:val="000000"/>
          <w:sz w:val="24"/>
          <w:u w:val="single"/>
          <w:lang w:val="en-US" w:eastAsia="zh-CN"/>
        </w:rPr>
        <w:pict>
          <v:shape id="Text Box 3" o:spid="_x0000_s1026" o:spt="202" type="#_x0000_t202" style="position:absolute;left:0pt;margin-left:261.35pt;margin-top:30pt;height:120pt;width:191.25pt;z-index:251657216;mso-width-relative:page;mso-height-relative:page;" coordsize="21600,21600">
            <v:path/>
            <v:fill focussize="0,0"/>
            <v:stroke joinstyle="miter"/>
            <v:imagedata o:title=""/>
            <o:lock v:ext="edit"/>
            <v:textbox>
              <w:txbxContent>
                <w:p>
                  <w:pPr>
                    <w:jc w:val="center"/>
                    <w:rPr>
                      <w:rFonts w:hint="eastAsia"/>
                      <w:sz w:val="32"/>
                      <w:szCs w:val="32"/>
                    </w:rPr>
                  </w:pPr>
                </w:p>
                <w:p>
                  <w:pPr>
                    <w:jc w:val="center"/>
                    <w:rPr>
                      <w:sz w:val="32"/>
                      <w:szCs w:val="32"/>
                    </w:rPr>
                  </w:pPr>
                  <w:r>
                    <w:rPr>
                      <w:rFonts w:hint="eastAsia"/>
                      <w:sz w:val="32"/>
                      <w:szCs w:val="32"/>
                    </w:rPr>
                    <w:t>背面</w:t>
                  </w:r>
                </w:p>
              </w:txbxContent>
            </v:textbox>
          </v:shape>
        </w:pict>
      </w:r>
      <w:r>
        <w:rPr>
          <w:rFonts w:hint="eastAsia" w:ascii="宋体" w:hAnsi="宋体"/>
          <w:color w:val="000000"/>
          <w:sz w:val="24"/>
          <w:lang w:val="en-US" w:eastAsia="zh-CN"/>
        </w:rPr>
        <w:pict>
          <v:shape id="Text Box 2" o:spid="_x0000_s1027" o:spt="202" type="#_x0000_t202" style="position:absolute;left:0pt;margin-left:31.1pt;margin-top:30pt;height:120pt;width:195pt;z-index:251656192;mso-width-relative:page;mso-height-relative:page;" coordsize="21600,21600">
            <v:path/>
            <v:fill focussize="0,0"/>
            <v:stroke joinstyle="miter"/>
            <v:imagedata o:title=""/>
            <o:lock v:ext="edit"/>
            <v:textbox>
              <w:txbxContent>
                <w:p>
                  <w:pPr>
                    <w:jc w:val="center"/>
                    <w:rPr>
                      <w:rFonts w:hint="eastAsia"/>
                      <w:sz w:val="32"/>
                      <w:szCs w:val="32"/>
                    </w:rPr>
                  </w:pPr>
                </w:p>
                <w:p>
                  <w:pPr>
                    <w:jc w:val="center"/>
                    <w:rPr>
                      <w:sz w:val="32"/>
                      <w:szCs w:val="32"/>
                    </w:rPr>
                  </w:pPr>
                  <w:r>
                    <w:rPr>
                      <w:rFonts w:hint="eastAsia"/>
                      <w:sz w:val="32"/>
                      <w:szCs w:val="32"/>
                    </w:rPr>
                    <w:t>正面</w:t>
                  </w:r>
                </w:p>
              </w:txbxContent>
            </v:textbox>
          </v:shape>
        </w:pict>
      </w:r>
      <w:r>
        <w:rPr>
          <w:rFonts w:hint="eastAsia" w:ascii="宋体" w:hAnsi="宋体"/>
          <w:color w:val="000000"/>
          <w:sz w:val="24"/>
        </w:rPr>
        <w:t>法定代表人身份复印件：</w:t>
      </w:r>
    </w:p>
    <w:p>
      <w:pPr>
        <w:spacing w:line="480" w:lineRule="auto"/>
        <w:ind w:firstLine="2160" w:firstLineChars="900"/>
        <w:rPr>
          <w:rFonts w:hint="eastAsia" w:ascii="宋体" w:hAnsi="宋体"/>
          <w:color w:val="000000"/>
          <w:sz w:val="24"/>
        </w:rPr>
      </w:pPr>
    </w:p>
    <w:p>
      <w:pPr>
        <w:spacing w:line="480" w:lineRule="auto"/>
        <w:ind w:firstLine="2160" w:firstLineChars="900"/>
        <w:rPr>
          <w:rFonts w:hint="eastAsia" w:ascii="宋体" w:hAnsi="宋体"/>
          <w:color w:val="000000"/>
          <w:sz w:val="24"/>
        </w:rPr>
      </w:pPr>
    </w:p>
    <w:p>
      <w:pPr>
        <w:spacing w:line="480" w:lineRule="auto"/>
        <w:ind w:firstLine="2160" w:firstLineChars="900"/>
        <w:rPr>
          <w:rFonts w:hint="eastAsia" w:ascii="宋体" w:hAnsi="宋体"/>
          <w:color w:val="000000"/>
          <w:sz w:val="24"/>
          <w:u w:val="single"/>
        </w:rPr>
      </w:pPr>
    </w:p>
    <w:p>
      <w:pPr>
        <w:spacing w:line="480" w:lineRule="auto"/>
        <w:ind w:firstLine="2160" w:firstLineChars="900"/>
        <w:rPr>
          <w:rFonts w:hint="eastAsia" w:ascii="宋体" w:hAnsi="宋体"/>
          <w:color w:val="000000"/>
          <w:sz w:val="24"/>
          <w:u w:val="single"/>
        </w:rPr>
      </w:pPr>
    </w:p>
    <w:p>
      <w:pPr>
        <w:spacing w:line="480" w:lineRule="auto"/>
        <w:ind w:firstLine="480" w:firstLineChars="200"/>
        <w:jc w:val="left"/>
        <w:rPr>
          <w:rFonts w:hint="eastAsia" w:ascii="宋体" w:hAnsi="宋体"/>
          <w:color w:val="000000"/>
          <w:sz w:val="24"/>
        </w:rPr>
      </w:pPr>
      <w:r>
        <w:rPr>
          <w:rFonts w:hint="eastAsia" w:ascii="宋体" w:hAnsi="宋体"/>
          <w:color w:val="000000"/>
          <w:sz w:val="24"/>
        </w:rPr>
        <w:t>授权人身份证复印件：</w:t>
      </w:r>
    </w:p>
    <w:p>
      <w:pPr>
        <w:spacing w:line="300" w:lineRule="auto"/>
        <w:ind w:firstLine="570"/>
        <w:rPr>
          <w:rFonts w:hint="eastAsia" w:ascii="宋体" w:hAnsi="宋体"/>
          <w:color w:val="000000"/>
          <w:sz w:val="24"/>
        </w:rPr>
      </w:pPr>
      <w:r>
        <w:rPr>
          <w:rFonts w:hint="eastAsia" w:ascii="宋体" w:hAnsi="宋体"/>
          <w:color w:val="000000"/>
          <w:sz w:val="24"/>
          <w:lang w:val="en-US" w:eastAsia="zh-CN"/>
        </w:rPr>
        <w:pict>
          <v:shape id="Text Box 4" o:spid="_x0000_s1028" o:spt="202" type="#_x0000_t202" style="position:absolute;left:0pt;margin-left:31.1pt;margin-top:13.05pt;height:111pt;width:201pt;z-index:251658240;mso-width-relative:page;mso-height-relative:page;" coordsize="21600,21600">
            <v:path/>
            <v:fill focussize="0,0"/>
            <v:stroke joinstyle="miter"/>
            <v:imagedata o:title=""/>
            <o:lock v:ext="edit"/>
            <v:textbox>
              <w:txbxContent>
                <w:p>
                  <w:pPr>
                    <w:jc w:val="center"/>
                    <w:rPr>
                      <w:rFonts w:hint="eastAsia"/>
                      <w:sz w:val="32"/>
                      <w:szCs w:val="32"/>
                    </w:rPr>
                  </w:pPr>
                </w:p>
                <w:p>
                  <w:pPr>
                    <w:jc w:val="center"/>
                    <w:rPr>
                      <w:sz w:val="32"/>
                      <w:szCs w:val="32"/>
                    </w:rPr>
                  </w:pPr>
                  <w:r>
                    <w:rPr>
                      <w:rFonts w:hint="eastAsia"/>
                      <w:sz w:val="32"/>
                      <w:szCs w:val="32"/>
                    </w:rPr>
                    <w:t>正面</w:t>
                  </w:r>
                </w:p>
              </w:txbxContent>
            </v:textbox>
          </v:shape>
        </w:pict>
      </w:r>
      <w:r>
        <w:rPr>
          <w:rFonts w:hint="eastAsia" w:ascii="宋体" w:hAnsi="宋体"/>
          <w:color w:val="000000"/>
          <w:sz w:val="24"/>
          <w:lang w:val="en-US" w:eastAsia="zh-CN"/>
        </w:rPr>
        <w:pict>
          <v:shape id="Text Box 5" o:spid="_x0000_s1029" o:spt="202" type="#_x0000_t202" style="position:absolute;left:0pt;margin-left:261.35pt;margin-top:13.05pt;height:111pt;width:191.25pt;z-index:251659264;mso-width-relative:page;mso-height-relative:page;" coordsize="21600,21600">
            <v:path/>
            <v:fill focussize="0,0"/>
            <v:stroke joinstyle="miter"/>
            <v:imagedata o:title=""/>
            <o:lock v:ext="edit"/>
            <v:textbox>
              <w:txbxContent>
                <w:p>
                  <w:pPr>
                    <w:jc w:val="center"/>
                    <w:rPr>
                      <w:rFonts w:hint="eastAsia"/>
                      <w:sz w:val="32"/>
                      <w:szCs w:val="32"/>
                    </w:rPr>
                  </w:pPr>
                </w:p>
                <w:p>
                  <w:pPr>
                    <w:jc w:val="center"/>
                    <w:rPr>
                      <w:sz w:val="32"/>
                      <w:szCs w:val="32"/>
                    </w:rPr>
                  </w:pPr>
                  <w:r>
                    <w:rPr>
                      <w:rFonts w:hint="eastAsia"/>
                      <w:sz w:val="32"/>
                      <w:szCs w:val="32"/>
                    </w:rPr>
                    <w:t>背面</w:t>
                  </w:r>
                </w:p>
                <w:p/>
              </w:txbxContent>
            </v:textbox>
          </v:shape>
        </w:pict>
      </w:r>
    </w:p>
    <w:p>
      <w:pPr>
        <w:spacing w:line="300" w:lineRule="auto"/>
        <w:ind w:firstLine="3360" w:firstLineChars="1400"/>
        <w:rPr>
          <w:rFonts w:hint="eastAsia" w:ascii="宋体" w:hAnsi="宋体"/>
          <w:color w:val="000000"/>
          <w:sz w:val="24"/>
        </w:rPr>
      </w:pPr>
    </w:p>
    <w:p>
      <w:pPr>
        <w:spacing w:line="300" w:lineRule="auto"/>
        <w:rPr>
          <w:rFonts w:hint="eastAsia" w:ascii="宋体" w:hAnsi="宋体"/>
          <w:color w:val="000000"/>
          <w:sz w:val="24"/>
        </w:rPr>
      </w:pPr>
    </w:p>
    <w:p>
      <w:pPr>
        <w:spacing w:line="300" w:lineRule="auto"/>
        <w:rPr>
          <w:rFonts w:hint="eastAsia" w:ascii="宋体" w:hAnsi="宋体"/>
          <w:color w:val="000000"/>
          <w:sz w:val="24"/>
        </w:rPr>
      </w:pPr>
    </w:p>
    <w:p>
      <w:pPr>
        <w:spacing w:line="300" w:lineRule="auto"/>
        <w:rPr>
          <w:rFonts w:hint="eastAsia" w:ascii="宋体" w:hAnsi="宋体"/>
          <w:color w:val="000000"/>
          <w:sz w:val="24"/>
        </w:rPr>
      </w:pPr>
    </w:p>
    <w:p>
      <w:pPr>
        <w:spacing w:line="300" w:lineRule="auto"/>
        <w:rPr>
          <w:rFonts w:hint="eastAsia" w:ascii="宋体" w:hAnsi="宋体"/>
          <w:color w:val="000000"/>
          <w:sz w:val="24"/>
        </w:rPr>
      </w:pPr>
    </w:p>
    <w:p>
      <w:pPr>
        <w:spacing w:line="300" w:lineRule="auto"/>
        <w:rPr>
          <w:rFonts w:hint="eastAsia" w:ascii="宋体" w:hAnsi="宋体"/>
          <w:color w:val="000000"/>
          <w:sz w:val="24"/>
        </w:rPr>
      </w:pPr>
    </w:p>
    <w:p>
      <w:pPr>
        <w:rPr>
          <w:rFonts w:hint="eastAsia" w:ascii="宋体" w:hAnsi="宋体"/>
          <w:b/>
          <w:color w:val="000000"/>
          <w:sz w:val="24"/>
        </w:rPr>
      </w:pPr>
    </w:p>
    <w:p>
      <w:pPr>
        <w:pStyle w:val="3"/>
        <w:jc w:val="left"/>
        <w:rPr>
          <w:rFonts w:hint="eastAsia" w:ascii="宋体" w:hAnsi="宋体"/>
          <w:bCs w:val="0"/>
          <w:color w:val="000000"/>
          <w:sz w:val="24"/>
          <w:szCs w:val="24"/>
        </w:rPr>
      </w:pPr>
      <w:bookmarkStart w:id="300" w:name="_Toc447207037"/>
      <w:bookmarkStart w:id="301" w:name="_Toc447749863"/>
      <w:bookmarkStart w:id="302" w:name="_Toc453596893"/>
      <w:r>
        <w:rPr>
          <w:rFonts w:hint="eastAsia" w:ascii="宋体" w:hAnsi="宋体"/>
          <w:bCs w:val="0"/>
          <w:color w:val="000000"/>
          <w:sz w:val="24"/>
          <w:szCs w:val="24"/>
        </w:rPr>
        <w:t>附件4： 法定代表人资格证明</w:t>
      </w:r>
      <w:bookmarkEnd w:id="300"/>
      <w:bookmarkEnd w:id="301"/>
      <w:bookmarkEnd w:id="302"/>
    </w:p>
    <w:p/>
    <w:p>
      <w:pPr>
        <w:pStyle w:val="3"/>
        <w:spacing w:before="0" w:after="0"/>
        <w:rPr>
          <w:rFonts w:ascii="宋体" w:hAnsi="宋体"/>
          <w:color w:val="000000"/>
          <w:sz w:val="36"/>
          <w:szCs w:val="36"/>
        </w:rPr>
      </w:pPr>
      <w:r>
        <w:rPr>
          <w:rFonts w:hint="eastAsia" w:ascii="宋体" w:hAnsi="宋体"/>
          <w:color w:val="000000"/>
          <w:sz w:val="36"/>
          <w:szCs w:val="36"/>
        </w:rPr>
        <w:t>法定代表人资格证明</w:t>
      </w:r>
    </w:p>
    <w:p>
      <w:pPr>
        <w:jc w:val="center"/>
        <w:rPr>
          <w:b/>
          <w:sz w:val="28"/>
        </w:rPr>
      </w:pPr>
    </w:p>
    <w:p>
      <w:pPr>
        <w:spacing w:line="360" w:lineRule="auto"/>
        <w:rPr>
          <w:color w:val="000000"/>
          <w:sz w:val="24"/>
        </w:rPr>
      </w:pPr>
      <w:r>
        <w:rPr>
          <w:rFonts w:hint="eastAsia"/>
          <w:color w:val="000000"/>
          <w:sz w:val="24"/>
        </w:rPr>
        <w:t>致：</w:t>
      </w:r>
    </w:p>
    <w:p>
      <w:pPr>
        <w:spacing w:line="360" w:lineRule="auto"/>
        <w:ind w:firstLine="480" w:firstLineChars="200"/>
        <w:rPr>
          <w:color w:val="000000"/>
          <w:sz w:val="24"/>
        </w:rPr>
      </w:pPr>
      <w:r>
        <w:rPr>
          <w:rFonts w:hint="eastAsia"/>
          <w:color w:val="000000"/>
          <w:sz w:val="24"/>
        </w:rPr>
        <w:t>姓名：</w:t>
      </w:r>
      <w:r>
        <w:rPr>
          <w:color w:val="000000"/>
          <w:sz w:val="24"/>
          <w:u w:val="single"/>
        </w:rPr>
        <w:t xml:space="preserve">             </w:t>
      </w:r>
      <w:r>
        <w:rPr>
          <w:rFonts w:hint="eastAsia"/>
          <w:color w:val="000000"/>
          <w:sz w:val="24"/>
        </w:rPr>
        <w:t>，性别：</w:t>
      </w:r>
      <w:r>
        <w:rPr>
          <w:color w:val="000000"/>
          <w:sz w:val="24"/>
          <w:u w:val="single"/>
        </w:rPr>
        <w:t xml:space="preserve">       </w:t>
      </w:r>
      <w:r>
        <w:rPr>
          <w:rFonts w:hint="eastAsia"/>
          <w:color w:val="000000"/>
          <w:sz w:val="24"/>
        </w:rPr>
        <w:t>，年龄：</w:t>
      </w:r>
      <w:r>
        <w:rPr>
          <w:color w:val="000000"/>
          <w:sz w:val="24"/>
          <w:u w:val="single"/>
        </w:rPr>
        <w:t xml:space="preserve">        </w:t>
      </w:r>
      <w:r>
        <w:rPr>
          <w:rFonts w:hint="eastAsia"/>
          <w:color w:val="000000"/>
          <w:sz w:val="24"/>
        </w:rPr>
        <w:t>，职务：</w:t>
      </w:r>
      <w:r>
        <w:rPr>
          <w:color w:val="000000"/>
          <w:sz w:val="24"/>
          <w:u w:val="single"/>
        </w:rPr>
        <w:t xml:space="preserve">            </w:t>
      </w:r>
      <w:r>
        <w:rPr>
          <w:rFonts w:hint="eastAsia"/>
          <w:color w:val="000000"/>
          <w:sz w:val="24"/>
        </w:rPr>
        <w:t>，身份证号码：</w:t>
      </w:r>
      <w:r>
        <w:rPr>
          <w:color w:val="000000"/>
          <w:sz w:val="24"/>
          <w:u w:val="single"/>
        </w:rPr>
        <w:t xml:space="preserve">                  </w:t>
      </w:r>
      <w:r>
        <w:rPr>
          <w:rFonts w:hint="eastAsia"/>
          <w:color w:val="000000"/>
          <w:sz w:val="24"/>
        </w:rPr>
        <w:t>，系</w:t>
      </w:r>
      <w:r>
        <w:rPr>
          <w:color w:val="000000"/>
          <w:sz w:val="24"/>
          <w:u w:val="single"/>
        </w:rPr>
        <w:t xml:space="preserve">       </w:t>
      </w:r>
      <w:r>
        <w:rPr>
          <w:rFonts w:hint="eastAsia"/>
          <w:color w:val="000000"/>
          <w:sz w:val="24"/>
          <w:u w:val="single"/>
        </w:rPr>
        <w:t>（供应商名称）</w:t>
      </w:r>
      <w:r>
        <w:rPr>
          <w:color w:val="000000"/>
          <w:sz w:val="24"/>
          <w:u w:val="single"/>
        </w:rPr>
        <w:t xml:space="preserve">      </w:t>
      </w:r>
      <w:r>
        <w:rPr>
          <w:rFonts w:hint="eastAsia"/>
          <w:color w:val="000000"/>
          <w:sz w:val="24"/>
        </w:rPr>
        <w:t>的法定代表人</w:t>
      </w:r>
      <w:r>
        <w:rPr>
          <w:color w:val="000000"/>
          <w:sz w:val="24"/>
        </w:rPr>
        <w:t>/</w:t>
      </w:r>
      <w:r>
        <w:rPr>
          <w:rFonts w:hint="eastAsia"/>
          <w:color w:val="000000"/>
          <w:sz w:val="24"/>
        </w:rPr>
        <w:t>负责人。为招标编号为</w:t>
      </w:r>
      <w:r>
        <w:rPr>
          <w:color w:val="000000"/>
          <w:sz w:val="24"/>
          <w:u w:val="single"/>
        </w:rPr>
        <w:t xml:space="preserve">              </w:t>
      </w:r>
      <w:r>
        <w:rPr>
          <w:color w:val="000000"/>
          <w:sz w:val="24"/>
        </w:rPr>
        <w:t xml:space="preserve"> </w:t>
      </w:r>
      <w:r>
        <w:rPr>
          <w:rFonts w:hint="eastAsia"/>
          <w:color w:val="000000"/>
          <w:sz w:val="24"/>
        </w:rPr>
        <w:t>的</w:t>
      </w:r>
      <w:r>
        <w:rPr>
          <w:rFonts w:ascii="宋体"/>
          <w:bCs/>
          <w:color w:val="000000"/>
          <w:sz w:val="24"/>
        </w:rPr>
        <w:t>XXXX</w:t>
      </w:r>
      <w:r>
        <w:rPr>
          <w:rFonts w:hint="eastAsia" w:ascii="宋体"/>
          <w:bCs/>
          <w:color w:val="000000"/>
          <w:sz w:val="24"/>
        </w:rPr>
        <w:t>单位所需</w:t>
      </w:r>
      <w:r>
        <w:rPr>
          <w:rFonts w:ascii="宋体"/>
          <w:bCs/>
          <w:color w:val="000000"/>
          <w:sz w:val="24"/>
        </w:rPr>
        <w:t>XXXX</w:t>
      </w:r>
      <w:r>
        <w:rPr>
          <w:rFonts w:hint="eastAsia" w:ascii="宋体"/>
          <w:bCs/>
          <w:color w:val="000000"/>
          <w:sz w:val="24"/>
        </w:rPr>
        <w:t>项目</w:t>
      </w:r>
      <w:r>
        <w:rPr>
          <w:rFonts w:hint="eastAsia"/>
          <w:color w:val="000000"/>
          <w:sz w:val="24"/>
        </w:rPr>
        <w:t>投标活动签署投标文件、进行合同谈判、签署合同和全权处理与之有关的一切事务。</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特此证明。</w:t>
      </w:r>
    </w:p>
    <w:p>
      <w:pPr>
        <w:spacing w:line="360" w:lineRule="auto"/>
        <w:ind w:firstLine="480" w:firstLineChars="200"/>
        <w:jc w:val="left"/>
        <w:rPr>
          <w:color w:val="000000"/>
          <w:sz w:val="24"/>
        </w:rPr>
      </w:pPr>
    </w:p>
    <w:p>
      <w:pPr>
        <w:spacing w:line="360" w:lineRule="auto"/>
        <w:ind w:firstLine="480" w:firstLineChars="200"/>
        <w:jc w:val="left"/>
        <w:rPr>
          <w:color w:val="000000"/>
          <w:sz w:val="24"/>
          <w:u w:val="single"/>
        </w:rPr>
      </w:pPr>
      <w:r>
        <w:rPr>
          <w:rFonts w:hint="eastAsia"/>
          <w:color w:val="000000"/>
          <w:sz w:val="24"/>
        </w:rPr>
        <w:t>投标人名称：（公章）</w:t>
      </w:r>
    </w:p>
    <w:p>
      <w:pPr>
        <w:spacing w:line="360" w:lineRule="auto"/>
        <w:ind w:firstLine="480" w:firstLineChars="200"/>
        <w:rPr>
          <w:color w:val="000000"/>
          <w:sz w:val="24"/>
          <w:u w:val="single"/>
        </w:rPr>
      </w:pPr>
      <w:r>
        <w:rPr>
          <w:rFonts w:hint="eastAsia"/>
          <w:color w:val="000000"/>
          <w:sz w:val="24"/>
        </w:rPr>
        <w:t>投标人地址：</w:t>
      </w:r>
      <w:r>
        <w:rPr>
          <w:color w:val="000000"/>
          <w:sz w:val="24"/>
          <w:u w:val="single"/>
        </w:rPr>
        <w:t xml:space="preserve">                                              </w:t>
      </w:r>
    </w:p>
    <w:p>
      <w:pPr>
        <w:spacing w:line="360" w:lineRule="auto"/>
        <w:ind w:firstLine="480" w:firstLineChars="200"/>
        <w:rPr>
          <w:color w:val="000000"/>
          <w:sz w:val="24"/>
          <w:u w:val="single"/>
        </w:rPr>
      </w:pPr>
    </w:p>
    <w:p>
      <w:pPr>
        <w:spacing w:line="360" w:lineRule="auto"/>
        <w:ind w:firstLine="480" w:firstLineChars="200"/>
        <w:rPr>
          <w:color w:val="000000"/>
          <w:sz w:val="24"/>
          <w:u w:val="single"/>
        </w:rPr>
      </w:pPr>
    </w:p>
    <w:p>
      <w:pPr>
        <w:spacing w:line="360" w:lineRule="auto"/>
        <w:ind w:firstLine="480" w:firstLineChars="200"/>
        <w:rPr>
          <w:color w:val="000000"/>
          <w:sz w:val="24"/>
        </w:rPr>
      </w:pPr>
      <w:r>
        <w:rPr>
          <w:color w:val="000000"/>
          <w:sz w:val="24"/>
        </w:rPr>
        <w:t xml:space="preserve">                                       </w:t>
      </w:r>
      <w:r>
        <w:rPr>
          <w:rFonts w:hint="eastAsia"/>
          <w:color w:val="000000"/>
          <w:sz w:val="24"/>
        </w:rPr>
        <w:t>日期：</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rPr>
          <w:color w:val="000000"/>
          <w:sz w:val="24"/>
        </w:rPr>
      </w:pPr>
      <w:r>
        <w:rPr>
          <w:rFonts w:hint="eastAsia"/>
          <w:color w:val="000000"/>
          <w:sz w:val="24"/>
        </w:rPr>
        <w:t>注：本证明书投标人必须提供。此处所述“法定代表人”或“负责人”，须与投标申请人的“营业执照”上的内容一致。</w:t>
      </w: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p>
    <w:p>
      <w:pPr>
        <w:rPr>
          <w:rFonts w:hint="eastAsia" w:ascii="宋体" w:hAnsi="宋体"/>
          <w:b/>
          <w:color w:val="000000"/>
          <w:sz w:val="24"/>
        </w:rPr>
      </w:pPr>
      <w:r>
        <w:rPr>
          <w:rFonts w:hint="eastAsia" w:ascii="宋体" w:hAnsi="宋体"/>
          <w:b/>
          <w:color w:val="000000"/>
          <w:sz w:val="24"/>
        </w:rPr>
        <w:t>附件5：</w:t>
      </w:r>
      <w:bookmarkStart w:id="303" w:name="_Toc139965363"/>
    </w:p>
    <w:p>
      <w:pPr>
        <w:pStyle w:val="3"/>
        <w:spacing w:before="0" w:after="0"/>
        <w:rPr>
          <w:rFonts w:hint="eastAsia" w:ascii="宋体" w:hAnsi="宋体"/>
          <w:color w:val="000000"/>
          <w:sz w:val="36"/>
          <w:szCs w:val="36"/>
        </w:rPr>
      </w:pPr>
      <w:bookmarkStart w:id="304" w:name="_Toc453596894"/>
      <w:r>
        <w:rPr>
          <w:rFonts w:hint="eastAsia" w:ascii="宋体" w:hAnsi="宋体"/>
          <w:color w:val="000000"/>
          <w:sz w:val="36"/>
          <w:szCs w:val="36"/>
        </w:rPr>
        <w:t>投标报价表</w:t>
      </w:r>
      <w:bookmarkEnd w:id="303"/>
      <w:bookmarkEnd w:id="304"/>
    </w:p>
    <w:p>
      <w:pPr>
        <w:spacing w:line="360" w:lineRule="auto"/>
        <w:rPr>
          <w:rFonts w:hint="eastAsia" w:ascii="宋体" w:hAnsi="宋体"/>
          <w:color w:val="000000"/>
          <w:sz w:val="24"/>
        </w:rPr>
      </w:pPr>
    </w:p>
    <w:p>
      <w:pPr>
        <w:spacing w:line="360" w:lineRule="auto"/>
        <w:rPr>
          <w:rFonts w:hint="eastAsia" w:ascii="宋体" w:hAnsi="宋体" w:cs="宋体"/>
          <w:bCs/>
          <w:color w:val="000000"/>
          <w:sz w:val="24"/>
        </w:rPr>
      </w:pPr>
      <w:r>
        <w:rPr>
          <w:rFonts w:hint="eastAsia" w:ascii="宋体" w:hAnsi="宋体" w:cs="宋体"/>
          <w:color w:val="000000"/>
          <w:sz w:val="24"/>
        </w:rPr>
        <w:t>项目名称：</w:t>
      </w:r>
      <w:r>
        <w:rPr>
          <w:rFonts w:hint="eastAsia" w:ascii="宋体" w:hAnsi="宋体" w:cs="宋体"/>
          <w:bCs/>
          <w:color w:val="000000"/>
          <w:sz w:val="24"/>
        </w:rPr>
        <w:t xml:space="preserve"> </w:t>
      </w:r>
    </w:p>
    <w:p>
      <w:pPr>
        <w:snapToGrid w:val="0"/>
        <w:spacing w:line="300" w:lineRule="auto"/>
        <w:rPr>
          <w:rFonts w:hint="eastAsia" w:ascii="宋体" w:hAnsi="宋体" w:cs="宋体"/>
          <w:bCs/>
          <w:color w:val="000000"/>
          <w:sz w:val="24"/>
        </w:rPr>
      </w:pPr>
      <w:r>
        <w:rPr>
          <w:rFonts w:hint="eastAsia" w:ascii="宋体" w:hAnsi="宋体" w:cs="宋体"/>
          <w:color w:val="000000"/>
          <w:sz w:val="24"/>
        </w:rPr>
        <w:t>招标文件编号：</w:t>
      </w:r>
      <w:r>
        <w:rPr>
          <w:rFonts w:hint="eastAsia" w:ascii="宋体" w:hAnsi="宋体" w:cs="宋体"/>
          <w:bCs/>
          <w:color w:val="000000"/>
          <w:sz w:val="24"/>
        </w:rPr>
        <w:t xml:space="preserve"> </w:t>
      </w:r>
    </w:p>
    <w:p>
      <w:pPr>
        <w:snapToGrid w:val="0"/>
        <w:spacing w:line="300" w:lineRule="auto"/>
        <w:rPr>
          <w:rFonts w:hint="eastAsia" w:ascii="宋体" w:hAnsi="宋体" w:cs="宋体"/>
          <w:color w:val="000000"/>
          <w:sz w:val="24"/>
        </w:rPr>
      </w:pPr>
    </w:p>
    <w:tbl>
      <w:tblPr>
        <w:tblStyle w:val="40"/>
        <w:tblW w:w="9426" w:type="dxa"/>
        <w:jc w:val="center"/>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64"/>
        <w:gridCol w:w="1312"/>
        <w:gridCol w:w="848"/>
        <w:gridCol w:w="903"/>
        <w:gridCol w:w="1561"/>
        <w:gridCol w:w="1080"/>
        <w:gridCol w:w="1080"/>
        <w:gridCol w:w="108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分包号</w:t>
            </w:r>
          </w:p>
        </w:tc>
        <w:tc>
          <w:tcPr>
            <w:tcW w:w="864"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品目号</w:t>
            </w:r>
          </w:p>
        </w:tc>
        <w:tc>
          <w:tcPr>
            <w:tcW w:w="1312"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货物名称</w:t>
            </w:r>
          </w:p>
        </w:tc>
        <w:tc>
          <w:tcPr>
            <w:tcW w:w="848"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商标</w:t>
            </w:r>
          </w:p>
        </w:tc>
        <w:tc>
          <w:tcPr>
            <w:tcW w:w="903"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型号规格</w:t>
            </w:r>
          </w:p>
        </w:tc>
        <w:tc>
          <w:tcPr>
            <w:tcW w:w="1561"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生产厂家</w:t>
            </w:r>
          </w:p>
        </w:tc>
        <w:tc>
          <w:tcPr>
            <w:tcW w:w="1080"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数量</w:t>
            </w:r>
          </w:p>
          <w:p>
            <w:pPr>
              <w:spacing w:line="300" w:lineRule="auto"/>
              <w:jc w:val="center"/>
              <w:rPr>
                <w:rFonts w:hint="eastAsia" w:ascii="宋体" w:hAnsi="宋体" w:cs="宋体"/>
                <w:bCs/>
                <w:color w:val="000000"/>
                <w:sz w:val="24"/>
              </w:rPr>
            </w:pPr>
            <w:r>
              <w:rPr>
                <w:rFonts w:hint="eastAsia" w:ascii="宋体" w:hAnsi="宋体" w:cs="宋体"/>
                <w:bCs/>
                <w:color w:val="000000"/>
                <w:sz w:val="24"/>
              </w:rPr>
              <w:t>（单位）</w:t>
            </w:r>
          </w:p>
        </w:tc>
        <w:tc>
          <w:tcPr>
            <w:tcW w:w="1080"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单价</w:t>
            </w:r>
          </w:p>
          <w:p>
            <w:pPr>
              <w:spacing w:line="300" w:lineRule="auto"/>
              <w:jc w:val="center"/>
              <w:rPr>
                <w:rFonts w:hint="eastAsia" w:ascii="宋体" w:hAnsi="宋体" w:cs="宋体"/>
                <w:bCs/>
                <w:color w:val="000000"/>
                <w:sz w:val="24"/>
              </w:rPr>
            </w:pPr>
            <w:r>
              <w:rPr>
                <w:rFonts w:hint="eastAsia" w:ascii="宋体" w:hAnsi="宋体" w:cs="宋体"/>
                <w:bCs/>
                <w:color w:val="000000"/>
                <w:sz w:val="24"/>
              </w:rPr>
              <w:t>（万元）</w:t>
            </w:r>
          </w:p>
        </w:tc>
        <w:tc>
          <w:tcPr>
            <w:tcW w:w="1080" w:type="dxa"/>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总价</w:t>
            </w:r>
          </w:p>
          <w:p>
            <w:pPr>
              <w:spacing w:line="300" w:lineRule="auto"/>
              <w:jc w:val="center"/>
              <w:rPr>
                <w:rFonts w:hint="eastAsia" w:ascii="宋体" w:hAnsi="宋体" w:cs="宋体"/>
                <w:bCs/>
                <w:color w:val="000000"/>
                <w:sz w:val="24"/>
              </w:rPr>
            </w:pPr>
            <w:r>
              <w:rPr>
                <w:rFonts w:hint="eastAsia" w:ascii="宋体" w:hAnsi="宋体" w:cs="宋体"/>
                <w:bCs/>
                <w:color w:val="000000"/>
                <w:sz w:val="24"/>
              </w:rPr>
              <w:t>（万元）</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hint="eastAsia" w:ascii="宋体" w:hAnsi="宋体" w:cs="宋体"/>
                <w:bCs/>
                <w:color w:val="000000"/>
                <w:sz w:val="24"/>
              </w:rPr>
            </w:pPr>
          </w:p>
        </w:tc>
        <w:tc>
          <w:tcPr>
            <w:tcW w:w="864" w:type="dxa"/>
            <w:vAlign w:val="center"/>
          </w:tcPr>
          <w:p>
            <w:pPr>
              <w:spacing w:line="300" w:lineRule="auto"/>
              <w:jc w:val="center"/>
              <w:rPr>
                <w:rFonts w:hint="eastAsia" w:ascii="宋体" w:hAnsi="宋体" w:cs="宋体"/>
                <w:bCs/>
                <w:color w:val="000000"/>
                <w:sz w:val="24"/>
              </w:rPr>
            </w:pPr>
          </w:p>
        </w:tc>
        <w:tc>
          <w:tcPr>
            <w:tcW w:w="1312" w:type="dxa"/>
            <w:vAlign w:val="center"/>
          </w:tcPr>
          <w:p>
            <w:pPr>
              <w:spacing w:line="300" w:lineRule="auto"/>
              <w:jc w:val="center"/>
              <w:rPr>
                <w:rFonts w:hint="eastAsia" w:ascii="宋体" w:hAnsi="宋体" w:cs="宋体"/>
                <w:bCs/>
                <w:color w:val="000000"/>
                <w:sz w:val="24"/>
              </w:rPr>
            </w:pPr>
          </w:p>
        </w:tc>
        <w:tc>
          <w:tcPr>
            <w:tcW w:w="848" w:type="dxa"/>
            <w:vAlign w:val="center"/>
          </w:tcPr>
          <w:p>
            <w:pPr>
              <w:spacing w:line="300" w:lineRule="auto"/>
              <w:jc w:val="center"/>
              <w:rPr>
                <w:rFonts w:hint="eastAsia" w:ascii="宋体" w:hAnsi="宋体" w:cs="宋体"/>
                <w:bCs/>
                <w:color w:val="000000"/>
                <w:sz w:val="24"/>
              </w:rPr>
            </w:pPr>
          </w:p>
        </w:tc>
        <w:tc>
          <w:tcPr>
            <w:tcW w:w="903" w:type="dxa"/>
            <w:vAlign w:val="center"/>
          </w:tcPr>
          <w:p>
            <w:pPr>
              <w:spacing w:line="300" w:lineRule="auto"/>
              <w:jc w:val="center"/>
              <w:rPr>
                <w:rFonts w:hint="eastAsia" w:ascii="宋体" w:hAnsi="宋体" w:cs="宋体"/>
                <w:bCs/>
                <w:color w:val="000000"/>
                <w:sz w:val="24"/>
              </w:rPr>
            </w:pPr>
          </w:p>
        </w:tc>
        <w:tc>
          <w:tcPr>
            <w:tcW w:w="1561"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hint="eastAsia" w:ascii="宋体" w:hAnsi="宋体" w:cs="宋体"/>
                <w:bCs/>
                <w:color w:val="000000"/>
                <w:sz w:val="24"/>
              </w:rPr>
            </w:pPr>
          </w:p>
        </w:tc>
        <w:tc>
          <w:tcPr>
            <w:tcW w:w="864" w:type="dxa"/>
            <w:vAlign w:val="center"/>
          </w:tcPr>
          <w:p>
            <w:pPr>
              <w:spacing w:line="300" w:lineRule="auto"/>
              <w:jc w:val="center"/>
              <w:rPr>
                <w:rFonts w:hint="eastAsia" w:ascii="宋体" w:hAnsi="宋体" w:cs="宋体"/>
                <w:bCs/>
                <w:color w:val="000000"/>
                <w:sz w:val="24"/>
              </w:rPr>
            </w:pPr>
          </w:p>
        </w:tc>
        <w:tc>
          <w:tcPr>
            <w:tcW w:w="1312" w:type="dxa"/>
            <w:vAlign w:val="center"/>
          </w:tcPr>
          <w:p>
            <w:pPr>
              <w:spacing w:line="300" w:lineRule="auto"/>
              <w:jc w:val="center"/>
              <w:rPr>
                <w:rFonts w:hint="eastAsia" w:ascii="宋体" w:hAnsi="宋体" w:cs="宋体"/>
                <w:bCs/>
                <w:color w:val="000000"/>
                <w:sz w:val="24"/>
              </w:rPr>
            </w:pPr>
          </w:p>
        </w:tc>
        <w:tc>
          <w:tcPr>
            <w:tcW w:w="848" w:type="dxa"/>
            <w:vAlign w:val="center"/>
          </w:tcPr>
          <w:p>
            <w:pPr>
              <w:spacing w:line="300" w:lineRule="auto"/>
              <w:jc w:val="center"/>
              <w:rPr>
                <w:rFonts w:hint="eastAsia" w:ascii="宋体" w:hAnsi="宋体" w:cs="宋体"/>
                <w:bCs/>
                <w:color w:val="000000"/>
                <w:sz w:val="24"/>
              </w:rPr>
            </w:pPr>
          </w:p>
        </w:tc>
        <w:tc>
          <w:tcPr>
            <w:tcW w:w="903" w:type="dxa"/>
            <w:vAlign w:val="center"/>
          </w:tcPr>
          <w:p>
            <w:pPr>
              <w:spacing w:line="300" w:lineRule="auto"/>
              <w:jc w:val="center"/>
              <w:rPr>
                <w:rFonts w:hint="eastAsia" w:ascii="宋体" w:hAnsi="宋体" w:cs="宋体"/>
                <w:bCs/>
                <w:color w:val="000000"/>
                <w:sz w:val="24"/>
              </w:rPr>
            </w:pPr>
          </w:p>
        </w:tc>
        <w:tc>
          <w:tcPr>
            <w:tcW w:w="1561"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46" w:type="dxa"/>
            <w:gridSpan w:val="8"/>
            <w:vAlign w:val="center"/>
          </w:tcPr>
          <w:p>
            <w:pPr>
              <w:spacing w:line="300" w:lineRule="auto"/>
              <w:ind w:firstLine="1440" w:firstLineChars="600"/>
              <w:rPr>
                <w:rFonts w:hint="eastAsia" w:ascii="宋体" w:hAnsi="宋体" w:cs="宋体"/>
                <w:bCs/>
                <w:color w:val="000000"/>
                <w:sz w:val="24"/>
              </w:rPr>
            </w:pPr>
            <w:r>
              <w:rPr>
                <w:rFonts w:hint="eastAsia" w:ascii="宋体" w:hAnsi="宋体" w:cs="宋体"/>
                <w:bCs/>
                <w:color w:val="000000"/>
                <w:sz w:val="24"/>
              </w:rPr>
              <w:t>合计：（大写）</w:t>
            </w: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hint="eastAsia" w:ascii="宋体" w:hAnsi="宋体" w:cs="宋体"/>
                <w:bCs/>
                <w:color w:val="000000"/>
                <w:sz w:val="24"/>
              </w:rPr>
            </w:pPr>
          </w:p>
        </w:tc>
        <w:tc>
          <w:tcPr>
            <w:tcW w:w="864" w:type="dxa"/>
            <w:vAlign w:val="center"/>
          </w:tcPr>
          <w:p>
            <w:pPr>
              <w:spacing w:line="300" w:lineRule="auto"/>
              <w:jc w:val="center"/>
              <w:rPr>
                <w:rFonts w:hint="eastAsia" w:ascii="宋体" w:hAnsi="宋体" w:cs="宋体"/>
                <w:bCs/>
                <w:color w:val="000000"/>
                <w:sz w:val="24"/>
              </w:rPr>
            </w:pPr>
          </w:p>
        </w:tc>
        <w:tc>
          <w:tcPr>
            <w:tcW w:w="1312" w:type="dxa"/>
            <w:vAlign w:val="center"/>
          </w:tcPr>
          <w:p>
            <w:pPr>
              <w:spacing w:line="300" w:lineRule="auto"/>
              <w:jc w:val="center"/>
              <w:rPr>
                <w:rFonts w:hint="eastAsia" w:ascii="宋体" w:hAnsi="宋体" w:cs="宋体"/>
                <w:bCs/>
                <w:color w:val="000000"/>
                <w:sz w:val="24"/>
              </w:rPr>
            </w:pPr>
          </w:p>
        </w:tc>
        <w:tc>
          <w:tcPr>
            <w:tcW w:w="848" w:type="dxa"/>
            <w:vAlign w:val="center"/>
          </w:tcPr>
          <w:p>
            <w:pPr>
              <w:spacing w:line="300" w:lineRule="auto"/>
              <w:jc w:val="center"/>
              <w:rPr>
                <w:rFonts w:hint="eastAsia" w:ascii="宋体" w:hAnsi="宋体" w:cs="宋体"/>
                <w:bCs/>
                <w:color w:val="000000"/>
                <w:sz w:val="24"/>
              </w:rPr>
            </w:pPr>
          </w:p>
        </w:tc>
        <w:tc>
          <w:tcPr>
            <w:tcW w:w="903" w:type="dxa"/>
            <w:vAlign w:val="center"/>
          </w:tcPr>
          <w:p>
            <w:pPr>
              <w:spacing w:line="300" w:lineRule="auto"/>
              <w:jc w:val="center"/>
              <w:rPr>
                <w:rFonts w:hint="eastAsia" w:ascii="宋体" w:hAnsi="宋体" w:cs="宋体"/>
                <w:bCs/>
                <w:color w:val="000000"/>
                <w:sz w:val="24"/>
              </w:rPr>
            </w:pPr>
          </w:p>
        </w:tc>
        <w:tc>
          <w:tcPr>
            <w:tcW w:w="1561"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hint="eastAsia" w:ascii="宋体" w:hAnsi="宋体" w:cs="宋体"/>
                <w:bCs/>
                <w:color w:val="000000"/>
                <w:sz w:val="24"/>
              </w:rPr>
            </w:pPr>
          </w:p>
        </w:tc>
        <w:tc>
          <w:tcPr>
            <w:tcW w:w="864" w:type="dxa"/>
            <w:vAlign w:val="center"/>
          </w:tcPr>
          <w:p>
            <w:pPr>
              <w:spacing w:line="300" w:lineRule="auto"/>
              <w:jc w:val="center"/>
              <w:rPr>
                <w:rFonts w:hint="eastAsia" w:ascii="宋体" w:hAnsi="宋体" w:cs="宋体"/>
                <w:bCs/>
                <w:color w:val="000000"/>
                <w:sz w:val="24"/>
              </w:rPr>
            </w:pPr>
          </w:p>
        </w:tc>
        <w:tc>
          <w:tcPr>
            <w:tcW w:w="1312" w:type="dxa"/>
            <w:vAlign w:val="center"/>
          </w:tcPr>
          <w:p>
            <w:pPr>
              <w:spacing w:line="300" w:lineRule="auto"/>
              <w:jc w:val="center"/>
              <w:rPr>
                <w:rFonts w:hint="eastAsia" w:ascii="宋体" w:hAnsi="宋体" w:cs="宋体"/>
                <w:bCs/>
                <w:color w:val="000000"/>
                <w:sz w:val="24"/>
              </w:rPr>
            </w:pPr>
          </w:p>
        </w:tc>
        <w:tc>
          <w:tcPr>
            <w:tcW w:w="848" w:type="dxa"/>
            <w:vAlign w:val="center"/>
          </w:tcPr>
          <w:p>
            <w:pPr>
              <w:spacing w:line="300" w:lineRule="auto"/>
              <w:jc w:val="center"/>
              <w:rPr>
                <w:rFonts w:hint="eastAsia" w:ascii="宋体" w:hAnsi="宋体" w:cs="宋体"/>
                <w:bCs/>
                <w:color w:val="000000"/>
                <w:sz w:val="24"/>
              </w:rPr>
            </w:pPr>
          </w:p>
        </w:tc>
        <w:tc>
          <w:tcPr>
            <w:tcW w:w="903" w:type="dxa"/>
            <w:vAlign w:val="center"/>
          </w:tcPr>
          <w:p>
            <w:pPr>
              <w:spacing w:line="300" w:lineRule="auto"/>
              <w:jc w:val="center"/>
              <w:rPr>
                <w:rFonts w:hint="eastAsia" w:ascii="宋体" w:hAnsi="宋体" w:cs="宋体"/>
                <w:bCs/>
                <w:color w:val="000000"/>
                <w:sz w:val="24"/>
              </w:rPr>
            </w:pPr>
          </w:p>
        </w:tc>
        <w:tc>
          <w:tcPr>
            <w:tcW w:w="1561"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46" w:type="dxa"/>
            <w:gridSpan w:val="8"/>
            <w:vAlign w:val="center"/>
          </w:tcPr>
          <w:p>
            <w:pPr>
              <w:spacing w:line="300" w:lineRule="auto"/>
              <w:ind w:firstLine="1440" w:firstLineChars="600"/>
              <w:rPr>
                <w:rFonts w:hint="eastAsia" w:ascii="宋体" w:hAnsi="宋体" w:cs="宋体"/>
                <w:bCs/>
                <w:color w:val="000000"/>
                <w:sz w:val="24"/>
              </w:rPr>
            </w:pPr>
            <w:r>
              <w:rPr>
                <w:rFonts w:hint="eastAsia" w:ascii="宋体" w:hAnsi="宋体" w:cs="宋体"/>
                <w:bCs/>
                <w:color w:val="000000"/>
                <w:sz w:val="24"/>
              </w:rPr>
              <w:t>合计：（大写）</w:t>
            </w: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hint="eastAsia" w:ascii="宋体" w:hAnsi="宋体" w:cs="宋体"/>
                <w:bCs/>
                <w:color w:val="000000"/>
                <w:sz w:val="24"/>
              </w:rPr>
            </w:pPr>
          </w:p>
        </w:tc>
        <w:tc>
          <w:tcPr>
            <w:tcW w:w="864" w:type="dxa"/>
            <w:vAlign w:val="center"/>
          </w:tcPr>
          <w:p>
            <w:pPr>
              <w:spacing w:line="300" w:lineRule="auto"/>
              <w:jc w:val="center"/>
              <w:rPr>
                <w:rFonts w:hint="eastAsia" w:ascii="宋体" w:hAnsi="宋体" w:cs="宋体"/>
                <w:bCs/>
                <w:color w:val="000000"/>
                <w:sz w:val="24"/>
              </w:rPr>
            </w:pPr>
          </w:p>
        </w:tc>
        <w:tc>
          <w:tcPr>
            <w:tcW w:w="1312" w:type="dxa"/>
            <w:vAlign w:val="center"/>
          </w:tcPr>
          <w:p>
            <w:pPr>
              <w:spacing w:line="300" w:lineRule="auto"/>
              <w:jc w:val="center"/>
              <w:rPr>
                <w:rFonts w:hint="eastAsia" w:ascii="宋体" w:hAnsi="宋体" w:cs="宋体"/>
                <w:bCs/>
                <w:color w:val="000000"/>
                <w:sz w:val="24"/>
              </w:rPr>
            </w:pPr>
          </w:p>
        </w:tc>
        <w:tc>
          <w:tcPr>
            <w:tcW w:w="848" w:type="dxa"/>
            <w:vAlign w:val="center"/>
          </w:tcPr>
          <w:p>
            <w:pPr>
              <w:spacing w:line="300" w:lineRule="auto"/>
              <w:jc w:val="center"/>
              <w:rPr>
                <w:rFonts w:hint="eastAsia" w:ascii="宋体" w:hAnsi="宋体" w:cs="宋体"/>
                <w:bCs/>
                <w:color w:val="000000"/>
                <w:sz w:val="24"/>
              </w:rPr>
            </w:pPr>
          </w:p>
        </w:tc>
        <w:tc>
          <w:tcPr>
            <w:tcW w:w="903" w:type="dxa"/>
            <w:vAlign w:val="center"/>
          </w:tcPr>
          <w:p>
            <w:pPr>
              <w:spacing w:line="300" w:lineRule="auto"/>
              <w:jc w:val="center"/>
              <w:rPr>
                <w:rFonts w:hint="eastAsia" w:ascii="宋体" w:hAnsi="宋体" w:cs="宋体"/>
                <w:bCs/>
                <w:color w:val="000000"/>
                <w:sz w:val="24"/>
              </w:rPr>
            </w:pPr>
          </w:p>
        </w:tc>
        <w:tc>
          <w:tcPr>
            <w:tcW w:w="1561"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hint="eastAsia" w:ascii="宋体" w:hAnsi="宋体" w:cs="宋体"/>
                <w:bCs/>
                <w:color w:val="000000"/>
                <w:sz w:val="24"/>
              </w:rPr>
            </w:pPr>
          </w:p>
        </w:tc>
        <w:tc>
          <w:tcPr>
            <w:tcW w:w="864" w:type="dxa"/>
            <w:vAlign w:val="center"/>
          </w:tcPr>
          <w:p>
            <w:pPr>
              <w:spacing w:line="300" w:lineRule="auto"/>
              <w:jc w:val="center"/>
              <w:rPr>
                <w:rFonts w:hint="eastAsia" w:ascii="宋体" w:hAnsi="宋体" w:cs="宋体"/>
                <w:bCs/>
                <w:color w:val="000000"/>
                <w:sz w:val="24"/>
              </w:rPr>
            </w:pPr>
          </w:p>
        </w:tc>
        <w:tc>
          <w:tcPr>
            <w:tcW w:w="1312" w:type="dxa"/>
            <w:vAlign w:val="center"/>
          </w:tcPr>
          <w:p>
            <w:pPr>
              <w:spacing w:line="300" w:lineRule="auto"/>
              <w:jc w:val="center"/>
              <w:rPr>
                <w:rFonts w:hint="eastAsia" w:ascii="宋体" w:hAnsi="宋体" w:cs="宋体"/>
                <w:bCs/>
                <w:color w:val="000000"/>
                <w:sz w:val="24"/>
              </w:rPr>
            </w:pPr>
          </w:p>
        </w:tc>
        <w:tc>
          <w:tcPr>
            <w:tcW w:w="848" w:type="dxa"/>
            <w:vAlign w:val="center"/>
          </w:tcPr>
          <w:p>
            <w:pPr>
              <w:spacing w:line="300" w:lineRule="auto"/>
              <w:jc w:val="center"/>
              <w:rPr>
                <w:rFonts w:hint="eastAsia" w:ascii="宋体" w:hAnsi="宋体" w:cs="宋体"/>
                <w:bCs/>
                <w:color w:val="000000"/>
                <w:sz w:val="24"/>
              </w:rPr>
            </w:pPr>
          </w:p>
        </w:tc>
        <w:tc>
          <w:tcPr>
            <w:tcW w:w="903" w:type="dxa"/>
            <w:vAlign w:val="center"/>
          </w:tcPr>
          <w:p>
            <w:pPr>
              <w:spacing w:line="300" w:lineRule="auto"/>
              <w:jc w:val="center"/>
              <w:rPr>
                <w:rFonts w:hint="eastAsia" w:ascii="宋体" w:hAnsi="宋体" w:cs="宋体"/>
                <w:bCs/>
                <w:color w:val="000000"/>
                <w:sz w:val="24"/>
              </w:rPr>
            </w:pPr>
          </w:p>
        </w:tc>
        <w:tc>
          <w:tcPr>
            <w:tcW w:w="1561"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46" w:type="dxa"/>
            <w:gridSpan w:val="8"/>
            <w:vAlign w:val="center"/>
          </w:tcPr>
          <w:p>
            <w:pPr>
              <w:spacing w:line="300" w:lineRule="auto"/>
              <w:ind w:firstLine="1440" w:firstLineChars="600"/>
              <w:rPr>
                <w:rFonts w:hint="eastAsia" w:ascii="宋体" w:hAnsi="宋体" w:cs="宋体"/>
                <w:bCs/>
                <w:color w:val="000000"/>
                <w:sz w:val="24"/>
              </w:rPr>
            </w:pPr>
            <w:r>
              <w:rPr>
                <w:rFonts w:hint="eastAsia" w:ascii="宋体" w:hAnsi="宋体" w:cs="宋体"/>
                <w:bCs/>
                <w:color w:val="000000"/>
                <w:sz w:val="24"/>
              </w:rPr>
              <w:t>合计：（大写）</w:t>
            </w:r>
          </w:p>
        </w:tc>
        <w:tc>
          <w:tcPr>
            <w:tcW w:w="1080" w:type="dxa"/>
            <w:vAlign w:val="center"/>
          </w:tcPr>
          <w:p>
            <w:pPr>
              <w:spacing w:line="300" w:lineRule="auto"/>
              <w:jc w:val="center"/>
              <w:rPr>
                <w:rFonts w:hint="eastAsia"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hint="eastAsia" w:ascii="宋体" w:hAnsi="宋体" w:cs="宋体"/>
                <w:bCs/>
                <w:color w:val="000000"/>
                <w:sz w:val="24"/>
              </w:rPr>
            </w:pPr>
            <w:r>
              <w:rPr>
                <w:rFonts w:hint="eastAsia" w:ascii="宋体" w:hAnsi="宋体" w:cs="宋体"/>
                <w:bCs/>
                <w:color w:val="000000"/>
                <w:sz w:val="24"/>
              </w:rPr>
              <w:t>……</w:t>
            </w:r>
          </w:p>
        </w:tc>
      </w:tr>
    </w:tbl>
    <w:p>
      <w:pPr>
        <w:spacing w:line="300" w:lineRule="auto"/>
        <w:rPr>
          <w:rFonts w:hint="eastAsia" w:ascii="宋体" w:hAnsi="宋体" w:cs="宋体"/>
          <w:bCs/>
          <w:color w:val="000000"/>
          <w:sz w:val="24"/>
        </w:rPr>
      </w:pPr>
    </w:p>
    <w:p>
      <w:pPr>
        <w:spacing w:line="300" w:lineRule="auto"/>
        <w:rPr>
          <w:rFonts w:hint="eastAsia" w:ascii="宋体" w:hAnsi="宋体" w:cs="宋体"/>
          <w:bCs/>
          <w:color w:val="000000"/>
          <w:sz w:val="24"/>
        </w:rPr>
      </w:pPr>
      <w:r>
        <w:rPr>
          <w:rFonts w:hint="eastAsia" w:ascii="宋体" w:hAnsi="宋体" w:cs="宋体"/>
          <w:bCs/>
          <w:color w:val="000000"/>
          <w:sz w:val="24"/>
        </w:rPr>
        <w:t>注：1、为方便唱标，请将所投货物的商标、生产厂家为非中文名称的译为中文名称。</w:t>
      </w:r>
    </w:p>
    <w:p>
      <w:pPr>
        <w:numPr>
          <w:ilvl w:val="0"/>
          <w:numId w:val="7"/>
        </w:numPr>
        <w:spacing w:line="300" w:lineRule="auto"/>
        <w:ind w:firstLine="480" w:firstLineChars="200"/>
        <w:rPr>
          <w:rFonts w:hint="eastAsia" w:ascii="宋体" w:hAnsi="宋体" w:cs="宋体"/>
          <w:color w:val="000000"/>
          <w:sz w:val="24"/>
        </w:rPr>
      </w:pPr>
      <w:r>
        <w:rPr>
          <w:rFonts w:hint="eastAsia" w:ascii="宋体" w:hAnsi="宋体" w:cs="宋体"/>
          <w:color w:val="000000"/>
          <w:sz w:val="24"/>
        </w:rPr>
        <w:t>此次投标报价（须标明每各品目报价及合计报价，否则视为无效投标）。</w:t>
      </w:r>
    </w:p>
    <w:p>
      <w:pPr>
        <w:spacing w:line="300" w:lineRule="auto"/>
        <w:rPr>
          <w:rFonts w:hint="eastAsia" w:ascii="宋体" w:hAnsi="宋体" w:cs="宋体"/>
          <w:bCs/>
          <w:color w:val="000000"/>
          <w:sz w:val="24"/>
        </w:rPr>
      </w:pPr>
      <w:r>
        <w:rPr>
          <w:rFonts w:hint="eastAsia" w:ascii="宋体" w:hAnsi="宋体" w:cs="宋体"/>
          <w:bCs/>
          <w:color w:val="000000"/>
          <w:sz w:val="24"/>
        </w:rPr>
        <w:t xml:space="preserve">    3、报价部分，此次投标报价须标明各品目单价报价、各品目合计报价及本次招标采购货物总价，否则视为无效投标。</w:t>
      </w:r>
    </w:p>
    <w:p>
      <w:pPr>
        <w:spacing w:line="300" w:lineRule="auto"/>
        <w:rPr>
          <w:rFonts w:hint="eastAsia" w:ascii="宋体" w:hAnsi="宋体" w:cs="宋体"/>
          <w:bCs/>
          <w:color w:val="000000"/>
          <w:sz w:val="24"/>
        </w:rPr>
      </w:pPr>
      <w:r>
        <w:rPr>
          <w:rFonts w:hint="eastAsia" w:ascii="宋体" w:hAnsi="宋体" w:cs="宋体"/>
          <w:bCs/>
          <w:color w:val="000000"/>
          <w:sz w:val="24"/>
        </w:rPr>
        <w:t>投标人名称（盖章）：</w:t>
      </w:r>
      <w:r>
        <w:rPr>
          <w:rFonts w:hint="eastAsia" w:ascii="宋体" w:hAnsi="宋体" w:cs="宋体"/>
          <w:bCs/>
          <w:color w:val="000000"/>
          <w:sz w:val="24"/>
          <w:u w:val="single"/>
        </w:rPr>
        <w:t xml:space="preserve">                                      </w:t>
      </w:r>
    </w:p>
    <w:p>
      <w:pPr>
        <w:spacing w:line="300" w:lineRule="auto"/>
        <w:rPr>
          <w:rFonts w:hint="eastAsia" w:ascii="宋体" w:hAnsi="宋体" w:cs="宋体"/>
          <w:bCs/>
          <w:color w:val="000000"/>
          <w:sz w:val="24"/>
        </w:rPr>
      </w:pPr>
    </w:p>
    <w:p>
      <w:pPr>
        <w:spacing w:line="300" w:lineRule="auto"/>
        <w:rPr>
          <w:rFonts w:hint="eastAsia" w:ascii="宋体" w:hAnsi="宋体" w:cs="宋体"/>
          <w:bCs/>
          <w:color w:val="000000"/>
          <w:sz w:val="24"/>
          <w:u w:val="single"/>
        </w:rPr>
      </w:pPr>
      <w:r>
        <w:rPr>
          <w:rFonts w:hint="eastAsia" w:ascii="宋体" w:hAnsi="宋体" w:cs="宋体"/>
          <w:bCs/>
          <w:color w:val="000000"/>
          <w:sz w:val="24"/>
        </w:rPr>
        <w:t>法定代表人或授权代表人（签字</w:t>
      </w:r>
      <w:r>
        <w:rPr>
          <w:rFonts w:hint="eastAsia" w:ascii="宋体" w:hAnsi="宋体" w:cs="宋体"/>
          <w:color w:val="000000"/>
          <w:sz w:val="24"/>
        </w:rPr>
        <w:t>或印章</w:t>
      </w:r>
      <w:r>
        <w:rPr>
          <w:rFonts w:hint="eastAsia" w:ascii="宋体" w:hAnsi="宋体" w:cs="宋体"/>
          <w:bCs/>
          <w:color w:val="000000"/>
          <w:sz w:val="24"/>
        </w:rPr>
        <w:t>）：</w:t>
      </w:r>
      <w:r>
        <w:rPr>
          <w:rFonts w:hint="eastAsia" w:ascii="宋体" w:hAnsi="宋体" w:cs="宋体"/>
          <w:bCs/>
          <w:color w:val="000000"/>
          <w:sz w:val="24"/>
          <w:u w:val="single"/>
        </w:rPr>
        <w:t xml:space="preserve">                                 </w:t>
      </w:r>
    </w:p>
    <w:p>
      <w:pPr>
        <w:spacing w:line="300" w:lineRule="auto"/>
        <w:rPr>
          <w:rFonts w:hint="eastAsia" w:ascii="宋体" w:hAnsi="宋体" w:cs="宋体"/>
          <w:bCs/>
          <w:color w:val="000000"/>
          <w:sz w:val="24"/>
          <w:u w:val="single"/>
        </w:rPr>
      </w:pPr>
    </w:p>
    <w:p>
      <w:pPr>
        <w:spacing w:line="300" w:lineRule="auto"/>
        <w:ind w:right="600" w:firstLine="6000" w:firstLineChars="2500"/>
        <w:rPr>
          <w:rFonts w:hint="eastAsia" w:ascii="宋体" w:hAnsi="宋体"/>
          <w:b/>
          <w:color w:val="000000"/>
          <w:sz w:val="24"/>
        </w:rPr>
      </w:pP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w:t>
      </w:r>
    </w:p>
    <w:p>
      <w:pPr>
        <w:rPr>
          <w:rFonts w:hint="eastAsia" w:ascii="宋体" w:hAnsi="宋体"/>
          <w:b/>
          <w:color w:val="000000"/>
          <w:sz w:val="24"/>
        </w:rPr>
      </w:pPr>
      <w:r>
        <w:rPr>
          <w:rFonts w:ascii="宋体" w:hAnsi="宋体"/>
          <w:b/>
          <w:color w:val="000000"/>
        </w:rPr>
        <w:br w:type="page"/>
      </w:r>
      <w:r>
        <w:rPr>
          <w:rFonts w:hint="eastAsia" w:ascii="宋体" w:hAnsi="宋体"/>
          <w:b/>
          <w:color w:val="000000"/>
          <w:sz w:val="24"/>
        </w:rPr>
        <w:t>附件6：</w:t>
      </w:r>
      <w:bookmarkStart w:id="305" w:name="_Toc139965364"/>
    </w:p>
    <w:p>
      <w:pPr>
        <w:pStyle w:val="3"/>
        <w:spacing w:before="0" w:after="0"/>
        <w:rPr>
          <w:rFonts w:hint="eastAsia" w:ascii="宋体" w:hAnsi="宋体"/>
          <w:color w:val="000000"/>
          <w:sz w:val="36"/>
          <w:szCs w:val="36"/>
        </w:rPr>
      </w:pPr>
      <w:bookmarkStart w:id="306" w:name="_Toc453596895"/>
      <w:r>
        <w:rPr>
          <w:rFonts w:hint="eastAsia" w:ascii="宋体" w:hAnsi="宋体"/>
          <w:color w:val="000000"/>
          <w:sz w:val="36"/>
          <w:szCs w:val="36"/>
        </w:rPr>
        <w:t>投标货物偏离表</w:t>
      </w:r>
      <w:bookmarkEnd w:id="305"/>
      <w:bookmarkEnd w:id="306"/>
    </w:p>
    <w:p>
      <w:pPr>
        <w:spacing w:line="300" w:lineRule="auto"/>
        <w:ind w:firstLine="120"/>
        <w:jc w:val="center"/>
        <w:rPr>
          <w:rFonts w:hint="eastAsia" w:ascii="宋体" w:hAnsi="宋体"/>
          <w:b/>
          <w:bCs/>
          <w:color w:val="000000"/>
          <w:sz w:val="32"/>
          <w:szCs w:val="32"/>
        </w:rPr>
      </w:pPr>
    </w:p>
    <w:tbl>
      <w:tblPr>
        <w:tblStyle w:val="40"/>
        <w:tblW w:w="9360" w:type="dxa"/>
        <w:tblInd w:w="-165" w:type="dxa"/>
        <w:tblLayout w:type="fixed"/>
        <w:tblCellMar>
          <w:top w:w="0" w:type="dxa"/>
          <w:left w:w="0" w:type="dxa"/>
          <w:bottom w:w="0" w:type="dxa"/>
          <w:right w:w="0" w:type="dxa"/>
        </w:tblCellMar>
      </w:tblPr>
      <w:tblGrid>
        <w:gridCol w:w="1080"/>
        <w:gridCol w:w="1080"/>
        <w:gridCol w:w="1440"/>
        <w:gridCol w:w="1620"/>
        <w:gridCol w:w="2160"/>
        <w:gridCol w:w="1980"/>
      </w:tblGrid>
      <w:tr>
        <w:tblPrEx>
          <w:tblLayout w:type="fixed"/>
          <w:tblCellMar>
            <w:top w:w="0" w:type="dxa"/>
            <w:left w:w="0" w:type="dxa"/>
            <w:bottom w:w="0" w:type="dxa"/>
            <w:right w:w="0" w:type="dxa"/>
          </w:tblCellMar>
        </w:tblPrEx>
        <w:trPr>
          <w:cantSplit/>
          <w:trHeight w:val="402" w:hRule="atLeast"/>
        </w:trPr>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olor w:val="000000"/>
                <w:sz w:val="24"/>
              </w:rPr>
            </w:pPr>
            <w:r>
              <w:rPr>
                <w:rFonts w:hint="eastAsia" w:ascii="宋体" w:hAnsi="宋体"/>
                <w:color w:val="000000"/>
                <w:sz w:val="24"/>
              </w:rPr>
              <w:t>分包号</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品目号</w:t>
            </w:r>
          </w:p>
        </w:tc>
        <w:tc>
          <w:tcPr>
            <w:tcW w:w="144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货物名称</w:t>
            </w:r>
          </w:p>
        </w:tc>
        <w:tc>
          <w:tcPr>
            <w:tcW w:w="162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型号规格</w:t>
            </w:r>
          </w:p>
        </w:tc>
        <w:tc>
          <w:tcPr>
            <w:tcW w:w="414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规格响应情况</w:t>
            </w:r>
          </w:p>
        </w:tc>
      </w:tr>
      <w:tr>
        <w:tblPrEx>
          <w:tblLayout w:type="fixed"/>
          <w:tblCellMar>
            <w:top w:w="0" w:type="dxa"/>
            <w:left w:w="0" w:type="dxa"/>
            <w:bottom w:w="0" w:type="dxa"/>
            <w:right w:w="0" w:type="dxa"/>
          </w:tblCellMar>
        </w:tblPrEx>
        <w:trPr>
          <w:cantSplit/>
          <w:trHeight w:val="40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投标货物实际参数</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ind w:right="458" w:rightChars="218"/>
              <w:jc w:val="center"/>
              <w:rPr>
                <w:rFonts w:hint="eastAsia" w:ascii="宋体" w:hAnsi="宋体"/>
                <w:color w:val="000000"/>
                <w:sz w:val="24"/>
              </w:rPr>
            </w:pPr>
            <w:r>
              <w:rPr>
                <w:rFonts w:hint="eastAsia" w:ascii="宋体" w:hAnsi="宋体"/>
                <w:color w:val="000000"/>
                <w:sz w:val="24"/>
              </w:rPr>
              <w:t xml:space="preserve">   偏离情况</w:t>
            </w:r>
          </w:p>
        </w:tc>
      </w:tr>
      <w:tr>
        <w:tblPrEx>
          <w:tblLayout w:type="fixed"/>
          <w:tblCellMar>
            <w:top w:w="0" w:type="dxa"/>
            <w:left w:w="0" w:type="dxa"/>
            <w:bottom w:w="0" w:type="dxa"/>
            <w:right w:w="0" w:type="dxa"/>
          </w:tblCellMar>
        </w:tblPrEx>
        <w:trPr>
          <w:trHeight w:val="390"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ind w:left="-15" w:leftChars="-7"/>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r>
    </w:tbl>
    <w:p>
      <w:pPr>
        <w:spacing w:line="300" w:lineRule="auto"/>
        <w:rPr>
          <w:rFonts w:hint="eastAsia" w:ascii="宋体" w:hAnsi="宋体"/>
          <w:bCs/>
          <w:color w:val="000000"/>
          <w:sz w:val="24"/>
        </w:rPr>
      </w:pPr>
    </w:p>
    <w:p>
      <w:pPr>
        <w:spacing w:line="300" w:lineRule="auto"/>
        <w:rPr>
          <w:rFonts w:hint="eastAsia" w:ascii="宋体" w:hAnsi="宋体"/>
          <w:bCs/>
          <w:color w:val="000000"/>
          <w:sz w:val="24"/>
        </w:rPr>
      </w:pPr>
    </w:p>
    <w:p>
      <w:pPr>
        <w:spacing w:line="300" w:lineRule="auto"/>
        <w:rPr>
          <w:rFonts w:hint="eastAsia" w:ascii="宋体" w:hAnsi="宋体"/>
          <w:bCs/>
          <w:color w:val="000000"/>
          <w:sz w:val="24"/>
        </w:rPr>
      </w:pPr>
      <w:r>
        <w:rPr>
          <w:rFonts w:hint="eastAsia" w:ascii="宋体" w:hAnsi="宋体"/>
          <w:bCs/>
          <w:color w:val="000000"/>
          <w:sz w:val="24"/>
        </w:rPr>
        <w:t>投标人名称（盖章）：</w:t>
      </w:r>
      <w:r>
        <w:rPr>
          <w:rFonts w:hint="eastAsia" w:ascii="宋体" w:hAnsi="宋体"/>
          <w:bCs/>
          <w:color w:val="000000"/>
          <w:sz w:val="24"/>
          <w:u w:val="single"/>
        </w:rPr>
        <w:t xml:space="preserve">                                      </w:t>
      </w:r>
    </w:p>
    <w:p>
      <w:pPr>
        <w:spacing w:line="300" w:lineRule="auto"/>
        <w:rPr>
          <w:rFonts w:hint="eastAsia" w:ascii="宋体" w:hAnsi="宋体"/>
          <w:bCs/>
          <w:color w:val="000000"/>
          <w:sz w:val="24"/>
        </w:rPr>
      </w:pPr>
    </w:p>
    <w:p>
      <w:pPr>
        <w:spacing w:line="300" w:lineRule="auto"/>
        <w:rPr>
          <w:rFonts w:hint="eastAsia" w:ascii="宋体" w:hAnsi="宋体"/>
          <w:bCs/>
          <w:color w:val="000000"/>
          <w:sz w:val="24"/>
        </w:rPr>
      </w:pPr>
    </w:p>
    <w:p>
      <w:pPr>
        <w:spacing w:line="300" w:lineRule="auto"/>
        <w:rPr>
          <w:rFonts w:hint="eastAsia" w:ascii="宋体" w:hAnsi="宋体"/>
          <w:bCs/>
          <w:color w:val="000000"/>
          <w:sz w:val="24"/>
        </w:rPr>
      </w:pPr>
    </w:p>
    <w:p>
      <w:pPr>
        <w:spacing w:line="300" w:lineRule="auto"/>
        <w:rPr>
          <w:rFonts w:hint="eastAsia" w:ascii="宋体" w:hAnsi="宋体"/>
          <w:bCs/>
          <w:color w:val="000000"/>
          <w:sz w:val="24"/>
          <w:u w:val="single"/>
        </w:rPr>
      </w:pPr>
      <w:r>
        <w:rPr>
          <w:rFonts w:hint="eastAsia" w:ascii="宋体" w:hAnsi="宋体"/>
          <w:bCs/>
          <w:color w:val="000000"/>
          <w:sz w:val="24"/>
        </w:rPr>
        <w:t>法定代表人或授权代表人（签字</w:t>
      </w:r>
      <w:r>
        <w:rPr>
          <w:rFonts w:hint="eastAsia" w:ascii="宋体" w:hAnsi="宋体"/>
          <w:color w:val="000000"/>
          <w:sz w:val="24"/>
        </w:rPr>
        <w:t>或印章</w:t>
      </w:r>
      <w:r>
        <w:rPr>
          <w:rFonts w:hint="eastAsia" w:ascii="宋体" w:hAnsi="宋体"/>
          <w:bCs/>
          <w:color w:val="000000"/>
          <w:sz w:val="24"/>
        </w:rPr>
        <w:t>）：</w:t>
      </w:r>
      <w:r>
        <w:rPr>
          <w:rFonts w:hint="eastAsia" w:ascii="宋体" w:hAnsi="宋体"/>
          <w:bCs/>
          <w:color w:val="000000"/>
          <w:sz w:val="24"/>
          <w:u w:val="single"/>
        </w:rPr>
        <w:t xml:space="preserve">                                 </w:t>
      </w:r>
    </w:p>
    <w:p>
      <w:pPr>
        <w:spacing w:line="300" w:lineRule="auto"/>
        <w:rPr>
          <w:rFonts w:hint="eastAsia" w:ascii="宋体" w:hAnsi="宋体"/>
          <w:bCs/>
          <w:color w:val="000000"/>
          <w:sz w:val="24"/>
        </w:rPr>
      </w:pPr>
    </w:p>
    <w:p>
      <w:pPr>
        <w:spacing w:line="300" w:lineRule="auto"/>
        <w:rPr>
          <w:rFonts w:hint="eastAsia" w:ascii="宋体" w:hAnsi="宋体"/>
          <w:bCs/>
          <w:color w:val="000000"/>
          <w:sz w:val="24"/>
          <w:u w:val="single"/>
        </w:rPr>
      </w:pPr>
    </w:p>
    <w:p>
      <w:pPr>
        <w:snapToGrid w:val="0"/>
        <w:spacing w:line="300" w:lineRule="auto"/>
        <w:ind w:firstLine="5640" w:firstLineChars="2350"/>
        <w:rPr>
          <w:rFonts w:hint="eastAsia" w:ascii="宋体" w:hAnsi="宋体"/>
          <w:b/>
          <w:bCs/>
          <w:color w:val="000000"/>
          <w:sz w:val="32"/>
        </w:rPr>
      </w:pPr>
      <w:r>
        <w:rPr>
          <w:rFonts w:hint="eastAsia" w:ascii="宋体" w:hAnsi="宋体"/>
          <w:bCs/>
          <w:color w:val="000000"/>
          <w:sz w:val="24"/>
          <w:u w:val="single"/>
        </w:rPr>
        <w:t xml:space="preserve">      </w:t>
      </w:r>
      <w:r>
        <w:rPr>
          <w:rFonts w:hint="eastAsia" w:ascii="宋体" w:hAnsi="宋体"/>
          <w:bCs/>
          <w:color w:val="000000"/>
          <w:sz w:val="24"/>
        </w:rPr>
        <w:t>年</w:t>
      </w:r>
      <w:r>
        <w:rPr>
          <w:rFonts w:hint="eastAsia" w:ascii="宋体" w:hAnsi="宋体"/>
          <w:bCs/>
          <w:color w:val="000000"/>
          <w:sz w:val="24"/>
          <w:u w:val="single"/>
        </w:rPr>
        <w:t xml:space="preserve">    </w:t>
      </w:r>
      <w:r>
        <w:rPr>
          <w:rFonts w:hint="eastAsia" w:ascii="宋体" w:hAnsi="宋体"/>
          <w:bCs/>
          <w:color w:val="000000"/>
          <w:sz w:val="24"/>
        </w:rPr>
        <w:t>月</w:t>
      </w:r>
      <w:r>
        <w:rPr>
          <w:rFonts w:hint="eastAsia" w:ascii="宋体" w:hAnsi="宋体"/>
          <w:bCs/>
          <w:color w:val="000000"/>
          <w:sz w:val="24"/>
          <w:u w:val="single"/>
        </w:rPr>
        <w:t xml:space="preserve">    </w:t>
      </w:r>
      <w:r>
        <w:rPr>
          <w:rFonts w:hint="eastAsia" w:ascii="宋体" w:hAnsi="宋体"/>
          <w:bCs/>
          <w:color w:val="000000"/>
          <w:sz w:val="24"/>
        </w:rPr>
        <w:t>日</w:t>
      </w:r>
    </w:p>
    <w:p>
      <w:pPr>
        <w:rPr>
          <w:rFonts w:hint="eastAsia" w:ascii="宋体" w:hAnsi="宋体"/>
          <w:b/>
          <w:color w:val="000000"/>
          <w:sz w:val="24"/>
        </w:rPr>
      </w:pPr>
      <w:r>
        <w:rPr>
          <w:rFonts w:ascii="宋体" w:hAnsi="宋体"/>
          <w:b/>
          <w:bCs/>
          <w:color w:val="000000"/>
        </w:rPr>
        <w:br w:type="page"/>
      </w:r>
      <w:r>
        <w:rPr>
          <w:rFonts w:hint="eastAsia" w:ascii="宋体" w:hAnsi="宋体"/>
          <w:b/>
          <w:color w:val="000000"/>
          <w:sz w:val="24"/>
        </w:rPr>
        <w:t>附件7：</w:t>
      </w:r>
      <w:bookmarkStart w:id="307" w:name="_Toc139965365"/>
    </w:p>
    <w:p>
      <w:pPr>
        <w:pStyle w:val="3"/>
        <w:spacing w:before="0" w:after="0"/>
        <w:rPr>
          <w:rFonts w:ascii="宋体" w:hAnsi="宋体"/>
          <w:color w:val="000000"/>
          <w:sz w:val="36"/>
          <w:szCs w:val="36"/>
        </w:rPr>
      </w:pPr>
      <w:bookmarkStart w:id="308" w:name="_Toc453596896"/>
      <w:r>
        <w:rPr>
          <w:rFonts w:hint="eastAsia" w:ascii="宋体" w:hAnsi="宋体"/>
          <w:color w:val="000000"/>
          <w:sz w:val="36"/>
          <w:szCs w:val="36"/>
        </w:rPr>
        <w:t>生产厂家授权函</w:t>
      </w:r>
      <w:bookmarkEnd w:id="307"/>
      <w:bookmarkEnd w:id="308"/>
    </w:p>
    <w:p>
      <w:pPr>
        <w:jc w:val="center"/>
        <w:rPr>
          <w:rFonts w:hint="eastAsia" w:ascii="宋体" w:hAnsi="宋体"/>
          <w:b/>
          <w:color w:val="000000"/>
          <w:sz w:val="32"/>
          <w:szCs w:val="32"/>
        </w:rPr>
      </w:pPr>
    </w:p>
    <w:p>
      <w:pPr>
        <w:topLinePunct/>
        <w:spacing w:line="480" w:lineRule="auto"/>
        <w:rPr>
          <w:rFonts w:ascii="宋体" w:hAnsi="宋体"/>
          <w:color w:val="000000"/>
          <w:sz w:val="24"/>
        </w:rPr>
      </w:pPr>
      <w:r>
        <w:rPr>
          <w:rFonts w:hint="eastAsia" w:ascii="宋体" w:hAnsi="宋体"/>
          <w:color w:val="000000"/>
          <w:sz w:val="24"/>
        </w:rPr>
        <w:t>致：</w:t>
      </w:r>
    </w:p>
    <w:p>
      <w:pPr>
        <w:topLinePunct/>
        <w:spacing w:line="480" w:lineRule="auto"/>
        <w:rPr>
          <w:rFonts w:hint="eastAsia" w:ascii="宋体" w:hAnsi="宋体"/>
          <w:color w:val="000000"/>
          <w:sz w:val="24"/>
        </w:rPr>
      </w:pPr>
      <w:r>
        <w:rPr>
          <w:rFonts w:hint="eastAsia" w:ascii="宋体" w:hAnsi="宋体"/>
          <w:color w:val="000000"/>
          <w:sz w:val="24"/>
        </w:rPr>
        <w:t xml:space="preserve">    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日就</w:t>
      </w:r>
      <w:r>
        <w:rPr>
          <w:rFonts w:hint="eastAsia" w:ascii="宋体" w:hAnsi="宋体"/>
          <w:sz w:val="24"/>
          <w:szCs w:val="24"/>
        </w:rPr>
        <w:t>白银市食品检验检测中心实验室检测设备采购项目</w:t>
      </w:r>
      <w:r>
        <w:rPr>
          <w:rFonts w:hint="eastAsia" w:ascii="宋体" w:hAnsi="宋体"/>
          <w:color w:val="000000"/>
          <w:sz w:val="24"/>
        </w:rPr>
        <w:t>（招标编号：</w:t>
      </w:r>
      <w:r>
        <w:rPr>
          <w:rFonts w:hint="eastAsia" w:ascii="宋体" w:hAnsi="宋体"/>
          <w:color w:val="000000"/>
          <w:sz w:val="24"/>
          <w:u w:val="single"/>
        </w:rPr>
        <w:t xml:space="preserve">     </w:t>
      </w:r>
      <w:r>
        <w:rPr>
          <w:rFonts w:hint="eastAsia" w:ascii="宋体" w:hAnsi="宋体"/>
          <w:color w:val="000000"/>
          <w:sz w:val="24"/>
        </w:rPr>
        <w:t>）事宜，我公司作为投标产品的生产厂家特授权</w:t>
      </w:r>
      <w:r>
        <w:rPr>
          <w:rFonts w:hint="eastAsia" w:ascii="宋体" w:hAnsi="宋体"/>
          <w:color w:val="000000"/>
          <w:sz w:val="24"/>
          <w:u w:val="single"/>
        </w:rPr>
        <w:t xml:space="preserve">             </w:t>
      </w:r>
      <w:r>
        <w:rPr>
          <w:rFonts w:hint="eastAsia" w:ascii="宋体" w:hAnsi="宋体"/>
          <w:color w:val="000000"/>
          <w:sz w:val="24"/>
        </w:rPr>
        <w:t>(投标人名称)代理本公司进行投标，并提供我方制造的</w:t>
      </w:r>
      <w:r>
        <w:rPr>
          <w:rFonts w:hint="eastAsia" w:ascii="宋体" w:hAnsi="宋体"/>
          <w:color w:val="000000"/>
          <w:sz w:val="24"/>
          <w:u w:val="single"/>
        </w:rPr>
        <w:t xml:space="preserve">                          </w:t>
      </w:r>
      <w:r>
        <w:rPr>
          <w:rFonts w:hint="eastAsia" w:ascii="宋体" w:hAnsi="宋体"/>
          <w:color w:val="000000"/>
          <w:sz w:val="24"/>
        </w:rPr>
        <w:t>产品（产品型号），按贵方与</w:t>
      </w:r>
      <w:r>
        <w:rPr>
          <w:rFonts w:hint="eastAsia" w:ascii="宋体" w:hAnsi="宋体"/>
          <w:color w:val="000000"/>
          <w:sz w:val="24"/>
          <w:u w:val="single"/>
        </w:rPr>
        <w:t xml:space="preserve">                 </w:t>
      </w:r>
      <w:r>
        <w:rPr>
          <w:rFonts w:hint="eastAsia" w:ascii="宋体" w:hAnsi="宋体"/>
          <w:color w:val="000000"/>
          <w:sz w:val="24"/>
        </w:rPr>
        <w:t>(投标人名称)签订的合同要求，及时保质保量提供中标产品。</w:t>
      </w:r>
    </w:p>
    <w:p>
      <w:pPr>
        <w:topLinePunct/>
        <w:spacing w:line="480" w:lineRule="auto"/>
        <w:rPr>
          <w:rFonts w:hint="eastAsia" w:ascii="宋体" w:hAnsi="宋体"/>
          <w:color w:val="000000"/>
          <w:sz w:val="24"/>
          <w:u w:val="single"/>
        </w:rPr>
      </w:pPr>
      <w:r>
        <w:rPr>
          <w:rFonts w:hint="eastAsia" w:ascii="宋体" w:hAnsi="宋体"/>
          <w:color w:val="000000"/>
          <w:sz w:val="24"/>
        </w:rPr>
        <w:t xml:space="preserve">    本授权函自</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日起有效，授权招标有效期60天。</w:t>
      </w:r>
    </w:p>
    <w:p>
      <w:pPr>
        <w:topLinePunct/>
        <w:spacing w:line="480" w:lineRule="auto"/>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 xml:space="preserve">                                 授权厂家名称（盖章）：</w:t>
      </w:r>
    </w:p>
    <w:p>
      <w:pPr>
        <w:spacing w:line="500" w:lineRule="exact"/>
        <w:rPr>
          <w:rFonts w:hint="eastAsia" w:ascii="宋体" w:hAnsi="宋体"/>
          <w:color w:val="000000"/>
          <w:sz w:val="24"/>
        </w:rPr>
      </w:pPr>
      <w:r>
        <w:rPr>
          <w:rFonts w:hint="eastAsia" w:ascii="宋体" w:hAnsi="宋体"/>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 xml:space="preserve">                                 法定代表人（签字）：</w:t>
      </w:r>
    </w:p>
    <w:p>
      <w:pPr>
        <w:spacing w:line="500" w:lineRule="exact"/>
        <w:rPr>
          <w:rFonts w:hint="eastAsia" w:ascii="宋体" w:hAnsi="宋体"/>
          <w:color w:val="000000"/>
          <w:sz w:val="24"/>
        </w:rPr>
      </w:pPr>
      <w:r>
        <w:rPr>
          <w:rFonts w:hint="eastAsia" w:ascii="宋体" w:hAnsi="宋体"/>
          <w:color w:val="000000"/>
          <w:sz w:val="24"/>
        </w:rPr>
        <w:t xml:space="preserve">                     </w:t>
      </w:r>
    </w:p>
    <w:p>
      <w:pPr>
        <w:spacing w:line="500" w:lineRule="exact"/>
        <w:rPr>
          <w:rFonts w:hint="eastAsia" w:ascii="宋体" w:hAnsi="宋体"/>
          <w:color w:val="000000"/>
        </w:rPr>
      </w:pPr>
      <w:r>
        <w:rPr>
          <w:rFonts w:hint="eastAsia" w:ascii="宋体" w:hAnsi="宋体"/>
          <w:color w:val="000000"/>
          <w:sz w:val="24"/>
        </w:rPr>
        <w:t xml:space="preserve">                                                           年   月   日 </w:t>
      </w:r>
    </w:p>
    <w:p>
      <w:pPr>
        <w:spacing w:line="360" w:lineRule="auto"/>
        <w:ind w:firstLine="420" w:firstLineChars="200"/>
        <w:rPr>
          <w:rFonts w:hint="eastAsia" w:ascii="宋体" w:hAnsi="宋体"/>
          <w:color w:val="000000"/>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b/>
          <w:color w:val="000000"/>
          <w:sz w:val="24"/>
        </w:rPr>
        <w:t>附件8：</w:t>
      </w:r>
    </w:p>
    <w:p>
      <w:pPr>
        <w:pStyle w:val="3"/>
        <w:spacing w:before="0" w:after="0"/>
        <w:rPr>
          <w:rFonts w:ascii="宋体" w:hAnsi="宋体"/>
          <w:color w:val="000000"/>
          <w:sz w:val="36"/>
          <w:szCs w:val="36"/>
        </w:rPr>
      </w:pPr>
      <w:bookmarkStart w:id="309" w:name="_Toc453596897"/>
      <w:r>
        <w:rPr>
          <w:rFonts w:ascii="宋体" w:hAnsi="宋体"/>
          <w:color w:val="000000"/>
          <w:sz w:val="36"/>
          <w:szCs w:val="36"/>
        </w:rPr>
        <w:t>中小企业声明函</w:t>
      </w:r>
      <w:bookmarkEnd w:id="309"/>
    </w:p>
    <w:p>
      <w:pPr>
        <w:pStyle w:val="26"/>
        <w:spacing w:line="375" w:lineRule="atLeast"/>
      </w:pPr>
      <w:r>
        <w:t>　</w:t>
      </w:r>
      <w:r>
        <w:rPr>
          <w:rFonts w:hint="eastAsia"/>
        </w:rPr>
        <w:t xml:space="preserve">                          （非中小微企业不提供）</w:t>
      </w:r>
    </w:p>
    <w:p>
      <w:pPr>
        <w:pStyle w:val="26"/>
        <w:spacing w:line="500" w:lineRule="exact"/>
      </w:pPr>
      <w:r>
        <w:t>　　本公司郑重声明，根据《政府采购促进中小企业发展暂行办法》（财库[2011]181号）的规定，本公司为______（请填写：中型、小型、微型）企业。即，本公司同时满足以下条件：</w:t>
      </w:r>
    </w:p>
    <w:p>
      <w:pPr>
        <w:pStyle w:val="26"/>
        <w:spacing w:line="500" w:lineRule="exact"/>
      </w:pPr>
      <w:r>
        <w:t>　　1.根据《工业和信息化部、国家统计局、国家发展和改革委员会、财政部关于印发中小企业划型标准规定的通知》（工信部联企业[2011]300号）规定的划分标准，本公司为______（请填写：中型、小型、微型）企业。</w:t>
      </w:r>
    </w:p>
    <w:p>
      <w:pPr>
        <w:pStyle w:val="26"/>
        <w:spacing w:line="500" w:lineRule="exact"/>
      </w:pPr>
      <w: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26"/>
        <w:spacing w:line="500" w:lineRule="exact"/>
      </w:pPr>
      <w:r>
        <w:t>　　本公司对上述声明的真实性负责。如有虚假，将依法承担相应责任。</w:t>
      </w:r>
    </w:p>
    <w:p>
      <w:pPr>
        <w:pStyle w:val="26"/>
        <w:spacing w:line="500" w:lineRule="exact"/>
      </w:pPr>
      <w:r>
        <w:t xml:space="preserve">　　　　　　 　　　　　　　　　　　　　　 　企业名称（盖章）： </w:t>
      </w:r>
    </w:p>
    <w:p>
      <w:pPr>
        <w:pStyle w:val="17"/>
        <w:spacing w:line="500" w:lineRule="exact"/>
        <w:rPr>
          <w:rFonts w:hAnsi="宋体" w:cs="宋体"/>
          <w:sz w:val="24"/>
        </w:rPr>
      </w:pPr>
      <w:r>
        <w:rPr>
          <w:sz w:val="24"/>
        </w:rPr>
        <w:t>　　　　　　　　　　　　　　　　　　　　    日   期：　　</w:t>
      </w:r>
    </w:p>
    <w:p>
      <w:pPr>
        <w:pStyle w:val="17"/>
        <w:spacing w:line="500" w:lineRule="exact"/>
        <w:rPr>
          <w:rFonts w:hAnsi="宋体" w:cs="宋体"/>
          <w:sz w:val="24"/>
        </w:rPr>
      </w:pPr>
    </w:p>
    <w:p>
      <w:pPr>
        <w:pStyle w:val="17"/>
        <w:rPr>
          <w:rFonts w:hAnsi="宋体" w:cs="宋体"/>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pStyle w:val="3"/>
        <w:jc w:val="both"/>
        <w:rPr>
          <w:rFonts w:hint="eastAsia" w:ascii="宋体" w:hAnsi="宋体"/>
          <w:b w:val="0"/>
          <w:color w:val="000000"/>
          <w:sz w:val="24"/>
          <w:szCs w:val="24"/>
        </w:rPr>
      </w:pPr>
      <w:bookmarkStart w:id="310" w:name="_Toc453596900"/>
      <w:r>
        <w:rPr>
          <w:rFonts w:hint="eastAsia"/>
          <w:color w:val="000000"/>
          <w:sz w:val="24"/>
          <w:szCs w:val="24"/>
        </w:rPr>
        <w:t>附件</w:t>
      </w:r>
      <w:r>
        <w:rPr>
          <w:rFonts w:hint="eastAsia"/>
          <w:color w:val="000000"/>
          <w:sz w:val="24"/>
          <w:szCs w:val="24"/>
          <w:lang w:val="en-US" w:eastAsia="zh-CN"/>
        </w:rPr>
        <w:t>9</w:t>
      </w:r>
      <w:r>
        <w:rPr>
          <w:rFonts w:hint="eastAsia"/>
          <w:color w:val="000000"/>
          <w:sz w:val="24"/>
          <w:szCs w:val="24"/>
        </w:rPr>
        <w:t>：</w:t>
      </w:r>
      <w:bookmarkEnd w:id="310"/>
    </w:p>
    <w:p>
      <w:pPr>
        <w:spacing w:line="480" w:lineRule="exact"/>
        <w:jc w:val="center"/>
        <w:rPr>
          <w:rFonts w:hint="eastAsia" w:ascii="宋体" w:hAnsi="宋体"/>
          <w:b/>
          <w:sz w:val="24"/>
        </w:rPr>
      </w:pPr>
      <w:r>
        <w:rPr>
          <w:rFonts w:hint="eastAsia" w:ascii="宋体" w:hAnsi="宋体"/>
          <w:b/>
          <w:sz w:val="24"/>
        </w:rPr>
        <w:t>财政部工业和信息化部文件</w:t>
      </w:r>
    </w:p>
    <w:p>
      <w:pPr>
        <w:spacing w:line="480" w:lineRule="exact"/>
        <w:jc w:val="center"/>
        <w:rPr>
          <w:rFonts w:hint="eastAsia" w:ascii="宋体" w:hAnsi="宋体"/>
          <w:b/>
          <w:sz w:val="24"/>
        </w:rPr>
      </w:pPr>
      <w:r>
        <w:rPr>
          <w:rFonts w:hint="eastAsia" w:ascii="宋体" w:hAnsi="宋体"/>
          <w:b/>
          <w:sz w:val="24"/>
        </w:rPr>
        <w:t>财库〔2011〕181号</w:t>
      </w:r>
    </w:p>
    <w:p>
      <w:pPr>
        <w:spacing w:line="500" w:lineRule="exact"/>
        <w:ind w:firstLine="495"/>
        <w:rPr>
          <w:rFonts w:hint="eastAsia" w:ascii="宋体" w:hAnsi="宋体"/>
          <w:sz w:val="24"/>
        </w:rPr>
      </w:pPr>
      <w:r>
        <w:rPr>
          <w:rFonts w:hint="eastAsia" w:ascii="宋体" w:hAnsi="宋体"/>
          <w:sz w:val="24"/>
        </w:rPr>
        <w:t>关于印发《政府采购促进中小企业发展暂行办法》的通知</w:t>
      </w:r>
    </w:p>
    <w:p>
      <w:pPr>
        <w:spacing w:line="500" w:lineRule="exact"/>
        <w:ind w:firstLine="495"/>
        <w:rPr>
          <w:rFonts w:hint="eastAsia" w:ascii="宋体" w:hAnsi="宋体"/>
          <w:sz w:val="24"/>
        </w:rPr>
      </w:pPr>
      <w:r>
        <w:rPr>
          <w:rFonts w:hint="eastAsia" w:ascii="宋体" w:hAnsi="宋体"/>
          <w:sz w:val="24"/>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r>
        <w:rPr>
          <w:rFonts w:hint="eastAsia" w:ascii="宋体" w:hAnsi="宋体"/>
          <w:sz w:val="24"/>
        </w:rPr>
        <w:br w:type="textWrapping"/>
      </w:r>
      <w:r>
        <w:rPr>
          <w:rFonts w:hint="eastAsia" w:ascii="宋体" w:hAnsi="宋体"/>
          <w:sz w:val="24"/>
        </w:rPr>
        <w:t>　　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r>
        <w:rPr>
          <w:rFonts w:hint="eastAsia" w:ascii="宋体" w:hAnsi="宋体"/>
          <w:sz w:val="24"/>
        </w:rPr>
        <w:br w:type="textWrapping"/>
      </w:r>
      <w:r>
        <w:rPr>
          <w:rFonts w:hint="eastAsia" w:ascii="宋体" w:hAnsi="宋体"/>
          <w:sz w:val="24"/>
        </w:rPr>
        <w:t>　　附件：政府采购促进中小企业发展暂行办法</w:t>
      </w:r>
      <w:r>
        <w:rPr>
          <w:rFonts w:hint="eastAsia" w:ascii="宋体" w:hAnsi="宋体"/>
          <w:sz w:val="24"/>
        </w:rPr>
        <w:br w:type="textWrapping"/>
      </w:r>
      <w:r>
        <w:rPr>
          <w:rFonts w:hint="eastAsia" w:ascii="宋体" w:hAnsi="宋体"/>
          <w:sz w:val="24"/>
        </w:rPr>
        <w:t>　　　　</w:t>
      </w:r>
    </w:p>
    <w:p>
      <w:pPr>
        <w:spacing w:line="500" w:lineRule="exact"/>
        <w:ind w:firstLine="495"/>
        <w:rPr>
          <w:rFonts w:hint="eastAsia" w:ascii="宋体" w:hAnsi="宋体"/>
          <w:sz w:val="24"/>
        </w:rPr>
      </w:pPr>
      <w:r>
        <w:rPr>
          <w:rFonts w:hint="eastAsia" w:ascii="宋体" w:hAnsi="宋体"/>
          <w:sz w:val="24"/>
        </w:rPr>
        <w:t xml:space="preserve">                                             财政部</w:t>
      </w:r>
      <w:r>
        <w:rPr>
          <w:rFonts w:hint="eastAsia" w:ascii="宋体" w:hAnsi="宋体"/>
          <w:sz w:val="24"/>
        </w:rPr>
        <w:br w:type="textWrapping"/>
      </w:r>
      <w:r>
        <w:rPr>
          <w:rFonts w:hint="eastAsia" w:ascii="宋体" w:hAnsi="宋体"/>
          <w:sz w:val="24"/>
        </w:rPr>
        <w:t xml:space="preserve">                                             工业和信息化部</w:t>
      </w:r>
      <w:r>
        <w:rPr>
          <w:rFonts w:hint="eastAsia" w:ascii="宋体" w:hAnsi="宋体"/>
          <w:sz w:val="24"/>
        </w:rPr>
        <w:br w:type="textWrapping"/>
      </w:r>
      <w:r>
        <w:rPr>
          <w:rFonts w:hint="eastAsia" w:ascii="宋体" w:hAnsi="宋体"/>
          <w:sz w:val="24"/>
        </w:rPr>
        <w:t xml:space="preserve">                                          二〇一一年十二月二十九日</w:t>
      </w: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p>
    <w:p>
      <w:pPr>
        <w:spacing w:line="500" w:lineRule="exact"/>
        <w:ind w:firstLine="495"/>
        <w:rPr>
          <w:rFonts w:hint="eastAsia" w:ascii="宋体" w:hAnsi="宋体"/>
          <w:sz w:val="24"/>
        </w:rPr>
      </w:pPr>
      <w:r>
        <w:rPr>
          <w:rFonts w:hint="eastAsia" w:ascii="宋体" w:hAnsi="宋体"/>
          <w:sz w:val="24"/>
        </w:rPr>
        <w:t>附件：</w:t>
      </w:r>
    </w:p>
    <w:p>
      <w:pPr>
        <w:spacing w:line="500" w:lineRule="exact"/>
        <w:ind w:firstLine="495"/>
        <w:rPr>
          <w:rFonts w:hint="eastAsia" w:ascii="宋体" w:hAnsi="宋体"/>
          <w:sz w:val="24"/>
        </w:rPr>
      </w:pPr>
      <w:r>
        <w:rPr>
          <w:rFonts w:hint="eastAsia" w:ascii="宋体" w:hAnsi="宋体"/>
          <w:sz w:val="24"/>
        </w:rPr>
        <w:t>政府采购促进中小企业发展暂行办法</w:t>
      </w:r>
    </w:p>
    <w:p>
      <w:pPr>
        <w:spacing w:line="500" w:lineRule="exact"/>
        <w:ind w:firstLine="495"/>
        <w:rPr>
          <w:rFonts w:hint="eastAsia" w:ascii="宋体" w:hAnsi="宋体"/>
          <w:sz w:val="24"/>
        </w:rPr>
      </w:pPr>
      <w:r>
        <w:rPr>
          <w:rFonts w:hint="eastAsia" w:ascii="宋体" w:hAnsi="宋体"/>
          <w:sz w:val="24"/>
        </w:rPr>
        <w:t>第一条 为了发挥政府采购的政策功能，促进符合国家经济和社会发展政策目标，产品、服务、信誉较好的中小企业发展，根据《中华人民共和国政府采购法》、《中华人民共和国中小企业促进法》等有关法律法规，制定本办法。</w:t>
      </w:r>
      <w:r>
        <w:rPr>
          <w:rFonts w:hint="eastAsia" w:ascii="宋体" w:hAnsi="宋体"/>
          <w:sz w:val="24"/>
        </w:rPr>
        <w:br w:type="textWrapping"/>
      </w:r>
      <w:r>
        <w:rPr>
          <w:rFonts w:hint="eastAsia" w:ascii="宋体" w:hAnsi="宋体"/>
          <w:sz w:val="24"/>
        </w:rPr>
        <w:t>　　第二条 本办法所称中小企业（含中型、小型、微型企业，下同）应当同时符合以下条件：</w:t>
      </w:r>
      <w:r>
        <w:rPr>
          <w:rFonts w:hint="eastAsia" w:ascii="宋体" w:hAnsi="宋体"/>
          <w:sz w:val="24"/>
        </w:rPr>
        <w:br w:type="textWrapping"/>
      </w:r>
      <w:r>
        <w:rPr>
          <w:rFonts w:hint="eastAsia" w:ascii="宋体" w:hAnsi="宋体"/>
          <w:sz w:val="24"/>
        </w:rPr>
        <w:t>　　（一）符合中小企业划分标准；</w:t>
      </w:r>
      <w:r>
        <w:rPr>
          <w:rFonts w:hint="eastAsia" w:ascii="宋体" w:hAnsi="宋体"/>
          <w:sz w:val="24"/>
        </w:rPr>
        <w:br w:type="textWrapping"/>
      </w:r>
      <w:r>
        <w:rPr>
          <w:rFonts w:hint="eastAsia" w:ascii="宋体" w:hAnsi="宋体"/>
          <w:sz w:val="24"/>
        </w:rPr>
        <w:t>　　（二）提供本企业制造的货物、承担的工程或者服务，或者提供其他中小企业制造的货物。本项所称货物不包括使用大型企业注册商标的货物。</w:t>
      </w:r>
      <w:r>
        <w:rPr>
          <w:rFonts w:hint="eastAsia" w:ascii="宋体" w:hAnsi="宋体"/>
          <w:sz w:val="24"/>
        </w:rPr>
        <w:br w:type="textWrapping"/>
      </w:r>
      <w:r>
        <w:rPr>
          <w:rFonts w:hint="eastAsia" w:ascii="宋体" w:hAnsi="宋体"/>
          <w:sz w:val="24"/>
        </w:rPr>
        <w:t>　　本办法所称中小企业划分标准，是指国务院有关部门根据企业从业人员、营业收入、资产总额等指标制定的中小企业划型标准。</w:t>
      </w:r>
      <w:r>
        <w:rPr>
          <w:rFonts w:hint="eastAsia" w:ascii="宋体" w:hAnsi="宋体"/>
          <w:sz w:val="24"/>
        </w:rPr>
        <w:br w:type="textWrapping"/>
      </w:r>
      <w:r>
        <w:rPr>
          <w:rFonts w:hint="eastAsia" w:ascii="宋体" w:hAnsi="宋体"/>
          <w:sz w:val="24"/>
        </w:rPr>
        <w:t>　　小型、微型企业提供中型企业制造的货物的，视同为中型企业。</w:t>
      </w:r>
      <w:r>
        <w:rPr>
          <w:rFonts w:hint="eastAsia" w:ascii="宋体" w:hAnsi="宋体"/>
          <w:sz w:val="24"/>
        </w:rPr>
        <w:br w:type="textWrapping"/>
      </w:r>
      <w:r>
        <w:rPr>
          <w:rFonts w:hint="eastAsia" w:ascii="宋体" w:hAnsi="宋体"/>
          <w:sz w:val="24"/>
        </w:rPr>
        <w:t>　　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r>
        <w:rPr>
          <w:rFonts w:hint="eastAsia" w:ascii="宋体" w:hAnsi="宋体"/>
          <w:sz w:val="24"/>
        </w:rPr>
        <w:br w:type="textWrapping"/>
      </w:r>
      <w:r>
        <w:rPr>
          <w:rFonts w:hint="eastAsia" w:ascii="宋体" w:hAnsi="宋体"/>
          <w:sz w:val="24"/>
        </w:rPr>
        <w:t>　　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r>
        <w:rPr>
          <w:rFonts w:hint="eastAsia" w:ascii="宋体" w:hAnsi="宋体"/>
          <w:sz w:val="24"/>
        </w:rPr>
        <w:br w:type="textWrapping"/>
      </w:r>
      <w:r>
        <w:rPr>
          <w:rFonts w:hint="eastAsia" w:ascii="宋体" w:hAnsi="宋体"/>
          <w:sz w:val="24"/>
        </w:rPr>
        <w:t>　　采购人或者采购代理机构在组织采购活动时，应当在招标文件或谈判文件、询价文件中注明该项目专门面向中小企业或小型、微型企业采购。</w:t>
      </w:r>
      <w:r>
        <w:rPr>
          <w:rFonts w:hint="eastAsia" w:ascii="宋体" w:hAnsi="宋体"/>
          <w:sz w:val="24"/>
        </w:rPr>
        <w:br w:type="textWrapping"/>
      </w:r>
      <w:r>
        <w:rPr>
          <w:rFonts w:hint="eastAsia" w:ascii="宋体" w:hAnsi="宋体"/>
          <w:sz w:val="24"/>
        </w:rPr>
        <w:t>　　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r>
        <w:rPr>
          <w:rFonts w:hint="eastAsia" w:ascii="宋体" w:hAnsi="宋体"/>
          <w:sz w:val="24"/>
        </w:rPr>
        <w:br w:type="textWrapping"/>
      </w:r>
      <w:r>
        <w:rPr>
          <w:rFonts w:hint="eastAsia" w:ascii="宋体" w:hAnsi="宋体"/>
          <w:sz w:val="24"/>
        </w:rPr>
        <w:t>　　参加政府采购活动的中小企业应当提供本办法规定的《中小企业声明函》（见附件）。</w:t>
      </w:r>
      <w:r>
        <w:rPr>
          <w:rFonts w:hint="eastAsia" w:ascii="宋体" w:hAnsi="宋体"/>
          <w:sz w:val="24"/>
        </w:rPr>
        <w:br w:type="textWrapping"/>
      </w:r>
      <w:r>
        <w:rPr>
          <w:rFonts w:hint="eastAsia" w:ascii="宋体" w:hAnsi="宋体"/>
          <w:sz w:val="24"/>
        </w:rPr>
        <w:t>　　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r>
        <w:rPr>
          <w:rFonts w:hint="eastAsia" w:ascii="宋体" w:hAnsi="宋体"/>
          <w:sz w:val="24"/>
        </w:rPr>
        <w:br w:type="textWrapping"/>
      </w:r>
      <w:r>
        <w:rPr>
          <w:rFonts w:hint="eastAsia" w:ascii="宋体" w:hAnsi="宋体"/>
          <w:sz w:val="24"/>
        </w:rPr>
        <w:t>　　联合体各方均为小型、微型企业的，联合体视同为小型、微型企业享受本办法第四条、第五条规定的扶持政策。</w:t>
      </w:r>
      <w:r>
        <w:rPr>
          <w:rFonts w:hint="eastAsia" w:ascii="宋体" w:hAnsi="宋体"/>
          <w:sz w:val="24"/>
        </w:rPr>
        <w:br w:type="textWrapping"/>
      </w:r>
      <w:r>
        <w:rPr>
          <w:rFonts w:hint="eastAsia" w:ascii="宋体" w:hAnsi="宋体"/>
          <w:sz w:val="24"/>
        </w:rPr>
        <w:t xml:space="preserve">　　组成联合体的大中型企业和其他自然人、法人或者其他组织，与小型、微型企业之间不得存在投资关系。 </w:t>
      </w:r>
      <w:r>
        <w:rPr>
          <w:rFonts w:hint="eastAsia" w:ascii="宋体" w:hAnsi="宋体"/>
          <w:sz w:val="24"/>
        </w:rPr>
        <w:br w:type="textWrapping"/>
      </w:r>
      <w:r>
        <w:rPr>
          <w:rFonts w:hint="eastAsia" w:ascii="宋体" w:hAnsi="宋体"/>
          <w:sz w:val="24"/>
        </w:rPr>
        <w:t>　　第七条 中小企业依据本办法第四条、第五条、第六条规定的政策获取政府采购合同后，小型、微型企业不得分包或转包给大型、中型企业，中型企业不得分包或转包给大型企业。</w:t>
      </w:r>
      <w:r>
        <w:rPr>
          <w:rFonts w:hint="eastAsia" w:ascii="宋体" w:hAnsi="宋体"/>
          <w:sz w:val="24"/>
        </w:rPr>
        <w:br w:type="textWrapping"/>
      </w:r>
      <w:r>
        <w:rPr>
          <w:rFonts w:hint="eastAsia" w:ascii="宋体" w:hAnsi="宋体"/>
          <w:sz w:val="24"/>
        </w:rPr>
        <w:t>　　第八条 鼓励采购人允许获得政府采购合同的大型企业依法向中小企业分包。</w:t>
      </w:r>
      <w:r>
        <w:rPr>
          <w:rFonts w:hint="eastAsia" w:ascii="宋体" w:hAnsi="宋体"/>
          <w:sz w:val="24"/>
        </w:rPr>
        <w:br w:type="textWrapping"/>
      </w:r>
      <w:r>
        <w:rPr>
          <w:rFonts w:hint="eastAsia" w:ascii="宋体" w:hAnsi="宋体"/>
          <w:sz w:val="24"/>
        </w:rPr>
        <w:t>　　大型企业向中小企业分包的金额，计入面向中小企业采购的统计数额。</w:t>
      </w:r>
      <w:r>
        <w:rPr>
          <w:rFonts w:hint="eastAsia" w:ascii="宋体" w:hAnsi="宋体"/>
          <w:sz w:val="24"/>
        </w:rPr>
        <w:br w:type="textWrapping"/>
      </w:r>
      <w:r>
        <w:rPr>
          <w:rFonts w:hint="eastAsia" w:ascii="宋体" w:hAnsi="宋体"/>
          <w:sz w:val="24"/>
        </w:rPr>
        <w:t>　　第九条 鼓励采购人在与中小企业签订政府采购合同时，在履约保证金、付款期限、付款方式等方面给予中小企业适当支持。采购人应当按照合同约定按时足额支付采购资金。</w:t>
      </w:r>
      <w:r>
        <w:rPr>
          <w:rFonts w:hint="eastAsia" w:ascii="宋体" w:hAnsi="宋体"/>
          <w:sz w:val="24"/>
        </w:rPr>
        <w:br w:type="textWrapping"/>
      </w:r>
      <w:r>
        <w:rPr>
          <w:rFonts w:hint="eastAsia" w:ascii="宋体" w:hAnsi="宋体"/>
          <w:sz w:val="24"/>
        </w:rPr>
        <w:t>　　第十条 鼓励在政府采购活动中引入信用担保手段，为中小企业在融资、投标保证、履约保证等方面提供专业化的担保服务。</w:t>
      </w:r>
      <w:r>
        <w:rPr>
          <w:rFonts w:hint="eastAsia" w:ascii="宋体" w:hAnsi="宋体"/>
          <w:sz w:val="24"/>
        </w:rPr>
        <w:br w:type="textWrapping"/>
      </w:r>
      <w:r>
        <w:rPr>
          <w:rFonts w:hint="eastAsia" w:ascii="宋体" w:hAnsi="宋体"/>
          <w:sz w:val="24"/>
        </w:rPr>
        <w:t>　　第十一条 各级财政部门和有关部门应当加大对中小企业参与政府采购的培训指导及专业化咨询服务力度，提高中小企业参与政府采购活动的能力。</w:t>
      </w:r>
      <w:r>
        <w:rPr>
          <w:rFonts w:hint="eastAsia" w:ascii="宋体" w:hAnsi="宋体"/>
          <w:sz w:val="24"/>
        </w:rPr>
        <w:br w:type="textWrapping"/>
      </w:r>
      <w:r>
        <w:rPr>
          <w:rFonts w:hint="eastAsia" w:ascii="宋体" w:hAnsi="宋体"/>
          <w:sz w:val="24"/>
        </w:rPr>
        <w:t>　　第十二条 各部门应当每年第一季度向同级财政部门报告本部门上一年度面向中小企业采购的具体情况，并在财政部指定的政府采购发布媒体公开预留项目执行情况以及本部门其他项目面向中小企业采购的情况。</w:t>
      </w:r>
      <w:r>
        <w:rPr>
          <w:rFonts w:hint="eastAsia" w:ascii="宋体" w:hAnsi="宋体"/>
          <w:sz w:val="24"/>
        </w:rPr>
        <w:br w:type="textWrapping"/>
      </w:r>
      <w:r>
        <w:rPr>
          <w:rFonts w:hint="eastAsia" w:ascii="宋体" w:hAnsi="宋体"/>
          <w:sz w:val="24"/>
        </w:rPr>
        <w:t>　　第十三条 各级财政部门应当积极推进政府采购信息化建设，提高政府采购信息发布透明度，提供便于中小企业获取政府采购信息的稳定渠道。</w:t>
      </w:r>
      <w:r>
        <w:rPr>
          <w:rFonts w:hint="eastAsia" w:ascii="宋体" w:hAnsi="宋体"/>
          <w:sz w:val="24"/>
        </w:rPr>
        <w:br w:type="textWrapping"/>
      </w:r>
      <w:r>
        <w:rPr>
          <w:rFonts w:hint="eastAsia" w:ascii="宋体" w:hAnsi="宋体"/>
          <w:sz w:val="24"/>
        </w:rPr>
        <w:t>　　第十四条 各级财政部门会同中小企业主管部门建立健全政府采购促进中小企业发展的有关制度，加强有关政策执行情况的监督检查。</w:t>
      </w:r>
      <w:r>
        <w:rPr>
          <w:rFonts w:hint="eastAsia" w:ascii="宋体" w:hAnsi="宋体"/>
          <w:sz w:val="24"/>
        </w:rPr>
        <w:br w:type="textWrapping"/>
      </w:r>
      <w:r>
        <w:rPr>
          <w:rFonts w:hint="eastAsia" w:ascii="宋体" w:hAnsi="宋体"/>
          <w:sz w:val="24"/>
        </w:rPr>
        <w:t>　　各部门负责对本部门政府采购促进中小企业发展各项工作的执行和管理。</w:t>
      </w:r>
      <w:r>
        <w:rPr>
          <w:rFonts w:hint="eastAsia" w:ascii="宋体" w:hAnsi="宋体"/>
          <w:sz w:val="24"/>
        </w:rPr>
        <w:br w:type="textWrapping"/>
      </w:r>
      <w:r>
        <w:rPr>
          <w:rFonts w:hint="eastAsia" w:ascii="宋体" w:hAnsi="宋体"/>
          <w:sz w:val="24"/>
        </w:rPr>
        <w:t>　　第十五条 政府采购监督检查和投诉处理中对中小企业的认定，由企业所在地的县级以上中小企业主管部门负责。</w:t>
      </w:r>
      <w:r>
        <w:rPr>
          <w:rFonts w:hint="eastAsia" w:ascii="宋体" w:hAnsi="宋体"/>
          <w:sz w:val="24"/>
        </w:rPr>
        <w:br w:type="textWrapping"/>
      </w:r>
      <w:r>
        <w:rPr>
          <w:rFonts w:hint="eastAsia" w:ascii="宋体" w:hAnsi="宋体"/>
          <w:sz w:val="24"/>
        </w:rPr>
        <w:t>　　第十六条 采购人、采购代理机构或者中小企业在政府采购活动中有违法违规行为的，依照政府采购法及有关法律法规处理。</w:t>
      </w:r>
      <w:r>
        <w:rPr>
          <w:rFonts w:hint="eastAsia" w:ascii="宋体" w:hAnsi="宋体"/>
          <w:sz w:val="24"/>
        </w:rPr>
        <w:br w:type="textWrapping"/>
      </w:r>
      <w:r>
        <w:rPr>
          <w:rFonts w:hint="eastAsia" w:ascii="宋体" w:hAnsi="宋体"/>
          <w:sz w:val="24"/>
        </w:rPr>
        <w:t>　　第十七条 本办法由财政部、工业和信息化部负责解释。</w:t>
      </w:r>
      <w:r>
        <w:rPr>
          <w:rFonts w:hint="eastAsia" w:ascii="宋体" w:hAnsi="宋体"/>
          <w:sz w:val="24"/>
        </w:rPr>
        <w:br w:type="textWrapping"/>
      </w:r>
      <w:r>
        <w:rPr>
          <w:rFonts w:hint="eastAsia" w:ascii="宋体" w:hAnsi="宋体"/>
          <w:sz w:val="24"/>
        </w:rPr>
        <w:t>　　第十八条 本办法自2012年1月1日起施行。</w:t>
      </w:r>
      <w:r>
        <w:rPr>
          <w:rFonts w:hint="eastAsia" w:ascii="宋体" w:hAnsi="宋体"/>
          <w:sz w:val="24"/>
        </w:rPr>
        <w:br w:type="textWrapping"/>
      </w:r>
      <w:r>
        <w:rPr>
          <w:rFonts w:hint="eastAsia" w:ascii="宋体" w:hAnsi="宋体"/>
          <w:sz w:val="24"/>
        </w:rPr>
        <w:t>　</w:t>
      </w:r>
    </w:p>
    <w:p>
      <w:pPr>
        <w:spacing w:line="500" w:lineRule="exact"/>
        <w:ind w:firstLine="495"/>
        <w:rPr>
          <w:rFonts w:hint="eastAsia" w:ascii="宋体" w:hAnsi="宋体"/>
          <w:sz w:val="24"/>
        </w:rPr>
      </w:pPr>
      <w:r>
        <w:rPr>
          <w:rFonts w:hint="eastAsia" w:ascii="宋体" w:hAnsi="宋体"/>
          <w:sz w:val="24"/>
        </w:rPr>
        <w:t>附：中小企业声明函</w:t>
      </w:r>
    </w:p>
    <w:p>
      <w:pPr>
        <w:spacing w:line="500" w:lineRule="exact"/>
        <w:ind w:firstLine="495"/>
        <w:rPr>
          <w:rFonts w:hint="eastAsia" w:ascii="宋体" w:hAnsi="宋体"/>
          <w:sz w:val="24"/>
        </w:rPr>
      </w:pPr>
      <w:r>
        <w:rPr>
          <w:rFonts w:hint="eastAsia" w:ascii="宋体" w:hAnsi="宋体"/>
          <w:sz w:val="24"/>
        </w:rPr>
        <w:t>　</w:t>
      </w:r>
    </w:p>
    <w:p>
      <w:pPr>
        <w:spacing w:line="500" w:lineRule="exact"/>
        <w:ind w:firstLine="495"/>
        <w:rPr>
          <w:rFonts w:hint="eastAsia" w:ascii="宋体" w:hAnsi="宋体"/>
          <w:sz w:val="24"/>
        </w:rPr>
      </w:pPr>
      <w:r>
        <w:rPr>
          <w:rFonts w:hint="eastAsia" w:ascii="宋体" w:hAnsi="宋体"/>
          <w:sz w:val="24"/>
        </w:rPr>
        <w:t>中小企业声明函</w:t>
      </w:r>
    </w:p>
    <w:p>
      <w:pPr>
        <w:spacing w:line="500" w:lineRule="exact"/>
        <w:ind w:firstLine="495"/>
        <w:rPr>
          <w:rFonts w:hint="eastAsia" w:ascii="宋体" w:hAnsi="宋体"/>
          <w:sz w:val="24"/>
        </w:rPr>
      </w:pPr>
      <w:r>
        <w:rPr>
          <w:rFonts w:hint="eastAsia" w:ascii="宋体" w:hAnsi="宋体"/>
          <w:sz w:val="24"/>
        </w:rPr>
        <w:t>　　本公司郑重声明，根据《政府采购促进中小企业发展暂行办法》（财库[2011]181号）的规定，本公司为______（请填写：中型、小型、微型）企业。即，本公司同时满足以下条件：</w:t>
      </w:r>
    </w:p>
    <w:p>
      <w:pPr>
        <w:spacing w:line="500" w:lineRule="exact"/>
        <w:ind w:firstLine="495"/>
        <w:rPr>
          <w:rFonts w:hint="eastAsia" w:ascii="宋体" w:hAnsi="宋体"/>
          <w:sz w:val="24"/>
        </w:rPr>
      </w:pPr>
      <w:r>
        <w:rPr>
          <w:rFonts w:hint="eastAsia" w:ascii="宋体" w:hAnsi="宋体"/>
          <w:sz w:val="24"/>
        </w:rPr>
        <w:t>　　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95"/>
        <w:rPr>
          <w:rFonts w:hint="eastAsia" w:ascii="宋体" w:hAnsi="宋体"/>
          <w:sz w:val="24"/>
        </w:rPr>
      </w:pPr>
      <w:r>
        <w:rPr>
          <w:rFonts w:hint="eastAsia" w:ascii="宋体" w:hAnsi="宋体"/>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95"/>
        <w:rPr>
          <w:rFonts w:hint="eastAsia" w:ascii="宋体" w:hAnsi="宋体"/>
          <w:sz w:val="24"/>
        </w:rPr>
      </w:pPr>
      <w:r>
        <w:rPr>
          <w:rFonts w:hint="eastAsia" w:ascii="宋体" w:hAnsi="宋体"/>
          <w:sz w:val="24"/>
        </w:rPr>
        <w:t>　　本公司对上述声明的真实性负责。如有虚假，将依法承担相应责任。</w:t>
      </w:r>
    </w:p>
    <w:p>
      <w:pPr>
        <w:spacing w:line="500" w:lineRule="exact"/>
        <w:ind w:firstLine="495"/>
        <w:rPr>
          <w:rFonts w:hint="eastAsia" w:ascii="宋体" w:hAnsi="宋体"/>
          <w:sz w:val="24"/>
        </w:rPr>
      </w:pPr>
      <w:r>
        <w:rPr>
          <w:rFonts w:hint="eastAsia" w:ascii="宋体" w:hAnsi="宋体"/>
          <w:sz w:val="24"/>
        </w:rPr>
        <w:t xml:space="preserve">　　　　　　 　　　　　　　　　　　　　　 　企业名称（盖章）： </w:t>
      </w:r>
    </w:p>
    <w:p>
      <w:pPr>
        <w:spacing w:line="500" w:lineRule="exact"/>
        <w:ind w:firstLine="495"/>
        <w:rPr>
          <w:rFonts w:hint="eastAsia" w:ascii="宋体" w:hAnsi="宋体"/>
          <w:sz w:val="24"/>
        </w:rPr>
      </w:pPr>
      <w:r>
        <w:rPr>
          <w:rFonts w:hint="eastAsia" w:ascii="宋体" w:hAnsi="宋体"/>
          <w:sz w:val="24"/>
        </w:rPr>
        <w:t>　　　　　　　　　　　　　　　　　　　　 　日 期：　</w:t>
      </w:r>
    </w:p>
    <w:p>
      <w:pPr>
        <w:spacing w:line="500" w:lineRule="exact"/>
        <w:ind w:firstLine="495"/>
        <w:rPr>
          <w:rFonts w:hint="eastAsia" w:ascii="宋体" w:hAnsi="宋体"/>
          <w:sz w:val="24"/>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pPr>
      <w:r>
        <w:rPr>
          <w:rStyle w:val="30"/>
          <w:rFonts w:hint="eastAsia"/>
        </w:rPr>
        <w:t>关于印发中小企业划型标准规定的通知</w:t>
      </w:r>
      <w:r>
        <w:rPr>
          <w:rFonts w:hint="eastAsia"/>
        </w:rPr>
        <w:br w:type="textWrapping"/>
      </w:r>
      <w:r>
        <w:rPr>
          <w:rFonts w:hint="eastAsia"/>
          <w:b/>
        </w:rPr>
        <w:t>工信部联企业〔2011〕300号</w:t>
      </w:r>
    </w:p>
    <w:p>
      <w:pPr>
        <w:pStyle w:val="26"/>
        <w:spacing w:line="480" w:lineRule="exact"/>
        <w:rPr>
          <w:rFonts w:hint="eastAsia" w:cs="Times New Roman"/>
          <w:kern w:val="2"/>
        </w:rPr>
      </w:pPr>
      <w:r>
        <w:rPr>
          <w:rFonts w:hint="eastAsia" w:cs="Times New Roman"/>
          <w:kern w:val="2"/>
        </w:rPr>
        <w:t>各省、自治区、直辖市人民政府，国务院各部委、各直属机构及有关单位：</w:t>
      </w:r>
      <w:r>
        <w:rPr>
          <w:rFonts w:hint="eastAsia" w:cs="Times New Roman"/>
          <w:kern w:val="2"/>
        </w:rPr>
        <w:br w:type="textWrapping"/>
      </w:r>
      <w:r>
        <w:rPr>
          <w:rFonts w:hint="eastAsia" w:cs="Times New Roman"/>
          <w:kern w:val="2"/>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napToGrid w:val="0"/>
        <w:spacing w:before="100" w:beforeAutospacing="1" w:after="100" w:afterAutospacing="1" w:line="480" w:lineRule="exact"/>
        <w:jc w:val="right"/>
        <w:rPr>
          <w:rFonts w:hint="eastAsia" w:ascii="宋体" w:hAnsi="宋体"/>
          <w:sz w:val="24"/>
        </w:rPr>
      </w:pPr>
      <w:r>
        <w:rPr>
          <w:rFonts w:hint="eastAsia" w:ascii="宋体" w:hAnsi="宋体"/>
          <w:sz w:val="24"/>
        </w:rPr>
        <w:t>　　　　　　　 工业和信息化部          国家统计局</w:t>
      </w:r>
    </w:p>
    <w:p>
      <w:pPr>
        <w:widowControl/>
        <w:snapToGrid w:val="0"/>
        <w:spacing w:before="100" w:beforeAutospacing="1" w:after="100" w:afterAutospacing="1" w:line="480" w:lineRule="exact"/>
        <w:jc w:val="right"/>
        <w:rPr>
          <w:rFonts w:hint="eastAsia" w:ascii="宋体" w:hAnsi="宋体"/>
          <w:sz w:val="24"/>
        </w:rPr>
      </w:pPr>
      <w:r>
        <w:rPr>
          <w:rFonts w:hint="eastAsia" w:ascii="宋体" w:hAnsi="宋体"/>
          <w:sz w:val="24"/>
        </w:rPr>
        <w:t>　　           国家发展和改革委员会       财政部</w:t>
      </w:r>
    </w:p>
    <w:p>
      <w:pPr>
        <w:widowControl/>
        <w:snapToGrid w:val="0"/>
        <w:spacing w:before="100" w:beforeAutospacing="1" w:after="100" w:afterAutospacing="1" w:line="480" w:lineRule="exact"/>
        <w:jc w:val="right"/>
        <w:rPr>
          <w:rFonts w:hint="eastAsia" w:ascii="宋体" w:hAnsi="宋体"/>
          <w:sz w:val="24"/>
        </w:rPr>
      </w:pPr>
      <w:r>
        <w:rPr>
          <w:rFonts w:hint="eastAsia" w:ascii="宋体" w:hAnsi="宋体"/>
          <w:sz w:val="24"/>
        </w:rPr>
        <w:t>　　                                                                          二○一一年六月十八日</w:t>
      </w:r>
    </w:p>
    <w:p>
      <w:pPr>
        <w:pStyle w:val="26"/>
        <w:spacing w:line="480" w:lineRule="exact"/>
        <w:rPr>
          <w:rFonts w:hint="eastAsia"/>
        </w:rPr>
      </w:pPr>
      <w:r>
        <w:rPr>
          <w:rFonts w:hint="eastAsia"/>
        </w:rPr>
        <w:t>　　　　</w:t>
      </w: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Style w:val="30"/>
          <w:rFonts w:hint="eastAsia"/>
        </w:rPr>
      </w:pPr>
    </w:p>
    <w:p>
      <w:pPr>
        <w:pStyle w:val="26"/>
        <w:spacing w:line="480" w:lineRule="exact"/>
        <w:jc w:val="center"/>
        <w:rPr>
          <w:rFonts w:hint="eastAsia"/>
        </w:rPr>
      </w:pPr>
      <w:r>
        <w:rPr>
          <w:rStyle w:val="30"/>
          <w:rFonts w:hint="eastAsia"/>
        </w:rPr>
        <w:t>中小企业划型标准规定</w:t>
      </w:r>
    </w:p>
    <w:p>
      <w:pPr>
        <w:pStyle w:val="26"/>
        <w:spacing w:line="480" w:lineRule="exact"/>
        <w:rPr>
          <w:rFonts w:hint="eastAsia" w:cs="Times New Roman"/>
          <w:kern w:val="2"/>
        </w:rPr>
      </w:pPr>
      <w:r>
        <w:rPr>
          <w:rFonts w:hint="eastAsia"/>
        </w:rPr>
        <w:t>　　</w:t>
      </w:r>
      <w:r>
        <w:rPr>
          <w:rFonts w:hint="eastAsia" w:cs="Times New Roman"/>
          <w:kern w:val="2"/>
        </w:rPr>
        <w:t>一、根据《中华人民共和国中小企业促进法》和《国务院关于进一步促进中小企业发展的若干意见》(国发〔2009〕36号)，制定本规定。</w:t>
      </w:r>
      <w:r>
        <w:rPr>
          <w:rFonts w:hint="eastAsia" w:cs="Times New Roman"/>
          <w:kern w:val="2"/>
        </w:rPr>
        <w:br w:type="textWrapping"/>
      </w:r>
      <w:r>
        <w:rPr>
          <w:rFonts w:hint="eastAsia" w:cs="Times New Roman"/>
          <w:kern w:val="2"/>
        </w:rPr>
        <w:t>　　二、中小企业划分为中型、小型、微型三种类型，具体标准根据企业从业人员、营业收入、资产总额等指标，结合行业特点制定。</w:t>
      </w:r>
      <w:r>
        <w:rPr>
          <w:rFonts w:hint="eastAsia" w:cs="Times New Roman"/>
          <w:kern w:val="2"/>
        </w:rPr>
        <w:br w:type="textWrapping"/>
      </w:r>
      <w:r>
        <w:rPr>
          <w:rFonts w:hint="eastAsia" w:cs="Times New Roman"/>
          <w:kern w:val="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Times New Roman"/>
          <w:kern w:val="2"/>
        </w:rPr>
        <w:br w:type="textWrapping"/>
      </w:r>
      <w:r>
        <w:rPr>
          <w:rFonts w:hint="eastAsia" w:cs="Times New Roman"/>
          <w:kern w:val="2"/>
        </w:rPr>
        <w:t>　　四、各行业划型标准为：</w:t>
      </w:r>
      <w:r>
        <w:rPr>
          <w:rFonts w:hint="eastAsia" w:cs="Times New Roman"/>
          <w:kern w:val="2"/>
        </w:rPr>
        <w:br w:type="textWrapping"/>
      </w:r>
      <w:r>
        <w:rPr>
          <w:rFonts w:hint="eastAsia" w:cs="Times New Roman"/>
          <w:kern w:val="2"/>
        </w:rPr>
        <w:t>　　（一）农、林、牧、渔业。营业收入20000万元以下的为中小微型企业。其中，营业收入500万元及以上的为中型企业，营业收入50万元及以上的为小型企业，营业收入50万元以下的为微型企业。</w:t>
      </w:r>
      <w:r>
        <w:rPr>
          <w:rFonts w:hint="eastAsia" w:cs="Times New Roman"/>
          <w:kern w:val="2"/>
        </w:rPr>
        <w:br w:type="textWrapping"/>
      </w:r>
      <w:r>
        <w:rPr>
          <w:rFonts w:hint="eastAsia" w:cs="Times New Roman"/>
          <w:kern w:val="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Times New Roman"/>
          <w:kern w:val="2"/>
        </w:rPr>
        <w:br w:type="textWrapping"/>
      </w:r>
      <w:r>
        <w:rPr>
          <w:rFonts w:hint="eastAsia" w:cs="Times New Roman"/>
          <w:kern w:val="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Times New Roman"/>
          <w:kern w:val="2"/>
        </w:rPr>
        <w:br w:type="textWrapping"/>
      </w:r>
      <w:r>
        <w:rPr>
          <w:rFonts w:hint="eastAsia" w:cs="Times New Roman"/>
          <w:kern w:val="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Times New Roman"/>
          <w:kern w:val="2"/>
        </w:rPr>
        <w:br w:type="textWrapping"/>
      </w:r>
      <w:r>
        <w:rPr>
          <w:rFonts w:hint="eastAsia" w:cs="Times New Roman"/>
          <w:kern w:val="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Times New Roman"/>
          <w:kern w:val="2"/>
        </w:rPr>
        <w:br w:type="textWrapping"/>
      </w:r>
      <w:r>
        <w:rPr>
          <w:rFonts w:hint="eastAsia" w:cs="Times New Roman"/>
          <w:kern w:val="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Times New Roman"/>
          <w:kern w:val="2"/>
        </w:rPr>
        <w:br w:type="textWrapping"/>
      </w:r>
      <w:r>
        <w:rPr>
          <w:rFonts w:hint="eastAsia" w:cs="Times New Roman"/>
          <w:kern w:val="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Times New Roman"/>
          <w:kern w:val="2"/>
        </w:rPr>
        <w:br w:type="textWrapping"/>
      </w:r>
      <w:r>
        <w:rPr>
          <w:rFonts w:hint="eastAsia" w:cs="Times New Roman"/>
          <w:kern w:val="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Times New Roman"/>
          <w:kern w:val="2"/>
        </w:rPr>
        <w:br w:type="textWrapping"/>
      </w:r>
      <w:r>
        <w:rPr>
          <w:rFonts w:hint="eastAsia" w:cs="Times New Roman"/>
          <w:kern w:val="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Times New Roman"/>
          <w:kern w:val="2"/>
        </w:rPr>
        <w:br w:type="textWrapping"/>
      </w:r>
      <w:r>
        <w:rPr>
          <w:rFonts w:hint="eastAsia" w:cs="Times New Roman"/>
          <w:kern w:val="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Times New Roman"/>
          <w:kern w:val="2"/>
        </w:rPr>
        <w:br w:type="textWrapping"/>
      </w:r>
      <w:r>
        <w:rPr>
          <w:rFonts w:hint="eastAsia" w:cs="Times New Roman"/>
          <w:kern w:val="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Times New Roman"/>
          <w:kern w:val="2"/>
        </w:rPr>
        <w:br w:type="textWrapping"/>
      </w:r>
      <w:r>
        <w:rPr>
          <w:rFonts w:hint="eastAsia" w:cs="Times New Roman"/>
          <w:kern w:val="2"/>
        </w:rPr>
        <w:t>　　（十六）其他未列明行业。从业人员300人以下的为中小微型企业。其中，从业人员100人及以上的为中型企业；从业人员10人及以上的为小型企业；从业人员10人以下的为微型企业。</w:t>
      </w:r>
      <w:r>
        <w:rPr>
          <w:rFonts w:hint="eastAsia" w:cs="Times New Roman"/>
          <w:kern w:val="2"/>
        </w:rPr>
        <w:br w:type="textWrapping"/>
      </w:r>
      <w:r>
        <w:rPr>
          <w:rFonts w:hint="eastAsia" w:cs="Times New Roman"/>
          <w:kern w:val="2"/>
        </w:rPr>
        <w:t>　　五、企业类型的划分以统计部门的统计数据为依据。</w:t>
      </w:r>
      <w:r>
        <w:rPr>
          <w:rFonts w:hint="eastAsia" w:cs="Times New Roman"/>
          <w:kern w:val="2"/>
        </w:rPr>
        <w:br w:type="textWrapping"/>
      </w:r>
      <w:r>
        <w:rPr>
          <w:rFonts w:hint="eastAsia" w:cs="Times New Roman"/>
          <w:kern w:val="2"/>
        </w:rPr>
        <w:t>　　六、本规定适用于在中华人民共和国境内依法设立的各类所有制和各种组织形式的企业。个体工商户和本规定以外的行业，参照本规定进行划型。</w:t>
      </w:r>
      <w:r>
        <w:rPr>
          <w:rFonts w:hint="eastAsia" w:cs="Times New Roman"/>
          <w:kern w:val="2"/>
        </w:rPr>
        <w:br w:type="textWrapping"/>
      </w:r>
      <w:r>
        <w:rPr>
          <w:rFonts w:hint="eastAsia" w:cs="Times New Roman"/>
          <w:kern w:val="2"/>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Times New Roman"/>
          <w:kern w:val="2"/>
        </w:rPr>
        <w:br w:type="textWrapping"/>
      </w:r>
      <w:r>
        <w:rPr>
          <w:rFonts w:hint="eastAsia" w:cs="Times New Roman"/>
          <w:kern w:val="2"/>
        </w:rPr>
        <w:t>　　八、本规定由工业和信息化部、国家统计局会同有关部门根据《国民经济行业分类》修订情况和企业发展变化情况适时修订。</w:t>
      </w:r>
      <w:r>
        <w:rPr>
          <w:rFonts w:hint="eastAsia" w:cs="Times New Roman"/>
          <w:kern w:val="2"/>
        </w:rPr>
        <w:br w:type="textWrapping"/>
      </w:r>
      <w:r>
        <w:rPr>
          <w:rFonts w:hint="eastAsia" w:cs="Times New Roman"/>
          <w:kern w:val="2"/>
        </w:rPr>
        <w:t>　　九、本规定由工业和信息化部、国家统计局会同有关部门负责解释。</w:t>
      </w:r>
      <w:r>
        <w:rPr>
          <w:rFonts w:hint="eastAsia" w:cs="Times New Roman"/>
          <w:kern w:val="2"/>
        </w:rPr>
        <w:br w:type="textWrapping"/>
      </w:r>
      <w:r>
        <w:rPr>
          <w:rFonts w:hint="eastAsia" w:cs="Times New Roman"/>
          <w:kern w:val="2"/>
        </w:rPr>
        <w:t>　　十、本规定自发布之日起执行，原国家经贸委、原国家计委、财政部和国家统计局2003年颁布的《中小企业标准暂行规定》同时废止。</w:t>
      </w:r>
    </w:p>
    <w:p>
      <w:pPr>
        <w:spacing w:line="360" w:lineRule="auto"/>
        <w:rPr>
          <w:rFonts w:hint="eastAsia" w:ascii="宋体" w:hAnsi="宋体"/>
          <w:color w:val="000000"/>
          <w:sz w:val="24"/>
        </w:rPr>
      </w:pPr>
    </w:p>
    <w:sectPr>
      <w:pgSz w:w="11906" w:h="16838"/>
      <w:pgMar w:top="1077" w:right="1134" w:bottom="1077"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opperplate Gothic Bold">
    <w:panose1 w:val="020E07050202060204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V Boli">
    <w:panose1 w:val="02000500030200090000"/>
    <w:charset w:val="00"/>
    <w:family w:val="auto"/>
    <w:pitch w:val="default"/>
    <w:sig w:usb0="00000003" w:usb1="00000000" w:usb2="00000100" w:usb3="00000000" w:csb0="00000001"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汉仪南宫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New York">
    <w:altName w:val="Times New Roman"/>
    <w:panose1 w:val="02040503060506020304"/>
    <w:charset w:val="00"/>
    <w:family w:val="modern"/>
    <w:pitch w:val="default"/>
    <w:sig w:usb0="00000000" w:usb1="00000000" w:usb2="00000000" w:usb3="00000000" w:csb0="00000001" w:csb1="00000000"/>
  </w:font>
  <w:font w:name="ˎ̥">
    <w:altName w:val="GungsuhChe"/>
    <w:panose1 w:val="00000000000000000000"/>
    <w:charset w:val="81"/>
    <w:family w:val="modern"/>
    <w:pitch w:val="default"/>
    <w:sig w:usb0="00000000" w:usb1="00000000" w:usb2="00000010" w:usb3="00000000" w:csb0="00080000" w:csb1="00000000"/>
  </w:font>
  <w:font w:name="Maiandra GD">
    <w:panose1 w:val="020E0502030308020204"/>
    <w:charset w:val="00"/>
    <w:family w:val="decorative"/>
    <w:pitch w:val="default"/>
    <w:sig w:usb0="00000003" w:usb1="00000000" w:usb2="00000000" w:usb3="00000000" w:csb0="20000001" w:csb1="00000000"/>
  </w:font>
  <w:font w:name="TypeLand.com 康熙字典體 試用版">
    <w:altName w:val="MingLiU"/>
    <w:panose1 w:val="00000000000000000000"/>
    <w:charset w:val="88"/>
    <w:family w:val="swiss"/>
    <w:pitch w:val="default"/>
    <w:sig w:usb0="00000000" w:usb1="00000000" w:usb2="00000012" w:usb3="00000000" w:csb0="00100001" w:csb1="00000000"/>
  </w:font>
  <w:font w:name="Gungsuh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宋?">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Times New Roman,Bold">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54</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3</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90" w:firstLineChars="50"/>
      <w:jc w:val="both"/>
    </w:pPr>
    <w:r>
      <w:rPr>
        <w:rFonts w:hint="eastAsia"/>
        <w:i/>
        <w:u w:val="single"/>
      </w:rPr>
      <w:t xml:space="preserve">  </w:t>
    </w:r>
    <w:r>
      <w:rPr>
        <w:rFonts w:hint="eastAsia"/>
        <w:i/>
        <w:u w:val="single"/>
        <w:lang w:eastAsia="zh-CN"/>
      </w:rPr>
      <w:t>中招国际招标有限公司甘肃分公司</w:t>
    </w:r>
    <w:r>
      <w:rPr>
        <w:rFonts w:hint="eastAsia"/>
        <w:i/>
        <w:u w:val="single"/>
      </w:rPr>
      <w:t xml:space="preserve">                                                            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90" w:firstLineChars="50"/>
      <w:jc w:val="both"/>
      <w:rPr>
        <w:u w:val="single"/>
      </w:rPr>
    </w:pPr>
    <w:r>
      <w:rPr>
        <w:rFonts w:hint="eastAsia"/>
        <w:i/>
        <w:u w:val="single"/>
      </w:rPr>
      <w:t xml:space="preserve">  </w:t>
    </w:r>
    <w:r>
      <w:rPr>
        <w:rFonts w:hint="eastAsia"/>
        <w:i/>
        <w:u w:val="single"/>
        <w:lang w:eastAsia="zh-CN"/>
      </w:rPr>
      <w:t>中招国际招标有限公司甘肃分公司</w:t>
    </w:r>
    <w:r>
      <w:rPr>
        <w:rFonts w:hint="eastAsia"/>
        <w:i/>
        <w:u w:val="single"/>
      </w:rPr>
      <w:t xml:space="preserve">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E0C"/>
    <w:multiLevelType w:val="multilevel"/>
    <w:tmpl w:val="04F97E0C"/>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DBD78F"/>
    <w:multiLevelType w:val="singleLevel"/>
    <w:tmpl w:val="55DBD78F"/>
    <w:lvl w:ilvl="0" w:tentative="0">
      <w:start w:val="2"/>
      <w:numFmt w:val="decimal"/>
      <w:suff w:val="nothing"/>
      <w:lvlText w:val="%1、"/>
      <w:lvlJc w:val="left"/>
    </w:lvl>
  </w:abstractNum>
  <w:abstractNum w:abstractNumId="2">
    <w:nsid w:val="56FC9AAA"/>
    <w:multiLevelType w:val="singleLevel"/>
    <w:tmpl w:val="56FC9AAA"/>
    <w:lvl w:ilvl="0" w:tentative="0">
      <w:start w:val="1"/>
      <w:numFmt w:val="decimal"/>
      <w:pStyle w:val="15"/>
      <w:lvlText w:val="%1."/>
      <w:lvlJc w:val="left"/>
      <w:pPr>
        <w:tabs>
          <w:tab w:val="left" w:pos="1200"/>
        </w:tabs>
        <w:ind w:left="1200" w:hanging="360"/>
      </w:pPr>
    </w:lvl>
  </w:abstractNum>
  <w:abstractNum w:abstractNumId="3">
    <w:nsid w:val="5751365A"/>
    <w:multiLevelType w:val="singleLevel"/>
    <w:tmpl w:val="5751365A"/>
    <w:lvl w:ilvl="0" w:tentative="0">
      <w:start w:val="5"/>
      <w:numFmt w:val="decimal"/>
      <w:suff w:val="nothing"/>
      <w:lvlText w:val="%1、"/>
      <w:lvlJc w:val="left"/>
    </w:lvl>
  </w:abstractNum>
  <w:abstractNum w:abstractNumId="4">
    <w:nsid w:val="5861CFF6"/>
    <w:multiLevelType w:val="singleLevel"/>
    <w:tmpl w:val="5861CFF6"/>
    <w:lvl w:ilvl="0" w:tentative="0">
      <w:start w:val="1"/>
      <w:numFmt w:val="decimal"/>
      <w:suff w:val="nothing"/>
      <w:lvlText w:val="%1）"/>
      <w:lvlJc w:val="left"/>
    </w:lvl>
  </w:abstractNum>
  <w:abstractNum w:abstractNumId="5">
    <w:nsid w:val="58620CF3"/>
    <w:multiLevelType w:val="singleLevel"/>
    <w:tmpl w:val="58620CF3"/>
    <w:lvl w:ilvl="0" w:tentative="0">
      <w:start w:val="1"/>
      <w:numFmt w:val="chineseCounting"/>
      <w:suff w:val="nothing"/>
      <w:lvlText w:val="%1、"/>
      <w:lvlJc w:val="left"/>
    </w:lvl>
  </w:abstractNum>
  <w:abstractNum w:abstractNumId="6">
    <w:nsid w:val="6A0C1BCE"/>
    <w:multiLevelType w:val="multilevel"/>
    <w:tmpl w:val="6A0C1BCE"/>
    <w:lvl w:ilvl="0" w:tentative="0">
      <w:start w:val="1"/>
      <w:numFmt w:val="decimal"/>
      <w:lvlText w:val="%1"/>
      <w:lvlJc w:val="left"/>
      <w:pPr>
        <w:tabs>
          <w:tab w:val="left" w:pos="170"/>
        </w:tabs>
        <w:ind w:left="0" w:firstLine="170"/>
      </w:pPr>
      <w:rPr>
        <w:rFonts w:hint="default"/>
      </w:rPr>
    </w:lvl>
    <w:lvl w:ilvl="1" w:tentative="0">
      <w:start w:val="1"/>
      <w:numFmt w:val="decimal"/>
      <w:lvlText w:val="%2)"/>
      <w:lvlJc w:val="left"/>
      <w:pPr>
        <w:tabs>
          <w:tab w:val="left" w:pos="590"/>
        </w:tabs>
        <w:ind w:left="590" w:hanging="420"/>
      </w:pPr>
      <w:rPr>
        <w:rFonts w:hint="default"/>
      </w:rPr>
    </w:lvl>
    <w:lvl w:ilvl="2" w:tentative="0">
      <w:start w:val="1"/>
      <w:numFmt w:val="decimal"/>
      <w:lvlText w:val="%3、"/>
      <w:lvlJc w:val="left"/>
      <w:pPr>
        <w:tabs>
          <w:tab w:val="left" w:pos="1200"/>
        </w:tabs>
        <w:ind w:left="1200" w:hanging="360"/>
      </w:pPr>
      <w:rPr>
        <w:rFonts w:hint="eastAsia"/>
      </w:rPr>
    </w:lvl>
    <w:lvl w:ilvl="3" w:tentative="0">
      <w:start w:val="1"/>
      <w:numFmt w:val="japaneseCounting"/>
      <w:lvlText w:val="%4、"/>
      <w:lvlJc w:val="left"/>
      <w:pPr>
        <w:tabs>
          <w:tab w:val="left" w:pos="2220"/>
        </w:tabs>
        <w:ind w:left="2220" w:hanging="960"/>
      </w:pPr>
      <w:rPr>
        <w:rFonts w:hint="default"/>
      </w:rPr>
    </w:lvl>
    <w:lvl w:ilvl="4" w:tentative="0">
      <w:start w:val="1"/>
      <w:numFmt w:val="decimal"/>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1001"/>
    <w:rsid w:val="0000701B"/>
    <w:rsid w:val="00011076"/>
    <w:rsid w:val="00013D9A"/>
    <w:rsid w:val="000201E3"/>
    <w:rsid w:val="00021F73"/>
    <w:rsid w:val="00023FEA"/>
    <w:rsid w:val="00033FEA"/>
    <w:rsid w:val="00036332"/>
    <w:rsid w:val="00043094"/>
    <w:rsid w:val="00075804"/>
    <w:rsid w:val="000769D8"/>
    <w:rsid w:val="00081312"/>
    <w:rsid w:val="000820DE"/>
    <w:rsid w:val="00084FB6"/>
    <w:rsid w:val="00085796"/>
    <w:rsid w:val="000928CA"/>
    <w:rsid w:val="0009334D"/>
    <w:rsid w:val="000A1348"/>
    <w:rsid w:val="000A13B6"/>
    <w:rsid w:val="000A36B0"/>
    <w:rsid w:val="000A4638"/>
    <w:rsid w:val="000A5521"/>
    <w:rsid w:val="000B02D6"/>
    <w:rsid w:val="000B23AA"/>
    <w:rsid w:val="000B26AF"/>
    <w:rsid w:val="000B5997"/>
    <w:rsid w:val="000C1A50"/>
    <w:rsid w:val="000D38B6"/>
    <w:rsid w:val="000E1D91"/>
    <w:rsid w:val="000E277F"/>
    <w:rsid w:val="000E3C70"/>
    <w:rsid w:val="000E6FC9"/>
    <w:rsid w:val="000E7A43"/>
    <w:rsid w:val="000F3B59"/>
    <w:rsid w:val="000F66BE"/>
    <w:rsid w:val="00103063"/>
    <w:rsid w:val="001047D2"/>
    <w:rsid w:val="00115F0C"/>
    <w:rsid w:val="00117557"/>
    <w:rsid w:val="00117DB8"/>
    <w:rsid w:val="00117FB8"/>
    <w:rsid w:val="0012312A"/>
    <w:rsid w:val="001269A6"/>
    <w:rsid w:val="00135A7A"/>
    <w:rsid w:val="001367F8"/>
    <w:rsid w:val="00147F32"/>
    <w:rsid w:val="001611D0"/>
    <w:rsid w:val="00162B57"/>
    <w:rsid w:val="001653D5"/>
    <w:rsid w:val="00165474"/>
    <w:rsid w:val="001664CE"/>
    <w:rsid w:val="001721BE"/>
    <w:rsid w:val="00172506"/>
    <w:rsid w:val="00176627"/>
    <w:rsid w:val="00176FF5"/>
    <w:rsid w:val="00180154"/>
    <w:rsid w:val="00192E91"/>
    <w:rsid w:val="00193211"/>
    <w:rsid w:val="00196033"/>
    <w:rsid w:val="001A16AD"/>
    <w:rsid w:val="001A1FFD"/>
    <w:rsid w:val="001A2F09"/>
    <w:rsid w:val="001A3FB6"/>
    <w:rsid w:val="001A746B"/>
    <w:rsid w:val="001B13DB"/>
    <w:rsid w:val="001B231E"/>
    <w:rsid w:val="001C4F3B"/>
    <w:rsid w:val="001C56D9"/>
    <w:rsid w:val="001D0E3E"/>
    <w:rsid w:val="001D2723"/>
    <w:rsid w:val="001D556B"/>
    <w:rsid w:val="001E27DB"/>
    <w:rsid w:val="001E2B30"/>
    <w:rsid w:val="001E7F93"/>
    <w:rsid w:val="001F3EDC"/>
    <w:rsid w:val="001F487F"/>
    <w:rsid w:val="00210269"/>
    <w:rsid w:val="00211895"/>
    <w:rsid w:val="00216BE6"/>
    <w:rsid w:val="0022018D"/>
    <w:rsid w:val="00222006"/>
    <w:rsid w:val="0022232A"/>
    <w:rsid w:val="00224A61"/>
    <w:rsid w:val="00225168"/>
    <w:rsid w:val="002276FF"/>
    <w:rsid w:val="002314E1"/>
    <w:rsid w:val="0023305C"/>
    <w:rsid w:val="00234AD3"/>
    <w:rsid w:val="00236A7A"/>
    <w:rsid w:val="00240999"/>
    <w:rsid w:val="002427EC"/>
    <w:rsid w:val="00253169"/>
    <w:rsid w:val="00254212"/>
    <w:rsid w:val="00257AEC"/>
    <w:rsid w:val="00262760"/>
    <w:rsid w:val="00262D71"/>
    <w:rsid w:val="00263B32"/>
    <w:rsid w:val="00264DF4"/>
    <w:rsid w:val="00266337"/>
    <w:rsid w:val="00266465"/>
    <w:rsid w:val="00273E8A"/>
    <w:rsid w:val="002779A9"/>
    <w:rsid w:val="00277EF8"/>
    <w:rsid w:val="0028044E"/>
    <w:rsid w:val="00281803"/>
    <w:rsid w:val="00285F25"/>
    <w:rsid w:val="002976D3"/>
    <w:rsid w:val="00297E5F"/>
    <w:rsid w:val="00297EAD"/>
    <w:rsid w:val="002A2693"/>
    <w:rsid w:val="002A63C1"/>
    <w:rsid w:val="002B1896"/>
    <w:rsid w:val="002B484B"/>
    <w:rsid w:val="002B4A68"/>
    <w:rsid w:val="002C06E7"/>
    <w:rsid w:val="002C0CB6"/>
    <w:rsid w:val="002C2DAA"/>
    <w:rsid w:val="002C3EAA"/>
    <w:rsid w:val="002C6696"/>
    <w:rsid w:val="002C756E"/>
    <w:rsid w:val="002D00B4"/>
    <w:rsid w:val="002D272D"/>
    <w:rsid w:val="002D2E05"/>
    <w:rsid w:val="002D3A8D"/>
    <w:rsid w:val="002E2F70"/>
    <w:rsid w:val="002F298A"/>
    <w:rsid w:val="002F3EE9"/>
    <w:rsid w:val="003008FA"/>
    <w:rsid w:val="003032FF"/>
    <w:rsid w:val="00304D82"/>
    <w:rsid w:val="00305456"/>
    <w:rsid w:val="00310675"/>
    <w:rsid w:val="0031168D"/>
    <w:rsid w:val="00313534"/>
    <w:rsid w:val="00313AB7"/>
    <w:rsid w:val="00313BD6"/>
    <w:rsid w:val="00313E3D"/>
    <w:rsid w:val="00314544"/>
    <w:rsid w:val="003171FA"/>
    <w:rsid w:val="003173F6"/>
    <w:rsid w:val="00326355"/>
    <w:rsid w:val="003360F5"/>
    <w:rsid w:val="00355AC8"/>
    <w:rsid w:val="00361AF9"/>
    <w:rsid w:val="00364AA9"/>
    <w:rsid w:val="00364F9D"/>
    <w:rsid w:val="003700A7"/>
    <w:rsid w:val="00373129"/>
    <w:rsid w:val="00373608"/>
    <w:rsid w:val="003746CF"/>
    <w:rsid w:val="00375667"/>
    <w:rsid w:val="00377C37"/>
    <w:rsid w:val="00380AA4"/>
    <w:rsid w:val="00387DC9"/>
    <w:rsid w:val="003925A2"/>
    <w:rsid w:val="003A1827"/>
    <w:rsid w:val="003B0278"/>
    <w:rsid w:val="003B5A7F"/>
    <w:rsid w:val="003C04FB"/>
    <w:rsid w:val="003C1B43"/>
    <w:rsid w:val="003C277E"/>
    <w:rsid w:val="003C2B1E"/>
    <w:rsid w:val="003C4DAC"/>
    <w:rsid w:val="003C6F84"/>
    <w:rsid w:val="003D2077"/>
    <w:rsid w:val="003D48F4"/>
    <w:rsid w:val="003D69C7"/>
    <w:rsid w:val="003D758E"/>
    <w:rsid w:val="003E0AEC"/>
    <w:rsid w:val="003E0DAA"/>
    <w:rsid w:val="003E3272"/>
    <w:rsid w:val="003E52AB"/>
    <w:rsid w:val="003E72D8"/>
    <w:rsid w:val="003F7737"/>
    <w:rsid w:val="00402B9D"/>
    <w:rsid w:val="00403575"/>
    <w:rsid w:val="0042099C"/>
    <w:rsid w:val="004234D5"/>
    <w:rsid w:val="00430C6C"/>
    <w:rsid w:val="004368EE"/>
    <w:rsid w:val="004379C4"/>
    <w:rsid w:val="00441129"/>
    <w:rsid w:val="004443B0"/>
    <w:rsid w:val="004543D5"/>
    <w:rsid w:val="00455DEC"/>
    <w:rsid w:val="004561F2"/>
    <w:rsid w:val="00462778"/>
    <w:rsid w:val="00467965"/>
    <w:rsid w:val="0047084C"/>
    <w:rsid w:val="00471AD9"/>
    <w:rsid w:val="00476892"/>
    <w:rsid w:val="004779BB"/>
    <w:rsid w:val="00481B94"/>
    <w:rsid w:val="004870FF"/>
    <w:rsid w:val="00490135"/>
    <w:rsid w:val="004909B3"/>
    <w:rsid w:val="00492CC8"/>
    <w:rsid w:val="00494899"/>
    <w:rsid w:val="00494C91"/>
    <w:rsid w:val="0049732B"/>
    <w:rsid w:val="00497BBA"/>
    <w:rsid w:val="004A0487"/>
    <w:rsid w:val="004A111B"/>
    <w:rsid w:val="004B3A99"/>
    <w:rsid w:val="004B7923"/>
    <w:rsid w:val="004C42CE"/>
    <w:rsid w:val="004D1A67"/>
    <w:rsid w:val="004D4D79"/>
    <w:rsid w:val="004E0D82"/>
    <w:rsid w:val="004E1869"/>
    <w:rsid w:val="004E5E4B"/>
    <w:rsid w:val="004E7F73"/>
    <w:rsid w:val="004F2465"/>
    <w:rsid w:val="004F2D20"/>
    <w:rsid w:val="004F3095"/>
    <w:rsid w:val="00501F6F"/>
    <w:rsid w:val="005065BB"/>
    <w:rsid w:val="00510A96"/>
    <w:rsid w:val="00514FE3"/>
    <w:rsid w:val="00525326"/>
    <w:rsid w:val="00527419"/>
    <w:rsid w:val="00531B36"/>
    <w:rsid w:val="0054445F"/>
    <w:rsid w:val="00556323"/>
    <w:rsid w:val="00556E0A"/>
    <w:rsid w:val="00560E74"/>
    <w:rsid w:val="0056185D"/>
    <w:rsid w:val="00566210"/>
    <w:rsid w:val="00570AB9"/>
    <w:rsid w:val="005710D2"/>
    <w:rsid w:val="0057290E"/>
    <w:rsid w:val="00574823"/>
    <w:rsid w:val="005749D6"/>
    <w:rsid w:val="00577A6C"/>
    <w:rsid w:val="00583020"/>
    <w:rsid w:val="00584035"/>
    <w:rsid w:val="00587481"/>
    <w:rsid w:val="00591CE6"/>
    <w:rsid w:val="00591EAE"/>
    <w:rsid w:val="005940FB"/>
    <w:rsid w:val="00597F0B"/>
    <w:rsid w:val="005A0287"/>
    <w:rsid w:val="005A0F8E"/>
    <w:rsid w:val="005A1CA0"/>
    <w:rsid w:val="005A1CC7"/>
    <w:rsid w:val="005A210D"/>
    <w:rsid w:val="005B75A6"/>
    <w:rsid w:val="005B791B"/>
    <w:rsid w:val="005C4AD2"/>
    <w:rsid w:val="005C4C2B"/>
    <w:rsid w:val="005C4E0B"/>
    <w:rsid w:val="005C6CBE"/>
    <w:rsid w:val="005D2212"/>
    <w:rsid w:val="005D4481"/>
    <w:rsid w:val="005D5ED4"/>
    <w:rsid w:val="005E56C1"/>
    <w:rsid w:val="005E6A7B"/>
    <w:rsid w:val="005E7139"/>
    <w:rsid w:val="005F4B00"/>
    <w:rsid w:val="006006E7"/>
    <w:rsid w:val="00610A7C"/>
    <w:rsid w:val="00611666"/>
    <w:rsid w:val="00620E9B"/>
    <w:rsid w:val="00623873"/>
    <w:rsid w:val="006250B6"/>
    <w:rsid w:val="0062740A"/>
    <w:rsid w:val="00633B00"/>
    <w:rsid w:val="00637211"/>
    <w:rsid w:val="00642FC1"/>
    <w:rsid w:val="00646D4A"/>
    <w:rsid w:val="00650197"/>
    <w:rsid w:val="006515BC"/>
    <w:rsid w:val="00657DD0"/>
    <w:rsid w:val="0066066C"/>
    <w:rsid w:val="006608BE"/>
    <w:rsid w:val="006636A5"/>
    <w:rsid w:val="006655EB"/>
    <w:rsid w:val="0067107E"/>
    <w:rsid w:val="00677DB7"/>
    <w:rsid w:val="0068286B"/>
    <w:rsid w:val="006834B0"/>
    <w:rsid w:val="00687CEB"/>
    <w:rsid w:val="006920F3"/>
    <w:rsid w:val="00693113"/>
    <w:rsid w:val="0069565F"/>
    <w:rsid w:val="006A2580"/>
    <w:rsid w:val="006A3E94"/>
    <w:rsid w:val="006A5990"/>
    <w:rsid w:val="006A7EB1"/>
    <w:rsid w:val="006B067B"/>
    <w:rsid w:val="006B0941"/>
    <w:rsid w:val="006B1B5B"/>
    <w:rsid w:val="006B57C4"/>
    <w:rsid w:val="006B6361"/>
    <w:rsid w:val="006C1C4D"/>
    <w:rsid w:val="006C489D"/>
    <w:rsid w:val="006C69A1"/>
    <w:rsid w:val="006E02BA"/>
    <w:rsid w:val="006E1B1C"/>
    <w:rsid w:val="006F14B6"/>
    <w:rsid w:val="006F4D90"/>
    <w:rsid w:val="006F4E38"/>
    <w:rsid w:val="00701795"/>
    <w:rsid w:val="00703348"/>
    <w:rsid w:val="0070514E"/>
    <w:rsid w:val="007125EF"/>
    <w:rsid w:val="007142F4"/>
    <w:rsid w:val="00723D41"/>
    <w:rsid w:val="007328E6"/>
    <w:rsid w:val="00735ED6"/>
    <w:rsid w:val="00740ABE"/>
    <w:rsid w:val="00742126"/>
    <w:rsid w:val="00743594"/>
    <w:rsid w:val="00746C79"/>
    <w:rsid w:val="00750EFE"/>
    <w:rsid w:val="00755317"/>
    <w:rsid w:val="0076268C"/>
    <w:rsid w:val="00772171"/>
    <w:rsid w:val="0077442A"/>
    <w:rsid w:val="0077607A"/>
    <w:rsid w:val="007779E9"/>
    <w:rsid w:val="00780F6C"/>
    <w:rsid w:val="0078504F"/>
    <w:rsid w:val="00787664"/>
    <w:rsid w:val="00787FF9"/>
    <w:rsid w:val="0079115C"/>
    <w:rsid w:val="007915EA"/>
    <w:rsid w:val="00795F3A"/>
    <w:rsid w:val="007A296A"/>
    <w:rsid w:val="007A7C6F"/>
    <w:rsid w:val="007B07F3"/>
    <w:rsid w:val="007B73C1"/>
    <w:rsid w:val="007C6F87"/>
    <w:rsid w:val="007D57DA"/>
    <w:rsid w:val="007E02D6"/>
    <w:rsid w:val="007E57F4"/>
    <w:rsid w:val="007E5A3F"/>
    <w:rsid w:val="00800A32"/>
    <w:rsid w:val="008054B1"/>
    <w:rsid w:val="00805537"/>
    <w:rsid w:val="0081059E"/>
    <w:rsid w:val="00814C1F"/>
    <w:rsid w:val="00815CD9"/>
    <w:rsid w:val="008177D2"/>
    <w:rsid w:val="008246DA"/>
    <w:rsid w:val="008328FE"/>
    <w:rsid w:val="008372F0"/>
    <w:rsid w:val="00844AA0"/>
    <w:rsid w:val="008469D1"/>
    <w:rsid w:val="0085016F"/>
    <w:rsid w:val="00850E92"/>
    <w:rsid w:val="008514C6"/>
    <w:rsid w:val="00857FB6"/>
    <w:rsid w:val="00860A30"/>
    <w:rsid w:val="00861223"/>
    <w:rsid w:val="00870CEB"/>
    <w:rsid w:val="00872118"/>
    <w:rsid w:val="00874A15"/>
    <w:rsid w:val="00874C8E"/>
    <w:rsid w:val="008754A0"/>
    <w:rsid w:val="00885308"/>
    <w:rsid w:val="00885897"/>
    <w:rsid w:val="00885E5E"/>
    <w:rsid w:val="00887A15"/>
    <w:rsid w:val="0089114D"/>
    <w:rsid w:val="00892D58"/>
    <w:rsid w:val="008A1D71"/>
    <w:rsid w:val="008A3ECF"/>
    <w:rsid w:val="008A715B"/>
    <w:rsid w:val="008B4489"/>
    <w:rsid w:val="008B5AB4"/>
    <w:rsid w:val="008B795C"/>
    <w:rsid w:val="008C05E6"/>
    <w:rsid w:val="008C16A9"/>
    <w:rsid w:val="008C5F83"/>
    <w:rsid w:val="008D22A8"/>
    <w:rsid w:val="008D5347"/>
    <w:rsid w:val="008D783A"/>
    <w:rsid w:val="008E0664"/>
    <w:rsid w:val="008E4F5A"/>
    <w:rsid w:val="009051E7"/>
    <w:rsid w:val="009063BA"/>
    <w:rsid w:val="009078DB"/>
    <w:rsid w:val="00910BFE"/>
    <w:rsid w:val="00912C13"/>
    <w:rsid w:val="0091548D"/>
    <w:rsid w:val="009277A3"/>
    <w:rsid w:val="0093499B"/>
    <w:rsid w:val="009512D2"/>
    <w:rsid w:val="0095343A"/>
    <w:rsid w:val="009571AF"/>
    <w:rsid w:val="0096028A"/>
    <w:rsid w:val="00961376"/>
    <w:rsid w:val="0096491B"/>
    <w:rsid w:val="00965B26"/>
    <w:rsid w:val="00973826"/>
    <w:rsid w:val="00981AE9"/>
    <w:rsid w:val="00985E8A"/>
    <w:rsid w:val="00985FEF"/>
    <w:rsid w:val="00992349"/>
    <w:rsid w:val="00992495"/>
    <w:rsid w:val="00992757"/>
    <w:rsid w:val="00993EC4"/>
    <w:rsid w:val="009952D3"/>
    <w:rsid w:val="009956D3"/>
    <w:rsid w:val="00995B08"/>
    <w:rsid w:val="00995C5E"/>
    <w:rsid w:val="009968CB"/>
    <w:rsid w:val="00997060"/>
    <w:rsid w:val="009A057D"/>
    <w:rsid w:val="009A2867"/>
    <w:rsid w:val="009A2E77"/>
    <w:rsid w:val="009A4B30"/>
    <w:rsid w:val="009B047D"/>
    <w:rsid w:val="009B0DCB"/>
    <w:rsid w:val="009B0E1F"/>
    <w:rsid w:val="009B44CC"/>
    <w:rsid w:val="009D4943"/>
    <w:rsid w:val="009D63F7"/>
    <w:rsid w:val="009E546A"/>
    <w:rsid w:val="009F2AD0"/>
    <w:rsid w:val="009F3C1D"/>
    <w:rsid w:val="009F55F2"/>
    <w:rsid w:val="00A018A6"/>
    <w:rsid w:val="00A02091"/>
    <w:rsid w:val="00A04669"/>
    <w:rsid w:val="00A07182"/>
    <w:rsid w:val="00A13556"/>
    <w:rsid w:val="00A215C2"/>
    <w:rsid w:val="00A246E4"/>
    <w:rsid w:val="00A27992"/>
    <w:rsid w:val="00A330DD"/>
    <w:rsid w:val="00A40AE9"/>
    <w:rsid w:val="00A4569D"/>
    <w:rsid w:val="00A468FA"/>
    <w:rsid w:val="00A474B0"/>
    <w:rsid w:val="00A47D55"/>
    <w:rsid w:val="00A51001"/>
    <w:rsid w:val="00A51646"/>
    <w:rsid w:val="00A53938"/>
    <w:rsid w:val="00A54387"/>
    <w:rsid w:val="00A5498E"/>
    <w:rsid w:val="00A56D6A"/>
    <w:rsid w:val="00A57B68"/>
    <w:rsid w:val="00A57D30"/>
    <w:rsid w:val="00A61B21"/>
    <w:rsid w:val="00A722C5"/>
    <w:rsid w:val="00A72EBD"/>
    <w:rsid w:val="00A73113"/>
    <w:rsid w:val="00A85F31"/>
    <w:rsid w:val="00A85FF6"/>
    <w:rsid w:val="00A87AF8"/>
    <w:rsid w:val="00A90386"/>
    <w:rsid w:val="00AA66D9"/>
    <w:rsid w:val="00AB02B7"/>
    <w:rsid w:val="00AB0485"/>
    <w:rsid w:val="00AB121B"/>
    <w:rsid w:val="00AB4C58"/>
    <w:rsid w:val="00AB54AA"/>
    <w:rsid w:val="00AB774F"/>
    <w:rsid w:val="00AC0F12"/>
    <w:rsid w:val="00AC273E"/>
    <w:rsid w:val="00AC7C0F"/>
    <w:rsid w:val="00AD266D"/>
    <w:rsid w:val="00AD5D50"/>
    <w:rsid w:val="00AE0F7F"/>
    <w:rsid w:val="00AE3C2D"/>
    <w:rsid w:val="00AE5866"/>
    <w:rsid w:val="00AE7494"/>
    <w:rsid w:val="00AF0D78"/>
    <w:rsid w:val="00B009E8"/>
    <w:rsid w:val="00B116A8"/>
    <w:rsid w:val="00B202FF"/>
    <w:rsid w:val="00B247C6"/>
    <w:rsid w:val="00B26EF5"/>
    <w:rsid w:val="00B31036"/>
    <w:rsid w:val="00B377DB"/>
    <w:rsid w:val="00B44355"/>
    <w:rsid w:val="00B47310"/>
    <w:rsid w:val="00B50407"/>
    <w:rsid w:val="00B52440"/>
    <w:rsid w:val="00B53450"/>
    <w:rsid w:val="00B54728"/>
    <w:rsid w:val="00B60696"/>
    <w:rsid w:val="00B61F18"/>
    <w:rsid w:val="00B62CC5"/>
    <w:rsid w:val="00B635CA"/>
    <w:rsid w:val="00B63782"/>
    <w:rsid w:val="00B6530D"/>
    <w:rsid w:val="00B71121"/>
    <w:rsid w:val="00B745E5"/>
    <w:rsid w:val="00B74AD3"/>
    <w:rsid w:val="00B76A30"/>
    <w:rsid w:val="00B76E26"/>
    <w:rsid w:val="00B819D5"/>
    <w:rsid w:val="00B81F06"/>
    <w:rsid w:val="00B81FDA"/>
    <w:rsid w:val="00B872AF"/>
    <w:rsid w:val="00BA0FBC"/>
    <w:rsid w:val="00BA5340"/>
    <w:rsid w:val="00BB3781"/>
    <w:rsid w:val="00BB39C1"/>
    <w:rsid w:val="00BC2B32"/>
    <w:rsid w:val="00BC3CE3"/>
    <w:rsid w:val="00BC6F1A"/>
    <w:rsid w:val="00BD14FC"/>
    <w:rsid w:val="00BE0ADB"/>
    <w:rsid w:val="00BE2466"/>
    <w:rsid w:val="00BE2CFC"/>
    <w:rsid w:val="00BE4FEE"/>
    <w:rsid w:val="00BE5761"/>
    <w:rsid w:val="00BE5F12"/>
    <w:rsid w:val="00BF131C"/>
    <w:rsid w:val="00BF3680"/>
    <w:rsid w:val="00C010A5"/>
    <w:rsid w:val="00C05F97"/>
    <w:rsid w:val="00C10BC6"/>
    <w:rsid w:val="00C10E3C"/>
    <w:rsid w:val="00C121BD"/>
    <w:rsid w:val="00C14F55"/>
    <w:rsid w:val="00C15A59"/>
    <w:rsid w:val="00C16F43"/>
    <w:rsid w:val="00C21226"/>
    <w:rsid w:val="00C240C9"/>
    <w:rsid w:val="00C26091"/>
    <w:rsid w:val="00C349F9"/>
    <w:rsid w:val="00C35B19"/>
    <w:rsid w:val="00C448CD"/>
    <w:rsid w:val="00C51DE9"/>
    <w:rsid w:val="00C565E7"/>
    <w:rsid w:val="00C630B1"/>
    <w:rsid w:val="00C63100"/>
    <w:rsid w:val="00C64959"/>
    <w:rsid w:val="00C65675"/>
    <w:rsid w:val="00C671FC"/>
    <w:rsid w:val="00C710D5"/>
    <w:rsid w:val="00C736C3"/>
    <w:rsid w:val="00C7460A"/>
    <w:rsid w:val="00C761FB"/>
    <w:rsid w:val="00C8014B"/>
    <w:rsid w:val="00C83A13"/>
    <w:rsid w:val="00C851DE"/>
    <w:rsid w:val="00C97282"/>
    <w:rsid w:val="00CA1736"/>
    <w:rsid w:val="00CA5C27"/>
    <w:rsid w:val="00CB149C"/>
    <w:rsid w:val="00CC329B"/>
    <w:rsid w:val="00CD1D03"/>
    <w:rsid w:val="00CD1DBC"/>
    <w:rsid w:val="00CD37D6"/>
    <w:rsid w:val="00CD43EF"/>
    <w:rsid w:val="00CE19AE"/>
    <w:rsid w:val="00CE70F0"/>
    <w:rsid w:val="00CF1AF2"/>
    <w:rsid w:val="00CF3209"/>
    <w:rsid w:val="00D0140B"/>
    <w:rsid w:val="00D02ECA"/>
    <w:rsid w:val="00D03CE2"/>
    <w:rsid w:val="00D04318"/>
    <w:rsid w:val="00D06960"/>
    <w:rsid w:val="00D124EB"/>
    <w:rsid w:val="00D1644B"/>
    <w:rsid w:val="00D17895"/>
    <w:rsid w:val="00D27F30"/>
    <w:rsid w:val="00D317F8"/>
    <w:rsid w:val="00D358B6"/>
    <w:rsid w:val="00D36EE7"/>
    <w:rsid w:val="00D3717B"/>
    <w:rsid w:val="00D43E11"/>
    <w:rsid w:val="00D46E60"/>
    <w:rsid w:val="00D470AC"/>
    <w:rsid w:val="00D57ED0"/>
    <w:rsid w:val="00D636B9"/>
    <w:rsid w:val="00D64A6E"/>
    <w:rsid w:val="00D71B59"/>
    <w:rsid w:val="00D736CC"/>
    <w:rsid w:val="00D76BA7"/>
    <w:rsid w:val="00D8542F"/>
    <w:rsid w:val="00D85804"/>
    <w:rsid w:val="00D8671E"/>
    <w:rsid w:val="00D928D5"/>
    <w:rsid w:val="00DA1C3F"/>
    <w:rsid w:val="00DA2D7D"/>
    <w:rsid w:val="00DA3543"/>
    <w:rsid w:val="00DA38EE"/>
    <w:rsid w:val="00DA3C47"/>
    <w:rsid w:val="00DB1483"/>
    <w:rsid w:val="00DB36FC"/>
    <w:rsid w:val="00DB5358"/>
    <w:rsid w:val="00DB6C5F"/>
    <w:rsid w:val="00DC0605"/>
    <w:rsid w:val="00DC72FB"/>
    <w:rsid w:val="00DD18F7"/>
    <w:rsid w:val="00DD1DD3"/>
    <w:rsid w:val="00DD2A02"/>
    <w:rsid w:val="00DE3D76"/>
    <w:rsid w:val="00DE427C"/>
    <w:rsid w:val="00DE516D"/>
    <w:rsid w:val="00DE6B0F"/>
    <w:rsid w:val="00DE6C88"/>
    <w:rsid w:val="00E00E75"/>
    <w:rsid w:val="00E06AA8"/>
    <w:rsid w:val="00E14249"/>
    <w:rsid w:val="00E159FC"/>
    <w:rsid w:val="00E1701D"/>
    <w:rsid w:val="00E27E65"/>
    <w:rsid w:val="00E33925"/>
    <w:rsid w:val="00E34359"/>
    <w:rsid w:val="00E3653F"/>
    <w:rsid w:val="00E40565"/>
    <w:rsid w:val="00E41376"/>
    <w:rsid w:val="00E44F7D"/>
    <w:rsid w:val="00E47988"/>
    <w:rsid w:val="00E54C66"/>
    <w:rsid w:val="00E563A8"/>
    <w:rsid w:val="00E61590"/>
    <w:rsid w:val="00E6176D"/>
    <w:rsid w:val="00E66C28"/>
    <w:rsid w:val="00E6708B"/>
    <w:rsid w:val="00E67579"/>
    <w:rsid w:val="00E67897"/>
    <w:rsid w:val="00E70539"/>
    <w:rsid w:val="00E70CAB"/>
    <w:rsid w:val="00E713A8"/>
    <w:rsid w:val="00E840F2"/>
    <w:rsid w:val="00E86A8C"/>
    <w:rsid w:val="00E86F2C"/>
    <w:rsid w:val="00E87A50"/>
    <w:rsid w:val="00E90500"/>
    <w:rsid w:val="00E90579"/>
    <w:rsid w:val="00E92350"/>
    <w:rsid w:val="00E963A7"/>
    <w:rsid w:val="00E96811"/>
    <w:rsid w:val="00EA1650"/>
    <w:rsid w:val="00EA1A8F"/>
    <w:rsid w:val="00EB1BC6"/>
    <w:rsid w:val="00EC063C"/>
    <w:rsid w:val="00ED0443"/>
    <w:rsid w:val="00ED081E"/>
    <w:rsid w:val="00ED3675"/>
    <w:rsid w:val="00ED52D9"/>
    <w:rsid w:val="00ED576F"/>
    <w:rsid w:val="00EE3E1B"/>
    <w:rsid w:val="00EE40CB"/>
    <w:rsid w:val="00EE656B"/>
    <w:rsid w:val="00EF318B"/>
    <w:rsid w:val="00F00E4A"/>
    <w:rsid w:val="00F0140C"/>
    <w:rsid w:val="00F022E5"/>
    <w:rsid w:val="00F025BA"/>
    <w:rsid w:val="00F034CE"/>
    <w:rsid w:val="00F039CA"/>
    <w:rsid w:val="00F06901"/>
    <w:rsid w:val="00F179A9"/>
    <w:rsid w:val="00F24B20"/>
    <w:rsid w:val="00F274F1"/>
    <w:rsid w:val="00F27AD9"/>
    <w:rsid w:val="00F326CD"/>
    <w:rsid w:val="00F35A97"/>
    <w:rsid w:val="00F36DE4"/>
    <w:rsid w:val="00F53CBC"/>
    <w:rsid w:val="00F54D19"/>
    <w:rsid w:val="00F64926"/>
    <w:rsid w:val="00F66A6C"/>
    <w:rsid w:val="00F7613A"/>
    <w:rsid w:val="00F82513"/>
    <w:rsid w:val="00F83411"/>
    <w:rsid w:val="00F84B65"/>
    <w:rsid w:val="00F86B9F"/>
    <w:rsid w:val="00F903A8"/>
    <w:rsid w:val="00F9053C"/>
    <w:rsid w:val="00F96A01"/>
    <w:rsid w:val="00F97309"/>
    <w:rsid w:val="00F97882"/>
    <w:rsid w:val="00FB4467"/>
    <w:rsid w:val="00FB4D77"/>
    <w:rsid w:val="00FB4E73"/>
    <w:rsid w:val="00FB74C4"/>
    <w:rsid w:val="00FB772F"/>
    <w:rsid w:val="00FC24C1"/>
    <w:rsid w:val="00FD1C46"/>
    <w:rsid w:val="00FE16CA"/>
    <w:rsid w:val="00FE28F6"/>
    <w:rsid w:val="00FE5FD6"/>
    <w:rsid w:val="00FE7AC8"/>
    <w:rsid w:val="00FF081C"/>
    <w:rsid w:val="00FF09F4"/>
    <w:rsid w:val="00FF0DE6"/>
    <w:rsid w:val="012015EC"/>
    <w:rsid w:val="01245BEB"/>
    <w:rsid w:val="012D42FD"/>
    <w:rsid w:val="016F27E7"/>
    <w:rsid w:val="019B1DAD"/>
    <w:rsid w:val="01B22740"/>
    <w:rsid w:val="01B47A59"/>
    <w:rsid w:val="01C247F0"/>
    <w:rsid w:val="01CA1BFC"/>
    <w:rsid w:val="01E150A5"/>
    <w:rsid w:val="01F14930"/>
    <w:rsid w:val="02125874"/>
    <w:rsid w:val="021E3757"/>
    <w:rsid w:val="022C1CA1"/>
    <w:rsid w:val="02491F08"/>
    <w:rsid w:val="025D4E6D"/>
    <w:rsid w:val="025D6D0C"/>
    <w:rsid w:val="02993540"/>
    <w:rsid w:val="02B76703"/>
    <w:rsid w:val="02D06F2C"/>
    <w:rsid w:val="02E2795A"/>
    <w:rsid w:val="030B000A"/>
    <w:rsid w:val="033E7560"/>
    <w:rsid w:val="03653D6D"/>
    <w:rsid w:val="036D1790"/>
    <w:rsid w:val="039B3CA6"/>
    <w:rsid w:val="03B9272D"/>
    <w:rsid w:val="03E35AEF"/>
    <w:rsid w:val="03FC2E16"/>
    <w:rsid w:val="040C1B15"/>
    <w:rsid w:val="04354274"/>
    <w:rsid w:val="045A6A33"/>
    <w:rsid w:val="04664A43"/>
    <w:rsid w:val="04A610B0"/>
    <w:rsid w:val="05541795"/>
    <w:rsid w:val="05646EE5"/>
    <w:rsid w:val="057A60E3"/>
    <w:rsid w:val="058938A1"/>
    <w:rsid w:val="058A1323"/>
    <w:rsid w:val="058E041D"/>
    <w:rsid w:val="05B74771"/>
    <w:rsid w:val="05D639A0"/>
    <w:rsid w:val="06251328"/>
    <w:rsid w:val="06300BB7"/>
    <w:rsid w:val="064F144D"/>
    <w:rsid w:val="0654404A"/>
    <w:rsid w:val="067C79B2"/>
    <w:rsid w:val="068239E7"/>
    <w:rsid w:val="06B81D95"/>
    <w:rsid w:val="06D922CA"/>
    <w:rsid w:val="06E460DC"/>
    <w:rsid w:val="06E77940"/>
    <w:rsid w:val="07117EA5"/>
    <w:rsid w:val="071231C7"/>
    <w:rsid w:val="07D224E1"/>
    <w:rsid w:val="07D2578D"/>
    <w:rsid w:val="07D87C6E"/>
    <w:rsid w:val="07FD6BA9"/>
    <w:rsid w:val="080C2055"/>
    <w:rsid w:val="08533D34"/>
    <w:rsid w:val="08854643"/>
    <w:rsid w:val="08BB247D"/>
    <w:rsid w:val="08C52D6F"/>
    <w:rsid w:val="08D547C5"/>
    <w:rsid w:val="08E54928"/>
    <w:rsid w:val="08E9552D"/>
    <w:rsid w:val="08F02CB9"/>
    <w:rsid w:val="090E7CEB"/>
    <w:rsid w:val="0930603D"/>
    <w:rsid w:val="09317232"/>
    <w:rsid w:val="0971450C"/>
    <w:rsid w:val="097E7F9F"/>
    <w:rsid w:val="0997694A"/>
    <w:rsid w:val="09A1725A"/>
    <w:rsid w:val="09EE1557"/>
    <w:rsid w:val="0A035C46"/>
    <w:rsid w:val="0A3906D2"/>
    <w:rsid w:val="0A515D78"/>
    <w:rsid w:val="0A6F6216"/>
    <w:rsid w:val="0A821DCB"/>
    <w:rsid w:val="0A922065"/>
    <w:rsid w:val="0A9D0831"/>
    <w:rsid w:val="0A9E16FB"/>
    <w:rsid w:val="0ACF1ECA"/>
    <w:rsid w:val="0AF56886"/>
    <w:rsid w:val="0B6D0ACF"/>
    <w:rsid w:val="0B774365"/>
    <w:rsid w:val="0B7B516D"/>
    <w:rsid w:val="0B8911D1"/>
    <w:rsid w:val="0B906705"/>
    <w:rsid w:val="0BEF4520"/>
    <w:rsid w:val="0C4F583E"/>
    <w:rsid w:val="0C545549"/>
    <w:rsid w:val="0C663265"/>
    <w:rsid w:val="0CAD145B"/>
    <w:rsid w:val="0CAE06C5"/>
    <w:rsid w:val="0CC37D7B"/>
    <w:rsid w:val="0CED6DDE"/>
    <w:rsid w:val="0D0B7276"/>
    <w:rsid w:val="0D4A6D5B"/>
    <w:rsid w:val="0D50256E"/>
    <w:rsid w:val="0D5D7F7A"/>
    <w:rsid w:val="0D627C85"/>
    <w:rsid w:val="0D6E5C96"/>
    <w:rsid w:val="0E026509"/>
    <w:rsid w:val="0E236A3E"/>
    <w:rsid w:val="0E52758D"/>
    <w:rsid w:val="0E7664C8"/>
    <w:rsid w:val="0E8A76E7"/>
    <w:rsid w:val="0EB053A8"/>
    <w:rsid w:val="0EBC02CE"/>
    <w:rsid w:val="0EC635F1"/>
    <w:rsid w:val="0EE16D35"/>
    <w:rsid w:val="0EEE4892"/>
    <w:rsid w:val="0EFA0CA0"/>
    <w:rsid w:val="0EFB4523"/>
    <w:rsid w:val="0F01062B"/>
    <w:rsid w:val="0F394008"/>
    <w:rsid w:val="0F424379"/>
    <w:rsid w:val="0F5A7DC0"/>
    <w:rsid w:val="0F604C43"/>
    <w:rsid w:val="0F6406CF"/>
    <w:rsid w:val="0F752B68"/>
    <w:rsid w:val="0F8F6F95"/>
    <w:rsid w:val="0FCD4D52"/>
    <w:rsid w:val="0FF643BB"/>
    <w:rsid w:val="0FFD2BB8"/>
    <w:rsid w:val="1012756E"/>
    <w:rsid w:val="108C5BB3"/>
    <w:rsid w:val="1091203B"/>
    <w:rsid w:val="10997447"/>
    <w:rsid w:val="10A0441E"/>
    <w:rsid w:val="10D07139"/>
    <w:rsid w:val="10E16942"/>
    <w:rsid w:val="114C5FF1"/>
    <w:rsid w:val="116A1D1E"/>
    <w:rsid w:val="11956970"/>
    <w:rsid w:val="11B05D16"/>
    <w:rsid w:val="11C7593B"/>
    <w:rsid w:val="11D85BD5"/>
    <w:rsid w:val="11F9242B"/>
    <w:rsid w:val="11FD2592"/>
    <w:rsid w:val="1215472A"/>
    <w:rsid w:val="12157C38"/>
    <w:rsid w:val="1220184D"/>
    <w:rsid w:val="1249138C"/>
    <w:rsid w:val="129A6BEC"/>
    <w:rsid w:val="129B26F3"/>
    <w:rsid w:val="12B97E21"/>
    <w:rsid w:val="12BA61C8"/>
    <w:rsid w:val="130749CB"/>
    <w:rsid w:val="13297E75"/>
    <w:rsid w:val="13371015"/>
    <w:rsid w:val="13422C29"/>
    <w:rsid w:val="135C7F4F"/>
    <w:rsid w:val="136E1288"/>
    <w:rsid w:val="137E6490"/>
    <w:rsid w:val="13825C11"/>
    <w:rsid w:val="13A1414C"/>
    <w:rsid w:val="13D07AA6"/>
    <w:rsid w:val="13D7311C"/>
    <w:rsid w:val="14290821"/>
    <w:rsid w:val="142C4DA5"/>
    <w:rsid w:val="144F4060"/>
    <w:rsid w:val="145426E6"/>
    <w:rsid w:val="14725519"/>
    <w:rsid w:val="148122B0"/>
    <w:rsid w:val="148641BA"/>
    <w:rsid w:val="14A26EB5"/>
    <w:rsid w:val="14AE78FC"/>
    <w:rsid w:val="14CF02D1"/>
    <w:rsid w:val="14EA69E3"/>
    <w:rsid w:val="14FC547D"/>
    <w:rsid w:val="151D7BB0"/>
    <w:rsid w:val="15353059"/>
    <w:rsid w:val="153C0465"/>
    <w:rsid w:val="1588725F"/>
    <w:rsid w:val="15E7507B"/>
    <w:rsid w:val="16387403"/>
    <w:rsid w:val="164B4D9F"/>
    <w:rsid w:val="164D64F8"/>
    <w:rsid w:val="166A5654"/>
    <w:rsid w:val="166F22BD"/>
    <w:rsid w:val="16861701"/>
    <w:rsid w:val="1687370D"/>
    <w:rsid w:val="168C360A"/>
    <w:rsid w:val="172B7C90"/>
    <w:rsid w:val="17A056D1"/>
    <w:rsid w:val="17AF4F88"/>
    <w:rsid w:val="17D0041E"/>
    <w:rsid w:val="17D31A96"/>
    <w:rsid w:val="17D96B2F"/>
    <w:rsid w:val="17F10953"/>
    <w:rsid w:val="17F452F5"/>
    <w:rsid w:val="180622E5"/>
    <w:rsid w:val="180C3E4D"/>
    <w:rsid w:val="18371AA0"/>
    <w:rsid w:val="185551B4"/>
    <w:rsid w:val="18584809"/>
    <w:rsid w:val="185C5637"/>
    <w:rsid w:val="18725A29"/>
    <w:rsid w:val="187D3DBA"/>
    <w:rsid w:val="18831768"/>
    <w:rsid w:val="18B72C9A"/>
    <w:rsid w:val="18B8291A"/>
    <w:rsid w:val="18D13844"/>
    <w:rsid w:val="1910462E"/>
    <w:rsid w:val="19312A3E"/>
    <w:rsid w:val="194931E4"/>
    <w:rsid w:val="19535C38"/>
    <w:rsid w:val="19756550"/>
    <w:rsid w:val="19876DCD"/>
    <w:rsid w:val="19B418B8"/>
    <w:rsid w:val="19D1519A"/>
    <w:rsid w:val="19D630F2"/>
    <w:rsid w:val="19F2719F"/>
    <w:rsid w:val="1A147646"/>
    <w:rsid w:val="1A1A0363"/>
    <w:rsid w:val="1A314705"/>
    <w:rsid w:val="1A6516DC"/>
    <w:rsid w:val="1A8C70AA"/>
    <w:rsid w:val="1A8D159C"/>
    <w:rsid w:val="1A8E28A0"/>
    <w:rsid w:val="1AD1680D"/>
    <w:rsid w:val="1AE833FC"/>
    <w:rsid w:val="1AF866CC"/>
    <w:rsid w:val="1AFB5453"/>
    <w:rsid w:val="1AFD0956"/>
    <w:rsid w:val="1B0D5245"/>
    <w:rsid w:val="1B3D28E2"/>
    <w:rsid w:val="1B6415FF"/>
    <w:rsid w:val="1B6F7B32"/>
    <w:rsid w:val="1BCA6A25"/>
    <w:rsid w:val="1BD8402A"/>
    <w:rsid w:val="1BE1664A"/>
    <w:rsid w:val="1BE55C79"/>
    <w:rsid w:val="1C152EFC"/>
    <w:rsid w:val="1C32514F"/>
    <w:rsid w:val="1C5A34BF"/>
    <w:rsid w:val="1C5D08D7"/>
    <w:rsid w:val="1C642E37"/>
    <w:rsid w:val="1C6E7533"/>
    <w:rsid w:val="1C812CD0"/>
    <w:rsid w:val="1CDF66EC"/>
    <w:rsid w:val="1CE60476"/>
    <w:rsid w:val="1D4258A1"/>
    <w:rsid w:val="1D436360"/>
    <w:rsid w:val="1D453D13"/>
    <w:rsid w:val="1D6D3BD2"/>
    <w:rsid w:val="1D99379D"/>
    <w:rsid w:val="1DC65566"/>
    <w:rsid w:val="1DF041AC"/>
    <w:rsid w:val="1E112162"/>
    <w:rsid w:val="1E150B68"/>
    <w:rsid w:val="1E2223FC"/>
    <w:rsid w:val="1E2C078D"/>
    <w:rsid w:val="1E2F2444"/>
    <w:rsid w:val="1E36109D"/>
    <w:rsid w:val="1E551952"/>
    <w:rsid w:val="1E6D287C"/>
    <w:rsid w:val="1E9239B5"/>
    <w:rsid w:val="1EC67AA7"/>
    <w:rsid w:val="1EDF18B6"/>
    <w:rsid w:val="1EFE68E7"/>
    <w:rsid w:val="1F096E77"/>
    <w:rsid w:val="1F0B237A"/>
    <w:rsid w:val="1F192994"/>
    <w:rsid w:val="1F2C6132"/>
    <w:rsid w:val="1F3856F9"/>
    <w:rsid w:val="1F5D2184"/>
    <w:rsid w:val="1F791A3E"/>
    <w:rsid w:val="1F9D516C"/>
    <w:rsid w:val="200B5767"/>
    <w:rsid w:val="20415C7A"/>
    <w:rsid w:val="204B2D06"/>
    <w:rsid w:val="208C2876"/>
    <w:rsid w:val="208D48F7"/>
    <w:rsid w:val="208E24F6"/>
    <w:rsid w:val="208E5D79"/>
    <w:rsid w:val="20986689"/>
    <w:rsid w:val="20C03FCA"/>
    <w:rsid w:val="20E33285"/>
    <w:rsid w:val="20E45483"/>
    <w:rsid w:val="20F06D17"/>
    <w:rsid w:val="21135FD2"/>
    <w:rsid w:val="21243CEE"/>
    <w:rsid w:val="2152200F"/>
    <w:rsid w:val="21816606"/>
    <w:rsid w:val="219C4D9C"/>
    <w:rsid w:val="21A03638"/>
    <w:rsid w:val="21AF01AA"/>
    <w:rsid w:val="21EA16EA"/>
    <w:rsid w:val="21F046BC"/>
    <w:rsid w:val="224B5CCF"/>
    <w:rsid w:val="22D04863"/>
    <w:rsid w:val="22D66F38"/>
    <w:rsid w:val="22E50B5D"/>
    <w:rsid w:val="22F56BF1"/>
    <w:rsid w:val="22F870EC"/>
    <w:rsid w:val="2317411E"/>
    <w:rsid w:val="23225D32"/>
    <w:rsid w:val="2364201F"/>
    <w:rsid w:val="237038B3"/>
    <w:rsid w:val="23817D5E"/>
    <w:rsid w:val="239A6C76"/>
    <w:rsid w:val="23AB4CFD"/>
    <w:rsid w:val="23C50DBF"/>
    <w:rsid w:val="2411343C"/>
    <w:rsid w:val="242755E0"/>
    <w:rsid w:val="246918CD"/>
    <w:rsid w:val="24971818"/>
    <w:rsid w:val="24C24208"/>
    <w:rsid w:val="24F301AC"/>
    <w:rsid w:val="253F2829"/>
    <w:rsid w:val="25B272E5"/>
    <w:rsid w:val="25C542C9"/>
    <w:rsid w:val="25C81489"/>
    <w:rsid w:val="260B6A7A"/>
    <w:rsid w:val="2622669F"/>
    <w:rsid w:val="26385E52"/>
    <w:rsid w:val="26E563DD"/>
    <w:rsid w:val="27490F0D"/>
    <w:rsid w:val="274C3DE4"/>
    <w:rsid w:val="27615D27"/>
    <w:rsid w:val="27762013"/>
    <w:rsid w:val="277933CE"/>
    <w:rsid w:val="27B841B7"/>
    <w:rsid w:val="27BA642A"/>
    <w:rsid w:val="27C24AC7"/>
    <w:rsid w:val="27D22B63"/>
    <w:rsid w:val="27FF492C"/>
    <w:rsid w:val="280520B8"/>
    <w:rsid w:val="282028E2"/>
    <w:rsid w:val="283A210D"/>
    <w:rsid w:val="2853745A"/>
    <w:rsid w:val="28796FD7"/>
    <w:rsid w:val="2887138D"/>
    <w:rsid w:val="28A11F36"/>
    <w:rsid w:val="28DB73AB"/>
    <w:rsid w:val="28EF7AB7"/>
    <w:rsid w:val="29082BE0"/>
    <w:rsid w:val="2938592D"/>
    <w:rsid w:val="294C7E51"/>
    <w:rsid w:val="29B816FE"/>
    <w:rsid w:val="29C71D19"/>
    <w:rsid w:val="29C87BAD"/>
    <w:rsid w:val="29F15E02"/>
    <w:rsid w:val="2A2B3C3C"/>
    <w:rsid w:val="2A3D51DB"/>
    <w:rsid w:val="2A5C220C"/>
    <w:rsid w:val="2AAA7D8D"/>
    <w:rsid w:val="2ADB64C8"/>
    <w:rsid w:val="2AF54989"/>
    <w:rsid w:val="2B066E22"/>
    <w:rsid w:val="2B3631F4"/>
    <w:rsid w:val="2B3E6082"/>
    <w:rsid w:val="2B4B7B89"/>
    <w:rsid w:val="2B88197A"/>
    <w:rsid w:val="2B9B5117"/>
    <w:rsid w:val="2BA14AA2"/>
    <w:rsid w:val="2BBB0ECF"/>
    <w:rsid w:val="2BCB58E6"/>
    <w:rsid w:val="2C264CFB"/>
    <w:rsid w:val="2C324391"/>
    <w:rsid w:val="2C4C4F3B"/>
    <w:rsid w:val="2C680FE8"/>
    <w:rsid w:val="2C852B16"/>
    <w:rsid w:val="2C8C5D24"/>
    <w:rsid w:val="2C8E6CA9"/>
    <w:rsid w:val="2CB03356"/>
    <w:rsid w:val="2CB66B69"/>
    <w:rsid w:val="2CB97AED"/>
    <w:rsid w:val="2CE22050"/>
    <w:rsid w:val="2D0F2ECF"/>
    <w:rsid w:val="2D437A51"/>
    <w:rsid w:val="2D5122D3"/>
    <w:rsid w:val="2D6E2A94"/>
    <w:rsid w:val="2D901D4F"/>
    <w:rsid w:val="2DC1251E"/>
    <w:rsid w:val="2E06778F"/>
    <w:rsid w:val="2E0E4B9C"/>
    <w:rsid w:val="2E144526"/>
    <w:rsid w:val="2E2425C2"/>
    <w:rsid w:val="2E4F0E88"/>
    <w:rsid w:val="2E560C98"/>
    <w:rsid w:val="2E6C623A"/>
    <w:rsid w:val="2E8A57EA"/>
    <w:rsid w:val="2E922BF6"/>
    <w:rsid w:val="2E953B7B"/>
    <w:rsid w:val="2E992581"/>
    <w:rsid w:val="2F7768F5"/>
    <w:rsid w:val="2F976C21"/>
    <w:rsid w:val="2FA539B8"/>
    <w:rsid w:val="2FB2524C"/>
    <w:rsid w:val="2FD8768A"/>
    <w:rsid w:val="2FDD0DAB"/>
    <w:rsid w:val="2FE90812"/>
    <w:rsid w:val="2FEA320C"/>
    <w:rsid w:val="303A3EAC"/>
    <w:rsid w:val="304F58B7"/>
    <w:rsid w:val="30673A76"/>
    <w:rsid w:val="306F4706"/>
    <w:rsid w:val="308E71B9"/>
    <w:rsid w:val="30925BBF"/>
    <w:rsid w:val="30A844DF"/>
    <w:rsid w:val="30AE1C6C"/>
    <w:rsid w:val="30B74AFA"/>
    <w:rsid w:val="30E07EBD"/>
    <w:rsid w:val="310103F1"/>
    <w:rsid w:val="31191E79"/>
    <w:rsid w:val="312F7A4A"/>
    <w:rsid w:val="3194727D"/>
    <w:rsid w:val="3198766B"/>
    <w:rsid w:val="31AE37C3"/>
    <w:rsid w:val="320D2EAD"/>
    <w:rsid w:val="32375A37"/>
    <w:rsid w:val="324B391C"/>
    <w:rsid w:val="32666DBF"/>
    <w:rsid w:val="327515D8"/>
    <w:rsid w:val="327F1EE7"/>
    <w:rsid w:val="32C87D5D"/>
    <w:rsid w:val="32D30B3C"/>
    <w:rsid w:val="32E2469A"/>
    <w:rsid w:val="33071767"/>
    <w:rsid w:val="332162A7"/>
    <w:rsid w:val="3364345F"/>
    <w:rsid w:val="336445D5"/>
    <w:rsid w:val="33666DB6"/>
    <w:rsid w:val="33684063"/>
    <w:rsid w:val="33EC463C"/>
    <w:rsid w:val="33F5548D"/>
    <w:rsid w:val="340A166E"/>
    <w:rsid w:val="34343684"/>
    <w:rsid w:val="3453018D"/>
    <w:rsid w:val="345E497B"/>
    <w:rsid w:val="3461536F"/>
    <w:rsid w:val="346B6210"/>
    <w:rsid w:val="34704896"/>
    <w:rsid w:val="34774220"/>
    <w:rsid w:val="348B3CD8"/>
    <w:rsid w:val="34AE0799"/>
    <w:rsid w:val="34CE04B2"/>
    <w:rsid w:val="34DE4EC9"/>
    <w:rsid w:val="34E77D57"/>
    <w:rsid w:val="34E82E49"/>
    <w:rsid w:val="34F77FF2"/>
    <w:rsid w:val="34F934F5"/>
    <w:rsid w:val="350C3980"/>
    <w:rsid w:val="3519182B"/>
    <w:rsid w:val="3523213B"/>
    <w:rsid w:val="35286799"/>
    <w:rsid w:val="354E0A01"/>
    <w:rsid w:val="35673B29"/>
    <w:rsid w:val="35684E2E"/>
    <w:rsid w:val="35865A80"/>
    <w:rsid w:val="35895362"/>
    <w:rsid w:val="35AF7623"/>
    <w:rsid w:val="35D7480F"/>
    <w:rsid w:val="35F13A8D"/>
    <w:rsid w:val="366D0F72"/>
    <w:rsid w:val="368A620A"/>
    <w:rsid w:val="36CE59FA"/>
    <w:rsid w:val="36D7684B"/>
    <w:rsid w:val="36D8477E"/>
    <w:rsid w:val="36DC6C12"/>
    <w:rsid w:val="370138CA"/>
    <w:rsid w:val="37083255"/>
    <w:rsid w:val="373720E7"/>
    <w:rsid w:val="37406C32"/>
    <w:rsid w:val="37441FF9"/>
    <w:rsid w:val="376F3088"/>
    <w:rsid w:val="379C3AC9"/>
    <w:rsid w:val="37BA2821"/>
    <w:rsid w:val="37CD7B1B"/>
    <w:rsid w:val="37FA18E4"/>
    <w:rsid w:val="37FE664B"/>
    <w:rsid w:val="3820608E"/>
    <w:rsid w:val="38242728"/>
    <w:rsid w:val="382C33B7"/>
    <w:rsid w:val="384C5E6B"/>
    <w:rsid w:val="388C0E52"/>
    <w:rsid w:val="38946BB9"/>
    <w:rsid w:val="38A5052B"/>
    <w:rsid w:val="38B761AD"/>
    <w:rsid w:val="38C42631"/>
    <w:rsid w:val="38CB7A3E"/>
    <w:rsid w:val="38F378FD"/>
    <w:rsid w:val="392A7A57"/>
    <w:rsid w:val="39373560"/>
    <w:rsid w:val="39561BA0"/>
    <w:rsid w:val="39957106"/>
    <w:rsid w:val="39B20C35"/>
    <w:rsid w:val="39DB62DD"/>
    <w:rsid w:val="3A0F354D"/>
    <w:rsid w:val="3A121F53"/>
    <w:rsid w:val="3A22476C"/>
    <w:rsid w:val="3A227FEF"/>
    <w:rsid w:val="3A4614A9"/>
    <w:rsid w:val="3A4D3B5A"/>
    <w:rsid w:val="3A6B5E65"/>
    <w:rsid w:val="3A836D8F"/>
    <w:rsid w:val="3AC220F7"/>
    <w:rsid w:val="3AD37E13"/>
    <w:rsid w:val="3B04129D"/>
    <w:rsid w:val="3B5A356F"/>
    <w:rsid w:val="3B8443B3"/>
    <w:rsid w:val="3B8E4CC3"/>
    <w:rsid w:val="3B934729"/>
    <w:rsid w:val="3BA13CE3"/>
    <w:rsid w:val="3BBC450D"/>
    <w:rsid w:val="3BCB1A1D"/>
    <w:rsid w:val="3BCE7CAB"/>
    <w:rsid w:val="3BF153CB"/>
    <w:rsid w:val="3BF42302"/>
    <w:rsid w:val="3BF868F0"/>
    <w:rsid w:val="3C10781A"/>
    <w:rsid w:val="3C3C60E0"/>
    <w:rsid w:val="3C543787"/>
    <w:rsid w:val="3C874EDB"/>
    <w:rsid w:val="3CAE2B9C"/>
    <w:rsid w:val="3CD62A5B"/>
    <w:rsid w:val="3CE73FFB"/>
    <w:rsid w:val="3D1E66D3"/>
    <w:rsid w:val="3D5620B0"/>
    <w:rsid w:val="3D613BCD"/>
    <w:rsid w:val="3D6548C9"/>
    <w:rsid w:val="3DBF29D9"/>
    <w:rsid w:val="3E004AC7"/>
    <w:rsid w:val="3E021F55"/>
    <w:rsid w:val="3E461A5C"/>
    <w:rsid w:val="3E7A15A9"/>
    <w:rsid w:val="3EB42638"/>
    <w:rsid w:val="3EB56155"/>
    <w:rsid w:val="3EC24152"/>
    <w:rsid w:val="3EED0ECD"/>
    <w:rsid w:val="3F12049C"/>
    <w:rsid w:val="3F1A3293"/>
    <w:rsid w:val="3F1E5DB3"/>
    <w:rsid w:val="3F5C6F82"/>
    <w:rsid w:val="3F5C7255"/>
    <w:rsid w:val="3F6B5F18"/>
    <w:rsid w:val="3F7D74B7"/>
    <w:rsid w:val="3F965E62"/>
    <w:rsid w:val="3FDA7850"/>
    <w:rsid w:val="400F22A9"/>
    <w:rsid w:val="40BB01C3"/>
    <w:rsid w:val="40BE58C5"/>
    <w:rsid w:val="40E5405B"/>
    <w:rsid w:val="40E70C87"/>
    <w:rsid w:val="410C3445"/>
    <w:rsid w:val="41423EE2"/>
    <w:rsid w:val="414D7732"/>
    <w:rsid w:val="41683B38"/>
    <w:rsid w:val="416B4012"/>
    <w:rsid w:val="41880811"/>
    <w:rsid w:val="41905F8B"/>
    <w:rsid w:val="419249A3"/>
    <w:rsid w:val="41970E2B"/>
    <w:rsid w:val="41F56C46"/>
    <w:rsid w:val="41F87BCB"/>
    <w:rsid w:val="4203015A"/>
    <w:rsid w:val="42461EC8"/>
    <w:rsid w:val="42A16D5F"/>
    <w:rsid w:val="42B47F7E"/>
    <w:rsid w:val="42B63481"/>
    <w:rsid w:val="42CC75CA"/>
    <w:rsid w:val="42E4524A"/>
    <w:rsid w:val="42F0240B"/>
    <w:rsid w:val="43374CD4"/>
    <w:rsid w:val="434807F2"/>
    <w:rsid w:val="437D79C7"/>
    <w:rsid w:val="439353EE"/>
    <w:rsid w:val="43C5363E"/>
    <w:rsid w:val="43CE06CA"/>
    <w:rsid w:val="44202A53"/>
    <w:rsid w:val="44502001"/>
    <w:rsid w:val="445239D1"/>
    <w:rsid w:val="446F1B4F"/>
    <w:rsid w:val="4491620A"/>
    <w:rsid w:val="44923C8C"/>
    <w:rsid w:val="44A83C31"/>
    <w:rsid w:val="44D16FF4"/>
    <w:rsid w:val="44D30FA2"/>
    <w:rsid w:val="44EA211C"/>
    <w:rsid w:val="45321D93"/>
    <w:rsid w:val="454050A9"/>
    <w:rsid w:val="455E7EDC"/>
    <w:rsid w:val="45651A65"/>
    <w:rsid w:val="45742080"/>
    <w:rsid w:val="458F3F2F"/>
    <w:rsid w:val="45B06662"/>
    <w:rsid w:val="45CC5F92"/>
    <w:rsid w:val="45E87E40"/>
    <w:rsid w:val="463734CD"/>
    <w:rsid w:val="46375641"/>
    <w:rsid w:val="46455CA5"/>
    <w:rsid w:val="4666070F"/>
    <w:rsid w:val="4670321D"/>
    <w:rsid w:val="467E5DB6"/>
    <w:rsid w:val="46C50728"/>
    <w:rsid w:val="46D3483C"/>
    <w:rsid w:val="46D354BF"/>
    <w:rsid w:val="46D509C3"/>
    <w:rsid w:val="46E71F62"/>
    <w:rsid w:val="46F02871"/>
    <w:rsid w:val="47112DA6"/>
    <w:rsid w:val="4716722E"/>
    <w:rsid w:val="472055BF"/>
    <w:rsid w:val="472B21EF"/>
    <w:rsid w:val="474038F5"/>
    <w:rsid w:val="474B6403"/>
    <w:rsid w:val="474D7A7B"/>
    <w:rsid w:val="475B1F20"/>
    <w:rsid w:val="476F52D8"/>
    <w:rsid w:val="477C2F27"/>
    <w:rsid w:val="47AF433C"/>
    <w:rsid w:val="47B84838"/>
    <w:rsid w:val="48054938"/>
    <w:rsid w:val="48185B57"/>
    <w:rsid w:val="48270370"/>
    <w:rsid w:val="48513732"/>
    <w:rsid w:val="488D5B16"/>
    <w:rsid w:val="48B06FCF"/>
    <w:rsid w:val="48D41AB7"/>
    <w:rsid w:val="49175A7A"/>
    <w:rsid w:val="49352AAB"/>
    <w:rsid w:val="497A3796"/>
    <w:rsid w:val="49962722"/>
    <w:rsid w:val="49B06B72"/>
    <w:rsid w:val="49B5687D"/>
    <w:rsid w:val="49DF1C3F"/>
    <w:rsid w:val="49F153DD"/>
    <w:rsid w:val="4A116005"/>
    <w:rsid w:val="4A1D1724"/>
    <w:rsid w:val="4A283338"/>
    <w:rsid w:val="4A344BCC"/>
    <w:rsid w:val="4A4473E5"/>
    <w:rsid w:val="4A64791A"/>
    <w:rsid w:val="4AE22767"/>
    <w:rsid w:val="4B082B2F"/>
    <w:rsid w:val="4B3E2E80"/>
    <w:rsid w:val="4B521B21"/>
    <w:rsid w:val="4B552AA6"/>
    <w:rsid w:val="4B7B4EE4"/>
    <w:rsid w:val="4BB431B3"/>
    <w:rsid w:val="4BBB5CCD"/>
    <w:rsid w:val="4BBF2155"/>
    <w:rsid w:val="4BCB5F67"/>
    <w:rsid w:val="4BF103A5"/>
    <w:rsid w:val="4BF4689B"/>
    <w:rsid w:val="4C42372A"/>
    <w:rsid w:val="4C4423AE"/>
    <w:rsid w:val="4C4B1D39"/>
    <w:rsid w:val="4C513C42"/>
    <w:rsid w:val="4C6E122F"/>
    <w:rsid w:val="4C753A95"/>
    <w:rsid w:val="4C816990"/>
    <w:rsid w:val="4C981E38"/>
    <w:rsid w:val="4C9E3D41"/>
    <w:rsid w:val="4CDA0323"/>
    <w:rsid w:val="4CF002C8"/>
    <w:rsid w:val="4CFA6659"/>
    <w:rsid w:val="4D023A66"/>
    <w:rsid w:val="4D3B1641"/>
    <w:rsid w:val="4D424CA4"/>
    <w:rsid w:val="4D521266"/>
    <w:rsid w:val="4D802136"/>
    <w:rsid w:val="4D8F494F"/>
    <w:rsid w:val="4DAD3EFF"/>
    <w:rsid w:val="4DB81912"/>
    <w:rsid w:val="4DC146F9"/>
    <w:rsid w:val="4DCA5A2D"/>
    <w:rsid w:val="4E085512"/>
    <w:rsid w:val="4E27133E"/>
    <w:rsid w:val="4E2C224E"/>
    <w:rsid w:val="4E3C2BAA"/>
    <w:rsid w:val="4E3D5CA8"/>
    <w:rsid w:val="4E516C0B"/>
    <w:rsid w:val="4E5F539C"/>
    <w:rsid w:val="4E6423A8"/>
    <w:rsid w:val="4E7C32D2"/>
    <w:rsid w:val="4EC74B20"/>
    <w:rsid w:val="4EE355C5"/>
    <w:rsid w:val="4F147FCE"/>
    <w:rsid w:val="4F155A4F"/>
    <w:rsid w:val="4F391107"/>
    <w:rsid w:val="4F9B372A"/>
    <w:rsid w:val="4FAE0F48"/>
    <w:rsid w:val="4FE75DA8"/>
    <w:rsid w:val="50721FE0"/>
    <w:rsid w:val="50B326B9"/>
    <w:rsid w:val="50B53E76"/>
    <w:rsid w:val="50C136E9"/>
    <w:rsid w:val="50E36F44"/>
    <w:rsid w:val="51077C62"/>
    <w:rsid w:val="51137A93"/>
    <w:rsid w:val="511B2921"/>
    <w:rsid w:val="511E0023"/>
    <w:rsid w:val="512171C8"/>
    <w:rsid w:val="5136554C"/>
    <w:rsid w:val="51594984"/>
    <w:rsid w:val="51FB670C"/>
    <w:rsid w:val="520A47A8"/>
    <w:rsid w:val="52101CC2"/>
    <w:rsid w:val="521450B8"/>
    <w:rsid w:val="52254563"/>
    <w:rsid w:val="52432384"/>
    <w:rsid w:val="526273B5"/>
    <w:rsid w:val="528276B1"/>
    <w:rsid w:val="529E721A"/>
    <w:rsid w:val="52A90E2E"/>
    <w:rsid w:val="52CA47DB"/>
    <w:rsid w:val="52D0326C"/>
    <w:rsid w:val="52D43E71"/>
    <w:rsid w:val="52E23187"/>
    <w:rsid w:val="52F26CA4"/>
    <w:rsid w:val="53450CAD"/>
    <w:rsid w:val="53573EC2"/>
    <w:rsid w:val="53A71C4B"/>
    <w:rsid w:val="53B312E1"/>
    <w:rsid w:val="53D41815"/>
    <w:rsid w:val="53DF342A"/>
    <w:rsid w:val="53E30835"/>
    <w:rsid w:val="53F6524D"/>
    <w:rsid w:val="541E11A5"/>
    <w:rsid w:val="542F66AC"/>
    <w:rsid w:val="54473BD5"/>
    <w:rsid w:val="546A300E"/>
    <w:rsid w:val="5472041A"/>
    <w:rsid w:val="548B5741"/>
    <w:rsid w:val="54BB4772"/>
    <w:rsid w:val="54CC11F0"/>
    <w:rsid w:val="552856B7"/>
    <w:rsid w:val="553C3366"/>
    <w:rsid w:val="55640CA7"/>
    <w:rsid w:val="557B66CE"/>
    <w:rsid w:val="55910872"/>
    <w:rsid w:val="559B337F"/>
    <w:rsid w:val="55A2220A"/>
    <w:rsid w:val="55AE459E"/>
    <w:rsid w:val="55AF2020"/>
    <w:rsid w:val="55BB1EDB"/>
    <w:rsid w:val="55EA6B0B"/>
    <w:rsid w:val="55EC7C86"/>
    <w:rsid w:val="560B6EB6"/>
    <w:rsid w:val="56301675"/>
    <w:rsid w:val="566D6243"/>
    <w:rsid w:val="56766566"/>
    <w:rsid w:val="569149A4"/>
    <w:rsid w:val="56DD5C6E"/>
    <w:rsid w:val="56E03A17"/>
    <w:rsid w:val="56E46E1C"/>
    <w:rsid w:val="56ED52AB"/>
    <w:rsid w:val="56EF07AE"/>
    <w:rsid w:val="57030D69"/>
    <w:rsid w:val="5728768E"/>
    <w:rsid w:val="572D0293"/>
    <w:rsid w:val="57454E17"/>
    <w:rsid w:val="576C35FB"/>
    <w:rsid w:val="57A10251"/>
    <w:rsid w:val="57BD109B"/>
    <w:rsid w:val="57BE23E1"/>
    <w:rsid w:val="57C54F8E"/>
    <w:rsid w:val="57CC75C0"/>
    <w:rsid w:val="57D0331F"/>
    <w:rsid w:val="57E84249"/>
    <w:rsid w:val="57EF3BD4"/>
    <w:rsid w:val="581D5CA1"/>
    <w:rsid w:val="583355C2"/>
    <w:rsid w:val="58931AF2"/>
    <w:rsid w:val="589907E9"/>
    <w:rsid w:val="589E62CE"/>
    <w:rsid w:val="58A80E04"/>
    <w:rsid w:val="58E117C3"/>
    <w:rsid w:val="58EB0968"/>
    <w:rsid w:val="58FE41E6"/>
    <w:rsid w:val="59464185"/>
    <w:rsid w:val="59FA5E02"/>
    <w:rsid w:val="5A1070D1"/>
    <w:rsid w:val="5A175F1D"/>
    <w:rsid w:val="5A4440A8"/>
    <w:rsid w:val="5A451B2A"/>
    <w:rsid w:val="5A5468C1"/>
    <w:rsid w:val="5A6F35E4"/>
    <w:rsid w:val="5AD92912"/>
    <w:rsid w:val="5AE9027A"/>
    <w:rsid w:val="5AED79B9"/>
    <w:rsid w:val="5B235C95"/>
    <w:rsid w:val="5B2E1AA7"/>
    <w:rsid w:val="5B767C9D"/>
    <w:rsid w:val="5B8F2DC6"/>
    <w:rsid w:val="5B9D42DA"/>
    <w:rsid w:val="5B9F25C1"/>
    <w:rsid w:val="5BA356DB"/>
    <w:rsid w:val="5BA444B3"/>
    <w:rsid w:val="5BA474E8"/>
    <w:rsid w:val="5BFC60BC"/>
    <w:rsid w:val="5C11209A"/>
    <w:rsid w:val="5C622D9E"/>
    <w:rsid w:val="5C63600F"/>
    <w:rsid w:val="5C717B35"/>
    <w:rsid w:val="5C743717"/>
    <w:rsid w:val="5C920ECC"/>
    <w:rsid w:val="5CF4010E"/>
    <w:rsid w:val="5CFD0A1E"/>
    <w:rsid w:val="5D340EF8"/>
    <w:rsid w:val="5D487B98"/>
    <w:rsid w:val="5D4F4FA5"/>
    <w:rsid w:val="5D5A3336"/>
    <w:rsid w:val="5D6B6051"/>
    <w:rsid w:val="5D903810"/>
    <w:rsid w:val="5D913616"/>
    <w:rsid w:val="5D9C7622"/>
    <w:rsid w:val="5DA42363"/>
    <w:rsid w:val="5DA424B0"/>
    <w:rsid w:val="5DCF38C1"/>
    <w:rsid w:val="5DF631B4"/>
    <w:rsid w:val="5DFC439B"/>
    <w:rsid w:val="5E0943D3"/>
    <w:rsid w:val="5E525ACC"/>
    <w:rsid w:val="5E72057F"/>
    <w:rsid w:val="5E80393D"/>
    <w:rsid w:val="5E885FA6"/>
    <w:rsid w:val="5E940FD9"/>
    <w:rsid w:val="5EE31B38"/>
    <w:rsid w:val="5EF50B59"/>
    <w:rsid w:val="5F2B1033"/>
    <w:rsid w:val="5F342600"/>
    <w:rsid w:val="5F3A6DBE"/>
    <w:rsid w:val="5F483BA5"/>
    <w:rsid w:val="5F4C1567"/>
    <w:rsid w:val="5F775C2F"/>
    <w:rsid w:val="5FA805FC"/>
    <w:rsid w:val="5FD117C0"/>
    <w:rsid w:val="5FEF2F09"/>
    <w:rsid w:val="5FFB2605"/>
    <w:rsid w:val="60060996"/>
    <w:rsid w:val="60236600"/>
    <w:rsid w:val="603F1DF4"/>
    <w:rsid w:val="609C218E"/>
    <w:rsid w:val="60CA77DA"/>
    <w:rsid w:val="60DB1C73"/>
    <w:rsid w:val="60DC76F4"/>
    <w:rsid w:val="60DE0402"/>
    <w:rsid w:val="60E115FE"/>
    <w:rsid w:val="60E40384"/>
    <w:rsid w:val="610F6C4A"/>
    <w:rsid w:val="61130ED3"/>
    <w:rsid w:val="61204966"/>
    <w:rsid w:val="614B322B"/>
    <w:rsid w:val="617678F3"/>
    <w:rsid w:val="61AF42C9"/>
    <w:rsid w:val="61B451D9"/>
    <w:rsid w:val="61B91A53"/>
    <w:rsid w:val="61DE6276"/>
    <w:rsid w:val="61EC7B72"/>
    <w:rsid w:val="61FC0E51"/>
    <w:rsid w:val="620F2070"/>
    <w:rsid w:val="624A67F6"/>
    <w:rsid w:val="6251055B"/>
    <w:rsid w:val="62527D22"/>
    <w:rsid w:val="62572464"/>
    <w:rsid w:val="625F7870"/>
    <w:rsid w:val="62AB5771"/>
    <w:rsid w:val="62C600E4"/>
    <w:rsid w:val="634D30F1"/>
    <w:rsid w:val="639E277B"/>
    <w:rsid w:val="63AF3D1A"/>
    <w:rsid w:val="63F25A88"/>
    <w:rsid w:val="64025D23"/>
    <w:rsid w:val="6420749E"/>
    <w:rsid w:val="643861FD"/>
    <w:rsid w:val="644259C9"/>
    <w:rsid w:val="64467711"/>
    <w:rsid w:val="64580CB0"/>
    <w:rsid w:val="64AC16BD"/>
    <w:rsid w:val="64EF46A6"/>
    <w:rsid w:val="65201B10"/>
    <w:rsid w:val="655C7259"/>
    <w:rsid w:val="656B1A72"/>
    <w:rsid w:val="658713A2"/>
    <w:rsid w:val="65A47ECD"/>
    <w:rsid w:val="65A50952"/>
    <w:rsid w:val="65A705D2"/>
    <w:rsid w:val="65B80935"/>
    <w:rsid w:val="65C47F6F"/>
    <w:rsid w:val="65C54EAC"/>
    <w:rsid w:val="65EC32C5"/>
    <w:rsid w:val="66106DCA"/>
    <w:rsid w:val="665528C5"/>
    <w:rsid w:val="665916FA"/>
    <w:rsid w:val="66AE3383"/>
    <w:rsid w:val="66D222BD"/>
    <w:rsid w:val="66DD064E"/>
    <w:rsid w:val="670A5C9B"/>
    <w:rsid w:val="67600C28"/>
    <w:rsid w:val="679502B9"/>
    <w:rsid w:val="67A01F21"/>
    <w:rsid w:val="67E66902"/>
    <w:rsid w:val="67E85689"/>
    <w:rsid w:val="680074AC"/>
    <w:rsid w:val="681803D6"/>
    <w:rsid w:val="6845219F"/>
    <w:rsid w:val="68752CEE"/>
    <w:rsid w:val="688C2914"/>
    <w:rsid w:val="688D2DE3"/>
    <w:rsid w:val="68906FDD"/>
    <w:rsid w:val="68A56E7E"/>
    <w:rsid w:val="68BC3F52"/>
    <w:rsid w:val="68C94977"/>
    <w:rsid w:val="68E33322"/>
    <w:rsid w:val="68E470F9"/>
    <w:rsid w:val="68F47A43"/>
    <w:rsid w:val="69290213"/>
    <w:rsid w:val="693F5C3A"/>
    <w:rsid w:val="6954235C"/>
    <w:rsid w:val="69713766"/>
    <w:rsid w:val="697D7C9D"/>
    <w:rsid w:val="69807F89"/>
    <w:rsid w:val="698D72B4"/>
    <w:rsid w:val="699D49D1"/>
    <w:rsid w:val="69ED43B5"/>
    <w:rsid w:val="69F134E0"/>
    <w:rsid w:val="69FD3A6F"/>
    <w:rsid w:val="69FF27F5"/>
    <w:rsid w:val="6A0F2A90"/>
    <w:rsid w:val="6A18591D"/>
    <w:rsid w:val="6A3F5BE3"/>
    <w:rsid w:val="6A67569D"/>
    <w:rsid w:val="6A935267"/>
    <w:rsid w:val="6A9A4BF2"/>
    <w:rsid w:val="6AA25882"/>
    <w:rsid w:val="6B780B1C"/>
    <w:rsid w:val="6B876DF9"/>
    <w:rsid w:val="6B9238F1"/>
    <w:rsid w:val="6BA73AAA"/>
    <w:rsid w:val="6BB71B46"/>
    <w:rsid w:val="6BC049D4"/>
    <w:rsid w:val="6BD8207B"/>
    <w:rsid w:val="6BE35E8E"/>
    <w:rsid w:val="6BE70117"/>
    <w:rsid w:val="6BF07722"/>
    <w:rsid w:val="6BFD6A38"/>
    <w:rsid w:val="6C030392"/>
    <w:rsid w:val="6C030781"/>
    <w:rsid w:val="6C2E2A8A"/>
    <w:rsid w:val="6C482959"/>
    <w:rsid w:val="6C562949"/>
    <w:rsid w:val="6C5D6C59"/>
    <w:rsid w:val="6C7269F6"/>
    <w:rsid w:val="6C793E03"/>
    <w:rsid w:val="6CB82BD5"/>
    <w:rsid w:val="6CD23598"/>
    <w:rsid w:val="6CDE73AA"/>
    <w:rsid w:val="6CE33832"/>
    <w:rsid w:val="6D26779F"/>
    <w:rsid w:val="6D270AA3"/>
    <w:rsid w:val="6D326E35"/>
    <w:rsid w:val="6D496A5A"/>
    <w:rsid w:val="6D537FFC"/>
    <w:rsid w:val="6D811A87"/>
    <w:rsid w:val="6D8B213E"/>
    <w:rsid w:val="6DB65901"/>
    <w:rsid w:val="6E1F0530"/>
    <w:rsid w:val="6E255143"/>
    <w:rsid w:val="6E2F1DDF"/>
    <w:rsid w:val="6E3269D7"/>
    <w:rsid w:val="6E5A70FC"/>
    <w:rsid w:val="6E5F07A0"/>
    <w:rsid w:val="6E78714C"/>
    <w:rsid w:val="6E944A03"/>
    <w:rsid w:val="6E975EC3"/>
    <w:rsid w:val="6EA25D92"/>
    <w:rsid w:val="6ED435C4"/>
    <w:rsid w:val="6ED674E5"/>
    <w:rsid w:val="6ED84BE7"/>
    <w:rsid w:val="6F1C43D6"/>
    <w:rsid w:val="6F2914E1"/>
    <w:rsid w:val="6F416B95"/>
    <w:rsid w:val="6F55502F"/>
    <w:rsid w:val="6F792686"/>
    <w:rsid w:val="6F8E0E92"/>
    <w:rsid w:val="6F9C3A2B"/>
    <w:rsid w:val="6FA40E37"/>
    <w:rsid w:val="6FA50AB7"/>
    <w:rsid w:val="6FDA5A8E"/>
    <w:rsid w:val="6FF675BD"/>
    <w:rsid w:val="700709DC"/>
    <w:rsid w:val="702A4990"/>
    <w:rsid w:val="704A4E48"/>
    <w:rsid w:val="708A05B5"/>
    <w:rsid w:val="70D23AA8"/>
    <w:rsid w:val="70F9196A"/>
    <w:rsid w:val="7105557C"/>
    <w:rsid w:val="711D2C22"/>
    <w:rsid w:val="711D4E21"/>
    <w:rsid w:val="71283034"/>
    <w:rsid w:val="71400858"/>
    <w:rsid w:val="714F4472"/>
    <w:rsid w:val="71504376"/>
    <w:rsid w:val="71546269"/>
    <w:rsid w:val="71637CEA"/>
    <w:rsid w:val="7167651A"/>
    <w:rsid w:val="716C6225"/>
    <w:rsid w:val="71943B66"/>
    <w:rsid w:val="7198198F"/>
    <w:rsid w:val="71AA5D09"/>
    <w:rsid w:val="71D758D4"/>
    <w:rsid w:val="71DF4EDF"/>
    <w:rsid w:val="71FD7D12"/>
    <w:rsid w:val="72216C4D"/>
    <w:rsid w:val="72411700"/>
    <w:rsid w:val="727047CE"/>
    <w:rsid w:val="72910586"/>
    <w:rsid w:val="72A02FE2"/>
    <w:rsid w:val="72A14F9D"/>
    <w:rsid w:val="72AA36AE"/>
    <w:rsid w:val="72D51F74"/>
    <w:rsid w:val="72DA6BC2"/>
    <w:rsid w:val="72DF0305"/>
    <w:rsid w:val="72E11A12"/>
    <w:rsid w:val="72F0059F"/>
    <w:rsid w:val="72F737AD"/>
    <w:rsid w:val="7359501E"/>
    <w:rsid w:val="73663A61"/>
    <w:rsid w:val="73BE1EF1"/>
    <w:rsid w:val="73D42158"/>
    <w:rsid w:val="74054864"/>
    <w:rsid w:val="74534826"/>
    <w:rsid w:val="746B7A8B"/>
    <w:rsid w:val="748A03E1"/>
    <w:rsid w:val="748F571E"/>
    <w:rsid w:val="7490224A"/>
    <w:rsid w:val="74950C58"/>
    <w:rsid w:val="749A61D6"/>
    <w:rsid w:val="74AF2AFE"/>
    <w:rsid w:val="74BF2D99"/>
    <w:rsid w:val="74DA0B92"/>
    <w:rsid w:val="74E276CC"/>
    <w:rsid w:val="750F3E1D"/>
    <w:rsid w:val="757415C3"/>
    <w:rsid w:val="757D4451"/>
    <w:rsid w:val="759130F1"/>
    <w:rsid w:val="759926FC"/>
    <w:rsid w:val="75A65309"/>
    <w:rsid w:val="75A8340A"/>
    <w:rsid w:val="760B1736"/>
    <w:rsid w:val="7614340F"/>
    <w:rsid w:val="763D100B"/>
    <w:rsid w:val="765D1540"/>
    <w:rsid w:val="766B0856"/>
    <w:rsid w:val="766F79F1"/>
    <w:rsid w:val="76704CDE"/>
    <w:rsid w:val="7681690C"/>
    <w:rsid w:val="769F1FAA"/>
    <w:rsid w:val="76A57736"/>
    <w:rsid w:val="76AF5AC7"/>
    <w:rsid w:val="76C34768"/>
    <w:rsid w:val="76D54682"/>
    <w:rsid w:val="771F7182"/>
    <w:rsid w:val="77432AB8"/>
    <w:rsid w:val="77506994"/>
    <w:rsid w:val="775A5F60"/>
    <w:rsid w:val="7775458B"/>
    <w:rsid w:val="77846DA4"/>
    <w:rsid w:val="778A359F"/>
    <w:rsid w:val="77A923DC"/>
    <w:rsid w:val="77DD1C72"/>
    <w:rsid w:val="77F5035D"/>
    <w:rsid w:val="78286A83"/>
    <w:rsid w:val="785D6A87"/>
    <w:rsid w:val="78611B87"/>
    <w:rsid w:val="7862510D"/>
    <w:rsid w:val="786D6D22"/>
    <w:rsid w:val="789B1D0A"/>
    <w:rsid w:val="78A33979"/>
    <w:rsid w:val="78C5192F"/>
    <w:rsid w:val="78C62C34"/>
    <w:rsid w:val="78CC4B3D"/>
    <w:rsid w:val="7910652B"/>
    <w:rsid w:val="791F6B45"/>
    <w:rsid w:val="793B0674"/>
    <w:rsid w:val="7949798A"/>
    <w:rsid w:val="794A5C30"/>
    <w:rsid w:val="79626335"/>
    <w:rsid w:val="796614B8"/>
    <w:rsid w:val="796807B3"/>
    <w:rsid w:val="79710B4E"/>
    <w:rsid w:val="79741AD3"/>
    <w:rsid w:val="79842E2E"/>
    <w:rsid w:val="79957047"/>
    <w:rsid w:val="79C23DD0"/>
    <w:rsid w:val="79E60B0D"/>
    <w:rsid w:val="79EA5C73"/>
    <w:rsid w:val="7A1712DC"/>
    <w:rsid w:val="7A271576"/>
    <w:rsid w:val="7A2A75AF"/>
    <w:rsid w:val="7A417F22"/>
    <w:rsid w:val="7A4867F4"/>
    <w:rsid w:val="7A4C267C"/>
    <w:rsid w:val="7A96762C"/>
    <w:rsid w:val="7AA037BE"/>
    <w:rsid w:val="7AD0650C"/>
    <w:rsid w:val="7AD54B92"/>
    <w:rsid w:val="7AE14228"/>
    <w:rsid w:val="7AFE2997"/>
    <w:rsid w:val="7B074467"/>
    <w:rsid w:val="7B227210"/>
    <w:rsid w:val="7B440A49"/>
    <w:rsid w:val="7B5C60F0"/>
    <w:rsid w:val="7B6A2E87"/>
    <w:rsid w:val="7BB42002"/>
    <w:rsid w:val="7BCA0198"/>
    <w:rsid w:val="7BD34780"/>
    <w:rsid w:val="7BDE0C48"/>
    <w:rsid w:val="7BE71557"/>
    <w:rsid w:val="7BF73D70"/>
    <w:rsid w:val="7C2F194B"/>
    <w:rsid w:val="7C3A7CDC"/>
    <w:rsid w:val="7C46651C"/>
    <w:rsid w:val="7C4B37FA"/>
    <w:rsid w:val="7C56760C"/>
    <w:rsid w:val="7C5D6F97"/>
    <w:rsid w:val="7C5E6AEF"/>
    <w:rsid w:val="7C8E2D92"/>
    <w:rsid w:val="7C970076"/>
    <w:rsid w:val="7CA4518D"/>
    <w:rsid w:val="7CA7288F"/>
    <w:rsid w:val="7CBC64A5"/>
    <w:rsid w:val="7CC0123A"/>
    <w:rsid w:val="7CD45AA6"/>
    <w:rsid w:val="7CF46211"/>
    <w:rsid w:val="7D1022BE"/>
    <w:rsid w:val="7D6B16D3"/>
    <w:rsid w:val="7D7901B0"/>
    <w:rsid w:val="7D7A0617"/>
    <w:rsid w:val="7D813877"/>
    <w:rsid w:val="7D9D1B22"/>
    <w:rsid w:val="7DB24046"/>
    <w:rsid w:val="7DCB29F1"/>
    <w:rsid w:val="7DF650AC"/>
    <w:rsid w:val="7DF847BA"/>
    <w:rsid w:val="7E0427CB"/>
    <w:rsid w:val="7E4D1CC6"/>
    <w:rsid w:val="7E8940A9"/>
    <w:rsid w:val="7E982C09"/>
    <w:rsid w:val="7EA21864"/>
    <w:rsid w:val="7EC9450E"/>
    <w:rsid w:val="7EF768DB"/>
    <w:rsid w:val="7F242C23"/>
    <w:rsid w:val="7F284EAC"/>
    <w:rsid w:val="7F610509"/>
    <w:rsid w:val="7F654D11"/>
    <w:rsid w:val="7F8D2652"/>
    <w:rsid w:val="7F932FCE"/>
    <w:rsid w:val="7FC0612B"/>
    <w:rsid w:val="7FCB7F38"/>
    <w:rsid w:val="7FE1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ascii="宋体" w:hAnsi="宋体"/>
      <w:b/>
      <w:bCs/>
      <w:kern w:val="44"/>
      <w:sz w:val="32"/>
      <w:szCs w:val="32"/>
    </w:rPr>
  </w:style>
  <w:style w:type="paragraph" w:styleId="3">
    <w:name w:val="heading 2"/>
    <w:basedOn w:val="1"/>
    <w:next w:val="1"/>
    <w:qFormat/>
    <w:uiPriority w:val="0"/>
    <w:pPr>
      <w:keepNext/>
      <w:keepLines/>
      <w:spacing w:before="260" w:after="260" w:line="360" w:lineRule="auto"/>
      <w:jc w:val="center"/>
      <w:outlineLvl w:val="1"/>
    </w:pPr>
    <w:rPr>
      <w:rFonts w:ascii="Arial" w:hAnsi="Arial"/>
      <w:b/>
      <w:bCs/>
      <w:sz w:val="48"/>
      <w:szCs w:val="32"/>
    </w:rPr>
  </w:style>
  <w:style w:type="paragraph" w:styleId="4">
    <w:name w:val="heading 3"/>
    <w:basedOn w:val="1"/>
    <w:next w:val="1"/>
    <w:qFormat/>
    <w:uiPriority w:val="0"/>
    <w:pPr>
      <w:spacing w:line="360" w:lineRule="auto"/>
      <w:ind w:firstLine="482" w:firstLineChars="200"/>
      <w:outlineLvl w:val="2"/>
    </w:pPr>
    <w:rPr>
      <w:rFonts w:ascii="宋体" w:hAnsi="宋体" w:cs="宋体"/>
      <w:b/>
      <w:sz w:val="24"/>
      <w:lang w:val="zh-CN"/>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9">
    <w:name w:val="Default Paragraph Font"/>
    <w:semiHidden/>
    <w:qFormat/>
    <w:uiPriority w:val="0"/>
    <w:rPr>
      <w:rFonts w:ascii="Copperplate Gothic Bold" w:hAnsi="Copperplate Gothic Bold"/>
      <w:kern w:val="0"/>
      <w:sz w:val="28"/>
      <w:szCs w:val="28"/>
    </w:rPr>
  </w:style>
  <w:style w:type="table" w:default="1" w:styleId="40">
    <w:name w:val="Normal Table"/>
    <w:semiHidden/>
    <w:qFormat/>
    <w:uiPriority w:val="0"/>
    <w:tblPr>
      <w:tblLayout w:type="fixed"/>
      <w:tblCellMar>
        <w:top w:w="0" w:type="dxa"/>
        <w:left w:w="108" w:type="dxa"/>
        <w:bottom w:w="0" w:type="dxa"/>
        <w:right w:w="108" w:type="dxa"/>
      </w:tblCellMar>
    </w:tblPr>
  </w:style>
  <w:style w:type="paragraph" w:styleId="11">
    <w:name w:val="Normal Indent"/>
    <w:basedOn w:val="1"/>
    <w:qFormat/>
    <w:uiPriority w:val="0"/>
    <w:pPr>
      <w:spacing w:after="120" w:line="360" w:lineRule="auto"/>
      <w:ind w:firstLine="420"/>
    </w:pPr>
    <w:rPr>
      <w:sz w:val="24"/>
      <w:szCs w:val="20"/>
    </w:rPr>
  </w:style>
  <w:style w:type="paragraph" w:styleId="12">
    <w:name w:val="annotation text"/>
    <w:basedOn w:val="1"/>
    <w:qFormat/>
    <w:uiPriority w:val="0"/>
    <w:pPr>
      <w:jc w:val="left"/>
    </w:pPr>
  </w:style>
  <w:style w:type="paragraph" w:styleId="13">
    <w:name w:val="Body Text"/>
    <w:basedOn w:val="1"/>
    <w:qFormat/>
    <w:uiPriority w:val="0"/>
    <w:pPr>
      <w:snapToGrid w:val="0"/>
      <w:spacing w:line="300" w:lineRule="auto"/>
    </w:pPr>
    <w:rPr>
      <w:rFonts w:ascii="宋体" w:hAnsi="宋体"/>
      <w:spacing w:val="4"/>
      <w:sz w:val="24"/>
      <w:szCs w:val="20"/>
    </w:rPr>
  </w:style>
  <w:style w:type="paragraph" w:styleId="14">
    <w:name w:val="Body Text Indent"/>
    <w:basedOn w:val="1"/>
    <w:qFormat/>
    <w:uiPriority w:val="0"/>
    <w:pPr>
      <w:spacing w:line="460" w:lineRule="exact"/>
      <w:ind w:firstLine="570"/>
    </w:pPr>
    <w:rPr>
      <w:b/>
      <w:bCs/>
      <w:sz w:val="28"/>
      <w:szCs w:val="20"/>
    </w:rPr>
  </w:style>
  <w:style w:type="paragraph" w:styleId="15">
    <w:name w:val="List Number 3"/>
    <w:basedOn w:val="1"/>
    <w:next w:val="11"/>
    <w:qFormat/>
    <w:uiPriority w:val="0"/>
    <w:pPr>
      <w:numPr>
        <w:ilvl w:val="0"/>
        <w:numId w:val="1"/>
      </w:numPr>
    </w:pPr>
  </w:style>
  <w:style w:type="paragraph" w:styleId="16">
    <w:name w:val="toc 3"/>
    <w:basedOn w:val="1"/>
    <w:next w:val="1"/>
    <w:qFormat/>
    <w:uiPriority w:val="39"/>
    <w:pPr>
      <w:ind w:left="840" w:leftChars="400"/>
    </w:pPr>
  </w:style>
  <w:style w:type="paragraph" w:styleId="17">
    <w:name w:val="Plain Text"/>
    <w:basedOn w:val="1"/>
    <w:qFormat/>
    <w:uiPriority w:val="0"/>
    <w:pPr>
      <w:adjustRightInd w:val="0"/>
      <w:spacing w:line="335" w:lineRule="atLeast"/>
      <w:textAlignment w:val="baseline"/>
    </w:pPr>
    <w:rPr>
      <w:rFonts w:ascii="宋体" w:hAnsi="Courier New" w:cs="Courier New"/>
      <w:szCs w:val="21"/>
    </w:rPr>
  </w:style>
  <w:style w:type="paragraph" w:styleId="18">
    <w:name w:val="Date"/>
    <w:basedOn w:val="1"/>
    <w:next w:val="1"/>
    <w:qFormat/>
    <w:uiPriority w:val="0"/>
    <w:pPr>
      <w:ind w:left="100" w:leftChars="2500"/>
    </w:pPr>
    <w:rPr>
      <w:sz w:val="28"/>
    </w:rPr>
  </w:style>
  <w:style w:type="paragraph" w:styleId="19">
    <w:name w:val="Body Text Indent 2"/>
    <w:basedOn w:val="1"/>
    <w:qFormat/>
    <w:uiPriority w:val="0"/>
    <w:pPr>
      <w:spacing w:line="460" w:lineRule="exact"/>
      <w:ind w:firstLine="570"/>
    </w:pPr>
    <w:rPr>
      <w:sz w:val="28"/>
      <w:szCs w:val="20"/>
    </w:r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9344"/>
      </w:tabs>
    </w:pPr>
    <w:rPr>
      <w:lang w:val="en-US" w:eastAsia="zh-CN"/>
    </w:rPr>
  </w:style>
  <w:style w:type="paragraph" w:styleId="24">
    <w:name w:val="Body Text Indent 3"/>
    <w:basedOn w:val="1"/>
    <w:qFormat/>
    <w:uiPriority w:val="0"/>
    <w:pPr>
      <w:spacing w:after="120"/>
      <w:ind w:left="420"/>
    </w:pPr>
    <w:rPr>
      <w:sz w:val="16"/>
      <w:szCs w:val="16"/>
    </w:rPr>
  </w:style>
  <w:style w:type="paragraph" w:styleId="25">
    <w:name w:val="toc 2"/>
    <w:basedOn w:val="1"/>
    <w:next w:val="1"/>
    <w:qFormat/>
    <w:uiPriority w:val="39"/>
    <w:pPr>
      <w:ind w:left="420" w:leftChars="200"/>
    </w:p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index 1"/>
    <w:basedOn w:val="1"/>
    <w:next w:val="1"/>
    <w:semiHidden/>
    <w:qFormat/>
    <w:uiPriority w:val="0"/>
  </w:style>
  <w:style w:type="paragraph" w:styleId="28">
    <w:name w:val="index 2"/>
    <w:basedOn w:val="1"/>
    <w:next w:val="1"/>
    <w:semiHidden/>
    <w:qFormat/>
    <w:uiPriority w:val="0"/>
    <w:pPr>
      <w:ind w:left="200" w:leftChars="200"/>
    </w:pPr>
  </w:style>
  <w:style w:type="character" w:styleId="30">
    <w:name w:val="Strong"/>
    <w:qFormat/>
    <w:uiPriority w:val="0"/>
    <w:rPr>
      <w:b/>
      <w:bCs/>
    </w:rPr>
  </w:style>
  <w:style w:type="character" w:styleId="31">
    <w:name w:val="page number"/>
    <w:basedOn w:val="29"/>
    <w:qFormat/>
    <w:uiPriority w:val="0"/>
  </w:style>
  <w:style w:type="character" w:styleId="32">
    <w:name w:val="FollowedHyperlink"/>
    <w:qFormat/>
    <w:uiPriority w:val="0"/>
    <w:rPr>
      <w:rFonts w:ascii="Copperplate Gothic Bold" w:hAnsi="Copperplate Gothic Bold"/>
      <w:color w:val="333333"/>
      <w:kern w:val="0"/>
      <w:sz w:val="28"/>
      <w:szCs w:val="28"/>
      <w:u w:val="none"/>
    </w:rPr>
  </w:style>
  <w:style w:type="character" w:styleId="33">
    <w:name w:val="Emphasis"/>
    <w:qFormat/>
    <w:uiPriority w:val="0"/>
    <w:rPr>
      <w:rFonts w:ascii="Copperplate Gothic Bold" w:hAnsi="Copperplate Gothic Bold"/>
      <w:kern w:val="0"/>
      <w:sz w:val="28"/>
      <w:szCs w:val="28"/>
    </w:rPr>
  </w:style>
  <w:style w:type="character" w:styleId="34">
    <w:name w:val="HTML Definition"/>
    <w:qFormat/>
    <w:uiPriority w:val="0"/>
    <w:rPr>
      <w:rFonts w:ascii="Copperplate Gothic Bold" w:hAnsi="Copperplate Gothic Bold"/>
      <w:kern w:val="0"/>
      <w:sz w:val="28"/>
      <w:szCs w:val="28"/>
    </w:rPr>
  </w:style>
  <w:style w:type="character" w:styleId="35">
    <w:name w:val="HTML Acronym"/>
    <w:basedOn w:val="29"/>
    <w:qFormat/>
    <w:uiPriority w:val="0"/>
  </w:style>
  <w:style w:type="character" w:styleId="36">
    <w:name w:val="HTML Variable"/>
    <w:qFormat/>
    <w:uiPriority w:val="0"/>
    <w:rPr>
      <w:rFonts w:ascii="Copperplate Gothic Bold" w:hAnsi="Copperplate Gothic Bold"/>
      <w:kern w:val="0"/>
      <w:sz w:val="28"/>
      <w:szCs w:val="28"/>
    </w:rPr>
  </w:style>
  <w:style w:type="character" w:styleId="37">
    <w:name w:val="Hyperlink"/>
    <w:qFormat/>
    <w:uiPriority w:val="99"/>
    <w:rPr>
      <w:rFonts w:ascii="Copperplate Gothic Bold" w:hAnsi="Copperplate Gothic Bold"/>
      <w:color w:val="333333"/>
      <w:kern w:val="0"/>
      <w:sz w:val="28"/>
      <w:szCs w:val="28"/>
      <w:u w:val="none"/>
    </w:rPr>
  </w:style>
  <w:style w:type="character" w:styleId="38">
    <w:name w:val="HTML Code"/>
    <w:qFormat/>
    <w:uiPriority w:val="0"/>
    <w:rPr>
      <w:rFonts w:ascii="Courier New" w:hAnsi="Courier New"/>
      <w:kern w:val="0"/>
      <w:sz w:val="20"/>
      <w:szCs w:val="28"/>
    </w:rPr>
  </w:style>
  <w:style w:type="character" w:styleId="39">
    <w:name w:val="HTML Cite"/>
    <w:qFormat/>
    <w:uiPriority w:val="0"/>
    <w:rPr>
      <w:rFonts w:ascii="Copperplate Gothic Bold" w:hAnsi="Copperplate Gothic Bold"/>
      <w:kern w:val="0"/>
      <w:sz w:val="28"/>
      <w:szCs w:val="28"/>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 Char Char1"/>
    <w:qFormat/>
    <w:uiPriority w:val="0"/>
    <w:rPr>
      <w:rFonts w:eastAsia="宋体"/>
      <w:b/>
      <w:bCs/>
      <w:kern w:val="44"/>
      <w:sz w:val="52"/>
      <w:szCs w:val="44"/>
      <w:lang w:val="en-US" w:eastAsia="zh-CN" w:bidi="ar-SA"/>
    </w:rPr>
  </w:style>
  <w:style w:type="character" w:customStyle="1" w:styleId="43">
    <w:name w:val="ca-22"/>
    <w:basedOn w:val="29"/>
    <w:qFormat/>
    <w:uiPriority w:val="0"/>
  </w:style>
  <w:style w:type="character" w:customStyle="1" w:styleId="44">
    <w:name w:val="font21"/>
    <w:qFormat/>
    <w:uiPriority w:val="0"/>
    <w:rPr>
      <w:rFonts w:hint="eastAsia" w:ascii="宋体" w:hAnsi="宋体" w:eastAsia="宋体" w:cs="宋体"/>
      <w:color w:val="000000"/>
      <w:sz w:val="20"/>
      <w:szCs w:val="20"/>
      <w:u w:val="none"/>
    </w:rPr>
  </w:style>
  <w:style w:type="character" w:customStyle="1" w:styleId="45">
    <w:name w:val="标题 2 Char"/>
    <w:qFormat/>
    <w:uiPriority w:val="0"/>
    <w:rPr>
      <w:rFonts w:ascii="Arial" w:hAnsi="Arial" w:eastAsia="宋体"/>
      <w:b/>
      <w:bCs/>
      <w:kern w:val="2"/>
      <w:sz w:val="48"/>
      <w:szCs w:val="32"/>
      <w:lang w:val="en-US" w:eastAsia="zh-CN" w:bidi="ar-SA"/>
    </w:rPr>
  </w:style>
  <w:style w:type="character" w:customStyle="1" w:styleId="46">
    <w:name w:val="ca-62"/>
    <w:basedOn w:val="29"/>
    <w:qFormat/>
    <w:uiPriority w:val="0"/>
  </w:style>
  <w:style w:type="character" w:customStyle="1" w:styleId="47">
    <w:name w:val="ca-32"/>
    <w:basedOn w:val="29"/>
    <w:qFormat/>
    <w:uiPriority w:val="0"/>
  </w:style>
  <w:style w:type="character" w:customStyle="1" w:styleId="48">
    <w:name w:val="font11"/>
    <w:qFormat/>
    <w:uiPriority w:val="0"/>
    <w:rPr>
      <w:rFonts w:hint="eastAsia" w:ascii="宋体" w:hAnsi="宋体" w:eastAsia="宋体" w:cs="宋体"/>
      <w:b/>
      <w:color w:val="000000"/>
      <w:sz w:val="20"/>
      <w:szCs w:val="20"/>
      <w:u w:val="none"/>
    </w:rPr>
  </w:style>
  <w:style w:type="character" w:customStyle="1" w:styleId="49">
    <w:name w:val="font41"/>
    <w:qFormat/>
    <w:uiPriority w:val="0"/>
    <w:rPr>
      <w:rFonts w:hint="eastAsia" w:ascii="宋体" w:hAnsi="宋体" w:eastAsia="宋体" w:cs="宋体"/>
      <w:b/>
      <w:color w:val="000000"/>
      <w:kern w:val="0"/>
      <w:sz w:val="20"/>
      <w:szCs w:val="20"/>
      <w:u w:val="none"/>
    </w:rPr>
  </w:style>
  <w:style w:type="character" w:customStyle="1" w:styleId="50">
    <w:name w:val="font01"/>
    <w:qFormat/>
    <w:uiPriority w:val="0"/>
    <w:rPr>
      <w:rFonts w:hint="eastAsia" w:ascii="宋体" w:hAnsi="宋体" w:eastAsia="宋体" w:cs="宋体"/>
      <w:color w:val="000000"/>
      <w:sz w:val="18"/>
      <w:szCs w:val="18"/>
      <w:u w:val="none"/>
    </w:rPr>
  </w:style>
  <w:style w:type="character" w:customStyle="1" w:styleId="51">
    <w:name w:val="ca-02"/>
    <w:basedOn w:val="29"/>
    <w:qFormat/>
    <w:uiPriority w:val="0"/>
  </w:style>
  <w:style w:type="character" w:customStyle="1" w:styleId="52">
    <w:name w:val=" Char Char"/>
    <w:qFormat/>
    <w:uiPriority w:val="0"/>
    <w:rPr>
      <w:rFonts w:ascii="Arial" w:hAnsi="Arial" w:eastAsia="宋体"/>
      <w:b/>
      <w:bCs/>
      <w:kern w:val="2"/>
      <w:sz w:val="48"/>
      <w:szCs w:val="32"/>
      <w:lang w:val="en-US" w:eastAsia="zh-CN" w:bidi="ar-SA"/>
    </w:rPr>
  </w:style>
  <w:style w:type="character" w:customStyle="1" w:styleId="53">
    <w:name w:val="font31"/>
    <w:qFormat/>
    <w:uiPriority w:val="0"/>
    <w:rPr>
      <w:rFonts w:hint="eastAsia" w:ascii="宋体" w:hAnsi="宋体" w:eastAsia="宋体" w:cs="宋体"/>
      <w:color w:val="000000"/>
      <w:sz w:val="18"/>
      <w:szCs w:val="18"/>
      <w:u w:val="none"/>
    </w:rPr>
  </w:style>
  <w:style w:type="character" w:customStyle="1" w:styleId="54">
    <w:name w:val="font111"/>
    <w:qFormat/>
    <w:uiPriority w:val="0"/>
    <w:rPr>
      <w:rFonts w:hint="default" w:ascii="仿宋_GB2312" w:eastAsia="仿宋_GB2312" w:cs="仿宋_GB2312"/>
      <w:color w:val="000000"/>
      <w:sz w:val="20"/>
      <w:szCs w:val="20"/>
      <w:u w:val="none"/>
    </w:rPr>
  </w:style>
  <w:style w:type="character" w:customStyle="1" w:styleId="55">
    <w:name w:val="ca-52"/>
    <w:basedOn w:val="29"/>
    <w:qFormat/>
    <w:uiPriority w:val="0"/>
  </w:style>
  <w:style w:type="paragraph" w:customStyle="1" w:styleId="56">
    <w:name w:val="_Style 29"/>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表中"/>
    <w:basedOn w:val="1"/>
    <w:qFormat/>
    <w:uiPriority w:val="0"/>
    <w:pPr>
      <w:adjustRightInd w:val="0"/>
      <w:snapToGrid w:val="0"/>
      <w:spacing w:line="420" w:lineRule="atLeast"/>
      <w:jc w:val="center"/>
      <w:textAlignment w:val="baseline"/>
    </w:pPr>
    <w:rPr>
      <w:snapToGrid w:val="0"/>
      <w:kern w:val="0"/>
      <w:szCs w:val="20"/>
    </w:rPr>
  </w:style>
  <w:style w:type="paragraph" w:customStyle="1" w:styleId="58">
    <w:name w:val="标题4"/>
    <w:basedOn w:val="1"/>
    <w:qFormat/>
    <w:uiPriority w:val="0"/>
    <w:pPr>
      <w:spacing w:beforeLines="100" w:afterLines="100" w:line="360" w:lineRule="auto"/>
    </w:pPr>
    <w:rPr>
      <w:sz w:val="28"/>
    </w:rPr>
  </w:style>
  <w:style w:type="paragraph" w:customStyle="1" w:styleId="59">
    <w:name w:val="p0"/>
    <w:basedOn w:val="1"/>
    <w:qFormat/>
    <w:uiPriority w:val="0"/>
    <w:pPr>
      <w:widowControl/>
    </w:pPr>
    <w:rPr>
      <w:kern w:val="0"/>
      <w:szCs w:val="21"/>
    </w:rPr>
  </w:style>
  <w:style w:type="paragraph" w:customStyle="1" w:styleId="60">
    <w:name w:val=" Char Char Char Char Char Char Char Char Char Char Char"/>
    <w:basedOn w:val="1"/>
    <w:qFormat/>
    <w:uiPriority w:val="0"/>
    <w:rPr>
      <w:rFonts w:ascii="Tahoma" w:hAnsi="Tahoma"/>
      <w:sz w:val="24"/>
      <w:szCs w:val="20"/>
    </w:rPr>
  </w:style>
  <w:style w:type="paragraph" w:customStyle="1" w:styleId="61">
    <w:name w:val="1"/>
    <w:basedOn w:val="1"/>
    <w:next w:val="13"/>
    <w:qFormat/>
    <w:uiPriority w:val="0"/>
    <w:pPr>
      <w:autoSpaceDE w:val="0"/>
      <w:autoSpaceDN w:val="0"/>
      <w:adjustRightInd w:val="0"/>
      <w:jc w:val="left"/>
      <w:textAlignment w:val="baseline"/>
    </w:pPr>
    <w:rPr>
      <w:rFonts w:ascii="宋体"/>
      <w:kern w:val="0"/>
      <w:sz w:val="28"/>
      <w:szCs w:val="20"/>
    </w:rPr>
  </w:style>
  <w:style w:type="paragraph" w:customStyle="1" w:styleId="62">
    <w:name w:val="pa-3"/>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_Style 1"/>
    <w:basedOn w:val="1"/>
    <w:qFormat/>
    <w:uiPriority w:val="0"/>
    <w:pPr>
      <w:widowControl/>
      <w:spacing w:after="160" w:line="240" w:lineRule="exact"/>
      <w:jc w:val="left"/>
    </w:pPr>
  </w:style>
  <w:style w:type="paragraph" w:customStyle="1" w:styleId="64">
    <w:name w:val="Char2 Char Char Char"/>
    <w:basedOn w:val="1"/>
    <w:qFormat/>
    <w:uiPriority w:val="0"/>
    <w:rPr>
      <w:rFonts w:ascii="Tahoma" w:hAnsi="Tahoma"/>
      <w:sz w:val="24"/>
      <w:szCs w:val="20"/>
    </w:rPr>
  </w:style>
  <w:style w:type="paragraph" w:customStyle="1" w:styleId="65">
    <w:name w:val="没有缩进（为图形使用）"/>
    <w:basedOn w:val="1"/>
    <w:qFormat/>
    <w:uiPriority w:val="0"/>
    <w:pPr>
      <w:spacing w:before="120" w:after="120" w:line="360" w:lineRule="auto"/>
    </w:pPr>
    <w:rPr>
      <w:sz w:val="24"/>
      <w:szCs w:val="20"/>
    </w:rPr>
  </w:style>
  <w:style w:type="paragraph" w:customStyle="1" w:styleId="66">
    <w:name w:val="List Paragraph1"/>
    <w:basedOn w:val="1"/>
    <w:unhideWhenUsed/>
    <w:qFormat/>
    <w:uiPriority w:val="99"/>
    <w:pPr>
      <w:ind w:firstLine="420" w:firstLineChars="200"/>
    </w:pPr>
    <w:rPr>
      <w:rFonts w:ascii="Calibri" w:hAnsi="Calibri"/>
    </w:rPr>
  </w:style>
  <w:style w:type="paragraph" w:customStyle="1" w:styleId="6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List Paragraph"/>
    <w:basedOn w:val="1"/>
    <w:qFormat/>
    <w:uiPriority w:val="99"/>
    <w:pPr>
      <w:ind w:firstLine="420" w:firstLineChars="200"/>
    </w:pPr>
  </w:style>
  <w:style w:type="paragraph" w:customStyle="1" w:styleId="70">
    <w:name w:val="注"/>
    <w:basedOn w:val="1"/>
    <w:qFormat/>
    <w:uiPriority w:val="0"/>
    <w:pPr>
      <w:adjustRightInd w:val="0"/>
      <w:spacing w:line="420" w:lineRule="atLeast"/>
      <w:ind w:firstLine="340"/>
      <w:textAlignment w:val="baseline"/>
    </w:pPr>
    <w:rPr>
      <w:kern w:val="0"/>
      <w:sz w:val="18"/>
      <w:szCs w:val="20"/>
    </w:rPr>
  </w:style>
  <w:style w:type="paragraph" w:customStyle="1" w:styleId="71">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列出段落1"/>
    <w:basedOn w:val="1"/>
    <w:qFormat/>
    <w:uiPriority w:val="0"/>
    <w:pPr>
      <w:ind w:firstLine="420" w:firstLineChars="200"/>
    </w:pPr>
    <w:rPr>
      <w:rFonts w:ascii="Calibri" w:hAnsi="Calibri"/>
    </w:rPr>
  </w:style>
  <w:style w:type="paragraph" w:customStyle="1" w:styleId="73">
    <w:name w:val="Default Paragraph Char Char Char Char"/>
    <w:basedOn w:val="1"/>
    <w:next w:val="1"/>
    <w:qFormat/>
    <w:uiPriority w:val="0"/>
    <w:pPr>
      <w:widowControl/>
      <w:spacing w:line="360" w:lineRule="auto"/>
      <w:jc w:val="left"/>
    </w:pPr>
    <w:rPr>
      <w:rFonts w:ascii="Copperplate Gothic Bold" w:hAnsi="Copperplate Gothic Bold"/>
      <w:kern w:val="0"/>
      <w:sz w:val="28"/>
      <w:szCs w:val="28"/>
    </w:rPr>
  </w:style>
  <w:style w:type="paragraph" w:customStyle="1" w:styleId="74">
    <w:name w:val=" Char2 Char Char Char"/>
    <w:basedOn w:val="1"/>
    <w:qFormat/>
    <w:uiPriority w:val="0"/>
    <w:rPr>
      <w:rFonts w:ascii="Tahoma" w:hAnsi="Tahoma"/>
      <w:sz w:val="24"/>
      <w:szCs w:val="20"/>
    </w:rPr>
  </w:style>
  <w:style w:type="character" w:customStyle="1" w:styleId="75">
    <w:name w:val="bbfont1"/>
    <w:basedOn w:val="29"/>
    <w:qFormat/>
    <w:uiPriority w:val="0"/>
    <w:rPr>
      <w:b/>
      <w:bCs/>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6171</Words>
  <Characters>35175</Characters>
  <Lines>293</Lines>
  <Paragraphs>82</Paragraphs>
  <ScaleCrop>false</ScaleCrop>
  <LinksUpToDate>false</LinksUpToDate>
  <CharactersWithSpaces>41264</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2017-04-10T08:45:00Z</dcterms:created>
  <dc:creator>SDWM</dc:creator>
  <cp:lastModifiedBy>Administrator</cp:lastModifiedBy>
  <cp:lastPrinted>2017-01-04T01:41:00Z</cp:lastPrinted>
  <dcterms:modified xsi:type="dcterms:W3CDTF">2017-08-16T08:17:28Z</dcterms:modified>
  <dc:title>白银区城市管理综合执法局数字城管信息平台改造项目政府采购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