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color w:val="000000"/>
        </w:rPr>
      </w:pPr>
      <w:bookmarkStart w:id="8" w:name="_GoBack"/>
      <w:bookmarkEnd w:id="8"/>
      <w:bookmarkStart w:id="0" w:name="_Toc440162776"/>
      <w:bookmarkStart w:id="1" w:name="_Toc424164131"/>
      <w:bookmarkStart w:id="2" w:name="_Toc468709502"/>
      <w:r>
        <w:rPr>
          <w:rFonts w:hint="eastAsia"/>
          <w:color w:val="000000"/>
          <w:lang w:eastAsia="zh-CN"/>
        </w:rPr>
        <w:t>采购</w:t>
      </w:r>
      <w:r>
        <w:rPr>
          <w:rFonts w:hint="eastAsia"/>
          <w:color w:val="000000"/>
        </w:rPr>
        <w:t>需求</w:t>
      </w:r>
      <w:bookmarkEnd w:id="0"/>
      <w:bookmarkEnd w:id="1"/>
      <w:bookmarkEnd w:id="2"/>
    </w:p>
    <w:p>
      <w:pPr>
        <w:pStyle w:val="2"/>
        <w:rPr>
          <w:rFonts w:hint="eastAsia"/>
          <w:color w:val="000000"/>
        </w:rPr>
      </w:pPr>
      <w:bookmarkStart w:id="3" w:name="_Toc468709503"/>
      <w:r>
        <w:rPr>
          <w:rFonts w:hint="eastAsia"/>
          <w:color w:val="000000"/>
        </w:rPr>
        <w:t>一、项目说明</w:t>
      </w:r>
      <w:bookmarkEnd w:id="3"/>
    </w:p>
    <w:p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（一）综述</w:t>
      </w:r>
    </w:p>
    <w:p>
      <w:pPr>
        <w:spacing w:line="360" w:lineRule="auto"/>
        <w:ind w:firstLine="426" w:firstLineChars="177"/>
        <w:jc w:val="left"/>
        <w:rPr>
          <w:rFonts w:hint="eastAsia" w:ascii="仿宋" w:hAnsi="仿宋" w:eastAsia="仿宋" w:cs="Arial"/>
          <w:b/>
          <w:color w:val="000000"/>
          <w:sz w:val="24"/>
        </w:rPr>
      </w:pPr>
      <w:r>
        <w:rPr>
          <w:rFonts w:hint="eastAsia" w:ascii="仿宋" w:hAnsi="仿宋" w:eastAsia="仿宋" w:cs="Arial"/>
          <w:b/>
          <w:color w:val="000000"/>
          <w:sz w:val="24"/>
        </w:rPr>
        <w:t>本项目采购内容为</w:t>
      </w:r>
      <w:r>
        <w:rPr>
          <w:rFonts w:hint="eastAsia" w:ascii="仿宋" w:hAnsi="仿宋" w:eastAsia="仿宋" w:cs="Arial"/>
          <w:b/>
          <w:color w:val="000000"/>
          <w:sz w:val="24"/>
          <w:lang w:val="zh-TW"/>
        </w:rPr>
        <w:t>新昌县中医院</w:t>
      </w:r>
      <w:r>
        <w:rPr>
          <w:rFonts w:hint="eastAsia" w:ascii="仿宋" w:hAnsi="仿宋" w:eastAsia="仿宋" w:cs="Arial"/>
          <w:b/>
          <w:color w:val="000000"/>
          <w:sz w:val="24"/>
        </w:rPr>
        <w:t>所需的全自动细菌鉴定药敏分析仪及关节镜系统，各1套，划分为两个标段，采购（合同）范围具体包括所需货物的供货、运输、安装、调试、售后服务（质保服务）、培训、技术支持等全部内容。</w:t>
      </w:r>
      <w:r>
        <w:rPr>
          <w:rFonts w:ascii="仿宋" w:hAnsi="仿宋" w:eastAsia="仿宋" w:cs="Arial"/>
          <w:b/>
          <w:color w:val="000000"/>
          <w:sz w:val="24"/>
        </w:rPr>
        <w:t>投标</w:t>
      </w:r>
      <w:r>
        <w:rPr>
          <w:rFonts w:hint="eastAsia" w:ascii="仿宋" w:hAnsi="仿宋" w:eastAsia="仿宋" w:cs="Arial"/>
          <w:b/>
          <w:color w:val="000000"/>
          <w:sz w:val="24"/>
        </w:rPr>
        <w:t>供应商</w:t>
      </w:r>
      <w:r>
        <w:rPr>
          <w:rFonts w:ascii="仿宋" w:hAnsi="仿宋" w:eastAsia="仿宋" w:cs="Arial"/>
          <w:b/>
          <w:color w:val="000000"/>
          <w:sz w:val="24"/>
        </w:rPr>
        <w:t>应根据《</w:t>
      </w:r>
      <w:r>
        <w:rPr>
          <w:rFonts w:hint="eastAsia" w:ascii="仿宋" w:hAnsi="仿宋" w:eastAsia="仿宋" w:cs="Arial"/>
          <w:b/>
          <w:color w:val="000000"/>
          <w:sz w:val="24"/>
        </w:rPr>
        <w:t>公开</w:t>
      </w:r>
      <w:r>
        <w:rPr>
          <w:rFonts w:ascii="仿宋" w:hAnsi="仿宋" w:eastAsia="仿宋" w:cs="Arial"/>
          <w:b/>
          <w:color w:val="000000"/>
          <w:sz w:val="24"/>
        </w:rPr>
        <w:t>招标</w:t>
      </w:r>
      <w:r>
        <w:rPr>
          <w:rFonts w:hint="eastAsia" w:ascii="仿宋" w:hAnsi="仿宋" w:eastAsia="仿宋" w:cs="Arial"/>
          <w:b/>
          <w:color w:val="000000"/>
          <w:sz w:val="24"/>
        </w:rPr>
        <w:t>采购</w:t>
      </w:r>
      <w:r>
        <w:rPr>
          <w:rFonts w:ascii="仿宋" w:hAnsi="仿宋" w:eastAsia="仿宋" w:cs="Arial"/>
          <w:b/>
          <w:color w:val="000000"/>
          <w:sz w:val="24"/>
        </w:rPr>
        <w:t>文件》所提出的</w:t>
      </w:r>
      <w:r>
        <w:rPr>
          <w:rFonts w:hint="eastAsia" w:ascii="仿宋" w:hAnsi="仿宋" w:eastAsia="仿宋" w:cs="Arial"/>
          <w:b/>
          <w:color w:val="000000"/>
          <w:sz w:val="24"/>
        </w:rPr>
        <w:t>采购要求</w:t>
      </w:r>
      <w:r>
        <w:rPr>
          <w:rFonts w:ascii="仿宋" w:hAnsi="仿宋" w:eastAsia="仿宋" w:cs="Arial"/>
          <w:b/>
          <w:color w:val="000000"/>
          <w:sz w:val="24"/>
        </w:rPr>
        <w:t>，综合考虑货物的适应性，选择具有最佳性能价格比的货物前来投标。</w:t>
      </w:r>
    </w:p>
    <w:p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（二）项目信息</w:t>
      </w:r>
    </w:p>
    <w:p>
      <w:pPr>
        <w:spacing w:line="360" w:lineRule="auto"/>
        <w:ind w:firstLine="426" w:firstLineChars="177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1、项目名称：</w:t>
      </w:r>
      <w:r>
        <w:rPr>
          <w:rFonts w:hint="eastAsia" w:ascii="仿宋" w:hAnsi="仿宋" w:eastAsia="仿宋" w:cs="Arial"/>
          <w:color w:val="000000"/>
          <w:sz w:val="24"/>
          <w:lang w:eastAsia="zh-CN"/>
        </w:rPr>
        <w:t>新昌县中医院全自动细菌鉴定药敏分析仪及关节镜系统采购项目</w:t>
      </w:r>
    </w:p>
    <w:p>
      <w:pPr>
        <w:spacing w:line="360" w:lineRule="auto"/>
        <w:ind w:firstLine="426" w:firstLineChars="177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2、采购人：</w:t>
      </w:r>
      <w:r>
        <w:rPr>
          <w:rFonts w:hint="eastAsia" w:ascii="仿宋" w:hAnsi="仿宋" w:eastAsia="仿宋" w:cs="Arial"/>
          <w:color w:val="000000"/>
          <w:sz w:val="24"/>
          <w:lang w:eastAsia="zh-CN"/>
        </w:rPr>
        <w:t>新昌县中医院</w:t>
      </w:r>
    </w:p>
    <w:p>
      <w:pPr>
        <w:spacing w:line="360" w:lineRule="auto"/>
        <w:ind w:firstLine="426" w:firstLineChars="177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color w:val="000000"/>
          <w:sz w:val="24"/>
        </w:rPr>
        <w:t>、资金来源：</w:t>
      </w:r>
      <w:r>
        <w:rPr>
          <w:rFonts w:hint="eastAsia" w:ascii="仿宋" w:hAnsi="仿宋" w:eastAsia="仿宋"/>
          <w:color w:val="000000"/>
          <w:sz w:val="24"/>
        </w:rPr>
        <w:t>财政资金，已落实。</w:t>
      </w:r>
    </w:p>
    <w:p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（二）特别说明</w:t>
      </w:r>
    </w:p>
    <w:p>
      <w:pPr>
        <w:spacing w:line="360" w:lineRule="auto"/>
        <w:ind w:firstLine="463" w:firstLineChars="192"/>
        <w:rPr>
          <w:rFonts w:hint="eastAsia" w:ascii="仿宋" w:hAnsi="仿宋" w:eastAsia="仿宋" w:cs="Arial"/>
          <w:b/>
          <w:color w:val="000000"/>
          <w:kern w:val="0"/>
          <w:sz w:val="24"/>
          <w:szCs w:val="22"/>
        </w:rPr>
      </w:pPr>
      <w:r>
        <w:rPr>
          <w:rFonts w:hint="eastAsia" w:ascii="仿宋" w:hAnsi="仿宋" w:eastAsia="仿宋" w:cs="Arial"/>
          <w:b/>
          <w:color w:val="000000"/>
          <w:kern w:val="0"/>
          <w:sz w:val="24"/>
          <w:szCs w:val="22"/>
        </w:rPr>
        <w:t>1、本次项目所采购的货物在使用过程中如涉及到试剂、耗材等易耗品的，在投标文件的“备品、备件及专用耗材价格表”中列出价格。</w:t>
      </w:r>
    </w:p>
    <w:p>
      <w:pPr>
        <w:tabs>
          <w:tab w:val="left" w:pos="142"/>
        </w:tabs>
        <w:spacing w:line="360" w:lineRule="auto"/>
        <w:ind w:firstLine="282" w:firstLineChars="117"/>
        <w:rPr>
          <w:rFonts w:hint="eastAsia" w:ascii="仿宋" w:hAnsi="仿宋" w:eastAsia="仿宋" w:cs="Arial"/>
          <w:b/>
          <w:color w:val="000000"/>
          <w:kern w:val="0"/>
          <w:sz w:val="24"/>
          <w:szCs w:val="22"/>
          <w:u w:val="single"/>
        </w:rPr>
      </w:pPr>
      <w:r>
        <w:rPr>
          <w:rFonts w:hint="eastAsia" w:ascii="仿宋" w:hAnsi="仿宋" w:eastAsia="仿宋" w:cs="Arial"/>
          <w:b/>
          <w:color w:val="000000"/>
          <w:kern w:val="0"/>
          <w:sz w:val="24"/>
          <w:szCs w:val="22"/>
          <w:u w:val="single"/>
        </w:rPr>
        <w:t>▲2、若投标供应商的投标报价（包括试剂、耗材等易耗品报价）明显高于浙江省内近期同型号产品（同产品）最低报价的或者明显低于市场价的，评标委员会有权要求投标供应商作出书面解释。投标供应商不能合理解释原因的，投标无效。</w:t>
      </w:r>
    </w:p>
    <w:p>
      <w:pPr>
        <w:spacing w:line="360" w:lineRule="auto"/>
        <w:ind w:firstLine="282" w:firstLineChars="117"/>
        <w:rPr>
          <w:rFonts w:hint="eastAsia" w:ascii="仿宋" w:hAnsi="仿宋" w:eastAsia="仿宋" w:cs="Arial"/>
          <w:b/>
          <w:color w:val="000000"/>
          <w:kern w:val="0"/>
          <w:sz w:val="24"/>
          <w:szCs w:val="22"/>
          <w:u w:val="single"/>
        </w:rPr>
      </w:pPr>
      <w:r>
        <w:rPr>
          <w:rFonts w:hint="eastAsia" w:ascii="仿宋" w:hAnsi="仿宋" w:eastAsia="仿宋" w:cs="Arial"/>
          <w:b/>
          <w:color w:val="000000"/>
          <w:kern w:val="0"/>
          <w:sz w:val="24"/>
          <w:szCs w:val="22"/>
          <w:u w:val="single"/>
        </w:rPr>
        <w:t>▲3、所投产品归属医疗器械的，投标时必须提供所投产品完整有效的《医疗器械注册证》及附件，否则投标无效。</w:t>
      </w:r>
    </w:p>
    <w:p>
      <w:pPr>
        <w:spacing w:line="360" w:lineRule="auto"/>
        <w:ind w:firstLine="463" w:firstLineChars="192"/>
        <w:rPr>
          <w:rFonts w:hint="eastAsia" w:ascii="仿宋" w:hAnsi="仿宋" w:eastAsia="仿宋" w:cs="Arial"/>
          <w:b/>
          <w:color w:val="000000"/>
          <w:kern w:val="0"/>
          <w:sz w:val="24"/>
          <w:szCs w:val="22"/>
          <w:u w:val="single"/>
        </w:rPr>
      </w:pPr>
      <w:r>
        <w:rPr>
          <w:rFonts w:hint="eastAsia" w:ascii="仿宋" w:hAnsi="仿宋" w:eastAsia="仿宋" w:cs="Arial"/>
          <w:b/>
          <w:color w:val="000000"/>
          <w:kern w:val="0"/>
          <w:sz w:val="24"/>
          <w:szCs w:val="22"/>
          <w:u w:val="single"/>
        </w:rPr>
        <w:t>4、招标要求中加注“▲”号的条款为实质性要求条款，不满足的投标无效；标注“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u w:val="single"/>
        </w:rPr>
        <w:t>■</w:t>
      </w:r>
      <w:r>
        <w:rPr>
          <w:rFonts w:hint="eastAsia" w:ascii="仿宋" w:hAnsi="仿宋" w:eastAsia="仿宋" w:cs="Arial"/>
          <w:b/>
          <w:color w:val="000000"/>
          <w:kern w:val="0"/>
          <w:sz w:val="24"/>
          <w:szCs w:val="22"/>
          <w:u w:val="single"/>
        </w:rPr>
        <w:t>”号的条款为“重要技术或功能要求”，评审时予以重点评审（详见商务技术评分办法）。</w:t>
      </w:r>
    </w:p>
    <w:p>
      <w:pPr>
        <w:pStyle w:val="2"/>
        <w:rPr>
          <w:rFonts w:hint="eastAsia"/>
          <w:color w:val="000000"/>
          <w:lang w:eastAsia="zh-CN"/>
        </w:rPr>
      </w:pPr>
      <w:r>
        <w:rPr>
          <w:color w:val="000000"/>
        </w:rPr>
        <w:br w:type="page"/>
      </w:r>
      <w:bookmarkStart w:id="4" w:name="_Toc468709504"/>
      <w:r>
        <w:rPr>
          <w:rFonts w:hint="eastAsia"/>
          <w:color w:val="000000"/>
        </w:rPr>
        <w:t>二、</w:t>
      </w:r>
      <w:bookmarkEnd w:id="4"/>
      <w:r>
        <w:rPr>
          <w:rFonts w:hint="eastAsia"/>
          <w:color w:val="000000"/>
        </w:rPr>
        <w:t>采购清单及质保</w:t>
      </w:r>
      <w:r>
        <w:rPr>
          <w:rFonts w:hint="eastAsia"/>
          <w:color w:val="000000"/>
          <w:lang w:eastAsia="zh-CN"/>
        </w:rPr>
        <w:t>要求</w:t>
      </w:r>
    </w:p>
    <w:tbl>
      <w:tblPr>
        <w:tblStyle w:val="10"/>
        <w:tblW w:w="9498" w:type="dxa"/>
        <w:tblInd w:w="-17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708"/>
        <w:gridCol w:w="709"/>
        <w:gridCol w:w="1418"/>
        <w:gridCol w:w="2126"/>
        <w:gridCol w:w="21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10" w:type="dxa"/>
            <w:shd w:val="clear" w:color="auto" w:fill="FFFF00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</w:pPr>
            <w:r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</w:pPr>
            <w:r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  <w:t>标项</w:t>
            </w:r>
            <w:r>
              <w:rPr>
                <w:rFonts w:hint="eastAsia" w:ascii="仿宋" w:hAnsi="仿宋" w:eastAsia="仿宋" w:cs="Arial"/>
                <w:b/>
                <w:color w:val="000000"/>
                <w:w w:val="90"/>
                <w:sz w:val="24"/>
              </w:rPr>
              <w:t>名称</w:t>
            </w:r>
          </w:p>
        </w:tc>
        <w:tc>
          <w:tcPr>
            <w:tcW w:w="708" w:type="dxa"/>
            <w:shd w:val="clear" w:color="auto" w:fill="FFFF00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w w:val="90"/>
                <w:sz w:val="24"/>
              </w:rPr>
              <w:t>数量</w:t>
            </w:r>
          </w:p>
        </w:tc>
        <w:tc>
          <w:tcPr>
            <w:tcW w:w="709" w:type="dxa"/>
            <w:shd w:val="clear" w:color="auto" w:fill="FFFF00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w w:val="90"/>
                <w:sz w:val="24"/>
              </w:rPr>
              <w:t>单位</w:t>
            </w:r>
          </w:p>
        </w:tc>
        <w:tc>
          <w:tcPr>
            <w:tcW w:w="1418" w:type="dxa"/>
            <w:shd w:val="clear" w:color="auto" w:fill="FFFF00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</w:pPr>
            <w:r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  <w:t>预算金额</w:t>
            </w:r>
          </w:p>
        </w:tc>
        <w:tc>
          <w:tcPr>
            <w:tcW w:w="2126" w:type="dxa"/>
            <w:tcBorders>
              <w:bottom w:val="single" w:color="auto" w:sz="6" w:space="0"/>
            </w:tcBorders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w w:val="90"/>
                <w:sz w:val="24"/>
              </w:rPr>
              <w:t>▲质保要求（整机）</w:t>
            </w:r>
          </w:p>
        </w:tc>
        <w:tc>
          <w:tcPr>
            <w:tcW w:w="2126" w:type="dxa"/>
            <w:shd w:val="clear" w:color="auto" w:fill="FFFF00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w w:val="90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lang w:eastAsia="zh-CN"/>
              </w:rPr>
              <w:t>全自动细菌鉴定药敏分析仪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</w:rPr>
              <w:t>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</w:rPr>
              <w:t>50</w:t>
            </w: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  <w:lang w:val="en-US" w:eastAsia="zh-CN"/>
              </w:rPr>
              <w:t>.00</w:t>
            </w: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</w:rPr>
              <w:t>万</w:t>
            </w:r>
          </w:p>
        </w:tc>
        <w:tc>
          <w:tcPr>
            <w:tcW w:w="21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</w:rPr>
              <w:t>≥</w:t>
            </w:r>
            <w:r>
              <w:rPr>
                <w:rFonts w:hint="eastAsia" w:ascii="仿宋" w:hAnsi="仿宋" w:eastAsia="仿宋" w:cs="Arial"/>
                <w:b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Arial"/>
                <w:b/>
                <w:color w:val="000000"/>
                <w:sz w:val="24"/>
              </w:rPr>
              <w:t>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  <w:lang w:eastAsia="zh-CN"/>
              </w:rPr>
              <w:t>允许</w:t>
            </w: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</w:rPr>
              <w:t>进口产品投标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关节镜系统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</w:rPr>
              <w:t>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</w:rPr>
              <w:t>80</w:t>
            </w: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  <w:lang w:val="en-US" w:eastAsia="zh-CN"/>
              </w:rPr>
              <w:t>.00</w:t>
            </w: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</w:rPr>
              <w:t>万</w:t>
            </w:r>
          </w:p>
        </w:tc>
        <w:tc>
          <w:tcPr>
            <w:tcW w:w="21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</w:rPr>
              <w:t>≥</w:t>
            </w:r>
            <w:r>
              <w:rPr>
                <w:rFonts w:hint="eastAsia" w:ascii="仿宋" w:hAnsi="仿宋" w:eastAsia="仿宋" w:cs="Arial"/>
                <w:b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Arial"/>
                <w:b/>
                <w:color w:val="000000"/>
                <w:sz w:val="24"/>
              </w:rPr>
              <w:t>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  <w:lang w:eastAsia="zh-CN"/>
              </w:rPr>
              <w:t>允许</w:t>
            </w: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</w:rPr>
              <w:t>进口产品投标</w:t>
            </w:r>
          </w:p>
        </w:tc>
      </w:tr>
    </w:tbl>
    <w:p>
      <w:pPr>
        <w:spacing w:line="360" w:lineRule="auto"/>
        <w:ind w:firstLine="371" w:firstLineChars="177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  <w:lang w:eastAsia="zh-CN"/>
        </w:rPr>
      </w:pPr>
      <w:r>
        <w:rPr>
          <w:color w:val="000000"/>
        </w:rPr>
        <w:br w:type="page"/>
      </w:r>
      <w:bookmarkStart w:id="5" w:name="_Toc468709505"/>
      <w:r>
        <w:rPr>
          <w:rFonts w:hint="eastAsia"/>
          <w:color w:val="000000"/>
        </w:rPr>
        <w:t>三、</w:t>
      </w:r>
      <w:r>
        <w:rPr>
          <w:rFonts w:hint="eastAsia"/>
          <w:color w:val="000000"/>
          <w:lang w:eastAsia="zh-CN"/>
        </w:rPr>
        <w:t>技术要求（</w:t>
      </w:r>
      <w:r>
        <w:rPr>
          <w:rFonts w:hint="eastAsia"/>
          <w:color w:val="000000"/>
        </w:rPr>
        <w:t>技术</w:t>
      </w:r>
      <w:r>
        <w:rPr>
          <w:rFonts w:hint="eastAsia"/>
          <w:color w:val="000000"/>
          <w:lang w:eastAsia="zh-CN"/>
        </w:rPr>
        <w:t>指标</w:t>
      </w:r>
      <w:r>
        <w:rPr>
          <w:rFonts w:hint="eastAsia"/>
          <w:color w:val="000000"/>
        </w:rPr>
        <w:t>、功能及配置</w:t>
      </w:r>
      <w:r>
        <w:rPr>
          <w:rFonts w:hint="eastAsia"/>
          <w:color w:val="000000"/>
          <w:lang w:eastAsia="zh-CN"/>
        </w:rPr>
        <w:t>）</w:t>
      </w:r>
      <w:bookmarkEnd w:id="5"/>
    </w:p>
    <w:p>
      <w:pPr>
        <w:pStyle w:val="3"/>
        <w:numPr>
          <w:ilvl w:val="0"/>
          <w:numId w:val="1"/>
        </w:numPr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标项一、全自动细菌鉴定药敏分析仪（1套）</w:t>
      </w:r>
    </w:p>
    <w:p>
      <w:pPr>
        <w:pStyle w:val="4"/>
        <w:jc w:val="left"/>
        <w:rPr>
          <w:rFonts w:hint="eastAsia" w:ascii="Arial" w:hAnsi="Arial"/>
          <w:kern w:val="0"/>
          <w:lang w:val="en-US" w:eastAsia="zh-CN"/>
        </w:rPr>
      </w:pPr>
      <w:r>
        <w:rPr>
          <w:rFonts w:hint="eastAsia" w:ascii="Arial" w:hAnsi="Arial"/>
          <w:kern w:val="0"/>
          <w:lang w:val="en-US" w:eastAsia="zh-CN"/>
        </w:rPr>
        <w:t>1.1、技术参数要求</w:t>
      </w:r>
    </w:p>
    <w:tbl>
      <w:tblPr>
        <w:tblStyle w:val="1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022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8300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招标要求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适用于微生物实验室全自动化快速鉴定及药敏试验的检测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具体技术参数要求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1.1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仪器检测试卡容量≥60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■2.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1.2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仪器可鉴定G-菌、G+菌、酵母菌、奈瑟氏菌、嗜血杆菌、弯曲菌、苛氧菌等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■2.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1.3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鉴定细菌原理：多光谱比色比浊法，动态检测，每20分钟内自动检测一次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■2.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1.4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鉴定卡、药敏卡均为单独封闭式试卡，保证实验室的安全性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1.5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鉴定与药敏试验MIC结果80%临床常见菌6-8小时内得到报告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1.6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具有FDA认证的肺炎链球菌耐药性检测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1.7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具有真空充填仓，加样在密封环境下进行，可一次批量完成10张试卡的加样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1.8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采用电子比浊仪标准化制备菌悬液，测量细菌浓度范围0.5-7.0麦氏单位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2.1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仪器由载卡架/真空充填器/卡片封口器/读数器传送带和废物箱整合提供全自动化快速鉴定及药敏结果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■2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2.2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仪器专家系统利用指纹图谱判断原理可识别900多种细菌耐药机制，可检测耐药表型≥2000种、MIC分布图≥20000个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2.3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认证软件/质量控制模块协助实验室的系统认证和室内质控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2.4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系统软件具备密码保护/审核和批准功能的电子签名/审核追踪/联网功能，可实现远程诊断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2.5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具全面的微生物系列产品提供完善的技术支持，在同系统中已广泛使用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2.3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b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配置要求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分析系统主机1台，条码读出器1个，电子比浊仪1个，启用工具箱1套，加样枪1把，稳压器1个，分液器1个，配置好数据系统及中文报告软件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UPS 1台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3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电脑和打印机1套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2.4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提供配套试剂价格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</w:t>
            </w:r>
          </w:p>
        </w:tc>
        <w:tc>
          <w:tcPr>
            <w:tcW w:w="8300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提供主要维修配件和耗材价格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pStyle w:val="4"/>
        <w:rPr>
          <w:rFonts w:hint="eastAsia"/>
        </w:rPr>
      </w:pPr>
      <w:r>
        <w:rPr>
          <w:rFonts w:hint="eastAsia" w:ascii="Arial" w:hAnsi="Arial"/>
          <w:kern w:val="0"/>
          <w:lang w:val="en-US" w:eastAsia="zh-CN"/>
        </w:rPr>
        <w:t>1.</w:t>
      </w:r>
      <w:r>
        <w:rPr>
          <w:rFonts w:hint="eastAsia" w:ascii="Arial" w:hAnsi="Arial"/>
          <w:kern w:val="0"/>
        </w:rPr>
        <w:t>2、售后服务</w:t>
      </w:r>
    </w:p>
    <w:p>
      <w:pPr>
        <w:spacing w:line="360" w:lineRule="auto"/>
        <w:ind w:left="0" w:firstLine="424" w:firstLineChars="177"/>
        <w:jc w:val="left"/>
        <w:rPr>
          <w:rFonts w:hint="eastAsia" w:ascii="仿宋" w:hAnsi="仿宋" w:eastAsia="仿宋" w:cs="Arial"/>
          <w:b w:val="0"/>
          <w:bCs/>
          <w:color w:val="000000"/>
          <w:sz w:val="24"/>
        </w:rPr>
      </w:pPr>
      <w:r>
        <w:rPr>
          <w:rFonts w:hint="eastAsia" w:ascii="仿宋" w:hAnsi="仿宋" w:eastAsia="仿宋" w:cs="Arial"/>
          <w:b w:val="0"/>
          <w:bCs/>
          <w:color w:val="000000"/>
          <w:sz w:val="24"/>
        </w:rPr>
        <w:t>（1）具有完善的售后服务体系，有办事机构或售后服务部，并有常驻工程师，能对用户随机提供技术咨询和维修服务；</w:t>
      </w:r>
    </w:p>
    <w:p>
      <w:pPr>
        <w:spacing w:line="360" w:lineRule="auto"/>
        <w:ind w:left="0" w:firstLine="424" w:firstLineChars="177"/>
        <w:jc w:val="left"/>
        <w:rPr>
          <w:rFonts w:hint="eastAsia" w:ascii="仿宋" w:hAnsi="仿宋" w:eastAsia="仿宋" w:cs="Arial"/>
          <w:b w:val="0"/>
          <w:bCs/>
          <w:color w:val="000000"/>
          <w:sz w:val="24"/>
        </w:rPr>
      </w:pPr>
      <w:r>
        <w:rPr>
          <w:rFonts w:hint="eastAsia" w:ascii="仿宋" w:hAnsi="仿宋" w:eastAsia="仿宋" w:cs="Arial"/>
          <w:b w:val="0"/>
          <w:bCs/>
          <w:color w:val="000000"/>
          <w:sz w:val="24"/>
        </w:rPr>
        <w:t>（2）设备验收合格后免费质保不少于2年，质保期内每年不少于4次维护保养。在设备整个使用期内，免费提供设备升级服务，确保所有维修配件的提供，不收取任何差旅费、人工费，并且保证设备停产八年后，也能提供所需维修配件；</w:t>
      </w:r>
    </w:p>
    <w:p>
      <w:pPr>
        <w:snapToGrid/>
        <w:spacing w:line="360" w:lineRule="auto"/>
        <w:ind w:firstLine="424" w:firstLineChars="177"/>
        <w:jc w:val="left"/>
        <w:rPr>
          <w:rFonts w:hint="eastAsia" w:ascii="仿宋" w:hAnsi="仿宋" w:eastAsia="仿宋" w:cs="Arial"/>
          <w:b w:val="0"/>
          <w:bCs/>
          <w:color w:val="000000"/>
          <w:sz w:val="24"/>
        </w:rPr>
      </w:pPr>
      <w:r>
        <w:rPr>
          <w:rFonts w:hint="eastAsia" w:ascii="仿宋" w:hAnsi="仿宋" w:eastAsia="仿宋" w:cs="Arial"/>
          <w:b w:val="0"/>
          <w:bCs/>
          <w:color w:val="000000"/>
          <w:sz w:val="24"/>
        </w:rPr>
        <w:t>（3）维修响应时间4小时内,24小时内到达维修现场。</w:t>
      </w:r>
    </w:p>
    <w:p>
      <w:pPr>
        <w:pStyle w:val="3"/>
        <w:rPr>
          <w:rFonts w:hint="eastAsia"/>
          <w:color w:val="000000"/>
          <w:lang w:eastAsia="zh-CN"/>
        </w:rPr>
      </w:pPr>
      <w:r>
        <w:rPr>
          <w:color w:val="000000"/>
        </w:rPr>
        <w:br w:type="page"/>
      </w:r>
      <w:r>
        <w:rPr>
          <w:rFonts w:hint="eastAsia"/>
          <w:color w:val="000000"/>
          <w:lang w:eastAsia="zh-CN"/>
        </w:rPr>
        <w:t>（二）标项二、</w:t>
      </w:r>
      <w:r>
        <w:rPr>
          <w:rFonts w:hint="eastAsia"/>
          <w:color w:val="000000"/>
        </w:rPr>
        <w:t>关节镜系统</w:t>
      </w:r>
      <w:r>
        <w:rPr>
          <w:rFonts w:hint="eastAsia"/>
          <w:color w:val="000000"/>
          <w:lang w:eastAsia="zh-CN"/>
        </w:rPr>
        <w:t>（1套）</w:t>
      </w:r>
    </w:p>
    <w:p>
      <w:pPr>
        <w:pStyle w:val="4"/>
        <w:jc w:val="left"/>
        <w:rPr>
          <w:rFonts w:hint="eastAsia" w:ascii="Arial" w:hAnsi="Arial"/>
          <w:kern w:val="0"/>
          <w:lang w:val="en-US" w:eastAsia="zh-CN"/>
        </w:rPr>
      </w:pPr>
      <w:r>
        <w:rPr>
          <w:rFonts w:hint="eastAsia" w:ascii="Arial" w:hAnsi="Arial"/>
          <w:color w:val="000000"/>
          <w:kern w:val="0"/>
          <w:lang w:val="en-US" w:eastAsia="zh-CN"/>
        </w:rPr>
        <w:t>2.1技术参数要求</w:t>
      </w:r>
    </w:p>
    <w:tbl>
      <w:tblPr>
        <w:tblStyle w:val="1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</w:rPr>
              <w:t>序号</w:t>
            </w:r>
          </w:p>
        </w:tc>
        <w:tc>
          <w:tcPr>
            <w:tcW w:w="837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</w:rPr>
              <w:t>招标要求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摄像系统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关节镜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高清关节镜，标有HD标志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1.2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直径4 mm，长度 152.5mm，30度视角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1.3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宝石镜面，激光焊接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1.4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可高温高压灭菌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w w:val="90"/>
                <w:sz w:val="24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1.5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提供专用光纤，能与医院在用的奥林巴斯、史赛克等腔镜主机连接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1.6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提供专用镜头消毒盒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高流量镜鞘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关节镜入路系统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2.2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快速锁定工作鞘管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2.3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高流量进出水阀各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1个，鞘管前端窗孔设计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3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闭孔器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3.1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镜鞘专用圆锥闭孔器，4.0mm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动力刨削系统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刨削动力主机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自动识别多种手柄，钻、锯、磨均能实现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1.2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支持连接两路手柄及两个脚踏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1.3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液晶显示屏，支持触摸式操作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1.4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手柄工作模式和转速记忆功能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w w:val="90"/>
                <w:sz w:val="24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1.5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可以远程预设刨削手柄参数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1.6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手术显示器能直接显示刨削手柄参数及工作状态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手控刨削手柄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重量≤250g，磨砂防滑手柄设计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2.2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手柄有正转，反转，往复转三种模式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2.3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往复转具有标准/高效/强劲三种方式，满足不同类型手术需求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2.4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最大转速：正/反转≥12000转/分；往复转≥3000转/分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2.5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有2个人体工学设计的手控按钮，能实现手柄开关、方向和转速等控制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2.6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直排式负压吸引控制开关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2.7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提供专用手柄消毒盒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关节基础工具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膝关节基础工具包括带刻度探勾、宽口直蓝钳、窄口直蓝钳、上翘15°篮钳、90°左弯篮钳、90°右弯篮钳、半月板宽口篮钳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肩关节基础工具包括鹤嘴过线器、缝线抓钳、肩袖抓钳、剪线器、推结器、左45°拉索、右45°拉索、直角90°拉索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3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提供专用消毒盒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等离子射频系统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等离子射频汽化系统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等离子刀头种类齐全，适用于膝关节、肩关节、小关节等各类关节镜手术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1.2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工作介质：生理盐水，把组织分解成二氧化碳、水及其他气体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1.3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等离子刀头采用双极结构，确保电场不进入人体，手术过程无碳化及出血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1.4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等离子刀头具有内置吸引功能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1.5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多功能刀头具有打孔消融、切割、止血、吸引功能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1.6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b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具有数码开机自检系统功能，故障报警提示、器械自动识别功能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w w:val="90"/>
                <w:sz w:val="24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1.7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 xml:space="preserve">具有无损安全功能：针对误操作等，电机汽化头接触到金属物时系统自动关闭，避免镜鞘等损坏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w w:val="90"/>
                <w:sz w:val="24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1.8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具有输出功率分级调节功能，切割功率100w-260w，各级功率连续可调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1.9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温度控制：适用于热效应电极汽化头和温控电极汽化头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1.10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切割温度≤54°，止血温度：48°-65°可调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1.11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具备一体式和分体式两种刀头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1.12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组织热穿透深度≤2mm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1.13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双极工作原理，无需负极板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1.14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单一手柄使用所有刀头。可高温高压消毒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1.15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等离子作用范围≤0.2mm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脚踏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2.1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有等离子汽化系统专用脚控开关脚踏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肩关节牵引架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三点式侧卧位牵引架，牵引角度可调，0-60度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1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提供详细的配置清单及价格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/>
              </w:rPr>
              <w:t>2</w:t>
            </w:r>
          </w:p>
        </w:tc>
        <w:tc>
          <w:tcPr>
            <w:tcW w:w="8372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eastAsia="zh-TW" w:bidi="ar"/>
              </w:rPr>
              <w:t>提供配套用的耗材价格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TW" w:bidi="ar"/>
              </w:rPr>
              <w:t>。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pStyle w:val="4"/>
        <w:rPr>
          <w:rFonts w:hint="eastAsia" w:ascii="Arial" w:hAnsi="Arial"/>
          <w:color w:val="000000"/>
          <w:kern w:val="0"/>
          <w:lang w:val="en-US" w:eastAsia="zh-CN"/>
        </w:rPr>
      </w:pPr>
      <w:r>
        <w:rPr>
          <w:rFonts w:hint="eastAsia" w:ascii="Arial" w:hAnsi="Arial"/>
          <w:color w:val="000000"/>
          <w:kern w:val="0"/>
          <w:lang w:val="en-US" w:eastAsia="zh-CN"/>
        </w:rPr>
        <w:t>2.2售后服务</w:t>
      </w:r>
    </w:p>
    <w:p>
      <w:pPr>
        <w:spacing w:line="360" w:lineRule="auto"/>
        <w:ind w:firstLine="424" w:firstLineChars="177"/>
        <w:jc w:val="left"/>
        <w:rPr>
          <w:rFonts w:hint="eastAsia" w:ascii="仿宋" w:hAnsi="仿宋" w:eastAsia="仿宋" w:cs="Arial"/>
          <w:bCs/>
          <w:color w:val="000000"/>
          <w:sz w:val="24"/>
          <w:szCs w:val="24"/>
        </w:rPr>
      </w:pPr>
      <w:r>
        <w:rPr>
          <w:rFonts w:hint="eastAsia" w:ascii="仿宋" w:hAnsi="仿宋" w:eastAsia="仿宋" w:cs="Arial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Arial"/>
          <w:bCs/>
          <w:color w:val="000000"/>
          <w:sz w:val="24"/>
          <w:szCs w:val="24"/>
          <w:lang w:val="en-US" w:eastAsia="zh-CN"/>
        </w:rPr>
        <w:t>1）</w:t>
      </w:r>
      <w:r>
        <w:rPr>
          <w:rFonts w:hint="eastAsia" w:ascii="仿宋" w:hAnsi="仿宋" w:eastAsia="仿宋" w:cs="Arial"/>
          <w:bCs/>
          <w:color w:val="000000"/>
          <w:sz w:val="24"/>
          <w:szCs w:val="24"/>
        </w:rPr>
        <w:t>具有完善的售后服务体系，有办事机构或售后服务部，并有常驻工程师，能对用户随机提供技术咨询和维修服务；</w:t>
      </w:r>
    </w:p>
    <w:p>
      <w:pPr>
        <w:spacing w:line="360" w:lineRule="auto"/>
        <w:ind w:firstLine="424" w:firstLineChars="177"/>
        <w:jc w:val="left"/>
        <w:rPr>
          <w:rFonts w:hint="eastAsia" w:ascii="仿宋" w:hAnsi="仿宋" w:eastAsia="仿宋" w:cs="Arial"/>
          <w:bCs/>
          <w:color w:val="000000"/>
          <w:sz w:val="24"/>
          <w:szCs w:val="24"/>
        </w:rPr>
      </w:pPr>
      <w:r>
        <w:rPr>
          <w:rFonts w:hint="eastAsia" w:ascii="仿宋" w:hAnsi="仿宋" w:eastAsia="仿宋" w:cs="Arial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Arial"/>
          <w:bCs/>
          <w:color w:val="000000"/>
          <w:sz w:val="24"/>
          <w:szCs w:val="24"/>
          <w:lang w:val="en-US" w:eastAsia="zh-CN"/>
        </w:rPr>
        <w:t>2）</w:t>
      </w:r>
      <w:r>
        <w:rPr>
          <w:rFonts w:hint="eastAsia" w:ascii="仿宋" w:hAnsi="仿宋" w:eastAsia="仿宋" w:cs="Arial"/>
          <w:bCs/>
          <w:color w:val="000000"/>
          <w:sz w:val="24"/>
          <w:szCs w:val="24"/>
        </w:rPr>
        <w:t>设备验收合格后免费质保不少于2年，质保期内每年不少于3次维护保养。在设备整个使用期内，免费提供设备升级服务，确保所有维修配件的提供，不收取任何差旅费、人工费，并且保证设备停产八年后，也能提供所需维修配件；</w:t>
      </w:r>
    </w:p>
    <w:p>
      <w:pPr>
        <w:spacing w:line="360" w:lineRule="auto"/>
        <w:ind w:firstLine="424" w:firstLineChars="177"/>
        <w:jc w:val="left"/>
        <w:rPr>
          <w:rFonts w:hint="eastAsia" w:ascii="仿宋" w:hAnsi="仿宋" w:eastAsia="仿宋" w:cs="Arial"/>
          <w:bCs/>
          <w:color w:val="000000"/>
          <w:sz w:val="24"/>
        </w:rPr>
      </w:pPr>
      <w:r>
        <w:rPr>
          <w:rFonts w:hint="eastAsia" w:ascii="仿宋" w:hAnsi="仿宋" w:eastAsia="仿宋" w:cs="Arial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Arial"/>
          <w:bCs/>
          <w:color w:val="000000"/>
          <w:sz w:val="24"/>
          <w:szCs w:val="24"/>
          <w:lang w:val="en-US" w:eastAsia="zh-CN"/>
        </w:rPr>
        <w:t>3）</w:t>
      </w:r>
      <w:r>
        <w:rPr>
          <w:rFonts w:hint="eastAsia" w:ascii="仿宋" w:hAnsi="仿宋" w:eastAsia="仿宋" w:cs="Arial"/>
          <w:bCs/>
          <w:color w:val="000000"/>
          <w:sz w:val="24"/>
          <w:szCs w:val="24"/>
        </w:rPr>
        <w:t>维修响应时间4小时内,24小时内到达维修现场。</w:t>
      </w:r>
    </w:p>
    <w:p>
      <w:pPr>
        <w:pStyle w:val="2"/>
        <w:rPr>
          <w:rFonts w:hint="eastAsia"/>
          <w:color w:val="000000"/>
        </w:rPr>
      </w:pPr>
      <w:r>
        <w:rPr>
          <w:color w:val="000000"/>
        </w:rPr>
        <w:br w:type="page"/>
      </w:r>
      <w:bookmarkStart w:id="6" w:name="_Toc440162784"/>
      <w:bookmarkStart w:id="7" w:name="_Toc468709506"/>
      <w:r>
        <w:rPr>
          <w:rFonts w:hint="eastAsia"/>
          <w:color w:val="000000"/>
        </w:rPr>
        <w:t>四、商务要求</w:t>
      </w:r>
      <w:bookmarkEnd w:id="6"/>
      <w:bookmarkEnd w:id="7"/>
    </w:p>
    <w:tbl>
      <w:tblPr>
        <w:tblStyle w:val="10"/>
        <w:tblW w:w="91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70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6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708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  <w:t>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2"/>
                <w:szCs w:val="22"/>
              </w:rPr>
              <w:t>▲</w:t>
            </w: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投标报价</w:t>
            </w: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</w:rPr>
              <w:t>范围</w:t>
            </w:r>
          </w:p>
        </w:tc>
        <w:tc>
          <w:tcPr>
            <w:tcW w:w="7087" w:type="dxa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  <w:t>本项目采用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  <w:szCs w:val="22"/>
              </w:rPr>
              <w:t>固定</w:t>
            </w:r>
            <w:r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  <w:t>总价合同，中标（成交）供应商的投标报价是履行合同的最终价格，报价应包括完成合同所涉及的全部内容，包含但不仅限于所有货物供货、运输、安装（含所有辅材）、调试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  <w:t>验收配合、第三方检测（若需要）、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  <w:szCs w:val="22"/>
              </w:rPr>
              <w:t>售后服务</w:t>
            </w:r>
            <w:r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  <w:t>、技术培训等全部工作所需的一切费用，以及税金、人工、管理、合理利润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  <w:szCs w:val="22"/>
              </w:rPr>
              <w:t>、采购代理费</w:t>
            </w:r>
            <w:r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  <w:t>等一切成本及费用（以上所有费用包含在综合单价中，不另列）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  <w:szCs w:val="22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</w:rPr>
              <w:t>交货期</w:t>
            </w:r>
          </w:p>
        </w:tc>
        <w:tc>
          <w:tcPr>
            <w:tcW w:w="7087" w:type="dxa"/>
            <w:vAlign w:val="center"/>
          </w:tcPr>
          <w:p>
            <w:pPr>
              <w:spacing w:line="276" w:lineRule="auto"/>
              <w:jc w:val="both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hint="default" w:ascii="仿宋" w:hAnsi="仿宋" w:eastAsia="仿宋" w:cs="Arial"/>
                <w:color w:val="000000"/>
                <w:w w:val="100"/>
                <w:sz w:val="22"/>
                <w:szCs w:val="22"/>
              </w:rPr>
              <w:t>签订合同后60天内送货至医院指定地点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</w:rPr>
              <w:t>送货及安装地点</w:t>
            </w:r>
          </w:p>
        </w:tc>
        <w:tc>
          <w:tcPr>
            <w:tcW w:w="7087" w:type="dxa"/>
            <w:vAlign w:val="center"/>
          </w:tcPr>
          <w:p>
            <w:pPr>
              <w:spacing w:line="276" w:lineRule="auto"/>
              <w:jc w:val="both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hint="default" w:ascii="仿宋" w:hAnsi="仿宋" w:eastAsia="仿宋" w:cs="Arial"/>
                <w:color w:val="000000"/>
                <w:w w:val="100"/>
                <w:sz w:val="22"/>
                <w:szCs w:val="22"/>
              </w:rPr>
              <w:t>采购人指定地点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安装</w:t>
            </w: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</w:rPr>
              <w:t>要求</w:t>
            </w:r>
          </w:p>
        </w:tc>
        <w:tc>
          <w:tcPr>
            <w:tcW w:w="7087" w:type="dxa"/>
            <w:vAlign w:val="center"/>
          </w:tcPr>
          <w:p>
            <w:pPr>
              <w:spacing w:line="276" w:lineRule="auto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（1）安装标准：符合国家安全技术标准</w:t>
            </w:r>
          </w:p>
          <w:p>
            <w:pPr>
              <w:spacing w:line="276" w:lineRule="auto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（2）安装过程中发生的费用由卖方负责。投标</w:t>
            </w: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</w:rPr>
              <w:t>供应商</w:t>
            </w: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应在《</w:t>
            </w: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</w:rPr>
              <w:t>商务技术</w:t>
            </w: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文件》中提供其安装调试计划和对安装场地和环境的要求。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（3）本项目所有货物的安装涉及的所有工作及配件辅材均由中标人负责，费用计入投标总价。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验收</w:t>
            </w:r>
          </w:p>
        </w:tc>
        <w:tc>
          <w:tcPr>
            <w:tcW w:w="7087" w:type="dxa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（1）中标供应商应派专业的技术人员协助采购人进行验收。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（2）验收标准：与产品原始样本技术数据及投标书技术要求一致，并符合国家有关技术规范和技术标准。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（3）验收过程中发生的第三方检测验收费用（商检、质检等）由中标供应商负责。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培训</w:t>
            </w:r>
          </w:p>
        </w:tc>
        <w:tc>
          <w:tcPr>
            <w:tcW w:w="7087" w:type="dxa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</w:rPr>
              <w:t>培训</w:t>
            </w: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内容包括产品的功能、操作、日常维护、一般故障处理等内容。培训涉及的所有费用由中标供应商承担。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  <w:szCs w:val="22"/>
              </w:rPr>
              <w:t>具体培训方案请在投标文件中明确说明。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售后服务</w:t>
            </w:r>
          </w:p>
        </w:tc>
        <w:tc>
          <w:tcPr>
            <w:tcW w:w="7087" w:type="dxa"/>
            <w:vAlign w:val="center"/>
          </w:tcPr>
          <w:p>
            <w:pPr>
              <w:spacing w:line="276" w:lineRule="auto"/>
              <w:rPr>
                <w:rFonts w:ascii="仿宋" w:hAnsi="仿宋" w:eastAsia="仿宋" w:cs="Arial"/>
                <w:b/>
                <w:bCs/>
                <w:color w:val="000000"/>
                <w:w w:val="90"/>
                <w:sz w:val="24"/>
                <w:szCs w:val="22"/>
                <w:u w:val="single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w w:val="90"/>
                <w:sz w:val="24"/>
                <w:szCs w:val="22"/>
                <w:highlight w:val="yellow"/>
              </w:rPr>
              <w:t>▲（1）</w:t>
            </w:r>
            <w:r>
              <w:rPr>
                <w:rFonts w:ascii="仿宋" w:hAnsi="仿宋" w:eastAsia="仿宋" w:cs="Arial"/>
                <w:b/>
                <w:color w:val="000000"/>
                <w:w w:val="90"/>
                <w:sz w:val="24"/>
                <w:szCs w:val="22"/>
                <w:highlight w:val="yellow"/>
              </w:rPr>
              <w:t>质保期：</w:t>
            </w:r>
            <w:r>
              <w:rPr>
                <w:rFonts w:hint="eastAsia" w:ascii="仿宋" w:hAnsi="仿宋" w:eastAsia="仿宋" w:cs="Arial"/>
                <w:b/>
                <w:bCs/>
                <w:color w:val="000000"/>
                <w:w w:val="90"/>
                <w:sz w:val="24"/>
                <w:szCs w:val="22"/>
                <w:highlight w:val="yellow"/>
                <w:u w:val="single"/>
              </w:rPr>
              <w:t>详见“二、采购清单及质保说明”</w:t>
            </w:r>
          </w:p>
          <w:p>
            <w:pPr>
              <w:spacing w:line="276" w:lineRule="auto"/>
              <w:rPr>
                <w:rFonts w:ascii="仿宋" w:hAnsi="仿宋" w:eastAsia="仿宋" w:cs="Arial"/>
                <w:color w:val="000000"/>
                <w:w w:val="90"/>
                <w:sz w:val="24"/>
                <w:szCs w:val="22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  <w:szCs w:val="22"/>
              </w:rPr>
              <w:t>（2）</w:t>
            </w: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  <w:szCs w:val="22"/>
                <w:lang w:eastAsia="zh-CN"/>
              </w:rPr>
              <w:t>具体售后服务：</w:t>
            </w: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  <w:szCs w:val="22"/>
                <w:u w:val="single"/>
                <w:lang w:eastAsia="zh-CN"/>
              </w:rPr>
              <w:t>详见“三、技术要求”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Arial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  <w:szCs w:val="22"/>
              </w:rPr>
              <w:t>（3）</w:t>
            </w:r>
            <w:r>
              <w:rPr>
                <w:rFonts w:ascii="仿宋" w:hAnsi="仿宋" w:eastAsia="仿宋" w:cs="Arial"/>
                <w:b/>
                <w:color w:val="000000"/>
                <w:w w:val="90"/>
                <w:sz w:val="24"/>
                <w:szCs w:val="22"/>
              </w:rPr>
              <w:t>投标人应提供质保期后的服务计划或建议</w:t>
            </w:r>
            <w:r>
              <w:rPr>
                <w:rFonts w:ascii="仿宋" w:hAnsi="仿宋" w:eastAsia="仿宋" w:cs="Arial"/>
                <w:color w:val="000000"/>
                <w:w w:val="90"/>
                <w:sz w:val="24"/>
                <w:szCs w:val="22"/>
              </w:rPr>
              <w:t>，明确收费事项及标准，保修后免费维修。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  <w:szCs w:val="22"/>
              </w:rPr>
              <w:t>付款方式</w:t>
            </w:r>
          </w:p>
        </w:tc>
        <w:tc>
          <w:tcPr>
            <w:tcW w:w="7087" w:type="dxa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Arial"/>
                <w:color w:val="000000"/>
                <w:w w:val="90"/>
                <w:sz w:val="24"/>
                <w:szCs w:val="22"/>
              </w:rPr>
            </w:pP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  <w:szCs w:val="22"/>
              </w:rPr>
              <w:t>货到安装调试验收合格后</w:t>
            </w: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  <w:szCs w:val="22"/>
                <w:lang w:val="zh-TW" w:eastAsia="zh-TW"/>
              </w:rPr>
              <w:t>三个月内付合同金额的90%，其余10%验收合格满1年后7个工作日内付清。</w:t>
            </w:r>
            <w:r>
              <w:rPr>
                <w:rFonts w:hint="eastAsia" w:ascii="仿宋" w:hAnsi="仿宋" w:eastAsia="仿宋" w:cs="Arial"/>
                <w:color w:val="000000"/>
                <w:w w:val="90"/>
                <w:sz w:val="24"/>
                <w:szCs w:val="22"/>
              </w:rPr>
              <w:t>（具体付款方式以合同签订为准）。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细圆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P Simplified Hans Light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5328"/>
    <w:multiLevelType w:val="singleLevel"/>
    <w:tmpl w:val="59E4532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4D6DDC"/>
    <w:rsid w:val="150F78AC"/>
    <w:rsid w:val="316467BF"/>
    <w:rsid w:val="716F7E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paragraph" w:styleId="3">
    <w:name w:val="heading 3"/>
    <w:basedOn w:val="1"/>
    <w:next w:val="1"/>
    <w:link w:val="12"/>
    <w:unhideWhenUsed/>
    <w:qFormat/>
    <w:uiPriority w:val="0"/>
    <w:pPr>
      <w:spacing w:line="360" w:lineRule="auto"/>
      <w:ind w:left="2220" w:hanging="420"/>
      <w:jc w:val="left"/>
      <w:outlineLvl w:val="2"/>
    </w:pPr>
    <w:rPr>
      <w:rFonts w:ascii="Times New Roman" w:hAnsi="Times New Roman" w:eastAsia="宋体" w:cs="Times New Roman"/>
      <w:bCs/>
      <w:sz w:val="24"/>
      <w:szCs w:val="21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160" w:after="170"/>
      <w:jc w:val="left"/>
      <w:outlineLvl w:val="3"/>
    </w:pPr>
    <w:rPr>
      <w:rFonts w:ascii="华文中宋" w:hAnsi="华文中宋" w:eastAsia="华文中宋"/>
      <w:b/>
      <w:bCs/>
      <w:color w:val="000000"/>
      <w:sz w:val="24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360" w:after="180" w:line="360" w:lineRule="auto"/>
      <w:jc w:val="center"/>
      <w:outlineLvl w:val="0"/>
    </w:pPr>
    <w:rPr>
      <w:rFonts w:ascii="Cambria" w:hAnsi="Cambria" w:eastAsia="华文中宋"/>
      <w:b/>
      <w:bCs/>
      <w:sz w:val="44"/>
      <w:szCs w:val="32"/>
    </w:rPr>
  </w:style>
  <w:style w:type="character" w:styleId="9">
    <w:name w:val="page number"/>
    <w:basedOn w:val="8"/>
    <w:uiPriority w:val="0"/>
  </w:style>
  <w:style w:type="character" w:customStyle="1" w:styleId="11">
    <w:name w:val="标题 2 Char"/>
    <w:basedOn w:val="8"/>
    <w:link w:val="2"/>
    <w:uiPriority w:val="0"/>
    <w:rPr>
      <w:rFonts w:ascii="Cambria" w:hAnsi="Cambria" w:eastAsia="宋体" w:cs="Times New Roman"/>
      <w:bCs/>
      <w:sz w:val="32"/>
      <w:szCs w:val="32"/>
    </w:rPr>
  </w:style>
  <w:style w:type="character" w:customStyle="1" w:styleId="12">
    <w:name w:val="标题 3 Char"/>
    <w:basedOn w:val="8"/>
    <w:link w:val="3"/>
    <w:uiPriority w:val="0"/>
    <w:rPr>
      <w:rFonts w:ascii="Times New Roman" w:hAnsi="Times New Roman" w:eastAsia="宋体" w:cs="Times New Roman"/>
      <w:b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浙江省成套招标代理有限公司</dc:creator>
  <cp:lastModifiedBy>浙江省成套招标代理有限公司</cp:lastModifiedBy>
  <dcterms:modified xsi:type="dcterms:W3CDTF">2017-10-17T08:46:58Z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