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color w:val="auto"/>
          <w:szCs w:val="32"/>
        </w:rPr>
      </w:pPr>
      <w:r>
        <w:rPr>
          <w:rFonts w:hint="eastAsia"/>
          <w:b/>
          <w:color w:val="auto"/>
          <w:sz w:val="44"/>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029"/>
                <wp:lineTo x="21389" y="21029"/>
                <wp:lineTo x="21389" y="0"/>
                <wp:lineTo x="0" y="0"/>
              </wp:wrapPolygon>
            </wp:wrapTight>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color w:val="auto"/>
          <w:sz w:val="32"/>
          <w:szCs w:val="32"/>
        </w:rPr>
        <w:t xml:space="preserve">                                           </w:t>
      </w:r>
    </w:p>
    <w:p>
      <w:pPr>
        <w:ind w:right="-281"/>
        <w:jc w:val="right"/>
        <w:rPr>
          <w:rFonts w:ascii="Bookman Old Style" w:hAnsi="Bookman Old Style"/>
          <w:b/>
          <w:color w:val="auto"/>
          <w:sz w:val="28"/>
        </w:rPr>
      </w:pPr>
    </w:p>
    <w:p>
      <w:pPr>
        <w:spacing w:after="312" w:afterLines="100" w:line="500" w:lineRule="exact"/>
        <w:jc w:val="center"/>
        <w:rPr>
          <w:b/>
          <w:color w:val="auto"/>
          <w:sz w:val="44"/>
          <w:szCs w:val="44"/>
        </w:rPr>
      </w:pPr>
    </w:p>
    <w:p>
      <w:pPr>
        <w:spacing w:after="312" w:afterLines="100" w:line="500" w:lineRule="exact"/>
        <w:jc w:val="center"/>
        <w:rPr>
          <w:b/>
          <w:color w:val="auto"/>
          <w:sz w:val="52"/>
          <w:szCs w:val="52"/>
        </w:rPr>
      </w:pPr>
    </w:p>
    <w:p>
      <w:pPr>
        <w:spacing w:after="312" w:afterLines="100" w:line="500" w:lineRule="exact"/>
        <w:jc w:val="center"/>
        <w:rPr>
          <w:b/>
          <w:color w:val="auto"/>
          <w:sz w:val="52"/>
          <w:szCs w:val="52"/>
        </w:rPr>
      </w:pPr>
      <w:r>
        <w:rPr>
          <w:rFonts w:hint="eastAsia"/>
          <w:b/>
          <w:color w:val="auto"/>
          <w:sz w:val="52"/>
          <w:szCs w:val="52"/>
        </w:rPr>
        <w:t>中科中山药物创新研究院</w:t>
      </w:r>
    </w:p>
    <w:p>
      <w:pPr>
        <w:spacing w:after="312" w:afterLines="100"/>
        <w:jc w:val="center"/>
        <w:rPr>
          <w:b/>
          <w:color w:val="auto"/>
          <w:sz w:val="52"/>
          <w:szCs w:val="52"/>
        </w:rPr>
      </w:pPr>
      <w:r>
        <w:rPr>
          <w:rFonts w:hint="eastAsia"/>
          <w:b/>
          <w:color w:val="auto"/>
          <w:sz w:val="52"/>
          <w:szCs w:val="52"/>
          <w:u w:val="single"/>
        </w:rPr>
        <w:t xml:space="preserve"> 激光共聚焦显微镜</w:t>
      </w:r>
      <w:r>
        <w:rPr>
          <w:rFonts w:hint="eastAsia"/>
          <w:b/>
          <w:color w:val="auto"/>
          <w:sz w:val="52"/>
          <w:szCs w:val="52"/>
        </w:rPr>
        <w:t>采购项目</w:t>
      </w:r>
    </w:p>
    <w:p>
      <w:pPr>
        <w:spacing w:line="360" w:lineRule="auto"/>
        <w:jc w:val="center"/>
        <w:rPr>
          <w:b/>
          <w:color w:val="auto"/>
          <w:sz w:val="44"/>
        </w:rPr>
      </w:pPr>
    </w:p>
    <w:p>
      <w:pPr>
        <w:spacing w:line="360" w:lineRule="auto"/>
        <w:rPr>
          <w:b/>
          <w:color w:val="auto"/>
          <w:sz w:val="44"/>
        </w:rPr>
      </w:pPr>
    </w:p>
    <w:p>
      <w:pPr>
        <w:spacing w:line="360" w:lineRule="auto"/>
        <w:jc w:val="center"/>
        <w:rPr>
          <w:rFonts w:ascii="宋体" w:hAnsi="宋体"/>
          <w:b/>
          <w:color w:val="auto"/>
          <w:szCs w:val="21"/>
        </w:rPr>
      </w:pPr>
      <w:r>
        <w:rPr>
          <w:rFonts w:hint="eastAsia" w:ascii="宋体" w:hAnsi="宋体"/>
          <w:b/>
          <w:color w:val="auto"/>
          <w:sz w:val="72"/>
          <w:szCs w:val="52"/>
        </w:rPr>
        <w:t>招</w:t>
      </w:r>
      <w:r>
        <w:rPr>
          <w:rFonts w:ascii="宋体" w:hAnsi="宋体"/>
          <w:b/>
          <w:color w:val="auto"/>
          <w:sz w:val="72"/>
          <w:szCs w:val="52"/>
        </w:rPr>
        <w:t xml:space="preserve">  </w:t>
      </w:r>
      <w:r>
        <w:rPr>
          <w:rFonts w:hint="eastAsia" w:ascii="宋体" w:hAnsi="宋体"/>
          <w:b/>
          <w:color w:val="auto"/>
          <w:sz w:val="72"/>
          <w:szCs w:val="52"/>
        </w:rPr>
        <w:t>标</w:t>
      </w:r>
      <w:r>
        <w:rPr>
          <w:rFonts w:ascii="宋体" w:hAnsi="宋体"/>
          <w:b/>
          <w:color w:val="auto"/>
          <w:sz w:val="72"/>
          <w:szCs w:val="52"/>
        </w:rPr>
        <w:t xml:space="preserve">  </w:t>
      </w:r>
      <w:r>
        <w:rPr>
          <w:rFonts w:hint="eastAsia" w:ascii="宋体" w:hAnsi="宋体"/>
          <w:b/>
          <w:color w:val="auto"/>
          <w:sz w:val="72"/>
          <w:szCs w:val="52"/>
        </w:rPr>
        <w:t>文</w:t>
      </w:r>
      <w:r>
        <w:rPr>
          <w:rFonts w:ascii="宋体" w:hAnsi="宋体"/>
          <w:b/>
          <w:color w:val="auto"/>
          <w:sz w:val="72"/>
          <w:szCs w:val="52"/>
        </w:rPr>
        <w:t xml:space="preserve">  </w:t>
      </w:r>
      <w:r>
        <w:rPr>
          <w:rFonts w:hint="eastAsia" w:ascii="宋体" w:hAnsi="宋体"/>
          <w:b/>
          <w:color w:val="auto"/>
          <w:sz w:val="72"/>
          <w:szCs w:val="52"/>
        </w:rPr>
        <w:t>件</w:t>
      </w:r>
    </w:p>
    <w:p>
      <w:pPr>
        <w:spacing w:line="360" w:lineRule="auto"/>
        <w:jc w:val="center"/>
        <w:rPr>
          <w:rFonts w:ascii="宋体" w:hAnsi="宋体"/>
          <w:b/>
          <w:color w:val="auto"/>
          <w:sz w:val="32"/>
          <w:szCs w:val="32"/>
        </w:rPr>
      </w:pPr>
    </w:p>
    <w:p>
      <w:pPr>
        <w:spacing w:line="360" w:lineRule="auto"/>
        <w:jc w:val="center"/>
        <w:rPr>
          <w:rFonts w:ascii="宋体" w:hAnsi="宋体"/>
          <w:b/>
          <w:color w:val="auto"/>
          <w:sz w:val="44"/>
          <w:szCs w:val="44"/>
        </w:rPr>
      </w:pPr>
      <w:r>
        <w:rPr>
          <w:rFonts w:hint="eastAsia" w:ascii="宋体" w:hAnsi="宋体"/>
          <w:b/>
          <w:color w:val="auto"/>
          <w:sz w:val="44"/>
          <w:szCs w:val="44"/>
        </w:rPr>
        <w:t>第二册</w:t>
      </w:r>
    </w:p>
    <w:p>
      <w:pPr>
        <w:spacing w:line="360" w:lineRule="auto"/>
        <w:jc w:val="center"/>
        <w:rPr>
          <w:rFonts w:ascii="宋体" w:hAnsi="宋体"/>
          <w:b/>
          <w:color w:val="auto"/>
          <w:sz w:val="44"/>
          <w:szCs w:val="44"/>
        </w:rPr>
      </w:pPr>
      <w:r>
        <w:rPr>
          <w:rFonts w:hint="eastAsia" w:ascii="宋体" w:hAnsi="宋体"/>
          <w:b/>
          <w:color w:val="auto"/>
          <w:sz w:val="44"/>
          <w:szCs w:val="44"/>
        </w:rPr>
        <w:t>（专用册）</w:t>
      </w:r>
    </w:p>
    <w:p>
      <w:pPr>
        <w:spacing w:line="360" w:lineRule="auto"/>
        <w:jc w:val="center"/>
        <w:rPr>
          <w:rFonts w:ascii="宋体" w:hAnsi="宋体"/>
          <w:b/>
          <w:color w:val="auto"/>
          <w:sz w:val="30"/>
          <w:szCs w:val="30"/>
        </w:rPr>
      </w:pPr>
    </w:p>
    <w:p>
      <w:pPr>
        <w:spacing w:line="360" w:lineRule="auto"/>
        <w:ind w:firstLine="2168" w:firstLineChars="600"/>
        <w:rPr>
          <w:b/>
          <w:color w:val="auto"/>
          <w:sz w:val="32"/>
          <w:u w:val="single"/>
        </w:rPr>
      </w:pPr>
      <w:r>
        <w:rPr>
          <w:rFonts w:hint="eastAsia" w:ascii="宋体" w:hAnsi="宋体"/>
          <w:b/>
          <w:color w:val="auto"/>
          <w:sz w:val="36"/>
          <w:szCs w:val="36"/>
        </w:rPr>
        <w:t>招标编号：</w:t>
      </w:r>
      <w:r>
        <w:rPr>
          <w:rFonts w:hint="eastAsia" w:ascii="宋体" w:hAnsi="宋体"/>
          <w:b/>
          <w:color w:val="auto"/>
          <w:sz w:val="36"/>
          <w:szCs w:val="36"/>
          <w:u w:val="single"/>
        </w:rPr>
        <w:t xml:space="preserve">OITC-G210301482  </w:t>
      </w:r>
    </w:p>
    <w:p>
      <w:pPr>
        <w:spacing w:line="360" w:lineRule="auto"/>
        <w:jc w:val="center"/>
        <w:rPr>
          <w:b/>
          <w:color w:val="auto"/>
          <w:sz w:val="32"/>
        </w:rPr>
      </w:pPr>
    </w:p>
    <w:p>
      <w:pPr>
        <w:spacing w:line="360" w:lineRule="auto"/>
        <w:jc w:val="center"/>
        <w:rPr>
          <w:b/>
          <w:color w:val="auto"/>
          <w:sz w:val="32"/>
        </w:rPr>
      </w:pPr>
    </w:p>
    <w:p>
      <w:pPr>
        <w:adjustRightInd w:val="0"/>
        <w:snapToGrid w:val="0"/>
        <w:spacing w:before="120"/>
        <w:jc w:val="center"/>
        <w:rPr>
          <w:rFonts w:ascii="宋体" w:hAnsi="宋体"/>
          <w:b/>
          <w:bCs/>
          <w:snapToGrid w:val="0"/>
          <w:color w:val="auto"/>
          <w:spacing w:val="20"/>
          <w:sz w:val="36"/>
          <w:szCs w:val="36"/>
        </w:rPr>
      </w:pPr>
      <w:r>
        <w:rPr>
          <w:rFonts w:hint="eastAsia" w:ascii="宋体" w:hAnsi="宋体"/>
          <w:b/>
          <w:bCs/>
          <w:snapToGrid w:val="0"/>
          <w:color w:val="auto"/>
          <w:spacing w:val="20"/>
          <w:sz w:val="36"/>
          <w:szCs w:val="36"/>
        </w:rPr>
        <w:t>东方国际招标有限责任公司</w:t>
      </w:r>
    </w:p>
    <w:p>
      <w:pPr>
        <w:adjustRightInd w:val="0"/>
        <w:snapToGrid w:val="0"/>
        <w:jc w:val="center"/>
        <w:rPr>
          <w:rFonts w:ascii="宋体" w:hAnsi="宋体"/>
          <w:b/>
          <w:snapToGrid w:val="0"/>
          <w:color w:val="auto"/>
          <w:sz w:val="36"/>
          <w:szCs w:val="36"/>
        </w:rPr>
      </w:pPr>
    </w:p>
    <w:p>
      <w:pPr>
        <w:adjustRightInd w:val="0"/>
        <w:snapToGrid w:val="0"/>
        <w:jc w:val="center"/>
        <w:rPr>
          <w:rFonts w:ascii="宋体" w:hAnsi="宋体"/>
          <w:b/>
          <w:snapToGrid w:val="0"/>
          <w:color w:val="auto"/>
          <w:sz w:val="36"/>
          <w:szCs w:val="36"/>
        </w:rPr>
      </w:pPr>
      <w:r>
        <w:rPr>
          <w:rFonts w:hint="eastAsia" w:ascii="宋体" w:hAnsi="宋体"/>
          <w:b/>
          <w:snapToGrid w:val="0"/>
          <w:color w:val="auto"/>
          <w:sz w:val="36"/>
          <w:szCs w:val="36"/>
        </w:rPr>
        <w:t>中国 · 北京</w:t>
      </w:r>
    </w:p>
    <w:p>
      <w:pPr>
        <w:adjustRightInd w:val="0"/>
        <w:snapToGrid w:val="0"/>
        <w:jc w:val="center"/>
        <w:rPr>
          <w:rFonts w:ascii="宋体" w:hAnsi="宋体"/>
          <w:b/>
          <w:snapToGrid w:val="0"/>
          <w:color w:val="auto"/>
          <w:sz w:val="36"/>
          <w:szCs w:val="36"/>
        </w:rPr>
      </w:pPr>
    </w:p>
    <w:p>
      <w:pPr>
        <w:adjustRightInd w:val="0"/>
        <w:snapToGrid w:val="0"/>
        <w:jc w:val="center"/>
        <w:rPr>
          <w:rFonts w:ascii="宋体" w:hAnsi="宋体"/>
          <w:b/>
          <w:color w:val="auto"/>
          <w:sz w:val="32"/>
          <w:szCs w:val="32"/>
        </w:rPr>
      </w:pPr>
      <w:r>
        <w:rPr>
          <w:rFonts w:hint="eastAsia" w:ascii="宋体" w:hAnsi="宋体"/>
          <w:b/>
          <w:snapToGrid w:val="0"/>
          <w:color w:val="auto"/>
          <w:sz w:val="36"/>
          <w:szCs w:val="36"/>
        </w:rPr>
        <w:t>2021年9月</w:t>
      </w:r>
    </w:p>
    <w:p>
      <w:pPr>
        <w:adjustRightInd w:val="0"/>
        <w:snapToGrid w:val="0"/>
        <w:jc w:val="center"/>
        <w:rPr>
          <w:rFonts w:ascii="宋体" w:hAnsi="宋体"/>
          <w:b/>
          <w:color w:val="auto"/>
          <w:sz w:val="24"/>
        </w:rPr>
      </w:pPr>
      <w:bookmarkStart w:id="1" w:name="_GoBack"/>
      <w:bookmarkEnd w:id="1"/>
      <w:bookmarkStart w:id="0" w:name="_Toc512937852"/>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jc w:val="center"/>
        <w:rPr>
          <w:rFonts w:ascii="宋体" w:hAnsi="宋体"/>
          <w:b/>
          <w:color w:val="auto"/>
          <w:sz w:val="24"/>
        </w:rPr>
      </w:pPr>
    </w:p>
    <w:p>
      <w:pPr>
        <w:adjustRightInd w:val="0"/>
        <w:snapToGrid w:val="0"/>
        <w:spacing w:before="936" w:beforeLines="300"/>
        <w:jc w:val="center"/>
        <w:rPr>
          <w:rFonts w:ascii="黑体" w:eastAsia="黑体"/>
          <w:b/>
          <w:color w:val="auto"/>
          <w:kern w:val="44"/>
          <w:sz w:val="48"/>
          <w:szCs w:val="20"/>
        </w:rPr>
      </w:pPr>
      <w:r>
        <w:rPr>
          <w:rFonts w:hint="eastAsia" w:ascii="黑体" w:eastAsia="黑体"/>
          <w:b/>
          <w:color w:val="auto"/>
          <w:kern w:val="44"/>
          <w:sz w:val="48"/>
          <w:szCs w:val="20"/>
        </w:rPr>
        <w:t>第八部分  技术部分</w:t>
      </w:r>
      <w:r>
        <w:rPr>
          <w:rFonts w:ascii="黑体" w:eastAsia="黑体"/>
          <w:b/>
          <w:color w:val="auto"/>
          <w:kern w:val="44"/>
          <w:sz w:val="48"/>
          <w:szCs w:val="20"/>
        </w:rPr>
        <w:br w:type="page"/>
      </w:r>
    </w:p>
    <w:bookmarkEnd w:id="0"/>
    <w:p>
      <w:pPr>
        <w:numPr>
          <w:ilvl w:val="2"/>
          <w:numId w:val="1"/>
        </w:numPr>
        <w:adjustRightInd w:val="0"/>
        <w:snapToGrid w:val="0"/>
        <w:jc w:val="center"/>
        <w:rPr>
          <w:rFonts w:ascii="宋体" w:hAnsi="宋体"/>
          <w:b/>
          <w:color w:val="auto"/>
          <w:sz w:val="30"/>
          <w:szCs w:val="30"/>
        </w:rPr>
      </w:pPr>
      <w:r>
        <w:rPr>
          <w:rFonts w:hint="eastAsia" w:ascii="宋体" w:hAnsi="宋体"/>
          <w:b/>
          <w:color w:val="auto"/>
          <w:sz w:val="30"/>
          <w:szCs w:val="30"/>
        </w:rPr>
        <w:t>货物需求一览表</w:t>
      </w:r>
    </w:p>
    <w:p>
      <w:pPr>
        <w:adjustRightInd w:val="0"/>
        <w:snapToGrid w:val="0"/>
        <w:jc w:val="center"/>
        <w:rPr>
          <w:rFonts w:ascii="宋体" w:hAnsi="宋体"/>
          <w:b/>
          <w:color w:val="auto"/>
          <w:sz w:val="30"/>
          <w:szCs w:val="30"/>
        </w:rPr>
      </w:pPr>
    </w:p>
    <w:tbl>
      <w:tblPr>
        <w:tblStyle w:val="12"/>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color w:val="auto"/>
                <w:sz w:val="24"/>
              </w:rPr>
            </w:pPr>
            <w:r>
              <w:rPr>
                <w:rFonts w:hint="eastAsia" w:ascii="宋体" w:hAnsi="Bookman Old Style"/>
                <w:color w:val="auto"/>
                <w:sz w:val="24"/>
              </w:rPr>
              <w:t>包号</w:t>
            </w:r>
          </w:p>
        </w:tc>
        <w:tc>
          <w:tcPr>
            <w:tcW w:w="2640" w:type="dxa"/>
            <w:vAlign w:val="center"/>
          </w:tcPr>
          <w:p>
            <w:pPr>
              <w:jc w:val="center"/>
              <w:rPr>
                <w:rFonts w:ascii="宋体" w:hAnsi="Bookman Old Style"/>
                <w:color w:val="auto"/>
                <w:sz w:val="24"/>
              </w:rPr>
            </w:pPr>
            <w:r>
              <w:rPr>
                <w:rFonts w:hint="eastAsia" w:ascii="宋体" w:hAnsi="Bookman Old Style"/>
                <w:color w:val="auto"/>
                <w:sz w:val="24"/>
              </w:rPr>
              <w:t>货物名称</w:t>
            </w:r>
          </w:p>
        </w:tc>
        <w:tc>
          <w:tcPr>
            <w:tcW w:w="635" w:type="dxa"/>
            <w:vAlign w:val="center"/>
          </w:tcPr>
          <w:p>
            <w:pPr>
              <w:jc w:val="center"/>
              <w:rPr>
                <w:rFonts w:ascii="宋体" w:hAnsi="Bookman Old Style"/>
                <w:color w:val="auto"/>
                <w:sz w:val="24"/>
              </w:rPr>
            </w:pPr>
            <w:r>
              <w:rPr>
                <w:rFonts w:hint="eastAsia" w:ascii="宋体" w:hAnsi="Bookman Old Style"/>
                <w:color w:val="auto"/>
                <w:sz w:val="24"/>
              </w:rPr>
              <w:t>数量</w:t>
            </w:r>
          </w:p>
        </w:tc>
        <w:tc>
          <w:tcPr>
            <w:tcW w:w="1320" w:type="dxa"/>
            <w:vAlign w:val="center"/>
          </w:tcPr>
          <w:p>
            <w:pPr>
              <w:jc w:val="center"/>
              <w:rPr>
                <w:rFonts w:ascii="宋体" w:hAnsi="Bookman Old Style"/>
                <w:color w:val="auto"/>
                <w:sz w:val="24"/>
              </w:rPr>
            </w:pPr>
            <w:r>
              <w:rPr>
                <w:rFonts w:hint="eastAsia" w:ascii="宋体" w:hAnsi="Bookman Old Style"/>
                <w:color w:val="auto"/>
                <w:sz w:val="24"/>
              </w:rPr>
              <w:t>交货期</w:t>
            </w:r>
          </w:p>
        </w:tc>
        <w:tc>
          <w:tcPr>
            <w:tcW w:w="1765" w:type="dxa"/>
            <w:vAlign w:val="center"/>
          </w:tcPr>
          <w:p>
            <w:pPr>
              <w:jc w:val="center"/>
              <w:rPr>
                <w:rFonts w:ascii="宋体" w:hAnsi="Bookman Old Style"/>
                <w:color w:val="auto"/>
                <w:sz w:val="24"/>
              </w:rPr>
            </w:pPr>
            <w:r>
              <w:rPr>
                <w:rFonts w:hint="eastAsia" w:ascii="宋体" w:hAnsi="Bookman Old Style"/>
                <w:color w:val="auto"/>
                <w:sz w:val="24"/>
              </w:rPr>
              <w:t>指定到货港</w:t>
            </w:r>
          </w:p>
        </w:tc>
        <w:tc>
          <w:tcPr>
            <w:tcW w:w="2520" w:type="dxa"/>
            <w:vAlign w:val="center"/>
          </w:tcPr>
          <w:p>
            <w:pPr>
              <w:jc w:val="center"/>
              <w:rPr>
                <w:rFonts w:ascii="宋体" w:hAnsi="Bookman Old Style"/>
                <w:color w:val="auto"/>
                <w:sz w:val="24"/>
                <w:shd w:val="pct10" w:color="auto" w:fill="FFFFFF"/>
              </w:rPr>
            </w:pPr>
            <w:r>
              <w:rPr>
                <w:rFonts w:hint="eastAsia" w:ascii="宋体" w:hAnsi="Bookman Old Style"/>
                <w:color w:val="auto"/>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color w:val="auto"/>
                <w:sz w:val="24"/>
              </w:rPr>
            </w:pPr>
            <w:r>
              <w:rPr>
                <w:rFonts w:hint="eastAsia" w:ascii="宋体"/>
                <w:color w:val="auto"/>
                <w:sz w:val="24"/>
              </w:rPr>
              <w:t>1</w:t>
            </w:r>
          </w:p>
        </w:tc>
        <w:tc>
          <w:tcPr>
            <w:tcW w:w="2640" w:type="dxa"/>
            <w:vAlign w:val="center"/>
          </w:tcPr>
          <w:p>
            <w:pPr>
              <w:jc w:val="center"/>
              <w:rPr>
                <w:rFonts w:ascii="Bookman Old Style" w:hAnsi="Bookman Old Style"/>
                <w:color w:val="auto"/>
                <w:sz w:val="24"/>
              </w:rPr>
            </w:pPr>
            <w:r>
              <w:rPr>
                <w:rFonts w:hint="eastAsia" w:ascii="Bookman Old Style" w:hAnsi="Bookman Old Style"/>
                <w:color w:val="auto"/>
                <w:sz w:val="24"/>
              </w:rPr>
              <w:t>激光共聚焦显微镜</w:t>
            </w:r>
          </w:p>
        </w:tc>
        <w:tc>
          <w:tcPr>
            <w:tcW w:w="635" w:type="dxa"/>
            <w:vAlign w:val="center"/>
          </w:tcPr>
          <w:p>
            <w:pPr>
              <w:jc w:val="center"/>
              <w:rPr>
                <w:rFonts w:ascii="宋体" w:hAnsi="Bookman Old Style"/>
                <w:color w:val="auto"/>
                <w:sz w:val="24"/>
              </w:rPr>
            </w:pPr>
            <w:r>
              <w:rPr>
                <w:rFonts w:hint="eastAsia" w:ascii="宋体" w:hAnsi="Bookman Old Style"/>
                <w:color w:val="auto"/>
                <w:sz w:val="24"/>
              </w:rPr>
              <w:t>1套</w:t>
            </w:r>
          </w:p>
        </w:tc>
        <w:tc>
          <w:tcPr>
            <w:tcW w:w="5605" w:type="dxa"/>
            <w:gridSpan w:val="3"/>
            <w:vAlign w:val="center"/>
          </w:tcPr>
          <w:p>
            <w:pPr>
              <w:jc w:val="center"/>
              <w:rPr>
                <w:rFonts w:ascii="宋体" w:hAnsi="Bookman Old Style"/>
                <w:color w:val="auto"/>
                <w:sz w:val="24"/>
              </w:rPr>
            </w:pPr>
            <w:r>
              <w:rPr>
                <w:rFonts w:hint="eastAsia" w:ascii="宋体" w:hAnsi="Bookman Old Style"/>
                <w:color w:val="auto"/>
                <w:sz w:val="24"/>
              </w:rPr>
              <w:t>详见具体技术规格</w:t>
            </w:r>
          </w:p>
        </w:tc>
      </w:tr>
    </w:tbl>
    <w:p>
      <w:pPr>
        <w:adjustRightInd w:val="0"/>
        <w:snapToGrid w:val="0"/>
        <w:jc w:val="center"/>
        <w:rPr>
          <w:rFonts w:ascii="宋体" w:hAnsi="宋体"/>
          <w:b/>
          <w:color w:val="auto"/>
          <w:sz w:val="30"/>
          <w:szCs w:val="30"/>
        </w:rPr>
      </w:pPr>
    </w:p>
    <w:p>
      <w:pPr>
        <w:adjustRightInd w:val="0"/>
        <w:snapToGrid w:val="0"/>
        <w:jc w:val="center"/>
        <w:rPr>
          <w:rFonts w:ascii="宋体" w:hAnsi="宋体"/>
          <w:b/>
          <w:color w:val="auto"/>
          <w:sz w:val="30"/>
          <w:szCs w:val="30"/>
        </w:rPr>
      </w:pPr>
    </w:p>
    <w:p>
      <w:pPr>
        <w:adjustRightInd w:val="0"/>
        <w:snapToGrid w:val="0"/>
        <w:jc w:val="center"/>
        <w:rPr>
          <w:rFonts w:ascii="宋体" w:hAnsi="宋体"/>
          <w:b/>
          <w:color w:val="auto"/>
          <w:sz w:val="30"/>
          <w:szCs w:val="30"/>
        </w:rPr>
      </w:pPr>
    </w:p>
    <w:p>
      <w:pPr>
        <w:rPr>
          <w:rFonts w:ascii="Bookman Old Style" w:hAnsi="Bookman Old Style"/>
          <w:color w:val="auto"/>
          <w:sz w:val="24"/>
        </w:rPr>
      </w:pPr>
      <w:r>
        <w:rPr>
          <w:rFonts w:hint="eastAsia"/>
          <w:color w:val="auto"/>
          <w:sz w:val="24"/>
        </w:rPr>
        <w:t>注：投标人须对上述投标内容中完整的一包或几包进行投标，</w:t>
      </w:r>
      <w:r>
        <w:rPr>
          <w:rFonts w:hint="eastAsia" w:ascii="Bookman Old Style" w:hAnsi="Bookman Old Style"/>
          <w:color w:val="auto"/>
          <w:sz w:val="24"/>
        </w:rPr>
        <w:t>不完整的投标将视为非响应性投标予以拒绝。</w:t>
      </w: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color w:val="auto"/>
          <w:szCs w:val="21"/>
        </w:rPr>
      </w:pPr>
    </w:p>
    <w:p>
      <w:pPr>
        <w:adjustRightInd w:val="0"/>
        <w:snapToGrid w:val="0"/>
        <w:rPr>
          <w:rFonts w:ascii="宋体" w:hAnsi="宋体"/>
          <w:b/>
          <w:color w:val="auto"/>
          <w:sz w:val="30"/>
          <w:szCs w:val="30"/>
        </w:rPr>
      </w:pPr>
      <w:r>
        <w:rPr>
          <w:rFonts w:ascii="宋体" w:hAnsi="宋体"/>
          <w:b/>
          <w:color w:val="auto"/>
          <w:sz w:val="30"/>
          <w:szCs w:val="30"/>
        </w:rPr>
        <w:br w:type="page"/>
      </w:r>
    </w:p>
    <w:p>
      <w:pPr>
        <w:numPr>
          <w:ilvl w:val="2"/>
          <w:numId w:val="1"/>
        </w:numPr>
        <w:tabs>
          <w:tab w:val="left" w:pos="720"/>
          <w:tab w:val="clear" w:pos="1560"/>
        </w:tabs>
        <w:adjustRightInd w:val="0"/>
        <w:snapToGrid w:val="0"/>
        <w:ind w:hanging="1560"/>
        <w:jc w:val="center"/>
        <w:rPr>
          <w:rFonts w:ascii="宋体" w:hAnsi="宋体"/>
          <w:b/>
          <w:color w:val="auto"/>
          <w:sz w:val="30"/>
          <w:szCs w:val="30"/>
        </w:rPr>
      </w:pPr>
      <w:r>
        <w:rPr>
          <w:rFonts w:hint="eastAsia" w:ascii="宋体" w:hAnsi="宋体"/>
          <w:b/>
          <w:color w:val="auto"/>
          <w:sz w:val="30"/>
          <w:szCs w:val="30"/>
        </w:rPr>
        <w:t>技术规格</w:t>
      </w:r>
    </w:p>
    <w:p>
      <w:pPr>
        <w:spacing w:line="360" w:lineRule="auto"/>
        <w:ind w:left="600" w:hanging="600"/>
        <w:rPr>
          <w:rFonts w:ascii="宋体" w:hAnsi="宋体"/>
          <w:b/>
          <w:color w:val="auto"/>
          <w:sz w:val="30"/>
          <w:szCs w:val="30"/>
        </w:rPr>
      </w:pPr>
      <w:r>
        <w:rPr>
          <w:rFonts w:hint="eastAsia" w:ascii="宋体" w:hAnsi="宋体"/>
          <w:b/>
          <w:color w:val="auto"/>
          <w:sz w:val="30"/>
          <w:szCs w:val="30"/>
        </w:rPr>
        <w:t>一、总</w:t>
      </w:r>
      <w:r>
        <w:rPr>
          <w:rFonts w:ascii="宋体" w:hAnsi="宋体"/>
          <w:b/>
          <w:color w:val="auto"/>
          <w:sz w:val="30"/>
          <w:szCs w:val="30"/>
        </w:rPr>
        <w:t xml:space="preserve">  </w:t>
      </w:r>
      <w:r>
        <w:rPr>
          <w:rFonts w:hint="eastAsia" w:ascii="宋体" w:hAnsi="宋体"/>
          <w:b/>
          <w:color w:val="auto"/>
          <w:sz w:val="30"/>
          <w:szCs w:val="30"/>
        </w:rPr>
        <w:t>则</w:t>
      </w:r>
    </w:p>
    <w:p>
      <w:pPr>
        <w:spacing w:before="156" w:beforeLines="50" w:after="156" w:afterLines="50" w:line="360" w:lineRule="auto"/>
        <w:ind w:left="601" w:hanging="601"/>
        <w:rPr>
          <w:rFonts w:ascii="宋体" w:hAnsi="宋体"/>
          <w:b/>
          <w:color w:val="auto"/>
          <w:sz w:val="28"/>
        </w:rPr>
      </w:pPr>
      <w:r>
        <w:rPr>
          <w:rFonts w:ascii="宋体" w:hAnsi="宋体"/>
          <w:b/>
          <w:color w:val="auto"/>
          <w:sz w:val="28"/>
        </w:rPr>
        <w:t>1</w:t>
      </w:r>
      <w:r>
        <w:rPr>
          <w:rFonts w:hint="eastAsia" w:ascii="宋体" w:hAnsi="宋体"/>
          <w:b/>
          <w:color w:val="auto"/>
          <w:sz w:val="28"/>
        </w:rPr>
        <w:t>、投标要求</w:t>
      </w:r>
    </w:p>
    <w:p>
      <w:pPr>
        <w:spacing w:line="360" w:lineRule="auto"/>
        <w:ind w:left="554" w:hanging="554" w:hangingChars="231"/>
        <w:rPr>
          <w:rFonts w:ascii="宋体" w:hAnsi="宋体"/>
          <w:color w:val="auto"/>
          <w:sz w:val="24"/>
        </w:rPr>
      </w:pPr>
      <w:r>
        <w:rPr>
          <w:rFonts w:ascii="宋体" w:hAnsi="宋体"/>
          <w:color w:val="auto"/>
          <w:sz w:val="24"/>
        </w:rPr>
        <w:t xml:space="preserve">1.1 </w:t>
      </w:r>
      <w:r>
        <w:rPr>
          <w:rFonts w:hint="eastAsia" w:ascii="宋体" w:hAnsi="宋体"/>
          <w:color w:val="auto"/>
          <w:sz w:val="24"/>
        </w:rPr>
        <w:t xml:space="preserve"> 投标人在准备投标书时，务必在所提供的商品的技术规格文件中，标明型号、商标名称、目录号。</w:t>
      </w:r>
    </w:p>
    <w:p>
      <w:pPr>
        <w:spacing w:line="360" w:lineRule="auto"/>
        <w:ind w:left="554" w:hanging="554" w:hangingChars="231"/>
        <w:rPr>
          <w:rFonts w:ascii="宋体" w:hAnsi="宋体"/>
          <w:color w:val="auto"/>
          <w:sz w:val="24"/>
        </w:rPr>
      </w:pPr>
      <w:r>
        <w:rPr>
          <w:rFonts w:hint="eastAsia" w:ascii="宋体" w:hAnsi="宋体"/>
          <w:color w:val="auto"/>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color w:val="auto"/>
          <w:sz w:val="24"/>
        </w:rPr>
      </w:pPr>
      <w:r>
        <w:rPr>
          <w:rFonts w:hint="eastAsia" w:ascii="宋体" w:hAnsi="宋体"/>
          <w:color w:val="auto"/>
          <w:sz w:val="24"/>
        </w:rPr>
        <w:t xml:space="preserve">1.3  </w:t>
      </w:r>
      <w:r>
        <w:rPr>
          <w:rFonts w:hint="eastAsia"/>
          <w:color w:val="auto"/>
          <w:sz w:val="24"/>
        </w:rPr>
        <w:t>投标人提供的</w:t>
      </w:r>
      <w:r>
        <w:rPr>
          <w:rFonts w:hint="eastAsia" w:ascii="宋体"/>
          <w:color w:val="auto"/>
          <w:sz w:val="24"/>
        </w:rPr>
        <w:t>产品</w:t>
      </w:r>
      <w:r>
        <w:rPr>
          <w:rFonts w:hint="eastAsia"/>
          <w:color w:val="auto"/>
          <w:sz w:val="24"/>
        </w:rPr>
        <w:t>样本，必须是“原件”而非复印件，</w:t>
      </w:r>
      <w:r>
        <w:rPr>
          <w:rFonts w:hint="eastAsia" w:ascii="宋体"/>
          <w:color w:val="auto"/>
          <w:sz w:val="24"/>
        </w:rPr>
        <w:t>图表、简图、电路图以及印刷电路板图等都应</w:t>
      </w:r>
      <w:r>
        <w:rPr>
          <w:rFonts w:hint="eastAsia"/>
          <w:color w:val="auto"/>
          <w:sz w:val="24"/>
        </w:rPr>
        <w:t>清晰易读。买方有权</w:t>
      </w:r>
      <w:r>
        <w:rPr>
          <w:rFonts w:hint="eastAsia" w:ascii="宋体"/>
          <w:color w:val="auto"/>
          <w:sz w:val="24"/>
        </w:rPr>
        <w:t>不付任何附加费用</w:t>
      </w:r>
      <w:r>
        <w:rPr>
          <w:rFonts w:hint="eastAsia"/>
          <w:color w:val="auto"/>
          <w:sz w:val="24"/>
        </w:rPr>
        <w:t>复制这些资料</w:t>
      </w:r>
      <w:r>
        <w:rPr>
          <w:rFonts w:hint="eastAsia" w:ascii="宋体"/>
          <w:color w:val="auto"/>
          <w:sz w:val="24"/>
        </w:rPr>
        <w:t>以供参考。</w:t>
      </w:r>
    </w:p>
    <w:p>
      <w:pPr>
        <w:spacing w:before="156" w:beforeLines="50" w:after="156" w:afterLines="50" w:line="360" w:lineRule="auto"/>
        <w:ind w:left="601" w:hanging="601"/>
        <w:rPr>
          <w:rFonts w:ascii="宋体" w:hAnsi="宋体"/>
          <w:b/>
          <w:color w:val="auto"/>
          <w:sz w:val="28"/>
        </w:rPr>
      </w:pPr>
      <w:r>
        <w:rPr>
          <w:rFonts w:hint="eastAsia" w:ascii="宋体" w:hAnsi="宋体"/>
          <w:b/>
          <w:color w:val="auto"/>
          <w:sz w:val="28"/>
        </w:rPr>
        <w:t>2、评标标准</w:t>
      </w:r>
    </w:p>
    <w:p>
      <w:pPr>
        <w:spacing w:line="360" w:lineRule="auto"/>
        <w:ind w:left="554" w:hanging="554" w:hangingChars="231"/>
        <w:rPr>
          <w:rFonts w:ascii="宋体"/>
          <w:color w:val="auto"/>
          <w:sz w:val="24"/>
        </w:rPr>
      </w:pPr>
      <w:r>
        <w:rPr>
          <w:rFonts w:ascii="宋体" w:hAnsi="宋体"/>
          <w:color w:val="auto"/>
          <w:sz w:val="24"/>
        </w:rPr>
        <w:t>2.</w:t>
      </w:r>
      <w:r>
        <w:rPr>
          <w:rFonts w:hint="eastAsia" w:ascii="宋体" w:hAnsi="宋体"/>
          <w:color w:val="auto"/>
          <w:sz w:val="24"/>
        </w:rPr>
        <w:t xml:space="preserve">1  </w:t>
      </w:r>
      <w:r>
        <w:rPr>
          <w:rFonts w:hint="eastAsia"/>
          <w:color w:val="auto"/>
          <w:sz w:val="24"/>
        </w:rPr>
        <w:t>除招标文件中指定的附件和专用工具外，</w:t>
      </w:r>
      <w:r>
        <w:rPr>
          <w:rFonts w:hint="eastAsia" w:ascii="宋体"/>
          <w:color w:val="auto"/>
          <w:sz w:val="24"/>
        </w:rPr>
        <w:t>投标人应提供仪器设备的正常运行和常规保养所需的全套标准附件、专用工具</w:t>
      </w:r>
      <w:r>
        <w:rPr>
          <w:rFonts w:hint="eastAsia"/>
          <w:color w:val="auto"/>
          <w:sz w:val="24"/>
        </w:rPr>
        <w:t>和消耗品</w:t>
      </w:r>
      <w:r>
        <w:rPr>
          <w:rFonts w:hint="eastAsia" w:ascii="宋体"/>
          <w:color w:val="auto"/>
          <w:sz w:val="24"/>
        </w:rPr>
        <w:t>。投标人在投标书中需列出这些附件和工具的数量和单价的清单，这些附件和工具的报价的总值需计入投标价中。</w:t>
      </w:r>
    </w:p>
    <w:p>
      <w:pPr>
        <w:spacing w:line="360" w:lineRule="auto"/>
        <w:ind w:left="554" w:hanging="554" w:hangingChars="231"/>
        <w:rPr>
          <w:color w:val="auto"/>
          <w:sz w:val="24"/>
        </w:rPr>
      </w:pPr>
      <w:r>
        <w:rPr>
          <w:rFonts w:hint="eastAsia" w:ascii="宋体" w:hAnsi="宋体"/>
          <w:color w:val="auto"/>
          <w:sz w:val="24"/>
        </w:rPr>
        <w:t xml:space="preserve">2.2  </w:t>
      </w:r>
      <w:r>
        <w:rPr>
          <w:rFonts w:hint="eastAsia"/>
          <w:color w:val="auto"/>
          <w:sz w:val="24"/>
        </w:rPr>
        <w:t>对于标书</w:t>
      </w:r>
      <w:r>
        <w:rPr>
          <w:rFonts w:hint="eastAsia" w:ascii="宋体"/>
          <w:color w:val="auto"/>
          <w:sz w:val="24"/>
        </w:rPr>
        <w:t>技术规范中已列</w:t>
      </w:r>
      <w:r>
        <w:rPr>
          <w:rFonts w:hint="eastAsia"/>
          <w:color w:val="auto"/>
          <w:sz w:val="24"/>
        </w:rPr>
        <w:t>出的作为查询选件的附件、零配件、专用工具和消耗品，投标书中</w:t>
      </w:r>
      <w:r>
        <w:rPr>
          <w:rFonts w:hint="eastAsia" w:ascii="宋体"/>
          <w:color w:val="auto"/>
          <w:sz w:val="24"/>
        </w:rPr>
        <w:t>应列明其数量、单价、总价供买方参考。投标人也可推荐买方没有要求的附件或专用工具作为选件，并列明其数量、单价、总价供买方参考。选件价格不计入评标价中。</w:t>
      </w:r>
      <w:r>
        <w:rPr>
          <w:rFonts w:hint="eastAsia"/>
          <w:color w:val="auto"/>
          <w:sz w:val="24"/>
        </w:rPr>
        <w:t>选件一旦为用户接受，其费用将加入合同价中。</w:t>
      </w:r>
    </w:p>
    <w:p>
      <w:pPr>
        <w:spacing w:line="360" w:lineRule="auto"/>
        <w:ind w:left="554" w:hanging="554" w:hangingChars="231"/>
        <w:rPr>
          <w:rFonts w:ascii="宋体" w:hAnsi="宋体"/>
          <w:color w:val="auto"/>
          <w:sz w:val="24"/>
        </w:rPr>
      </w:pPr>
      <w:r>
        <w:rPr>
          <w:rFonts w:hint="eastAsia" w:ascii="宋体" w:hAnsi="宋体"/>
          <w:color w:val="auto"/>
          <w:sz w:val="24"/>
        </w:rPr>
        <w:t>2.3  为便于用户进行接收仪器的准备工作，卖方应在合同生效后</w:t>
      </w:r>
      <w:r>
        <w:rPr>
          <w:rFonts w:hint="eastAsia" w:ascii="宋体" w:hAnsi="宋体"/>
          <w:b/>
          <w:color w:val="auto"/>
          <w:sz w:val="24"/>
        </w:rPr>
        <w:t>60</w:t>
      </w:r>
      <w:r>
        <w:rPr>
          <w:rFonts w:hint="eastAsia" w:ascii="宋体" w:hAnsi="宋体"/>
          <w:color w:val="auto"/>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auto"/>
          <w:sz w:val="24"/>
        </w:rPr>
      </w:pPr>
      <w:r>
        <w:rPr>
          <w:rFonts w:ascii="宋体" w:hAnsi="宋体"/>
          <w:color w:val="auto"/>
          <w:sz w:val="24"/>
        </w:rPr>
        <w:t>2.</w:t>
      </w:r>
      <w:r>
        <w:rPr>
          <w:rFonts w:hint="eastAsia" w:ascii="宋体" w:hAnsi="宋体"/>
          <w:color w:val="auto"/>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 xml:space="preserve">6  </w:t>
      </w:r>
      <w:r>
        <w:rPr>
          <w:rFonts w:hint="eastAsia"/>
          <w:color w:val="auto"/>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color w:val="auto"/>
          <w:sz w:val="28"/>
        </w:rPr>
      </w:pPr>
      <w:r>
        <w:rPr>
          <w:rFonts w:hint="eastAsia" w:ascii="宋体" w:hAnsi="宋体"/>
          <w:b/>
          <w:color w:val="auto"/>
          <w:sz w:val="28"/>
        </w:rPr>
        <w:t>3、工作条件</w:t>
      </w:r>
    </w:p>
    <w:p>
      <w:pPr>
        <w:spacing w:after="312" w:afterLines="100" w:line="360" w:lineRule="auto"/>
        <w:rPr>
          <w:rFonts w:ascii="宋体" w:hAnsi="宋体"/>
          <w:color w:val="auto"/>
          <w:sz w:val="24"/>
        </w:rPr>
      </w:pPr>
      <w:r>
        <w:rPr>
          <w:rFonts w:hint="eastAsia" w:ascii="宋体" w:hAnsi="宋体"/>
          <w:color w:val="auto"/>
          <w:sz w:val="24"/>
        </w:rPr>
        <w:t>除非在技术规格中另有说明，所有仪器、设备和系统都应符合下列要求：</w:t>
      </w:r>
      <w:r>
        <w:rPr>
          <w:rFonts w:ascii="宋体" w:hAnsi="宋体"/>
          <w:color w:val="auto"/>
          <w:sz w:val="24"/>
        </w:rPr>
        <w:t xml:space="preserve"> </w:t>
      </w:r>
    </w:p>
    <w:p>
      <w:pPr>
        <w:spacing w:line="360" w:lineRule="auto"/>
        <w:ind w:left="554" w:hanging="554" w:hangingChars="231"/>
        <w:rPr>
          <w:rFonts w:ascii="宋体" w:hAnsi="宋体"/>
          <w:color w:val="auto"/>
          <w:sz w:val="24"/>
        </w:rPr>
      </w:pPr>
      <w:r>
        <w:rPr>
          <w:rFonts w:hint="eastAsia" w:ascii="宋体" w:hAnsi="宋体"/>
          <w:color w:val="auto"/>
          <w:sz w:val="24"/>
        </w:rPr>
        <w:t>3.1  适于在气温为摄氏</w:t>
      </w:r>
      <w:r>
        <w:rPr>
          <w:rFonts w:ascii="宋体" w:hAnsi="宋体"/>
          <w:b/>
          <w:color w:val="auto"/>
          <w:sz w:val="24"/>
        </w:rPr>
        <w:t>-40</w:t>
      </w:r>
      <w:r>
        <w:rPr>
          <w:rFonts w:hint="eastAsia" w:ascii="宋体" w:hAnsi="宋体"/>
          <w:b/>
          <w:color w:val="auto"/>
          <w:sz w:val="24"/>
        </w:rPr>
        <w:t>℃～＋</w:t>
      </w:r>
      <w:r>
        <w:rPr>
          <w:rFonts w:ascii="宋体" w:hAnsi="宋体"/>
          <w:b/>
          <w:color w:val="auto"/>
          <w:sz w:val="24"/>
        </w:rPr>
        <w:t>50</w:t>
      </w:r>
      <w:r>
        <w:rPr>
          <w:rFonts w:hint="eastAsia" w:ascii="宋体" w:hAnsi="宋体"/>
          <w:b/>
          <w:color w:val="auto"/>
          <w:sz w:val="24"/>
        </w:rPr>
        <w:t>℃</w:t>
      </w:r>
      <w:r>
        <w:rPr>
          <w:rFonts w:hint="eastAsia" w:ascii="宋体" w:hAnsi="宋体"/>
          <w:color w:val="auto"/>
          <w:sz w:val="24"/>
        </w:rPr>
        <w:t>和相对湿度为</w:t>
      </w:r>
      <w:r>
        <w:rPr>
          <w:rFonts w:ascii="宋体" w:hAnsi="宋体"/>
          <w:b/>
          <w:color w:val="auto"/>
          <w:sz w:val="24"/>
        </w:rPr>
        <w:t>90</w:t>
      </w:r>
      <w:r>
        <w:rPr>
          <w:rFonts w:hint="eastAsia" w:ascii="宋体" w:hAnsi="宋体"/>
          <w:b/>
          <w:color w:val="auto"/>
          <w:sz w:val="24"/>
        </w:rPr>
        <w:t>％</w:t>
      </w:r>
      <w:r>
        <w:rPr>
          <w:rFonts w:hint="eastAsia" w:ascii="宋体" w:hAnsi="宋体"/>
          <w:color w:val="auto"/>
          <w:sz w:val="24"/>
        </w:rPr>
        <w:t>的环境条件下运输和贮存。</w:t>
      </w:r>
    </w:p>
    <w:p>
      <w:pPr>
        <w:spacing w:line="360" w:lineRule="auto"/>
        <w:ind w:left="554" w:hanging="554" w:hangingChars="231"/>
        <w:rPr>
          <w:rFonts w:ascii="宋体" w:hAnsi="宋体"/>
          <w:color w:val="auto"/>
          <w:sz w:val="24"/>
        </w:rPr>
      </w:pPr>
      <w:r>
        <w:rPr>
          <w:rFonts w:hint="eastAsia" w:ascii="宋体" w:hAnsi="宋体"/>
          <w:color w:val="auto"/>
          <w:sz w:val="24"/>
        </w:rPr>
        <w:t>3.2  适于在电源</w:t>
      </w:r>
      <w:r>
        <w:rPr>
          <w:rFonts w:ascii="宋体" w:hAnsi="宋体"/>
          <w:b/>
          <w:color w:val="auto"/>
          <w:sz w:val="24"/>
        </w:rPr>
        <w:t>220V</w:t>
      </w:r>
      <w:r>
        <w:rPr>
          <w:rFonts w:hint="eastAsia" w:ascii="宋体" w:hAnsi="宋体"/>
          <w:b/>
          <w:color w:val="auto"/>
          <w:sz w:val="24"/>
        </w:rPr>
        <w:t>（</w:t>
      </w:r>
      <w:r>
        <w:rPr>
          <w:rFonts w:ascii="宋体" w:hAnsi="宋体"/>
          <w:b/>
          <w:color w:val="auto"/>
          <w:sz w:val="24"/>
        </w:rPr>
        <w:sym w:font="Symbol" w:char="F0B1"/>
      </w:r>
      <w:r>
        <w:rPr>
          <w:rFonts w:ascii="宋体" w:hAnsi="宋体"/>
          <w:b/>
          <w:color w:val="auto"/>
          <w:sz w:val="24"/>
        </w:rPr>
        <w:t>10</w:t>
      </w:r>
      <w:r>
        <w:rPr>
          <w:rFonts w:hint="eastAsia" w:ascii="宋体" w:hAnsi="宋体"/>
          <w:b/>
          <w:color w:val="auto"/>
          <w:sz w:val="24"/>
        </w:rPr>
        <w:t>％）</w:t>
      </w:r>
      <w:r>
        <w:rPr>
          <w:rFonts w:ascii="宋体" w:hAnsi="宋体"/>
          <w:b/>
          <w:color w:val="auto"/>
          <w:sz w:val="24"/>
        </w:rPr>
        <w:t>/50Hz</w:t>
      </w:r>
      <w:r>
        <w:rPr>
          <w:rFonts w:hint="eastAsia" w:ascii="宋体" w:hAnsi="宋体"/>
          <w:color w:val="auto"/>
          <w:sz w:val="24"/>
        </w:rPr>
        <w:t>、气温摄氏</w:t>
      </w:r>
      <w:r>
        <w:rPr>
          <w:rFonts w:hint="eastAsia" w:ascii="宋体" w:hAnsi="宋体"/>
          <w:b/>
          <w:color w:val="auto"/>
          <w:sz w:val="24"/>
        </w:rPr>
        <w:t>+1</w:t>
      </w:r>
      <w:r>
        <w:rPr>
          <w:rFonts w:ascii="宋体" w:hAnsi="宋体"/>
          <w:b/>
          <w:color w:val="auto"/>
          <w:sz w:val="24"/>
        </w:rPr>
        <w:t>5</w:t>
      </w:r>
      <w:r>
        <w:rPr>
          <w:rFonts w:hint="eastAsia" w:ascii="宋体" w:hAnsi="宋体"/>
          <w:b/>
          <w:color w:val="auto"/>
          <w:sz w:val="24"/>
        </w:rPr>
        <w:t>℃～＋3</w:t>
      </w:r>
      <w:r>
        <w:rPr>
          <w:rFonts w:ascii="宋体" w:hAnsi="宋体"/>
          <w:b/>
          <w:color w:val="auto"/>
          <w:sz w:val="24"/>
        </w:rPr>
        <w:t>0</w:t>
      </w:r>
      <w:r>
        <w:rPr>
          <w:rFonts w:hint="eastAsia" w:ascii="宋体" w:hAnsi="宋体"/>
          <w:b/>
          <w:color w:val="auto"/>
          <w:sz w:val="24"/>
        </w:rPr>
        <w:t>℃</w:t>
      </w:r>
      <w:r>
        <w:rPr>
          <w:rFonts w:hint="eastAsia" w:ascii="宋体" w:hAnsi="宋体"/>
          <w:color w:val="auto"/>
          <w:sz w:val="24"/>
        </w:rPr>
        <w:t>和相对湿度小于</w:t>
      </w:r>
      <w:r>
        <w:rPr>
          <w:rFonts w:ascii="宋体" w:hAnsi="宋体"/>
          <w:b/>
          <w:color w:val="auto"/>
          <w:sz w:val="24"/>
        </w:rPr>
        <w:t>8</w:t>
      </w:r>
      <w:r>
        <w:rPr>
          <w:rFonts w:hint="eastAsia" w:ascii="宋体" w:hAnsi="宋体"/>
          <w:b/>
          <w:color w:val="auto"/>
          <w:sz w:val="24"/>
        </w:rPr>
        <w:t>0％</w:t>
      </w:r>
      <w:r>
        <w:rPr>
          <w:rFonts w:hint="eastAsia" w:ascii="宋体" w:hAnsi="宋体"/>
          <w:color w:val="auto"/>
          <w:sz w:val="24"/>
        </w:rPr>
        <w:t>的环境条件下运行。</w:t>
      </w:r>
      <w:r>
        <w:rPr>
          <w:rFonts w:hint="eastAsia" w:ascii="宋体" w:hAnsi="宋体"/>
          <w:b/>
          <w:color w:val="auto"/>
          <w:sz w:val="24"/>
        </w:rPr>
        <w:t>能够连续正常工作。</w:t>
      </w:r>
    </w:p>
    <w:p>
      <w:pPr>
        <w:spacing w:line="360" w:lineRule="auto"/>
        <w:ind w:left="554" w:hanging="554" w:hangingChars="231"/>
        <w:rPr>
          <w:rFonts w:ascii="宋体" w:hAnsi="宋体"/>
          <w:color w:val="auto"/>
          <w:sz w:val="24"/>
        </w:rPr>
      </w:pPr>
      <w:r>
        <w:rPr>
          <w:rFonts w:hint="eastAsia" w:ascii="宋体" w:hAnsi="宋体"/>
          <w:color w:val="auto"/>
          <w:sz w:val="24"/>
        </w:rPr>
        <w:t>3.3  配置符合中国有关标准要求的插头，如果没有这样的插头，则需</w:t>
      </w:r>
      <w:r>
        <w:rPr>
          <w:rFonts w:hint="eastAsia" w:ascii="宋体"/>
          <w:color w:val="auto"/>
          <w:sz w:val="24"/>
        </w:rPr>
        <w:t>提供适当的转</w:t>
      </w:r>
      <w:r>
        <w:rPr>
          <w:rFonts w:hint="eastAsia" w:ascii="宋体" w:hAnsi="宋体"/>
          <w:color w:val="auto"/>
          <w:sz w:val="24"/>
        </w:rPr>
        <w:t>换插座。</w:t>
      </w:r>
    </w:p>
    <w:p>
      <w:pPr>
        <w:spacing w:line="360" w:lineRule="auto"/>
        <w:ind w:left="554" w:hanging="554" w:hangingChars="231"/>
        <w:rPr>
          <w:rFonts w:ascii="宋体" w:hAnsi="宋体"/>
          <w:color w:val="auto"/>
          <w:sz w:val="24"/>
        </w:rPr>
      </w:pPr>
      <w:r>
        <w:rPr>
          <w:rFonts w:hint="eastAsia" w:ascii="宋体" w:hAnsi="宋体"/>
          <w:color w:val="auto"/>
          <w:sz w:val="24"/>
        </w:rPr>
        <w:t>3.4  如产品达不到上述要求，投标人应注明其偏差。如仪器设备需要特殊工作条件（如水、电源、磁场强度、温度、湿度、动强度等）投标人应在投标书中加以说明。</w:t>
      </w:r>
    </w:p>
    <w:p>
      <w:pPr>
        <w:rPr>
          <w:rFonts w:eastAsia="黑体"/>
          <w:b/>
          <w:bCs/>
          <w:color w:val="auto"/>
          <w:kern w:val="44"/>
          <w:sz w:val="24"/>
        </w:rPr>
      </w:pPr>
    </w:p>
    <w:p>
      <w:pPr>
        <w:spacing w:before="156" w:beforeLines="50" w:after="156" w:afterLines="50" w:line="360" w:lineRule="auto"/>
        <w:ind w:left="601" w:hanging="601"/>
        <w:rPr>
          <w:rFonts w:ascii="宋体" w:hAnsi="宋体"/>
          <w:b/>
          <w:color w:val="auto"/>
          <w:sz w:val="28"/>
        </w:rPr>
      </w:pPr>
      <w:r>
        <w:rPr>
          <w:rFonts w:hint="eastAsia" w:ascii="宋体" w:hAnsi="宋体"/>
          <w:b/>
          <w:color w:val="auto"/>
          <w:sz w:val="28"/>
        </w:rPr>
        <w:t>4、验收标准</w:t>
      </w:r>
    </w:p>
    <w:p>
      <w:pPr>
        <w:spacing w:after="312" w:afterLines="100" w:line="360" w:lineRule="auto"/>
        <w:rPr>
          <w:rFonts w:ascii="宋体" w:hAnsi="宋体"/>
          <w:color w:val="auto"/>
          <w:sz w:val="24"/>
        </w:rPr>
      </w:pPr>
      <w:r>
        <w:rPr>
          <w:rFonts w:hint="eastAsia" w:ascii="宋体" w:hAnsi="宋体"/>
          <w:color w:val="auto"/>
          <w:sz w:val="24"/>
        </w:rPr>
        <w:t>除非在技术规格中另有说明，所有仪器、设备和系统按下列要求进行验收：</w:t>
      </w:r>
      <w:r>
        <w:rPr>
          <w:rFonts w:ascii="宋体" w:hAnsi="宋体"/>
          <w:color w:val="auto"/>
          <w:sz w:val="24"/>
        </w:rPr>
        <w:t xml:space="preserve"> </w:t>
      </w:r>
    </w:p>
    <w:p>
      <w:pPr>
        <w:spacing w:line="360" w:lineRule="auto"/>
        <w:ind w:left="554" w:hanging="554" w:hangingChars="231"/>
        <w:rPr>
          <w:rFonts w:ascii="宋体" w:hAnsi="宋体"/>
          <w:color w:val="auto"/>
          <w:sz w:val="24"/>
        </w:rPr>
      </w:pPr>
      <w:r>
        <w:rPr>
          <w:rFonts w:hint="eastAsia" w:ascii="宋体" w:hAnsi="宋体"/>
          <w:color w:val="auto"/>
          <w:sz w:val="24"/>
        </w:rPr>
        <w:t>4.1  仪器设备运抵安装现场后，买方将与卖方共同开箱验收</w:t>
      </w:r>
      <w:r>
        <w:rPr>
          <w:rFonts w:ascii="宋体" w:hAnsi="宋体"/>
          <w:color w:val="auto"/>
          <w:sz w:val="24"/>
        </w:rPr>
        <w:t xml:space="preserve">, </w:t>
      </w:r>
      <w:r>
        <w:rPr>
          <w:rFonts w:hint="eastAsia" w:ascii="宋体" w:hAnsi="宋体"/>
          <w:color w:val="auto"/>
          <w:sz w:val="24"/>
        </w:rPr>
        <w:t>如卖方届时不派人来</w:t>
      </w:r>
      <w:r>
        <w:rPr>
          <w:rFonts w:ascii="宋体" w:hAnsi="宋体"/>
          <w:color w:val="auto"/>
          <w:sz w:val="24"/>
        </w:rPr>
        <w:t xml:space="preserve">, </w:t>
      </w:r>
      <w:r>
        <w:rPr>
          <w:rFonts w:hint="eastAsia" w:ascii="宋体" w:hAnsi="宋体"/>
          <w:color w:val="auto"/>
          <w:sz w:val="24"/>
        </w:rPr>
        <w:t>则验收结果应以买方的验收报告为最终验收结果。验收时发现短缺、破损</w:t>
      </w:r>
      <w:r>
        <w:rPr>
          <w:rFonts w:ascii="宋体" w:hAnsi="宋体"/>
          <w:color w:val="auto"/>
          <w:sz w:val="24"/>
        </w:rPr>
        <w:t xml:space="preserve">, </w:t>
      </w:r>
      <w:r>
        <w:rPr>
          <w:rFonts w:hint="eastAsia" w:ascii="宋体" w:hAnsi="宋体"/>
          <w:color w:val="auto"/>
          <w:sz w:val="24"/>
        </w:rPr>
        <w:t>买方有权要求卖方负责更换。</w:t>
      </w:r>
    </w:p>
    <w:p>
      <w:pPr>
        <w:spacing w:line="360" w:lineRule="auto"/>
        <w:ind w:left="554" w:hanging="554" w:hangingChars="231"/>
        <w:rPr>
          <w:rFonts w:ascii="宋体" w:hAnsi="宋体"/>
          <w:color w:val="auto"/>
          <w:sz w:val="24"/>
        </w:rPr>
      </w:pPr>
      <w:r>
        <w:rPr>
          <w:rFonts w:hint="eastAsia" w:ascii="宋体" w:hAnsi="宋体"/>
          <w:color w:val="auto"/>
          <w:sz w:val="24"/>
        </w:rPr>
        <w:t xml:space="preserve">4.2  </w:t>
      </w:r>
      <w:r>
        <w:rPr>
          <w:rFonts w:hint="eastAsia"/>
          <w:color w:val="auto"/>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color w:val="auto"/>
          <w:sz w:val="24"/>
        </w:rPr>
      </w:pPr>
      <w:r>
        <w:rPr>
          <w:rFonts w:hint="eastAsia" w:ascii="宋体" w:hAnsi="宋体"/>
          <w:color w:val="auto"/>
          <w:sz w:val="24"/>
        </w:rPr>
        <w:t xml:space="preserve">4.3  </w:t>
      </w:r>
      <w:r>
        <w:rPr>
          <w:rFonts w:ascii="宋体" w:hAnsi="宋体"/>
          <w:color w:val="auto"/>
          <w:sz w:val="24"/>
        </w:rPr>
        <w:t>验收由采购人、中标人及相关人员依国家有关标准、合同及有关附件要求进行，验收完毕由采购人及中标人在验收报告上签名。</w:t>
      </w:r>
    </w:p>
    <w:p>
      <w:pPr>
        <w:pStyle w:val="7"/>
        <w:spacing w:line="360" w:lineRule="auto"/>
        <w:ind w:left="410" w:hanging="410" w:hangingChars="170"/>
        <w:rPr>
          <w:rFonts w:hAnsi="宋体"/>
          <w:b/>
          <w:color w:val="auto"/>
          <w:sz w:val="24"/>
          <w:szCs w:val="24"/>
        </w:rPr>
      </w:pPr>
    </w:p>
    <w:p>
      <w:pPr>
        <w:pStyle w:val="7"/>
        <w:spacing w:line="360" w:lineRule="auto"/>
        <w:ind w:left="410" w:hanging="410" w:hangingChars="170"/>
        <w:rPr>
          <w:rFonts w:hAnsi="宋体"/>
          <w:b/>
          <w:color w:val="auto"/>
          <w:sz w:val="24"/>
          <w:szCs w:val="24"/>
        </w:rPr>
      </w:pPr>
      <w:r>
        <w:rPr>
          <w:rFonts w:hint="eastAsia" w:hAnsi="宋体"/>
          <w:b/>
          <w:color w:val="auto"/>
          <w:sz w:val="24"/>
          <w:szCs w:val="24"/>
        </w:rPr>
        <w:t>5、本技术规格书中标注“*”号的为关键技术参数，对这些关键技术参数的任何负偏离将导致废标。</w:t>
      </w:r>
    </w:p>
    <w:p>
      <w:pPr>
        <w:pStyle w:val="7"/>
        <w:spacing w:line="360" w:lineRule="auto"/>
        <w:rPr>
          <w:rFonts w:hAnsi="宋体"/>
          <w:b/>
          <w:color w:val="auto"/>
          <w:sz w:val="24"/>
          <w:szCs w:val="24"/>
        </w:rPr>
      </w:pPr>
    </w:p>
    <w:p>
      <w:pPr>
        <w:pStyle w:val="7"/>
        <w:spacing w:line="360" w:lineRule="auto"/>
        <w:rPr>
          <w:rFonts w:hAnsi="宋体"/>
          <w:b/>
          <w:color w:val="auto"/>
          <w:sz w:val="24"/>
          <w:szCs w:val="24"/>
        </w:rPr>
      </w:pPr>
      <w:r>
        <w:rPr>
          <w:rFonts w:hint="eastAsia" w:hAnsi="宋体"/>
          <w:b/>
          <w:color w:val="auto"/>
          <w:sz w:val="24"/>
          <w:szCs w:val="24"/>
        </w:rPr>
        <w:t>6、如在具体技术规格中有本总则不一致之处，以具体技术规格中的要求为准。</w:t>
      </w:r>
    </w:p>
    <w:p>
      <w:pPr>
        <w:spacing w:after="156" w:afterLines="50"/>
        <w:rPr>
          <w:rFonts w:ascii="宋体" w:hAnsi="宋体"/>
          <w:b/>
          <w:color w:val="auto"/>
          <w:sz w:val="28"/>
        </w:rPr>
      </w:pPr>
      <w:r>
        <w:rPr>
          <w:rFonts w:ascii="宋体" w:hAnsi="宋体"/>
          <w:b/>
          <w:color w:val="auto"/>
          <w:sz w:val="28"/>
        </w:rPr>
        <w:br w:type="page"/>
      </w:r>
      <w:r>
        <w:rPr>
          <w:rFonts w:hint="eastAsia" w:ascii="宋体" w:hAnsi="宋体"/>
          <w:b/>
          <w:color w:val="auto"/>
          <w:sz w:val="28"/>
        </w:rPr>
        <w:t>二、具体技术规格</w:t>
      </w:r>
    </w:p>
    <w:p>
      <w:pPr>
        <w:rPr>
          <w:color w:val="auto"/>
          <w:sz w:val="24"/>
        </w:rPr>
      </w:pPr>
    </w:p>
    <w:p>
      <w:pPr>
        <w:jc w:val="center"/>
        <w:rPr>
          <w:b/>
          <w:color w:val="auto"/>
          <w:sz w:val="24"/>
        </w:rPr>
      </w:pPr>
      <w:r>
        <w:rPr>
          <w:rFonts w:hint="eastAsia"/>
          <w:b/>
          <w:color w:val="auto"/>
          <w:sz w:val="24"/>
        </w:rPr>
        <w:t>激光共聚焦显微镜</w:t>
      </w:r>
    </w:p>
    <w:p>
      <w:pPr>
        <w:snapToGrid w:val="0"/>
        <w:spacing w:line="360" w:lineRule="auto"/>
        <w:outlineLvl w:val="0"/>
        <w:rPr>
          <w:rFonts w:ascii="宋体" w:hAnsi="宋体" w:cs="宋体"/>
          <w:b/>
          <w:color w:val="auto"/>
          <w:kern w:val="44"/>
          <w:sz w:val="24"/>
        </w:rPr>
      </w:pPr>
    </w:p>
    <w:p>
      <w:pPr>
        <w:snapToGrid w:val="0"/>
        <w:spacing w:line="360" w:lineRule="auto"/>
        <w:outlineLvl w:val="0"/>
        <w:rPr>
          <w:rFonts w:ascii="宋体" w:hAnsi="宋体" w:cs="宋体"/>
          <w:b/>
          <w:color w:val="auto"/>
          <w:kern w:val="44"/>
          <w:sz w:val="24"/>
        </w:rPr>
      </w:pPr>
      <w:r>
        <w:rPr>
          <w:rFonts w:hint="eastAsia" w:ascii="宋体" w:hAnsi="宋体" w:cs="宋体"/>
          <w:b/>
          <w:color w:val="auto"/>
          <w:kern w:val="44"/>
          <w:sz w:val="24"/>
        </w:rPr>
        <w:t>1.工作条件：</w:t>
      </w:r>
    </w:p>
    <w:p>
      <w:pPr>
        <w:numPr>
          <w:ilvl w:val="255"/>
          <w:numId w:val="0"/>
        </w:numPr>
        <w:spacing w:line="360" w:lineRule="auto"/>
        <w:jc w:val="left"/>
        <w:rPr>
          <w:color w:val="auto"/>
          <w:sz w:val="24"/>
        </w:rPr>
      </w:pPr>
      <w:r>
        <w:rPr>
          <w:color w:val="auto"/>
          <w:sz w:val="24"/>
        </w:rPr>
        <w:t>1.1电源220V±10%；50Hz±1%，环境温度5</w:t>
      </w:r>
      <w:r>
        <w:rPr>
          <w:rFonts w:hint="eastAsia" w:ascii="宋体" w:hAnsi="宋体" w:cs="宋体"/>
          <w:color w:val="auto"/>
          <w:sz w:val="24"/>
        </w:rPr>
        <w:t>℃</w:t>
      </w:r>
      <w:r>
        <w:rPr>
          <w:color w:val="auto"/>
          <w:sz w:val="24"/>
        </w:rPr>
        <w:t>-40</w:t>
      </w:r>
      <w:r>
        <w:rPr>
          <w:rFonts w:hint="eastAsia" w:ascii="宋体" w:hAnsi="宋体" w:cs="宋体"/>
          <w:color w:val="auto"/>
          <w:sz w:val="24"/>
        </w:rPr>
        <w:t>℃</w:t>
      </w:r>
      <w:r>
        <w:rPr>
          <w:color w:val="auto"/>
          <w:sz w:val="24"/>
        </w:rPr>
        <w:t>，环境相对湿度15-80%</w:t>
      </w:r>
    </w:p>
    <w:p>
      <w:pPr>
        <w:numPr>
          <w:ilvl w:val="255"/>
          <w:numId w:val="0"/>
        </w:numPr>
        <w:spacing w:line="360" w:lineRule="auto"/>
        <w:jc w:val="left"/>
        <w:rPr>
          <w:color w:val="auto"/>
          <w:sz w:val="24"/>
        </w:rPr>
      </w:pPr>
      <w:r>
        <w:rPr>
          <w:color w:val="auto"/>
          <w:sz w:val="24"/>
        </w:rPr>
        <w:t>1.</w:t>
      </w:r>
      <w:r>
        <w:rPr>
          <w:rFonts w:hint="eastAsia"/>
          <w:color w:val="auto"/>
          <w:sz w:val="24"/>
        </w:rPr>
        <w:t>2</w:t>
      </w:r>
      <w:r>
        <w:rPr>
          <w:color w:val="auto"/>
          <w:sz w:val="24"/>
        </w:rPr>
        <w:t>其它：防尘，除湿，抗震动</w:t>
      </w:r>
    </w:p>
    <w:p>
      <w:pPr>
        <w:numPr>
          <w:ilvl w:val="255"/>
          <w:numId w:val="0"/>
        </w:numPr>
        <w:spacing w:line="360" w:lineRule="auto"/>
        <w:jc w:val="left"/>
        <w:rPr>
          <w:color w:val="auto"/>
          <w:sz w:val="24"/>
        </w:rPr>
      </w:pPr>
      <w:r>
        <w:rPr>
          <w:color w:val="auto"/>
          <w:sz w:val="24"/>
        </w:rPr>
        <w:t>1.3电源插头符合中国制式，或提供转接插座</w:t>
      </w:r>
    </w:p>
    <w:p>
      <w:pPr>
        <w:spacing w:line="360" w:lineRule="auto"/>
        <w:rPr>
          <w:rFonts w:ascii="宋体" w:hAnsi="宋体" w:cs="宋体"/>
          <w:color w:val="auto"/>
          <w:sz w:val="24"/>
        </w:rPr>
      </w:pPr>
    </w:p>
    <w:p>
      <w:pPr>
        <w:snapToGrid w:val="0"/>
        <w:spacing w:line="360" w:lineRule="auto"/>
        <w:outlineLvl w:val="0"/>
        <w:rPr>
          <w:rFonts w:ascii="宋体" w:hAnsi="宋体" w:cs="宋体"/>
          <w:b/>
          <w:color w:val="auto"/>
          <w:kern w:val="44"/>
          <w:sz w:val="24"/>
        </w:rPr>
      </w:pPr>
      <w:r>
        <w:rPr>
          <w:rFonts w:hint="eastAsia" w:ascii="宋体" w:hAnsi="宋体" w:cs="宋体"/>
          <w:b/>
          <w:color w:val="auto"/>
          <w:kern w:val="44"/>
          <w:sz w:val="24"/>
        </w:rPr>
        <w:t>2.概况</w:t>
      </w:r>
    </w:p>
    <w:p>
      <w:pPr>
        <w:spacing w:line="360" w:lineRule="auto"/>
        <w:rPr>
          <w:rFonts w:ascii="宋体" w:hAnsi="宋体" w:cs="宋体"/>
          <w:color w:val="auto"/>
          <w:kern w:val="0"/>
          <w:sz w:val="24"/>
        </w:rPr>
      </w:pPr>
      <w:r>
        <w:rPr>
          <w:rFonts w:hint="eastAsia" w:ascii="宋体" w:hAnsi="宋体" w:cs="宋体"/>
          <w:color w:val="auto"/>
          <w:kern w:val="0"/>
          <w:sz w:val="24"/>
        </w:rPr>
        <w:t xml:space="preserve">    </w:t>
      </w:r>
      <w:r>
        <w:rPr>
          <w:color w:val="auto"/>
          <w:sz w:val="24"/>
        </w:rPr>
        <w:t>用于组织切片、生物材料荧光标记、细胞荧光标记的高分辨率成像，并且可以得到清晰锐利的多层Z平面结构，即光学切片，并以此可以构建标本的三维实体结构，用作形态分析和三维空间测量。</w:t>
      </w:r>
    </w:p>
    <w:p>
      <w:pPr>
        <w:spacing w:line="360" w:lineRule="auto"/>
        <w:rPr>
          <w:rFonts w:ascii="宋体" w:hAnsi="宋体" w:cs="宋体"/>
          <w:color w:val="auto"/>
          <w:sz w:val="24"/>
        </w:rPr>
      </w:pPr>
    </w:p>
    <w:p>
      <w:pPr>
        <w:snapToGrid w:val="0"/>
        <w:spacing w:line="360" w:lineRule="auto"/>
        <w:outlineLvl w:val="0"/>
        <w:rPr>
          <w:rFonts w:ascii="宋体" w:hAnsi="宋体" w:cs="宋体"/>
          <w:b/>
          <w:color w:val="auto"/>
          <w:kern w:val="44"/>
          <w:sz w:val="24"/>
        </w:rPr>
      </w:pPr>
      <w:r>
        <w:rPr>
          <w:rFonts w:hint="eastAsia" w:ascii="宋体" w:hAnsi="宋体" w:cs="宋体"/>
          <w:b/>
          <w:color w:val="auto"/>
          <w:kern w:val="44"/>
          <w:sz w:val="24"/>
        </w:rPr>
        <w:t>3.技术参数要求</w:t>
      </w:r>
    </w:p>
    <w:p>
      <w:pPr>
        <w:spacing w:line="360" w:lineRule="auto"/>
        <w:jc w:val="left"/>
        <w:rPr>
          <w:rFonts w:ascii="宋体" w:hAnsi="宋体" w:cs="宋体"/>
          <w:b/>
          <w:color w:val="auto"/>
          <w:kern w:val="0"/>
          <w:sz w:val="24"/>
          <w:szCs w:val="22"/>
        </w:rPr>
      </w:pPr>
      <w:r>
        <w:rPr>
          <w:rFonts w:hint="eastAsia" w:ascii="宋体" w:hAnsi="宋体" w:cs="宋体"/>
          <w:b/>
          <w:color w:val="auto"/>
          <w:kern w:val="0"/>
          <w:sz w:val="24"/>
          <w:szCs w:val="22"/>
        </w:rPr>
        <w:t>3.1、激光照射系统：</w:t>
      </w:r>
    </w:p>
    <w:p>
      <w:pPr>
        <w:spacing w:line="360" w:lineRule="auto"/>
        <w:jc w:val="left"/>
        <w:rPr>
          <w:rFonts w:ascii="宋体" w:hAnsi="宋体" w:cs="宋体"/>
          <w:color w:val="auto"/>
          <w:kern w:val="0"/>
          <w:sz w:val="24"/>
          <w:szCs w:val="22"/>
        </w:rPr>
      </w:pPr>
      <w:r>
        <w:rPr>
          <w:rFonts w:hint="eastAsia" w:ascii="宋体" w:hAnsi="宋体" w:cs="宋体"/>
          <w:bCs/>
          <w:color w:val="auto"/>
          <w:kern w:val="0"/>
          <w:sz w:val="24"/>
          <w:szCs w:val="22"/>
        </w:rPr>
        <w:t>3.</w:t>
      </w:r>
      <w:r>
        <w:rPr>
          <w:rFonts w:hint="eastAsia" w:ascii="宋体" w:hAnsi="宋体" w:cs="宋体"/>
          <w:color w:val="auto"/>
          <w:kern w:val="0"/>
          <w:sz w:val="24"/>
          <w:szCs w:val="22"/>
        </w:rPr>
        <w:t>1.1  405nm固体激光器，功率≥50mW；</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3.1.2  488nm固体激光器，功率≥20mW；</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3.1.3  561nm固体激光器，功率≥20mW；</w:t>
      </w:r>
    </w:p>
    <w:p>
      <w:pPr>
        <w:spacing w:line="360" w:lineRule="auto"/>
        <w:jc w:val="left"/>
        <w:rPr>
          <w:rFonts w:ascii="宋体" w:hAnsi="宋体" w:cs="宋体"/>
          <w:color w:val="auto"/>
          <w:kern w:val="0"/>
          <w:sz w:val="24"/>
          <w:szCs w:val="22"/>
        </w:rPr>
      </w:pPr>
      <w:r>
        <w:rPr>
          <w:rFonts w:hint="eastAsia"/>
          <w:color w:val="auto"/>
        </w:rPr>
        <w:t>#</w:t>
      </w:r>
      <w:r>
        <w:rPr>
          <w:rFonts w:hint="eastAsia" w:ascii="宋体" w:hAnsi="宋体" w:cs="宋体"/>
          <w:color w:val="auto"/>
          <w:kern w:val="0"/>
          <w:sz w:val="24"/>
          <w:szCs w:val="22"/>
        </w:rPr>
        <w:t>3.1.4  640nm固体激光器，功率≥40mW；</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3.1.5 开放式和一体化的激光耦合器，通过单独一根宽光谱、高透过率光纤导出，近紫外到红光区域一体化色差校正，无须调节光纤中心。</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3.1.6 所有激光谱线均由AOTF控制，激光强度调节范围：0.1%-100%。</w:t>
      </w:r>
    </w:p>
    <w:p>
      <w:pPr>
        <w:spacing w:line="360" w:lineRule="auto"/>
        <w:jc w:val="left"/>
        <w:rPr>
          <w:rFonts w:ascii="宋体" w:hAnsi="宋体" w:cs="宋体"/>
          <w:b/>
          <w:color w:val="auto"/>
          <w:kern w:val="0"/>
          <w:sz w:val="24"/>
          <w:szCs w:val="22"/>
        </w:rPr>
      </w:pPr>
      <w:r>
        <w:rPr>
          <w:rFonts w:hint="eastAsia" w:ascii="宋体" w:hAnsi="宋体" w:cs="宋体"/>
          <w:b/>
          <w:color w:val="auto"/>
          <w:kern w:val="0"/>
          <w:sz w:val="24"/>
          <w:szCs w:val="22"/>
        </w:rPr>
        <w:t>3.2.共聚焦扫描检测系统</w:t>
      </w:r>
    </w:p>
    <w:p>
      <w:pPr>
        <w:numPr>
          <w:ilvl w:val="0"/>
          <w:numId w:val="2"/>
        </w:numPr>
        <w:spacing w:line="360" w:lineRule="auto"/>
        <w:jc w:val="left"/>
        <w:rPr>
          <w:rFonts w:ascii="宋体" w:hAnsi="宋体" w:cs="宋体"/>
          <w:vanish/>
          <w:color w:val="auto"/>
          <w:kern w:val="0"/>
          <w:sz w:val="24"/>
          <w:szCs w:val="22"/>
        </w:rPr>
      </w:pPr>
    </w:p>
    <w:p>
      <w:pPr>
        <w:numPr>
          <w:ilvl w:val="0"/>
          <w:numId w:val="2"/>
        </w:numPr>
        <w:spacing w:line="360" w:lineRule="auto"/>
        <w:jc w:val="left"/>
        <w:rPr>
          <w:rFonts w:ascii="宋体" w:hAnsi="宋体" w:cs="宋体"/>
          <w:vanish/>
          <w:color w:val="auto"/>
          <w:kern w:val="0"/>
          <w:sz w:val="24"/>
          <w:szCs w:val="22"/>
        </w:rPr>
      </w:pP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3.2.1扫描系统和检测系统一体化集成设计，扫描检测系统与显微镜直接耦合，非光纤式导出，避免荧光信号的损失。</w:t>
      </w:r>
    </w:p>
    <w:p>
      <w:pPr>
        <w:spacing w:line="360" w:lineRule="auto"/>
        <w:jc w:val="left"/>
        <w:rPr>
          <w:rFonts w:ascii="宋体" w:hAnsi="宋体" w:cs="宋体"/>
          <w:color w:val="auto"/>
          <w:kern w:val="0"/>
          <w:sz w:val="24"/>
          <w:szCs w:val="22"/>
        </w:rPr>
      </w:pPr>
      <w:r>
        <w:rPr>
          <w:rFonts w:hint="eastAsia"/>
          <w:color w:val="auto"/>
        </w:rPr>
        <w:t>#</w:t>
      </w:r>
      <w:r>
        <w:rPr>
          <w:rFonts w:hint="eastAsia" w:ascii="宋体" w:hAnsi="宋体" w:cs="宋体"/>
          <w:color w:val="auto"/>
          <w:sz w:val="24"/>
          <w:szCs w:val="22"/>
        </w:rPr>
        <w:t>3.2.2</w:t>
      </w:r>
      <w:r>
        <w:rPr>
          <w:rFonts w:hint="eastAsia" w:ascii="宋体" w:hAnsi="宋体" w:cs="宋体"/>
          <w:color w:val="auto"/>
          <w:kern w:val="0"/>
          <w:sz w:val="24"/>
          <w:szCs w:val="22"/>
        </w:rPr>
        <w:t>不少于四个独立的光谱型荧光检测器</w:t>
      </w:r>
      <w:r>
        <w:rPr>
          <w:rFonts w:hint="eastAsia" w:ascii="宋体" w:hAnsi="宋体" w:cs="宋体"/>
          <w:color w:val="auto"/>
          <w:kern w:val="0"/>
          <w:sz w:val="24"/>
          <w:szCs w:val="22"/>
          <w:lang w:eastAsia="zh-Hans"/>
        </w:rPr>
        <w:t>及</w:t>
      </w:r>
      <w:r>
        <w:rPr>
          <w:rFonts w:hint="eastAsia" w:ascii="宋体" w:hAnsi="宋体" w:cs="宋体"/>
          <w:color w:val="auto"/>
          <w:kern w:val="0"/>
          <w:sz w:val="24"/>
          <w:szCs w:val="22"/>
        </w:rPr>
        <w:t>荧光检测通道，</w:t>
      </w:r>
      <w:r>
        <w:rPr>
          <w:rFonts w:hint="eastAsia" w:ascii="宋体" w:hAnsi="宋体" w:cs="宋体"/>
          <w:color w:val="auto"/>
          <w:kern w:val="0"/>
          <w:sz w:val="24"/>
          <w:szCs w:val="22"/>
          <w:lang w:eastAsia="zh-Hans"/>
        </w:rPr>
        <w:t>单独</w:t>
      </w:r>
      <w:r>
        <w:rPr>
          <w:rFonts w:hint="eastAsia" w:ascii="宋体" w:hAnsi="宋体" w:cs="宋体"/>
          <w:color w:val="auto"/>
          <w:kern w:val="0"/>
          <w:sz w:val="24"/>
          <w:szCs w:val="22"/>
        </w:rPr>
        <w:t>一个透射DIC检测通道，所有通道可以独立设置不同激光、HV、offset等参数，其中任何一个荧光检测通道都具有独立光栅</w:t>
      </w:r>
    </w:p>
    <w:p>
      <w:pPr>
        <w:spacing w:line="360" w:lineRule="auto"/>
        <w:jc w:val="left"/>
        <w:rPr>
          <w:rFonts w:ascii="宋体" w:hAnsi="宋体" w:cs="宋体"/>
          <w:color w:val="auto"/>
          <w:kern w:val="0"/>
          <w:sz w:val="24"/>
          <w:szCs w:val="22"/>
        </w:rPr>
      </w:pPr>
      <w:r>
        <w:rPr>
          <w:rFonts w:hint="eastAsia" w:ascii="宋体" w:hAnsi="宋体" w:cs="宋体"/>
          <w:color w:val="auto"/>
          <w:sz w:val="24"/>
          <w:szCs w:val="22"/>
        </w:rPr>
        <w:t>3.2</w:t>
      </w:r>
      <w:r>
        <w:rPr>
          <w:rFonts w:hint="eastAsia" w:ascii="宋体" w:hAnsi="宋体" w:cs="宋体"/>
          <w:color w:val="auto"/>
          <w:sz w:val="24"/>
          <w:szCs w:val="22"/>
          <w:lang w:eastAsia="zh-Hans"/>
        </w:rPr>
        <w:t>.3</w:t>
      </w:r>
      <w:r>
        <w:rPr>
          <w:rFonts w:hint="eastAsia" w:ascii="宋体" w:hAnsi="宋体" w:cs="宋体"/>
          <w:color w:val="auto"/>
          <w:sz w:val="24"/>
          <w:szCs w:val="22"/>
        </w:rPr>
        <w:t>光谱最小调节精度：1nm，确保全光谱一致的分辨率，并且连续可调</w:t>
      </w:r>
    </w:p>
    <w:p>
      <w:pPr>
        <w:spacing w:line="360" w:lineRule="auto"/>
        <w:jc w:val="left"/>
        <w:rPr>
          <w:rFonts w:ascii="宋体" w:hAnsi="宋体" w:cs="宋体"/>
          <w:color w:val="auto"/>
          <w:kern w:val="0"/>
          <w:sz w:val="24"/>
          <w:szCs w:val="22"/>
        </w:rPr>
      </w:pPr>
      <w:r>
        <w:rPr>
          <w:rFonts w:hint="eastAsia" w:ascii="宋体" w:hAnsi="宋体" w:cs="宋体"/>
          <w:color w:val="auto"/>
          <w:sz w:val="24"/>
          <w:szCs w:val="22"/>
        </w:rPr>
        <w:t>*3.2</w:t>
      </w:r>
      <w:r>
        <w:rPr>
          <w:rFonts w:hint="eastAsia" w:ascii="宋体" w:hAnsi="宋体" w:cs="宋体"/>
          <w:color w:val="auto"/>
          <w:sz w:val="24"/>
          <w:szCs w:val="22"/>
          <w:lang w:eastAsia="zh-Hans"/>
        </w:rPr>
        <w:t>.4</w:t>
      </w:r>
      <w:r>
        <w:rPr>
          <w:rFonts w:hint="eastAsia" w:ascii="宋体" w:hAnsi="宋体" w:cs="宋体"/>
          <w:color w:val="auto"/>
          <w:sz w:val="24"/>
          <w:szCs w:val="22"/>
        </w:rPr>
        <w:t>所有扫描振镜采用高反射抗氧化银涂层扫描振镜；扫描速度：512×512分辨率≥16帧/秒；</w:t>
      </w:r>
      <w:r>
        <w:rPr>
          <w:rFonts w:hint="eastAsia" w:ascii="宋体" w:hAnsi="宋体" w:cs="宋体"/>
          <w:color w:val="auto"/>
          <w:kern w:val="0"/>
          <w:sz w:val="24"/>
          <w:szCs w:val="22"/>
        </w:rPr>
        <w:t>支持1.25X-100X物镜，能进行从宏观观察到微观成像不同层级的图像采集；</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3.2</w:t>
      </w:r>
      <w:r>
        <w:rPr>
          <w:rFonts w:hint="eastAsia" w:ascii="宋体" w:hAnsi="宋体" w:cs="宋体"/>
          <w:color w:val="auto"/>
          <w:kern w:val="0"/>
          <w:sz w:val="24"/>
          <w:szCs w:val="22"/>
          <w:lang w:eastAsia="zh-Hans"/>
        </w:rPr>
        <w:t>.5</w:t>
      </w:r>
      <w:r>
        <w:rPr>
          <w:rFonts w:hint="eastAsia" w:ascii="宋体" w:hAnsi="宋体" w:cs="宋体"/>
          <w:color w:val="auto"/>
          <w:kern w:val="0"/>
          <w:sz w:val="24"/>
          <w:szCs w:val="22"/>
        </w:rPr>
        <w:t>多种扫描方式，包括线扫、任意图形扫描、龙卷风扫描</w:t>
      </w:r>
    </w:p>
    <w:p>
      <w:pPr>
        <w:spacing w:line="360" w:lineRule="auto"/>
        <w:jc w:val="left"/>
        <w:rPr>
          <w:rFonts w:ascii="宋体" w:hAnsi="宋体" w:cs="宋体"/>
          <w:color w:val="auto"/>
          <w:kern w:val="0"/>
          <w:sz w:val="24"/>
          <w:szCs w:val="22"/>
        </w:rPr>
      </w:pPr>
      <w:r>
        <w:rPr>
          <w:rFonts w:hint="eastAsia" w:ascii="宋体" w:hAnsi="宋体" w:cs="宋体"/>
          <w:color w:val="auto"/>
          <w:sz w:val="24"/>
          <w:szCs w:val="22"/>
        </w:rPr>
        <w:t>*</w:t>
      </w:r>
      <w:r>
        <w:rPr>
          <w:rFonts w:hint="eastAsia" w:ascii="宋体" w:hAnsi="宋体" w:cs="宋体"/>
          <w:color w:val="auto"/>
          <w:kern w:val="0"/>
          <w:sz w:val="24"/>
          <w:szCs w:val="22"/>
        </w:rPr>
        <w:t>3.2</w:t>
      </w:r>
      <w:r>
        <w:rPr>
          <w:rFonts w:hint="eastAsia" w:ascii="宋体" w:hAnsi="宋体" w:cs="宋体"/>
          <w:color w:val="auto"/>
          <w:kern w:val="0"/>
          <w:sz w:val="24"/>
          <w:szCs w:val="22"/>
          <w:lang w:eastAsia="zh-Hans"/>
        </w:rPr>
        <w:t xml:space="preserve">.6 </w:t>
      </w:r>
      <w:r>
        <w:rPr>
          <w:rFonts w:hint="eastAsia" w:ascii="宋体" w:hAnsi="宋体" w:cs="宋体"/>
          <w:color w:val="auto"/>
          <w:kern w:val="0"/>
          <w:sz w:val="24"/>
          <w:szCs w:val="22"/>
        </w:rPr>
        <w:t>旋转角度≥3</w:t>
      </w:r>
      <w:r>
        <w:rPr>
          <w:rFonts w:ascii="宋体" w:hAnsi="宋体" w:cs="宋体"/>
          <w:color w:val="auto"/>
          <w:kern w:val="0"/>
          <w:sz w:val="24"/>
          <w:szCs w:val="22"/>
        </w:rPr>
        <w:t>0</w:t>
      </w:r>
      <w:r>
        <w:rPr>
          <w:rFonts w:hint="eastAsia" w:ascii="宋体" w:hAnsi="宋体" w:cs="宋体"/>
          <w:color w:val="auto"/>
          <w:kern w:val="0"/>
          <w:sz w:val="24"/>
          <w:szCs w:val="22"/>
        </w:rPr>
        <w:t>0°自由旋转，</w:t>
      </w:r>
      <w:r>
        <w:rPr>
          <w:rFonts w:hint="eastAsia"/>
          <w:color w:val="auto"/>
          <w:kern w:val="0"/>
          <w:sz w:val="24"/>
          <w:lang w:eastAsia="zh-Hans"/>
        </w:rPr>
        <w:t>非棱镜分光</w:t>
      </w:r>
      <w:r>
        <w:rPr>
          <w:color w:val="auto"/>
          <w:kern w:val="0"/>
          <w:sz w:val="24"/>
          <w:lang w:eastAsia="zh-Hans"/>
        </w:rPr>
        <w:t>，</w:t>
      </w:r>
      <w:r>
        <w:rPr>
          <w:rFonts w:hint="eastAsia" w:ascii="宋体" w:hAnsi="宋体" w:cs="宋体"/>
          <w:color w:val="auto"/>
          <w:kern w:val="0"/>
          <w:sz w:val="24"/>
          <w:szCs w:val="22"/>
        </w:rPr>
        <w:t>步进≤0.1°</w:t>
      </w:r>
    </w:p>
    <w:p>
      <w:pPr>
        <w:spacing w:line="360" w:lineRule="auto"/>
        <w:jc w:val="left"/>
        <w:rPr>
          <w:rFonts w:ascii="宋体" w:hAnsi="宋体" w:cs="宋体"/>
          <w:b/>
          <w:color w:val="auto"/>
          <w:kern w:val="0"/>
          <w:sz w:val="24"/>
          <w:szCs w:val="22"/>
        </w:rPr>
      </w:pPr>
      <w:r>
        <w:rPr>
          <w:rFonts w:hint="eastAsia" w:ascii="宋体" w:hAnsi="宋体" w:cs="宋体"/>
          <w:b/>
          <w:color w:val="auto"/>
          <w:kern w:val="0"/>
          <w:sz w:val="24"/>
          <w:szCs w:val="22"/>
        </w:rPr>
        <w:t>3.3、全自动倒置显微镜系统</w:t>
      </w:r>
    </w:p>
    <w:p>
      <w:pPr>
        <w:pStyle w:val="21"/>
        <w:numPr>
          <w:ilvl w:val="0"/>
          <w:numId w:val="3"/>
        </w:numPr>
        <w:spacing w:line="360" w:lineRule="auto"/>
        <w:ind w:firstLineChars="0"/>
        <w:jc w:val="left"/>
        <w:rPr>
          <w:rFonts w:ascii="宋体" w:hAnsi="宋体" w:cs="宋体"/>
          <w:vanish/>
          <w:color w:val="auto"/>
          <w:kern w:val="0"/>
          <w:sz w:val="24"/>
        </w:rPr>
      </w:pPr>
    </w:p>
    <w:p>
      <w:pPr>
        <w:pStyle w:val="21"/>
        <w:numPr>
          <w:ilvl w:val="0"/>
          <w:numId w:val="3"/>
        </w:numPr>
        <w:spacing w:line="360" w:lineRule="auto"/>
        <w:ind w:firstLineChars="0"/>
        <w:jc w:val="left"/>
        <w:rPr>
          <w:rFonts w:ascii="宋体" w:hAnsi="宋体" w:cs="宋体"/>
          <w:vanish/>
          <w:color w:val="auto"/>
          <w:kern w:val="0"/>
          <w:sz w:val="24"/>
        </w:rPr>
      </w:pPr>
    </w:p>
    <w:p>
      <w:pPr>
        <w:pStyle w:val="21"/>
        <w:numPr>
          <w:ilvl w:val="0"/>
          <w:numId w:val="3"/>
        </w:numPr>
        <w:spacing w:line="360" w:lineRule="auto"/>
        <w:ind w:firstLineChars="0"/>
        <w:jc w:val="left"/>
        <w:rPr>
          <w:rFonts w:ascii="宋体" w:hAnsi="宋体" w:cs="宋体"/>
          <w:vanish/>
          <w:color w:val="auto"/>
          <w:kern w:val="0"/>
          <w:sz w:val="24"/>
        </w:rPr>
      </w:pP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.1</w:t>
      </w:r>
      <w:r>
        <w:rPr>
          <w:rFonts w:hint="eastAsia" w:ascii="宋体" w:hAnsi="宋体" w:cs="宋体"/>
          <w:color w:val="auto"/>
          <w:kern w:val="0"/>
          <w:sz w:val="24"/>
          <w:szCs w:val="22"/>
        </w:rPr>
        <w:t>双层光路，后部连接共聚焦扫描检测系统，预留显微镜两侧空间用于功能扩展，机身闭环结构设计，高刚性和稳定性。</w:t>
      </w:r>
    </w:p>
    <w:p>
      <w:pPr>
        <w:spacing w:line="360" w:lineRule="auto"/>
        <w:jc w:val="left"/>
        <w:rPr>
          <w:rFonts w:ascii="宋体" w:hAnsi="宋体" w:cs="宋体"/>
          <w:color w:val="auto"/>
          <w:kern w:val="0"/>
          <w:sz w:val="24"/>
          <w:szCs w:val="22"/>
        </w:rPr>
      </w:pPr>
      <w:r>
        <w:rPr>
          <w:rFonts w:hint="eastAsia"/>
          <w:color w:val="auto"/>
        </w:rPr>
        <w:t>#</w:t>
      </w:r>
      <w:r>
        <w:rPr>
          <w:rFonts w:hint="eastAsia" w:ascii="宋体" w:hAnsi="宋体" w:cs="宋体"/>
          <w:color w:val="auto"/>
          <w:sz w:val="24"/>
          <w:szCs w:val="22"/>
        </w:rPr>
        <w:t>3.</w:t>
      </w:r>
      <w:r>
        <w:rPr>
          <w:rFonts w:hint="eastAsia" w:ascii="宋体" w:hAnsi="宋体" w:cs="宋体"/>
          <w:color w:val="auto"/>
          <w:kern w:val="0"/>
          <w:sz w:val="24"/>
          <w:szCs w:val="22"/>
        </w:rPr>
        <w:t>3</w:t>
      </w:r>
      <w:r>
        <w:rPr>
          <w:rFonts w:hint="eastAsia" w:ascii="宋体" w:hAnsi="宋体" w:cs="宋体"/>
          <w:color w:val="auto"/>
          <w:kern w:val="0"/>
          <w:sz w:val="24"/>
          <w:szCs w:val="22"/>
          <w:lang w:eastAsia="zh-Hans"/>
        </w:rPr>
        <w:t>.2</w:t>
      </w:r>
      <w:r>
        <w:rPr>
          <w:rFonts w:hint="eastAsia" w:ascii="宋体" w:hAnsi="宋体" w:cs="宋体"/>
          <w:color w:val="auto"/>
          <w:kern w:val="0"/>
          <w:sz w:val="24"/>
          <w:szCs w:val="22"/>
        </w:rPr>
        <w:t>电动控制Z轴，最小Z轴步进精度≤10nm；电动光路切转与调节，可通过电容式触摸屏控制器、软件、手动三种方式控制功能，包括Z轴、物镜转盘、聚光镜、激发块转盘、电动DIC棱镜切换等</w:t>
      </w:r>
      <w:r>
        <w:rPr>
          <w:rFonts w:ascii="宋体" w:hAnsi="宋体" w:cs="宋体"/>
          <w:color w:val="auto"/>
          <w:kern w:val="0"/>
          <w:sz w:val="24"/>
          <w:szCs w:val="22"/>
        </w:rPr>
        <w:t>;</w:t>
      </w:r>
      <w:r>
        <w:rPr>
          <w:rFonts w:hint="eastAsia" w:ascii="宋体" w:hAnsi="宋体" w:cs="宋体"/>
          <w:color w:val="auto"/>
          <w:kern w:val="0"/>
          <w:sz w:val="24"/>
          <w:szCs w:val="22"/>
        </w:rPr>
        <w:t>标准齐焦距离</w:t>
      </w:r>
      <w:r>
        <w:rPr>
          <w:rFonts w:hint="eastAsia" w:ascii="宋体" w:hAnsi="宋体" w:cs="宋体"/>
          <w:color w:val="auto"/>
          <w:sz w:val="24"/>
          <w:szCs w:val="22"/>
        </w:rPr>
        <w:t>≤</w:t>
      </w:r>
      <w:r>
        <w:rPr>
          <w:rFonts w:hint="eastAsia" w:ascii="宋体" w:hAnsi="宋体" w:cs="宋体"/>
          <w:color w:val="auto"/>
          <w:kern w:val="0"/>
          <w:sz w:val="24"/>
          <w:szCs w:val="22"/>
        </w:rPr>
        <w:t>45mm</w:t>
      </w:r>
    </w:p>
    <w:p>
      <w:pPr>
        <w:spacing w:line="360" w:lineRule="auto"/>
        <w:jc w:val="left"/>
        <w:rPr>
          <w:rFonts w:ascii="宋体" w:hAnsi="宋体" w:cs="宋体"/>
          <w:color w:val="auto"/>
          <w:kern w:val="0"/>
          <w:sz w:val="24"/>
          <w:szCs w:val="22"/>
        </w:rPr>
      </w:pPr>
      <w:r>
        <w:rPr>
          <w:rFonts w:hint="eastAsia"/>
          <w:color w:val="auto"/>
        </w:rPr>
        <w:t>#</w:t>
      </w:r>
      <w:r>
        <w:rPr>
          <w:rFonts w:hint="eastAsia" w:ascii="宋体" w:hAnsi="宋体" w:cs="宋体"/>
          <w:color w:val="auto"/>
          <w:sz w:val="24"/>
          <w:szCs w:val="22"/>
        </w:rPr>
        <w:t>3.3</w:t>
      </w:r>
      <w:r>
        <w:rPr>
          <w:rFonts w:hint="eastAsia" w:ascii="宋体" w:hAnsi="宋体" w:cs="宋体"/>
          <w:color w:val="auto"/>
          <w:sz w:val="24"/>
          <w:szCs w:val="22"/>
          <w:lang w:eastAsia="zh-Hans"/>
        </w:rPr>
        <w:t>.3</w:t>
      </w:r>
      <w:r>
        <w:rPr>
          <w:rFonts w:hint="eastAsia" w:ascii="宋体" w:hAnsi="宋体" w:cs="宋体"/>
          <w:color w:val="auto"/>
          <w:kern w:val="0"/>
          <w:sz w:val="24"/>
          <w:szCs w:val="22"/>
        </w:rPr>
        <w:t>电动</w:t>
      </w:r>
      <w:r>
        <w:rPr>
          <w:rFonts w:hint="eastAsia" w:ascii="宋体" w:hAnsi="宋体" w:cs="宋体"/>
          <w:color w:val="auto"/>
          <w:kern w:val="0"/>
          <w:sz w:val="24"/>
          <w:szCs w:val="22"/>
          <w:lang w:eastAsia="zh-Hans"/>
        </w:rPr>
        <w:t>单层</w:t>
      </w:r>
      <w:r>
        <w:rPr>
          <w:rFonts w:hint="eastAsia" w:ascii="宋体" w:hAnsi="宋体" w:cs="宋体"/>
          <w:color w:val="auto"/>
          <w:kern w:val="0"/>
          <w:sz w:val="24"/>
          <w:szCs w:val="22"/>
        </w:rPr>
        <w:t>激发块转盘≥7孔，</w:t>
      </w:r>
      <w:r>
        <w:rPr>
          <w:rFonts w:hint="eastAsia" w:ascii="宋体" w:hAnsi="宋体" w:cs="宋体"/>
          <w:color w:val="auto"/>
          <w:sz w:val="24"/>
          <w:szCs w:val="22"/>
        </w:rPr>
        <w:t>激发块切换速度</w:t>
      </w:r>
      <w:r>
        <w:rPr>
          <w:rFonts w:hint="eastAsia" w:ascii="宋体" w:hAnsi="宋体" w:cs="宋体"/>
          <w:color w:val="auto"/>
          <w:kern w:val="0"/>
          <w:sz w:val="24"/>
          <w:szCs w:val="22"/>
        </w:rPr>
        <w:t>≤</w:t>
      </w:r>
      <w:r>
        <w:rPr>
          <w:rFonts w:hint="eastAsia" w:ascii="宋体" w:hAnsi="宋体" w:cs="宋体"/>
          <w:color w:val="auto"/>
          <w:sz w:val="24"/>
          <w:szCs w:val="22"/>
        </w:rPr>
        <w:t>0.5sec；无需拆卸更换激发块，内置电动光闸，防水设计；</w:t>
      </w:r>
      <w:r>
        <w:rPr>
          <w:rFonts w:hint="eastAsia" w:ascii="宋体" w:hAnsi="宋体" w:cs="宋体"/>
          <w:color w:val="auto"/>
          <w:kern w:val="0"/>
          <w:sz w:val="24"/>
          <w:szCs w:val="22"/>
        </w:rPr>
        <w:t>荧光激发块：窄带带通紫外激发（UV），窄带带通蓝光激发（B）和宽带绿光激发（G）三种。</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 xml:space="preserve">.4 </w:t>
      </w:r>
      <w:r>
        <w:rPr>
          <w:rFonts w:hint="eastAsia" w:ascii="宋体" w:hAnsi="宋体" w:cs="宋体"/>
          <w:color w:val="auto"/>
          <w:kern w:val="0"/>
          <w:sz w:val="24"/>
          <w:szCs w:val="22"/>
        </w:rPr>
        <w:t>电动长工作距离万能聚光镜：具有7孔位，数值孔径N.A. ≥0.55，工作距离W.D. ≥27mm电动七孔聚光镜；电动孔径光阑，电动偏光镜可自动旋入、旋出光路。</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.5</w:t>
      </w:r>
      <w:r>
        <w:rPr>
          <w:rFonts w:hint="eastAsia" w:ascii="宋体" w:hAnsi="宋体" w:cs="宋体"/>
          <w:color w:val="auto"/>
          <w:kern w:val="0"/>
          <w:sz w:val="24"/>
          <w:szCs w:val="22"/>
        </w:rPr>
        <w:t>荧光光源：</w:t>
      </w:r>
      <w:r>
        <w:rPr>
          <w:rFonts w:hint="eastAsia" w:ascii="宋体" w:hAnsi="宋体" w:cs="宋体"/>
          <w:color w:val="auto"/>
          <w:sz w:val="24"/>
          <w:szCs w:val="22"/>
        </w:rPr>
        <w:t>130W 超高压汞灯，使用寿命≥2000小时，光纤接入，减少对标本的热损伤，7档光强调节，带计数归零开关。</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.6</w:t>
      </w:r>
      <w:r>
        <w:rPr>
          <w:rFonts w:hint="eastAsia" w:ascii="宋体" w:hAnsi="宋体" w:cs="宋体"/>
          <w:color w:val="auto"/>
          <w:kern w:val="0"/>
          <w:sz w:val="24"/>
          <w:szCs w:val="22"/>
        </w:rPr>
        <w:t>透射光源：长寿命LED冷光源，避免对标本造成热损伤</w:t>
      </w:r>
    </w:p>
    <w:p>
      <w:pPr>
        <w:spacing w:line="360" w:lineRule="auto"/>
        <w:jc w:val="left"/>
        <w:rPr>
          <w:rFonts w:ascii="宋体" w:hAnsi="宋体" w:cs="宋体"/>
          <w:color w:val="auto"/>
          <w:kern w:val="0"/>
          <w:sz w:val="24"/>
          <w:szCs w:val="22"/>
        </w:rPr>
      </w:pPr>
      <w:r>
        <w:rPr>
          <w:rFonts w:ascii="宋体" w:hAnsi="宋体" w:cs="宋体"/>
          <w:color w:val="auto"/>
          <w:kern w:val="0"/>
          <w:sz w:val="24"/>
          <w:szCs w:val="22"/>
        </w:rPr>
        <w:t>3</w:t>
      </w:r>
      <w:r>
        <w:rPr>
          <w:rFonts w:hint="eastAsia" w:ascii="宋体" w:hAnsi="宋体" w:cs="宋体"/>
          <w:color w:val="auto"/>
          <w:kern w:val="0"/>
          <w:sz w:val="24"/>
          <w:szCs w:val="22"/>
        </w:rPr>
        <w:t>.3</w:t>
      </w:r>
      <w:r>
        <w:rPr>
          <w:rFonts w:ascii="宋体" w:hAnsi="宋体" w:cs="宋体"/>
          <w:color w:val="auto"/>
          <w:kern w:val="0"/>
          <w:sz w:val="24"/>
          <w:szCs w:val="22"/>
          <w:lang w:eastAsia="zh-Hans"/>
        </w:rPr>
        <w:t>.</w:t>
      </w:r>
      <w:r>
        <w:rPr>
          <w:rFonts w:hint="eastAsia" w:ascii="宋体" w:hAnsi="宋体" w:cs="宋体"/>
          <w:color w:val="auto"/>
          <w:kern w:val="0"/>
          <w:sz w:val="24"/>
          <w:szCs w:val="22"/>
          <w:lang w:eastAsia="zh-Hans"/>
        </w:rPr>
        <w:t xml:space="preserve">7 </w:t>
      </w:r>
      <w:r>
        <w:rPr>
          <w:rFonts w:hint="eastAsia" w:ascii="宋体" w:hAnsi="宋体" w:cs="宋体"/>
          <w:color w:val="auto"/>
          <w:kern w:val="0"/>
          <w:sz w:val="24"/>
          <w:szCs w:val="22"/>
        </w:rPr>
        <w:t>共聚焦专用物镜</w:t>
      </w:r>
      <w:r>
        <w:rPr>
          <w:rFonts w:ascii="宋体" w:hAnsi="宋体" w:cs="宋体"/>
          <w:color w:val="auto"/>
          <w:kern w:val="0"/>
          <w:sz w:val="24"/>
          <w:szCs w:val="22"/>
        </w:rPr>
        <w:t>:</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 xml:space="preserve">.7.1   </w:t>
      </w:r>
      <w:r>
        <w:rPr>
          <w:rFonts w:hint="eastAsia" w:ascii="宋体" w:hAnsi="宋体" w:cs="宋体"/>
          <w:color w:val="auto"/>
          <w:kern w:val="0"/>
          <w:sz w:val="24"/>
          <w:szCs w:val="22"/>
        </w:rPr>
        <w:t>1.25X干镜，数值孔径NA≥0.04</w:t>
      </w:r>
    </w:p>
    <w:p>
      <w:pPr>
        <w:spacing w:line="360" w:lineRule="auto"/>
        <w:jc w:val="left"/>
        <w:rPr>
          <w:rFonts w:ascii="宋体" w:hAnsi="宋体" w:cs="宋体"/>
          <w:color w:val="auto"/>
          <w:kern w:val="0"/>
          <w:sz w:val="24"/>
          <w:szCs w:val="22"/>
        </w:rPr>
      </w:pPr>
      <w:r>
        <w:rPr>
          <w:rFonts w:hint="eastAsia" w:ascii="宋体" w:hAnsi="宋体" w:cs="宋体"/>
          <w:color w:val="auto"/>
          <w:sz w:val="24"/>
          <w:szCs w:val="22"/>
        </w:rPr>
        <w:t>3.3</w:t>
      </w:r>
      <w:r>
        <w:rPr>
          <w:rFonts w:hint="eastAsia" w:ascii="宋体" w:hAnsi="宋体" w:cs="宋体"/>
          <w:color w:val="auto"/>
          <w:sz w:val="24"/>
          <w:szCs w:val="22"/>
          <w:lang w:eastAsia="zh-Hans"/>
        </w:rPr>
        <w:t xml:space="preserve">.7.2   </w:t>
      </w:r>
      <w:r>
        <w:rPr>
          <w:rFonts w:hint="eastAsia" w:ascii="宋体" w:hAnsi="宋体" w:cs="宋体"/>
          <w:color w:val="auto"/>
          <w:sz w:val="24"/>
          <w:szCs w:val="22"/>
        </w:rPr>
        <w:t>10X干镜，数值孔径NA≥0.40，</w:t>
      </w:r>
      <w:r>
        <w:rPr>
          <w:rFonts w:hint="eastAsia" w:ascii="宋体" w:hAnsi="宋体" w:cs="宋体"/>
          <w:color w:val="auto"/>
          <w:sz w:val="24"/>
          <w:szCs w:val="22"/>
          <w:lang w:eastAsia="zh-Hans"/>
        </w:rPr>
        <w:t>FN</w:t>
      </w:r>
      <w:r>
        <w:rPr>
          <w:rFonts w:hint="eastAsia" w:ascii="宋体" w:hAnsi="宋体" w:cs="宋体"/>
          <w:color w:val="auto"/>
          <w:sz w:val="24"/>
          <w:szCs w:val="22"/>
        </w:rPr>
        <w:t>≥26</w:t>
      </w:r>
    </w:p>
    <w:p>
      <w:pPr>
        <w:spacing w:line="360" w:lineRule="auto"/>
        <w:jc w:val="left"/>
        <w:rPr>
          <w:rFonts w:ascii="宋体" w:hAnsi="宋体" w:cs="宋体"/>
          <w:color w:val="auto"/>
          <w:kern w:val="0"/>
          <w:sz w:val="24"/>
          <w:szCs w:val="22"/>
        </w:rPr>
      </w:pPr>
      <w:r>
        <w:rPr>
          <w:rFonts w:hint="eastAsia" w:ascii="宋体" w:hAnsi="宋体" w:cs="宋体"/>
          <w:color w:val="auto"/>
          <w:sz w:val="24"/>
          <w:szCs w:val="22"/>
        </w:rPr>
        <w:t>3.3</w:t>
      </w:r>
      <w:r>
        <w:rPr>
          <w:rFonts w:hint="eastAsia" w:ascii="宋体" w:hAnsi="宋体" w:cs="宋体"/>
          <w:color w:val="auto"/>
          <w:sz w:val="24"/>
          <w:szCs w:val="22"/>
          <w:lang w:eastAsia="zh-Hans"/>
        </w:rPr>
        <w:t xml:space="preserve">.7.3   </w:t>
      </w:r>
      <w:r>
        <w:rPr>
          <w:rFonts w:hint="eastAsia" w:ascii="宋体" w:hAnsi="宋体" w:cs="宋体"/>
          <w:color w:val="auto"/>
          <w:sz w:val="24"/>
          <w:szCs w:val="22"/>
        </w:rPr>
        <w:t>20X干镜，数值孔径NA≥0.80，</w:t>
      </w:r>
      <w:r>
        <w:rPr>
          <w:rFonts w:hint="eastAsia" w:ascii="宋体" w:hAnsi="宋体" w:cs="宋体"/>
          <w:color w:val="auto"/>
          <w:sz w:val="24"/>
          <w:szCs w:val="22"/>
          <w:lang w:eastAsia="zh-Hans"/>
        </w:rPr>
        <w:t>FN</w:t>
      </w:r>
      <w:r>
        <w:rPr>
          <w:rFonts w:hint="eastAsia" w:ascii="宋体" w:hAnsi="宋体" w:cs="宋体"/>
          <w:color w:val="auto"/>
          <w:sz w:val="24"/>
          <w:szCs w:val="22"/>
        </w:rPr>
        <w:t>≥26</w:t>
      </w:r>
    </w:p>
    <w:p>
      <w:pPr>
        <w:spacing w:line="360" w:lineRule="auto"/>
        <w:jc w:val="left"/>
        <w:rPr>
          <w:rFonts w:ascii="宋体" w:hAnsi="宋体" w:cs="宋体"/>
          <w:color w:val="auto"/>
          <w:kern w:val="0"/>
          <w:sz w:val="24"/>
          <w:szCs w:val="22"/>
        </w:rPr>
      </w:pPr>
      <w:r>
        <w:rPr>
          <w:rFonts w:hint="eastAsia"/>
          <w:color w:val="auto"/>
        </w:rPr>
        <w:t>#</w:t>
      </w:r>
      <w:r>
        <w:rPr>
          <w:rFonts w:hint="eastAsia" w:ascii="宋体" w:hAnsi="宋体" w:cs="宋体"/>
          <w:color w:val="auto"/>
          <w:sz w:val="24"/>
          <w:szCs w:val="22"/>
        </w:rPr>
        <w:t>3.3</w:t>
      </w:r>
      <w:r>
        <w:rPr>
          <w:rFonts w:hint="eastAsia" w:ascii="宋体" w:hAnsi="宋体" w:cs="宋体"/>
          <w:color w:val="auto"/>
          <w:sz w:val="24"/>
          <w:szCs w:val="22"/>
          <w:lang w:eastAsia="zh-Hans"/>
        </w:rPr>
        <w:t xml:space="preserve">.7.4   </w:t>
      </w:r>
      <w:r>
        <w:rPr>
          <w:rFonts w:hint="eastAsia" w:ascii="宋体" w:hAnsi="宋体" w:cs="宋体"/>
          <w:color w:val="auto"/>
          <w:sz w:val="24"/>
          <w:szCs w:val="22"/>
        </w:rPr>
        <w:t>40X干镜，数值孔径NA≥0.95，</w:t>
      </w:r>
      <w:r>
        <w:rPr>
          <w:rFonts w:hint="eastAsia" w:ascii="宋体" w:hAnsi="宋体" w:cs="宋体"/>
          <w:color w:val="auto"/>
          <w:sz w:val="24"/>
          <w:szCs w:val="22"/>
          <w:lang w:eastAsia="zh-Hans"/>
        </w:rPr>
        <w:t>FN</w:t>
      </w:r>
      <w:r>
        <w:rPr>
          <w:rFonts w:hint="eastAsia" w:ascii="宋体" w:hAnsi="宋体" w:cs="宋体"/>
          <w:color w:val="auto"/>
          <w:sz w:val="24"/>
          <w:szCs w:val="22"/>
        </w:rPr>
        <w:t>≥26</w:t>
      </w:r>
    </w:p>
    <w:p>
      <w:pPr>
        <w:spacing w:line="360" w:lineRule="auto"/>
        <w:jc w:val="left"/>
        <w:rPr>
          <w:rFonts w:ascii="宋体" w:hAnsi="宋体" w:cs="宋体"/>
          <w:color w:val="auto"/>
          <w:sz w:val="24"/>
          <w:szCs w:val="22"/>
        </w:rPr>
      </w:pPr>
      <w:r>
        <w:rPr>
          <w:rFonts w:hint="eastAsia"/>
          <w:color w:val="auto"/>
        </w:rPr>
        <w:t>#</w:t>
      </w: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 xml:space="preserve">.7.5   </w:t>
      </w:r>
      <w:r>
        <w:rPr>
          <w:rFonts w:hint="eastAsia" w:ascii="宋体" w:hAnsi="宋体" w:cs="宋体"/>
          <w:color w:val="auto"/>
          <w:sz w:val="24"/>
          <w:szCs w:val="22"/>
        </w:rPr>
        <w:t>超高分辨率60X油镜，数值孔径NA≥1.50</w:t>
      </w:r>
    </w:p>
    <w:p>
      <w:pPr>
        <w:spacing w:line="360" w:lineRule="auto"/>
        <w:jc w:val="left"/>
        <w:rPr>
          <w:rFonts w:ascii="宋体" w:hAnsi="宋体" w:cs="宋体"/>
          <w:color w:val="auto"/>
          <w:sz w:val="24"/>
          <w:szCs w:val="22"/>
        </w:rPr>
      </w:pPr>
      <w:r>
        <w:rPr>
          <w:rFonts w:hint="eastAsia"/>
          <w:color w:val="auto"/>
        </w:rPr>
        <w:t>#</w:t>
      </w:r>
      <w:r>
        <w:rPr>
          <w:rFonts w:hint="eastAsia" w:ascii="宋体" w:hAnsi="宋体" w:cs="宋体"/>
          <w:color w:val="auto"/>
          <w:kern w:val="0"/>
          <w:sz w:val="24"/>
          <w:szCs w:val="22"/>
        </w:rPr>
        <w:t>3.</w:t>
      </w:r>
      <w:r>
        <w:rPr>
          <w:rFonts w:hint="eastAsia" w:ascii="宋体" w:hAnsi="宋体" w:cs="宋体"/>
          <w:color w:val="auto"/>
          <w:sz w:val="24"/>
          <w:szCs w:val="22"/>
        </w:rPr>
        <w:t>3</w:t>
      </w:r>
      <w:r>
        <w:rPr>
          <w:rFonts w:hint="eastAsia" w:ascii="宋体" w:hAnsi="宋体" w:cs="宋体"/>
          <w:color w:val="auto"/>
          <w:sz w:val="24"/>
          <w:szCs w:val="22"/>
          <w:lang w:eastAsia="zh-Hans"/>
        </w:rPr>
        <w:t xml:space="preserve">.7.6   </w:t>
      </w:r>
      <w:r>
        <w:rPr>
          <w:rFonts w:hint="eastAsia" w:ascii="宋体" w:hAnsi="宋体" w:cs="宋体"/>
          <w:color w:val="auto"/>
          <w:sz w:val="24"/>
          <w:szCs w:val="22"/>
        </w:rPr>
        <w:t>超高分辨率100X油镜，数值孔径NA≥1.50</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 xml:space="preserve">.8  </w:t>
      </w:r>
      <w:r>
        <w:rPr>
          <w:rFonts w:hint="eastAsia" w:ascii="宋体" w:hAnsi="宋体" w:cs="宋体"/>
          <w:color w:val="auto"/>
          <w:kern w:val="0"/>
          <w:sz w:val="24"/>
          <w:szCs w:val="22"/>
        </w:rPr>
        <w:t>明场观察附件：全套微分干涉（DIC）附件</w:t>
      </w:r>
    </w:p>
    <w:p>
      <w:pPr>
        <w:spacing w:line="360" w:lineRule="auto"/>
        <w:jc w:val="left"/>
        <w:rPr>
          <w:rFonts w:ascii="宋体" w:hAnsi="宋体" w:cs="宋体"/>
          <w:color w:val="auto"/>
          <w:kern w:val="0"/>
          <w:sz w:val="24"/>
          <w:szCs w:val="22"/>
        </w:rPr>
      </w:pPr>
      <w:r>
        <w:rPr>
          <w:rFonts w:hint="eastAsia" w:ascii="宋体" w:hAnsi="宋体" w:cs="宋体"/>
          <w:color w:val="auto"/>
          <w:kern w:val="0"/>
          <w:sz w:val="24"/>
          <w:szCs w:val="22"/>
        </w:rPr>
        <w:t>3.3</w:t>
      </w:r>
      <w:r>
        <w:rPr>
          <w:rFonts w:hint="eastAsia" w:ascii="宋体" w:hAnsi="宋体" w:cs="宋体"/>
          <w:color w:val="auto"/>
          <w:kern w:val="0"/>
          <w:sz w:val="24"/>
          <w:szCs w:val="22"/>
          <w:lang w:eastAsia="zh-Hans"/>
        </w:rPr>
        <w:t xml:space="preserve">.9 </w:t>
      </w:r>
      <w:r>
        <w:rPr>
          <w:rFonts w:hint="eastAsia" w:ascii="宋体" w:hAnsi="宋体" w:cs="宋体"/>
          <w:color w:val="auto"/>
          <w:kern w:val="0"/>
          <w:sz w:val="24"/>
          <w:szCs w:val="22"/>
        </w:rPr>
        <w:t>高精度超声电动载物台，适配多孔板、培养皿、玻片等标本类型</w:t>
      </w:r>
    </w:p>
    <w:p>
      <w:pPr>
        <w:spacing w:line="360" w:lineRule="auto"/>
        <w:jc w:val="left"/>
        <w:rPr>
          <w:rFonts w:ascii="宋体" w:hAnsi="宋体" w:cs="宋体"/>
          <w:color w:val="auto"/>
          <w:kern w:val="0"/>
          <w:sz w:val="24"/>
          <w:szCs w:val="22"/>
        </w:rPr>
      </w:pPr>
      <w:r>
        <w:rPr>
          <w:rFonts w:hint="eastAsia" w:ascii="宋体" w:hAnsi="宋体" w:cs="宋体"/>
          <w:b/>
          <w:color w:val="auto"/>
          <w:kern w:val="0"/>
          <w:sz w:val="24"/>
          <w:szCs w:val="22"/>
        </w:rPr>
        <w:t>3.4、计算机工作站 ：</w:t>
      </w:r>
      <w:r>
        <w:rPr>
          <w:rFonts w:hint="eastAsia" w:ascii="宋体" w:hAnsi="宋体" w:cs="宋体"/>
          <w:color w:val="auto"/>
          <w:sz w:val="24"/>
          <w:szCs w:val="22"/>
        </w:rPr>
        <w:t>CPU Intel Xeon E5-1620v或更高；内存≥ 16GB；硬盘≥ 1TB HDD x2；SSD固态硬盘≥256GB；显卡NVIDIA Quadro K620 2GB或更高；DVD writer；操作系统Windows 7 Professional 64bit；30英寸液晶显示屏</w:t>
      </w:r>
      <w:r>
        <w:rPr>
          <w:rFonts w:hint="eastAsia" w:ascii="宋体" w:hAnsi="宋体" w:cs="宋体"/>
          <w:color w:val="auto"/>
          <w:kern w:val="0"/>
          <w:sz w:val="24"/>
          <w:szCs w:val="22"/>
        </w:rPr>
        <w:t>。</w:t>
      </w:r>
    </w:p>
    <w:p>
      <w:pPr>
        <w:spacing w:line="360" w:lineRule="auto"/>
        <w:jc w:val="left"/>
        <w:rPr>
          <w:rFonts w:ascii="宋体" w:hAnsi="宋体" w:cs="宋体"/>
          <w:b/>
          <w:color w:val="auto"/>
          <w:kern w:val="0"/>
          <w:sz w:val="24"/>
          <w:szCs w:val="22"/>
        </w:rPr>
      </w:pPr>
      <w:r>
        <w:rPr>
          <w:rFonts w:hint="eastAsia" w:ascii="宋体" w:hAnsi="宋体" w:cs="宋体"/>
          <w:b/>
          <w:color w:val="auto"/>
          <w:kern w:val="0"/>
          <w:sz w:val="24"/>
          <w:szCs w:val="22"/>
        </w:rPr>
        <w:t>3.5、</w:t>
      </w:r>
      <w:r>
        <w:rPr>
          <w:rFonts w:hint="eastAsia" w:ascii="宋体" w:hAnsi="宋体" w:cs="宋体"/>
          <w:b/>
          <w:color w:val="auto"/>
          <w:kern w:val="0"/>
          <w:sz w:val="24"/>
          <w:szCs w:val="22"/>
          <w:lang w:eastAsia="zh-Hans"/>
        </w:rPr>
        <w:t>图像分析</w:t>
      </w:r>
      <w:r>
        <w:rPr>
          <w:rFonts w:hint="eastAsia" w:ascii="宋体" w:hAnsi="宋体" w:cs="宋体"/>
          <w:b/>
          <w:color w:val="auto"/>
          <w:kern w:val="0"/>
          <w:sz w:val="24"/>
          <w:szCs w:val="22"/>
        </w:rPr>
        <w:t>软件　</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.1</w:t>
      </w:r>
      <w:r>
        <w:rPr>
          <w:rFonts w:hint="eastAsia" w:ascii="宋体" w:hAnsi="宋体" w:cs="宋体"/>
          <w:color w:val="auto"/>
          <w:kern w:val="0"/>
          <w:sz w:val="24"/>
        </w:rPr>
        <w:t>图像采集和系统自动控制功能，光路全电动控制切换</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.2</w:t>
      </w:r>
      <w:r>
        <w:rPr>
          <w:rFonts w:hint="eastAsia" w:ascii="宋体" w:hAnsi="宋体" w:cs="宋体"/>
          <w:color w:val="auto"/>
          <w:kern w:val="0"/>
          <w:sz w:val="24"/>
        </w:rPr>
        <w:t>智能化设置：根据染料或不同应用要求，软件可一键设置自动配置整个光路</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.3</w:t>
      </w:r>
      <w:r>
        <w:rPr>
          <w:rFonts w:hint="eastAsia" w:ascii="宋体" w:hAnsi="宋体" w:cs="宋体"/>
          <w:color w:val="auto"/>
          <w:kern w:val="0"/>
          <w:sz w:val="24"/>
        </w:rPr>
        <w:t>多维显微成像控制：X，Y，Z，T等控制，实现多时间、多通道荧光、Z序列的自动采集和处理</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 xml:space="preserve">.4 </w:t>
      </w:r>
      <w:r>
        <w:rPr>
          <w:rFonts w:hint="eastAsia" w:ascii="宋体" w:hAnsi="宋体" w:cs="宋体"/>
          <w:color w:val="auto"/>
          <w:kern w:val="0"/>
          <w:sz w:val="24"/>
        </w:rPr>
        <w:t xml:space="preserve"> 三维/四维可视图象重建，具有不少于Alphablend，Isosurface，MIP等多种三维渲染模式，随意进行空间切割，交互立体显示，并在成像过程中实时三维重构；</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 xml:space="preserve">.5  </w:t>
      </w:r>
      <w:r>
        <w:rPr>
          <w:rFonts w:hint="eastAsia" w:ascii="宋体" w:hAnsi="宋体" w:cs="宋体"/>
          <w:color w:val="auto"/>
          <w:kern w:val="0"/>
          <w:sz w:val="24"/>
        </w:rPr>
        <w:t>Z轴深度补偿功能，随成像深度不同，可以随意线性或非线性调节激光强度和检测器灵敏度，自动补偿由于样品深度增加造成的信号衰减。</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 xml:space="preserve">.6 </w:t>
      </w:r>
      <w:r>
        <w:rPr>
          <w:rFonts w:hint="eastAsia" w:ascii="宋体" w:hAnsi="宋体" w:cs="宋体"/>
          <w:color w:val="auto"/>
          <w:kern w:val="0"/>
          <w:sz w:val="24"/>
        </w:rPr>
        <w:t>荧光强度测量，区域和周长等参量计算</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 xml:space="preserve">.7 </w:t>
      </w:r>
      <w:r>
        <w:rPr>
          <w:rFonts w:hint="eastAsia" w:ascii="宋体" w:hAnsi="宋体" w:cs="宋体"/>
          <w:color w:val="auto"/>
          <w:kern w:val="0"/>
          <w:sz w:val="24"/>
        </w:rPr>
        <w:t>共定位定量分析：可定量分析不同标记之间的定位关系，可显示定位关系的荧光分布图，可分别提取单标记和共定位图像</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.8</w:t>
      </w:r>
      <w:r>
        <w:rPr>
          <w:rFonts w:hint="eastAsia" w:ascii="宋体" w:hAnsi="宋体" w:cs="宋体"/>
          <w:color w:val="auto"/>
          <w:kern w:val="0"/>
          <w:sz w:val="24"/>
        </w:rPr>
        <w:t>离子浓度图像：实时追踪荧光强度变化，获取离子浓度比例（Ratio）图像</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.9</w:t>
      </w:r>
      <w:r>
        <w:rPr>
          <w:rFonts w:hint="eastAsia" w:ascii="宋体" w:hAnsi="宋体" w:cs="宋体"/>
          <w:color w:val="auto"/>
          <w:kern w:val="0"/>
          <w:sz w:val="24"/>
        </w:rPr>
        <w:t>检测特异荧光标本指纹光谱：分离发射光谱重叠的多重标记荧光标本，可在扫图过程中实时进行光谱拆分，具有盲式分离法、荧光染料分离法、光谱图像分离法等多种光谱拆分模式</w:t>
      </w:r>
    </w:p>
    <w:p>
      <w:pPr>
        <w:pStyle w:val="21"/>
        <w:spacing w:line="360" w:lineRule="auto"/>
        <w:ind w:firstLine="0" w:firstLineChars="0"/>
        <w:jc w:val="left"/>
        <w:rPr>
          <w:rFonts w:ascii="宋体" w:hAnsi="宋体" w:cs="宋体"/>
          <w:color w:val="auto"/>
          <w:kern w:val="0"/>
          <w:sz w:val="24"/>
        </w:rPr>
      </w:pPr>
      <w:r>
        <w:rPr>
          <w:rFonts w:hint="eastAsia" w:ascii="宋体" w:hAnsi="宋体" w:cs="宋体"/>
          <w:color w:val="auto"/>
          <w:kern w:val="0"/>
          <w:sz w:val="24"/>
        </w:rPr>
        <w:t>3.5</w:t>
      </w:r>
      <w:r>
        <w:rPr>
          <w:rFonts w:hint="eastAsia" w:ascii="宋体" w:hAnsi="宋体" w:cs="宋体"/>
          <w:color w:val="auto"/>
          <w:kern w:val="0"/>
          <w:sz w:val="24"/>
          <w:lang w:eastAsia="zh-Hans"/>
        </w:rPr>
        <w:t>.10</w:t>
      </w:r>
      <w:r>
        <w:rPr>
          <w:rFonts w:hint="eastAsia" w:ascii="宋体" w:hAnsi="宋体" w:cs="宋体"/>
          <w:color w:val="auto"/>
          <w:kern w:val="0"/>
          <w:sz w:val="24"/>
        </w:rPr>
        <w:t>可根据不同用户自定义个性化的布局界面</w:t>
      </w:r>
    </w:p>
    <w:p>
      <w:pPr>
        <w:pStyle w:val="4"/>
        <w:keepNext w:val="0"/>
        <w:keepLines w:val="0"/>
        <w:adjustRightInd w:val="0"/>
        <w:snapToGrid w:val="0"/>
        <w:spacing w:before="0" w:after="0" w:line="360" w:lineRule="auto"/>
        <w:textAlignment w:val="baseline"/>
        <w:rPr>
          <w:rFonts w:ascii="宋体" w:hAnsi="宋体" w:cs="宋体"/>
          <w:b w:val="0"/>
          <w:color w:val="auto"/>
          <w:szCs w:val="24"/>
        </w:rPr>
      </w:pPr>
      <w:r>
        <w:rPr>
          <w:rFonts w:hint="eastAsia" w:ascii="宋体" w:hAnsi="宋体" w:cs="宋体"/>
          <w:color w:val="auto"/>
          <w:kern w:val="0"/>
        </w:rPr>
        <w:t>3.5</w:t>
      </w:r>
      <w:r>
        <w:rPr>
          <w:rFonts w:hint="eastAsia" w:ascii="宋体" w:hAnsi="宋体" w:cs="宋体"/>
          <w:color w:val="auto"/>
          <w:kern w:val="0"/>
          <w:lang w:eastAsia="zh-Hans"/>
        </w:rPr>
        <w:t>.11</w:t>
      </w:r>
      <w:r>
        <w:rPr>
          <w:rFonts w:hint="eastAsia" w:ascii="宋体" w:hAnsi="宋体" w:cs="宋体"/>
          <w:color w:val="auto"/>
          <w:kern w:val="0"/>
        </w:rPr>
        <w:t>提供多种反卷积算法，包括近邻法、非近邻法、Wiener滤镜、2D反卷积等国际公认计算模式，每个模式均有适合于共聚焦图像的专业算法。</w:t>
      </w:r>
    </w:p>
    <w:p>
      <w:pPr>
        <w:pStyle w:val="5"/>
        <w:rPr>
          <w:color w:val="auto"/>
        </w:rPr>
      </w:pPr>
    </w:p>
    <w:p>
      <w:pPr>
        <w:pStyle w:val="4"/>
        <w:keepNext w:val="0"/>
        <w:keepLines w:val="0"/>
        <w:numPr>
          <w:ilvl w:val="0"/>
          <w:numId w:val="4"/>
        </w:numPr>
        <w:adjustRightInd w:val="0"/>
        <w:snapToGrid w:val="0"/>
        <w:spacing w:before="0" w:after="0" w:line="360" w:lineRule="auto"/>
        <w:textAlignment w:val="baseline"/>
        <w:rPr>
          <w:rStyle w:val="16"/>
          <w:rFonts w:ascii="宋体"/>
          <w:b w:val="0"/>
          <w:color w:val="auto"/>
          <w:kern w:val="0"/>
        </w:rPr>
      </w:pPr>
      <w:r>
        <w:rPr>
          <w:rFonts w:hint="eastAsia" w:ascii="宋体" w:hAnsi="宋体" w:cs="宋体"/>
          <w:bCs/>
          <w:color w:val="auto"/>
          <w:szCs w:val="24"/>
        </w:rPr>
        <w:t>配置要求</w:t>
      </w:r>
    </w:p>
    <w:p>
      <w:pPr>
        <w:spacing w:line="360" w:lineRule="auto"/>
        <w:jc w:val="left"/>
        <w:rPr>
          <w:color w:val="auto"/>
          <w:kern w:val="0"/>
          <w:sz w:val="24"/>
        </w:rPr>
      </w:pPr>
      <w:r>
        <w:rPr>
          <w:color w:val="auto"/>
          <w:kern w:val="0"/>
          <w:sz w:val="24"/>
        </w:rPr>
        <w:t>4</w:t>
      </w:r>
      <w:r>
        <w:rPr>
          <w:rFonts w:hint="eastAsia"/>
          <w:color w:val="auto"/>
          <w:kern w:val="0"/>
          <w:sz w:val="24"/>
        </w:rPr>
        <w:t>.1、全固体激光器一套 包括（405nm、488nm、561nm、640nm）</w:t>
      </w:r>
    </w:p>
    <w:p>
      <w:pPr>
        <w:spacing w:line="360" w:lineRule="auto"/>
        <w:jc w:val="left"/>
        <w:rPr>
          <w:color w:val="auto"/>
          <w:kern w:val="0"/>
          <w:sz w:val="24"/>
        </w:rPr>
      </w:pPr>
      <w:r>
        <w:rPr>
          <w:color w:val="auto"/>
          <w:kern w:val="0"/>
          <w:sz w:val="24"/>
        </w:rPr>
        <w:t>4</w:t>
      </w:r>
      <w:r>
        <w:rPr>
          <w:rFonts w:hint="eastAsia"/>
          <w:color w:val="auto"/>
          <w:kern w:val="0"/>
          <w:sz w:val="24"/>
        </w:rPr>
        <w:t>.2、扫描检测单元一套 包括四个独立大靶面荧光检测器</w:t>
      </w:r>
    </w:p>
    <w:p>
      <w:pPr>
        <w:spacing w:line="360" w:lineRule="auto"/>
        <w:jc w:val="left"/>
        <w:rPr>
          <w:color w:val="auto"/>
          <w:kern w:val="0"/>
          <w:sz w:val="24"/>
        </w:rPr>
      </w:pPr>
      <w:r>
        <w:rPr>
          <w:color w:val="auto"/>
          <w:kern w:val="0"/>
          <w:sz w:val="24"/>
        </w:rPr>
        <w:t>4</w:t>
      </w:r>
      <w:r>
        <w:rPr>
          <w:rFonts w:hint="eastAsia"/>
          <w:color w:val="auto"/>
          <w:kern w:val="0"/>
          <w:sz w:val="24"/>
        </w:rPr>
        <w:t>.3、全电动显微镜光学平台一套</w:t>
      </w:r>
    </w:p>
    <w:p>
      <w:pPr>
        <w:spacing w:line="360" w:lineRule="auto"/>
        <w:jc w:val="left"/>
        <w:rPr>
          <w:color w:val="auto"/>
          <w:kern w:val="0"/>
          <w:sz w:val="24"/>
        </w:rPr>
      </w:pPr>
      <w:r>
        <w:rPr>
          <w:color w:val="auto"/>
          <w:kern w:val="0"/>
          <w:sz w:val="24"/>
        </w:rPr>
        <w:t>4</w:t>
      </w:r>
      <w:r>
        <w:rPr>
          <w:rFonts w:hint="eastAsia"/>
          <w:color w:val="auto"/>
          <w:kern w:val="0"/>
          <w:sz w:val="24"/>
        </w:rPr>
        <w:t xml:space="preserve">.4、高精度负反馈电动扫描台 一套  </w:t>
      </w:r>
    </w:p>
    <w:p>
      <w:pPr>
        <w:spacing w:line="360" w:lineRule="auto"/>
        <w:jc w:val="left"/>
        <w:rPr>
          <w:color w:val="auto"/>
          <w:kern w:val="0"/>
          <w:sz w:val="24"/>
        </w:rPr>
      </w:pPr>
      <w:r>
        <w:rPr>
          <w:color w:val="auto"/>
          <w:kern w:val="0"/>
          <w:sz w:val="24"/>
        </w:rPr>
        <w:t>4</w:t>
      </w:r>
      <w:r>
        <w:rPr>
          <w:rFonts w:hint="eastAsia"/>
          <w:color w:val="auto"/>
          <w:kern w:val="0"/>
          <w:sz w:val="24"/>
        </w:rPr>
        <w:t xml:space="preserve">.5、共聚焦专用物镜一套 </w:t>
      </w:r>
    </w:p>
    <w:p>
      <w:pPr>
        <w:spacing w:line="360" w:lineRule="auto"/>
        <w:jc w:val="left"/>
        <w:rPr>
          <w:color w:val="auto"/>
          <w:kern w:val="0"/>
          <w:sz w:val="24"/>
        </w:rPr>
      </w:pPr>
      <w:r>
        <w:rPr>
          <w:color w:val="auto"/>
          <w:kern w:val="0"/>
          <w:sz w:val="24"/>
        </w:rPr>
        <w:t>4</w:t>
      </w:r>
      <w:r>
        <w:rPr>
          <w:rFonts w:hint="eastAsia"/>
          <w:color w:val="auto"/>
          <w:kern w:val="0"/>
          <w:sz w:val="24"/>
        </w:rPr>
        <w:t>.6、全套采集控制分析软件一套</w:t>
      </w:r>
    </w:p>
    <w:p>
      <w:pPr>
        <w:spacing w:line="360" w:lineRule="auto"/>
        <w:jc w:val="left"/>
        <w:rPr>
          <w:color w:val="auto"/>
          <w:kern w:val="0"/>
          <w:sz w:val="24"/>
        </w:rPr>
      </w:pPr>
      <w:r>
        <w:rPr>
          <w:color w:val="auto"/>
          <w:kern w:val="0"/>
          <w:sz w:val="24"/>
        </w:rPr>
        <w:t>4</w:t>
      </w:r>
      <w:r>
        <w:rPr>
          <w:rFonts w:hint="eastAsia"/>
          <w:color w:val="auto"/>
          <w:kern w:val="0"/>
          <w:sz w:val="24"/>
        </w:rPr>
        <w:t>.7、专用图像工作站一套</w:t>
      </w:r>
    </w:p>
    <w:p>
      <w:pPr>
        <w:pStyle w:val="5"/>
        <w:numPr>
          <w:ilvl w:val="255"/>
          <w:numId w:val="0"/>
        </w:numPr>
        <w:rPr>
          <w:color w:val="auto"/>
        </w:rPr>
      </w:pPr>
    </w:p>
    <w:p>
      <w:pPr>
        <w:snapToGrid w:val="0"/>
        <w:spacing w:line="360" w:lineRule="auto"/>
        <w:jc w:val="left"/>
        <w:rPr>
          <w:rFonts w:ascii="宋体" w:hAnsi="宋体" w:cs="宋体"/>
          <w:color w:val="auto"/>
          <w:sz w:val="24"/>
        </w:rPr>
      </w:pPr>
    </w:p>
    <w:p>
      <w:pPr>
        <w:snapToGrid w:val="0"/>
        <w:spacing w:line="360" w:lineRule="auto"/>
        <w:rPr>
          <w:rFonts w:ascii="宋体" w:hAnsi="宋体" w:cs="宋体"/>
          <w:b/>
          <w:bCs/>
          <w:color w:val="auto"/>
          <w:sz w:val="24"/>
        </w:rPr>
      </w:pPr>
      <w:r>
        <w:rPr>
          <w:rFonts w:hint="eastAsia" w:ascii="宋体" w:hAnsi="宋体" w:cs="宋体"/>
          <w:b/>
          <w:bCs/>
          <w:color w:val="auto"/>
          <w:sz w:val="24"/>
        </w:rPr>
        <w:t>5. 技术服务条款</w:t>
      </w:r>
    </w:p>
    <w:p>
      <w:pPr>
        <w:snapToGrid w:val="0"/>
        <w:spacing w:line="360" w:lineRule="auto"/>
        <w:rPr>
          <w:rFonts w:ascii="宋体" w:hAnsi="宋体" w:cs="宋体"/>
          <w:bCs/>
          <w:color w:val="auto"/>
          <w:sz w:val="24"/>
        </w:rPr>
      </w:pPr>
      <w:r>
        <w:rPr>
          <w:rFonts w:hint="eastAsia" w:ascii="宋体" w:hAnsi="宋体" w:cs="宋体"/>
          <w:bCs/>
          <w:color w:val="auto"/>
          <w:sz w:val="24"/>
        </w:rPr>
        <w:t>5.1安装、调试及培训</w:t>
      </w:r>
    </w:p>
    <w:p>
      <w:pPr>
        <w:snapToGrid w:val="0"/>
        <w:spacing w:line="360" w:lineRule="auto"/>
        <w:ind w:firstLine="240" w:firstLineChars="100"/>
        <w:rPr>
          <w:rFonts w:ascii="宋体" w:hAnsi="宋体" w:cs="宋体"/>
          <w:bCs/>
          <w:color w:val="auto"/>
          <w:sz w:val="24"/>
        </w:rPr>
      </w:pPr>
      <w:r>
        <w:rPr>
          <w:rFonts w:hint="eastAsia" w:ascii="宋体" w:hAnsi="宋体" w:cs="宋体"/>
          <w:color w:val="auto"/>
          <w:sz w:val="24"/>
        </w:rPr>
        <w:t>5.1.1 仪器到达用户所在地后, 仪器供应商在接到用户通知后2周内执行安装调试直至达到验收指标。</w:t>
      </w:r>
    </w:p>
    <w:p>
      <w:pPr>
        <w:spacing w:line="360" w:lineRule="auto"/>
        <w:ind w:firstLine="240" w:firstLineChars="100"/>
        <w:rPr>
          <w:rFonts w:ascii="宋体" w:hAnsi="宋体" w:cs="宋体"/>
          <w:color w:val="auto"/>
          <w:sz w:val="24"/>
        </w:rPr>
      </w:pPr>
      <w:r>
        <w:rPr>
          <w:rFonts w:hint="eastAsia" w:ascii="宋体" w:hAnsi="宋体" w:cs="宋体"/>
          <w:color w:val="auto"/>
          <w:sz w:val="24"/>
        </w:rPr>
        <w:t>5.1.2</w:t>
      </w:r>
      <w:r>
        <w:rPr>
          <w:rFonts w:ascii="宋体" w:hAnsi="宋体" w:cs="宋体"/>
          <w:color w:val="auto"/>
          <w:sz w:val="24"/>
        </w:rPr>
        <w:t xml:space="preserve"> </w:t>
      </w:r>
      <w:r>
        <w:rPr>
          <w:rFonts w:hint="eastAsia" w:ascii="宋体" w:hAnsi="宋体" w:cs="宋体"/>
          <w:color w:val="auto"/>
          <w:sz w:val="24"/>
        </w:rPr>
        <w:t>仪器供应商在接到用户安装通知后，安排有经验的工程师到现场安装仪器，并在7天内安装调试完毕。</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5.1.3 安装调试过程中，安装工程师有义务对用户讲解仪器操作及注意事项，对用户提出的问题安装工程师须认真讲解和回答。</w:t>
      </w:r>
    </w:p>
    <w:p>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5.1.3</w:t>
      </w:r>
      <w:r>
        <w:rPr>
          <w:rFonts w:ascii="宋体" w:hAnsi="宋体" w:cs="宋体"/>
          <w:color w:val="auto"/>
          <w:sz w:val="24"/>
        </w:rPr>
        <w:t xml:space="preserve"> </w:t>
      </w:r>
      <w:r>
        <w:rPr>
          <w:rFonts w:hint="eastAsia" w:ascii="宋体" w:hAnsi="宋体" w:cs="宋体"/>
          <w:color w:val="auto"/>
          <w:sz w:val="24"/>
        </w:rPr>
        <w:t xml:space="preserve">技术讲座及培训：在仪器安装完成后，由仪器供应商派专业工程师在用户所在地对使用人员免费进行显微成像技术进展讲座及技术培训，培训人数由用户自定。培训内容包括仪器的技术原理、仪器操作、样品制作、数据处理、仪器维护、软硬件故障排除、仪器日常维护保养等内容，确保操作人员掌握仪器的使用和维护技能。 </w:t>
      </w:r>
    </w:p>
    <w:p>
      <w:pPr>
        <w:snapToGrid w:val="0"/>
        <w:spacing w:line="360" w:lineRule="auto"/>
        <w:rPr>
          <w:rFonts w:ascii="宋体" w:hAnsi="宋体" w:cs="宋体"/>
          <w:color w:val="auto"/>
          <w:sz w:val="24"/>
        </w:rPr>
      </w:pPr>
      <w:r>
        <w:rPr>
          <w:rFonts w:hint="eastAsia" w:ascii="宋体" w:hAnsi="宋体" w:cs="宋体"/>
          <w:color w:val="auto"/>
          <w:sz w:val="24"/>
        </w:rPr>
        <w:t>5.2</w:t>
      </w:r>
      <w:r>
        <w:rPr>
          <w:rFonts w:ascii="宋体" w:hAnsi="宋体" w:cs="宋体"/>
          <w:color w:val="auto"/>
          <w:sz w:val="24"/>
        </w:rPr>
        <w:t xml:space="preserve"> </w:t>
      </w:r>
      <w:r>
        <w:rPr>
          <w:rFonts w:hint="eastAsia" w:ascii="宋体" w:hAnsi="宋体" w:cs="宋体"/>
          <w:color w:val="auto"/>
          <w:sz w:val="24"/>
        </w:rPr>
        <w:t xml:space="preserve"> 售后服务保证</w:t>
      </w:r>
    </w:p>
    <w:p>
      <w:pPr>
        <w:spacing w:line="360" w:lineRule="auto"/>
        <w:rPr>
          <w:rFonts w:ascii="宋体" w:hAnsi="宋体" w:cs="宋体"/>
          <w:color w:val="auto"/>
          <w:sz w:val="24"/>
        </w:rPr>
      </w:pPr>
      <w:r>
        <w:rPr>
          <w:rFonts w:hint="eastAsia" w:ascii="宋体" w:hAnsi="宋体" w:cs="宋体"/>
          <w:color w:val="auto"/>
          <w:sz w:val="24"/>
        </w:rPr>
        <w:t xml:space="preserve">  5.2.1 保修期：提供不少于1年的免费保修，保修期自技术验收签字之日起计算。质保期外提供免费检修服务及长期优惠折扣的备品备件供应。</w:t>
      </w:r>
    </w:p>
    <w:p>
      <w:pPr>
        <w:spacing w:line="360" w:lineRule="auto"/>
        <w:rPr>
          <w:rFonts w:ascii="宋体" w:hAnsi="宋体" w:cs="宋体"/>
          <w:color w:val="auto"/>
          <w:sz w:val="24"/>
        </w:rPr>
      </w:pPr>
      <w:r>
        <w:rPr>
          <w:rFonts w:hint="eastAsia" w:ascii="宋体" w:hAnsi="宋体" w:cs="宋体"/>
          <w:color w:val="auto"/>
          <w:sz w:val="24"/>
        </w:rPr>
        <w:t xml:space="preserve">  5.2.2 维修响应时间：仪器供应商在接到设备进行维修的通知后2小时内响应。并提供免费技术支持热线电话和email技术支持，并在24小时内对用户的服务要求作出响应。</w:t>
      </w:r>
    </w:p>
    <w:p>
      <w:pPr>
        <w:spacing w:line="360" w:lineRule="auto"/>
        <w:rPr>
          <w:rFonts w:ascii="宋体" w:hAnsi="宋体" w:cs="宋体"/>
          <w:color w:val="auto"/>
          <w:sz w:val="24"/>
        </w:rPr>
      </w:pPr>
      <w:r>
        <w:rPr>
          <w:rFonts w:hint="eastAsia" w:ascii="宋体" w:hAnsi="宋体" w:cs="宋体"/>
          <w:color w:val="auto"/>
          <w:sz w:val="24"/>
        </w:rPr>
        <w:t xml:space="preserve">  5.2.3 巡访服务：仪器供应商须对用户提供不定期的巡访服务，为用户解决可能出现的问题。保证每年提供至少1次免费巡访服务和移机的技术支持服务。</w:t>
      </w:r>
    </w:p>
    <w:p>
      <w:pPr>
        <w:pStyle w:val="2"/>
        <w:rPr>
          <w:color w:val="auto"/>
        </w:rPr>
      </w:pPr>
    </w:p>
    <w:p>
      <w:pPr>
        <w:snapToGrid w:val="0"/>
        <w:spacing w:line="360" w:lineRule="auto"/>
        <w:rPr>
          <w:rFonts w:ascii="宋体" w:hAnsi="宋体" w:cs="宋体"/>
          <w:b/>
          <w:bCs/>
          <w:color w:val="auto"/>
          <w:sz w:val="24"/>
        </w:rPr>
      </w:pPr>
      <w:r>
        <w:rPr>
          <w:rFonts w:hint="eastAsia" w:ascii="宋体" w:hAnsi="宋体" w:cs="宋体"/>
          <w:b/>
          <w:bCs/>
          <w:color w:val="auto"/>
          <w:sz w:val="24"/>
        </w:rPr>
        <w:t>6.订货数量：</w:t>
      </w:r>
    </w:p>
    <w:p>
      <w:pPr>
        <w:snapToGrid w:val="0"/>
        <w:spacing w:line="360" w:lineRule="auto"/>
        <w:rPr>
          <w:rFonts w:ascii="宋体" w:hAnsi="宋体" w:cs="宋体"/>
          <w:bCs/>
          <w:color w:val="auto"/>
          <w:sz w:val="24"/>
        </w:rPr>
      </w:pPr>
      <w:r>
        <w:rPr>
          <w:rFonts w:hint="eastAsia" w:ascii="宋体" w:hAnsi="宋体" w:cs="宋体"/>
          <w:bCs/>
          <w:color w:val="auto"/>
          <w:sz w:val="24"/>
        </w:rPr>
        <w:t>1套</w:t>
      </w:r>
    </w:p>
    <w:p>
      <w:pPr>
        <w:pStyle w:val="2"/>
        <w:rPr>
          <w:color w:val="auto"/>
        </w:rPr>
      </w:pPr>
    </w:p>
    <w:p>
      <w:pPr>
        <w:snapToGrid w:val="0"/>
        <w:spacing w:line="360" w:lineRule="auto"/>
        <w:rPr>
          <w:rFonts w:ascii="宋体" w:hAnsi="宋体" w:cs="宋体"/>
          <w:b/>
          <w:bCs/>
          <w:color w:val="auto"/>
          <w:sz w:val="24"/>
        </w:rPr>
      </w:pPr>
      <w:r>
        <w:rPr>
          <w:rFonts w:hint="eastAsia" w:ascii="宋体" w:hAnsi="宋体" w:cs="宋体"/>
          <w:b/>
          <w:bCs/>
          <w:color w:val="auto"/>
          <w:sz w:val="24"/>
        </w:rPr>
        <w:t>7.交货日期：</w:t>
      </w:r>
    </w:p>
    <w:p>
      <w:pPr>
        <w:snapToGrid w:val="0"/>
        <w:spacing w:line="360" w:lineRule="auto"/>
        <w:rPr>
          <w:rFonts w:ascii="宋体" w:hAnsi="宋体" w:cs="宋体"/>
          <w:bCs/>
          <w:color w:val="auto"/>
          <w:sz w:val="24"/>
        </w:rPr>
      </w:pPr>
      <w:r>
        <w:rPr>
          <w:rFonts w:hint="eastAsia" w:ascii="宋体" w:hAnsi="宋体" w:cs="宋体"/>
          <w:bCs/>
          <w:color w:val="auto"/>
          <w:sz w:val="24"/>
        </w:rPr>
        <w:t>合同生效后3个月内</w:t>
      </w:r>
    </w:p>
    <w:p>
      <w:pPr>
        <w:pStyle w:val="2"/>
        <w:rPr>
          <w:color w:val="auto"/>
        </w:rPr>
      </w:pPr>
    </w:p>
    <w:p>
      <w:pPr>
        <w:snapToGrid w:val="0"/>
        <w:spacing w:line="360" w:lineRule="auto"/>
        <w:rPr>
          <w:rFonts w:ascii="宋体" w:hAnsi="宋体" w:cs="宋体"/>
          <w:b/>
          <w:bCs/>
          <w:color w:val="auto"/>
          <w:sz w:val="24"/>
        </w:rPr>
      </w:pPr>
      <w:r>
        <w:rPr>
          <w:rFonts w:hint="eastAsia" w:ascii="宋体" w:hAnsi="宋体" w:cs="宋体"/>
          <w:b/>
          <w:bCs/>
          <w:color w:val="auto"/>
          <w:sz w:val="24"/>
        </w:rPr>
        <w:t>8.目的港：</w:t>
      </w:r>
    </w:p>
    <w:p>
      <w:pPr>
        <w:snapToGrid w:val="0"/>
        <w:spacing w:line="360" w:lineRule="auto"/>
        <w:rPr>
          <w:rFonts w:ascii="宋体" w:hAnsi="宋体" w:cs="宋体"/>
          <w:color w:val="auto"/>
          <w:sz w:val="24"/>
        </w:rPr>
      </w:pPr>
      <w:r>
        <w:rPr>
          <w:rFonts w:hint="eastAsia" w:ascii="宋体" w:hAnsi="宋体" w:cs="宋体"/>
          <w:bCs/>
          <w:color w:val="auto"/>
          <w:sz w:val="24"/>
        </w:rPr>
        <w:t>广州白云机场</w:t>
      </w:r>
    </w:p>
    <w:p>
      <w:pPr>
        <w:spacing w:after="156" w:afterLines="50"/>
        <w:ind w:left="601" w:hanging="601"/>
        <w:rPr>
          <w:rFonts w:ascii="宋体" w:hAnsi="宋体" w:cs="宋体"/>
          <w:color w:val="auto"/>
          <w:sz w:val="24"/>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079C"/>
    <w:multiLevelType w:val="multilevel"/>
    <w:tmpl w:val="1B3F079C"/>
    <w:lvl w:ilvl="0" w:tentative="0">
      <w:start w:val="1"/>
      <w:numFmt w:val="decimal"/>
      <w:lvlText w:val="%1."/>
      <w:lvlJc w:val="left"/>
      <w:pPr>
        <w:ind w:left="420" w:hanging="420"/>
      </w:p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color w:val="auto"/>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
    <w:nsid w:val="614C561E"/>
    <w:multiLevelType w:val="singleLevel"/>
    <w:tmpl w:val="614C561E"/>
    <w:lvl w:ilvl="0" w:tentative="0">
      <w:start w:val="4"/>
      <w:numFmt w:val="decimal"/>
      <w:suff w:val="nothing"/>
      <w:lvlText w:val="%1．"/>
      <w:lvlJc w:val="left"/>
    </w:lvl>
  </w:abstractNum>
  <w:abstractNum w:abstractNumId="2">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E77BEF"/>
    <w:multiLevelType w:val="multilevel"/>
    <w:tmpl w:val="6AE77BEF"/>
    <w:lvl w:ilvl="0" w:tentative="0">
      <w:start w:val="1"/>
      <w:numFmt w:val="decimal"/>
      <w:lvlText w:val="%1"/>
      <w:lvlJc w:val="left"/>
      <w:pPr>
        <w:ind w:left="420" w:hanging="420"/>
      </w:pPr>
      <w:rPr>
        <w:rFonts w:hint="default"/>
        <w:color w:val="auto"/>
      </w:rPr>
    </w:lvl>
    <w:lvl w:ilvl="1" w:tentative="0">
      <w:start w:val="1"/>
      <w:numFmt w:val="decimal"/>
      <w:lvlText w:val="%1.%2"/>
      <w:lvlJc w:val="left"/>
      <w:pPr>
        <w:ind w:left="420" w:hanging="42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800" w:hanging="1800"/>
      </w:pPr>
      <w:rPr>
        <w:rFonts w:hint="default"/>
        <w:color w:val="auto"/>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E0"/>
    <w:rsid w:val="00014B4A"/>
    <w:rsid w:val="00024850"/>
    <w:rsid w:val="000A45EF"/>
    <w:rsid w:val="001A372E"/>
    <w:rsid w:val="00204995"/>
    <w:rsid w:val="00334657"/>
    <w:rsid w:val="003763C4"/>
    <w:rsid w:val="005B48F6"/>
    <w:rsid w:val="007865FA"/>
    <w:rsid w:val="007C1D5D"/>
    <w:rsid w:val="008069E0"/>
    <w:rsid w:val="00894E59"/>
    <w:rsid w:val="009C065C"/>
    <w:rsid w:val="00A27DC1"/>
    <w:rsid w:val="00A74106"/>
    <w:rsid w:val="00AD4A52"/>
    <w:rsid w:val="00B15B3A"/>
    <w:rsid w:val="00C2052C"/>
    <w:rsid w:val="00C73253"/>
    <w:rsid w:val="00DC5160"/>
    <w:rsid w:val="00F91F6D"/>
    <w:rsid w:val="11FF3E91"/>
    <w:rsid w:val="137A664D"/>
    <w:rsid w:val="2D346ECB"/>
    <w:rsid w:val="2D63552D"/>
    <w:rsid w:val="2FD05DAA"/>
    <w:rsid w:val="53190DED"/>
    <w:rsid w:val="57F4205B"/>
    <w:rsid w:val="60CD1575"/>
    <w:rsid w:val="727D429A"/>
    <w:rsid w:val="74EF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lang w:val="en-US" w:eastAsia="zh-CN" w:bidi="ar-SA"/>
    </w:rPr>
  </w:style>
  <w:style w:type="paragraph" w:styleId="4">
    <w:name w:val="heading 7"/>
    <w:next w:val="5"/>
    <w:qFormat/>
    <w:uiPriority w:val="0"/>
    <w:pPr>
      <w:keepNext/>
      <w:keepLines/>
      <w:widowControl w:val="0"/>
      <w:spacing w:before="240" w:after="64" w:line="320" w:lineRule="auto"/>
      <w:jc w:val="both"/>
      <w:outlineLvl w:val="6"/>
    </w:pPr>
    <w:rPr>
      <w:rFonts w:ascii="Times New Roman" w:hAnsi="Times New Roman" w:eastAsia="宋体" w:cs="Times New Roman"/>
      <w:b/>
      <w:kern w:val="2"/>
      <w:sz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footer"/>
    <w:next w:val="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Normal Indent"/>
    <w:qFormat/>
    <w:uiPriority w:val="0"/>
    <w:pPr>
      <w:widowControl w:val="0"/>
      <w:autoSpaceDE w:val="0"/>
      <w:autoSpaceDN w:val="0"/>
      <w:adjustRightInd w:val="0"/>
      <w:ind w:firstLine="420"/>
    </w:pPr>
    <w:rPr>
      <w:rFonts w:ascii="宋体" w:hAnsi="Times New Roman" w:eastAsia="宋体" w:cs="Times New Roman"/>
      <w:sz w:val="24"/>
      <w:lang w:val="en-US" w:eastAsia="zh-CN" w:bidi="ar-SA"/>
    </w:rPr>
  </w:style>
  <w:style w:type="paragraph" w:styleId="6">
    <w:name w:val="annotation text"/>
    <w:basedOn w:val="1"/>
    <w:link w:val="19"/>
    <w:qFormat/>
    <w:uiPriority w:val="0"/>
    <w:pPr>
      <w:jc w:val="left"/>
    </w:pPr>
  </w:style>
  <w:style w:type="paragraph" w:styleId="7">
    <w:name w:val="Plain Text"/>
    <w:qFormat/>
    <w:uiPriority w:val="0"/>
    <w:pPr>
      <w:widowControl w:val="0"/>
      <w:jc w:val="both"/>
    </w:pPr>
    <w:rPr>
      <w:rFonts w:ascii="宋体" w:hAnsi="Courier New" w:eastAsia="宋体" w:cs="Times New Roman"/>
      <w:kern w:val="2"/>
      <w:sz w:val="21"/>
      <w:lang w:val="en-US" w:eastAsia="zh-CN" w:bidi="ar-SA"/>
    </w:rPr>
  </w:style>
  <w:style w:type="paragraph" w:styleId="8">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9">
    <w:name w:val="Balloon Text"/>
    <w:basedOn w:val="1"/>
    <w:link w:val="18"/>
    <w:qFormat/>
    <w:uiPriority w:val="0"/>
    <w:rPr>
      <w:sz w:val="18"/>
      <w:szCs w:val="18"/>
    </w:rPr>
  </w:style>
  <w:style w:type="paragraph" w:styleId="10">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annotation subject"/>
    <w:basedOn w:val="6"/>
    <w:next w:val="6"/>
    <w:link w:val="20"/>
    <w:qFormat/>
    <w:uiPriority w:val="0"/>
    <w:rPr>
      <w:b/>
      <w:bCs/>
    </w:rPr>
  </w:style>
  <w:style w:type="character" w:styleId="14">
    <w:name w:val="Strong"/>
    <w:qFormat/>
    <w:uiPriority w:val="22"/>
    <w:rPr>
      <w:b/>
      <w:bCs/>
    </w:rPr>
  </w:style>
  <w:style w:type="character" w:styleId="15">
    <w:name w:val="page number"/>
    <w:unhideWhenUsed/>
    <w:qFormat/>
    <w:uiPriority w:val="99"/>
  </w:style>
  <w:style w:type="character" w:styleId="16">
    <w:name w:val="annotation reference"/>
    <w:basedOn w:val="13"/>
    <w:qFormat/>
    <w:uiPriority w:val="0"/>
    <w:rPr>
      <w:sz w:val="21"/>
      <w:szCs w:val="21"/>
    </w:rPr>
  </w:style>
  <w:style w:type="paragraph" w:customStyle="1" w:styleId="17">
    <w:name w:val="正文文本 21"/>
    <w:qFormat/>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lang w:val="en-US" w:eastAsia="zh-CN" w:bidi="ar-SA"/>
    </w:rPr>
  </w:style>
  <w:style w:type="character" w:customStyle="1" w:styleId="18">
    <w:name w:val="批注框文本 字符"/>
    <w:basedOn w:val="13"/>
    <w:link w:val="9"/>
    <w:qFormat/>
    <w:uiPriority w:val="0"/>
    <w:rPr>
      <w:rFonts w:ascii="Times New Roman" w:hAnsi="Times New Roman" w:eastAsia="宋体" w:cs="Times New Roman"/>
      <w:kern w:val="2"/>
      <w:sz w:val="18"/>
      <w:szCs w:val="18"/>
    </w:rPr>
  </w:style>
  <w:style w:type="character" w:customStyle="1" w:styleId="19">
    <w:name w:val="批注文字 字符"/>
    <w:basedOn w:val="13"/>
    <w:link w:val="6"/>
    <w:qFormat/>
    <w:uiPriority w:val="0"/>
    <w:rPr>
      <w:rFonts w:ascii="Times New Roman" w:hAnsi="Times New Roman" w:eastAsia="宋体" w:cs="Times New Roman"/>
      <w:kern w:val="2"/>
      <w:sz w:val="21"/>
      <w:szCs w:val="24"/>
    </w:rPr>
  </w:style>
  <w:style w:type="character" w:customStyle="1" w:styleId="20">
    <w:name w:val="批注主题 字符"/>
    <w:basedOn w:val="19"/>
    <w:link w:val="11"/>
    <w:qFormat/>
    <w:uiPriority w:val="0"/>
    <w:rPr>
      <w:rFonts w:ascii="Times New Roman" w:hAnsi="Times New Roman" w:eastAsia="宋体" w:cs="Times New Roman"/>
      <w:b/>
      <w:bCs/>
      <w:kern w:val="2"/>
      <w:sz w:val="21"/>
      <w:szCs w:val="24"/>
    </w:rPr>
  </w:style>
  <w:style w:type="paragraph" w:customStyle="1" w:styleId="21">
    <w:name w:val="列表段落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12089</Words>
  <Characters>13357</Characters>
  <Lines>102</Lines>
  <Paragraphs>28</Paragraphs>
  <TotalTime>27</TotalTime>
  <ScaleCrop>false</ScaleCrop>
  <LinksUpToDate>false</LinksUpToDate>
  <CharactersWithSpaces>13760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2021-09-16T04:00:00Z</dcterms:created>
  <dc:creator>swwan</dc:creator>
  <cp:lastModifiedBy>sw wang</cp:lastModifiedBy>
  <dcterms:modified xsi:type="dcterms:W3CDTF">2021-09-28T03:08:21Z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BC49EAFEAE4448C4AF079413AA23D589</vt:lpwstr>
  </property>
</Properties>
</file>