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8"/>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ind w:firstLine="420" w:firstLineChars="0"/>
        <w:jc w:val="center"/>
        <w:rPr>
          <w:rFonts w:hint="eastAsia" w:asciiTheme="minorEastAsia" w:hAnsiTheme="minorEastAsia" w:eastAsiaTheme="minorEastAsia" w:cstheme="minorEastAsia"/>
          <w:b/>
          <w:bCs w:val="0"/>
          <w:spacing w:val="-12"/>
          <w:sz w:val="44"/>
          <w:szCs w:val="36"/>
          <w:lang w:eastAsia="zh-CN"/>
        </w:rPr>
      </w:pPr>
      <w:r>
        <w:rPr>
          <w:rFonts w:hint="eastAsia" w:asciiTheme="minorEastAsia" w:hAnsiTheme="minorEastAsia" w:eastAsiaTheme="minorEastAsia" w:cstheme="minorEastAsia"/>
          <w:b/>
          <w:bCs w:val="0"/>
          <w:spacing w:val="-12"/>
          <w:sz w:val="52"/>
          <w:szCs w:val="36"/>
          <w:u w:val="none"/>
          <w:lang w:eastAsia="zh-CN"/>
        </w:rPr>
        <w:t>多通道荧光定量基因扩增仪</w:t>
      </w: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bCs/>
          <w:snapToGrid w:val="0"/>
          <w:kern w:val="0"/>
          <w:sz w:val="72"/>
          <w:szCs w:val="80"/>
        </w:rPr>
      </w:pPr>
      <w:r>
        <w:rPr>
          <w:rFonts w:hint="eastAsia" w:asciiTheme="minorEastAsia" w:hAnsiTheme="minorEastAsia" w:eastAsiaTheme="minorEastAsia" w:cstheme="minorEastAsia"/>
          <w:b/>
          <w:bCs/>
          <w:snapToGrid w:val="0"/>
          <w:kern w:val="0"/>
          <w:sz w:val="72"/>
          <w:szCs w:val="80"/>
        </w:rPr>
        <w:t>招 标 文 件</w:t>
      </w: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Cs/>
          <w:snapToGrid w:val="0"/>
          <w:kern w:val="0"/>
          <w:sz w:val="28"/>
          <w:szCs w:val="32"/>
          <w:u w:val="none"/>
          <w:lang w:eastAsia="zh-CN"/>
        </w:rPr>
      </w:pPr>
      <w:r>
        <w:rPr>
          <w:rFonts w:hint="eastAsia" w:asciiTheme="minorEastAsia" w:hAnsiTheme="minorEastAsia" w:eastAsiaTheme="minorEastAsia" w:cstheme="minorEastAsia"/>
          <w:bCs/>
          <w:snapToGrid w:val="0"/>
          <w:kern w:val="0"/>
          <w:sz w:val="28"/>
          <w:szCs w:val="32"/>
          <w:u w:val="none"/>
        </w:rPr>
        <w:t>招标编号：0613-</w:t>
      </w:r>
      <w:r>
        <w:rPr>
          <w:rFonts w:hint="eastAsia" w:asciiTheme="minorEastAsia" w:hAnsiTheme="minorEastAsia" w:eastAsiaTheme="minorEastAsia" w:cstheme="minorEastAsia"/>
          <w:bCs/>
          <w:snapToGrid w:val="0"/>
          <w:kern w:val="0"/>
          <w:sz w:val="28"/>
          <w:szCs w:val="32"/>
          <w:u w:val="none"/>
          <w:lang w:eastAsia="zh-CN"/>
        </w:rPr>
        <w:t>217123062652</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keepNext w:val="0"/>
        <w:keepLines w:val="0"/>
        <w:pageBreakBefore w:val="0"/>
        <w:kinsoku/>
        <w:overflowPunct/>
        <w:bidi w:val="0"/>
        <w:spacing w:beforeAutospacing="0" w:afterAutospacing="0" w:line="300" w:lineRule="auto"/>
        <w:jc w:val="center"/>
        <w:rPr>
          <w:rFonts w:hint="eastAsia" w:asciiTheme="minorEastAsia" w:hAnsiTheme="minorEastAsia" w:eastAsiaTheme="minorEastAsia" w:cstheme="minorEastAsia"/>
          <w:sz w:val="28"/>
          <w:szCs w:val="32"/>
          <w:u w:val="none"/>
        </w:rPr>
      </w:pPr>
      <w:r>
        <w:rPr>
          <w:rFonts w:hint="eastAsia" w:asciiTheme="minorEastAsia" w:hAnsiTheme="minorEastAsia" w:eastAsiaTheme="minorEastAsia" w:cstheme="minorEastAsia"/>
          <w:sz w:val="28"/>
          <w:szCs w:val="32"/>
          <w:u w:val="none"/>
        </w:rPr>
        <w:t>招 标 人：</w:t>
      </w:r>
      <w:r>
        <w:rPr>
          <w:rFonts w:hint="eastAsia" w:asciiTheme="minorEastAsia" w:hAnsiTheme="minorEastAsia" w:eastAsiaTheme="minorEastAsia" w:cstheme="minorEastAsia"/>
          <w:sz w:val="28"/>
          <w:szCs w:val="32"/>
          <w:u w:val="none"/>
          <w:lang w:eastAsia="zh-CN"/>
        </w:rPr>
        <w:t>复旦大学附属妇产科医院</w:t>
      </w:r>
    </w:p>
    <w:p>
      <w:pPr>
        <w:keepNext w:val="0"/>
        <w:keepLines w:val="0"/>
        <w:pageBreakBefore w:val="0"/>
        <w:kinsoku/>
        <w:overflowPunct/>
        <w:bidi w:val="0"/>
        <w:spacing w:beforeAutospacing="0" w:afterAutospacing="0" w:line="300" w:lineRule="auto"/>
        <w:jc w:val="center"/>
        <w:rPr>
          <w:rFonts w:hint="eastAsia" w:asciiTheme="minorEastAsia" w:hAnsiTheme="minorEastAsia" w:eastAsiaTheme="minorEastAsia" w:cstheme="minorEastAsia"/>
          <w:sz w:val="28"/>
          <w:szCs w:val="32"/>
          <w:u w:val="none"/>
        </w:rPr>
      </w:pPr>
      <w:r>
        <w:rPr>
          <w:rFonts w:hint="eastAsia" w:asciiTheme="minorEastAsia" w:hAnsiTheme="minorEastAsia" w:eastAsiaTheme="minorEastAsia" w:cstheme="minorEastAsia"/>
          <w:sz w:val="28"/>
          <w:szCs w:val="32"/>
          <w:u w:val="none"/>
        </w:rPr>
        <w:t>招标代理机构：上海机电设备招标有限公司</w:t>
      </w: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sz w:val="28"/>
          <w:szCs w:val="32"/>
          <w:u w:val="none"/>
        </w:rPr>
      </w:pPr>
      <w:r>
        <w:rPr>
          <w:rFonts w:hint="eastAsia" w:asciiTheme="minorEastAsia" w:hAnsiTheme="minorEastAsia" w:eastAsiaTheme="minorEastAsia" w:cstheme="minorEastAsia"/>
          <w:sz w:val="28"/>
          <w:szCs w:val="32"/>
          <w:u w:val="none"/>
          <w:lang w:val="en-US" w:eastAsia="zh-CN"/>
        </w:rPr>
        <w:t>2021</w:t>
      </w:r>
      <w:r>
        <w:rPr>
          <w:rFonts w:hint="eastAsia" w:asciiTheme="minorEastAsia" w:hAnsiTheme="minorEastAsia" w:eastAsiaTheme="minorEastAsia" w:cstheme="minorEastAsia"/>
          <w:sz w:val="28"/>
          <w:szCs w:val="32"/>
          <w:u w:val="none"/>
        </w:rPr>
        <w:t>年</w:t>
      </w:r>
      <w:r>
        <w:rPr>
          <w:rFonts w:hint="eastAsia" w:asciiTheme="minorEastAsia" w:hAnsiTheme="minorEastAsia" w:eastAsiaTheme="minorEastAsia" w:cstheme="minorEastAsia"/>
          <w:sz w:val="28"/>
          <w:szCs w:val="32"/>
          <w:u w:val="none"/>
          <w:lang w:val="en-US" w:eastAsia="zh-CN"/>
        </w:rPr>
        <w:t>6</w:t>
      </w:r>
      <w:r>
        <w:rPr>
          <w:rFonts w:hint="eastAsia" w:asciiTheme="minorEastAsia" w:hAnsiTheme="minorEastAsia" w:eastAsiaTheme="minorEastAsia" w:cstheme="minorEastAsia"/>
          <w:sz w:val="28"/>
          <w:szCs w:val="32"/>
          <w:u w:val="none"/>
        </w:rPr>
        <w:t>月</w:t>
      </w:r>
    </w:p>
    <w:p>
      <w:pPr>
        <w:keepNext w:val="0"/>
        <w:keepLines w:val="0"/>
        <w:pageBreakBefore w:val="0"/>
        <w:kinsoku/>
        <w:overflowPunct/>
        <w:bidi w:val="0"/>
        <w:spacing w:beforeAutospacing="0" w:afterAutospacing="0" w:line="360" w:lineRule="auto"/>
        <w:ind w:firstLine="640"/>
        <w:jc w:val="center"/>
        <w:rPr>
          <w:rFonts w:hint="eastAsia" w:asciiTheme="minorEastAsia" w:hAnsiTheme="minorEastAsia" w:eastAsiaTheme="minorEastAsia" w:cstheme="minorEastAsia"/>
          <w:sz w:val="32"/>
          <w:szCs w:val="36"/>
        </w:rPr>
        <w:sectPr>
          <w:type w:val="continuous"/>
          <w:pgSz w:w="11907" w:h="16839"/>
          <w:pgMar w:top="1440" w:right="1803" w:bottom="1440" w:left="1803" w:header="720" w:footer="720" w:gutter="0"/>
          <w:pgBorders>
            <w:top w:val="none" w:sz="0" w:space="0"/>
            <w:left w:val="none" w:sz="0" w:space="0"/>
            <w:bottom w:val="none" w:sz="0" w:space="0"/>
            <w:right w:val="none" w:sz="0" w:space="0"/>
          </w:pgBorders>
          <w:pgNumType w:fmt="upperRoman"/>
          <w:cols w:space="720" w:num="1"/>
          <w:rtlGutter w:val="0"/>
          <w:docGrid w:linePitch="286" w:charSpace="0"/>
        </w:sectPr>
      </w:pP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上海机电设备招标有限公司</w:t>
      </w: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廉洁自律公约</w:t>
      </w: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（2016年修订）</w:t>
      </w: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
          <w:sz w:val="24"/>
          <w:szCs w:val="24"/>
        </w:rPr>
      </w:pP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为贯彻落实中央八项规定的精神，不断增强招投标人员廉洁自律意识，牢筑防腐思想防线，提高拒腐防变能力，根据中央有关廉洁自律准则规定，</w:t>
      </w:r>
      <w:r>
        <w:rPr>
          <w:rFonts w:hint="eastAsia" w:asciiTheme="minorEastAsia" w:hAnsiTheme="minorEastAsia" w:eastAsiaTheme="minorEastAsia" w:cstheme="minorEastAsia"/>
          <w:sz w:val="24"/>
          <w:szCs w:val="24"/>
        </w:rPr>
        <w:t>上海机电设备招标有限公司（以下称，甲方）结合工作实际，特制定本公约。参加本招标项目的投标人（以下称，乙方）也应遵守本公约。</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甲乙双方应当共同遵守法律法规，</w:t>
      </w:r>
      <w:r>
        <w:rPr>
          <w:rFonts w:hint="eastAsia" w:asciiTheme="minorEastAsia" w:hAnsiTheme="minorEastAsia" w:eastAsiaTheme="minorEastAsia" w:cstheme="minorEastAsia"/>
          <w:color w:val="000000"/>
          <w:sz w:val="24"/>
          <w:szCs w:val="24"/>
        </w:rPr>
        <w:t>自觉树立良好的职业道德，强化服务意识、诚实守信、秉公办事，</w:t>
      </w:r>
      <w:r>
        <w:rPr>
          <w:rFonts w:hint="eastAsia" w:asciiTheme="minorEastAsia" w:hAnsiTheme="minorEastAsia" w:eastAsiaTheme="minorEastAsia" w:cstheme="minorEastAsia"/>
          <w:sz w:val="24"/>
          <w:szCs w:val="24"/>
        </w:rPr>
        <w:t>自觉践行本公约。</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二、甲方人员不得暗示、索要或接受乙方的礼金、礼券、消费卡，以及各种有价证券和支付凭证；不得向乙方报销个人费用；不得利用职权或者职务谋取私利。</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三、甲方人员不得以任何方式和理由向乙方推荐其配偶、子女及其配偶等亲属和其他特定关系人参与本招标项目以及相关经营活动。</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四、甲方人员不得接受可能影响其公正执行公务的乙方宴请或者旅游、健身、娱乐等活动安排。</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五、乙方人员不准以任何形式向甲方人员馈赠礼金、礼券、消费卡，以及各种有价证券和支付凭证；不得接受甲方报销个人费用的要求。</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六、乙方人员不准以任何方式和理由接受甲方人员推荐其配偶、子女及其配偶等亲属和其他特定关系人参与本招标项目以及相关经营活动。</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七、乙方人员不准邀请甲方人员参加有可能影响其公正执行公务的宴请或者旅游、健身、娱乐等活动。</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八、甲乙任一方人员存在违反本公约行为的，应当依法作出相应的处分；或者甲乙任一方人员存在违反法律法规情形的，应当追究法律责任；乙方人员存在前述情形之一的，将被取消本项目的投标资格。</w:t>
      </w:r>
    </w:p>
    <w:p>
      <w:pPr>
        <w:pStyle w:val="3"/>
        <w:keepNext w:val="0"/>
        <w:keepLines w:val="0"/>
        <w:pageBreakBefore w:val="0"/>
        <w:kinsoku/>
        <w:overflowPunct/>
        <w:bidi w:val="0"/>
        <w:spacing w:before="0" w:beforeLines="0" w:beforeAutospacing="0" w:after="0" w:afterLines="0" w:afterAutospacing="0" w:line="360" w:lineRule="auto"/>
        <w:jc w:val="center"/>
        <w:outlineLvl w:val="0"/>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rPr>
        <w:br w:type="page"/>
      </w:r>
      <w:bookmarkStart w:id="0" w:name="_Toc392227728"/>
      <w:bookmarkStart w:id="1" w:name="_Toc457747910"/>
      <w:bookmarkStart w:id="2" w:name="_Toc10675"/>
      <w:bookmarkStart w:id="3" w:name="_Toc24389"/>
      <w:bookmarkStart w:id="4" w:name="_Toc26164"/>
      <w:bookmarkStart w:id="5" w:name="_Toc152042287"/>
      <w:bookmarkStart w:id="6" w:name="_Toc144974479"/>
      <w:bookmarkStart w:id="7" w:name="_Toc152045511"/>
      <w:r>
        <w:rPr>
          <w:rFonts w:hint="eastAsia" w:asciiTheme="minorEastAsia" w:hAnsiTheme="minorEastAsia" w:eastAsiaTheme="minorEastAsia" w:cstheme="minorEastAsia"/>
          <w:sz w:val="32"/>
          <w:szCs w:val="32"/>
        </w:rPr>
        <w:t xml:space="preserve">第一章 </w:t>
      </w:r>
      <w:bookmarkEnd w:id="0"/>
      <w:bookmarkEnd w:id="1"/>
      <w:bookmarkStart w:id="8" w:name="_Toc392227729"/>
      <w:r>
        <w:rPr>
          <w:rFonts w:hint="eastAsia" w:asciiTheme="minorEastAsia" w:hAnsiTheme="minorEastAsia" w:eastAsiaTheme="minorEastAsia" w:cstheme="minorEastAsia"/>
          <w:sz w:val="32"/>
          <w:szCs w:val="32"/>
          <w:lang w:eastAsia="zh-CN"/>
        </w:rPr>
        <w:t>招标公告</w:t>
      </w:r>
      <w:bookmarkEnd w:id="2"/>
      <w:bookmarkEnd w:id="3"/>
      <w:bookmarkEnd w:id="4"/>
      <w:bookmarkEnd w:id="8"/>
    </w:p>
    <w:p>
      <w:pPr>
        <w:pageBreakBefore w:val="0"/>
        <w:kinsoku/>
        <w:wordWrap/>
        <w:overflowPunct/>
        <w:topLinePunct w:val="0"/>
        <w:bidi w:val="0"/>
        <w:snapToGrid/>
        <w:spacing w:line="360" w:lineRule="auto"/>
        <w:ind w:right="0" w:rightChars="0"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项目概况</w:t>
      </w:r>
    </w:p>
    <w:p>
      <w:pPr>
        <w:pageBreakBefore w:val="0"/>
        <w:kinsoku/>
        <w:wordWrap/>
        <w:overflowPunct/>
        <w:topLinePunct w:val="0"/>
        <w:bidi w:val="0"/>
        <w:snapToGrid/>
        <w:spacing w:line="360" w:lineRule="auto"/>
        <w:ind w:right="0" w:rightChars="0"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多通道荧光定量基因扩增仪招标项目的潜在投标人应在上海市普陀区长寿路285号恒达大厦16楼1606室获取招标文件，并于202</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年</w:t>
      </w:r>
      <w:r>
        <w:rPr>
          <w:rFonts w:hint="eastAsia" w:ascii="宋体" w:hAnsi="宋体" w:cs="宋体"/>
          <w:color w:val="auto"/>
          <w:sz w:val="24"/>
          <w:szCs w:val="24"/>
          <w:lang w:val="en-US" w:eastAsia="zh-CN"/>
        </w:rPr>
        <w:t>7</w:t>
      </w:r>
      <w:r>
        <w:rPr>
          <w:rFonts w:hint="eastAsia" w:ascii="宋体" w:hAnsi="宋体" w:cs="宋体"/>
          <w:color w:val="auto"/>
          <w:sz w:val="24"/>
          <w:szCs w:val="24"/>
          <w:lang w:eastAsia="zh-CN"/>
        </w:rPr>
        <w:t>月</w:t>
      </w:r>
      <w:r>
        <w:rPr>
          <w:rFonts w:hint="eastAsia" w:ascii="宋体" w:hAnsi="宋体" w:cs="宋体"/>
          <w:color w:val="auto"/>
          <w:sz w:val="24"/>
          <w:szCs w:val="24"/>
          <w:lang w:val="en-US" w:eastAsia="zh-CN"/>
        </w:rPr>
        <w:t>8</w:t>
      </w:r>
      <w:r>
        <w:rPr>
          <w:rFonts w:hint="eastAsia" w:ascii="宋体" w:hAnsi="宋体" w:cs="宋体"/>
          <w:color w:val="auto"/>
          <w:sz w:val="24"/>
          <w:szCs w:val="24"/>
          <w:lang w:eastAsia="zh-CN"/>
        </w:rPr>
        <w:t>日</w:t>
      </w:r>
      <w:r>
        <w:rPr>
          <w:rFonts w:hint="eastAsia" w:ascii="宋体" w:hAnsi="宋体" w:cs="宋体"/>
          <w:color w:val="auto"/>
          <w:sz w:val="24"/>
          <w:szCs w:val="24"/>
          <w:lang w:val="en-US" w:eastAsia="zh-CN"/>
        </w:rPr>
        <w:t>13</w:t>
      </w:r>
      <w:r>
        <w:rPr>
          <w:rFonts w:hint="eastAsia" w:ascii="宋体" w:hAnsi="宋体" w:cs="宋体"/>
          <w:color w:val="auto"/>
          <w:sz w:val="24"/>
          <w:szCs w:val="24"/>
          <w:lang w:eastAsia="zh-CN"/>
        </w:rPr>
        <w:t>点30分（北京时间）前递交投标文件。</w:t>
      </w:r>
    </w:p>
    <w:p>
      <w:pPr>
        <w:numPr>
          <w:ilvl w:val="0"/>
          <w:numId w:val="1"/>
        </w:numPr>
        <w:spacing w:line="360" w:lineRule="auto"/>
        <w:outlineLvl w:val="1"/>
        <w:rPr>
          <w:rFonts w:hint="eastAsia" w:asciiTheme="minorEastAsia" w:hAnsiTheme="minorEastAsia" w:eastAsiaTheme="minorEastAsia" w:cstheme="minorEastAsia"/>
          <w:b/>
          <w:bCs/>
          <w:color w:val="auto"/>
          <w:sz w:val="24"/>
          <w:szCs w:val="24"/>
        </w:rPr>
      </w:pPr>
      <w:bookmarkStart w:id="9" w:name="_Toc9961"/>
      <w:bookmarkStart w:id="10" w:name="_Toc28359079"/>
      <w:bookmarkStart w:id="11" w:name="_Toc35393790"/>
      <w:bookmarkStart w:id="12" w:name="_Toc35393621"/>
      <w:bookmarkStart w:id="13" w:name="_Toc14037"/>
      <w:bookmarkStart w:id="14" w:name="_Toc28359002"/>
      <w:bookmarkStart w:id="15" w:name="_Hlk24379207"/>
      <w:r>
        <w:rPr>
          <w:rFonts w:hint="eastAsia" w:asciiTheme="minorEastAsia" w:hAnsiTheme="minorEastAsia" w:eastAsiaTheme="minorEastAsia" w:cstheme="minorEastAsia"/>
          <w:b/>
          <w:bCs/>
          <w:sz w:val="24"/>
          <w:szCs w:val="24"/>
        </w:rPr>
        <w:t>项目</w:t>
      </w:r>
      <w:r>
        <w:rPr>
          <w:rFonts w:hint="eastAsia" w:asciiTheme="minorEastAsia" w:hAnsiTheme="minorEastAsia" w:eastAsiaTheme="minorEastAsia" w:cstheme="minorEastAsia"/>
          <w:b/>
          <w:bCs/>
          <w:color w:val="auto"/>
          <w:sz w:val="24"/>
          <w:szCs w:val="24"/>
        </w:rPr>
        <w:t>基本情况</w:t>
      </w:r>
      <w:bookmarkEnd w:id="9"/>
      <w:bookmarkEnd w:id="10"/>
      <w:bookmarkEnd w:id="11"/>
      <w:bookmarkEnd w:id="12"/>
      <w:bookmarkEnd w:id="13"/>
      <w:bookmarkEnd w:id="14"/>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项目编号：0613-</w:t>
      </w:r>
      <w:r>
        <w:rPr>
          <w:rFonts w:hint="eastAsia" w:asciiTheme="minorEastAsia" w:hAnsiTheme="minorEastAsia" w:eastAsiaTheme="minorEastAsia" w:cstheme="minorEastAsia"/>
          <w:color w:val="auto"/>
          <w:sz w:val="24"/>
          <w:szCs w:val="24"/>
          <w:lang w:eastAsia="zh-CN"/>
        </w:rPr>
        <w:t>217123062652</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eastAsia="zh-CN"/>
        </w:rPr>
        <w:t>多通道荧光定量基因扩增仪</w:t>
      </w:r>
    </w:p>
    <w:bookmarkEnd w:id="15"/>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预算金额：</w:t>
      </w:r>
      <w:r>
        <w:rPr>
          <w:rFonts w:hint="eastAsia" w:asciiTheme="minorEastAsia" w:hAnsiTheme="minorEastAsia" w:eastAsiaTheme="minorEastAsia" w:cstheme="minorEastAsia"/>
          <w:color w:val="auto"/>
          <w:sz w:val="24"/>
          <w:szCs w:val="24"/>
          <w:lang w:val="en-US" w:eastAsia="zh-CN"/>
        </w:rPr>
        <w:t>104</w:t>
      </w:r>
      <w:r>
        <w:rPr>
          <w:rFonts w:hint="eastAsia" w:asciiTheme="minorEastAsia" w:hAnsiTheme="minorEastAsia" w:eastAsiaTheme="minorEastAsia" w:cstheme="minorEastAsia"/>
          <w:color w:val="auto"/>
          <w:sz w:val="24"/>
          <w:szCs w:val="24"/>
        </w:rPr>
        <w:t>万元人民币</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最高限价（如有）：</w:t>
      </w:r>
      <w:r>
        <w:rPr>
          <w:rFonts w:hint="eastAsia" w:asciiTheme="minorEastAsia" w:hAnsiTheme="minorEastAsia" w:eastAsiaTheme="minorEastAsia" w:cstheme="minorEastAsia"/>
          <w:color w:val="auto"/>
          <w:sz w:val="24"/>
          <w:szCs w:val="24"/>
          <w:lang w:val="en-US" w:eastAsia="zh-CN"/>
        </w:rPr>
        <w:t>/</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采购需求：</w:t>
      </w:r>
    </w:p>
    <w:p>
      <w:pPr>
        <w:pageBreakBefore w:val="0"/>
        <w:kinsoku/>
        <w:wordWrap/>
        <w:overflowPunct/>
        <w:topLinePunct w:val="0"/>
        <w:bidi w:val="0"/>
        <w:snapToGrid/>
        <w:spacing w:line="360" w:lineRule="auto"/>
        <w:ind w:right="0" w:rightChars="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标的的名称：</w:t>
      </w:r>
      <w:r>
        <w:rPr>
          <w:rFonts w:hint="eastAsia" w:asciiTheme="minorEastAsia" w:hAnsiTheme="minorEastAsia" w:eastAsiaTheme="minorEastAsia" w:cstheme="minorEastAsia"/>
          <w:color w:val="auto"/>
          <w:sz w:val="24"/>
          <w:szCs w:val="24"/>
          <w:lang w:eastAsia="zh-CN"/>
        </w:rPr>
        <w:t>多通道荧光定量基因扩增仪</w:t>
      </w:r>
    </w:p>
    <w:p>
      <w:pPr>
        <w:pageBreakBefore w:val="0"/>
        <w:kinsoku/>
        <w:wordWrap/>
        <w:overflowPunct/>
        <w:topLinePunct w:val="0"/>
        <w:bidi w:val="0"/>
        <w:snapToGrid/>
        <w:spacing w:line="360" w:lineRule="auto"/>
        <w:ind w:right="0" w:rightChars="0" w:firstLine="480" w:firstLineChars="200"/>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数量：2套</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FF0000"/>
          <w:sz w:val="24"/>
          <w:szCs w:val="24"/>
        </w:rPr>
      </w:pPr>
      <w:r>
        <w:rPr>
          <w:rFonts w:hint="eastAsia" w:ascii="宋体" w:hAnsi="宋体" w:cs="宋体"/>
          <w:color w:val="auto"/>
          <w:sz w:val="24"/>
          <w:szCs w:val="24"/>
          <w:lang w:val="en-US" w:eastAsia="zh-CN"/>
        </w:rPr>
        <w:t>简要技术需求：7S完成6个荧光通道96个孔位的全部检测；瞬时断电保护，在仪器重启后继续运行未完成实验。</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合同履行期限：合同签订后60日内</w:t>
      </w:r>
      <w:r>
        <w:rPr>
          <w:rFonts w:hint="eastAsia" w:asciiTheme="minorEastAsia" w:hAnsiTheme="minorEastAsia" w:eastAsiaTheme="minorEastAsia" w:cstheme="minorEastAsia"/>
          <w:color w:val="auto"/>
          <w:sz w:val="24"/>
          <w:szCs w:val="24"/>
          <w:lang w:val="en-US" w:eastAsia="zh-CN"/>
        </w:rPr>
        <w:t>指定地点交货</w:t>
      </w:r>
      <w:r>
        <w:rPr>
          <w:rFonts w:hint="eastAsia" w:asciiTheme="minorEastAsia" w:hAnsiTheme="minorEastAsia" w:eastAsiaTheme="minorEastAsia" w:cstheme="minorEastAsia"/>
          <w:color w:val="auto"/>
          <w:sz w:val="24"/>
          <w:szCs w:val="24"/>
        </w:rPr>
        <w:t>。</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w:t>
      </w:r>
      <w:r>
        <w:rPr>
          <w:rFonts w:hint="eastAsia" w:asciiTheme="minorEastAsia" w:hAnsiTheme="minorEastAsia" w:eastAsiaTheme="minorEastAsia" w:cstheme="minorEastAsia"/>
          <w:color w:val="auto"/>
          <w:sz w:val="24"/>
          <w:szCs w:val="24"/>
          <w:lang w:eastAsia="zh-CN"/>
        </w:rPr>
        <w:t>不</w:t>
      </w:r>
      <w:r>
        <w:rPr>
          <w:rFonts w:hint="eastAsia" w:asciiTheme="minorEastAsia" w:hAnsiTheme="minorEastAsia" w:eastAsiaTheme="minorEastAsia" w:cstheme="minorEastAsia"/>
          <w:color w:val="auto"/>
          <w:sz w:val="24"/>
          <w:szCs w:val="24"/>
        </w:rPr>
        <w:t>接受联合体投标。</w:t>
      </w:r>
    </w:p>
    <w:p>
      <w:pPr>
        <w:numPr>
          <w:ilvl w:val="0"/>
          <w:numId w:val="1"/>
        </w:numPr>
        <w:spacing w:line="360" w:lineRule="auto"/>
        <w:outlineLvl w:val="1"/>
        <w:rPr>
          <w:rFonts w:hint="eastAsia" w:asciiTheme="minorEastAsia" w:hAnsiTheme="minorEastAsia" w:eastAsiaTheme="minorEastAsia" w:cstheme="minorEastAsia"/>
          <w:b/>
          <w:bCs/>
          <w:sz w:val="24"/>
          <w:szCs w:val="24"/>
        </w:rPr>
      </w:pPr>
      <w:bookmarkStart w:id="16" w:name="_Toc28359003"/>
      <w:bookmarkStart w:id="17" w:name="_Toc9466"/>
      <w:bookmarkStart w:id="18" w:name="_Toc35393791"/>
      <w:bookmarkStart w:id="19" w:name="_Toc35393622"/>
      <w:bookmarkStart w:id="20" w:name="_Toc10301"/>
      <w:bookmarkStart w:id="21" w:name="_Toc28359080"/>
      <w:r>
        <w:rPr>
          <w:rFonts w:hint="eastAsia" w:asciiTheme="minorEastAsia" w:hAnsiTheme="minorEastAsia" w:eastAsiaTheme="minorEastAsia" w:cstheme="minorEastAsia"/>
          <w:b/>
          <w:bCs/>
          <w:sz w:val="24"/>
          <w:szCs w:val="24"/>
        </w:rPr>
        <w:t>申请人的资格要求：</w:t>
      </w:r>
      <w:bookmarkEnd w:id="16"/>
      <w:bookmarkEnd w:id="17"/>
      <w:bookmarkEnd w:id="18"/>
      <w:bookmarkEnd w:id="19"/>
      <w:bookmarkEnd w:id="20"/>
      <w:bookmarkEnd w:id="21"/>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1.满足《中华人民共和国政府采购法》第二十二条规定；</w:t>
      </w:r>
    </w:p>
    <w:p>
      <w:pPr>
        <w:pageBreakBefore w:val="0"/>
        <w:kinsoku/>
        <w:wordWrap/>
        <w:overflowPunct/>
        <w:topLinePunct w:val="0"/>
        <w:bidi w:val="0"/>
        <w:snapToGrid/>
        <w:spacing w:line="360" w:lineRule="auto"/>
        <w:ind w:right="0" w:rightChars="0" w:firstLine="480" w:firstLineChars="200"/>
        <w:textAlignment w:val="auto"/>
        <w:rPr>
          <w:rFonts w:hint="default" w:asciiTheme="minorEastAsia" w:hAnsiTheme="minorEastAsia" w:eastAsiaTheme="minorEastAsia" w:cstheme="minorEastAsia"/>
          <w:color w:val="FF0000"/>
          <w:sz w:val="24"/>
          <w:szCs w:val="24"/>
          <w:lang w:val="en-US" w:eastAsia="zh-CN"/>
        </w:rPr>
      </w:pPr>
      <w:bookmarkStart w:id="22" w:name="_Toc28359081"/>
      <w:bookmarkStart w:id="23" w:name="_Toc28359004"/>
      <w:r>
        <w:rPr>
          <w:rFonts w:hint="eastAsia" w:asciiTheme="minorEastAsia" w:hAnsiTheme="minorEastAsia" w:eastAsiaTheme="minorEastAsia" w:cstheme="minorEastAsia"/>
          <w:color w:val="auto"/>
          <w:sz w:val="24"/>
          <w:szCs w:val="24"/>
        </w:rPr>
        <w:t>2.落实政府采购政策需满足的资格要求：</w:t>
      </w:r>
      <w:r>
        <w:rPr>
          <w:rFonts w:hint="eastAsia" w:asciiTheme="minorEastAsia" w:hAnsiTheme="minorEastAsia" w:eastAsiaTheme="minorEastAsia" w:cstheme="minorEastAsia"/>
          <w:color w:val="auto"/>
          <w:sz w:val="24"/>
          <w:szCs w:val="24"/>
          <w:lang w:val="en-US" w:eastAsia="zh-CN"/>
        </w:rPr>
        <w:t>本次采购专门面向中小企业采购,供应商应为中小微企业、监狱企业、残疾人福利性单位。</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3.本项目的特定资格要求：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32" w:firstLineChars="1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投标人未被“信用中国网站”（www.creditchina.gov.cn）列入失信被执行人、重大</w:t>
      </w:r>
      <w:r>
        <w:rPr>
          <w:rFonts w:hint="eastAsia" w:asciiTheme="minorEastAsia" w:hAnsiTheme="minorEastAsia" w:eastAsiaTheme="minorEastAsia" w:cstheme="minorEastAsia"/>
          <w:color w:val="auto"/>
          <w:sz w:val="24"/>
          <w:szCs w:val="24"/>
        </w:rPr>
        <w:t>税收</w:t>
      </w:r>
      <w:r>
        <w:rPr>
          <w:rFonts w:hint="eastAsia" w:asciiTheme="minorEastAsia" w:hAnsiTheme="minorEastAsia" w:eastAsiaTheme="minorEastAsia" w:cstheme="minorEastAsia"/>
          <w:bCs/>
          <w:color w:val="auto"/>
          <w:sz w:val="24"/>
          <w:szCs w:val="24"/>
        </w:rPr>
        <w:t>违法案件当事人</w:t>
      </w:r>
      <w:r>
        <w:rPr>
          <w:rFonts w:hint="eastAsia" w:asciiTheme="minorEastAsia" w:hAnsiTheme="minorEastAsia" w:eastAsiaTheme="minorEastAsia" w:cstheme="minorEastAsia"/>
          <w:color w:val="auto"/>
          <w:sz w:val="24"/>
          <w:szCs w:val="24"/>
        </w:rPr>
        <w:t>名单</w:t>
      </w:r>
      <w:r>
        <w:rPr>
          <w:rFonts w:hint="eastAsia" w:asciiTheme="minorEastAsia" w:hAnsiTheme="minorEastAsia" w:eastAsiaTheme="minorEastAsia" w:cstheme="minorEastAsia"/>
          <w:bCs/>
          <w:color w:val="auto"/>
          <w:sz w:val="24"/>
          <w:szCs w:val="24"/>
        </w:rPr>
        <w:t>或政府采购严重违法失信名单。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32" w:firstLineChars="18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在投标截止时间前三年内投标人或其单位负责人、拟委任的项目负责人无行贿犯罪行为的。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32" w:firstLineChars="1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与本项目招标代理机构的负责人为同一人或者存在直接控股和管理关系的供应商不得参加本次政府采购活动。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32" w:firstLineChars="1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单位负责人为同一人或者存在直接</w:t>
      </w:r>
      <w:r>
        <w:rPr>
          <w:rFonts w:hint="eastAsia" w:asciiTheme="minorEastAsia" w:hAnsiTheme="minorEastAsia" w:eastAsiaTheme="minorEastAsia" w:cstheme="minorEastAsia"/>
          <w:bCs/>
          <w:color w:val="auto"/>
          <w:sz w:val="24"/>
          <w:szCs w:val="24"/>
        </w:rPr>
        <w:t>控股</w:t>
      </w:r>
      <w:r>
        <w:rPr>
          <w:rFonts w:hint="eastAsia" w:asciiTheme="minorEastAsia" w:hAnsiTheme="minorEastAsia" w:eastAsiaTheme="minorEastAsia" w:cstheme="minorEastAsia"/>
          <w:color w:val="auto"/>
          <w:sz w:val="24"/>
          <w:szCs w:val="24"/>
        </w:rPr>
        <w:t>、管理关系的不同投标人，不得同时参加同一包件的投标或者未划分包件的同一招标项目的投标。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32" w:firstLineChars="1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为本项目提供整体设计、规范编制</w:t>
      </w:r>
      <w:r>
        <w:rPr>
          <w:rFonts w:hint="eastAsia" w:asciiTheme="minorEastAsia" w:hAnsiTheme="minorEastAsia" w:eastAsiaTheme="minorEastAsia" w:cstheme="minorEastAsia"/>
          <w:bCs/>
          <w:color w:val="auto"/>
          <w:sz w:val="24"/>
          <w:szCs w:val="24"/>
        </w:rPr>
        <w:t>或者</w:t>
      </w:r>
      <w:r>
        <w:rPr>
          <w:rFonts w:hint="eastAsia" w:asciiTheme="minorEastAsia" w:hAnsiTheme="minorEastAsia" w:eastAsiaTheme="minorEastAsia" w:cstheme="minorEastAsia"/>
          <w:color w:val="auto"/>
          <w:sz w:val="24"/>
          <w:szCs w:val="24"/>
        </w:rPr>
        <w:t>项目管理、监理、检测等服务的供应商不得参加本次政府采购活动。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32" w:firstLineChars="1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资质要求：</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（1）投标产品具备国家相关行业主管部门颁发的有效期内的医疗器械注册证（备案证）</w:t>
      </w:r>
      <w:r>
        <w:rPr>
          <w:rFonts w:hint="eastAsia" w:asciiTheme="minorEastAsia" w:hAnsiTheme="minorEastAsia" w:eastAsiaTheme="minorEastAsia" w:cstheme="minorEastAsia"/>
          <w:color w:val="auto"/>
          <w:sz w:val="24"/>
          <w:szCs w:val="24"/>
        </w:rPr>
        <w:t>。</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投标人具备与本次招标内容相适应的医疗器械经营许可证（备案表）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32" w:firstLineChars="1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本项目仅接受源产地来自中华人民共和国境内的产品。</w:t>
      </w:r>
    </w:p>
    <w:p>
      <w:pPr>
        <w:numPr>
          <w:ilvl w:val="0"/>
          <w:numId w:val="1"/>
        </w:numPr>
        <w:spacing w:line="360" w:lineRule="auto"/>
        <w:outlineLvl w:val="1"/>
        <w:rPr>
          <w:rFonts w:hint="eastAsia" w:asciiTheme="minorEastAsia" w:hAnsiTheme="minorEastAsia" w:eastAsiaTheme="minorEastAsia" w:cstheme="minorEastAsia"/>
          <w:b/>
          <w:bCs/>
          <w:sz w:val="24"/>
          <w:szCs w:val="24"/>
        </w:rPr>
      </w:pPr>
      <w:bookmarkStart w:id="24" w:name="_Toc35393792"/>
      <w:bookmarkStart w:id="25" w:name="_Toc6682"/>
      <w:bookmarkStart w:id="26" w:name="_Toc35393623"/>
      <w:bookmarkStart w:id="27" w:name="_Toc14508"/>
      <w:r>
        <w:rPr>
          <w:rFonts w:hint="eastAsia" w:asciiTheme="minorEastAsia" w:hAnsiTheme="minorEastAsia" w:eastAsiaTheme="minorEastAsia" w:cstheme="minorEastAsia"/>
          <w:b/>
          <w:bCs/>
          <w:sz w:val="24"/>
          <w:szCs w:val="24"/>
        </w:rPr>
        <w:t>获取</w:t>
      </w:r>
      <w:r>
        <w:rPr>
          <w:rFonts w:hint="eastAsia" w:asciiTheme="minorEastAsia" w:hAnsiTheme="minorEastAsia" w:eastAsiaTheme="minorEastAsia" w:cstheme="minorEastAsia"/>
          <w:b/>
          <w:bCs/>
          <w:color w:val="auto"/>
          <w:sz w:val="24"/>
          <w:szCs w:val="24"/>
        </w:rPr>
        <w:t>招标</w:t>
      </w:r>
      <w:r>
        <w:rPr>
          <w:rFonts w:hint="eastAsia" w:asciiTheme="minorEastAsia" w:hAnsiTheme="minorEastAsia" w:eastAsiaTheme="minorEastAsia" w:cstheme="minorEastAsia"/>
          <w:b/>
          <w:bCs/>
          <w:sz w:val="24"/>
          <w:szCs w:val="24"/>
        </w:rPr>
        <w:t>文件</w:t>
      </w:r>
      <w:bookmarkEnd w:id="22"/>
      <w:bookmarkEnd w:id="23"/>
      <w:bookmarkEnd w:id="24"/>
      <w:bookmarkEnd w:id="25"/>
      <w:bookmarkEnd w:id="26"/>
      <w:bookmarkEnd w:id="27"/>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时间：</w:t>
      </w:r>
      <w:r>
        <w:rPr>
          <w:rFonts w:hint="eastAsia" w:asciiTheme="minorEastAsia" w:hAnsiTheme="minorEastAsia" w:eastAsiaTheme="minorEastAsia" w:cstheme="minorEastAsia"/>
          <w:color w:val="auto"/>
          <w:sz w:val="24"/>
          <w:szCs w:val="24"/>
          <w:u w:val="none"/>
          <w:lang w:val="en-US" w:eastAsia="zh-CN"/>
        </w:rPr>
        <w:t>2021</w:t>
      </w:r>
      <w:r>
        <w:rPr>
          <w:rFonts w:hint="eastAsia" w:asciiTheme="minorEastAsia" w:hAnsiTheme="minorEastAsia" w:eastAsiaTheme="minorEastAsia" w:cstheme="minorEastAsia"/>
          <w:color w:val="auto"/>
          <w:sz w:val="24"/>
          <w:szCs w:val="24"/>
          <w:u w:val="none"/>
        </w:rPr>
        <w:t>年</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rPr>
        <w:t>月</w:t>
      </w:r>
      <w:r>
        <w:rPr>
          <w:rFonts w:hint="eastAsia" w:asciiTheme="minorEastAsia" w:hAnsiTheme="minorEastAsia" w:eastAsiaTheme="minorEastAsia" w:cstheme="minorEastAsia"/>
          <w:color w:val="auto"/>
          <w:sz w:val="24"/>
          <w:szCs w:val="24"/>
          <w:u w:val="none"/>
          <w:lang w:val="en-US" w:eastAsia="zh-CN"/>
        </w:rPr>
        <w:t>17</w:t>
      </w:r>
      <w:r>
        <w:rPr>
          <w:rFonts w:hint="eastAsia" w:asciiTheme="minorEastAsia" w:hAnsiTheme="minorEastAsia" w:eastAsiaTheme="minorEastAsia" w:cstheme="minorEastAsia"/>
          <w:color w:val="auto"/>
          <w:sz w:val="24"/>
          <w:szCs w:val="24"/>
          <w:u w:val="none"/>
        </w:rPr>
        <w:t>日至</w:t>
      </w:r>
      <w:r>
        <w:rPr>
          <w:rFonts w:hint="eastAsia" w:asciiTheme="minorEastAsia" w:hAnsiTheme="minorEastAsia" w:eastAsiaTheme="minorEastAsia" w:cstheme="minorEastAsia"/>
          <w:color w:val="auto"/>
          <w:sz w:val="24"/>
          <w:szCs w:val="24"/>
          <w:u w:val="none"/>
          <w:lang w:val="en-US" w:eastAsia="zh-CN"/>
        </w:rPr>
        <w:t>2021</w:t>
      </w:r>
      <w:r>
        <w:rPr>
          <w:rFonts w:hint="eastAsia" w:asciiTheme="minorEastAsia" w:hAnsiTheme="minorEastAsia" w:eastAsiaTheme="minorEastAsia" w:cstheme="minorEastAsia"/>
          <w:color w:val="auto"/>
          <w:sz w:val="24"/>
          <w:szCs w:val="24"/>
          <w:u w:val="none"/>
        </w:rPr>
        <w:t>年</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rPr>
        <w:t>月</w:t>
      </w:r>
      <w:r>
        <w:rPr>
          <w:rFonts w:hint="eastAsia" w:asciiTheme="minorEastAsia" w:hAnsiTheme="minorEastAsia" w:eastAsiaTheme="minorEastAsia" w:cstheme="minorEastAsia"/>
          <w:color w:val="auto"/>
          <w:sz w:val="24"/>
          <w:szCs w:val="24"/>
          <w:u w:val="none"/>
          <w:lang w:val="en-US" w:eastAsia="zh-CN"/>
        </w:rPr>
        <w:t>24</w:t>
      </w:r>
      <w:r>
        <w:rPr>
          <w:rFonts w:hint="eastAsia" w:asciiTheme="minorEastAsia" w:hAnsiTheme="minorEastAsia" w:eastAsiaTheme="minorEastAsia" w:cstheme="minorEastAsia"/>
          <w:color w:val="auto"/>
          <w:sz w:val="24"/>
          <w:szCs w:val="24"/>
          <w:u w:val="none"/>
        </w:rPr>
        <w:t>日</w:t>
      </w:r>
      <w:r>
        <w:rPr>
          <w:rFonts w:hint="eastAsia" w:asciiTheme="minorEastAsia" w:hAnsiTheme="minorEastAsia" w:eastAsiaTheme="minorEastAsia" w:cstheme="minorEastAsia"/>
          <w:iCs/>
          <w:color w:val="auto"/>
          <w:sz w:val="24"/>
          <w:szCs w:val="24"/>
          <w:u w:val="none"/>
        </w:rPr>
        <w:t>（</w:t>
      </w:r>
      <w:r>
        <w:rPr>
          <w:rFonts w:hint="eastAsia" w:asciiTheme="minorEastAsia" w:hAnsiTheme="minorEastAsia" w:eastAsiaTheme="minorEastAsia" w:cstheme="minorEastAsia"/>
          <w:i/>
          <w:color w:val="auto"/>
          <w:sz w:val="24"/>
          <w:szCs w:val="24"/>
          <w:u w:val="none"/>
        </w:rPr>
        <w:t>提供期限自本公告发布之日起不得少于5个工作日</w:t>
      </w:r>
      <w:r>
        <w:rPr>
          <w:rFonts w:hint="eastAsia" w:asciiTheme="minorEastAsia" w:hAnsiTheme="minorEastAsia" w:eastAsiaTheme="minorEastAsia" w:cstheme="minorEastAsia"/>
          <w:iCs/>
          <w:color w:val="auto"/>
          <w:sz w:val="24"/>
          <w:szCs w:val="24"/>
          <w:u w:val="none"/>
        </w:rPr>
        <w:t>）</w:t>
      </w:r>
      <w:r>
        <w:rPr>
          <w:rFonts w:hint="eastAsia" w:asciiTheme="minorEastAsia" w:hAnsiTheme="minorEastAsia" w:eastAsiaTheme="minorEastAsia" w:cstheme="minorEastAsia"/>
          <w:color w:val="auto"/>
          <w:sz w:val="24"/>
          <w:szCs w:val="24"/>
          <w:u w:val="none"/>
        </w:rPr>
        <w:t>，每天上午9:00</w:t>
      </w:r>
      <w:r>
        <w:rPr>
          <w:rFonts w:hint="eastAsia" w:asciiTheme="minorEastAsia" w:hAnsiTheme="minorEastAsia" w:eastAsiaTheme="minorEastAsia" w:cstheme="minorEastAsia"/>
          <w:color w:val="auto"/>
          <w:sz w:val="24"/>
          <w:szCs w:val="24"/>
          <w:u w:val="none"/>
          <w:lang w:eastAsia="zh-CN"/>
        </w:rPr>
        <w:t>至</w:t>
      </w:r>
      <w:r>
        <w:rPr>
          <w:rFonts w:hint="eastAsia" w:asciiTheme="minorEastAsia" w:hAnsiTheme="minorEastAsia" w:eastAsiaTheme="minorEastAsia" w:cstheme="minorEastAsia"/>
          <w:color w:val="auto"/>
          <w:sz w:val="24"/>
          <w:szCs w:val="24"/>
          <w:u w:val="none"/>
        </w:rPr>
        <w:t>11:30，下午1</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w:t>
      </w:r>
      <w:r>
        <w:rPr>
          <w:rFonts w:hint="eastAsia" w:asciiTheme="minorEastAsia" w:hAnsiTheme="minorEastAsia" w:eastAsiaTheme="minorEastAsia" w:cstheme="minorEastAsia"/>
          <w:color w:val="auto"/>
          <w:sz w:val="24"/>
          <w:szCs w:val="24"/>
          <w:u w:val="none"/>
          <w:lang w:eastAsia="zh-CN"/>
        </w:rPr>
        <w:t>至</w:t>
      </w:r>
      <w:r>
        <w:rPr>
          <w:rFonts w:hint="eastAsia" w:asciiTheme="minorEastAsia" w:hAnsiTheme="minorEastAsia" w:eastAsiaTheme="minorEastAsia" w:cstheme="minorEastAsia"/>
          <w:color w:val="auto"/>
          <w:sz w:val="24"/>
          <w:szCs w:val="24"/>
          <w:u w:val="none"/>
          <w:lang w:val="en-US" w:eastAsia="zh-CN"/>
        </w:rPr>
        <w:t>16</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en-US" w:eastAsia="zh-CN"/>
        </w:rPr>
        <w:t>30</w:t>
      </w:r>
      <w:r>
        <w:rPr>
          <w:rFonts w:hint="eastAsia" w:asciiTheme="minorEastAsia" w:hAnsiTheme="minorEastAsia" w:eastAsiaTheme="minorEastAsia" w:cstheme="minorEastAsia"/>
          <w:color w:val="auto"/>
          <w:sz w:val="24"/>
          <w:szCs w:val="24"/>
          <w:u w:val="none"/>
        </w:rPr>
        <w:t>（北京时间，法定节假日除外）</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地点：上海市普陀区长寿路285号恒达大厦16楼1606室</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方式：现场购买或汇款购买，如汇款购买，请在汇款附言中注明：“</w:t>
      </w:r>
      <w:r>
        <w:rPr>
          <w:rFonts w:hint="eastAsia" w:asciiTheme="minorEastAsia" w:hAnsiTheme="minorEastAsia" w:eastAsiaTheme="minorEastAsia" w:cstheme="minorEastAsia"/>
          <w:color w:val="auto"/>
          <w:sz w:val="24"/>
          <w:szCs w:val="24"/>
          <w:lang w:eastAsia="zh-CN"/>
        </w:rPr>
        <w:t>217123062652</w:t>
      </w:r>
      <w:r>
        <w:rPr>
          <w:rFonts w:hint="eastAsia" w:asciiTheme="minorEastAsia" w:hAnsiTheme="minorEastAsia" w:eastAsiaTheme="minorEastAsia" w:cstheme="minorEastAsia"/>
          <w:color w:val="auto"/>
          <w:sz w:val="24"/>
          <w:szCs w:val="24"/>
        </w:rPr>
        <w:t>标书款”</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售价：￥500元，本公告包含的</w:t>
      </w:r>
      <w:r>
        <w:rPr>
          <w:rFonts w:hint="eastAsia" w:asciiTheme="minorEastAsia" w:hAnsiTheme="minorEastAsia" w:eastAsiaTheme="minorEastAsia" w:cstheme="minorEastAsia"/>
          <w:color w:val="auto"/>
          <w:sz w:val="24"/>
          <w:szCs w:val="24"/>
          <w:u w:val="none"/>
        </w:rPr>
        <w:t>招标</w:t>
      </w:r>
      <w:r>
        <w:rPr>
          <w:rFonts w:hint="eastAsia" w:asciiTheme="minorEastAsia" w:hAnsiTheme="minorEastAsia" w:eastAsiaTheme="minorEastAsia" w:cstheme="minorEastAsia"/>
          <w:color w:val="auto"/>
          <w:sz w:val="24"/>
          <w:szCs w:val="24"/>
        </w:rPr>
        <w:t>文件售价总和</w:t>
      </w:r>
    </w:p>
    <w:p>
      <w:pPr>
        <w:numPr>
          <w:ilvl w:val="0"/>
          <w:numId w:val="1"/>
        </w:numPr>
        <w:spacing w:line="360" w:lineRule="auto"/>
        <w:outlineLvl w:val="1"/>
        <w:rPr>
          <w:rFonts w:hint="eastAsia" w:asciiTheme="minorEastAsia" w:hAnsiTheme="minorEastAsia" w:eastAsiaTheme="minorEastAsia" w:cstheme="minorEastAsia"/>
          <w:b/>
          <w:bCs/>
          <w:color w:val="auto"/>
          <w:sz w:val="24"/>
          <w:szCs w:val="24"/>
        </w:rPr>
      </w:pPr>
      <w:bookmarkStart w:id="28" w:name="_Toc28359005"/>
      <w:bookmarkStart w:id="29" w:name="_Toc28359082"/>
      <w:bookmarkStart w:id="30" w:name="_Toc35393793"/>
      <w:bookmarkStart w:id="31" w:name="_Toc25192"/>
      <w:bookmarkStart w:id="32" w:name="_Toc35393624"/>
      <w:bookmarkStart w:id="33" w:name="_Toc14694"/>
      <w:r>
        <w:rPr>
          <w:rFonts w:hint="eastAsia" w:asciiTheme="minorEastAsia" w:hAnsiTheme="minorEastAsia" w:eastAsiaTheme="minorEastAsia" w:cstheme="minorEastAsia"/>
          <w:b/>
          <w:bCs/>
          <w:color w:val="auto"/>
          <w:sz w:val="24"/>
          <w:szCs w:val="24"/>
        </w:rPr>
        <w:t>提交投标文件</w:t>
      </w:r>
      <w:bookmarkEnd w:id="28"/>
      <w:bookmarkEnd w:id="29"/>
      <w:r>
        <w:rPr>
          <w:rFonts w:hint="eastAsia" w:asciiTheme="minorEastAsia" w:hAnsiTheme="minorEastAsia" w:eastAsiaTheme="minorEastAsia" w:cstheme="minorEastAsia"/>
          <w:b/>
          <w:bCs/>
          <w:color w:val="auto"/>
          <w:sz w:val="24"/>
          <w:szCs w:val="24"/>
        </w:rPr>
        <w:t>截止时间、开标时间和地点</w:t>
      </w:r>
      <w:bookmarkEnd w:id="30"/>
      <w:bookmarkEnd w:id="31"/>
      <w:bookmarkEnd w:id="32"/>
      <w:bookmarkEnd w:id="33"/>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提交投标文件截止时间：</w:t>
      </w:r>
      <w:r>
        <w:rPr>
          <w:rFonts w:hint="eastAsia" w:asciiTheme="minorEastAsia" w:hAnsiTheme="minorEastAsia" w:eastAsiaTheme="minorEastAsia" w:cstheme="minorEastAsia"/>
          <w:bCs/>
          <w:color w:val="auto"/>
          <w:sz w:val="24"/>
          <w:szCs w:val="24"/>
        </w:rPr>
        <w:t>202</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color w:val="auto"/>
          <w:sz w:val="24"/>
          <w:szCs w:val="24"/>
          <w:u w:val="none"/>
        </w:rPr>
        <w:t>年</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rPr>
        <w:t>月</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rPr>
        <w:t>日</w:t>
      </w:r>
      <w:r>
        <w:rPr>
          <w:rFonts w:hint="eastAsia" w:asciiTheme="minorEastAsia" w:hAnsiTheme="minorEastAsia" w:eastAsiaTheme="minorEastAsia" w:cstheme="minorEastAsia"/>
          <w:bCs/>
          <w:color w:val="auto"/>
          <w:sz w:val="24"/>
          <w:szCs w:val="24"/>
        </w:rPr>
        <w:t>13</w:t>
      </w:r>
      <w:r>
        <w:rPr>
          <w:rFonts w:hint="eastAsia" w:asciiTheme="minorEastAsia" w:hAnsiTheme="minorEastAsia" w:eastAsiaTheme="minorEastAsia" w:cstheme="minorEastAsia"/>
          <w:bCs/>
          <w:color w:val="auto"/>
          <w:sz w:val="24"/>
          <w:szCs w:val="24"/>
          <w:lang w:eastAsia="zh-CN"/>
        </w:rPr>
        <w:t>点</w:t>
      </w:r>
      <w:r>
        <w:rPr>
          <w:rFonts w:hint="eastAsia" w:asciiTheme="minorEastAsia" w:hAnsiTheme="minorEastAsia" w:eastAsiaTheme="minorEastAsia" w:cstheme="minorEastAsia"/>
          <w:bCs/>
          <w:color w:val="auto"/>
          <w:sz w:val="24"/>
          <w:szCs w:val="24"/>
        </w:rPr>
        <w:t>30分（北京时间）</w:t>
      </w:r>
    </w:p>
    <w:p>
      <w:pPr>
        <w:pageBreakBefore w:val="0"/>
        <w:kinsoku/>
        <w:wordWrap/>
        <w:overflowPunct/>
        <w:topLinePunct w:val="0"/>
        <w:bidi w:val="0"/>
        <w:snapToGrid/>
        <w:spacing w:line="360" w:lineRule="auto"/>
        <w:ind w:right="0" w:rightChars="0" w:firstLine="480" w:firstLineChars="200"/>
        <w:textAlignment w:val="auto"/>
        <w:rPr>
          <w:rFonts w:hint="eastAsia" w:eastAsia="宋体"/>
          <w:sz w:val="24"/>
          <w:szCs w:val="24"/>
          <w:u w:val="none"/>
          <w:lang w:val="en-US" w:eastAsia="zh-CN"/>
        </w:rPr>
      </w:pPr>
      <w:r>
        <w:rPr>
          <w:rFonts w:hint="eastAsia"/>
          <w:sz w:val="24"/>
          <w:szCs w:val="24"/>
          <w:lang w:val="en-US" w:eastAsia="zh-CN"/>
        </w:rPr>
        <w:t>开标时间：</w:t>
      </w:r>
      <w:r>
        <w:rPr>
          <w:rFonts w:hint="eastAsia" w:asciiTheme="minorEastAsia" w:hAnsiTheme="minorEastAsia" w:eastAsiaTheme="minorEastAsia" w:cstheme="minorEastAsia"/>
          <w:bCs/>
          <w:color w:val="auto"/>
          <w:sz w:val="24"/>
          <w:szCs w:val="24"/>
        </w:rPr>
        <w:t>202</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年</w:t>
      </w:r>
      <w:r>
        <w:rPr>
          <w:rFonts w:hint="eastAsia" w:asciiTheme="minorEastAsia" w:hAnsiTheme="minorEastAsia" w:eastAsiaTheme="minorEastAsia" w:cstheme="minorEastAsia"/>
          <w:bCs/>
          <w:color w:val="auto"/>
          <w:sz w:val="24"/>
          <w:szCs w:val="24"/>
          <w:lang w:val="en-US" w:eastAsia="zh-CN"/>
        </w:rPr>
        <w:t>7</w:t>
      </w:r>
      <w:r>
        <w:rPr>
          <w:rFonts w:hint="eastAsia" w:asciiTheme="minorEastAsia" w:hAnsiTheme="minorEastAsia" w:eastAsiaTheme="minorEastAsia" w:cstheme="minorEastAsia"/>
          <w:bCs/>
          <w:color w:val="auto"/>
          <w:sz w:val="24"/>
          <w:szCs w:val="24"/>
        </w:rPr>
        <w:t>月</w:t>
      </w:r>
      <w:r>
        <w:rPr>
          <w:rFonts w:hint="eastAsia" w:asciiTheme="minorEastAsia" w:hAnsiTheme="minorEastAsia" w:eastAsiaTheme="minorEastAsia" w:cstheme="minorEastAsia"/>
          <w:bCs/>
          <w:color w:val="auto"/>
          <w:sz w:val="24"/>
          <w:szCs w:val="24"/>
          <w:lang w:val="en-US" w:eastAsia="zh-CN"/>
        </w:rPr>
        <w:t>8</w:t>
      </w:r>
      <w:r>
        <w:rPr>
          <w:rFonts w:hint="eastAsia" w:asciiTheme="minorEastAsia" w:hAnsiTheme="minorEastAsia" w:eastAsiaTheme="minorEastAsia" w:cstheme="minorEastAsia"/>
          <w:bCs/>
          <w:color w:val="auto"/>
          <w:sz w:val="24"/>
          <w:szCs w:val="24"/>
        </w:rPr>
        <w:t>日13</w:t>
      </w:r>
      <w:r>
        <w:rPr>
          <w:rFonts w:hint="eastAsia" w:asciiTheme="minorEastAsia" w:hAnsiTheme="minorEastAsia" w:eastAsiaTheme="minorEastAsia" w:cstheme="minorEastAsia"/>
          <w:bCs/>
          <w:color w:val="auto"/>
          <w:sz w:val="24"/>
          <w:szCs w:val="24"/>
          <w:lang w:eastAsia="zh-CN"/>
        </w:rPr>
        <w:t>点</w:t>
      </w:r>
      <w:r>
        <w:rPr>
          <w:rFonts w:hint="eastAsia" w:asciiTheme="minorEastAsia" w:hAnsiTheme="minorEastAsia" w:eastAsiaTheme="minorEastAsia" w:cstheme="minorEastAsia"/>
          <w:bCs/>
          <w:color w:val="auto"/>
          <w:sz w:val="24"/>
          <w:szCs w:val="24"/>
          <w:u w:val="none"/>
        </w:rPr>
        <w:t>30分（北京时间）</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bCs/>
          <w:color w:val="auto"/>
          <w:sz w:val="24"/>
          <w:szCs w:val="24"/>
          <w:u w:val="none"/>
          <w:lang w:val="en-US" w:eastAsia="zh-CN"/>
        </w:rPr>
      </w:pPr>
      <w:r>
        <w:rPr>
          <w:rFonts w:hint="eastAsia" w:asciiTheme="minorEastAsia" w:hAnsiTheme="minorEastAsia" w:eastAsiaTheme="minorEastAsia" w:cstheme="minorEastAsia"/>
          <w:color w:val="auto"/>
          <w:sz w:val="24"/>
          <w:szCs w:val="24"/>
          <w:u w:val="none"/>
        </w:rPr>
        <w:t>地点：</w:t>
      </w:r>
      <w:r>
        <w:rPr>
          <w:rFonts w:hint="eastAsia" w:asciiTheme="minorEastAsia" w:hAnsiTheme="minorEastAsia" w:eastAsiaTheme="minorEastAsia" w:cstheme="minorEastAsia"/>
          <w:color w:val="auto"/>
          <w:sz w:val="24"/>
          <w:szCs w:val="24"/>
          <w:u w:val="none"/>
          <w:lang w:val="en-US" w:eastAsia="zh-CN"/>
        </w:rPr>
        <w:t>上海市普陀区长寿路285号恒达大厦22楼开标大厅</w:t>
      </w:r>
    </w:p>
    <w:p>
      <w:pPr>
        <w:numPr>
          <w:ilvl w:val="0"/>
          <w:numId w:val="1"/>
        </w:numPr>
        <w:spacing w:line="360" w:lineRule="auto"/>
        <w:outlineLvl w:val="1"/>
        <w:rPr>
          <w:rFonts w:hint="eastAsia" w:asciiTheme="minorEastAsia" w:hAnsiTheme="minorEastAsia" w:eastAsiaTheme="minorEastAsia" w:cstheme="minorEastAsia"/>
          <w:b/>
          <w:bCs/>
          <w:color w:val="auto"/>
          <w:sz w:val="24"/>
          <w:szCs w:val="24"/>
        </w:rPr>
      </w:pPr>
      <w:bookmarkStart w:id="34" w:name="_Toc28359007"/>
      <w:bookmarkStart w:id="35" w:name="_Toc35393794"/>
      <w:bookmarkStart w:id="36" w:name="_Toc29056"/>
      <w:bookmarkStart w:id="37" w:name="_Toc35393625"/>
      <w:bookmarkStart w:id="38" w:name="_Toc28359084"/>
      <w:bookmarkStart w:id="39" w:name="_Toc16694"/>
      <w:r>
        <w:rPr>
          <w:rFonts w:hint="eastAsia" w:asciiTheme="minorEastAsia" w:hAnsiTheme="minorEastAsia" w:eastAsiaTheme="minorEastAsia" w:cstheme="minorEastAsia"/>
          <w:b/>
          <w:bCs/>
          <w:color w:val="auto"/>
          <w:sz w:val="24"/>
          <w:szCs w:val="24"/>
        </w:rPr>
        <w:t>公告期限</w:t>
      </w:r>
      <w:bookmarkEnd w:id="34"/>
      <w:bookmarkEnd w:id="35"/>
      <w:bookmarkEnd w:id="36"/>
      <w:bookmarkEnd w:id="37"/>
      <w:bookmarkEnd w:id="38"/>
      <w:bookmarkEnd w:id="39"/>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自本公告发布之日起5个工作日。</w:t>
      </w:r>
    </w:p>
    <w:p>
      <w:pPr>
        <w:numPr>
          <w:ilvl w:val="0"/>
          <w:numId w:val="1"/>
        </w:numPr>
        <w:spacing w:line="360" w:lineRule="auto"/>
        <w:outlineLvl w:val="1"/>
        <w:rPr>
          <w:rFonts w:hint="eastAsia" w:asciiTheme="minorEastAsia" w:hAnsiTheme="minorEastAsia" w:eastAsiaTheme="minorEastAsia" w:cstheme="minorEastAsia"/>
          <w:b/>
          <w:bCs/>
          <w:sz w:val="24"/>
          <w:szCs w:val="24"/>
        </w:rPr>
      </w:pPr>
      <w:bookmarkStart w:id="40" w:name="_Toc35393626"/>
      <w:bookmarkStart w:id="41" w:name="_Toc4989"/>
      <w:bookmarkStart w:id="42" w:name="_Toc1824"/>
      <w:bookmarkStart w:id="43" w:name="_Toc35393795"/>
      <w:r>
        <w:rPr>
          <w:rFonts w:hint="eastAsia" w:asciiTheme="minorEastAsia" w:hAnsiTheme="minorEastAsia" w:eastAsiaTheme="minorEastAsia" w:cstheme="minorEastAsia"/>
          <w:b/>
          <w:bCs/>
          <w:sz w:val="24"/>
          <w:szCs w:val="24"/>
        </w:rPr>
        <w:t>其他补充事宜</w:t>
      </w:r>
      <w:bookmarkEnd w:id="40"/>
      <w:bookmarkEnd w:id="41"/>
      <w:bookmarkEnd w:id="42"/>
      <w:bookmarkEnd w:id="43"/>
    </w:p>
    <w:p>
      <w:pPr>
        <w:pStyle w:val="61"/>
        <w:pageBreakBefore w:val="0"/>
        <w:kinsoku/>
        <w:wordWrap/>
        <w:overflowPunct/>
        <w:topLinePunct w:val="0"/>
        <w:bidi w:val="0"/>
        <w:snapToGrid/>
        <w:spacing w:line="360" w:lineRule="auto"/>
        <w:ind w:left="495" w:right="0" w:rightChars="0" w:firstLine="0" w:firstLineChars="0"/>
        <w:textAlignment w:val="auto"/>
        <w:rPr>
          <w:rFonts w:hint="eastAsia" w:asciiTheme="minorEastAsia" w:hAnsiTheme="minorEastAsia" w:eastAsiaTheme="minorEastAsia" w:cstheme="minorEastAsia"/>
          <w:color w:val="FF0000"/>
          <w:sz w:val="24"/>
          <w:szCs w:val="24"/>
          <w:u w:val="none"/>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本次招标执行优先</w:t>
      </w:r>
      <w:r>
        <w:rPr>
          <w:rFonts w:hint="eastAsia" w:asciiTheme="minorEastAsia" w:hAnsiTheme="minorEastAsia" w:eastAsiaTheme="minorEastAsia" w:cstheme="minorEastAsia"/>
          <w:color w:val="auto"/>
          <w:sz w:val="24"/>
          <w:szCs w:val="24"/>
          <w:u w:val="none"/>
          <w:lang w:eastAsia="zh-CN"/>
        </w:rPr>
        <w:t>采购</w:t>
      </w:r>
      <w:r>
        <w:rPr>
          <w:rFonts w:hint="eastAsia" w:asciiTheme="minorEastAsia" w:hAnsiTheme="minorEastAsia" w:eastAsiaTheme="minorEastAsia" w:cstheme="minorEastAsia"/>
          <w:color w:val="auto"/>
          <w:sz w:val="24"/>
          <w:szCs w:val="24"/>
          <w:u w:val="none"/>
        </w:rPr>
        <w:t>节能产品、鼓励环保产品、支持中小微企业、促进残疾人就业、支持监狱和戒毒企业、扶持不发达地区和少数民族地区等相关政策。</w:t>
      </w:r>
    </w:p>
    <w:p>
      <w:pPr>
        <w:pStyle w:val="61"/>
        <w:pageBreakBefore w:val="0"/>
        <w:kinsoku/>
        <w:wordWrap/>
        <w:overflowPunct/>
        <w:topLinePunct w:val="0"/>
        <w:bidi w:val="0"/>
        <w:snapToGrid/>
        <w:spacing w:line="360" w:lineRule="auto"/>
        <w:ind w:left="495" w:right="0" w:righ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收款人账户信息如下：</w:t>
      </w:r>
    </w:p>
    <w:p>
      <w:pPr>
        <w:pStyle w:val="61"/>
        <w:pageBreakBefore w:val="0"/>
        <w:kinsoku/>
        <w:wordWrap/>
        <w:overflowPunct/>
        <w:topLinePunct w:val="0"/>
        <w:bidi w:val="0"/>
        <w:snapToGrid/>
        <w:spacing w:line="360" w:lineRule="auto"/>
        <w:ind w:left="495" w:right="0" w:righ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 户 名：上海机电设备招标有限公司</w:t>
      </w:r>
    </w:p>
    <w:p>
      <w:pPr>
        <w:pStyle w:val="61"/>
        <w:pageBreakBefore w:val="0"/>
        <w:kinsoku/>
        <w:wordWrap/>
        <w:overflowPunct/>
        <w:topLinePunct w:val="0"/>
        <w:bidi w:val="0"/>
        <w:snapToGrid/>
        <w:spacing w:line="360" w:lineRule="auto"/>
        <w:ind w:left="495" w:right="0" w:righ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 户 行：建行上海市分行营业部</w:t>
      </w:r>
    </w:p>
    <w:p>
      <w:pPr>
        <w:pStyle w:val="61"/>
        <w:pageBreakBefore w:val="0"/>
        <w:kinsoku/>
        <w:wordWrap/>
        <w:overflowPunct/>
        <w:topLinePunct w:val="0"/>
        <w:bidi w:val="0"/>
        <w:snapToGrid/>
        <w:spacing w:line="360" w:lineRule="auto"/>
        <w:ind w:left="495" w:right="0" w:righ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帐    号：31001550400055646341</w:t>
      </w:r>
    </w:p>
    <w:p>
      <w:pPr>
        <w:pStyle w:val="61"/>
        <w:pageBreakBefore w:val="0"/>
        <w:kinsoku/>
        <w:wordWrap/>
        <w:overflowPunct/>
        <w:topLinePunct w:val="0"/>
        <w:bidi w:val="0"/>
        <w:snapToGrid/>
        <w:spacing w:line="360" w:lineRule="auto"/>
        <w:ind w:left="495" w:right="0" w:righ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行    号：105290036005</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注意：建议</w:t>
      </w:r>
      <w:r>
        <w:rPr>
          <w:rFonts w:hint="eastAsia" w:asciiTheme="minorEastAsia" w:hAnsiTheme="minorEastAsia" w:eastAsiaTheme="minorEastAsia" w:cstheme="minorEastAsia"/>
          <w:color w:val="auto"/>
          <w:sz w:val="24"/>
          <w:szCs w:val="24"/>
          <w:lang w:val="en-US" w:eastAsia="zh-CN"/>
        </w:rPr>
        <w:t>汇款</w:t>
      </w:r>
      <w:r>
        <w:rPr>
          <w:rFonts w:hint="eastAsia" w:asciiTheme="minorEastAsia" w:hAnsiTheme="minorEastAsia" w:eastAsiaTheme="minorEastAsia" w:cstheme="minorEastAsia"/>
          <w:color w:val="auto"/>
          <w:sz w:val="24"/>
          <w:szCs w:val="24"/>
        </w:rPr>
        <w:t>购买。请购标人汇款后及时将汇款凭证、</w:t>
      </w:r>
      <w:r>
        <w:rPr>
          <w:rFonts w:hint="eastAsia" w:asciiTheme="minorEastAsia" w:hAnsiTheme="minorEastAsia" w:eastAsiaTheme="minorEastAsia" w:cstheme="minorEastAsia"/>
          <w:color w:val="auto"/>
          <w:sz w:val="24"/>
          <w:szCs w:val="24"/>
          <w:lang w:val="en-US" w:eastAsia="zh-CN"/>
        </w:rPr>
        <w:t>word版</w:t>
      </w:r>
      <w:r>
        <w:rPr>
          <w:rFonts w:hint="eastAsia" w:asciiTheme="minorEastAsia" w:hAnsiTheme="minorEastAsia" w:eastAsiaTheme="minorEastAsia" w:cstheme="minorEastAsia"/>
          <w:color w:val="auto"/>
          <w:sz w:val="24"/>
          <w:szCs w:val="24"/>
        </w:rPr>
        <w:t>开票信息、联系方式，通过电子邮件方式提交给招标代理机构。电子邮箱：</w:t>
      </w:r>
      <w:r>
        <w:rPr>
          <w:rFonts w:hint="eastAsia" w:asciiTheme="minorEastAsia" w:hAnsiTheme="minorEastAsia" w:eastAsiaTheme="minorEastAsia" w:cstheme="minorEastAsia"/>
          <w:color w:val="auto"/>
          <w:sz w:val="24"/>
          <w:szCs w:val="24"/>
          <w:lang w:val="en-US" w:eastAsia="zh-CN"/>
        </w:rPr>
        <w:t>zzh@shbid.com</w:t>
      </w:r>
      <w:r>
        <w:rPr>
          <w:rFonts w:hint="eastAsia" w:asciiTheme="minorEastAsia" w:hAnsiTheme="minorEastAsia" w:eastAsiaTheme="minorEastAsia" w:cstheme="minorEastAsia"/>
          <w:color w:val="auto"/>
          <w:sz w:val="24"/>
          <w:szCs w:val="24"/>
        </w:rPr>
        <w:t>。</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投标人须保证获得招标文件需提交的资料和所填写内容真实、完整、有效、一致，如因投标人递交</w:t>
      </w:r>
      <w:r>
        <w:rPr>
          <w:rFonts w:hint="eastAsia" w:asciiTheme="minorEastAsia" w:hAnsiTheme="minorEastAsia" w:eastAsiaTheme="minorEastAsia" w:cstheme="minorEastAsia"/>
          <w:color w:val="auto"/>
          <w:sz w:val="24"/>
          <w:szCs w:val="24"/>
          <w:u w:val="none"/>
        </w:rPr>
        <w:t>虚假</w:t>
      </w:r>
      <w:r>
        <w:rPr>
          <w:rFonts w:hint="eastAsia" w:asciiTheme="minorEastAsia" w:hAnsiTheme="minorEastAsia" w:eastAsiaTheme="minorEastAsia" w:cstheme="minorEastAsia"/>
          <w:color w:val="auto"/>
          <w:sz w:val="24"/>
          <w:szCs w:val="24"/>
        </w:rPr>
        <w:t>材料或填写信息错误导致的与本项目有关的任何损失由投标人承担。</w:t>
      </w:r>
    </w:p>
    <w:p>
      <w:pPr>
        <w:pStyle w:val="61"/>
        <w:pageBreakBefore w:val="0"/>
        <w:kinsoku/>
        <w:wordWrap/>
        <w:overflowPunct/>
        <w:topLinePunct w:val="0"/>
        <w:bidi w:val="0"/>
        <w:snapToGrid/>
        <w:spacing w:line="360" w:lineRule="auto"/>
        <w:ind w:left="495" w:right="0" w:rightChars="0" w:firstLine="0" w:firstLineChars="0"/>
        <w:textAlignment w:val="auto"/>
        <w:rPr>
          <w:rFonts w:hint="eastAsia" w:asciiTheme="minorEastAsia" w:hAnsiTheme="minorEastAsia" w:eastAsiaTheme="minorEastAsia" w:cstheme="minorEastAsia"/>
          <w:color w:val="0000FF"/>
          <w:sz w:val="24"/>
          <w:szCs w:val="24"/>
        </w:rPr>
      </w:pPr>
    </w:p>
    <w:p>
      <w:pPr>
        <w:numPr>
          <w:ilvl w:val="0"/>
          <w:numId w:val="1"/>
        </w:numPr>
        <w:spacing w:line="360" w:lineRule="auto"/>
        <w:outlineLvl w:val="1"/>
        <w:rPr>
          <w:rFonts w:hint="eastAsia" w:asciiTheme="minorEastAsia" w:hAnsiTheme="minorEastAsia" w:eastAsiaTheme="minorEastAsia" w:cstheme="minorEastAsia"/>
          <w:b/>
          <w:bCs/>
          <w:sz w:val="24"/>
          <w:szCs w:val="24"/>
        </w:rPr>
      </w:pPr>
      <w:bookmarkStart w:id="44" w:name="_Toc28359008"/>
      <w:bookmarkStart w:id="45" w:name="_Toc19635"/>
      <w:bookmarkStart w:id="46" w:name="_Toc35393627"/>
      <w:bookmarkStart w:id="47" w:name="_Toc2168"/>
      <w:bookmarkStart w:id="48" w:name="_Toc28359085"/>
      <w:bookmarkStart w:id="49" w:name="_Toc35393796"/>
      <w:r>
        <w:rPr>
          <w:rFonts w:hint="eastAsia" w:asciiTheme="minorEastAsia" w:hAnsiTheme="minorEastAsia" w:eastAsiaTheme="minorEastAsia" w:cstheme="minorEastAsia"/>
          <w:b/>
          <w:bCs/>
          <w:sz w:val="24"/>
          <w:szCs w:val="24"/>
        </w:rPr>
        <w:t>对本次招标提出询问，请按以下方式联系。</w:t>
      </w:r>
      <w:bookmarkEnd w:id="44"/>
      <w:bookmarkEnd w:id="45"/>
      <w:bookmarkEnd w:id="46"/>
      <w:bookmarkEnd w:id="47"/>
      <w:bookmarkEnd w:id="48"/>
      <w:bookmarkEnd w:id="49"/>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1.采购人信息</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lang w:val="en-US" w:eastAsia="zh-CN"/>
        </w:rPr>
        <w:t>复旦大学附属妇产科医院</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地址：上海市</w:t>
      </w:r>
      <w:r>
        <w:rPr>
          <w:rFonts w:hint="eastAsia" w:asciiTheme="minorEastAsia" w:hAnsiTheme="minorEastAsia" w:eastAsiaTheme="minorEastAsia" w:cstheme="minorEastAsia"/>
          <w:color w:val="auto"/>
          <w:sz w:val="24"/>
          <w:szCs w:val="24"/>
          <w:lang w:eastAsia="zh-CN"/>
        </w:rPr>
        <w:t>沈阳路128号</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rPr>
        <w:t>联系方式：</w:t>
      </w:r>
      <w:bookmarkStart w:id="50" w:name="_Toc28359086"/>
      <w:bookmarkStart w:id="51" w:name="_Toc28359009"/>
      <w:r>
        <w:rPr>
          <w:rFonts w:hint="eastAsia" w:asciiTheme="minorEastAsia" w:hAnsiTheme="minorEastAsia" w:eastAsiaTheme="minorEastAsia" w:cstheme="minorEastAsia"/>
          <w:color w:val="auto"/>
          <w:sz w:val="24"/>
          <w:szCs w:val="24"/>
          <w:lang w:eastAsia="zh-CN"/>
        </w:rPr>
        <w:t>曹嫩能</w:t>
      </w:r>
      <w:r>
        <w:rPr>
          <w:rFonts w:hint="eastAsia" w:asciiTheme="minorEastAsia" w:hAnsiTheme="minorEastAsia" w:eastAsiaTheme="minorEastAsia" w:cstheme="minorEastAsia"/>
          <w:color w:val="auto"/>
          <w:sz w:val="24"/>
          <w:szCs w:val="24"/>
        </w:rPr>
        <w:t xml:space="preserve"> 021-</w:t>
      </w:r>
      <w:r>
        <w:rPr>
          <w:rFonts w:hint="eastAsia" w:asciiTheme="minorEastAsia" w:hAnsiTheme="minorEastAsia" w:eastAsiaTheme="minorEastAsia" w:cstheme="minorEastAsia"/>
          <w:color w:val="auto"/>
          <w:sz w:val="24"/>
          <w:szCs w:val="24"/>
          <w:lang w:eastAsia="zh-CN"/>
        </w:rPr>
        <w:t>33189900</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2.采购代理机构信息</w:t>
      </w:r>
      <w:bookmarkEnd w:id="50"/>
      <w:bookmarkEnd w:id="51"/>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lang w:eastAsia="zh-CN"/>
        </w:rPr>
        <w:t>上海机电设备招标有限公司</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地址：上海市普陀区长寿路285号恒达大厦16楼</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联系方式：</w:t>
      </w:r>
      <w:bookmarkStart w:id="52" w:name="_Toc28359010"/>
      <w:bookmarkStart w:id="53" w:name="_Toc28359087"/>
      <w:r>
        <w:rPr>
          <w:rFonts w:hint="eastAsia" w:asciiTheme="minorEastAsia" w:hAnsiTheme="minorEastAsia" w:eastAsiaTheme="minorEastAsia" w:cstheme="minorEastAsia"/>
          <w:color w:val="auto"/>
          <w:sz w:val="24"/>
          <w:szCs w:val="24"/>
          <w:lang w:eastAsia="zh-CN"/>
        </w:rPr>
        <w:t>张子豪、孙瑞强，</w:t>
      </w:r>
      <w:r>
        <w:rPr>
          <w:rFonts w:hint="eastAsia" w:asciiTheme="minorEastAsia" w:hAnsiTheme="minorEastAsia" w:eastAsiaTheme="minorEastAsia" w:cstheme="minorEastAsia"/>
          <w:color w:val="auto"/>
          <w:sz w:val="24"/>
          <w:szCs w:val="24"/>
        </w:rPr>
        <w:t>021-</w:t>
      </w:r>
      <w:r>
        <w:rPr>
          <w:rFonts w:hint="eastAsia" w:asciiTheme="minorEastAsia" w:hAnsiTheme="minorEastAsia" w:eastAsiaTheme="minorEastAsia" w:cstheme="minorEastAsia"/>
          <w:color w:val="auto"/>
          <w:sz w:val="24"/>
          <w:szCs w:val="24"/>
          <w:lang w:eastAsia="zh-CN"/>
        </w:rPr>
        <w:t>32557735、32557738，</w:t>
      </w:r>
      <w:r>
        <w:rPr>
          <w:rFonts w:hint="eastAsia" w:asciiTheme="minorEastAsia" w:hAnsiTheme="minorEastAsia" w:eastAsiaTheme="minorEastAsia" w:cstheme="minorEastAsia"/>
          <w:color w:val="auto"/>
          <w:sz w:val="24"/>
          <w:szCs w:val="24"/>
          <w:lang w:val="en-US" w:eastAsia="zh-CN"/>
        </w:rPr>
        <w:t>传真：021-32557272，</w:t>
      </w:r>
      <w:r>
        <w:rPr>
          <w:rFonts w:hint="eastAsia" w:asciiTheme="minorEastAsia" w:hAnsiTheme="minorEastAsia" w:eastAsiaTheme="minorEastAsia" w:cstheme="minorEastAsia"/>
          <w:color w:val="auto"/>
          <w:sz w:val="24"/>
          <w:szCs w:val="24"/>
          <w:lang w:eastAsia="zh-CN"/>
        </w:rPr>
        <w:t>电子邮箱：zzh@shbid.com</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3.项目联系方式</w:t>
      </w:r>
      <w:bookmarkEnd w:id="52"/>
      <w:bookmarkEnd w:id="53"/>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项目联系人：</w:t>
      </w:r>
      <w:r>
        <w:rPr>
          <w:rFonts w:hint="eastAsia" w:asciiTheme="minorEastAsia" w:hAnsiTheme="minorEastAsia" w:eastAsiaTheme="minorEastAsia" w:cstheme="minorEastAsia"/>
          <w:color w:val="auto"/>
          <w:sz w:val="24"/>
          <w:szCs w:val="24"/>
          <w:lang w:eastAsia="zh-CN"/>
        </w:rPr>
        <w:t>张子豪、孙瑞强</w:t>
      </w:r>
    </w:p>
    <w:p>
      <w:pPr>
        <w:pageBreakBefore w:val="0"/>
        <w:kinsoku/>
        <w:wordWrap/>
        <w:overflowPunct/>
        <w:topLinePunct w:val="0"/>
        <w:bidi w:val="0"/>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电话：021-</w:t>
      </w:r>
      <w:bookmarkEnd w:id="5"/>
      <w:bookmarkEnd w:id="6"/>
      <w:bookmarkEnd w:id="7"/>
      <w:r>
        <w:rPr>
          <w:rFonts w:hint="eastAsia" w:asciiTheme="minorEastAsia" w:hAnsiTheme="minorEastAsia" w:eastAsiaTheme="minorEastAsia" w:cstheme="minorEastAsia"/>
          <w:color w:val="auto"/>
          <w:sz w:val="24"/>
          <w:szCs w:val="24"/>
          <w:lang w:eastAsia="zh-CN"/>
        </w:rPr>
        <w:t>32557735、32557738</w:t>
      </w: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color w:val="auto"/>
          <w:sz w:val="28"/>
          <w:szCs w:val="28"/>
        </w:rPr>
        <w:sectPr>
          <w:footerReference r:id="rId3" w:type="default"/>
          <w:pgSz w:w="11907" w:h="16839"/>
          <w:pgMar w:top="1440" w:right="1803" w:bottom="1440" w:left="1803" w:header="720" w:footer="720" w:gutter="0"/>
          <w:pgBorders>
            <w:top w:val="none" w:sz="0" w:space="0"/>
            <w:left w:val="none" w:sz="0" w:space="0"/>
            <w:bottom w:val="none" w:sz="0" w:space="0"/>
            <w:right w:val="none" w:sz="0" w:space="0"/>
          </w:pgBorders>
          <w:pgNumType w:start="1"/>
          <w:cols w:space="720" w:num="1"/>
          <w:rtlGutter w:val="0"/>
          <w:docGrid w:linePitch="286" w:charSpace="0"/>
        </w:sectPr>
      </w:pPr>
      <w:bookmarkStart w:id="54" w:name="_Toc392227736"/>
    </w:p>
    <w:bookmarkEnd w:id="54"/>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rPr>
      </w:pPr>
      <w:bookmarkStart w:id="55" w:name="_Toc457747927"/>
      <w:bookmarkStart w:id="56" w:name="_Toc15126"/>
      <w:bookmarkStart w:id="57" w:name="_Toc31504"/>
      <w:bookmarkStart w:id="58" w:name="_Toc16054"/>
      <w:bookmarkStart w:id="59" w:name="_Toc392227745"/>
      <w:r>
        <w:rPr>
          <w:rFonts w:hint="eastAsia" w:asciiTheme="minorEastAsia" w:hAnsiTheme="minorEastAsia" w:eastAsiaTheme="minorEastAsia" w:cstheme="minorEastAsia"/>
          <w:sz w:val="32"/>
          <w:szCs w:val="32"/>
        </w:rPr>
        <w:t>第二章 投标人须知</w:t>
      </w:r>
      <w:bookmarkEnd w:id="55"/>
      <w:bookmarkEnd w:id="56"/>
      <w:bookmarkEnd w:id="57"/>
      <w:bookmarkEnd w:id="58"/>
      <w:bookmarkEnd w:id="59"/>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bookmarkStart w:id="60" w:name="_Toc29104"/>
      <w:bookmarkStart w:id="61" w:name="_Toc392227746"/>
      <w:bookmarkStart w:id="62" w:name="_Toc457747928"/>
      <w:bookmarkStart w:id="63" w:name="_Toc31564"/>
      <w:r>
        <w:rPr>
          <w:rFonts w:hint="eastAsia" w:asciiTheme="minorEastAsia" w:hAnsiTheme="minorEastAsia" w:eastAsiaTheme="minorEastAsia" w:cstheme="minorEastAsia"/>
          <w:sz w:val="30"/>
          <w:szCs w:val="30"/>
        </w:rPr>
        <w:t>投标人须知前附表</w:t>
      </w:r>
      <w:bookmarkEnd w:id="60"/>
      <w:bookmarkEnd w:id="61"/>
      <w:bookmarkEnd w:id="62"/>
      <w:bookmarkEnd w:id="63"/>
    </w:p>
    <w:tbl>
      <w:tblPr>
        <w:tblStyle w:val="2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979"/>
        <w:gridCol w:w="1821"/>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条款号</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条款名称</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r>
              <w:rPr>
                <w:rFonts w:hint="eastAsia" w:asciiTheme="minorEastAsia" w:hAnsiTheme="minorEastAsia" w:eastAsiaTheme="minorEastAsia" w:cstheme="minorEastAsia"/>
                <w:sz w:val="24"/>
                <w:szCs w:val="24"/>
                <w:lang w:eastAsia="zh-CN"/>
              </w:rPr>
              <w:t>复旦大学附属妇产科医院</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eastAsia="zh-CN"/>
              </w:rPr>
              <w:t>上海市沈阳路128号</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曹嫩能</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val="en-US" w:eastAsia="zh-CN"/>
              </w:rPr>
              <w:t>021-33189900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招标代理机构</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名称：上海机电设备招标有限公司</w:t>
            </w:r>
          </w:p>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地址：上海市长寿路285号16楼</w:t>
            </w:r>
          </w:p>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张子豪、孙瑞强</w:t>
            </w:r>
          </w:p>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val="en-US" w:eastAsia="zh-CN"/>
              </w:rPr>
              <w:t>021-32557735、32557738</w:t>
            </w:r>
          </w:p>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传真：021-32557272</w:t>
            </w:r>
          </w:p>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w:t>
            </w:r>
            <w:r>
              <w:rPr>
                <w:rFonts w:hint="eastAsia" w:asciiTheme="minorEastAsia" w:hAnsiTheme="minorEastAsia" w:eastAsiaTheme="minorEastAsia" w:cstheme="minorEastAsia"/>
                <w:sz w:val="24"/>
                <w:szCs w:val="24"/>
                <w:lang w:val="en-US" w:eastAsia="zh-CN"/>
              </w:rPr>
              <w:t>zzh@shbid.com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招标项目名称</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多通道荧光定量基因扩增仪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lang w:val="en-US" w:eastAsia="zh-CN"/>
              </w:rPr>
              <w:t>1.1.5</w:t>
            </w:r>
          </w:p>
        </w:tc>
        <w:tc>
          <w:tcPr>
            <w:tcW w:w="1821" w:type="dxa"/>
            <w:tcBorders>
              <w:tl2br w:val="nil"/>
              <w:tr2bl w:val="nil"/>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lang w:val="en-US" w:eastAsia="zh-CN"/>
              </w:rPr>
              <w:t>是否划分包件</w:t>
            </w:r>
          </w:p>
        </w:tc>
        <w:tc>
          <w:tcPr>
            <w:tcW w:w="5660" w:type="dxa"/>
            <w:tcBorders>
              <w:tl2br w:val="nil"/>
              <w:tr2bl w:val="nil"/>
            </w:tcBorders>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lang w:eastAsia="zh-CN"/>
              </w:rPr>
              <w:t>本项目不划分包件，投标人应对所有招标产品进行投标，不接受仅对其中部分产品进行投标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资金来源及比例</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kern w:val="0"/>
                <w:sz w:val="24"/>
                <w:szCs w:val="24"/>
              </w:rPr>
              <w:t>财政</w:t>
            </w:r>
            <w:r>
              <w:rPr>
                <w:rFonts w:hint="eastAsia" w:asciiTheme="minorEastAsia" w:hAnsiTheme="minorEastAsia" w:eastAsiaTheme="minorEastAsia" w:cstheme="minorEastAsia"/>
                <w:sz w:val="24"/>
                <w:szCs w:val="24"/>
              </w:rPr>
              <w:t>资金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资金落实情况</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现场考察</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标前答疑会</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1.10.1</w:t>
            </w:r>
          </w:p>
        </w:tc>
        <w:tc>
          <w:tcPr>
            <w:tcW w:w="1821" w:type="dxa"/>
            <w:tcBorders>
              <w:tl2br w:val="nil"/>
              <w:tr2bl w:val="nil"/>
            </w:tcBorders>
            <w:vAlign w:val="center"/>
          </w:tcPr>
          <w:p>
            <w:pPr>
              <w:pStyle w:val="39"/>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分包</w:t>
            </w:r>
          </w:p>
        </w:tc>
        <w:tc>
          <w:tcPr>
            <w:tcW w:w="5660" w:type="dxa"/>
            <w:tcBorders>
              <w:tl2br w:val="nil"/>
              <w:tr2bl w:val="nil"/>
            </w:tcBorders>
            <w:vAlign w:val="top"/>
          </w:tcPr>
          <w:p>
            <w:pPr>
              <w:pStyle w:val="39"/>
              <w:keepNext w:val="0"/>
              <w:keepLines w:val="0"/>
              <w:pageBreakBefore w:val="0"/>
              <w:kinsoku/>
              <w:overflowPunct/>
              <w:bidi w:val="0"/>
              <w:spacing w:beforeAutospacing="0" w:afterAutospacing="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构成招标文件的其他资料</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1.9.2</w:t>
            </w:r>
          </w:p>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投标人要求澄清招标文件的截止时间</w:t>
            </w:r>
          </w:p>
        </w:tc>
        <w:tc>
          <w:tcPr>
            <w:tcW w:w="5660" w:type="dxa"/>
            <w:tcBorders>
              <w:tl2br w:val="nil"/>
              <w:tr2bl w:val="nil"/>
            </w:tcBorders>
            <w:vAlign w:val="center"/>
          </w:tcPr>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val="en-US" w:eastAsia="zh-CN"/>
              </w:rPr>
              <w:t>2021</w:t>
            </w:r>
            <w:r>
              <w:rPr>
                <w:rFonts w:hint="eastAsia" w:asciiTheme="minorEastAsia" w:hAnsiTheme="minorEastAsia" w:eastAsiaTheme="minorEastAsia" w:cstheme="minorEastAsia"/>
                <w:color w:val="auto"/>
                <w:sz w:val="24"/>
                <w:szCs w:val="24"/>
                <w:u w:val="none"/>
              </w:rPr>
              <w:t>年</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rPr>
              <w:t>月</w:t>
            </w:r>
            <w:r>
              <w:rPr>
                <w:rFonts w:hint="eastAsia" w:asciiTheme="minorEastAsia" w:hAnsiTheme="minorEastAsia" w:eastAsiaTheme="minorEastAsia" w:cstheme="minorEastAsia"/>
                <w:color w:val="auto"/>
                <w:sz w:val="24"/>
                <w:szCs w:val="24"/>
                <w:u w:val="none"/>
                <w:lang w:val="en-US" w:eastAsia="zh-CN"/>
              </w:rPr>
              <w:t>25</w:t>
            </w:r>
            <w:r>
              <w:rPr>
                <w:rFonts w:hint="eastAsia" w:asciiTheme="minorEastAsia" w:hAnsiTheme="minorEastAsia" w:eastAsiaTheme="minorEastAsia" w:cstheme="minorEastAsia"/>
                <w:color w:val="auto"/>
                <w:sz w:val="24"/>
                <w:szCs w:val="24"/>
                <w:u w:val="none"/>
              </w:rPr>
              <w:t>日</w:t>
            </w:r>
            <w:r>
              <w:rPr>
                <w:rFonts w:hint="eastAsia" w:asciiTheme="minorEastAsia" w:hAnsiTheme="minorEastAsia" w:eastAsiaTheme="minorEastAsia" w:cstheme="minorEastAsia"/>
                <w:color w:val="auto"/>
                <w:sz w:val="24"/>
                <w:szCs w:val="24"/>
                <w:u w:val="none"/>
                <w:lang w:val="en-US" w:eastAsia="zh-CN"/>
              </w:rPr>
              <w:t>12</w:t>
            </w:r>
            <w:r>
              <w:rPr>
                <w:rFonts w:hint="eastAsia" w:asciiTheme="minorEastAsia" w:hAnsiTheme="minorEastAsia" w:eastAsiaTheme="minorEastAsia" w:cstheme="minorEastAsia"/>
                <w:color w:val="auto"/>
                <w:sz w:val="24"/>
                <w:szCs w:val="24"/>
                <w:u w:val="none"/>
              </w:rPr>
              <w:t>时</w:t>
            </w:r>
            <w:r>
              <w:rPr>
                <w:rFonts w:hint="eastAsia" w:asciiTheme="minorEastAsia" w:hAnsiTheme="minorEastAsia" w:eastAsiaTheme="minorEastAsia" w:cstheme="minorEastAsia"/>
                <w:color w:val="auto"/>
                <w:sz w:val="24"/>
                <w:szCs w:val="24"/>
                <w:u w:val="none"/>
                <w:lang w:val="en-US" w:eastAsia="zh-CN"/>
              </w:rPr>
              <w:t>00</w:t>
            </w:r>
            <w:r>
              <w:rPr>
                <w:rFonts w:hint="eastAsia" w:asciiTheme="minorEastAsia" w:hAnsiTheme="minorEastAsia" w:eastAsiaTheme="minorEastAsia" w:cstheme="minorEastAsia"/>
                <w:color w:val="auto"/>
                <w:sz w:val="24"/>
                <w:szCs w:val="24"/>
                <w:u w:val="none"/>
              </w:rPr>
              <w:t>分；</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投标人须将盖章版扫描件和可编辑版（Word版）发</w:t>
            </w:r>
            <w:r>
              <w:rPr>
                <w:rFonts w:hint="eastAsia" w:asciiTheme="minorEastAsia" w:hAnsiTheme="minorEastAsia" w:eastAsiaTheme="minorEastAsia" w:cstheme="minorEastAsia"/>
                <w:color w:val="auto"/>
                <w:sz w:val="24"/>
                <w:szCs w:val="24"/>
                <w:u w:val="none"/>
                <w:lang w:val="fr-FR"/>
              </w:rPr>
              <w:t>E-mail至招标代理机构</w:t>
            </w:r>
            <w:r>
              <w:rPr>
                <w:rFonts w:hint="eastAsia" w:asciiTheme="minorEastAsia" w:hAnsiTheme="minorEastAsia" w:eastAsiaTheme="minorEastAsia" w:cstheme="minorEastAsia"/>
                <w:color w:val="auto"/>
                <w:sz w:val="24"/>
                <w:szCs w:val="24"/>
                <w:u w:val="none"/>
              </w:rPr>
              <w:t>以下邮箱：</w:t>
            </w:r>
            <w:r>
              <w:rPr>
                <w:rFonts w:hint="eastAsia" w:asciiTheme="minorEastAsia" w:hAnsiTheme="minorEastAsia" w:eastAsiaTheme="minorEastAsia" w:cstheme="minorEastAsia"/>
                <w:color w:val="auto"/>
                <w:sz w:val="24"/>
                <w:szCs w:val="24"/>
                <w:u w:val="none"/>
                <w:lang w:val="en-US" w:eastAsia="zh-CN"/>
              </w:rPr>
              <w:t>zzh@shbid.com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p>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招标文件的澄清和修改</w:t>
            </w:r>
          </w:p>
        </w:tc>
        <w:tc>
          <w:tcPr>
            <w:tcW w:w="5660" w:type="dxa"/>
            <w:tcBorders>
              <w:tl2br w:val="nil"/>
              <w:tr2bl w:val="nil"/>
            </w:tcBorders>
            <w:vAlign w:val="center"/>
          </w:tcPr>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招标文件的澄清和修改，将通过发布招标公告的媒介以</w:t>
            </w:r>
            <w:r>
              <w:rPr>
                <w:rFonts w:hint="eastAsia" w:asciiTheme="minorEastAsia" w:hAnsiTheme="minorEastAsia" w:eastAsiaTheme="minorEastAsia" w:cstheme="minorEastAsia"/>
                <w:b/>
                <w:color w:val="auto"/>
                <w:sz w:val="24"/>
                <w:szCs w:val="24"/>
                <w:u w:val="none"/>
              </w:rPr>
              <w:t>澄清或修改公告的形式发布</w:t>
            </w:r>
            <w:r>
              <w:rPr>
                <w:rFonts w:hint="eastAsia" w:asciiTheme="minorEastAsia" w:hAnsiTheme="minorEastAsia" w:eastAsiaTheme="minorEastAsia" w:cstheme="minorEastAsia"/>
                <w:color w:val="auto"/>
                <w:sz w:val="24"/>
                <w:szCs w:val="24"/>
                <w:u w:val="none"/>
              </w:rPr>
              <w:t>，除此以外的其他任何澄清、修改方式及澄清、修改内容均属无效，不得作为投标的依据。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3.1.1.3</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样品</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lang w:val="en-US" w:eastAsia="zh-CN"/>
              </w:rPr>
              <w:t>6</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最高投标限价</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auto"/>
                <w:sz w:val="24"/>
                <w:szCs w:val="24"/>
              </w:rPr>
              <w:t>本次招标不设定最高投标限价</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但投标报价</w:t>
            </w:r>
            <w:r>
              <w:rPr>
                <w:rFonts w:hint="eastAsia" w:asciiTheme="minorEastAsia" w:hAnsiTheme="minorEastAsia" w:eastAsiaTheme="minorEastAsia" w:cstheme="minorEastAsia"/>
                <w:b/>
                <w:bCs/>
                <w:color w:val="auto"/>
                <w:sz w:val="24"/>
                <w:szCs w:val="24"/>
              </w:rPr>
              <w:t>高于预算</w:t>
            </w:r>
            <w:r>
              <w:rPr>
                <w:rFonts w:hint="eastAsia" w:asciiTheme="minorEastAsia" w:hAnsiTheme="minorEastAsia" w:eastAsiaTheme="minorEastAsia" w:cstheme="minorEastAsia"/>
                <w:b/>
                <w:bCs/>
                <w:color w:val="auto"/>
                <w:sz w:val="24"/>
                <w:szCs w:val="24"/>
                <w:lang w:val="en-US" w:eastAsia="zh-CN"/>
              </w:rPr>
              <w:t>金额</w:t>
            </w:r>
            <w:r>
              <w:rPr>
                <w:rFonts w:hint="eastAsia" w:asciiTheme="minorEastAsia" w:hAnsiTheme="minorEastAsia" w:eastAsiaTheme="minorEastAsia" w:cstheme="minorEastAsia"/>
                <w:b/>
                <w:bCs/>
                <w:color w:val="auto"/>
                <w:sz w:val="24"/>
                <w:szCs w:val="24"/>
              </w:rPr>
              <w:t>的投标将</w:t>
            </w:r>
            <w:r>
              <w:rPr>
                <w:rFonts w:hint="eastAsia" w:asciiTheme="minorEastAsia" w:hAnsiTheme="minorEastAsia" w:eastAsiaTheme="minorEastAsia" w:cstheme="minorEastAsia"/>
                <w:b/>
                <w:bCs/>
                <w:color w:val="auto"/>
                <w:sz w:val="24"/>
                <w:szCs w:val="24"/>
                <w:lang w:val="en-US" w:eastAsia="zh-CN"/>
              </w:rPr>
              <w:t>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lang w:val="en-US" w:eastAsia="zh-CN"/>
              </w:rPr>
              <w:t>9</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投标报价的其他要求</w:t>
            </w:r>
          </w:p>
        </w:tc>
        <w:tc>
          <w:tcPr>
            <w:tcW w:w="5660" w:type="dxa"/>
            <w:tcBorders>
              <w:tl2br w:val="nil"/>
              <w:tr2bl w:val="nil"/>
            </w:tcBorders>
            <w:vAlign w:val="center"/>
          </w:tcPr>
          <w:p>
            <w:pPr>
              <w:keepNext w:val="0"/>
              <w:keepLines w:val="0"/>
              <w:pageBreakBefore w:val="0"/>
              <w:numPr>
                <w:ilvl w:val="0"/>
                <w:numId w:val="3"/>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所报费用包括可能发生的所有与完成本项目有关的一切费用。包括但不限于货物价款（含必备的附件，如配件、备品备件、专用工具等）、包装费、运输费、装卸费、保险费、税费、安装费、调试费、培训费等一切费用。</w:t>
            </w:r>
          </w:p>
          <w:p>
            <w:pPr>
              <w:keepNext w:val="0"/>
              <w:keepLines w:val="0"/>
              <w:pageBreakBefore w:val="0"/>
              <w:numPr>
                <w:ilvl w:val="0"/>
                <w:numId w:val="3"/>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本次招标允许报优惠价，但必须折算到单价中，不允许以一次性优惠方式报价。投标人必须提供投标分项报价表，投标分项报价表</w:t>
            </w:r>
            <w:r>
              <w:rPr>
                <w:rFonts w:hint="eastAsia" w:asciiTheme="minorEastAsia" w:hAnsiTheme="minorEastAsia" w:eastAsiaTheme="minorEastAsia" w:cstheme="minorEastAsia"/>
                <w:b/>
                <w:bCs/>
                <w:color w:val="auto"/>
                <w:sz w:val="24"/>
                <w:szCs w:val="24"/>
              </w:rPr>
              <w:t>必须</w:t>
            </w:r>
            <w:r>
              <w:rPr>
                <w:rFonts w:hint="eastAsia" w:asciiTheme="minorEastAsia" w:hAnsiTheme="minorEastAsia" w:eastAsiaTheme="minorEastAsia" w:cstheme="minorEastAsia"/>
                <w:b/>
                <w:bCs/>
                <w:color w:val="auto"/>
                <w:sz w:val="24"/>
              </w:rPr>
              <w:t>详细的列明投标总价的组成，投标总价=Σ单价×数量。不符合要求的投标应当予以否决。</w:t>
            </w:r>
          </w:p>
          <w:p>
            <w:pPr>
              <w:keepNext w:val="0"/>
              <w:keepLines w:val="0"/>
              <w:pageBreakBefore w:val="0"/>
              <w:numPr>
                <w:ilvl w:val="0"/>
                <w:numId w:val="3"/>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投标人需提供质保期后运行2年所需的易损件和备品备件的清单和价格，并承诺在</w:t>
            </w:r>
            <w:r>
              <w:rPr>
                <w:rFonts w:hint="eastAsia" w:asciiTheme="minorEastAsia" w:hAnsiTheme="minorEastAsia" w:eastAsiaTheme="minorEastAsia" w:cstheme="minorEastAsia"/>
                <w:snapToGrid w:val="0"/>
                <w:color w:val="auto"/>
                <w:sz w:val="24"/>
              </w:rPr>
              <w:t>质保期满后</w:t>
            </w:r>
            <w:r>
              <w:rPr>
                <w:rFonts w:hint="eastAsia" w:asciiTheme="minorEastAsia" w:hAnsiTheme="minorEastAsia" w:eastAsiaTheme="minorEastAsia" w:cstheme="minorEastAsia"/>
                <w:color w:val="auto"/>
                <w:sz w:val="24"/>
              </w:rPr>
              <w:t>5年内不高于上述清单的价格，此报价不计入投标总价。</w:t>
            </w:r>
          </w:p>
          <w:p>
            <w:pPr>
              <w:keepNext w:val="0"/>
              <w:keepLines w:val="0"/>
              <w:pageBreakBefore w:val="0"/>
              <w:numPr>
                <w:ilvl w:val="0"/>
                <w:numId w:val="3"/>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val="0"/>
                <w:bCs w:val="0"/>
                <w:color w:val="auto"/>
                <w:sz w:val="24"/>
                <w:szCs w:val="24"/>
              </w:rPr>
              <w:t>投标文件中提供系统出保后的维保费用，此报价不计入投标总价。</w:t>
            </w:r>
          </w:p>
          <w:p>
            <w:pPr>
              <w:keepNext w:val="0"/>
              <w:keepLines w:val="0"/>
              <w:pageBreakBefore w:val="0"/>
              <w:numPr>
                <w:ilvl w:val="0"/>
                <w:numId w:val="3"/>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val="0"/>
                <w:color w:val="auto"/>
                <w:sz w:val="24"/>
                <w:szCs w:val="24"/>
                <w:lang w:eastAsia="zh-CN"/>
              </w:rPr>
              <w:t>投标文件</w:t>
            </w:r>
            <w:r>
              <w:rPr>
                <w:rFonts w:hint="eastAsia" w:asciiTheme="minorEastAsia" w:hAnsiTheme="minorEastAsia" w:eastAsiaTheme="minorEastAsia" w:cstheme="minorEastAsia"/>
                <w:b w:val="0"/>
                <w:bCs w:val="0"/>
                <w:color w:val="auto"/>
                <w:sz w:val="24"/>
                <w:szCs w:val="24"/>
                <w:lang w:val="en-US" w:eastAsia="zh-CN"/>
              </w:rPr>
              <w:t>中</w:t>
            </w:r>
            <w:r>
              <w:rPr>
                <w:rFonts w:hint="eastAsia" w:asciiTheme="minorEastAsia" w:hAnsiTheme="minorEastAsia" w:eastAsiaTheme="minorEastAsia" w:cstheme="minorEastAsia"/>
                <w:b w:val="0"/>
                <w:bCs w:val="0"/>
                <w:color w:val="auto"/>
                <w:sz w:val="24"/>
                <w:szCs w:val="24"/>
                <w:lang w:eastAsia="zh-CN"/>
              </w:rPr>
              <w:t>提供详细</w:t>
            </w:r>
            <w:r>
              <w:rPr>
                <w:rFonts w:hint="eastAsia" w:asciiTheme="minorEastAsia" w:hAnsiTheme="minorEastAsia" w:eastAsiaTheme="minorEastAsia" w:cstheme="minorEastAsia"/>
                <w:b w:val="0"/>
                <w:bCs w:val="0"/>
                <w:color w:val="auto"/>
                <w:sz w:val="24"/>
                <w:szCs w:val="24"/>
                <w:lang w:val="en-US" w:eastAsia="zh-CN"/>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从投标截止之日起</w:t>
            </w:r>
            <w:r>
              <w:rPr>
                <w:rFonts w:hint="eastAsia" w:asciiTheme="minorEastAsia" w:hAnsiTheme="minorEastAsia" w:eastAsiaTheme="minorEastAsia" w:cstheme="minorEastAsia"/>
                <w:sz w:val="24"/>
                <w:szCs w:val="24"/>
                <w:u w:val="none"/>
              </w:rPr>
              <w:t>：</w:t>
            </w:r>
            <w:bookmarkStart w:id="64" w:name="_Toc1789"/>
            <w:bookmarkStart w:id="65" w:name="_Toc369531512"/>
            <w:bookmarkStart w:id="66" w:name="_Toc361508582"/>
            <w:bookmarkStart w:id="67" w:name="_Toc352691470"/>
            <w:bookmarkStart w:id="68" w:name="_Toc384308207"/>
            <w:bookmarkStart w:id="69" w:name="_Toc300834946"/>
            <w:r>
              <w:rPr>
                <w:rFonts w:hint="eastAsia" w:asciiTheme="minorEastAsia" w:hAnsiTheme="minorEastAsia" w:eastAsiaTheme="minorEastAsia" w:cstheme="minorEastAsia"/>
                <w:sz w:val="24"/>
                <w:szCs w:val="24"/>
                <w:u w:val="none"/>
                <w:lang w:val="en-US" w:eastAsia="zh-CN"/>
              </w:rPr>
              <w:t>90</w:t>
            </w:r>
            <w:r>
              <w:rPr>
                <w:rFonts w:hint="eastAsia" w:asciiTheme="minorEastAsia" w:hAnsiTheme="minorEastAsia" w:eastAsiaTheme="minorEastAsia" w:cstheme="minorEastAsia"/>
                <w:sz w:val="24"/>
                <w:szCs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w:t>
            </w:r>
            <w:bookmarkEnd w:id="64"/>
            <w:bookmarkEnd w:id="65"/>
            <w:bookmarkEnd w:id="66"/>
            <w:bookmarkEnd w:id="67"/>
            <w:bookmarkEnd w:id="68"/>
            <w:bookmarkEnd w:id="69"/>
            <w:r>
              <w:rPr>
                <w:rFonts w:hint="eastAsia" w:asciiTheme="minorEastAsia" w:hAnsiTheme="minorEastAsia" w:eastAsiaTheme="minorEastAsia" w:cstheme="minorEastAsia"/>
                <w:sz w:val="24"/>
                <w:szCs w:val="24"/>
              </w:rPr>
              <w:t>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投标保证金</w:t>
            </w:r>
          </w:p>
        </w:tc>
        <w:tc>
          <w:tcPr>
            <w:tcW w:w="5660" w:type="dxa"/>
            <w:tcBorders>
              <w:tl2br w:val="nil"/>
              <w:tr2bl w:val="nil"/>
            </w:tcBorders>
            <w:vAlign w:val="center"/>
          </w:tcPr>
          <w:p>
            <w:pPr>
              <w:pStyle w:val="12"/>
              <w:keepNext w:val="0"/>
              <w:keepLines w:val="0"/>
              <w:pageBreakBefore w:val="0"/>
              <w:kinsoku/>
              <w:overflowPunct/>
              <w:topLinePunct/>
              <w:bidi w:val="0"/>
              <w:spacing w:beforeAutospacing="0" w:afterAutospacing="0" w:line="40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投标人</w:t>
            </w:r>
            <w:r>
              <w:rPr>
                <w:rFonts w:hint="eastAsia" w:asciiTheme="minorEastAsia" w:hAnsiTheme="minorEastAsia" w:eastAsiaTheme="minorEastAsia" w:cstheme="minorEastAsia"/>
                <w:szCs w:val="24"/>
                <w:lang w:val="en-US" w:eastAsia="zh-CN"/>
              </w:rPr>
              <w:t>应按招标文件要求</w:t>
            </w:r>
            <w:r>
              <w:rPr>
                <w:rFonts w:hint="eastAsia" w:asciiTheme="minorEastAsia" w:hAnsiTheme="minorEastAsia" w:eastAsiaTheme="minorEastAsia" w:cstheme="minorEastAsia"/>
                <w:szCs w:val="24"/>
              </w:rPr>
              <w:t>递交投标保证金：</w:t>
            </w:r>
          </w:p>
          <w:p>
            <w:pPr>
              <w:pStyle w:val="12"/>
              <w:keepNext w:val="0"/>
              <w:keepLines w:val="0"/>
              <w:pageBreakBefore w:val="0"/>
              <w:kinsoku/>
              <w:overflowPunct/>
              <w:topLinePunct/>
              <w:bidi w:val="0"/>
              <w:spacing w:beforeAutospacing="0" w:afterAutospacing="0" w:line="40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szCs w:val="24"/>
              </w:rPr>
              <w:t>投标保证金的金额：人民币</w:t>
            </w:r>
            <w:r>
              <w:rPr>
                <w:rFonts w:hint="eastAsia" w:asciiTheme="minorEastAsia" w:hAnsiTheme="minorEastAsia" w:eastAsiaTheme="minorEastAsia" w:cstheme="minorEastAsia"/>
                <w:color w:val="auto"/>
                <w:szCs w:val="24"/>
                <w:lang w:val="en-US" w:eastAsia="zh-CN"/>
              </w:rPr>
              <w:t>11000</w:t>
            </w:r>
            <w:r>
              <w:rPr>
                <w:rFonts w:hint="eastAsia" w:asciiTheme="minorEastAsia" w:hAnsiTheme="minorEastAsia" w:eastAsiaTheme="minorEastAsia" w:cstheme="minorEastAsia"/>
                <w:color w:val="auto"/>
                <w:szCs w:val="24"/>
              </w:rPr>
              <w:t>元</w:t>
            </w:r>
          </w:p>
          <w:p>
            <w:pPr>
              <w:pStyle w:val="12"/>
              <w:keepNext w:val="0"/>
              <w:keepLines w:val="0"/>
              <w:pageBreakBefore w:val="0"/>
              <w:kinsoku/>
              <w:overflowPunct/>
              <w:topLinePunct/>
              <w:bidi w:val="0"/>
              <w:spacing w:beforeAutospacing="0" w:afterAutospacing="0" w:line="40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color w:val="auto"/>
                <w:szCs w:val="24"/>
              </w:rPr>
              <w:t>投标保证金的形式：按《投标保证金提交</w:t>
            </w:r>
            <w:r>
              <w:rPr>
                <w:rFonts w:hint="eastAsia" w:asciiTheme="minorEastAsia" w:hAnsiTheme="minorEastAsia" w:eastAsiaTheme="minorEastAsia" w:cstheme="minorEastAsia"/>
                <w:szCs w:val="24"/>
              </w:rPr>
              <w:t>与退还操作须知》（见本章附件）提交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3.4.4</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其他可以不予退还投标保证金的情形</w:t>
            </w:r>
          </w:p>
        </w:tc>
        <w:tc>
          <w:tcPr>
            <w:tcW w:w="5660" w:type="dxa"/>
            <w:tcBorders>
              <w:tl2br w:val="nil"/>
              <w:tr2bl w:val="nil"/>
            </w:tcBorders>
            <w:vAlign w:val="center"/>
          </w:tcPr>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i/>
                <w:sz w:val="24"/>
                <w:szCs w:val="24"/>
                <w:lang w:eastAsia="zh-CN"/>
              </w:rPr>
            </w:pP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3.5.1.2</w:t>
            </w:r>
          </w:p>
        </w:tc>
        <w:tc>
          <w:tcPr>
            <w:tcW w:w="1821" w:type="dxa"/>
            <w:tcBorders>
              <w:tl2br w:val="nil"/>
              <w:tr2bl w:val="nil"/>
            </w:tcBorders>
            <w:vAlign w:val="center"/>
          </w:tcPr>
          <w:p>
            <w:pPr>
              <w:spacing w:line="400" w:lineRule="exact"/>
              <w:jc w:val="left"/>
              <w:rPr>
                <w:rFonts w:hint="eastAsia" w:asciiTheme="minorEastAsia" w:hAnsiTheme="minorEastAsia" w:eastAsiaTheme="minorEastAsia" w:cstheme="minorEastAsia"/>
                <w:color w:val="auto"/>
                <w:sz w:val="24"/>
                <w:szCs w:val="24"/>
                <w:highlight w:val="yellow"/>
              </w:rPr>
            </w:pPr>
            <w:r>
              <w:rPr>
                <w:rFonts w:hint="eastAsia" w:asciiTheme="minorEastAsia" w:hAnsiTheme="minorEastAsia" w:eastAsiaTheme="minorEastAsia" w:cstheme="minorEastAsia"/>
                <w:color w:val="auto"/>
                <w:sz w:val="24"/>
                <w:szCs w:val="24"/>
              </w:rPr>
              <w:t>财务状况报告，依法缴纳税收和社会保障资金的相关材料</w:t>
            </w:r>
          </w:p>
        </w:tc>
        <w:tc>
          <w:tcPr>
            <w:tcW w:w="5660" w:type="dxa"/>
            <w:tcBorders>
              <w:tl2br w:val="nil"/>
              <w:tr2bl w:val="nil"/>
            </w:tcBorders>
            <w:vAlign w:val="center"/>
          </w:tcPr>
          <w:p>
            <w:pPr>
              <w:keepNext w:val="0"/>
              <w:keepLines w:val="0"/>
              <w:pageBreakBefore w:val="0"/>
              <w:numPr>
                <w:ilvl w:val="0"/>
                <w:numId w:val="4"/>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投标人是法人的，应提供经审计的近2年财务报告（201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年和20</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年。截止至投标日成立不足2年的投标人可提供自成立以来），或其开户银行在开标日前六个月内开具的资信良好的资信证明原件或该原件的复印件（复印件加盖投标人公章）。部分其他组织和自然人，没有经审计的财务报告，可以提供银行在开标日前六个月内开具的资信良好的资信证明原件或该原件的复印件（复印件加盖投标人公章）。备注：银行出具的资信证明无需针对本项目或本项目招标人。投标人如提供了财政部门认可的政府采购专业担保机构出具的投标担保函，则不需再提供上述财务状况报告。</w:t>
            </w:r>
          </w:p>
          <w:p>
            <w:pPr>
              <w:keepNext w:val="0"/>
              <w:keepLines w:val="0"/>
              <w:pageBreakBefore w:val="0"/>
              <w:numPr>
                <w:ilvl w:val="0"/>
                <w:numId w:val="4"/>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投标人应提供近6个月内任意一个月的缴纳增值税、营业税和企业所得税的凭据。</w:t>
            </w:r>
          </w:p>
          <w:p>
            <w:pPr>
              <w:keepNext w:val="0"/>
              <w:keepLines w:val="0"/>
              <w:pageBreakBefore w:val="0"/>
              <w:numPr>
                <w:ilvl w:val="0"/>
                <w:numId w:val="4"/>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近6个月内任意一个月的缴纳社会保险的凭据。投标人应提供近6个月内任意一个月的缴纳社会保险的凭据。</w:t>
            </w:r>
          </w:p>
          <w:p>
            <w:pPr>
              <w:keepNext w:val="0"/>
              <w:keepLines w:val="0"/>
              <w:pageBreakBefore w:val="0"/>
              <w:numPr>
                <w:ilvl w:val="0"/>
                <w:numId w:val="4"/>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依法免税或不需要缴纳社会保障资金的投标人，应提供相应证明文件证明其依法免税或不需要缴纳社会保障资金。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3.5.1.5</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其他证明材料</w:t>
            </w:r>
          </w:p>
        </w:tc>
        <w:tc>
          <w:tcPr>
            <w:tcW w:w="5660" w:type="dxa"/>
            <w:tcBorders>
              <w:tl2br w:val="nil"/>
              <w:tr2bl w:val="nil"/>
            </w:tcBorders>
            <w:vAlign w:val="center"/>
          </w:tcPr>
          <w:p>
            <w:pPr>
              <w:keepNext w:val="0"/>
              <w:keepLines w:val="0"/>
              <w:pageBreakBefore w:val="0"/>
              <w:numPr>
                <w:ilvl w:val="0"/>
                <w:numId w:val="5"/>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近3年（2018年</w:t>
            </w:r>
            <w:r>
              <w:rPr>
                <w:rFonts w:hint="eastAsia" w:asciiTheme="minorEastAsia" w:hAnsiTheme="minorEastAsia" w:eastAsiaTheme="minorEastAsia" w:cstheme="minorEastAsia"/>
                <w:bCs/>
                <w:color w:val="auto"/>
                <w:sz w:val="24"/>
                <w:szCs w:val="24"/>
                <w:lang w:val="en-US" w:eastAsia="zh-CN"/>
              </w:rPr>
              <w:t>6月1日起至今</w:t>
            </w:r>
            <w:r>
              <w:rPr>
                <w:rFonts w:hint="eastAsia" w:asciiTheme="minorEastAsia" w:hAnsiTheme="minorEastAsia" w:eastAsiaTheme="minorEastAsia" w:cstheme="minorEastAsia"/>
                <w:bCs/>
                <w:color w:val="auto"/>
                <w:sz w:val="24"/>
                <w:szCs w:val="24"/>
                <w:lang w:eastAsia="zh-CN"/>
              </w:rPr>
              <w:t>）投标人信誉情况的书面声明。</w:t>
            </w:r>
          </w:p>
          <w:p>
            <w:pPr>
              <w:keepNext w:val="0"/>
              <w:keepLines w:val="0"/>
              <w:pageBreakBefore w:val="0"/>
              <w:numPr>
                <w:ilvl w:val="0"/>
                <w:numId w:val="5"/>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近3年（2018年</w:t>
            </w:r>
            <w:r>
              <w:rPr>
                <w:rFonts w:hint="eastAsia" w:asciiTheme="minorEastAsia" w:hAnsiTheme="minorEastAsia" w:eastAsiaTheme="minorEastAsia" w:cstheme="minorEastAsia"/>
                <w:bCs/>
                <w:color w:val="auto"/>
                <w:sz w:val="24"/>
                <w:szCs w:val="24"/>
                <w:lang w:val="en-US" w:eastAsia="zh-CN"/>
              </w:rPr>
              <w:t>6月1日起至今</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投标</w:t>
            </w:r>
            <w:r>
              <w:rPr>
                <w:rFonts w:hint="eastAsia" w:asciiTheme="minorEastAsia" w:hAnsiTheme="minorEastAsia" w:eastAsiaTheme="minorEastAsia" w:cstheme="minorEastAsia"/>
                <w:bCs/>
                <w:color w:val="auto"/>
                <w:sz w:val="24"/>
                <w:szCs w:val="24"/>
                <w:lang w:eastAsia="zh-CN"/>
              </w:rPr>
              <w:t>人</w:t>
            </w:r>
            <w:r>
              <w:rPr>
                <w:rFonts w:hint="eastAsia" w:asciiTheme="minorEastAsia" w:hAnsiTheme="minorEastAsia" w:eastAsiaTheme="minorEastAsia" w:cstheme="minorEastAsia"/>
                <w:bCs/>
                <w:color w:val="auto"/>
                <w:sz w:val="24"/>
                <w:szCs w:val="24"/>
                <w:lang w:val="en-US" w:eastAsia="zh-CN"/>
              </w:rPr>
              <w:t>及</w:t>
            </w:r>
            <w:r>
              <w:rPr>
                <w:rFonts w:hint="eastAsia" w:asciiTheme="minorEastAsia" w:hAnsiTheme="minorEastAsia" w:eastAsiaTheme="minorEastAsia" w:cstheme="minorEastAsia"/>
                <w:bCs/>
                <w:color w:val="auto"/>
                <w:sz w:val="24"/>
                <w:szCs w:val="24"/>
                <w:lang w:eastAsia="zh-CN"/>
              </w:rPr>
              <w:t>其单位负责人、拟委任的项目负责人行贿犯罪情况的书面声明。</w:t>
            </w:r>
          </w:p>
          <w:p>
            <w:pPr>
              <w:keepNext w:val="0"/>
              <w:keepLines w:val="0"/>
              <w:pageBreakBefore w:val="0"/>
              <w:numPr>
                <w:ilvl w:val="0"/>
                <w:numId w:val="5"/>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投标产品具备国家相关行业主管部门颁发的有效期内的医疗器械</w:t>
            </w:r>
            <w:r>
              <w:rPr>
                <w:rFonts w:hint="eastAsia" w:asciiTheme="minorEastAsia" w:hAnsiTheme="minorEastAsia" w:eastAsiaTheme="minorEastAsia" w:cstheme="minorEastAsia"/>
                <w:color w:val="auto"/>
                <w:sz w:val="24"/>
                <w:szCs w:val="24"/>
                <w:lang w:eastAsia="zh-CN"/>
              </w:rPr>
              <w:t>注册证</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备案证</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numPr>
                <w:ilvl w:val="0"/>
                <w:numId w:val="5"/>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投标人具备与本次招标内容相适应的医疗器械经营许可证（备案表）</w:t>
            </w:r>
          </w:p>
          <w:p>
            <w:pPr>
              <w:keepNext w:val="0"/>
              <w:keepLines w:val="0"/>
              <w:pageBreakBefore w:val="0"/>
              <w:numPr>
                <w:ilvl w:val="0"/>
                <w:numId w:val="5"/>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b w:val="0"/>
                <w:bCs/>
                <w:snapToGrid w:val="0"/>
                <w:color w:val="auto"/>
                <w:sz w:val="24"/>
                <w:szCs w:val="24"/>
              </w:rPr>
            </w:pPr>
            <w:r>
              <w:rPr>
                <w:rFonts w:hint="eastAsia" w:asciiTheme="minorEastAsia" w:hAnsiTheme="minorEastAsia" w:eastAsiaTheme="minorEastAsia" w:cstheme="minorEastAsia"/>
                <w:bCs/>
                <w:snapToGrid w:val="0"/>
                <w:color w:val="auto"/>
                <w:sz w:val="24"/>
                <w:szCs w:val="24"/>
              </w:rPr>
              <w:t>本项目</w:t>
            </w:r>
            <w:r>
              <w:rPr>
                <w:rFonts w:hint="eastAsia" w:asciiTheme="minorEastAsia" w:hAnsiTheme="minorEastAsia" w:eastAsiaTheme="minorEastAsia" w:cstheme="minorEastAsia"/>
                <w:bCs/>
                <w:snapToGrid w:val="0"/>
                <w:color w:val="auto"/>
                <w:sz w:val="24"/>
                <w:szCs w:val="24"/>
                <w:lang w:eastAsia="zh-CN"/>
              </w:rPr>
              <w:t>对</w:t>
            </w:r>
            <w:r>
              <w:rPr>
                <w:rFonts w:hint="eastAsia" w:asciiTheme="minorEastAsia" w:hAnsiTheme="minorEastAsia" w:eastAsiaTheme="minorEastAsia" w:cstheme="minorEastAsia"/>
                <w:bCs/>
                <w:snapToGrid w:val="0"/>
                <w:color w:val="auto"/>
                <w:sz w:val="24"/>
                <w:szCs w:val="24"/>
              </w:rPr>
              <w:t>资质</w:t>
            </w:r>
            <w:r>
              <w:rPr>
                <w:rFonts w:hint="eastAsia" w:asciiTheme="minorEastAsia" w:hAnsiTheme="minorEastAsia" w:eastAsiaTheme="minorEastAsia" w:cstheme="minorEastAsia"/>
                <w:bCs/>
                <w:snapToGrid w:val="0"/>
                <w:color w:val="auto"/>
                <w:sz w:val="24"/>
                <w:szCs w:val="24"/>
                <w:lang w:eastAsia="zh-CN"/>
              </w:rPr>
              <w:t>提出</w:t>
            </w:r>
            <w:r>
              <w:rPr>
                <w:rFonts w:hint="eastAsia" w:asciiTheme="minorEastAsia" w:hAnsiTheme="minorEastAsia" w:eastAsiaTheme="minorEastAsia" w:cstheme="minorEastAsia"/>
                <w:bCs/>
                <w:snapToGrid w:val="0"/>
                <w:color w:val="auto"/>
                <w:sz w:val="24"/>
                <w:szCs w:val="24"/>
              </w:rPr>
              <w:t>要求</w:t>
            </w:r>
            <w:r>
              <w:rPr>
                <w:rFonts w:hint="eastAsia" w:asciiTheme="minorEastAsia" w:hAnsiTheme="minorEastAsia" w:eastAsiaTheme="minorEastAsia" w:cstheme="minorEastAsia"/>
                <w:bCs/>
                <w:snapToGrid w:val="0"/>
                <w:color w:val="auto"/>
                <w:sz w:val="24"/>
                <w:szCs w:val="24"/>
                <w:lang w:eastAsia="zh-CN"/>
              </w:rPr>
              <w:t>的</w:t>
            </w:r>
            <w:r>
              <w:rPr>
                <w:rFonts w:hint="eastAsia" w:asciiTheme="minorEastAsia" w:hAnsiTheme="minorEastAsia" w:eastAsiaTheme="minorEastAsia" w:cstheme="minorEastAsia"/>
                <w:bCs/>
                <w:snapToGrid w:val="0"/>
                <w:color w:val="auto"/>
                <w:sz w:val="24"/>
                <w:szCs w:val="24"/>
              </w:rPr>
              <w:t>，需</w:t>
            </w:r>
            <w:r>
              <w:rPr>
                <w:rFonts w:hint="eastAsia" w:asciiTheme="minorEastAsia" w:hAnsiTheme="minorEastAsia" w:eastAsiaTheme="minorEastAsia" w:cstheme="minorEastAsia"/>
                <w:b w:val="0"/>
                <w:bCs/>
                <w:snapToGrid w:val="0"/>
                <w:color w:val="auto"/>
                <w:sz w:val="24"/>
                <w:szCs w:val="24"/>
              </w:rPr>
              <w:t>提供相应资质证书的复印件。</w:t>
            </w:r>
          </w:p>
          <w:p>
            <w:pPr>
              <w:keepNext w:val="0"/>
              <w:keepLines w:val="0"/>
              <w:pageBreakBefore w:val="0"/>
              <w:numPr>
                <w:ilvl w:val="0"/>
                <w:numId w:val="5"/>
              </w:numPr>
              <w:kinsoku/>
              <w:overflowPunct/>
              <w:bidi w:val="0"/>
              <w:spacing w:beforeAutospacing="0" w:afterAutospacing="0" w:line="400" w:lineRule="exact"/>
              <w:ind w:left="425" w:leftChars="0" w:hanging="425" w:firstLineChars="0"/>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b w:val="0"/>
                <w:bCs/>
                <w:snapToGrid w:val="0"/>
                <w:color w:val="auto"/>
                <w:sz w:val="24"/>
                <w:szCs w:val="24"/>
              </w:rPr>
              <w:t>本项目</w:t>
            </w:r>
            <w:r>
              <w:rPr>
                <w:rFonts w:hint="eastAsia" w:asciiTheme="minorEastAsia" w:hAnsiTheme="minorEastAsia" w:eastAsiaTheme="minorEastAsia" w:cstheme="minorEastAsia"/>
                <w:b w:val="0"/>
                <w:bCs/>
                <w:snapToGrid w:val="0"/>
                <w:color w:val="auto"/>
                <w:sz w:val="24"/>
                <w:szCs w:val="24"/>
                <w:lang w:eastAsia="zh-CN"/>
              </w:rPr>
              <w:t>对</w:t>
            </w:r>
            <w:r>
              <w:rPr>
                <w:rFonts w:hint="eastAsia" w:asciiTheme="minorEastAsia" w:hAnsiTheme="minorEastAsia" w:eastAsiaTheme="minorEastAsia" w:cstheme="minorEastAsia"/>
                <w:b w:val="0"/>
                <w:bCs/>
                <w:snapToGrid w:val="0"/>
                <w:color w:val="auto"/>
                <w:sz w:val="24"/>
                <w:szCs w:val="24"/>
              </w:rPr>
              <w:t>业绩</w:t>
            </w:r>
            <w:r>
              <w:rPr>
                <w:rFonts w:hint="eastAsia" w:asciiTheme="minorEastAsia" w:hAnsiTheme="minorEastAsia" w:eastAsiaTheme="minorEastAsia" w:cstheme="minorEastAsia"/>
                <w:color w:val="auto"/>
                <w:sz w:val="24"/>
                <w:szCs w:val="24"/>
                <w:lang w:eastAsia="zh-CN"/>
              </w:rPr>
              <w:t>提出</w:t>
            </w:r>
            <w:r>
              <w:rPr>
                <w:rFonts w:hint="eastAsia" w:asciiTheme="minorEastAsia" w:hAnsiTheme="minorEastAsia" w:eastAsiaTheme="minorEastAsia" w:cstheme="minorEastAsia"/>
                <w:b w:val="0"/>
                <w:bCs/>
                <w:snapToGrid w:val="0"/>
                <w:color w:val="auto"/>
                <w:sz w:val="24"/>
                <w:szCs w:val="24"/>
              </w:rPr>
              <w:t>要求</w:t>
            </w:r>
            <w:r>
              <w:rPr>
                <w:rFonts w:hint="eastAsia" w:asciiTheme="minorEastAsia" w:hAnsiTheme="minorEastAsia" w:eastAsiaTheme="minorEastAsia" w:cstheme="minorEastAsia"/>
                <w:b w:val="0"/>
                <w:bCs/>
                <w:snapToGrid w:val="0"/>
                <w:color w:val="auto"/>
                <w:sz w:val="24"/>
                <w:szCs w:val="24"/>
                <w:lang w:eastAsia="zh-CN"/>
              </w:rPr>
              <w:t>的</w:t>
            </w:r>
            <w:r>
              <w:rPr>
                <w:rFonts w:hint="eastAsia" w:asciiTheme="minorEastAsia" w:hAnsiTheme="minorEastAsia" w:eastAsiaTheme="minorEastAsia" w:cstheme="minorEastAsia"/>
                <w:b w:val="0"/>
                <w:bCs/>
                <w:snapToGrid w:val="0"/>
                <w:color w:val="auto"/>
                <w:sz w:val="24"/>
                <w:szCs w:val="24"/>
              </w:rPr>
              <w:t>，需提</w:t>
            </w:r>
            <w:r>
              <w:rPr>
                <w:rFonts w:hint="eastAsia" w:asciiTheme="minorEastAsia" w:hAnsiTheme="minorEastAsia" w:eastAsiaTheme="minorEastAsia" w:cstheme="minorEastAsia"/>
                <w:bCs/>
                <w:snapToGrid w:val="0"/>
                <w:color w:val="auto"/>
                <w:sz w:val="24"/>
                <w:szCs w:val="24"/>
              </w:rPr>
              <w:t>供</w:t>
            </w:r>
            <w:r>
              <w:rPr>
                <w:rFonts w:hint="eastAsia" w:asciiTheme="minorEastAsia" w:hAnsiTheme="minorEastAsia" w:eastAsiaTheme="minorEastAsia" w:cstheme="minorEastAsia"/>
                <w:color w:val="auto"/>
                <w:sz w:val="24"/>
                <w:szCs w:val="24"/>
              </w:rPr>
              <w:t>业绩证明材料：合同复印件。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是否允许递交备选投标方案</w:t>
            </w:r>
          </w:p>
        </w:tc>
        <w:tc>
          <w:tcPr>
            <w:tcW w:w="5660" w:type="dxa"/>
            <w:tcBorders>
              <w:tl2br w:val="nil"/>
              <w:tr2bl w:val="nil"/>
            </w:tcBorders>
            <w:vAlign w:val="center"/>
          </w:tcPr>
          <w:p>
            <w:pPr>
              <w:pStyle w:val="12"/>
              <w:keepNext w:val="0"/>
              <w:keepLines w:val="0"/>
              <w:pageBreakBefore w:val="0"/>
              <w:kinsoku/>
              <w:overflowPunct/>
              <w:topLine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3.7.3</w:t>
            </w:r>
          </w:p>
        </w:tc>
        <w:tc>
          <w:tcPr>
            <w:tcW w:w="1821" w:type="dxa"/>
            <w:tcBorders>
              <w:tl2br w:val="nil"/>
              <w:tr2bl w:val="nil"/>
            </w:tcBorders>
            <w:vAlign w:val="center"/>
          </w:tcPr>
          <w:p>
            <w:pPr>
              <w:keepNext w:val="0"/>
              <w:keepLines w:val="0"/>
              <w:pageBreakBefore w:val="0"/>
              <w:kinsoku/>
              <w:overflowPunct/>
              <w:bidi w:val="0"/>
              <w:spacing w:beforeAutospacing="0" w:afterAutospacing="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投标文件的制作的特殊要求</w:t>
            </w:r>
          </w:p>
        </w:tc>
        <w:tc>
          <w:tcPr>
            <w:tcW w:w="5660" w:type="dxa"/>
            <w:tcBorders>
              <w:tl2br w:val="nil"/>
              <w:tr2bl w:val="nil"/>
            </w:tcBorders>
            <w:vAlign w:val="center"/>
          </w:tcPr>
          <w:p>
            <w:pPr>
              <w:keepNext w:val="0"/>
              <w:keepLines w:val="0"/>
              <w:pageBreakBefore w:val="0"/>
              <w:kinsoku/>
              <w:overflowPunct/>
              <w:bidi w:val="0"/>
              <w:spacing w:beforeAutospacing="0" w:afterAutospacing="0" w:line="276"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投标文件A4装订成册，长边胶装（除个别资料如图纸等可采用A3纸，短边胶装）。</w:t>
            </w:r>
          </w:p>
          <w:p>
            <w:pPr>
              <w:pStyle w:val="12"/>
              <w:keepNext w:val="0"/>
              <w:keepLines w:val="0"/>
              <w:pageBreakBefore w:val="0"/>
              <w:kinsoku/>
              <w:overflowPunct/>
              <w:topLine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投标文件必须胶装、不易拆散和换页，不接受活页装订。投标文件未胶装的将</w:t>
            </w:r>
            <w:r>
              <w:rPr>
                <w:rFonts w:hint="eastAsia" w:asciiTheme="minorEastAsia" w:hAnsiTheme="minorEastAsia" w:eastAsiaTheme="minorEastAsia" w:cstheme="minorEastAsia"/>
                <w:b/>
                <w:sz w:val="24"/>
                <w:szCs w:val="24"/>
                <w:lang w:eastAsia="zh-CN"/>
              </w:rPr>
              <w:t>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3.7.4</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投标文件副本份数及其他要求</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b w:val="0"/>
                <w:bCs w:val="0"/>
                <w:color w:val="auto"/>
                <w:sz w:val="24"/>
                <w:szCs w:val="24"/>
                <w:u w:val="none"/>
              </w:rPr>
            </w:pPr>
            <w:r>
              <w:rPr>
                <w:rFonts w:hint="eastAsia" w:asciiTheme="minorEastAsia" w:hAnsiTheme="minorEastAsia" w:eastAsiaTheme="minorEastAsia" w:cstheme="minorEastAsia"/>
                <w:color w:val="auto"/>
                <w:sz w:val="24"/>
                <w:szCs w:val="24"/>
              </w:rPr>
              <w:t>投标文件</w:t>
            </w:r>
            <w:r>
              <w:rPr>
                <w:rFonts w:hint="eastAsia" w:asciiTheme="minorEastAsia" w:hAnsiTheme="minorEastAsia" w:eastAsiaTheme="minorEastAsia" w:cstheme="minorEastAsia"/>
                <w:color w:val="auto"/>
                <w:sz w:val="24"/>
                <w:szCs w:val="24"/>
                <w:lang w:eastAsia="zh-CN"/>
              </w:rPr>
              <w:t>正本</w:t>
            </w:r>
            <w:r>
              <w:rPr>
                <w:rFonts w:hint="eastAsia" w:asciiTheme="minorEastAsia" w:hAnsiTheme="minorEastAsia" w:eastAsiaTheme="minorEastAsia" w:cstheme="minorEastAsia"/>
                <w:color w:val="auto"/>
                <w:sz w:val="24"/>
                <w:szCs w:val="24"/>
                <w:lang w:val="en-US" w:eastAsia="zh-CN"/>
              </w:rPr>
              <w:t>1份、</w:t>
            </w:r>
            <w:r>
              <w:rPr>
                <w:rFonts w:hint="eastAsia" w:asciiTheme="minorEastAsia" w:hAnsiTheme="minorEastAsia" w:eastAsiaTheme="minorEastAsia" w:cstheme="minorEastAsia"/>
                <w:color w:val="auto"/>
                <w:sz w:val="24"/>
                <w:szCs w:val="24"/>
              </w:rPr>
              <w:t>投标文</w:t>
            </w:r>
            <w:r>
              <w:rPr>
                <w:rFonts w:hint="eastAsia" w:asciiTheme="minorEastAsia" w:hAnsiTheme="minorEastAsia" w:eastAsiaTheme="minorEastAsia" w:cstheme="minorEastAsia"/>
                <w:b w:val="0"/>
                <w:bCs w:val="0"/>
                <w:color w:val="auto"/>
                <w:sz w:val="24"/>
                <w:szCs w:val="24"/>
              </w:rPr>
              <w:t>件副本</w:t>
            </w:r>
            <w:r>
              <w:rPr>
                <w:rFonts w:hint="eastAsia" w:asciiTheme="minorEastAsia" w:hAnsiTheme="minorEastAsia" w:eastAsiaTheme="minorEastAsia" w:cstheme="minorEastAsia"/>
                <w:b w:val="0"/>
                <w:bCs w:val="0"/>
                <w:color w:val="auto"/>
                <w:sz w:val="24"/>
                <w:szCs w:val="24"/>
                <w:u w:val="none"/>
              </w:rPr>
              <w:t>份数：</w:t>
            </w:r>
            <w:r>
              <w:rPr>
                <w:rFonts w:hint="eastAsia" w:asciiTheme="minorEastAsia" w:hAnsiTheme="minorEastAsia" w:eastAsiaTheme="minorEastAsia" w:cstheme="minorEastAsia"/>
                <w:b w:val="0"/>
                <w:bCs w:val="0"/>
                <w:color w:val="auto"/>
                <w:sz w:val="24"/>
                <w:szCs w:val="24"/>
                <w:u w:val="none"/>
                <w:lang w:val="en-US" w:eastAsia="zh-CN"/>
              </w:rPr>
              <w:t>5</w:t>
            </w:r>
            <w:r>
              <w:rPr>
                <w:rFonts w:hint="eastAsia" w:asciiTheme="minorEastAsia" w:hAnsiTheme="minorEastAsia" w:eastAsiaTheme="minorEastAsia" w:cstheme="minorEastAsia"/>
                <w:b w:val="0"/>
                <w:bCs w:val="0"/>
                <w:color w:val="auto"/>
                <w:sz w:val="24"/>
                <w:szCs w:val="24"/>
                <w:u w:val="none"/>
              </w:rPr>
              <w:t>份</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b/>
                <w:bCs/>
                <w:color w:val="auto"/>
                <w:sz w:val="24"/>
                <w:szCs w:val="24"/>
                <w:u w:val="none"/>
                <w:lang w:val="en-US" w:eastAsia="zh-CN"/>
              </w:rPr>
              <w:t>同时</w:t>
            </w:r>
            <w:r>
              <w:rPr>
                <w:rFonts w:hint="eastAsia" w:asciiTheme="minorEastAsia" w:hAnsiTheme="minorEastAsia" w:eastAsiaTheme="minorEastAsia" w:cstheme="minorEastAsia"/>
                <w:b/>
                <w:bCs/>
                <w:color w:val="auto"/>
                <w:sz w:val="24"/>
                <w:szCs w:val="24"/>
              </w:rPr>
              <w:t>提供</w:t>
            </w:r>
            <w:r>
              <w:rPr>
                <w:rFonts w:hint="eastAsia" w:asciiTheme="minorEastAsia" w:hAnsiTheme="minorEastAsia" w:eastAsiaTheme="minorEastAsia" w:cstheme="minorEastAsia"/>
                <w:b/>
                <w:bCs/>
                <w:color w:val="auto"/>
                <w:sz w:val="24"/>
                <w:szCs w:val="24"/>
                <w:lang w:val="en-US" w:eastAsia="zh-CN"/>
              </w:rPr>
              <w:t>整份</w:t>
            </w:r>
            <w:r>
              <w:rPr>
                <w:rFonts w:hint="eastAsia" w:asciiTheme="minorEastAsia" w:hAnsiTheme="minorEastAsia" w:eastAsiaTheme="minorEastAsia" w:cstheme="minorEastAsia"/>
                <w:b/>
                <w:bCs/>
                <w:color w:val="auto"/>
                <w:sz w:val="24"/>
                <w:szCs w:val="24"/>
              </w:rPr>
              <w:t>投标文件（签字盖章版）的电子版1份，光盘或U盘。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3.7.5</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投标文件是否需分册装订</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投标文件包装要求</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b/>
                <w:i/>
                <w:sz w:val="24"/>
                <w:szCs w:val="24"/>
              </w:rPr>
            </w:pPr>
            <w:r>
              <w:rPr>
                <w:rFonts w:hint="eastAsia" w:asciiTheme="minorEastAsia" w:hAnsiTheme="minorEastAsia" w:eastAsiaTheme="minorEastAsia" w:cstheme="minorEastAsia"/>
                <w:sz w:val="24"/>
                <w:szCs w:val="24"/>
              </w:rPr>
              <w:t>商务部分与技术部分：</w:t>
            </w:r>
            <w:r>
              <w:rPr>
                <w:rFonts w:hint="eastAsia" w:asciiTheme="minorEastAsia" w:hAnsiTheme="minorEastAsia" w:eastAsiaTheme="minorEastAsia" w:cstheme="minorEastAsia"/>
                <w:color w:val="auto"/>
                <w:sz w:val="24"/>
                <w:szCs w:val="24"/>
                <w:lang w:eastAsia="zh-CN"/>
              </w:rPr>
              <w:fldChar w:fldCharType="begin"/>
            </w:r>
            <w:r>
              <w:rPr>
                <w:rFonts w:hint="eastAsia" w:asciiTheme="minorEastAsia" w:hAnsiTheme="minorEastAsia" w:eastAsiaTheme="minorEastAsia" w:cstheme="minorEastAsia"/>
                <w:color w:val="auto"/>
                <w:sz w:val="24"/>
                <w:szCs w:val="24"/>
                <w:lang w:eastAsia="zh-CN"/>
              </w:rPr>
              <w:instrText xml:space="preserve"> EQ \o\ac(</w:instrText>
            </w:r>
            <w:r>
              <w:rPr>
                <w:rFonts w:hint="eastAsia" w:asciiTheme="minorEastAsia" w:hAnsiTheme="minorEastAsia" w:eastAsiaTheme="minorEastAsia" w:cstheme="minorEastAsia"/>
                <w:color w:val="auto"/>
                <w:kern w:val="2"/>
                <w:sz w:val="24"/>
                <w:szCs w:val="24"/>
                <w:lang w:val="en-US" w:eastAsia="zh-CN" w:bidi="ar-SA"/>
              </w:rPr>
              <w:instrText xml:space="preserve">□</w:instrText>
            </w:r>
            <w:r>
              <w:rPr>
                <w:rFonts w:hint="eastAsia" w:asciiTheme="minorEastAsia" w:hAnsiTheme="minorEastAsia" w:eastAsiaTheme="minorEastAsia" w:cstheme="minorEastAsia"/>
                <w:color w:val="auto"/>
                <w:sz w:val="24"/>
                <w:szCs w:val="24"/>
                <w:lang w:eastAsia="zh-CN"/>
              </w:rPr>
              <w:instrText xml:space="preserve">,</w:instrText>
            </w:r>
            <w:r>
              <w:rPr>
                <w:rFonts w:hint="eastAsia" w:asciiTheme="minorEastAsia" w:hAnsiTheme="minorEastAsia" w:eastAsiaTheme="minorEastAsia" w:cstheme="minorEastAsia"/>
                <w:color w:val="auto"/>
                <w:kern w:val="2"/>
                <w:position w:val="2"/>
                <w:sz w:val="16"/>
                <w:szCs w:val="24"/>
                <w:lang w:val="en-US" w:eastAsia="zh-CN" w:bidi="ar-SA"/>
              </w:rPr>
              <w:instrText xml:space="preserve">√</w:instrText>
            </w:r>
            <w:r>
              <w:rPr>
                <w:rFonts w:hint="eastAsia" w:asciiTheme="minorEastAsia" w:hAnsiTheme="minorEastAsia" w:eastAsiaTheme="minorEastAsia" w:cstheme="minorEastAsia"/>
                <w:color w:val="auto"/>
                <w:sz w:val="24"/>
                <w:szCs w:val="24"/>
                <w:lang w:eastAsia="zh-CN"/>
              </w:rPr>
              <w:instrText xml:space="preserve">)</w:instrText>
            </w:r>
            <w:r>
              <w:rPr>
                <w:rFonts w:hint="eastAsia" w:asciiTheme="minorEastAsia" w:hAnsiTheme="minorEastAsia" w:eastAsiaTheme="minorEastAsia" w:cstheme="minorEastAsia"/>
                <w:color w:val="auto"/>
                <w:sz w:val="24"/>
                <w:szCs w:val="24"/>
                <w:lang w:eastAsia="zh-CN"/>
              </w:rPr>
              <w:fldChar w:fldCharType="end"/>
            </w:r>
            <w:r>
              <w:rPr>
                <w:rFonts w:hint="eastAsia" w:asciiTheme="minorEastAsia" w:hAnsiTheme="minorEastAsia" w:eastAsiaTheme="minorEastAsia" w:cstheme="minorEastAsia"/>
                <w:sz w:val="24"/>
                <w:szCs w:val="24"/>
              </w:rPr>
              <w:t xml:space="preserve">不分开包装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分开包装</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正本与副本：        </w:t>
            </w:r>
            <w:r>
              <w:rPr>
                <w:rFonts w:hint="eastAsia" w:asciiTheme="minorEastAsia" w:hAnsiTheme="minorEastAsia" w:eastAsiaTheme="minorEastAsia" w:cstheme="minorEastAsia"/>
                <w:color w:val="auto"/>
                <w:sz w:val="24"/>
                <w:szCs w:val="24"/>
                <w:lang w:eastAsia="zh-CN"/>
              </w:rPr>
              <w:fldChar w:fldCharType="begin"/>
            </w:r>
            <w:r>
              <w:rPr>
                <w:rFonts w:hint="eastAsia" w:asciiTheme="minorEastAsia" w:hAnsiTheme="minorEastAsia" w:eastAsiaTheme="minorEastAsia" w:cstheme="minorEastAsia"/>
                <w:color w:val="auto"/>
                <w:sz w:val="24"/>
                <w:szCs w:val="24"/>
                <w:lang w:eastAsia="zh-CN"/>
              </w:rPr>
              <w:instrText xml:space="preserve"> EQ \o\ac(</w:instrText>
            </w:r>
            <w:r>
              <w:rPr>
                <w:rFonts w:hint="eastAsia" w:asciiTheme="minorEastAsia" w:hAnsiTheme="minorEastAsia" w:eastAsiaTheme="minorEastAsia" w:cstheme="minorEastAsia"/>
                <w:color w:val="auto"/>
                <w:kern w:val="2"/>
                <w:sz w:val="24"/>
                <w:szCs w:val="24"/>
                <w:lang w:val="en-US" w:eastAsia="zh-CN" w:bidi="ar-SA"/>
              </w:rPr>
              <w:instrText xml:space="preserve">□</w:instrText>
            </w:r>
            <w:r>
              <w:rPr>
                <w:rFonts w:hint="eastAsia" w:asciiTheme="minorEastAsia" w:hAnsiTheme="minorEastAsia" w:eastAsiaTheme="minorEastAsia" w:cstheme="minorEastAsia"/>
                <w:color w:val="auto"/>
                <w:sz w:val="24"/>
                <w:szCs w:val="24"/>
                <w:lang w:eastAsia="zh-CN"/>
              </w:rPr>
              <w:instrText xml:space="preserve">,</w:instrText>
            </w:r>
            <w:r>
              <w:rPr>
                <w:rFonts w:hint="eastAsia" w:asciiTheme="minorEastAsia" w:hAnsiTheme="minorEastAsia" w:eastAsiaTheme="minorEastAsia" w:cstheme="minorEastAsia"/>
                <w:color w:val="auto"/>
                <w:kern w:val="2"/>
                <w:position w:val="2"/>
                <w:sz w:val="16"/>
                <w:szCs w:val="24"/>
                <w:lang w:val="en-US" w:eastAsia="zh-CN" w:bidi="ar-SA"/>
              </w:rPr>
              <w:instrText xml:space="preserve">√</w:instrText>
            </w:r>
            <w:r>
              <w:rPr>
                <w:rFonts w:hint="eastAsia" w:asciiTheme="minorEastAsia" w:hAnsiTheme="minorEastAsia" w:eastAsiaTheme="minorEastAsia" w:cstheme="minorEastAsia"/>
                <w:color w:val="auto"/>
                <w:sz w:val="24"/>
                <w:szCs w:val="24"/>
                <w:lang w:eastAsia="zh-CN"/>
              </w:rPr>
              <w:instrText xml:space="preserve">)</w:instrText>
            </w:r>
            <w:r>
              <w:rPr>
                <w:rFonts w:hint="eastAsia" w:asciiTheme="minorEastAsia" w:hAnsiTheme="minorEastAsia" w:eastAsiaTheme="minorEastAsia" w:cstheme="minorEastAsia"/>
                <w:color w:val="auto"/>
                <w:sz w:val="24"/>
                <w:szCs w:val="24"/>
                <w:lang w:eastAsia="zh-CN"/>
              </w:rPr>
              <w:fldChar w:fldCharType="end"/>
            </w:r>
            <w:r>
              <w:rPr>
                <w:rFonts w:hint="eastAsia" w:asciiTheme="minorEastAsia" w:hAnsiTheme="minorEastAsia" w:eastAsiaTheme="minorEastAsia" w:cstheme="minorEastAsia"/>
                <w:sz w:val="24"/>
                <w:szCs w:val="24"/>
              </w:rPr>
              <w:t xml:space="preserve">不分开包装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分开包装</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投标文件电子版：单独包装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sz w:val="24"/>
                <w:szCs w:val="24"/>
                <w:shd w:val="clear" w:color="FFFFFF" w:fill="D9D9D9"/>
              </w:rPr>
            </w:pPr>
            <w:r>
              <w:rPr>
                <w:rFonts w:hint="eastAsia" w:asciiTheme="minorEastAsia" w:hAnsiTheme="minorEastAsia" w:eastAsiaTheme="minorEastAsia" w:cstheme="minorEastAsia"/>
                <w:sz w:val="24"/>
                <w:szCs w:val="24"/>
              </w:rPr>
              <w:t>封套上应载明的信息</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w:t>
            </w:r>
            <w:bookmarkStart w:id="70" w:name="_Toc152045527"/>
            <w:bookmarkStart w:id="71" w:name="_Toc144974495"/>
            <w:bookmarkStart w:id="72" w:name="_Toc152042303"/>
            <w:bookmarkStart w:id="73" w:name="_Toc300834947"/>
            <w:bookmarkStart w:id="74" w:name="_Toc247527551"/>
            <w:bookmarkStart w:id="75" w:name="_Toc247513950"/>
            <w:bookmarkStart w:id="76" w:name="_Toc352691471"/>
            <w:bookmarkStart w:id="77" w:name="_Toc384308208"/>
            <w:bookmarkStart w:id="78" w:name="_Toc369531513"/>
            <w:bookmarkStart w:id="79" w:name="_Toc6783"/>
            <w:bookmarkStart w:id="80" w:name="_Toc361508583"/>
            <w:r>
              <w:rPr>
                <w:rFonts w:hint="eastAsia" w:asciiTheme="minorEastAsia" w:hAnsiTheme="minorEastAsia" w:eastAsiaTheme="minorEastAsia" w:cstheme="minorEastAsia"/>
                <w:sz w:val="24"/>
                <w:szCs w:val="24"/>
              </w:rPr>
              <w:t>名称：</w:t>
            </w:r>
            <w:r>
              <w:rPr>
                <w:rFonts w:hint="eastAsia" w:asciiTheme="minorEastAsia" w:hAnsiTheme="minorEastAsia" w:eastAsiaTheme="minorEastAsia" w:cstheme="minorEastAsia"/>
                <w:sz w:val="24"/>
                <w:szCs w:val="24"/>
                <w:lang w:eastAsia="zh-CN"/>
              </w:rPr>
              <w:t>复旦大学附属妇产科医院</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招标代理机构名称：</w:t>
            </w:r>
            <w:r>
              <w:rPr>
                <w:rFonts w:hint="eastAsia" w:asciiTheme="minorEastAsia" w:hAnsiTheme="minorEastAsia" w:eastAsiaTheme="minorEastAsia" w:cstheme="minorEastAsia"/>
                <w:sz w:val="24"/>
                <w:szCs w:val="24"/>
                <w:lang w:eastAsia="zh-CN"/>
              </w:rPr>
              <w:t>上海机电设备招标有限公司</w:t>
            </w:r>
          </w:p>
          <w:bookmarkEnd w:id="70"/>
          <w:bookmarkEnd w:id="71"/>
          <w:bookmarkEnd w:id="72"/>
          <w:bookmarkEnd w:id="73"/>
          <w:bookmarkEnd w:id="74"/>
          <w:bookmarkEnd w:id="75"/>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lang w:eastAsia="zh-CN"/>
              </w:rPr>
              <w:t>多通道荧光定量基因扩增仪</w:t>
            </w:r>
            <w:r>
              <w:rPr>
                <w:rFonts w:hint="eastAsia" w:asciiTheme="minorEastAsia" w:hAnsiTheme="minorEastAsia" w:eastAsiaTheme="minorEastAsia" w:cstheme="minorEastAsia"/>
                <w:sz w:val="24"/>
                <w:szCs w:val="24"/>
              </w:rPr>
              <w:t>采购招标项目投标文件</w:t>
            </w:r>
            <w:bookmarkEnd w:id="76"/>
            <w:bookmarkEnd w:id="77"/>
            <w:bookmarkEnd w:id="78"/>
            <w:bookmarkEnd w:id="79"/>
            <w:bookmarkEnd w:id="80"/>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招标编号：</w:t>
            </w:r>
            <w:r>
              <w:rPr>
                <w:rFonts w:hint="eastAsia" w:asciiTheme="minorEastAsia" w:hAnsiTheme="minorEastAsia" w:eastAsiaTheme="minorEastAsia" w:cstheme="minorEastAsia"/>
                <w:sz w:val="24"/>
                <w:szCs w:val="24"/>
                <w:u w:val="single"/>
              </w:rPr>
              <w:t>0613-</w:t>
            </w:r>
            <w:r>
              <w:rPr>
                <w:rFonts w:hint="eastAsia" w:asciiTheme="minorEastAsia" w:hAnsiTheme="minorEastAsia" w:eastAsiaTheme="minorEastAsia" w:cstheme="minorEastAsia"/>
                <w:sz w:val="24"/>
                <w:szCs w:val="24"/>
                <w:u w:val="single"/>
                <w:lang w:eastAsia="zh-CN"/>
              </w:rPr>
              <w:t>217123062652</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分（即开标时间）前不得开启</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投标文件电子版封套上应清楚标明“电子版”字样。</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投标文件</w:t>
            </w:r>
            <w:r>
              <w:rPr>
                <w:rFonts w:hint="eastAsia" w:asciiTheme="minorEastAsia" w:hAnsiTheme="minorEastAsia" w:eastAsiaTheme="minorEastAsia" w:cstheme="minorEastAsia"/>
                <w:sz w:val="24"/>
                <w:szCs w:val="24"/>
              </w:rPr>
              <w:t>应清楚标明“正本”或“副本”字样。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u w:val="none"/>
                <w:lang w:val="en-US" w:eastAsia="zh-CN"/>
              </w:rPr>
              <w:t>13点30</w:t>
            </w:r>
            <w:r>
              <w:rPr>
                <w:rFonts w:hint="eastAsia" w:asciiTheme="minorEastAsia" w:hAnsiTheme="minorEastAsia" w:eastAsiaTheme="minorEastAsia" w:cstheme="minorEastAsia"/>
                <w:sz w:val="24"/>
                <w:szCs w:val="24"/>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4.2.2</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递交投标文件地点</w:t>
            </w:r>
          </w:p>
        </w:tc>
        <w:tc>
          <w:tcPr>
            <w:tcW w:w="5660" w:type="dxa"/>
            <w:tcBorders>
              <w:tl2br w:val="nil"/>
              <w:tr2bl w:val="nil"/>
            </w:tcBorders>
            <w:vAlign w:val="center"/>
          </w:tcPr>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上海市普陀区长寿路</w:t>
            </w:r>
            <w:r>
              <w:rPr>
                <w:rFonts w:hint="eastAsia" w:asciiTheme="minorEastAsia" w:hAnsiTheme="minorEastAsia" w:eastAsiaTheme="minorEastAsia" w:cstheme="minorEastAsia"/>
                <w:sz w:val="24"/>
                <w:szCs w:val="24"/>
                <w:lang w:val="en-US" w:eastAsia="zh-CN"/>
              </w:rPr>
              <w:t>285号恒达大厦22楼开标大厅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4.2.3</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投标文件是否退还</w:t>
            </w:r>
          </w:p>
        </w:tc>
        <w:tc>
          <w:tcPr>
            <w:tcW w:w="5660" w:type="dxa"/>
            <w:tcBorders>
              <w:tl2br w:val="nil"/>
              <w:tr2bl w:val="nil"/>
            </w:tcBorders>
            <w:vAlign w:val="center"/>
          </w:tcPr>
          <w:p>
            <w:pPr>
              <w:pStyle w:val="12"/>
              <w:keepNext w:val="0"/>
              <w:keepLines w:val="0"/>
              <w:pageBreakBefore w:val="0"/>
              <w:kinsoku/>
              <w:overflowPunct/>
              <w:topLinePunct/>
              <w:bidi w:val="0"/>
              <w:spacing w:beforeAutospacing="0" w:afterAutospacing="0" w:line="400" w:lineRule="exact"/>
              <w:rPr>
                <w:rFonts w:hint="eastAsia" w:asciiTheme="minorEastAsia" w:hAnsiTheme="minorEastAsia" w:eastAsiaTheme="minorEastAsia" w:cstheme="minorEastAsia"/>
                <w:szCs w:val="24"/>
                <w:u w:val="single"/>
                <w:lang w:val="en-US"/>
              </w:rPr>
            </w:pPr>
            <w:r>
              <w:rPr>
                <w:rFonts w:hint="eastAsia" w:asciiTheme="minorEastAsia" w:hAnsiTheme="minorEastAsia" w:eastAsiaTheme="minorEastAsia" w:cstheme="minorEastAsia"/>
                <w:color w:val="auto"/>
                <w:sz w:val="24"/>
                <w:szCs w:val="24"/>
                <w:lang w:val="en-US" w:eastAsia="zh-CN"/>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开标时间和地点</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开标时间：同投标截止时间</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开标地点：</w:t>
            </w:r>
            <w:r>
              <w:rPr>
                <w:rFonts w:hint="eastAsia" w:asciiTheme="minorEastAsia" w:hAnsiTheme="minorEastAsia" w:eastAsiaTheme="minorEastAsia" w:cstheme="minorEastAsia"/>
                <w:sz w:val="24"/>
                <w:szCs w:val="24"/>
                <w:lang w:eastAsia="zh-CN"/>
              </w:rPr>
              <w:t>上海市普陀区长寿路</w:t>
            </w:r>
            <w:r>
              <w:rPr>
                <w:rFonts w:hint="eastAsia" w:asciiTheme="minorEastAsia" w:hAnsiTheme="minorEastAsia" w:eastAsiaTheme="minorEastAsia" w:cstheme="minorEastAsia"/>
                <w:sz w:val="24"/>
                <w:szCs w:val="24"/>
                <w:lang w:val="en-US" w:eastAsia="zh-CN"/>
              </w:rPr>
              <w:t>285号恒达大厦22楼开标大厅</w:t>
            </w:r>
          </w:p>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napToGrid w:val="0"/>
                <w:kern w:val="0"/>
                <w:sz w:val="24"/>
                <w:szCs w:val="24"/>
              </w:rPr>
              <w:t>投标人代表应当参加开标，如投标人代表未出席开标大会及未在开标记录上签字的各方代表均视作对开标过程无异议。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开标程序</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开标顺序：先到先开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5.3</w:t>
            </w:r>
          </w:p>
        </w:tc>
        <w:tc>
          <w:tcPr>
            <w:tcW w:w="1821" w:type="dxa"/>
            <w:tcBorders>
              <w:tl2br w:val="nil"/>
              <w:tr2bl w:val="nil"/>
            </w:tcBorders>
            <w:vAlign w:val="center"/>
          </w:tcPr>
          <w:p>
            <w:pPr>
              <w:spacing w:line="360" w:lineRule="auto"/>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参与开标的投标人代表要求</w:t>
            </w:r>
          </w:p>
        </w:tc>
        <w:tc>
          <w:tcPr>
            <w:tcW w:w="5660" w:type="dxa"/>
            <w:tcBorders>
              <w:tl2br w:val="nil"/>
              <w:tr2bl w:val="nil"/>
            </w:tcBorders>
            <w:vAlign w:val="center"/>
          </w:tcPr>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增加5.3条款：投标人代表出席开标会需提交的材料：</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1．法定代表人出席</w:t>
            </w:r>
            <w:r>
              <w:rPr>
                <w:rFonts w:hint="eastAsia" w:ascii="宋体" w:hAnsi="宋体" w:cs="宋体"/>
                <w:b/>
                <w:bCs/>
                <w:color w:val="auto"/>
                <w:sz w:val="24"/>
                <w:szCs w:val="24"/>
                <w:lang w:val="en-US" w:eastAsia="zh-CN"/>
              </w:rPr>
              <w:t>的</w:t>
            </w:r>
            <w:r>
              <w:rPr>
                <w:rFonts w:hint="eastAsia" w:ascii="宋体" w:hAnsi="宋体" w:eastAsia="宋体" w:cs="宋体"/>
                <w:b/>
                <w:bCs/>
                <w:color w:val="auto"/>
                <w:sz w:val="24"/>
                <w:szCs w:val="24"/>
                <w:lang w:val="en-US" w:eastAsia="zh-CN"/>
              </w:rPr>
              <w:t>需携带：</w:t>
            </w:r>
          </w:p>
          <w:p>
            <w:pPr>
              <w:spacing w:line="360" w:lineRule="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（1）法定代表人（单位负责人）身份的证明</w:t>
            </w:r>
            <w:r>
              <w:rPr>
                <w:rFonts w:hint="eastAsia" w:ascii="宋体" w:hAnsi="宋体" w:cs="宋体"/>
                <w:b/>
                <w:bCs/>
                <w:color w:val="auto"/>
                <w:sz w:val="24"/>
                <w:szCs w:val="24"/>
                <w:lang w:val="en-US" w:eastAsia="zh-CN"/>
              </w:rPr>
              <w:t>原件</w:t>
            </w:r>
            <w:r>
              <w:rPr>
                <w:rFonts w:hint="eastAsia" w:ascii="宋体" w:hAnsi="宋体" w:eastAsia="宋体" w:cs="宋体"/>
                <w:b/>
                <w:bCs/>
                <w:color w:val="auto"/>
                <w:sz w:val="24"/>
                <w:szCs w:val="24"/>
                <w:lang w:val="en-US" w:eastAsia="zh-CN"/>
              </w:rPr>
              <w:t>（格式</w:t>
            </w:r>
            <w:r>
              <w:rPr>
                <w:rFonts w:hint="eastAsia" w:ascii="宋体" w:hAnsi="宋体" w:cs="宋体"/>
                <w:b/>
                <w:bCs/>
                <w:color w:val="auto"/>
                <w:sz w:val="24"/>
                <w:szCs w:val="24"/>
                <w:lang w:val="en-US" w:eastAsia="zh-CN"/>
              </w:rPr>
              <w:t>见招标文件第六章投标文件格式</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w:t>
            </w:r>
          </w:p>
          <w:p>
            <w:pPr>
              <w:spacing w:line="360" w:lineRule="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法定代表人身份证原件及复印件；</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2．委托代理人出席</w:t>
            </w:r>
            <w:r>
              <w:rPr>
                <w:rFonts w:hint="eastAsia" w:ascii="宋体" w:hAnsi="宋体" w:cs="宋体"/>
                <w:b/>
                <w:bCs/>
                <w:color w:val="auto"/>
                <w:sz w:val="24"/>
                <w:szCs w:val="24"/>
                <w:lang w:val="en-US" w:eastAsia="zh-CN"/>
              </w:rPr>
              <w:t>的</w:t>
            </w:r>
            <w:r>
              <w:rPr>
                <w:rFonts w:hint="eastAsia" w:ascii="宋体" w:hAnsi="宋体" w:eastAsia="宋体" w:cs="宋体"/>
                <w:b/>
                <w:bCs/>
                <w:color w:val="auto"/>
                <w:sz w:val="24"/>
                <w:szCs w:val="24"/>
                <w:lang w:val="en-US" w:eastAsia="zh-CN"/>
              </w:rPr>
              <w:t>需携带：</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（1）法定代表人授权委托书原件（格式</w:t>
            </w:r>
            <w:r>
              <w:rPr>
                <w:rFonts w:hint="eastAsia" w:ascii="宋体" w:hAnsi="宋体" w:cs="宋体"/>
                <w:b/>
                <w:bCs/>
                <w:color w:val="auto"/>
                <w:sz w:val="24"/>
                <w:szCs w:val="24"/>
                <w:lang w:val="en-US" w:eastAsia="zh-CN"/>
              </w:rPr>
              <w:t>见招标文件第六章投标文件格式</w:t>
            </w:r>
            <w:r>
              <w:rPr>
                <w:rFonts w:hint="eastAsia" w:ascii="宋体" w:hAnsi="宋体" w:eastAsia="宋体" w:cs="宋体"/>
                <w:b/>
                <w:bCs/>
                <w:color w:val="auto"/>
                <w:sz w:val="24"/>
                <w:szCs w:val="24"/>
                <w:lang w:val="en-US" w:eastAsia="zh-CN"/>
              </w:rPr>
              <w:t>）；</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（2）委托代理人身份证原件及复印件；</w:t>
            </w:r>
          </w:p>
          <w:p>
            <w:pPr>
              <w:spacing w:line="360" w:lineRule="auto"/>
              <w:rPr>
                <w:rFonts w:hint="eastAsia" w:ascii="宋体" w:hAnsi="宋体" w:eastAsia="宋体" w:cs="宋体"/>
                <w:b/>
                <w:bCs/>
                <w:color w:val="auto"/>
                <w:sz w:val="24"/>
                <w:szCs w:val="24"/>
                <w:lang w:val="en-US" w:eastAsia="zh-CN"/>
              </w:rPr>
            </w:pPr>
          </w:p>
          <w:p>
            <w:pPr>
              <w:spacing w:line="360" w:lineRule="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逾期送达或者未送达指定地点的投标文件</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或者</w:t>
            </w:r>
            <w:r>
              <w:rPr>
                <w:rFonts w:hint="eastAsia" w:ascii="宋体" w:hAnsi="宋体" w:eastAsia="宋体" w:cs="宋体"/>
                <w:b/>
                <w:bCs/>
                <w:color w:val="auto"/>
                <w:sz w:val="24"/>
                <w:szCs w:val="24"/>
                <w:lang w:eastAsia="zh-CN"/>
              </w:rPr>
              <w:t>未按照招标文件要求密封的</w:t>
            </w:r>
            <w:r>
              <w:rPr>
                <w:rFonts w:hint="eastAsia" w:ascii="宋体" w:hAnsi="宋体" w:eastAsia="宋体" w:cs="宋体"/>
                <w:b/>
                <w:bCs/>
                <w:color w:val="auto"/>
                <w:sz w:val="24"/>
                <w:szCs w:val="24"/>
              </w:rPr>
              <w:t>投标文件</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或者投标人代表出席开标会需提交的材料不符合要求的</w:t>
            </w:r>
            <w:r>
              <w:rPr>
                <w:rFonts w:hint="eastAsia" w:ascii="宋体" w:hAnsi="宋体" w:eastAsia="宋体" w:cs="宋体"/>
                <w:b/>
                <w:bCs/>
                <w:color w:val="auto"/>
                <w:sz w:val="24"/>
                <w:szCs w:val="24"/>
              </w:rPr>
              <w:t>，招标人</w:t>
            </w:r>
            <w:r>
              <w:rPr>
                <w:rFonts w:hint="eastAsia" w:ascii="宋体" w:hAnsi="宋体" w:eastAsia="宋体" w:cs="宋体"/>
                <w:b/>
                <w:bCs/>
                <w:color w:val="auto"/>
                <w:sz w:val="24"/>
                <w:szCs w:val="24"/>
                <w:lang w:val="en-US" w:eastAsia="zh-CN"/>
              </w:rPr>
              <w:t>或招标代理机构</w:t>
            </w:r>
            <w:r>
              <w:rPr>
                <w:rFonts w:hint="eastAsia" w:ascii="宋体" w:hAnsi="宋体" w:eastAsia="宋体" w:cs="宋体"/>
                <w:b/>
                <w:bCs/>
                <w:color w:val="auto"/>
                <w:sz w:val="24"/>
                <w:szCs w:val="24"/>
              </w:rPr>
              <w:t>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7.3.2</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是否委托评标委员会直接确定中标人</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w:t>
            </w:r>
          </w:p>
        </w:tc>
        <w:tc>
          <w:tcPr>
            <w:tcW w:w="1821"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履约保证金</w:t>
            </w:r>
          </w:p>
        </w:tc>
        <w:tc>
          <w:tcPr>
            <w:tcW w:w="5660" w:type="dxa"/>
            <w:tcBorders>
              <w:tl2br w:val="nil"/>
              <w:tr2bl w:val="nil"/>
            </w:tcBorders>
            <w:vAlign w:val="center"/>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9.1</w:t>
            </w:r>
          </w:p>
        </w:tc>
        <w:tc>
          <w:tcPr>
            <w:tcW w:w="1821"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质疑联系方式</w:t>
            </w:r>
          </w:p>
        </w:tc>
        <w:tc>
          <w:tcPr>
            <w:tcW w:w="5660" w:type="dxa"/>
            <w:tcBorders>
              <w:tl2br w:val="nil"/>
              <w:tr2bl w:val="nil"/>
            </w:tcBorders>
            <w:vAlign w:val="center"/>
          </w:tcPr>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联系单位：上海机电设备招标有限公司</w:t>
            </w: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 系 人：</w:t>
            </w:r>
            <w:r>
              <w:rPr>
                <w:rFonts w:hint="eastAsia" w:asciiTheme="minorEastAsia" w:hAnsiTheme="minorEastAsia" w:eastAsiaTheme="minorEastAsia" w:cstheme="minorEastAsia"/>
                <w:color w:val="auto"/>
                <w:sz w:val="24"/>
                <w:szCs w:val="24"/>
                <w:lang w:eastAsia="zh-CN"/>
              </w:rPr>
              <w:t>谈亦称、曾文娟</w:t>
            </w: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联系电话：021-32557</w:t>
            </w:r>
            <w:r>
              <w:rPr>
                <w:rFonts w:hint="eastAsia" w:asciiTheme="minorEastAsia" w:hAnsiTheme="minorEastAsia" w:eastAsiaTheme="minorEastAsia" w:cstheme="minorEastAsia"/>
                <w:color w:val="auto"/>
                <w:sz w:val="24"/>
                <w:szCs w:val="24"/>
                <w:lang w:val="en-US" w:eastAsia="zh-CN"/>
              </w:rPr>
              <w:t>801</w:t>
            </w: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联系地址：上海市普陀区长寿路285号恒达大厦16楼1606室</w:t>
            </w:r>
          </w:p>
          <w:p>
            <w:pPr>
              <w:spacing w:line="4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szCs w:val="24"/>
              </w:rPr>
              <w:t>提交形式：</w:t>
            </w:r>
            <w:r>
              <w:rPr>
                <w:rFonts w:hint="eastAsia" w:asciiTheme="minorEastAsia" w:hAnsiTheme="minorEastAsia" w:eastAsiaTheme="minorEastAsia" w:cstheme="minorEastAsia"/>
                <w:color w:val="auto"/>
                <w:sz w:val="24"/>
                <w:szCs w:val="24"/>
                <w:u w:val="single"/>
              </w:rPr>
              <w:t>盖有投标人单位公章的书面纸质材料。</w:t>
            </w:r>
          </w:p>
          <w:p>
            <w:pPr>
              <w:spacing w:line="4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i w:val="0"/>
                <w:iCs w:val="0"/>
                <w:color w:val="auto"/>
                <w:sz w:val="24"/>
                <w:szCs w:val="24"/>
                <w:u w:val="none"/>
              </w:rPr>
              <w:t>请投标人将可编辑文件以电子邮件的形式发送至招标代理机构以下邮箱：</w:t>
            </w:r>
            <w:r>
              <w:rPr>
                <w:rFonts w:hint="eastAsia" w:asciiTheme="minorEastAsia" w:hAnsiTheme="minorEastAsia" w:eastAsiaTheme="minorEastAsia" w:cstheme="minorEastAsia"/>
                <w:i w:val="0"/>
                <w:iCs w:val="0"/>
                <w:color w:val="auto"/>
                <w:sz w:val="24"/>
                <w:szCs w:val="24"/>
                <w:u w:val="none"/>
                <w:lang w:val="en-US" w:eastAsia="zh-CN"/>
              </w:rPr>
              <w:t>zzh@shbid.com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0" w:hRule="atLeast"/>
        </w:trPr>
        <w:tc>
          <w:tcPr>
            <w:tcW w:w="979" w:type="dxa"/>
            <w:tcBorders>
              <w:tl2br w:val="nil"/>
              <w:tr2bl w:val="nil"/>
            </w:tcBorders>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10.2</w:t>
            </w:r>
          </w:p>
        </w:tc>
        <w:tc>
          <w:tcPr>
            <w:tcW w:w="1821" w:type="dxa"/>
            <w:tcBorders>
              <w:tl2br w:val="nil"/>
              <w:tr2bl w:val="nil"/>
            </w:tcBorders>
            <w:vAlign w:val="center"/>
          </w:tcPr>
          <w:p>
            <w:pPr>
              <w:keepNext w:val="0"/>
              <w:keepLines w:val="0"/>
              <w:pageBreakBefore w:val="0"/>
              <w:kinsoku/>
              <w:overflowPunct/>
              <w:autoSpaceDE w:val="0"/>
              <w:autoSpaceDN w:val="0"/>
              <w:bidi w:val="0"/>
              <w:spacing w:beforeAutospacing="0" w:afterAutospacing="0"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rPr>
              <w:t>招标代理服务费</w:t>
            </w:r>
          </w:p>
        </w:tc>
        <w:tc>
          <w:tcPr>
            <w:tcW w:w="5660" w:type="dxa"/>
            <w:tcBorders>
              <w:tl2br w:val="nil"/>
              <w:tr2bl w:val="nil"/>
            </w:tcBorders>
            <w:vAlign w:val="center"/>
          </w:tcPr>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招标代理服务费的金额：中标通知书发出后30天内，中标人须向招标代理机构一次性支付中标金额1%的招标代理服务费。</w:t>
            </w:r>
          </w:p>
          <w:p>
            <w:pPr>
              <w:keepNext w:val="0"/>
              <w:keepLines w:val="0"/>
              <w:pageBreakBefore w:val="0"/>
              <w:kinsoku/>
              <w:overflowPunct/>
              <w:autoSpaceDE w:val="0"/>
              <w:autoSpaceDN w:val="0"/>
              <w:bidi w:val="0"/>
              <w:spacing w:beforeAutospacing="0" w:afterAutospacing="0"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按上述标准收取的招标代理服务费若低于6000元，则按保底价格6000元收取。</w:t>
            </w:r>
          </w:p>
          <w:p>
            <w:pPr>
              <w:keepNext w:val="0"/>
              <w:keepLines w:val="0"/>
              <w:pageBreakBefore w:val="0"/>
              <w:kinsoku/>
              <w:overflowPunct/>
              <w:autoSpaceDE w:val="0"/>
              <w:autoSpaceDN w:val="0"/>
              <w:bidi w:val="0"/>
              <w:spacing w:beforeAutospacing="0" w:afterAutospacing="0" w:line="360" w:lineRule="auto"/>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t>招标代理服务费的交纳方式：贷记凭证、电汇或网银支付。</w:t>
            </w:r>
          </w:p>
        </w:tc>
      </w:tr>
    </w:tbl>
    <w:p>
      <w:pPr>
        <w:keepNext w:val="0"/>
        <w:keepLines w:val="0"/>
        <w:pageBreakBefore w:val="0"/>
        <w:kinsoku/>
        <w:overflowPunct/>
        <w:bidi w:val="0"/>
        <w:spacing w:beforeAutospacing="0" w:afterAutospacing="0" w:line="360" w:lineRule="auto"/>
        <w:outlineLvl w:val="2"/>
        <w:rPr>
          <w:rFonts w:hint="eastAsia" w:asciiTheme="minorEastAsia" w:hAnsiTheme="minorEastAsia" w:eastAsiaTheme="minorEastAsia" w:cstheme="minorEastAsia"/>
          <w:sz w:val="24"/>
          <w:szCs w:val="24"/>
        </w:rPr>
      </w:pPr>
      <w:bookmarkStart w:id="81" w:name="_Toc392227799"/>
      <w:r>
        <w:rPr>
          <w:rFonts w:hint="eastAsia" w:asciiTheme="minorEastAsia" w:hAnsiTheme="minorEastAsia" w:eastAsiaTheme="minorEastAsia" w:cstheme="minorEastAsia"/>
          <w:sz w:val="24"/>
          <w:szCs w:val="24"/>
        </w:rPr>
        <w:br w:type="page"/>
      </w:r>
    </w:p>
    <w:tbl>
      <w:tblPr>
        <w:tblStyle w:val="29"/>
        <w:tblW w:w="8460" w:type="dxa"/>
        <w:tblInd w:w="0" w:type="dxa"/>
        <w:tblLayout w:type="fixed"/>
        <w:tblCellMar>
          <w:top w:w="0" w:type="dxa"/>
          <w:left w:w="108" w:type="dxa"/>
          <w:bottom w:w="0" w:type="dxa"/>
          <w:right w:w="108" w:type="dxa"/>
        </w:tblCellMar>
      </w:tblPr>
      <w:tblGrid>
        <w:gridCol w:w="1058"/>
        <w:gridCol w:w="157"/>
        <w:gridCol w:w="7245"/>
      </w:tblGrid>
      <w:tr>
        <w:tblPrEx>
          <w:tblCellMar>
            <w:top w:w="0" w:type="dxa"/>
            <w:left w:w="108" w:type="dxa"/>
            <w:bottom w:w="0" w:type="dxa"/>
            <w:right w:w="108" w:type="dxa"/>
          </w:tblCellMar>
        </w:tblPrEx>
        <w:tc>
          <w:tcPr>
            <w:tcW w:w="8460" w:type="dxa"/>
            <w:gridSpan w:val="3"/>
            <w:vAlign w:val="top"/>
          </w:tcPr>
          <w:p>
            <w:pPr>
              <w:spacing w:line="240" w:lineRule="auto"/>
              <w:outlineLvl w:val="1"/>
              <w:rPr>
                <w:rFonts w:hint="eastAsia" w:asciiTheme="minorEastAsia" w:hAnsiTheme="minorEastAsia" w:eastAsiaTheme="minorEastAsia" w:cstheme="minorEastAsia"/>
                <w:b/>
                <w:sz w:val="24"/>
                <w:szCs w:val="24"/>
              </w:rPr>
            </w:pPr>
            <w:bookmarkStart w:id="82" w:name="_Toc32376"/>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总则</w:t>
            </w:r>
            <w:bookmarkEnd w:id="82"/>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7402"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招标项目概况</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w:t>
            </w:r>
          </w:p>
        </w:tc>
        <w:tc>
          <w:tcPr>
            <w:tcW w:w="7402"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政府采购法》、《中华人民共和国政府采购法实施条例》、《政府采购货物和服务招标投标管理办法（财政部令2017年第87号）》等有关法律、法规和规章的规定，本招标项目已具备招标条件，现对本次货物采购进行招标。</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1.1.2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招标人：见投标人须知前附表</w:t>
            </w:r>
            <w:r>
              <w:rPr>
                <w:rFonts w:hint="eastAsia" w:asciiTheme="minorEastAsia" w:hAnsiTheme="minorEastAsia" w:eastAsiaTheme="minorEastAsia" w:cstheme="minorEastAsia"/>
                <w:sz w:val="24"/>
                <w:szCs w:val="24"/>
                <w:lang w:eastAsia="zh-CN"/>
              </w:rPr>
              <w:t>。</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1.1.3</w:t>
            </w:r>
          </w:p>
        </w:tc>
        <w:tc>
          <w:tcPr>
            <w:tcW w:w="7402" w:type="dxa"/>
            <w:gridSpan w:val="2"/>
            <w:vAlign w:val="top"/>
          </w:tcPr>
          <w:p>
            <w:pPr>
              <w:spacing w:line="24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招标代理机构：见投标人须知前附表</w:t>
            </w:r>
            <w:r>
              <w:rPr>
                <w:rFonts w:hint="eastAsia" w:asciiTheme="minorEastAsia" w:hAnsiTheme="minorEastAsia" w:eastAsiaTheme="minorEastAsia" w:cstheme="minorEastAsia"/>
                <w:sz w:val="24"/>
                <w:szCs w:val="24"/>
                <w:lang w:eastAsia="zh-CN"/>
              </w:rPr>
              <w:t>。</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1.1.4</w:t>
            </w:r>
          </w:p>
        </w:tc>
        <w:tc>
          <w:tcPr>
            <w:tcW w:w="7402"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招标项目名称：见投标人须知前附表。</w:t>
            </w:r>
          </w:p>
        </w:tc>
      </w:tr>
      <w:tr>
        <w:tblPrEx>
          <w:tblCellMar>
            <w:top w:w="0" w:type="dxa"/>
            <w:left w:w="108" w:type="dxa"/>
            <w:bottom w:w="0" w:type="dxa"/>
            <w:right w:w="108" w:type="dxa"/>
          </w:tblCellMar>
        </w:tblPrEx>
        <w:tc>
          <w:tcPr>
            <w:tcW w:w="1058" w:type="dxa"/>
            <w:vAlign w:val="top"/>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1.1.5</w:t>
            </w:r>
          </w:p>
        </w:tc>
        <w:tc>
          <w:tcPr>
            <w:tcW w:w="7402" w:type="dxa"/>
            <w:gridSpan w:val="2"/>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招标项目</w:t>
            </w:r>
            <w:r>
              <w:rPr>
                <w:rFonts w:hint="eastAsia" w:asciiTheme="minorEastAsia" w:hAnsiTheme="minorEastAsia" w:eastAsiaTheme="minorEastAsia" w:cstheme="minorEastAsia"/>
                <w:sz w:val="24"/>
                <w:szCs w:val="24"/>
                <w:lang w:val="en-US" w:eastAsia="zh-CN"/>
              </w:rPr>
              <w:t>包件</w:t>
            </w:r>
            <w:r>
              <w:rPr>
                <w:rFonts w:hint="eastAsia" w:asciiTheme="minorEastAsia" w:hAnsiTheme="minorEastAsia" w:eastAsiaTheme="minorEastAsia" w:cstheme="minorEastAsia"/>
                <w:sz w:val="24"/>
                <w:szCs w:val="24"/>
              </w:rPr>
              <w:t>划分情况：见投标人须知前附表。</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1.2 </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bookmarkStart w:id="83" w:name="_Toc392227749"/>
            <w:bookmarkStart w:id="84" w:name="_Toc457747931"/>
            <w:r>
              <w:rPr>
                <w:rFonts w:hint="eastAsia" w:asciiTheme="minorEastAsia" w:hAnsiTheme="minorEastAsia" w:eastAsiaTheme="minorEastAsia" w:cstheme="minorEastAsia"/>
                <w:b/>
                <w:bCs/>
                <w:sz w:val="24"/>
                <w:szCs w:val="24"/>
              </w:rPr>
              <w:t>招标项目的资金来源</w:t>
            </w:r>
            <w:bookmarkEnd w:id="83"/>
            <w:bookmarkEnd w:id="84"/>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w:t>
            </w:r>
          </w:p>
        </w:tc>
        <w:tc>
          <w:tcPr>
            <w:tcW w:w="7402"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资金来源及比例：见投标人须知前附表。</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w:t>
            </w:r>
          </w:p>
        </w:tc>
        <w:tc>
          <w:tcPr>
            <w:tcW w:w="7402"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资金落实情况：见投标人须知前附表。</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1.3</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投标人资格要求</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投标人的资格要求见投标邀请，需要提交的相关证明材料见本章第 3.5 款的规定。</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投标邀请中规定接受联合体投标的，联合体除应符合投标邀请所列明的相关资格要求外，还应遵守以下规定：</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（1）联合体各方应按招标文件提供的格式签订联合体协议书，明确联合体牵头人和各方权利义务，并承诺就中标项目向招标人承担连带责任；</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由同一专业的单位组成的联合体，按照资质等级较低的单位确定资质等级；</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联合体各方不得再以自己名义单独或参加其他联合体在本招标项目中投标，否则各相关投标均无效。</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1.4</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费用承担</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投标人准备和参加投标活动发生的费用自理。</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1.5</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保密</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参与招标投标活动的各方应对招标文件和投标文件中</w:t>
            </w:r>
            <w:bookmarkStart w:id="85" w:name="_Toc384308214"/>
            <w:bookmarkStart w:id="86" w:name="_Toc361508589"/>
            <w:bookmarkStart w:id="87" w:name="_Toc352691477"/>
            <w:bookmarkStart w:id="88" w:name="_Toc5326"/>
            <w:bookmarkStart w:id="89" w:name="_Toc369531519"/>
            <w:r>
              <w:rPr>
                <w:rFonts w:hint="eastAsia" w:asciiTheme="minorEastAsia" w:hAnsiTheme="minorEastAsia" w:eastAsiaTheme="minorEastAsia" w:cstheme="minorEastAsia"/>
                <w:sz w:val="24"/>
                <w:szCs w:val="24"/>
              </w:rPr>
              <w:t>的商业和技术等秘密保密</w:t>
            </w:r>
            <w:bookmarkEnd w:id="85"/>
            <w:bookmarkEnd w:id="86"/>
            <w:bookmarkEnd w:id="87"/>
            <w:bookmarkEnd w:id="88"/>
            <w:bookmarkEnd w:id="89"/>
            <w:r>
              <w:rPr>
                <w:rFonts w:hint="eastAsia" w:asciiTheme="minorEastAsia" w:hAnsiTheme="minorEastAsia" w:eastAsiaTheme="minorEastAsia" w:cstheme="minorEastAsia"/>
                <w:sz w:val="24"/>
                <w:szCs w:val="24"/>
              </w:rPr>
              <w:t>，否则应承担相应的法律责任。</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1.6</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语言文字</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招标投标文件使用的语言文字为中文。专用术语使用外文的，应附有中文注释。</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szCs w:val="24"/>
              </w:rPr>
              <w:t>1.7</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计量单位</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所有计量均采用中华人民共和国法定计量单位。</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szCs w:val="24"/>
              </w:rPr>
              <w:t>1.8</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现场考察</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1.8.1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 xml:space="preserve">投标人须知前附表规定组织现场考察的，投标人应按投标人须知前附表规定的现场考察时间、集中地点参加招标人组织的项目现场考察。 </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投标人现场考察发生的费用自理。</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除招标人的原因外，投标人自行负责在现场考察中所发生的人员伤亡和财产损失。</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1.8.4</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招标人在现场考察中介绍的相关的情况，仅供投标人在编制投标文件时参考，招标人不对投标人据此作出的判断和决策负责。</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1.9</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标前答疑会</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投标人须知前附表规定召开开标前答疑会的，招标人按投标人须知前附表规定的时间和地点召开标前答疑会，澄清投标人提出的问题。</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szCs w:val="24"/>
              </w:rPr>
              <w:t>1.9.2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应在投标人须知前附表规定的时间前，以书面形式（包括信件、电报、电传、传真、电子数据交换和电子邮件等可以有形地表现所载内容的形式，下同）将提出的问题送达招标人，以便招标人在会议期间澄清。</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szCs w:val="24"/>
              </w:rPr>
              <w:t>1.9.3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标前答疑会后，招标人将对投标人所提问题的澄清，以书面形式通知所有购买招标文件的投标人，但不指明澄清问题的来源。该澄清内容为招标文件的组成部分。</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1.10</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分包</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1.10.1</w:t>
            </w:r>
          </w:p>
        </w:tc>
        <w:tc>
          <w:tcPr>
            <w:tcW w:w="7402" w:type="dxa"/>
            <w:gridSpan w:val="2"/>
            <w:vAlign w:val="top"/>
          </w:tcPr>
          <w:p>
            <w:pPr>
              <w:pStyle w:val="2"/>
              <w:keepNext w:val="0"/>
              <w:keepLines w:val="0"/>
              <w:pageBreakBefore w:val="0"/>
              <w:kinsoku/>
              <w:overflowPunct/>
              <w:bidi w:val="0"/>
              <w:spacing w:beforeAutospacing="0" w:after="0" w:afterAutospacing="0" w:line="240" w:lineRule="auto"/>
              <w:ind w:right="214" w:rightChars="0"/>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投标人拟在中标后将中标项目的非主体、非关键性工作分包的，应当在投标文件中载明分包承担主体，分包承担主体应当具备</w:t>
            </w:r>
            <w:r>
              <w:rPr>
                <w:rFonts w:hint="eastAsia" w:asciiTheme="minorEastAsia" w:hAnsiTheme="minorEastAsia" w:eastAsiaTheme="minorEastAsia" w:cstheme="minorEastAsia"/>
                <w:spacing w:val="-1"/>
                <w:sz w:val="24"/>
                <w:szCs w:val="24"/>
              </w:rPr>
              <w:t>投标人须知前附表规定的</w:t>
            </w:r>
            <w:r>
              <w:rPr>
                <w:rFonts w:hint="eastAsia" w:asciiTheme="minorEastAsia" w:hAnsiTheme="minorEastAsia" w:eastAsiaTheme="minorEastAsia" w:cstheme="minorEastAsia"/>
                <w:sz w:val="24"/>
                <w:szCs w:val="24"/>
              </w:rPr>
              <w:t>相应资质条件且不得再次分包，</w:t>
            </w:r>
            <w:r>
              <w:rPr>
                <w:rFonts w:hint="eastAsia" w:asciiTheme="minorEastAsia" w:hAnsiTheme="minorEastAsia" w:eastAsiaTheme="minorEastAsia" w:cstheme="minorEastAsia"/>
                <w:spacing w:val="-1"/>
                <w:sz w:val="24"/>
                <w:szCs w:val="24"/>
              </w:rPr>
              <w:t>除投标人须知前附表</w:t>
            </w:r>
            <w:bookmarkStart w:id="90" w:name="_Hlk494297390"/>
            <w:r>
              <w:rPr>
                <w:rFonts w:hint="eastAsia" w:asciiTheme="minorEastAsia" w:hAnsiTheme="minorEastAsia" w:eastAsiaTheme="minorEastAsia" w:cstheme="minorEastAsia"/>
                <w:spacing w:val="-1"/>
                <w:sz w:val="24"/>
                <w:szCs w:val="24"/>
              </w:rPr>
              <w:t>规定</w:t>
            </w:r>
            <w:bookmarkEnd w:id="90"/>
            <w:r>
              <w:rPr>
                <w:rFonts w:hint="eastAsia" w:asciiTheme="minorEastAsia" w:hAnsiTheme="minorEastAsia" w:eastAsiaTheme="minorEastAsia" w:cstheme="minorEastAsia"/>
                <w:spacing w:val="-1"/>
                <w:sz w:val="24"/>
                <w:szCs w:val="24"/>
              </w:rPr>
              <w:t>的非主体</w:t>
            </w:r>
            <w:r>
              <w:rPr>
                <w:rFonts w:hint="eastAsia" w:asciiTheme="minorEastAsia" w:hAnsiTheme="minorEastAsia" w:eastAsiaTheme="minorEastAsia" w:cstheme="minorEastAsia"/>
                <w:sz w:val="24"/>
                <w:szCs w:val="24"/>
              </w:rPr>
              <w:t>、非关键性工作外，其他工作不得分包。</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1.10.2</w:t>
            </w:r>
          </w:p>
        </w:tc>
        <w:tc>
          <w:tcPr>
            <w:tcW w:w="7402" w:type="dxa"/>
            <w:gridSpan w:val="2"/>
            <w:vAlign w:val="top"/>
          </w:tcPr>
          <w:p>
            <w:pPr>
              <w:pStyle w:val="2"/>
              <w:keepNext w:val="0"/>
              <w:keepLines w:val="0"/>
              <w:pageBreakBefore w:val="0"/>
              <w:kinsoku/>
              <w:overflowPunct/>
              <w:bidi w:val="0"/>
              <w:spacing w:beforeAutospacing="0" w:after="0" w:afterAutospacing="0" w:line="24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中标人不得向他人转让中标项目。中标人应当就分包项目向招标人负责，接受分包的人就分包项目承担连带责任。</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1.11</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szCs w:val="24"/>
              </w:rPr>
              <w:t>响应和偏差</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1.11.1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投标文件应当对招标文件的实质性要求和条件作出满足性或更有利于招标人的响应，</w:t>
            </w:r>
            <w:r>
              <w:rPr>
                <w:rFonts w:hint="eastAsia" w:asciiTheme="minorEastAsia" w:hAnsiTheme="minorEastAsia" w:eastAsiaTheme="minorEastAsia" w:cstheme="minorEastAsia"/>
                <w:b w:val="0"/>
                <w:bCs/>
                <w:sz w:val="24"/>
                <w:szCs w:val="24"/>
              </w:rPr>
              <w:t>否则，投标无效。</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投标人应根据招标文件的要求提供投标设备技术性能指标的详细描述、技术支持资料及技术服务和售后服务计划等内容以对招标文件作出响应。</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1.11.</w:t>
            </w:r>
            <w:r>
              <w:rPr>
                <w:rFonts w:hint="eastAsia" w:asciiTheme="minorEastAsia" w:hAnsiTheme="minorEastAsia" w:eastAsiaTheme="minorEastAsia" w:cstheme="minorEastAsia"/>
                <w:sz w:val="24"/>
                <w:szCs w:val="24"/>
                <w:lang w:val="en-US" w:eastAsia="zh-CN"/>
              </w:rPr>
              <w:t>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投标文件对招标文件的全部偏差，均应在投标文件的</w:t>
            </w:r>
            <w:r>
              <w:rPr>
                <w:rFonts w:hint="eastAsia" w:asciiTheme="minorEastAsia" w:hAnsiTheme="minorEastAsia" w:eastAsiaTheme="minorEastAsia" w:cstheme="minorEastAsia"/>
                <w:b/>
                <w:sz w:val="24"/>
                <w:szCs w:val="24"/>
              </w:rPr>
              <w:t>商务和技术偏差表</w:t>
            </w:r>
            <w:r>
              <w:rPr>
                <w:rFonts w:hint="eastAsia" w:asciiTheme="minorEastAsia" w:hAnsiTheme="minorEastAsia" w:eastAsiaTheme="minorEastAsia" w:cstheme="minorEastAsia"/>
                <w:sz w:val="24"/>
                <w:szCs w:val="24"/>
              </w:rPr>
              <w:t>中列明，除列明的内容外，视为投标人响应招标文件的全部要求。</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1.12</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同义词语</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构成招标文件组成部分的“合同格式”和“技术规格及要求”等章节中出现的措辞“买方”、“甲方”和“卖方”、“乙方”、“中标人”在招标投标阶段应当分别按“招标人”和“投标人”进行理解。</w:t>
            </w:r>
          </w:p>
        </w:tc>
      </w:tr>
      <w:tr>
        <w:tblPrEx>
          <w:tblCellMar>
            <w:top w:w="0" w:type="dxa"/>
            <w:left w:w="108" w:type="dxa"/>
            <w:bottom w:w="0" w:type="dxa"/>
            <w:right w:w="108" w:type="dxa"/>
          </w:tblCellMar>
        </w:tblPrEx>
        <w:trPr>
          <w:trHeight w:val="90" w:hRule="atLeast"/>
        </w:trPr>
        <w:tc>
          <w:tcPr>
            <w:tcW w:w="8460" w:type="dxa"/>
            <w:gridSpan w:val="3"/>
            <w:vAlign w:val="top"/>
          </w:tcPr>
          <w:p>
            <w:pPr>
              <w:spacing w:line="240" w:lineRule="auto"/>
              <w:outlineLvl w:val="1"/>
              <w:rPr>
                <w:rFonts w:hint="eastAsia" w:asciiTheme="minorEastAsia" w:hAnsiTheme="minorEastAsia" w:eastAsiaTheme="minorEastAsia" w:cstheme="minorEastAsia"/>
                <w:b/>
                <w:bCs/>
                <w:sz w:val="24"/>
                <w:szCs w:val="24"/>
              </w:rPr>
            </w:pPr>
            <w:bookmarkStart w:id="91" w:name="_Toc14268"/>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招标文件</w:t>
            </w:r>
            <w:bookmarkEnd w:id="91"/>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2.1</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招标文件的组成</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本招标文件包括：</w:t>
            </w:r>
          </w:p>
          <w:p>
            <w:pPr>
              <w:keepNext w:val="0"/>
              <w:keepLines w:val="0"/>
              <w:pageBreakBefore w:val="0"/>
              <w:numPr>
                <w:ilvl w:val="0"/>
                <w:numId w:val="6"/>
              </w:numPr>
              <w:kinsoku/>
              <w:overflowPunct/>
              <w:bidi w:val="0"/>
              <w:spacing w:beforeAutospacing="0" w:afterAutospacing="0" w:line="240" w:lineRule="auto"/>
              <w:ind w:left="1068" w:leftChars="0" w:hanging="1068"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招标公告</w:t>
            </w:r>
          </w:p>
          <w:p>
            <w:pPr>
              <w:keepNext w:val="0"/>
              <w:keepLines w:val="0"/>
              <w:pageBreakBefore w:val="0"/>
              <w:numPr>
                <w:ilvl w:val="0"/>
                <w:numId w:val="6"/>
              </w:numPr>
              <w:kinsoku/>
              <w:overflowPunct/>
              <w:bidi w:val="0"/>
              <w:spacing w:beforeAutospacing="0" w:afterAutospacing="0" w:line="240" w:lineRule="auto"/>
              <w:ind w:left="1068" w:leftChars="0" w:hanging="1068"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w:t>
            </w:r>
          </w:p>
          <w:p>
            <w:pPr>
              <w:keepNext w:val="0"/>
              <w:keepLines w:val="0"/>
              <w:pageBreakBefore w:val="0"/>
              <w:numPr>
                <w:ilvl w:val="0"/>
                <w:numId w:val="6"/>
              </w:numPr>
              <w:kinsoku/>
              <w:overflowPunct/>
              <w:bidi w:val="0"/>
              <w:spacing w:beforeAutospacing="0" w:afterAutospacing="0" w:line="240" w:lineRule="auto"/>
              <w:ind w:left="1068" w:leftChars="0" w:hanging="1068"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评标办法；</w:t>
            </w:r>
          </w:p>
          <w:p>
            <w:pPr>
              <w:keepNext w:val="0"/>
              <w:keepLines w:val="0"/>
              <w:pageBreakBefore w:val="0"/>
              <w:numPr>
                <w:ilvl w:val="0"/>
                <w:numId w:val="6"/>
              </w:numPr>
              <w:kinsoku/>
              <w:overflowPunct/>
              <w:bidi w:val="0"/>
              <w:spacing w:beforeAutospacing="0" w:afterAutospacing="0" w:line="240" w:lineRule="auto"/>
              <w:ind w:left="1068" w:leftChars="0" w:hanging="1068"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合同格式；</w:t>
            </w:r>
          </w:p>
          <w:p>
            <w:pPr>
              <w:keepNext w:val="0"/>
              <w:keepLines w:val="0"/>
              <w:pageBreakBefore w:val="0"/>
              <w:numPr>
                <w:ilvl w:val="0"/>
                <w:numId w:val="6"/>
              </w:numPr>
              <w:kinsoku/>
              <w:overflowPunct/>
              <w:bidi w:val="0"/>
              <w:spacing w:beforeAutospacing="0" w:afterAutospacing="0" w:line="240" w:lineRule="auto"/>
              <w:ind w:left="1068" w:leftChars="0" w:hanging="1068"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采购需求；</w:t>
            </w:r>
          </w:p>
          <w:p>
            <w:pPr>
              <w:keepNext w:val="0"/>
              <w:keepLines w:val="0"/>
              <w:pageBreakBefore w:val="0"/>
              <w:numPr>
                <w:ilvl w:val="0"/>
                <w:numId w:val="6"/>
              </w:numPr>
              <w:kinsoku/>
              <w:overflowPunct/>
              <w:bidi w:val="0"/>
              <w:spacing w:beforeAutospacing="0" w:afterAutospacing="0" w:line="240" w:lineRule="auto"/>
              <w:ind w:left="1068" w:leftChars="0" w:hanging="1068"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投标文件格式；</w:t>
            </w:r>
          </w:p>
          <w:p>
            <w:pPr>
              <w:keepNext w:val="0"/>
              <w:keepLines w:val="0"/>
              <w:pageBreakBefore w:val="0"/>
              <w:numPr>
                <w:ilvl w:val="0"/>
                <w:numId w:val="0"/>
              </w:numPr>
              <w:kinsoku/>
              <w:overflowPunct/>
              <w:bidi w:val="0"/>
              <w:spacing w:beforeAutospacing="0" w:afterAutospacing="0" w:line="240" w:lineRule="auto"/>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 投标人须知前附表规定的其他资料。</w:t>
            </w:r>
          </w:p>
          <w:p>
            <w:pPr>
              <w:keepNext w:val="0"/>
              <w:keepLines w:val="0"/>
              <w:pageBreakBefore w:val="0"/>
              <w:numPr>
                <w:ilvl w:val="0"/>
                <w:numId w:val="0"/>
              </w:numPr>
              <w:kinsoku/>
              <w:overflowPunct/>
              <w:bidi w:val="0"/>
              <w:spacing w:beforeAutospacing="0" w:afterAutospacing="0" w:line="240" w:lineRule="auto"/>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根据本章第1.9款、第2.2款和第2.3款对招标文件所作的澄清、修改，作为补充招标文件，构成招标文件的组成部分。</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szCs w:val="24"/>
              </w:rPr>
              <w:t>2.2</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招标文件的澄清</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2.2.1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应仔细阅读和检查招标文件的全部内容。如发现缺页或附件不全，应及时向招标人提出，以便补齐。如有疑问，应在投标人须知前附表规定的时间前以书面形式将提出的问题送达招标人，要求招标人对招标文件予以澄清。</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2.2.2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的澄清以书面形式发给所有购买招标文件的投标人，但不指明澄清问题的来源。澄清发出的时间距本招标文件规定的投标截止时间不足15日的，并且澄清内容可能影响投标文件编制的，将相应延长投标截止时间。</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投标人在收到澄清后，应及时向招标代理机构办理签收手续或以书面方式确认其收到；否则，投标人将被视为已理解并接受招标文件及补充招标文件的所有内容。</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2.2.4</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除非招标人认为确有必要答复，否则，招标人有权拒绝回复投标人在投标人须知前附表规定的时间后的任何澄清要求。</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2.3</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招标文件的修改</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招标人可以书面形式修改招标文件，并通知所有已</w:t>
            </w:r>
            <w:bookmarkStart w:id="92" w:name="_Toc26878"/>
            <w:bookmarkStart w:id="93" w:name="_Toc369531522"/>
            <w:bookmarkStart w:id="94" w:name="_Toc352691480"/>
            <w:r>
              <w:rPr>
                <w:rFonts w:hint="eastAsia" w:asciiTheme="minorEastAsia" w:hAnsiTheme="minorEastAsia" w:eastAsiaTheme="minorEastAsia" w:cstheme="minorEastAsia"/>
                <w:sz w:val="24"/>
                <w:szCs w:val="24"/>
              </w:rPr>
              <w:t>购买招标文件</w:t>
            </w:r>
            <w:bookmarkEnd w:id="92"/>
            <w:bookmarkEnd w:id="93"/>
            <w:bookmarkEnd w:id="94"/>
            <w:r>
              <w:rPr>
                <w:rFonts w:hint="eastAsia" w:asciiTheme="minorEastAsia" w:hAnsiTheme="minorEastAsia" w:eastAsiaTheme="minorEastAsia" w:cstheme="minorEastAsia"/>
                <w:sz w:val="24"/>
                <w:szCs w:val="24"/>
              </w:rPr>
              <w:t>的投标人。修改招标文件的时间距本招标文件规定的投标截止时间不足15日的，并且修改内容可</w:t>
            </w:r>
            <w:bookmarkStart w:id="95" w:name="_Toc144974505"/>
            <w:bookmarkStart w:id="96" w:name="_Toc300834957"/>
            <w:bookmarkStart w:id="97" w:name="_Toc384308217"/>
            <w:bookmarkStart w:id="98" w:name="_Toc369531523"/>
            <w:bookmarkStart w:id="99" w:name="_Toc352691481"/>
            <w:bookmarkStart w:id="100" w:name="_Toc152042313"/>
            <w:bookmarkStart w:id="101" w:name="_Toc152045537"/>
            <w:bookmarkStart w:id="102" w:name="_Toc361508592"/>
            <w:bookmarkStart w:id="103" w:name="_Toc8349"/>
            <w:bookmarkStart w:id="104" w:name="_Toc247513960"/>
            <w:bookmarkStart w:id="105" w:name="_Toc247527561"/>
            <w:r>
              <w:rPr>
                <w:rFonts w:hint="eastAsia" w:asciiTheme="minorEastAsia" w:hAnsiTheme="minorEastAsia" w:eastAsiaTheme="minorEastAsia" w:cstheme="minorEastAsia"/>
                <w:sz w:val="24"/>
                <w:szCs w:val="24"/>
              </w:rPr>
              <w:t>能影响投标文</w:t>
            </w:r>
            <w:bookmarkEnd w:id="95"/>
            <w:r>
              <w:rPr>
                <w:rFonts w:hint="eastAsia" w:asciiTheme="minorEastAsia" w:hAnsiTheme="minorEastAsia" w:eastAsiaTheme="minorEastAsia" w:cstheme="minorEastAsia"/>
                <w:sz w:val="24"/>
                <w:szCs w:val="24"/>
              </w:rPr>
              <w:t>件编</w:t>
            </w:r>
            <w:bookmarkEnd w:id="96"/>
            <w:bookmarkEnd w:id="97"/>
            <w:bookmarkEnd w:id="98"/>
            <w:bookmarkEnd w:id="99"/>
            <w:bookmarkEnd w:id="100"/>
            <w:bookmarkEnd w:id="101"/>
            <w:bookmarkEnd w:id="102"/>
            <w:bookmarkEnd w:id="103"/>
            <w:bookmarkEnd w:id="104"/>
            <w:bookmarkEnd w:id="105"/>
            <w:r>
              <w:rPr>
                <w:rFonts w:hint="eastAsia" w:asciiTheme="minorEastAsia" w:hAnsiTheme="minorEastAsia" w:eastAsiaTheme="minorEastAsia" w:cstheme="minorEastAsia"/>
                <w:sz w:val="24"/>
                <w:szCs w:val="24"/>
              </w:rPr>
              <w:t>制的，将相应延长投标截止时间</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2.3.2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投标人收到修改内容</w:t>
            </w:r>
            <w:bookmarkStart w:id="106" w:name="_Toc152042314"/>
            <w:bookmarkStart w:id="107" w:name="_Toc300834958"/>
            <w:bookmarkStart w:id="108" w:name="_Toc247513961"/>
            <w:bookmarkStart w:id="109" w:name="_Toc24632"/>
            <w:bookmarkStart w:id="110" w:name="_Toc384308218"/>
            <w:bookmarkStart w:id="111" w:name="_Toc247527562"/>
            <w:bookmarkStart w:id="112" w:name="_Toc361508593"/>
            <w:bookmarkStart w:id="113" w:name="_Toc152045538"/>
            <w:bookmarkStart w:id="114" w:name="_Toc369531524"/>
            <w:bookmarkStart w:id="115" w:name="_Toc144974506"/>
            <w:bookmarkStart w:id="116" w:name="_Toc352691482"/>
            <w:r>
              <w:rPr>
                <w:rFonts w:hint="eastAsia" w:asciiTheme="minorEastAsia" w:hAnsiTheme="minorEastAsia" w:eastAsiaTheme="minorEastAsia" w:cstheme="minorEastAsia"/>
                <w:sz w:val="24"/>
                <w:szCs w:val="24"/>
              </w:rPr>
              <w:t>后</w:t>
            </w:r>
            <w:bookmarkEnd w:id="106"/>
            <w:bookmarkEnd w:id="107"/>
            <w:bookmarkEnd w:id="108"/>
            <w:bookmarkEnd w:id="109"/>
            <w:bookmarkEnd w:id="110"/>
            <w:bookmarkEnd w:id="111"/>
            <w:bookmarkEnd w:id="112"/>
            <w:bookmarkEnd w:id="113"/>
            <w:bookmarkEnd w:id="114"/>
            <w:bookmarkEnd w:id="115"/>
            <w:bookmarkEnd w:id="116"/>
            <w:r>
              <w:rPr>
                <w:rFonts w:hint="eastAsia" w:asciiTheme="minorEastAsia" w:hAnsiTheme="minorEastAsia" w:eastAsiaTheme="minorEastAsia" w:cstheme="minorEastAsia"/>
                <w:sz w:val="24"/>
                <w:szCs w:val="24"/>
              </w:rPr>
              <w:t>，应及时向招标代理机构办理签收手续或以书面方式确认其收到；否则，投标人将被视为已理解并接受招标文件及补充招标文件的所有内容。</w:t>
            </w:r>
          </w:p>
        </w:tc>
      </w:tr>
      <w:tr>
        <w:tblPrEx>
          <w:tblCellMar>
            <w:top w:w="0" w:type="dxa"/>
            <w:left w:w="108" w:type="dxa"/>
            <w:bottom w:w="0" w:type="dxa"/>
            <w:right w:w="108" w:type="dxa"/>
          </w:tblCellMar>
        </w:tblPrEx>
        <w:tc>
          <w:tcPr>
            <w:tcW w:w="8460" w:type="dxa"/>
            <w:gridSpan w:val="3"/>
            <w:vAlign w:val="top"/>
          </w:tcPr>
          <w:p>
            <w:pPr>
              <w:spacing w:line="240" w:lineRule="auto"/>
              <w:outlineLvl w:val="1"/>
              <w:rPr>
                <w:rFonts w:hint="eastAsia" w:asciiTheme="minorEastAsia" w:hAnsiTheme="minorEastAsia" w:eastAsiaTheme="minorEastAsia" w:cstheme="minorEastAsia"/>
                <w:b/>
                <w:bCs/>
                <w:sz w:val="24"/>
                <w:szCs w:val="24"/>
              </w:rPr>
            </w:pPr>
            <w:bookmarkStart w:id="117" w:name="_Toc22795"/>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投标文件</w:t>
            </w:r>
            <w:bookmarkEnd w:id="117"/>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3.1</w:t>
            </w:r>
          </w:p>
        </w:tc>
        <w:tc>
          <w:tcPr>
            <w:tcW w:w="7245" w:type="dxa"/>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投标文件的组成</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投标文件应包括下列内容：</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val="0"/>
                <w:bCs/>
                <w:sz w:val="24"/>
                <w:szCs w:val="24"/>
              </w:rPr>
              <w:t>3.1.1.1</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商务部分：</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投标函；</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投标保证金；</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法定代表人（单位负责人）证明</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授权委托书；</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联合体协议书（联合体投标时适用）；</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b/>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开标一览表</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分项报价表；</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商务偏差表；</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资格和履约能力证明资料；</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b/>
                <w:sz w:val="24"/>
                <w:szCs w:val="24"/>
              </w:rPr>
            </w:pPr>
          </w:p>
        </w:tc>
        <w:tc>
          <w:tcPr>
            <w:tcW w:w="7245" w:type="dxa"/>
            <w:vAlign w:val="top"/>
          </w:tcPr>
          <w:p>
            <w:pPr>
              <w:keepNext w:val="0"/>
              <w:keepLines w:val="0"/>
              <w:pageBreakBefore w:val="0"/>
              <w:numPr>
                <w:ilvl w:val="0"/>
                <w:numId w:val="7"/>
              </w:numPr>
              <w:kinsoku/>
              <w:overflowPunct/>
              <w:bidi w:val="0"/>
              <w:spacing w:beforeAutospacing="0" w:afterAutospacing="0" w:line="24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投标人须知前附表规定的构成投标文件商务部分的其他资料。</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sz w:val="24"/>
                <w:szCs w:val="24"/>
              </w:rPr>
              <w:t>3.1.1.2</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技术部分：</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8"/>
              </w:numPr>
              <w:kinsoku/>
              <w:overflowPunct/>
              <w:bidi w:val="0"/>
              <w:spacing w:beforeAutospacing="0" w:afterAutospacing="0" w:line="240" w:lineRule="auto"/>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技术偏差表</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8"/>
              </w:numPr>
              <w:kinsoku/>
              <w:overflowPunct/>
              <w:bidi w:val="0"/>
              <w:spacing w:beforeAutospacing="0" w:afterAutospacing="0" w:line="240" w:lineRule="auto"/>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投标设备技术</w:t>
            </w:r>
            <w:r>
              <w:rPr>
                <w:rFonts w:hint="eastAsia" w:asciiTheme="minorEastAsia" w:hAnsiTheme="minorEastAsia" w:eastAsiaTheme="minorEastAsia" w:cstheme="minorEastAsia"/>
                <w:b w:val="0"/>
                <w:bCs w:val="0"/>
                <w:sz w:val="24"/>
                <w:szCs w:val="24"/>
              </w:rPr>
              <w:t>性能</w:t>
            </w:r>
            <w:r>
              <w:rPr>
                <w:rFonts w:hint="eastAsia" w:asciiTheme="minorEastAsia" w:hAnsiTheme="minorEastAsia" w:eastAsiaTheme="minorEastAsia" w:cstheme="minorEastAsia"/>
                <w:sz w:val="24"/>
                <w:szCs w:val="24"/>
              </w:rPr>
              <w:t>指标的详细描述；</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8"/>
              </w:numPr>
              <w:kinsoku/>
              <w:overflowPunct/>
              <w:bidi w:val="0"/>
              <w:spacing w:beforeAutospacing="0" w:afterAutospacing="0" w:line="240" w:lineRule="auto"/>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技术服务和</w:t>
            </w:r>
            <w:r>
              <w:rPr>
                <w:rFonts w:hint="eastAsia" w:asciiTheme="minorEastAsia" w:hAnsiTheme="minorEastAsia" w:eastAsiaTheme="minorEastAsia" w:cstheme="minorEastAsia"/>
                <w:b w:val="0"/>
                <w:bCs w:val="0"/>
                <w:sz w:val="24"/>
                <w:szCs w:val="24"/>
              </w:rPr>
              <w:t>售后服务</w:t>
            </w:r>
            <w:r>
              <w:rPr>
                <w:rFonts w:hint="eastAsia" w:asciiTheme="minorEastAsia" w:hAnsiTheme="minorEastAsia" w:eastAsiaTheme="minorEastAsia" w:cstheme="minorEastAsia"/>
                <w:sz w:val="24"/>
                <w:szCs w:val="24"/>
              </w:rPr>
              <w:t>计划；</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8"/>
              </w:numPr>
              <w:kinsoku/>
              <w:overflowPunct/>
              <w:bidi w:val="0"/>
              <w:spacing w:beforeAutospacing="0" w:afterAutospacing="0" w:line="240" w:lineRule="auto"/>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技术支持资料；</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numPr>
                <w:ilvl w:val="0"/>
                <w:numId w:val="8"/>
              </w:numPr>
              <w:kinsoku/>
              <w:overflowPunct/>
              <w:bidi w:val="0"/>
              <w:spacing w:beforeAutospacing="0" w:afterAutospacing="0" w:line="240" w:lineRule="auto"/>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投标人须知前附表规定的构成投标文件技术部分的其他资料。</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3.1.1.3</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样品：</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投标人须知前附表要求投标人提供样品的，样品制作的标准和要求见第</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章《采购需求》、样品的评审方法以及评审标准见第三章《评标办法》。需要随样品提交检测报告的，检测机构的要求、检测内容等见本须知前附表。</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采购活动结束后，对于未中标人提供的样品，招标人将及时退还或者经未中标人同意后自行处理；对于中标人提供的样品，应当按照招标文件的规定进行保管、封存，并作为履约验收的参考。</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3.1.2</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投标人须知前附表规定不接受联合体投标的，或投标人没有组成联合体的，投标文件不包括本章第3.1.1款中所指的联合体协议书。</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3.1.3</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投标人须知前附表未要求提交投标保证金的，投标文件不包括本章第3.1.1款中所指的投标保证金。</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3.2</w:t>
            </w:r>
          </w:p>
        </w:tc>
        <w:tc>
          <w:tcPr>
            <w:tcW w:w="7245" w:type="dxa"/>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投标报价 </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3.2.1</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rPr>
              <w:t>投标人应充分了解本项目的总体情况以及考虑影响投标报价的各项要素后进行报价。</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3.2.2</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投标人应按第六章“投标文件格式”填写投标函、开标一览表及分项报价表等。</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3.2.3</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投标人在投标截止时间前修改投标函中的投标报价总额，应同时修</w:t>
            </w:r>
            <w:bookmarkStart w:id="118" w:name="_Toc369531529"/>
            <w:bookmarkStart w:id="119" w:name="_Toc25772"/>
            <w:bookmarkStart w:id="120" w:name="_Toc144974510"/>
            <w:bookmarkStart w:id="121" w:name="_Toc384308223"/>
            <w:bookmarkStart w:id="122" w:name="_Toc247527567"/>
            <w:bookmarkStart w:id="123" w:name="_Toc152042318"/>
            <w:bookmarkStart w:id="124" w:name="_Toc352691486"/>
            <w:bookmarkStart w:id="125" w:name="_Toc247513966"/>
            <w:bookmarkStart w:id="126" w:name="_Toc152045542"/>
            <w:bookmarkStart w:id="127" w:name="_Toc361508598"/>
            <w:bookmarkStart w:id="128" w:name="_Toc300834963"/>
            <w:r>
              <w:rPr>
                <w:rFonts w:hint="eastAsia" w:asciiTheme="minorEastAsia" w:hAnsiTheme="minorEastAsia" w:eastAsiaTheme="minorEastAsia" w:cstheme="minorEastAsia"/>
                <w:sz w:val="24"/>
                <w:szCs w:val="24"/>
              </w:rPr>
              <w:t>改投标文件“</w:t>
            </w:r>
            <w:bookmarkEnd w:id="118"/>
            <w:bookmarkEnd w:id="119"/>
            <w:bookmarkEnd w:id="120"/>
            <w:bookmarkEnd w:id="121"/>
            <w:bookmarkEnd w:id="122"/>
            <w:bookmarkEnd w:id="123"/>
            <w:bookmarkEnd w:id="124"/>
            <w:bookmarkEnd w:id="125"/>
            <w:bookmarkEnd w:id="126"/>
            <w:bookmarkEnd w:id="127"/>
            <w:bookmarkEnd w:id="128"/>
            <w:bookmarkStart w:id="129" w:name="_Toc384308224"/>
            <w:bookmarkStart w:id="130" w:name="_Toc152042319"/>
            <w:bookmarkStart w:id="131" w:name="_Toc300834964"/>
            <w:bookmarkStart w:id="132" w:name="_Toc247527568"/>
            <w:bookmarkStart w:id="133" w:name="_Toc369531530"/>
            <w:bookmarkStart w:id="134" w:name="_Toc247513967"/>
            <w:bookmarkStart w:id="135" w:name="_Toc361508599"/>
            <w:bookmarkStart w:id="136" w:name="_Toc152045543"/>
            <w:bookmarkStart w:id="137" w:name="_Toc144974511"/>
            <w:bookmarkStart w:id="138" w:name="_Toc352691487"/>
            <w:bookmarkStart w:id="139" w:name="_Toc15242"/>
            <w:r>
              <w:rPr>
                <w:rFonts w:hint="eastAsia" w:asciiTheme="minorEastAsia" w:hAnsiTheme="minorEastAsia" w:eastAsiaTheme="minorEastAsia" w:cstheme="minorEastAsia"/>
                <w:sz w:val="24"/>
                <w:szCs w:val="24"/>
              </w:rPr>
              <w:t>分项报价表”中的相应报价。此修</w:t>
            </w:r>
            <w:bookmarkEnd w:id="129"/>
            <w:bookmarkEnd w:id="130"/>
            <w:bookmarkEnd w:id="131"/>
            <w:bookmarkEnd w:id="132"/>
            <w:bookmarkEnd w:id="133"/>
            <w:bookmarkEnd w:id="134"/>
            <w:bookmarkEnd w:id="135"/>
            <w:bookmarkEnd w:id="136"/>
            <w:bookmarkEnd w:id="137"/>
            <w:bookmarkEnd w:id="138"/>
            <w:bookmarkEnd w:id="139"/>
            <w:r>
              <w:rPr>
                <w:rFonts w:hint="eastAsia" w:asciiTheme="minorEastAsia" w:hAnsiTheme="minorEastAsia" w:eastAsiaTheme="minorEastAsia" w:cstheme="minorEastAsia"/>
                <w:sz w:val="24"/>
                <w:szCs w:val="24"/>
              </w:rPr>
              <w:t>改须符合本章第4.1款的有关要求。</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3.2.4</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若投标人的开标一览表报价与投标函报价不一致，开标时以其开标一览表报价为准。</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3.2.5</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投标报价为各分项报价金额之和，投标报价与分项报价的合价不一致的，以分项报价的合价为准；如分项报价中存在缺漏项，则视为缺漏项价格已包含在其他分项报价之中，并在评审时作不利于该评标人的处理。</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3.2.6</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招标人设有最高投标限价的，投标人的投标报价不得超过最高投标限价，最高投标限价在投标人须知前附表中载明。</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3.2.7</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各项投标价格均以人民币报价。</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3.2.8</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汇率风险全部由投标人承担。</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lang w:val="en-US" w:eastAsia="zh-CN"/>
              </w:rPr>
              <w:t>9</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投标报价的其他要求见投标人须知前附表。</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3.3</w:t>
            </w:r>
          </w:p>
        </w:tc>
        <w:tc>
          <w:tcPr>
            <w:tcW w:w="7245" w:type="dxa"/>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投标有效期</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投标有效期见投标人须知前附表。</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3.3.2</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在投标有效期内，投标人撤销投标文件的，应承担招标文件和法律规定的责任。</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3.3.3</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3.4</w:t>
            </w:r>
          </w:p>
        </w:tc>
        <w:tc>
          <w:tcPr>
            <w:tcW w:w="7245" w:type="dxa"/>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投标保证金</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3.4.1</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rPr>
              <w:t>投标人在递交投标文件的同时，应按投标人须知前附表规定的金额</w:t>
            </w:r>
            <w:bookmarkStart w:id="140" w:name="_Toc361508601"/>
            <w:bookmarkStart w:id="141" w:name="_Toc352691489"/>
            <w:bookmarkStart w:id="142" w:name="_Toc384308226"/>
            <w:bookmarkStart w:id="143" w:name="_Toc247527570"/>
            <w:bookmarkStart w:id="144" w:name="_Toc152045545"/>
            <w:bookmarkStart w:id="145" w:name="_Toc369531532"/>
            <w:bookmarkStart w:id="146" w:name="_Toc152042321"/>
            <w:bookmarkStart w:id="147" w:name="_Toc247513969"/>
            <w:bookmarkStart w:id="148" w:name="_Toc300834966"/>
            <w:bookmarkStart w:id="149" w:name="_Toc4592"/>
            <w:bookmarkStart w:id="150" w:name="_Toc144974513"/>
            <w:r>
              <w:rPr>
                <w:rFonts w:hint="eastAsia" w:asciiTheme="minorEastAsia" w:hAnsiTheme="minorEastAsia" w:eastAsiaTheme="minorEastAsia" w:cstheme="minorEastAsia"/>
                <w:b w:val="0"/>
                <w:bCs w:val="0"/>
                <w:sz w:val="24"/>
                <w:szCs w:val="24"/>
              </w:rPr>
              <w:t>、形式</w:t>
            </w:r>
            <w:bookmarkEnd w:id="140"/>
            <w:bookmarkEnd w:id="141"/>
            <w:bookmarkEnd w:id="142"/>
            <w:bookmarkEnd w:id="143"/>
            <w:bookmarkEnd w:id="144"/>
            <w:bookmarkEnd w:id="145"/>
            <w:bookmarkEnd w:id="146"/>
            <w:bookmarkEnd w:id="147"/>
            <w:bookmarkEnd w:id="148"/>
            <w:bookmarkEnd w:id="149"/>
            <w:bookmarkEnd w:id="150"/>
            <w:r>
              <w:rPr>
                <w:rFonts w:hint="eastAsia" w:asciiTheme="minorEastAsia" w:hAnsiTheme="minorEastAsia" w:eastAsiaTheme="minorEastAsia" w:cstheme="minorEastAsia"/>
                <w:b w:val="0"/>
                <w:bCs w:val="0"/>
                <w:sz w:val="24"/>
                <w:szCs w:val="24"/>
              </w:rPr>
              <w:t>递交投标保证金，并作为其投标文件的组成部分。</w:t>
            </w:r>
            <w:r>
              <w:rPr>
                <w:rFonts w:hint="eastAsia" w:asciiTheme="minorEastAsia" w:hAnsiTheme="minorEastAsia" w:eastAsiaTheme="minorEastAsia" w:cstheme="minorEastAsia"/>
                <w:b w:val="0"/>
                <w:bCs w:val="0"/>
                <w:sz w:val="24"/>
              </w:rPr>
              <w:t>投标保证金的有效期与投标有效期一致。</w:t>
            </w:r>
            <w:r>
              <w:rPr>
                <w:rFonts w:hint="eastAsia" w:asciiTheme="minorEastAsia" w:hAnsiTheme="minorEastAsia" w:eastAsiaTheme="minorEastAsia" w:cstheme="minorEastAsia"/>
                <w:b w:val="0"/>
                <w:bCs w:val="0"/>
                <w:sz w:val="24"/>
                <w:szCs w:val="24"/>
              </w:rPr>
              <w:t>联合体投标的，其投标保证金应当由联合体一方或多方共同递交，且所提交的投标保证金应对联合体的所有成员均具有约束力，并应符合投标人须知前附表的规定。</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3.4.2</w:t>
            </w:r>
          </w:p>
        </w:tc>
        <w:tc>
          <w:tcPr>
            <w:tcW w:w="7245" w:type="dxa"/>
            <w:vAlign w:val="top"/>
          </w:tcPr>
          <w:p>
            <w:pPr>
              <w:keepNext w:val="0"/>
              <w:keepLines w:val="0"/>
              <w:pageBreakBefore w:val="0"/>
              <w:kinsoku/>
              <w:overflowPunct/>
              <w:bidi w:val="0"/>
              <w:spacing w:beforeAutospacing="0" w:afterAutospacing="0" w:line="240" w:lineRule="auto"/>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rPr>
              <w:t>投标保证金是用于保护本次招标免受投标人的不当行为而引起的风险。</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3.4.3</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保证金的退还：</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b/>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（1）投标人在投标截止时间前撤回已提交的投标文件的，将在收到投标人书面撤回通知之日起5个工作日内，退还已收取的投标保证金，但因投标人自身原因导致无法及时退还的除外。</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（2）未中标人的投标保证金，将在中标通知书发出后5个工作日内退还。</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（3）中标人的投标保证金，在中标人按招标文件规定签订合同后5个工作日内退还。</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3.4.4</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有下列情形之一的，投标保证金将不予退还： </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（1）投标人在投标有效期内撤销投标文件；</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（2）中标人在收到中标通知书后，无正当理由不与招标人订立合同，在签订合同时向招标人提出附加条件，或者不按照招标文件要求提交履约保证金；</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 xml:space="preserve">（3）中标人将中标项目转让给他人或者在投标文件中未说明且未经招标人同意，将中标项目分包给他人的； </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（4）投标人有串通投标、弄虚作假、行贿或其他严重违背公平竞争和诚实信用原则、扰乱招标投标正常秩序行为的；</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（5）发生投标人须知前附表规定的其他可以不予退还投标保证金的情形。</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3.5</w:t>
            </w:r>
          </w:p>
        </w:tc>
        <w:tc>
          <w:tcPr>
            <w:tcW w:w="7245" w:type="dxa"/>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资格和履约能力证明资料</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投标人须按照《政府采购法实施条例》以及招标文件的要求，按第</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章“投标文件格式”填写关于资格和履约能力的相关信息，并提供相关证明材料。包括但不限于：</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3.5.1.1</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法人或者其他组织的营业执照等证明文件，自然人的身份证明；</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3.5.1.2</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财务状况报告，依法缴纳税收和社会保障资金的相关材料；如：</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a)投标人是法人的，应提供本须知前附表规定年份的经审计的财务报告，或</w:t>
            </w:r>
            <w:r>
              <w:rPr>
                <w:rFonts w:hint="eastAsia" w:asciiTheme="minorEastAsia" w:hAnsiTheme="minorEastAsia" w:eastAsiaTheme="minorEastAsia" w:cstheme="minorEastAsia"/>
                <w:sz w:val="24"/>
                <w:szCs w:val="24"/>
                <w:lang w:val="en-US" w:eastAsia="zh-CN"/>
              </w:rPr>
              <w:t>其</w:t>
            </w:r>
            <w:r>
              <w:rPr>
                <w:rFonts w:hint="eastAsia" w:asciiTheme="minorEastAsia" w:hAnsiTheme="minorEastAsia" w:eastAsiaTheme="minorEastAsia" w:cstheme="minorEastAsia"/>
                <w:sz w:val="24"/>
                <w:szCs w:val="24"/>
              </w:rPr>
              <w:t>开户银行出具的资信证明。部分其他组织和自然人，没有经审计的财务报告，可以提供银行出具的资信证明。</w:t>
            </w:r>
          </w:p>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投标人如提供了财政部门认可的政府采购专业担保机构出具的投标担保函，则不需再提供上述财务状况报告。</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b)投标人应提供税务登记证和本须知前附表规定时间内的缴纳增值税、营业税和企业所得税的凭据。</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c) 投标人应提供社会保险登记证和本须知前附表规定时间内的缴纳社会保险的凭据。</w:t>
            </w:r>
          </w:p>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依法免税或不需要缴纳社会保障资金的投标人，应提供相应证明文件证明其依法免税或不需要缴纳社会保障资金。</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3.5.1.3</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具备履行合同所必需的设备和专业技术能力的证明材料；</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3.5.1.4</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参加本次政府采购活动前3年内在经营活动中没有重大违法记录的书面声明，</w:t>
            </w:r>
            <w:r>
              <w:rPr>
                <w:rFonts w:hint="eastAsia" w:asciiTheme="minorEastAsia" w:hAnsiTheme="minorEastAsia" w:eastAsiaTheme="minorEastAsia" w:cstheme="minorEastAsia"/>
                <w:b/>
                <w:sz w:val="24"/>
                <w:szCs w:val="24"/>
              </w:rPr>
              <w:t>重大违法记录指投标人因违法经营受到刑事处罚或者责令停产停业、吊销许可证或者执照、较大数额罚款等行政处罚</w:t>
            </w:r>
            <w:r>
              <w:rPr>
                <w:rFonts w:hint="eastAsia" w:asciiTheme="minorEastAsia" w:hAnsiTheme="minorEastAsia" w:eastAsiaTheme="minorEastAsia" w:cstheme="minorEastAsia"/>
                <w:sz w:val="24"/>
                <w:szCs w:val="24"/>
              </w:rPr>
              <w:t>；</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3.5.1.5</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投标人须知前附表规定的其他证明材料。</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如投标人为小微企业，</w:t>
            </w:r>
            <w:r>
              <w:rPr>
                <w:rFonts w:hint="eastAsia" w:asciiTheme="minorEastAsia" w:hAnsiTheme="minorEastAsia" w:eastAsiaTheme="minorEastAsia" w:cstheme="minorEastAsia"/>
                <w:bCs/>
                <w:sz w:val="24"/>
                <w:szCs w:val="24"/>
              </w:rPr>
              <w:t>应</w:t>
            </w:r>
            <w:r>
              <w:rPr>
                <w:rFonts w:hint="eastAsia" w:asciiTheme="minorEastAsia" w:hAnsiTheme="minorEastAsia" w:eastAsiaTheme="minorEastAsia" w:cstheme="minorEastAsia"/>
                <w:sz w:val="24"/>
                <w:szCs w:val="24"/>
              </w:rPr>
              <w:t>提供符合《政府采购促进中小企业发展管理办法》（财库﹝2020﹞46号）文格式要求的《中小企业声明函》。</w:t>
            </w:r>
          </w:p>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如投标人为残疾人福利性单位，</w:t>
            </w:r>
            <w:r>
              <w:rPr>
                <w:rFonts w:hint="eastAsia" w:asciiTheme="minorEastAsia" w:hAnsiTheme="minorEastAsia" w:eastAsiaTheme="minorEastAsia" w:cstheme="minorEastAsia"/>
                <w:bCs/>
                <w:sz w:val="24"/>
                <w:szCs w:val="24"/>
              </w:rPr>
              <w:t>应</w:t>
            </w:r>
            <w:r>
              <w:rPr>
                <w:rFonts w:hint="eastAsia" w:asciiTheme="minorEastAsia" w:hAnsiTheme="minorEastAsia" w:eastAsiaTheme="minorEastAsia" w:cstheme="minorEastAsia"/>
                <w:sz w:val="24"/>
                <w:szCs w:val="24"/>
              </w:rPr>
              <w:t>提供符合财库〔2017〕141号文格式要求的《残疾人福利性单位声明函》，</w:t>
            </w:r>
            <w:r>
              <w:rPr>
                <w:rFonts w:hint="eastAsia" w:asciiTheme="minorEastAsia" w:hAnsiTheme="minorEastAsia" w:eastAsiaTheme="minorEastAsia" w:cstheme="minorEastAsia"/>
                <w:kern w:val="0"/>
                <w:sz w:val="24"/>
                <w:szCs w:val="24"/>
              </w:rPr>
              <w:t>并对声明的真实性负责。</w:t>
            </w:r>
            <w:r>
              <w:rPr>
                <w:rFonts w:hint="eastAsia" w:asciiTheme="minorEastAsia" w:hAnsiTheme="minorEastAsia" w:eastAsiaTheme="minorEastAsia" w:cstheme="minorEastAsia"/>
                <w:sz w:val="24"/>
                <w:szCs w:val="24"/>
              </w:rPr>
              <w:t>一旦中标将在中标结果公告中公告其声明函，接受社会监督。</w:t>
            </w:r>
          </w:p>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如投标人为监狱或戒毒企业，应提供由省级以上监狱管理局、戒毒管理局（含新疆生产建设兵团）出具的属于监狱或戒毒企业的证明文件。</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bookmarkStart w:id="151" w:name="_Toc457747936"/>
            <w:bookmarkStart w:id="152" w:name="_Toc392227755"/>
            <w:r>
              <w:rPr>
                <w:rFonts w:hint="eastAsia" w:asciiTheme="minorEastAsia" w:hAnsiTheme="minorEastAsia" w:eastAsiaTheme="minorEastAsia" w:cstheme="minorEastAsia"/>
                <w:b/>
                <w:sz w:val="24"/>
                <w:szCs w:val="24"/>
              </w:rPr>
              <w:t>3.5.3</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投标人未如实提交上述证明材料或提供的资料不符合招标文件要求的，将承担在资格审查或符合性检查中被判定为不合格的风险，或在详细评审中不能享受相关政府采购政策的优惠。</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3.6</w:t>
            </w:r>
          </w:p>
        </w:tc>
        <w:tc>
          <w:tcPr>
            <w:tcW w:w="7245" w:type="dxa"/>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备选投标方案</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3.6.1</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除投标人须知前附表规定允许外，投标人不得递交备选投标方案，否则其投标无效。</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3.6.2</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允许投标人递交备选投标方案的，只有中标人所递交的备选投标方案方可予以考虑。评标委员会认为中标人的备选投标方案优于其按照招标文件要求编制的投标方案的，招标人可以接受该备选投标方案，但备选投标方案的报价不得高于投标报价。</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3.6.3</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投标人提供两个或两个以上投标报价，或者在投标文件中提供一个报价，但同时提供两个或两个以上供</w:t>
            </w:r>
            <w:bookmarkStart w:id="153" w:name="_Toc384308232"/>
            <w:bookmarkStart w:id="154" w:name="_Toc352691495"/>
            <w:bookmarkStart w:id="155" w:name="_Toc152045550"/>
            <w:bookmarkStart w:id="156" w:name="_Toc300834971"/>
            <w:bookmarkStart w:id="157" w:name="_Toc29902"/>
            <w:bookmarkStart w:id="158" w:name="_Toc144974518"/>
            <w:bookmarkStart w:id="159" w:name="_Toc361508607"/>
            <w:bookmarkStart w:id="160" w:name="_Toc247513974"/>
            <w:bookmarkStart w:id="161" w:name="_Toc369531538"/>
            <w:bookmarkStart w:id="162" w:name="_Toc247527575"/>
            <w:bookmarkStart w:id="163" w:name="_Toc152042326"/>
            <w:r>
              <w:rPr>
                <w:rFonts w:hint="eastAsia" w:asciiTheme="minorEastAsia" w:hAnsiTheme="minorEastAsia" w:eastAsiaTheme="minorEastAsia" w:cstheme="minorEastAsia"/>
                <w:sz w:val="24"/>
                <w:szCs w:val="24"/>
              </w:rPr>
              <w:t>货方案的</w:t>
            </w:r>
            <w:bookmarkEnd w:id="153"/>
            <w:bookmarkEnd w:id="154"/>
            <w:bookmarkEnd w:id="155"/>
            <w:bookmarkEnd w:id="156"/>
            <w:bookmarkEnd w:id="157"/>
            <w:bookmarkEnd w:id="158"/>
            <w:bookmarkEnd w:id="159"/>
            <w:bookmarkEnd w:id="160"/>
            <w:bookmarkEnd w:id="161"/>
            <w:bookmarkEnd w:id="162"/>
            <w:bookmarkEnd w:id="163"/>
            <w:r>
              <w:rPr>
                <w:rFonts w:hint="eastAsia" w:asciiTheme="minorEastAsia" w:hAnsiTheme="minorEastAsia" w:eastAsiaTheme="minorEastAsia" w:cstheme="minorEastAsia"/>
                <w:sz w:val="24"/>
                <w:szCs w:val="24"/>
              </w:rPr>
              <w:t>，视为提供备选方案。</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3.7</w:t>
            </w:r>
          </w:p>
        </w:tc>
        <w:tc>
          <w:tcPr>
            <w:tcW w:w="7245" w:type="dxa"/>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投标文件的编制</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3.7.1</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投标文件应按第</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章“投标文件格式”进行编写，如有必要，可以增加附页，作为投标文件的组成部分。</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3.7.2</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应用不褪色的材料书写或打印，投标函应由投标人的法定代表人（单位负责人）或其委托代理人签字（或盖章）或盖单位公章。由投标人的法定代表人（单位负责人）签字（或盖章）的，应附法定代表人（单位负责人）身份证明，由其委托代理人签字（或盖章）的，应附授权委托书，身份证明或授权委托书应符合第六章“投标文件格式”的要求。投标文件应尽量避免涂改、行间插字或删除。如果出现上述情况，改动之处应由投标人的法定代表人（单位负责人）或其委托代理人签字（或盖章）或盖单位公章。</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3.7.3</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投标文件的制作要求参照投标人须知前附表。</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3.7.4</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投标文件正本一份，副本份数见投标人须知前附表。正本和副本的封面</w:t>
            </w:r>
            <w:r>
              <w:rPr>
                <w:rStyle w:val="35"/>
                <w:rFonts w:hint="eastAsia" w:asciiTheme="minorEastAsia" w:hAnsiTheme="minorEastAsia" w:eastAsiaTheme="minorEastAsia" w:cstheme="minorEastAsia"/>
                <w:kern w:val="0"/>
                <w:sz w:val="24"/>
                <w:szCs w:val="24"/>
              </w:rPr>
              <w:t>右上角</w:t>
            </w:r>
            <w:r>
              <w:rPr>
                <w:rFonts w:hint="eastAsia" w:asciiTheme="minorEastAsia" w:hAnsiTheme="minorEastAsia" w:eastAsiaTheme="minorEastAsia" w:cstheme="minorEastAsia"/>
                <w:sz w:val="24"/>
                <w:szCs w:val="24"/>
              </w:rPr>
              <w:t>上应清楚地标记“正本”或“副本”的字样。投标人应根据投标人须知前附表要求提供电子版文件。</w:t>
            </w:r>
            <w:r>
              <w:rPr>
                <w:rFonts w:hint="eastAsia" w:asciiTheme="minorEastAsia" w:hAnsiTheme="minorEastAsia" w:eastAsiaTheme="minorEastAsia" w:cstheme="minorEastAsia"/>
                <w:b/>
                <w:sz w:val="24"/>
                <w:szCs w:val="24"/>
              </w:rPr>
              <w:t>当副本和正本不一致或电子版文件与</w:t>
            </w:r>
            <w:r>
              <w:rPr>
                <w:rFonts w:hint="eastAsia" w:asciiTheme="minorEastAsia" w:hAnsiTheme="minorEastAsia" w:eastAsiaTheme="minorEastAsia" w:cstheme="minorEastAsia"/>
                <w:b/>
                <w:sz w:val="24"/>
                <w:szCs w:val="24"/>
                <w:lang w:eastAsia="zh-CN"/>
              </w:rPr>
              <w:t>纸质</w:t>
            </w:r>
            <w:r>
              <w:rPr>
                <w:rFonts w:hint="eastAsia" w:asciiTheme="minorEastAsia" w:hAnsiTheme="minorEastAsia" w:eastAsiaTheme="minorEastAsia" w:cstheme="minorEastAsia"/>
                <w:b/>
                <w:sz w:val="24"/>
                <w:szCs w:val="24"/>
              </w:rPr>
              <w:t>正本文件不一致时，以</w:t>
            </w:r>
            <w:r>
              <w:rPr>
                <w:rFonts w:hint="eastAsia" w:asciiTheme="minorEastAsia" w:hAnsiTheme="minorEastAsia" w:eastAsiaTheme="minorEastAsia" w:cstheme="minorEastAsia"/>
                <w:b/>
                <w:sz w:val="24"/>
                <w:szCs w:val="24"/>
                <w:lang w:eastAsia="zh-CN"/>
              </w:rPr>
              <w:t>纸质</w:t>
            </w:r>
            <w:r>
              <w:rPr>
                <w:rFonts w:hint="eastAsia" w:asciiTheme="minorEastAsia" w:hAnsiTheme="minorEastAsia" w:eastAsiaTheme="minorEastAsia" w:cstheme="minorEastAsia"/>
                <w:b/>
                <w:sz w:val="24"/>
                <w:szCs w:val="24"/>
              </w:rPr>
              <w:t>正本文件为准</w:t>
            </w:r>
            <w:r>
              <w:rPr>
                <w:rFonts w:hint="eastAsia" w:asciiTheme="minorEastAsia" w:hAnsiTheme="minorEastAsia" w:eastAsiaTheme="minorEastAsia" w:cstheme="minorEastAsia"/>
                <w:sz w:val="24"/>
                <w:szCs w:val="24"/>
              </w:rPr>
              <w:t>。</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3.7.5</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投标文件的正本与副本应分别装订，并编制目录，投标文件需分册装订的，具体分册装订要求见投标人须知前附表规定。</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3.7.6</w:t>
            </w: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投标文件的签署：</w:t>
            </w:r>
          </w:p>
        </w:tc>
      </w:tr>
      <w:tr>
        <w:tblPrEx>
          <w:tblCellMar>
            <w:top w:w="0" w:type="dxa"/>
            <w:left w:w="108" w:type="dxa"/>
            <w:bottom w:w="0" w:type="dxa"/>
            <w:right w:w="108" w:type="dxa"/>
          </w:tblCellMar>
        </w:tblPrEx>
        <w:tc>
          <w:tcPr>
            <w:tcW w:w="1215" w:type="dxa"/>
            <w:gridSpan w:val="2"/>
            <w:vAlign w:val="top"/>
          </w:tcPr>
          <w:p>
            <w:pPr>
              <w:spacing w:line="240" w:lineRule="auto"/>
              <w:rPr>
                <w:rFonts w:hint="eastAsia" w:asciiTheme="minorEastAsia" w:hAnsiTheme="minorEastAsia" w:eastAsiaTheme="minorEastAsia" w:cstheme="minorEastAsia"/>
                <w:sz w:val="24"/>
                <w:szCs w:val="24"/>
              </w:rPr>
            </w:pPr>
          </w:p>
        </w:tc>
        <w:tc>
          <w:tcPr>
            <w:tcW w:w="7245" w:type="dxa"/>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投标文件中“开标一览表”、“投标分项报价表”等重要表格以及凡出现投标人单位落款的地方除了由投标人法定代表人或其授权的委托人签字</w:t>
            </w:r>
            <w:r>
              <w:rPr>
                <w:rFonts w:hint="eastAsia" w:asciiTheme="minorEastAsia" w:hAnsiTheme="minorEastAsia" w:eastAsiaTheme="minorEastAsia" w:cstheme="minorEastAsia"/>
                <w:b/>
                <w:bCs/>
                <w:sz w:val="24"/>
                <w:szCs w:val="24"/>
                <w:lang w:eastAsia="zh-CN"/>
              </w:rPr>
              <w:t>或盖章</w:t>
            </w:r>
            <w:r>
              <w:rPr>
                <w:rFonts w:hint="eastAsia" w:asciiTheme="minorEastAsia" w:hAnsiTheme="minorEastAsia" w:eastAsiaTheme="minorEastAsia" w:cstheme="minorEastAsia"/>
                <w:b/>
                <w:bCs/>
                <w:sz w:val="24"/>
                <w:szCs w:val="24"/>
              </w:rPr>
              <w:t>之外，还必须同时盖单位章。</w:t>
            </w:r>
          </w:p>
        </w:tc>
      </w:tr>
      <w:tr>
        <w:tblPrEx>
          <w:tblCellMar>
            <w:top w:w="0" w:type="dxa"/>
            <w:left w:w="108" w:type="dxa"/>
            <w:bottom w:w="0" w:type="dxa"/>
            <w:right w:w="108" w:type="dxa"/>
          </w:tblCellMar>
        </w:tblPrEx>
        <w:tc>
          <w:tcPr>
            <w:tcW w:w="8460" w:type="dxa"/>
            <w:gridSpan w:val="3"/>
            <w:vAlign w:val="top"/>
          </w:tcPr>
          <w:p>
            <w:pPr>
              <w:spacing w:line="240" w:lineRule="auto"/>
              <w:outlineLvl w:val="1"/>
              <w:rPr>
                <w:rFonts w:hint="eastAsia" w:asciiTheme="minorEastAsia" w:hAnsiTheme="minorEastAsia" w:eastAsiaTheme="minorEastAsia" w:cstheme="minorEastAsia"/>
                <w:b/>
                <w:bCs/>
                <w:sz w:val="24"/>
                <w:szCs w:val="24"/>
              </w:rPr>
            </w:pPr>
            <w:bookmarkStart w:id="164" w:name="_Toc3449"/>
            <w:r>
              <w:rPr>
                <w:rFonts w:hint="eastAsia" w:asciiTheme="minorEastAsia" w:hAnsiTheme="minorEastAsia" w:eastAsiaTheme="minorEastAsia" w:cstheme="minorEastAsia"/>
                <w:b/>
                <w:bCs/>
                <w:sz w:val="24"/>
                <w:szCs w:val="24"/>
              </w:rPr>
              <w:t>4.</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投标</w:t>
            </w:r>
            <w:bookmarkEnd w:id="164"/>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4.1</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投标文件的密封和标记</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投标文件应密封包装，包装要求见投标人须知前附表。</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投标文件封套上应写明的内容见投标人须知前附表。</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4.2</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投标文件的递交</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投标人应在投标人须知前附表规定的投标截止时间前递交投标文件。</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投标人递交投标文件的地点：见投标人须知前附表。</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除投标人须知前附表另有规定外，投标人所递交的投标文件不予退还。</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4.2.4</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招标人接收投标文件后，向投标人出具签收凭证。</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4.3</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投标文件的拒收</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有下列情形之一的，投标文件应当被拒收。</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投标文件逾期送达或者未送达指定地点的；</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投标文件未按照招标文件要求密封的。</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4.4</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投标文件的修改与撤回</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在本章第4.2.1项规定的投标截止时间前，投标人可以修改或撤回已递交的投标文件，但应以书面形式通知招标人。</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投标人修改或撤回已递交投标文件的书面通知应按照本章第3.7.2项的要求签字或盖章。招标人收到书面通知后，向投标人出具签收凭证。</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投标人撤回投标文件的，招标人自收到投标人书面撤回通知之日起5日内退还已收取的投标保证金。</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4.4.4</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修改的内容为投标文件的组成部分。修改的投标文件应按照本章第3条、第4条的规定进行编制、密封、标记和递交，并标明“修改”字样。</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4.5</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投标人必须保证投标资料的真实性，招标人、招标代理机构或评标委员会保留进一步核查投标资料原件的权力，对于弄虚作假的行为，投标人将自行承担由此而引起的各种法律后果和责任。</w:t>
            </w:r>
          </w:p>
        </w:tc>
      </w:tr>
      <w:tr>
        <w:tblPrEx>
          <w:tblCellMar>
            <w:top w:w="0" w:type="dxa"/>
            <w:left w:w="108" w:type="dxa"/>
            <w:bottom w:w="0" w:type="dxa"/>
            <w:right w:w="108" w:type="dxa"/>
          </w:tblCellMar>
        </w:tblPrEx>
        <w:tc>
          <w:tcPr>
            <w:tcW w:w="8460" w:type="dxa"/>
            <w:gridSpan w:val="3"/>
            <w:vAlign w:val="top"/>
          </w:tcPr>
          <w:p>
            <w:pPr>
              <w:spacing w:line="240" w:lineRule="auto"/>
              <w:outlineLvl w:val="1"/>
              <w:rPr>
                <w:rFonts w:hint="eastAsia" w:asciiTheme="minorEastAsia" w:hAnsiTheme="minorEastAsia" w:eastAsiaTheme="minorEastAsia" w:cstheme="minorEastAsia"/>
                <w:b/>
                <w:bCs/>
                <w:sz w:val="24"/>
                <w:szCs w:val="24"/>
              </w:rPr>
            </w:pPr>
            <w:bookmarkStart w:id="165" w:name="_Toc26636"/>
            <w:r>
              <w:rPr>
                <w:rFonts w:hint="eastAsia" w:asciiTheme="minorEastAsia" w:hAnsiTheme="minorEastAsia" w:eastAsiaTheme="minorEastAsia" w:cstheme="minorEastAsia"/>
                <w:b/>
                <w:bCs/>
                <w:sz w:val="24"/>
                <w:szCs w:val="24"/>
              </w:rPr>
              <w:t>5.</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开标</w:t>
            </w:r>
            <w:bookmarkEnd w:id="165"/>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5.1</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开标时间和地点</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招标人在本章第4.2.1项规定的投标截止时间（开标时间）和投标人须知前附表规定的地点公开开标，并邀请所有投标人的法定代表人（单位负责人）或其委托代理人准时参加。</w:t>
            </w:r>
            <w:r>
              <w:rPr>
                <w:rFonts w:hint="eastAsia" w:asciiTheme="minorEastAsia" w:hAnsiTheme="minorEastAsia" w:eastAsiaTheme="minorEastAsia" w:cstheme="minorEastAsia"/>
                <w:b/>
                <w:snapToGrid w:val="0"/>
                <w:kern w:val="0"/>
                <w:sz w:val="24"/>
                <w:szCs w:val="24"/>
              </w:rPr>
              <w:t>投标人代表应当参加开标，如投标人代表未出席开标大会及未在开标记录上签字的各方代表均视作对开标过程无异议。</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5.2</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开标程序</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主持人按下列程序进行开标：</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numPr>
                <w:ilvl w:val="0"/>
                <w:numId w:val="9"/>
              </w:numPr>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宣布开标纪律；</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numPr>
                <w:ilvl w:val="0"/>
                <w:numId w:val="9"/>
              </w:numPr>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宣布开标人、唱标人、记录人等有关人员姓名；</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numPr>
                <w:ilvl w:val="0"/>
                <w:numId w:val="9"/>
              </w:numPr>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公布在投标截止时间前递交投标文件的投标人名称；</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numPr>
                <w:ilvl w:val="0"/>
                <w:numId w:val="9"/>
              </w:numPr>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宣布对投标文件的密封情况查验结果；</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numPr>
                <w:ilvl w:val="0"/>
                <w:numId w:val="9"/>
              </w:numPr>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按照投标人须知前附表的规定确定并宣布投标文件开标顺序；</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numPr>
                <w:ilvl w:val="0"/>
                <w:numId w:val="9"/>
              </w:numPr>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按照宣布的开标顺序当众开标，公布投标人名称、投标报价及其他内容，并记录在案；</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numPr>
                <w:ilvl w:val="0"/>
                <w:numId w:val="9"/>
              </w:numPr>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投标人代表、记录人等有关人员在开标记录上签字确认；</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numPr>
                <w:ilvl w:val="0"/>
                <w:numId w:val="9"/>
              </w:numPr>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未出席开标大会以及未在开标记录上签字的各方代表均视为对开标过程无异议。</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numPr>
                <w:ilvl w:val="0"/>
                <w:numId w:val="9"/>
              </w:numPr>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开标结束。</w:t>
            </w:r>
          </w:p>
        </w:tc>
      </w:tr>
      <w:tr>
        <w:tblPrEx>
          <w:tblCellMar>
            <w:top w:w="0" w:type="dxa"/>
            <w:left w:w="108" w:type="dxa"/>
            <w:bottom w:w="0" w:type="dxa"/>
            <w:right w:w="108" w:type="dxa"/>
          </w:tblCellMar>
        </w:tblPrEx>
        <w:tc>
          <w:tcPr>
            <w:tcW w:w="8460" w:type="dxa"/>
            <w:gridSpan w:val="3"/>
            <w:vAlign w:val="top"/>
          </w:tcPr>
          <w:p>
            <w:pPr>
              <w:spacing w:line="240" w:lineRule="auto"/>
              <w:outlineLvl w:val="1"/>
              <w:rPr>
                <w:rFonts w:hint="eastAsia" w:asciiTheme="minorEastAsia" w:hAnsiTheme="minorEastAsia" w:eastAsiaTheme="minorEastAsia" w:cstheme="minorEastAsia"/>
                <w:b/>
                <w:bCs/>
                <w:sz w:val="24"/>
                <w:szCs w:val="24"/>
              </w:rPr>
            </w:pPr>
            <w:bookmarkStart w:id="166" w:name="_Toc28140"/>
            <w:r>
              <w:rPr>
                <w:rFonts w:hint="eastAsia" w:asciiTheme="minorEastAsia" w:hAnsiTheme="minorEastAsia" w:eastAsiaTheme="minorEastAsia" w:cstheme="minorEastAsia"/>
                <w:b/>
                <w:bCs/>
                <w:sz w:val="24"/>
                <w:szCs w:val="24"/>
              </w:rPr>
              <w:t>6.</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资格审查</w:t>
            </w:r>
            <w:bookmarkEnd w:id="166"/>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sz w:val="24"/>
                <w:szCs w:val="24"/>
              </w:rPr>
              <w:t>6.1</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开标结束后，招标人和招标代理机构将对投标人的资格进行审查，检查投标人资格是否符合本项目投标邀请中列明的对投标人的资格要求。</w:t>
            </w:r>
            <w:r>
              <w:rPr>
                <w:rFonts w:hint="eastAsia" w:asciiTheme="minorEastAsia" w:hAnsiTheme="minorEastAsia" w:eastAsiaTheme="minorEastAsia" w:cstheme="minorEastAsia"/>
                <w:b/>
                <w:sz w:val="24"/>
                <w:szCs w:val="24"/>
              </w:rPr>
              <w:t>合格投标人不足3家的，不再进行评标，本项目流标。</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招标人和招标代理机构在对投标人的资格进行审查的同时，在“信用中国”网站（www.creditchina.gov.cn）查询投标人的信用信息，</w:t>
            </w:r>
            <w:r>
              <w:rPr>
                <w:rFonts w:hint="eastAsia" w:asciiTheme="minorEastAsia" w:hAnsiTheme="minorEastAsia" w:eastAsiaTheme="minorEastAsia" w:cstheme="minorEastAsia"/>
                <w:b/>
                <w:sz w:val="24"/>
                <w:szCs w:val="24"/>
              </w:rPr>
              <w:t>信用信息查询记录和证据留存的方式采用网页截屏打印</w:t>
            </w:r>
            <w:r>
              <w:rPr>
                <w:rFonts w:hint="eastAsia" w:asciiTheme="minorEastAsia" w:hAnsiTheme="minorEastAsia" w:eastAsiaTheme="minorEastAsia" w:cstheme="minorEastAsia"/>
                <w:sz w:val="24"/>
                <w:szCs w:val="24"/>
              </w:rPr>
              <w:t>，与采购文件等一并归档。</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6.3</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提供相同品牌产品（包括同一制造商生产的相同品牌产品和不同制造商生产的相同品牌产品）的不同投标人参加同一合同项下投标的，按一家投标人计算。认定后投标品牌不足3个的，不再进行评标，本项目流标。</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6.4</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投标人须知前附表规定了核心产品的，不同投标人提供的核心产品品牌相同的，按前款规定处理。</w:t>
            </w:r>
          </w:p>
        </w:tc>
      </w:tr>
      <w:tr>
        <w:tblPrEx>
          <w:tblCellMar>
            <w:top w:w="0" w:type="dxa"/>
            <w:left w:w="108" w:type="dxa"/>
            <w:bottom w:w="0" w:type="dxa"/>
            <w:right w:w="108" w:type="dxa"/>
          </w:tblCellMar>
        </w:tblPrEx>
        <w:tc>
          <w:tcPr>
            <w:tcW w:w="8460" w:type="dxa"/>
            <w:gridSpan w:val="3"/>
            <w:vAlign w:val="top"/>
          </w:tcPr>
          <w:p>
            <w:pPr>
              <w:spacing w:line="240" w:lineRule="auto"/>
              <w:outlineLvl w:val="1"/>
              <w:rPr>
                <w:rFonts w:hint="eastAsia" w:asciiTheme="minorEastAsia" w:hAnsiTheme="minorEastAsia" w:eastAsiaTheme="minorEastAsia" w:cstheme="minorEastAsia"/>
                <w:b/>
                <w:bCs/>
                <w:sz w:val="24"/>
                <w:szCs w:val="24"/>
              </w:rPr>
            </w:pPr>
            <w:bookmarkStart w:id="167" w:name="_Toc25589"/>
            <w:r>
              <w:rPr>
                <w:rFonts w:hint="eastAsia" w:asciiTheme="minorEastAsia" w:hAnsiTheme="minorEastAsia" w:eastAsiaTheme="minorEastAsia" w:cstheme="minorEastAsia"/>
                <w:b/>
                <w:bCs/>
                <w:sz w:val="24"/>
                <w:szCs w:val="24"/>
              </w:rPr>
              <w:t>7.</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评标</w:t>
            </w:r>
            <w:bookmarkEnd w:id="167"/>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7.1</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评标委员会</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评标由招标人依法组建的评标委员会负责。</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7.2</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评标原则</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评标活动遵循公平、公正、科学和择优的原则。</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7.3</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评标</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评标委员会按照第三章“评标办法”规定的方法、评审因素、标准和程序对投标文件进行评审。第三章“评标办法”没有规定的方法、评审因素和标准，不作为评标依据。</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除投标人须知前附表规定评标委员会直接确定中标人外，评标委员会应当向招标人提交推荐中标候选人名单，推荐中标候选人的人数见投标人须知前附表。</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评标完成后，评标委员会应当向招标人提交书面评标报告。</w:t>
            </w:r>
          </w:p>
        </w:tc>
      </w:tr>
      <w:tr>
        <w:tblPrEx>
          <w:tblCellMar>
            <w:top w:w="0" w:type="dxa"/>
            <w:left w:w="108" w:type="dxa"/>
            <w:bottom w:w="0" w:type="dxa"/>
            <w:right w:w="108" w:type="dxa"/>
          </w:tblCellMar>
        </w:tblPrEx>
        <w:tc>
          <w:tcPr>
            <w:tcW w:w="8460" w:type="dxa"/>
            <w:gridSpan w:val="3"/>
            <w:vAlign w:val="top"/>
          </w:tcPr>
          <w:p>
            <w:pPr>
              <w:spacing w:line="240" w:lineRule="auto"/>
              <w:outlineLvl w:val="1"/>
              <w:rPr>
                <w:rFonts w:hint="eastAsia" w:asciiTheme="minorEastAsia" w:hAnsiTheme="minorEastAsia" w:eastAsiaTheme="minorEastAsia" w:cstheme="minorEastAsia"/>
                <w:b/>
                <w:bCs/>
                <w:sz w:val="24"/>
                <w:szCs w:val="24"/>
              </w:rPr>
            </w:pPr>
            <w:bookmarkStart w:id="168" w:name="_Toc20875"/>
            <w:r>
              <w:rPr>
                <w:rFonts w:hint="eastAsia" w:asciiTheme="minorEastAsia" w:hAnsiTheme="minorEastAsia" w:eastAsiaTheme="minorEastAsia" w:cstheme="minorEastAsia"/>
                <w:b/>
                <w:bCs/>
                <w:sz w:val="24"/>
                <w:szCs w:val="24"/>
              </w:rPr>
              <w:t>8.</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合同授予</w:t>
            </w:r>
            <w:bookmarkEnd w:id="168"/>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8.1</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定标</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由招标人或招标人委托评标委员会依法确定中标人。</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8.2</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中标结果公告及中标通知</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本章第3.3款规定的投标有效期内，招标人确认中标人后，招标代理机构通过发布招标公告的同一媒介对中标结果进行公告，公告期限为1个工作日。中标结果公告的同时，招标人或招标代理机构将向中标人发出中标通知书</w:t>
            </w:r>
            <w:bookmarkStart w:id="169" w:name="_Toc352691506"/>
            <w:bookmarkStart w:id="170" w:name="_Toc361508619"/>
            <w:bookmarkStart w:id="171" w:name="_Toc5668"/>
            <w:bookmarkStart w:id="172" w:name="_Toc384308244"/>
            <w:bookmarkStart w:id="173" w:name="_Toc300834983"/>
            <w:bookmarkStart w:id="174" w:name="_Toc369531550"/>
            <w:r>
              <w:rPr>
                <w:rFonts w:hint="eastAsia" w:asciiTheme="minorEastAsia" w:hAnsiTheme="minorEastAsia" w:eastAsiaTheme="minorEastAsia" w:cstheme="minorEastAsia"/>
                <w:sz w:val="24"/>
                <w:szCs w:val="24"/>
              </w:rPr>
              <w:t>，同时将中</w:t>
            </w:r>
            <w:bookmarkEnd w:id="169"/>
            <w:bookmarkEnd w:id="170"/>
            <w:bookmarkEnd w:id="171"/>
            <w:bookmarkEnd w:id="172"/>
            <w:bookmarkEnd w:id="173"/>
            <w:bookmarkEnd w:id="174"/>
            <w:r>
              <w:rPr>
                <w:rFonts w:hint="eastAsia" w:asciiTheme="minorEastAsia" w:hAnsiTheme="minorEastAsia" w:eastAsiaTheme="minorEastAsia" w:cstheme="minorEastAsia"/>
                <w:sz w:val="24"/>
                <w:szCs w:val="24"/>
              </w:rPr>
              <w:t>标结果通知未中标的投标人。</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8.3</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履约保证金</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应按投标人须知前附表规定的形式、金额、提交时间和招标文件第四章“合同格式”规定的或者事先经过招标人书面认可的履约保证金格式向招标人提交履约保证金。除投标人须知前附表另有规定外，履约保证金金额为中标合同金额的10%。联合体中标的，其履约保证金以联合体各方或者联合体中牵头人的名义提交。</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中标人不能按本章第8.4.1项要求提交履约保证金的，视为放弃中标，其投标保证金不予退还，给招标人造成的损失超过投标保证金数额的，中标人还应当对超过部分予以赔偿。</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8.4</w:t>
            </w:r>
          </w:p>
        </w:tc>
        <w:tc>
          <w:tcPr>
            <w:tcW w:w="7402" w:type="dxa"/>
            <w:gridSpan w:val="2"/>
            <w:vAlign w:val="top"/>
          </w:tcPr>
          <w:p>
            <w:pPr>
              <w:pStyle w:val="5"/>
              <w:keepNext w:val="0"/>
              <w:keepLines w:val="0"/>
              <w:pageBreakBefore w:val="0"/>
              <w:kinsoku/>
              <w:overflowPunct/>
              <w:bidi w:val="0"/>
              <w:spacing w:before="0" w:beforeLines="0" w:beforeAutospacing="0" w:after="0" w:afterLines="0" w:afterAutospacing="0"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签订合同</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招标人和中标人应当在</w:t>
            </w:r>
            <w:r>
              <w:rPr>
                <w:rFonts w:hint="eastAsia" w:asciiTheme="minorEastAsia" w:hAnsiTheme="minorEastAsia" w:eastAsiaTheme="minorEastAsia" w:cstheme="minorEastAsia"/>
                <w:sz w:val="24"/>
              </w:rPr>
              <w:t>投标有效期内以及</w:t>
            </w:r>
            <w:r>
              <w:rPr>
                <w:rFonts w:hint="eastAsia" w:asciiTheme="minorEastAsia" w:hAnsiTheme="minorEastAsia" w:eastAsiaTheme="minorEastAsia" w:cstheme="minorEastAsia"/>
                <w:sz w:val="24"/>
                <w:szCs w:val="24"/>
              </w:rPr>
              <w:t>中标通知书发出之日起</w:t>
            </w:r>
            <w:bookmarkStart w:id="175" w:name="_Toc247513988"/>
            <w:bookmarkStart w:id="176" w:name="_Toc4656"/>
            <w:bookmarkStart w:id="177" w:name="_Toc247527589"/>
            <w:bookmarkStart w:id="178" w:name="_Toc352691509"/>
            <w:bookmarkStart w:id="179" w:name="_Toc152045564"/>
            <w:bookmarkStart w:id="180" w:name="_Toc152042340"/>
            <w:bookmarkStart w:id="181" w:name="_Toc300834986"/>
            <w:bookmarkStart w:id="182" w:name="_Toc144974532"/>
            <w:bookmarkStart w:id="183" w:name="_Toc361508622"/>
            <w:bookmarkStart w:id="184" w:name="_Toc384308247"/>
            <w:bookmarkStart w:id="185" w:name="_Toc369531553"/>
            <w:r>
              <w:rPr>
                <w:rFonts w:hint="eastAsia" w:asciiTheme="minorEastAsia" w:hAnsiTheme="minorEastAsia" w:eastAsiaTheme="minorEastAsia" w:cstheme="minorEastAsia"/>
                <w:sz w:val="24"/>
                <w:szCs w:val="24"/>
              </w:rPr>
              <w:t>30日内，根据招</w:t>
            </w:r>
            <w:bookmarkEnd w:id="175"/>
            <w:bookmarkEnd w:id="176"/>
            <w:bookmarkEnd w:id="177"/>
            <w:bookmarkEnd w:id="178"/>
            <w:bookmarkEnd w:id="179"/>
            <w:bookmarkEnd w:id="180"/>
            <w:bookmarkEnd w:id="181"/>
            <w:bookmarkEnd w:id="182"/>
            <w:bookmarkEnd w:id="183"/>
            <w:bookmarkEnd w:id="184"/>
            <w:bookmarkEnd w:id="185"/>
            <w:r>
              <w:rPr>
                <w:rFonts w:hint="eastAsia" w:asciiTheme="minorEastAsia" w:hAnsiTheme="minorEastAsia" w:eastAsiaTheme="minorEastAsia" w:cstheme="minorEastAsia"/>
                <w:sz w:val="24"/>
                <w:szCs w:val="24"/>
              </w:rPr>
              <w:t>标文件和中标人的投标文件订立书面合同。中标人无正</w:t>
            </w:r>
            <w:bookmarkStart w:id="186" w:name="_Toc247527590"/>
            <w:bookmarkStart w:id="187" w:name="_Toc361508623"/>
            <w:bookmarkStart w:id="188" w:name="_Toc247513989"/>
            <w:bookmarkStart w:id="189" w:name="_Toc369531554"/>
            <w:bookmarkStart w:id="190" w:name="_Toc384308248"/>
            <w:bookmarkStart w:id="191" w:name="_Toc144974533"/>
            <w:bookmarkStart w:id="192" w:name="_Toc152042341"/>
            <w:bookmarkStart w:id="193" w:name="_Toc18247"/>
            <w:bookmarkStart w:id="194" w:name="_Toc300834987"/>
            <w:bookmarkStart w:id="195" w:name="_Toc152045565"/>
            <w:bookmarkStart w:id="196" w:name="_Toc352691510"/>
            <w:r>
              <w:rPr>
                <w:rFonts w:hint="eastAsia" w:asciiTheme="minorEastAsia" w:hAnsiTheme="minorEastAsia" w:eastAsiaTheme="minorEastAsia" w:cstheme="minorEastAsia"/>
                <w:sz w:val="24"/>
                <w:szCs w:val="24"/>
              </w:rPr>
              <w:t>当理由拒签合</w:t>
            </w:r>
            <w:bookmarkEnd w:id="186"/>
            <w:bookmarkEnd w:id="187"/>
            <w:bookmarkEnd w:id="188"/>
            <w:bookmarkEnd w:id="189"/>
            <w:bookmarkEnd w:id="190"/>
            <w:bookmarkEnd w:id="191"/>
            <w:bookmarkEnd w:id="192"/>
            <w:bookmarkEnd w:id="193"/>
            <w:bookmarkEnd w:id="194"/>
            <w:bookmarkEnd w:id="195"/>
            <w:bookmarkEnd w:id="196"/>
            <w:r>
              <w:rPr>
                <w:rFonts w:hint="eastAsia" w:asciiTheme="minorEastAsia" w:hAnsiTheme="minorEastAsia" w:eastAsiaTheme="minorEastAsia" w:cstheme="minorEastAsia"/>
                <w:sz w:val="24"/>
                <w:szCs w:val="24"/>
              </w:rPr>
              <w:t>同，或者提出其他附加条件的，招标人有权取消其中标资格，其投标保证金不予退还；给招标人造成的损失超过投标保证金数额的，中标人还应当对超过部分予以赔偿。</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发出中标通知书后，招标人无正当理由拒签合同的，或者提出其他附加条件的，招标人向中标人退还投标保证金；给中标人造成损失的，还应当赔偿损失。</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联合体中标的，联合体各方应当共同与招标人签订合同，就中标项目向招标人承担连带责任。</w:t>
            </w:r>
          </w:p>
        </w:tc>
      </w:tr>
      <w:tr>
        <w:tblPrEx>
          <w:tblCellMar>
            <w:top w:w="0" w:type="dxa"/>
            <w:left w:w="108" w:type="dxa"/>
            <w:bottom w:w="0" w:type="dxa"/>
            <w:right w:w="108" w:type="dxa"/>
          </w:tblCellMar>
        </w:tblPrEx>
        <w:tc>
          <w:tcPr>
            <w:tcW w:w="8460" w:type="dxa"/>
            <w:gridSpan w:val="3"/>
            <w:vAlign w:val="top"/>
          </w:tcPr>
          <w:p>
            <w:pPr>
              <w:spacing w:line="240" w:lineRule="auto"/>
              <w:outlineLvl w:val="1"/>
              <w:rPr>
                <w:rFonts w:hint="eastAsia" w:asciiTheme="minorEastAsia" w:hAnsiTheme="minorEastAsia" w:eastAsiaTheme="minorEastAsia" w:cstheme="minorEastAsia"/>
                <w:b/>
                <w:bCs/>
                <w:sz w:val="24"/>
                <w:szCs w:val="24"/>
              </w:rPr>
            </w:pPr>
            <w:bookmarkStart w:id="197" w:name="_Toc9635"/>
            <w:r>
              <w:rPr>
                <w:rFonts w:hint="eastAsia" w:asciiTheme="minorEastAsia" w:hAnsiTheme="minorEastAsia" w:eastAsiaTheme="minorEastAsia" w:cstheme="minorEastAsia"/>
                <w:b/>
                <w:bCs/>
                <w:sz w:val="24"/>
                <w:szCs w:val="24"/>
              </w:rPr>
              <w:t>9.</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质疑</w:t>
            </w:r>
            <w:bookmarkEnd w:id="197"/>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本次政府采购活动的供应商认为招标文件、招标过程和中标结果使自己的权益受到损害的，可以在知道或者应当知道其权益受到损害之日起7个工作日内，以书面纸质原件形式向投标人须知前附表中载明的联系单位、联系人、联系电话和联系地址，一次性提出针对同一采购环节的质疑。</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9.2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质疑函内容应当包括以下主要内容：</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9.2.1</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供应商的姓名或者名称、地址、邮编、联系人及联系电话；</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9.2.2</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质疑项目的名称、编号；</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具体、明确的质疑事项和与质疑事项相关的请求；</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9.2.</w:t>
            </w:r>
            <w:r>
              <w:rPr>
                <w:rFonts w:hint="eastAsia" w:asciiTheme="minorEastAsia" w:hAnsiTheme="minorEastAsia" w:eastAsiaTheme="minorEastAsia" w:cstheme="minorEastAsia"/>
                <w:sz w:val="24"/>
                <w:szCs w:val="24"/>
                <w:lang w:val="en-US" w:eastAsia="zh-CN"/>
              </w:rPr>
              <w:t>4</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事实依据；</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9.2.</w:t>
            </w:r>
            <w:r>
              <w:rPr>
                <w:rFonts w:hint="eastAsia" w:asciiTheme="minorEastAsia" w:hAnsiTheme="minorEastAsia" w:eastAsiaTheme="minorEastAsia" w:cstheme="minorEastAsia"/>
                <w:sz w:val="24"/>
                <w:szCs w:val="24"/>
                <w:lang w:val="en-US" w:eastAsia="zh-CN"/>
              </w:rPr>
              <w:t>5</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必要的法律依据；</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9.2.</w:t>
            </w:r>
            <w:r>
              <w:rPr>
                <w:rFonts w:hint="eastAsia" w:asciiTheme="minorEastAsia" w:hAnsiTheme="minorEastAsia" w:eastAsiaTheme="minorEastAsia" w:cstheme="minorEastAsia"/>
                <w:sz w:val="24"/>
                <w:szCs w:val="24"/>
                <w:lang w:val="en-US" w:eastAsia="zh-CN"/>
              </w:rPr>
              <w:t>6</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提出质疑的日期。</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疑函应当署名，一式叁份。由法定代表人或者授权代表签字并加盖公章后生效；其他组织或者自然人提出质疑的，质疑函必须由其主要负责人或者质疑提起人本人签字，并附有效身份证明复印件。代理人办理质疑事务时，还应当提交授权委托书，授权委托书应当载明代理人的姓名或者名称、代理事项、具体权限、期限和相关事项。否则招标人或者招标代理机构不予受理。</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9.4</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书面纸质原件形式外的其他任何方式的质疑，或者质疑函的内容不全的，招标人或者招标代理机构均不予接受和回复。</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9.5</w:t>
            </w: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招标人或者招标代理机构在收到质疑函后7个工作日内作出书面答复，并以书面形式通知质疑供应商和其他有关供应商，但答复内容涉及商业秘密的除外。</w:t>
            </w:r>
          </w:p>
        </w:tc>
      </w:tr>
      <w:tr>
        <w:tblPrEx>
          <w:tblCellMar>
            <w:top w:w="0" w:type="dxa"/>
            <w:left w:w="108" w:type="dxa"/>
            <w:bottom w:w="0" w:type="dxa"/>
            <w:right w:w="108" w:type="dxa"/>
          </w:tblCellMar>
        </w:tblPrEx>
        <w:tc>
          <w:tcPr>
            <w:tcW w:w="8460" w:type="dxa"/>
            <w:gridSpan w:val="3"/>
            <w:vAlign w:val="top"/>
          </w:tcPr>
          <w:p>
            <w:pPr>
              <w:spacing w:line="240" w:lineRule="auto"/>
              <w:outlineLvl w:val="1"/>
              <w:rPr>
                <w:rFonts w:hint="eastAsia" w:asciiTheme="minorEastAsia" w:hAnsiTheme="minorEastAsia" w:eastAsiaTheme="minorEastAsia" w:cstheme="minorEastAsia"/>
                <w:b/>
                <w:bCs/>
                <w:sz w:val="24"/>
                <w:szCs w:val="24"/>
              </w:rPr>
            </w:pPr>
            <w:bookmarkStart w:id="198" w:name="_Toc28416"/>
            <w:r>
              <w:rPr>
                <w:rFonts w:hint="eastAsia" w:asciiTheme="minorEastAsia" w:hAnsiTheme="minorEastAsia" w:eastAsiaTheme="minorEastAsia" w:cstheme="minorEastAsia"/>
                <w:b/>
                <w:bCs/>
                <w:sz w:val="24"/>
                <w:szCs w:val="24"/>
              </w:rPr>
              <w:t>10.</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需要补充的其他内容</w:t>
            </w:r>
            <w:bookmarkEnd w:id="198"/>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w:t>
            </w:r>
          </w:p>
        </w:tc>
        <w:tc>
          <w:tcPr>
            <w:tcW w:w="7402" w:type="dxa"/>
            <w:gridSpan w:val="2"/>
            <w:vAlign w:val="top"/>
          </w:tcPr>
          <w:p>
            <w:pPr>
              <w:keepNext w:val="0"/>
              <w:keepLines w:val="0"/>
              <w:pageBreakBefore w:val="0"/>
              <w:kinsoku/>
              <w:overflowPunct/>
              <w:bidi w:val="0"/>
              <w:spacing w:beforeAutospacing="0" w:afterAutospacing="0" w:line="240" w:lineRule="auto"/>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争议的解决</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p>
        </w:tc>
        <w:tc>
          <w:tcPr>
            <w:tcW w:w="7402" w:type="dxa"/>
            <w:gridSpan w:val="2"/>
            <w:vAlign w:val="top"/>
          </w:tcPr>
          <w:p>
            <w:pPr>
              <w:keepNext w:val="0"/>
              <w:keepLines w:val="0"/>
              <w:pageBreakBefore w:val="0"/>
              <w:kinsoku/>
              <w:overflowPunct/>
              <w:bidi w:val="0"/>
              <w:spacing w:beforeAutospacing="0" w:afterAutospacing="0"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在招投标过程中发生的争议，招投标各方当事人应及时沟通、协商解决。</w:t>
            </w:r>
          </w:p>
        </w:tc>
      </w:tr>
      <w:tr>
        <w:tblPrEx>
          <w:tblCellMar>
            <w:top w:w="0" w:type="dxa"/>
            <w:left w:w="108" w:type="dxa"/>
            <w:bottom w:w="0" w:type="dxa"/>
            <w:right w:w="108" w:type="dxa"/>
          </w:tblCellMar>
        </w:tblPrEx>
        <w:tc>
          <w:tcPr>
            <w:tcW w:w="1058" w:type="dxa"/>
            <w:vAlign w:val="top"/>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10.2 </w:t>
            </w:r>
          </w:p>
        </w:tc>
        <w:tc>
          <w:tcPr>
            <w:tcW w:w="7402" w:type="dxa"/>
            <w:gridSpan w:val="2"/>
            <w:vAlign w:val="top"/>
          </w:tcPr>
          <w:p>
            <w:pPr>
              <w:keepNext w:val="0"/>
              <w:keepLines w:val="0"/>
              <w:pageBreakBefore w:val="0"/>
              <w:kinsoku/>
              <w:overflowPunct/>
              <w:bidi w:val="0"/>
              <w:spacing w:beforeAutospacing="0" w:afterAutospacing="0" w:line="240" w:lineRule="auto"/>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其他补充内容见投标人须知前附表。</w:t>
            </w:r>
          </w:p>
        </w:tc>
      </w:tr>
      <w:bookmarkEnd w:id="151"/>
      <w:bookmarkEnd w:id="152"/>
    </w:tbl>
    <w:p>
      <w:pPr>
        <w:keepNext w:val="0"/>
        <w:keepLines w:val="0"/>
        <w:pageBreakBefore w:val="0"/>
        <w:kinsoku/>
        <w:overflowPunct/>
        <w:bidi w:val="0"/>
        <w:spacing w:beforeAutospacing="0" w:afterAutospacing="0" w:line="360" w:lineRule="auto"/>
        <w:ind w:firstLine="480" w:firstLineChars="200"/>
        <w:outlineLvl w:val="2"/>
        <w:rPr>
          <w:rFonts w:hint="eastAsia" w:asciiTheme="minorEastAsia" w:hAnsiTheme="minorEastAsia" w:eastAsiaTheme="minorEastAsia" w:cstheme="minorEastAsia"/>
          <w:sz w:val="24"/>
          <w:szCs w:val="24"/>
        </w:rPr>
      </w:pPr>
    </w:p>
    <w:p>
      <w:pPr>
        <w:keepNext w:val="0"/>
        <w:keepLines w:val="0"/>
        <w:pageBreakBefore w:val="0"/>
        <w:kinsoku/>
        <w:overflowPunct/>
        <w:bidi w:val="0"/>
        <w:spacing w:beforeAutospacing="0" w:afterAutospacing="0" w:line="360" w:lineRule="auto"/>
        <w:ind w:firstLine="480" w:firstLineChars="200"/>
        <w:outlineLvl w:val="2"/>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br w:type="page"/>
      </w:r>
      <w:bookmarkStart w:id="199" w:name="_Toc1184"/>
      <w:r>
        <w:rPr>
          <w:rFonts w:hint="eastAsia" w:asciiTheme="minorEastAsia" w:hAnsiTheme="minorEastAsia" w:eastAsiaTheme="minorEastAsia" w:cstheme="minorEastAsia"/>
          <w:b/>
          <w:bCs/>
          <w:snapToGrid w:val="0"/>
          <w:sz w:val="30"/>
          <w:szCs w:val="30"/>
        </w:rPr>
        <w:t>附件</w:t>
      </w:r>
      <w:r>
        <w:rPr>
          <w:rFonts w:hint="eastAsia" w:asciiTheme="minorEastAsia" w:hAnsiTheme="minorEastAsia" w:eastAsiaTheme="minorEastAsia" w:cstheme="minorEastAsia"/>
          <w:b/>
          <w:bCs/>
          <w:snapToGrid w:val="0"/>
          <w:sz w:val="30"/>
          <w:szCs w:val="30"/>
          <w:lang w:eastAsia="zh-CN"/>
        </w:rPr>
        <w:t>一</w:t>
      </w:r>
      <w:r>
        <w:rPr>
          <w:rFonts w:hint="eastAsia" w:asciiTheme="minorEastAsia" w:hAnsiTheme="minorEastAsia" w:eastAsiaTheme="minorEastAsia" w:cstheme="minorEastAsia"/>
          <w:b/>
          <w:bCs/>
          <w:snapToGrid w:val="0"/>
          <w:sz w:val="30"/>
          <w:szCs w:val="30"/>
        </w:rPr>
        <w:t>：</w:t>
      </w:r>
      <w:bookmarkEnd w:id="81"/>
      <w:r>
        <w:rPr>
          <w:rFonts w:hint="eastAsia" w:asciiTheme="minorEastAsia" w:hAnsiTheme="minorEastAsia" w:eastAsiaTheme="minorEastAsia" w:cstheme="minorEastAsia"/>
          <w:b/>
          <w:bCs/>
          <w:snapToGrid w:val="0"/>
          <w:sz w:val="30"/>
          <w:szCs w:val="30"/>
        </w:rPr>
        <w:t>《投标保证金提交与退还操作须知》（2016版）</w:t>
      </w:r>
      <w:bookmarkEnd w:id="199"/>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为使投标保证金能及时提交和得到退还，上海机电设备招标有限公司（以下简称“招标代理机构”）特制定本操作须知。</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一、提交投标保证金的银行户名和账号</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户    名：上海机电设备招标有限公司</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开 户 行：建行上海市分行营业部</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账    号：31001550400055646341</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行    号：105290036005</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二、提交投标保证金的地点和时间</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提交地点：上海市长寿路285号16楼上海机电设备招标有限公司财务部</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 xml:space="preserve">提交时间：法定工作日上午9：00-11：30，下午1：30-4：30 </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三、提交投标保证金的方式</w:t>
      </w:r>
    </w:p>
    <w:p>
      <w:pPr>
        <w:keepNext w:val="0"/>
        <w:keepLines w:val="0"/>
        <w:pageBreakBefore w:val="0"/>
        <w:numPr>
          <w:ilvl w:val="0"/>
          <w:numId w:val="10"/>
        </w:numPr>
        <w:kinsoku/>
        <w:overflowPunct/>
        <w:bidi w:val="0"/>
        <w:spacing w:beforeAutospacing="0" w:afterAutospacing="0" w:line="360" w:lineRule="auto"/>
        <w:ind w:left="787" w:leftChars="199" w:hanging="369" w:hangingChars="153"/>
        <w:rPr>
          <w:rFonts w:hint="eastAsia" w:asciiTheme="minorEastAsia" w:hAnsiTheme="minorEastAsia" w:eastAsiaTheme="minorEastAsia" w:cstheme="minorEastAsia"/>
          <w:bCs/>
          <w:snapToGrid w:val="0"/>
          <w:kern w:val="0"/>
          <w:sz w:val="24"/>
          <w:szCs w:val="21"/>
        </w:rPr>
      </w:pPr>
      <w:bookmarkStart w:id="200" w:name="OLE_LINK40"/>
      <w:r>
        <w:rPr>
          <w:rFonts w:hint="eastAsia" w:asciiTheme="minorEastAsia" w:hAnsiTheme="minorEastAsia" w:eastAsiaTheme="minorEastAsia" w:cstheme="minorEastAsia"/>
          <w:b/>
          <w:bCs/>
          <w:snapToGrid w:val="0"/>
          <w:kern w:val="0"/>
          <w:sz w:val="24"/>
          <w:szCs w:val="21"/>
        </w:rPr>
        <w:t>中国境内投标人</w:t>
      </w:r>
      <w:bookmarkEnd w:id="200"/>
      <w:r>
        <w:rPr>
          <w:rFonts w:hint="eastAsia" w:asciiTheme="minorEastAsia" w:hAnsiTheme="minorEastAsia" w:eastAsiaTheme="minorEastAsia" w:cstheme="minorEastAsia"/>
          <w:bCs/>
          <w:snapToGrid w:val="0"/>
          <w:kern w:val="0"/>
          <w:sz w:val="24"/>
          <w:szCs w:val="21"/>
        </w:rPr>
        <w:t>的</w:t>
      </w:r>
      <w:bookmarkStart w:id="201" w:name="OLE_LINK38"/>
      <w:r>
        <w:rPr>
          <w:rFonts w:hint="eastAsia" w:asciiTheme="minorEastAsia" w:hAnsiTheme="minorEastAsia" w:eastAsiaTheme="minorEastAsia" w:cstheme="minorEastAsia"/>
          <w:bCs/>
          <w:snapToGrid w:val="0"/>
          <w:kern w:val="0"/>
          <w:sz w:val="24"/>
          <w:szCs w:val="21"/>
        </w:rPr>
        <w:t>保证金一般采用网上支付</w:t>
      </w:r>
      <w:bookmarkEnd w:id="201"/>
      <w:r>
        <w:rPr>
          <w:rFonts w:hint="eastAsia" w:asciiTheme="minorEastAsia" w:hAnsiTheme="minorEastAsia" w:eastAsiaTheme="minorEastAsia" w:cstheme="minorEastAsia"/>
          <w:bCs/>
          <w:snapToGrid w:val="0"/>
          <w:kern w:val="0"/>
          <w:sz w:val="24"/>
          <w:szCs w:val="21"/>
        </w:rPr>
        <w:t>、</w:t>
      </w:r>
      <w:bookmarkStart w:id="202" w:name="OLE_LINK36"/>
      <w:r>
        <w:rPr>
          <w:rFonts w:hint="eastAsia" w:asciiTheme="minorEastAsia" w:hAnsiTheme="minorEastAsia" w:eastAsiaTheme="minorEastAsia" w:cstheme="minorEastAsia"/>
          <w:bCs/>
          <w:snapToGrid w:val="0"/>
          <w:kern w:val="0"/>
          <w:sz w:val="24"/>
          <w:szCs w:val="21"/>
        </w:rPr>
        <w:t>贷记凭证</w:t>
      </w:r>
      <w:bookmarkEnd w:id="202"/>
      <w:r>
        <w:rPr>
          <w:rFonts w:hint="eastAsia" w:asciiTheme="minorEastAsia" w:hAnsiTheme="minorEastAsia" w:eastAsiaTheme="minorEastAsia" w:cstheme="minorEastAsia"/>
          <w:bCs/>
          <w:snapToGrid w:val="0"/>
          <w:kern w:val="0"/>
          <w:sz w:val="24"/>
          <w:szCs w:val="21"/>
        </w:rPr>
        <w:t>、</w:t>
      </w:r>
      <w:bookmarkStart w:id="203" w:name="OLE_LINK37"/>
      <w:r>
        <w:rPr>
          <w:rFonts w:hint="eastAsia" w:asciiTheme="minorEastAsia" w:hAnsiTheme="minorEastAsia" w:eastAsiaTheme="minorEastAsia" w:cstheme="minorEastAsia"/>
          <w:bCs/>
          <w:snapToGrid w:val="0"/>
          <w:kern w:val="0"/>
          <w:sz w:val="24"/>
          <w:szCs w:val="21"/>
        </w:rPr>
        <w:t>电汇</w:t>
      </w:r>
      <w:bookmarkEnd w:id="203"/>
      <w:r>
        <w:rPr>
          <w:rFonts w:hint="eastAsia" w:asciiTheme="minorEastAsia" w:hAnsiTheme="minorEastAsia" w:eastAsiaTheme="minorEastAsia" w:cstheme="minorEastAsia"/>
          <w:bCs/>
          <w:snapToGrid w:val="0"/>
          <w:kern w:val="0"/>
          <w:sz w:val="24"/>
          <w:szCs w:val="21"/>
        </w:rPr>
        <w:t>的方式提交</w:t>
      </w:r>
      <w:r>
        <w:rPr>
          <w:rFonts w:hint="eastAsia" w:asciiTheme="minorEastAsia" w:hAnsiTheme="minorEastAsia" w:eastAsiaTheme="minorEastAsia" w:cstheme="minorEastAsia"/>
          <w:b/>
          <w:bCs/>
          <w:snapToGrid w:val="0"/>
          <w:kern w:val="0"/>
          <w:sz w:val="24"/>
          <w:szCs w:val="21"/>
        </w:rPr>
        <w:t>。</w:t>
      </w:r>
    </w:p>
    <w:p>
      <w:pPr>
        <w:keepNext w:val="0"/>
        <w:keepLines w:val="0"/>
        <w:pageBreakBefore w:val="0"/>
        <w:numPr>
          <w:ilvl w:val="0"/>
          <w:numId w:val="10"/>
        </w:numPr>
        <w:kinsoku/>
        <w:overflowPunct/>
        <w:bidi w:val="0"/>
        <w:spacing w:beforeAutospacing="0" w:afterAutospacing="0" w:line="360" w:lineRule="auto"/>
        <w:ind w:left="787" w:leftChars="199" w:hanging="369" w:hangingChars="153"/>
        <w:rPr>
          <w:rFonts w:hint="eastAsia" w:asciiTheme="minorEastAsia" w:hAnsiTheme="minorEastAsia" w:eastAsiaTheme="minorEastAsia" w:cstheme="minorEastAsia"/>
          <w:bCs/>
          <w:snapToGrid w:val="0"/>
          <w:kern w:val="0"/>
          <w:sz w:val="24"/>
          <w:szCs w:val="21"/>
        </w:rPr>
      </w:pPr>
      <w:bookmarkStart w:id="204" w:name="OLE_LINK41"/>
      <w:r>
        <w:rPr>
          <w:rFonts w:hint="eastAsia" w:asciiTheme="minorEastAsia" w:hAnsiTheme="minorEastAsia" w:eastAsiaTheme="minorEastAsia" w:cstheme="minorEastAsia"/>
          <w:b/>
          <w:bCs/>
          <w:snapToGrid w:val="0"/>
          <w:kern w:val="0"/>
          <w:sz w:val="24"/>
          <w:szCs w:val="21"/>
        </w:rPr>
        <w:t>中国境外（含中国台湾、香港和澳门地区）投标人</w:t>
      </w:r>
      <w:bookmarkEnd w:id="204"/>
      <w:r>
        <w:rPr>
          <w:rFonts w:hint="eastAsia" w:asciiTheme="minorEastAsia" w:hAnsiTheme="minorEastAsia" w:eastAsiaTheme="minorEastAsia" w:cstheme="minorEastAsia"/>
          <w:bCs/>
          <w:snapToGrid w:val="0"/>
          <w:kern w:val="0"/>
          <w:sz w:val="24"/>
          <w:szCs w:val="21"/>
        </w:rPr>
        <w:t>的保证金一般采用银行保函的方式提交。</w:t>
      </w:r>
    </w:p>
    <w:p>
      <w:pPr>
        <w:keepNext w:val="0"/>
        <w:keepLines w:val="0"/>
        <w:pageBreakBefore w:val="0"/>
        <w:kinsoku/>
        <w:overflowPunct/>
        <w:bidi w:val="0"/>
        <w:spacing w:beforeAutospacing="0" w:afterAutospacing="0" w:line="360" w:lineRule="auto"/>
        <w:ind w:left="97" w:leftChars="46"/>
        <w:rPr>
          <w:rFonts w:hint="eastAsia" w:asciiTheme="minorEastAsia" w:hAnsiTheme="minorEastAsia" w:eastAsiaTheme="minorEastAsia" w:cstheme="minorEastAsia"/>
          <w:bCs/>
          <w:snapToGrid w:val="0"/>
          <w:kern w:val="0"/>
          <w:sz w:val="24"/>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四、提交投标保证金的注意事项</w:t>
      </w:r>
    </w:p>
    <w:p>
      <w:pPr>
        <w:keepNext w:val="0"/>
        <w:keepLines w:val="0"/>
        <w:pageBreakBefore w:val="0"/>
        <w:numPr>
          <w:ilvl w:val="0"/>
          <w:numId w:val="11"/>
        </w:numPr>
        <w:kinsoku/>
        <w:overflowPunct/>
        <w:bidi w:val="0"/>
        <w:spacing w:beforeAutospacing="0" w:afterAutospacing="0" w:line="360" w:lineRule="auto"/>
        <w:ind w:left="798" w:leftChars="202" w:hanging="374" w:hangingChars="156"/>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投标人应当按照招标文件的要求足额提交投标保证金，不得提供虚假、无效的票据。</w:t>
      </w:r>
    </w:p>
    <w:p>
      <w:pPr>
        <w:keepNext w:val="0"/>
        <w:keepLines w:val="0"/>
        <w:pageBreakBefore w:val="0"/>
        <w:numPr>
          <w:ilvl w:val="0"/>
          <w:numId w:val="11"/>
        </w:numPr>
        <w:kinsoku/>
        <w:overflowPunct/>
        <w:bidi w:val="0"/>
        <w:spacing w:beforeAutospacing="0" w:afterAutospacing="0" w:line="360" w:lineRule="auto"/>
        <w:ind w:left="798" w:leftChars="202" w:hanging="374" w:hangingChars="156"/>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汇款附言：当采用网上支付、贷记凭证、电汇方式提交投标保证金时，请在汇款附言中务必注明：“</w:t>
      </w:r>
      <w:r>
        <w:rPr>
          <w:rFonts w:hint="eastAsia" w:asciiTheme="minorEastAsia" w:hAnsiTheme="minorEastAsia" w:eastAsiaTheme="minorEastAsia" w:cstheme="minorEastAsia"/>
          <w:snapToGrid w:val="0"/>
          <w:kern w:val="0"/>
          <w:sz w:val="24"/>
          <w:szCs w:val="24"/>
        </w:rPr>
        <w:t>投标保证金：招标编号/包件号或标段号”（如：“</w:t>
      </w:r>
      <w:r>
        <w:rPr>
          <w:rFonts w:hint="eastAsia" w:asciiTheme="minorEastAsia" w:hAnsiTheme="minorEastAsia" w:eastAsiaTheme="minorEastAsia" w:cstheme="minorEastAsia"/>
          <w:b w:val="0"/>
          <w:bCs w:val="0"/>
          <w:snapToGrid w:val="0"/>
          <w:kern w:val="0"/>
          <w:sz w:val="24"/>
          <w:szCs w:val="24"/>
          <w:u w:val="none"/>
          <w:lang w:val="en-US" w:eastAsia="zh-CN"/>
        </w:rPr>
        <w:t>217123062652</w:t>
      </w:r>
      <w:r>
        <w:rPr>
          <w:rFonts w:hint="eastAsia" w:asciiTheme="minorEastAsia" w:hAnsiTheme="minorEastAsia" w:eastAsiaTheme="minorEastAsia" w:cstheme="minorEastAsia"/>
          <w:b w:val="0"/>
          <w:bCs w:val="0"/>
          <w:snapToGrid w:val="0"/>
          <w:kern w:val="0"/>
          <w:sz w:val="24"/>
          <w:szCs w:val="24"/>
          <w:u w:val="none"/>
        </w:rPr>
        <w:t>保证金</w:t>
      </w:r>
      <w:r>
        <w:rPr>
          <w:rFonts w:hint="eastAsia" w:asciiTheme="minorEastAsia" w:hAnsiTheme="minorEastAsia" w:eastAsiaTheme="minorEastAsia" w:cstheme="minorEastAsia"/>
          <w:snapToGrid w:val="0"/>
          <w:kern w:val="0"/>
          <w:sz w:val="24"/>
          <w:szCs w:val="24"/>
        </w:rPr>
        <w:t>”）</w:t>
      </w:r>
      <w:r>
        <w:rPr>
          <w:rFonts w:hint="eastAsia" w:asciiTheme="minorEastAsia" w:hAnsiTheme="minorEastAsia" w:eastAsiaTheme="minorEastAsia" w:cstheme="minorEastAsia"/>
          <w:snapToGrid w:val="0"/>
          <w:kern w:val="0"/>
          <w:sz w:val="24"/>
          <w:szCs w:val="21"/>
        </w:rPr>
        <w:t>。</w:t>
      </w:r>
      <w:r>
        <w:rPr>
          <w:rFonts w:hint="eastAsia" w:asciiTheme="minorEastAsia" w:hAnsiTheme="minorEastAsia" w:eastAsiaTheme="minorEastAsia" w:cstheme="minorEastAsia"/>
          <w:b/>
          <w:bCs/>
          <w:snapToGrid w:val="0"/>
          <w:kern w:val="0"/>
          <w:sz w:val="24"/>
          <w:szCs w:val="21"/>
          <w:u w:val="single"/>
        </w:rPr>
        <w:t>当投标人投多个招标项目或一个招标项目的多个包件或标段时，每个项目、包件或标段的投标保证金应当分别提交</w:t>
      </w:r>
      <w:r>
        <w:rPr>
          <w:rFonts w:hint="eastAsia" w:asciiTheme="minorEastAsia" w:hAnsiTheme="minorEastAsia" w:eastAsiaTheme="minorEastAsia" w:cstheme="minorEastAsia"/>
          <w:snapToGrid w:val="0"/>
          <w:kern w:val="0"/>
          <w:sz w:val="24"/>
          <w:szCs w:val="21"/>
        </w:rPr>
        <w:t>。</w:t>
      </w:r>
    </w:p>
    <w:p>
      <w:pPr>
        <w:keepNext w:val="0"/>
        <w:keepLines w:val="0"/>
        <w:pageBreakBefore w:val="0"/>
        <w:numPr>
          <w:ilvl w:val="0"/>
          <w:numId w:val="11"/>
        </w:numPr>
        <w:kinsoku/>
        <w:overflowPunct/>
        <w:bidi w:val="0"/>
        <w:spacing w:beforeAutospacing="0" w:afterAutospacing="0" w:line="360" w:lineRule="auto"/>
        <w:ind w:left="785" w:leftChars="199" w:hanging="367" w:hangingChars="153"/>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投标保证金的</w:t>
      </w:r>
      <w:r>
        <w:rPr>
          <w:rFonts w:hint="eastAsia" w:asciiTheme="minorEastAsia" w:hAnsiTheme="minorEastAsia" w:eastAsiaTheme="minorEastAsia" w:cstheme="minorEastAsia"/>
          <w:b/>
          <w:bCs/>
          <w:snapToGrid w:val="0"/>
          <w:kern w:val="0"/>
          <w:sz w:val="24"/>
          <w:szCs w:val="21"/>
        </w:rPr>
        <w:t>付款人应当与投标人名称一致</w:t>
      </w:r>
      <w:r>
        <w:rPr>
          <w:rFonts w:hint="eastAsia" w:asciiTheme="minorEastAsia" w:hAnsiTheme="minorEastAsia" w:eastAsiaTheme="minorEastAsia" w:cstheme="minorEastAsia"/>
          <w:snapToGrid w:val="0"/>
          <w:kern w:val="0"/>
          <w:sz w:val="24"/>
          <w:szCs w:val="21"/>
        </w:rPr>
        <w:t xml:space="preserve">，不得委托分支机构代为提交。 </w:t>
      </w:r>
    </w:p>
    <w:p>
      <w:pPr>
        <w:keepNext w:val="0"/>
        <w:keepLines w:val="0"/>
        <w:pageBreakBefore w:val="0"/>
        <w:numPr>
          <w:ilvl w:val="0"/>
          <w:numId w:val="11"/>
        </w:numPr>
        <w:kinsoku/>
        <w:overflowPunct/>
        <w:bidi w:val="0"/>
        <w:spacing w:beforeAutospacing="0" w:afterAutospacing="0" w:line="360" w:lineRule="auto"/>
        <w:ind w:left="800" w:leftChars="202" w:hanging="376" w:hangingChars="156"/>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银行保函的申请人必须是投标人，中国境内投标人的保证人必须是投标人的开户银行；中国境外投标人可通过一家在中国境内或境外信誉好的银行直接开具投标保证金银行保函。</w:t>
      </w:r>
    </w:p>
    <w:p>
      <w:pPr>
        <w:keepNext w:val="0"/>
        <w:keepLines w:val="0"/>
        <w:pageBreakBefore w:val="0"/>
        <w:numPr>
          <w:ilvl w:val="0"/>
          <w:numId w:val="11"/>
        </w:numPr>
        <w:kinsoku/>
        <w:overflowPunct/>
        <w:bidi w:val="0"/>
        <w:spacing w:beforeAutospacing="0" w:afterAutospacing="0" w:line="360" w:lineRule="auto"/>
        <w:ind w:left="798" w:leftChars="202" w:hanging="374" w:hangingChars="156"/>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银行保函采用招标文件提供的格式，或采用事先为招标代理机构接受的其他格式。</w:t>
      </w:r>
    </w:p>
    <w:p>
      <w:pPr>
        <w:keepNext w:val="0"/>
        <w:keepLines w:val="0"/>
        <w:pageBreakBefore w:val="0"/>
        <w:numPr>
          <w:ilvl w:val="0"/>
          <w:numId w:val="11"/>
        </w:numPr>
        <w:kinsoku/>
        <w:overflowPunct/>
        <w:bidi w:val="0"/>
        <w:spacing w:beforeAutospacing="0" w:afterAutospacing="0" w:line="360" w:lineRule="auto"/>
        <w:ind w:left="800" w:leftChars="202" w:hanging="376" w:hangingChars="156"/>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当投标人为两家或两家以上单位组成的联合体时（招标文件中明确接受联合体投标的），</w:t>
      </w:r>
      <w:r>
        <w:rPr>
          <w:rFonts w:hint="eastAsia" w:asciiTheme="minorEastAsia" w:hAnsiTheme="minorEastAsia" w:eastAsiaTheme="minorEastAsia" w:cstheme="minorEastAsia"/>
          <w:snapToGrid w:val="0"/>
          <w:kern w:val="0"/>
          <w:sz w:val="24"/>
          <w:szCs w:val="21"/>
        </w:rPr>
        <w:t>应由联合体的一方或多方共同提交投标保证金，且所提交的投标保证金应对联合体的所有成员均具有约束力。</w:t>
      </w:r>
    </w:p>
    <w:p>
      <w:pPr>
        <w:keepNext w:val="0"/>
        <w:keepLines w:val="0"/>
        <w:pageBreakBefore w:val="0"/>
        <w:kinsoku/>
        <w:overflowPunct/>
        <w:bidi w:val="0"/>
        <w:spacing w:beforeAutospacing="0" w:afterAutospacing="0" w:line="360" w:lineRule="auto"/>
        <w:ind w:left="97" w:leftChars="46"/>
        <w:rPr>
          <w:rFonts w:hint="eastAsia" w:asciiTheme="minorEastAsia" w:hAnsiTheme="minorEastAsia" w:eastAsiaTheme="minorEastAsia" w:cstheme="minorEastAsia"/>
          <w:b/>
          <w:bCs/>
          <w:snapToGrid w:val="0"/>
          <w:kern w:val="0"/>
          <w:sz w:val="24"/>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五、提交投标保证金程序</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（一）</w:t>
      </w:r>
      <w:bookmarkStart w:id="205" w:name="OLE_LINK8"/>
      <w:bookmarkStart w:id="206" w:name="OLE_LINK26"/>
      <w:bookmarkStart w:id="207" w:name="OLE_LINK9"/>
      <w:r>
        <w:rPr>
          <w:rFonts w:hint="eastAsia" w:asciiTheme="minorEastAsia" w:hAnsiTheme="minorEastAsia" w:eastAsiaTheme="minorEastAsia" w:cstheme="minorEastAsia"/>
          <w:snapToGrid w:val="0"/>
          <w:kern w:val="0"/>
          <w:sz w:val="24"/>
          <w:szCs w:val="21"/>
        </w:rPr>
        <w:t>采用</w:t>
      </w:r>
      <w:bookmarkStart w:id="208" w:name="OLE_LINK47"/>
      <w:r>
        <w:rPr>
          <w:rFonts w:hint="eastAsia" w:asciiTheme="minorEastAsia" w:hAnsiTheme="minorEastAsia" w:eastAsiaTheme="minorEastAsia" w:cstheme="minorEastAsia"/>
          <w:snapToGrid w:val="0"/>
          <w:kern w:val="0"/>
          <w:sz w:val="24"/>
          <w:szCs w:val="21"/>
        </w:rPr>
        <w:t>网上支付、贷记凭证、电汇方式</w:t>
      </w:r>
      <w:bookmarkEnd w:id="208"/>
      <w:r>
        <w:rPr>
          <w:rFonts w:hint="eastAsia" w:asciiTheme="minorEastAsia" w:hAnsiTheme="minorEastAsia" w:eastAsiaTheme="minorEastAsia" w:cstheme="minorEastAsia"/>
          <w:snapToGrid w:val="0"/>
          <w:kern w:val="0"/>
          <w:sz w:val="24"/>
          <w:szCs w:val="21"/>
        </w:rPr>
        <w:t>提交</w:t>
      </w:r>
      <w:bookmarkEnd w:id="205"/>
      <w:r>
        <w:rPr>
          <w:rFonts w:hint="eastAsia" w:asciiTheme="minorEastAsia" w:hAnsiTheme="minorEastAsia" w:eastAsiaTheme="minorEastAsia" w:cstheme="minorEastAsia"/>
          <w:snapToGrid w:val="0"/>
          <w:kern w:val="0"/>
          <w:sz w:val="24"/>
          <w:szCs w:val="21"/>
        </w:rPr>
        <w:t>的</w:t>
      </w:r>
      <w:bookmarkEnd w:id="206"/>
      <w:r>
        <w:rPr>
          <w:rFonts w:hint="eastAsia" w:asciiTheme="minorEastAsia" w:hAnsiTheme="minorEastAsia" w:eastAsiaTheme="minorEastAsia" w:cstheme="minorEastAsia"/>
          <w:snapToGrid w:val="0"/>
          <w:kern w:val="0"/>
          <w:sz w:val="24"/>
          <w:szCs w:val="21"/>
        </w:rPr>
        <w:t xml:space="preserve">： </w:t>
      </w:r>
    </w:p>
    <w:p>
      <w:pPr>
        <w:keepNext w:val="0"/>
        <w:keepLines w:val="0"/>
        <w:pageBreakBefore w:val="0"/>
        <w:kinsoku/>
        <w:overflowPunct/>
        <w:bidi w:val="0"/>
        <w:spacing w:beforeAutospacing="0" w:afterAutospacing="0" w:line="360" w:lineRule="auto"/>
        <w:ind w:left="567" w:leftChars="270"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投标人在招标文件规定的投标截止时间前汇至招标代理机构账户。</w:t>
      </w:r>
    </w:p>
    <w:bookmarkEnd w:id="207"/>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（二）采用银行保函方式提交的：</w:t>
      </w:r>
    </w:p>
    <w:p>
      <w:pPr>
        <w:keepNext w:val="0"/>
        <w:keepLines w:val="0"/>
        <w:pageBreakBefore w:val="0"/>
        <w:kinsoku/>
        <w:overflowPunct/>
        <w:bidi w:val="0"/>
        <w:spacing w:beforeAutospacing="0" w:afterAutospacing="0" w:line="360" w:lineRule="auto"/>
        <w:ind w:left="567" w:leftChars="270"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投标人应当按照招标文件的要求将银行保函正本单独密封，随投标文件一起递交。</w:t>
      </w:r>
    </w:p>
    <w:p>
      <w:pPr>
        <w:keepNext w:val="0"/>
        <w:keepLines w:val="0"/>
        <w:pageBreakBefore w:val="0"/>
        <w:kinsoku/>
        <w:overflowPunct/>
        <w:bidi w:val="0"/>
        <w:spacing w:beforeAutospacing="0" w:afterAutospacing="0" w:line="360" w:lineRule="auto"/>
        <w:ind w:left="1234" w:leftChars="201" w:hanging="812" w:hangingChars="337"/>
        <w:rPr>
          <w:rFonts w:hint="eastAsia" w:asciiTheme="minorEastAsia" w:hAnsiTheme="minorEastAsia" w:eastAsiaTheme="minorEastAsia" w:cstheme="minorEastAsia"/>
          <w:b/>
          <w:snapToGrid w:val="0"/>
          <w:kern w:val="0"/>
          <w:sz w:val="24"/>
          <w:szCs w:val="21"/>
        </w:rPr>
      </w:pPr>
      <w:r>
        <w:rPr>
          <w:rFonts w:hint="eastAsia" w:asciiTheme="minorEastAsia" w:hAnsiTheme="minorEastAsia" w:eastAsiaTheme="minorEastAsia" w:cstheme="minorEastAsia"/>
          <w:b/>
          <w:snapToGrid w:val="0"/>
          <w:kern w:val="0"/>
          <w:sz w:val="24"/>
          <w:szCs w:val="21"/>
        </w:rPr>
        <w:t>（三）投标保证金的交付凭证，需装订在投标文件的“投标函”（或“投标书”）之后。</w:t>
      </w:r>
    </w:p>
    <w:p>
      <w:pPr>
        <w:keepNext w:val="0"/>
        <w:keepLines w:val="0"/>
        <w:pageBreakBefore w:val="0"/>
        <w:kinsoku/>
        <w:overflowPunct/>
        <w:bidi w:val="0"/>
        <w:spacing w:beforeAutospacing="0" w:afterAutospacing="0" w:line="360" w:lineRule="auto"/>
        <w:ind w:left="567" w:leftChars="270"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1、网上支付、贷记凭证、电汇的底单复印件；</w:t>
      </w:r>
    </w:p>
    <w:p>
      <w:pPr>
        <w:keepNext w:val="0"/>
        <w:keepLines w:val="0"/>
        <w:pageBreakBefore w:val="0"/>
        <w:kinsoku/>
        <w:overflowPunct/>
        <w:bidi w:val="0"/>
        <w:spacing w:beforeAutospacing="0" w:afterAutospacing="0" w:line="360" w:lineRule="auto"/>
        <w:ind w:left="567" w:leftChars="270"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2、银行保函的复印件。</w:t>
      </w:r>
    </w:p>
    <w:p>
      <w:pPr>
        <w:keepNext w:val="0"/>
        <w:keepLines w:val="0"/>
        <w:pageBreakBefore w:val="0"/>
        <w:kinsoku/>
        <w:overflowPunct/>
        <w:bidi w:val="0"/>
        <w:spacing w:beforeAutospacing="0" w:afterAutospacing="0" w:line="360" w:lineRule="auto"/>
        <w:ind w:left="567" w:leftChars="270" w:firstLine="480" w:firstLineChars="200"/>
        <w:rPr>
          <w:rFonts w:hint="eastAsia" w:asciiTheme="minorEastAsia" w:hAnsiTheme="minorEastAsia" w:eastAsiaTheme="minorEastAsia" w:cstheme="minorEastAsia"/>
          <w:snapToGrid w:val="0"/>
          <w:kern w:val="0"/>
          <w:sz w:val="24"/>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六、投标保证金的利息计算和划付</w:t>
      </w:r>
    </w:p>
    <w:p>
      <w:pPr>
        <w:keepNext w:val="0"/>
        <w:keepLines w:val="0"/>
        <w:pageBreakBefore w:val="0"/>
        <w:kinsoku/>
        <w:overflowPunct/>
        <w:bidi w:val="0"/>
        <w:spacing w:beforeAutospacing="0" w:afterAutospacing="0" w:line="360" w:lineRule="auto"/>
        <w:ind w:left="1230" w:leftChars="201" w:hanging="808" w:hangingChars="337"/>
        <w:outlineLvl w:val="3"/>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（一）计息利率：</w:t>
      </w:r>
    </w:p>
    <w:p>
      <w:pPr>
        <w:keepNext w:val="0"/>
        <w:keepLines w:val="0"/>
        <w:pageBreakBefore w:val="0"/>
        <w:kinsoku/>
        <w:overflowPunct/>
        <w:bidi w:val="0"/>
        <w:spacing w:beforeAutospacing="0" w:afterAutospacing="0" w:line="360" w:lineRule="auto"/>
        <w:ind w:left="424" w:leftChars="202" w:firstLine="646" w:firstLineChars="268"/>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bCs/>
          <w:snapToGrid w:val="0"/>
          <w:kern w:val="0"/>
          <w:sz w:val="24"/>
          <w:szCs w:val="24"/>
        </w:rPr>
        <w:t>按退还保证金之日中国人民银行规定的活期存款利率计息；但以银行保函方式提交的投标保证金将不计利息</w:t>
      </w:r>
      <w:r>
        <w:rPr>
          <w:rFonts w:hint="eastAsia" w:asciiTheme="minorEastAsia" w:hAnsiTheme="minorEastAsia" w:eastAsiaTheme="minorEastAsia" w:cstheme="minorEastAsia"/>
          <w:snapToGrid w:val="0"/>
          <w:kern w:val="0"/>
          <w:sz w:val="24"/>
          <w:szCs w:val="24"/>
        </w:rPr>
        <w:t>。</w:t>
      </w:r>
    </w:p>
    <w:p>
      <w:pPr>
        <w:keepNext w:val="0"/>
        <w:keepLines w:val="0"/>
        <w:pageBreakBefore w:val="0"/>
        <w:kinsoku/>
        <w:overflowPunct/>
        <w:bidi w:val="0"/>
        <w:spacing w:beforeAutospacing="0" w:afterAutospacing="0" w:line="360" w:lineRule="auto"/>
        <w:ind w:left="1230" w:leftChars="201" w:hanging="808" w:hangingChars="337"/>
        <w:outlineLvl w:val="3"/>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（二）划付方式：</w:t>
      </w:r>
    </w:p>
    <w:p>
      <w:pPr>
        <w:keepNext w:val="0"/>
        <w:keepLines w:val="0"/>
        <w:pageBreakBefore w:val="0"/>
        <w:kinsoku/>
        <w:overflowPunct/>
        <w:bidi w:val="0"/>
        <w:spacing w:beforeAutospacing="0" w:afterAutospacing="0" w:line="360" w:lineRule="auto"/>
        <w:ind w:left="424" w:leftChars="202" w:firstLine="643" w:firstLineChars="268"/>
        <w:rPr>
          <w:rFonts w:hint="eastAsia" w:asciiTheme="minorEastAsia" w:hAnsiTheme="minorEastAsia" w:eastAsiaTheme="minorEastAsia" w:cstheme="minorEastAsia"/>
          <w:bCs/>
          <w:snapToGrid w:val="0"/>
          <w:kern w:val="0"/>
          <w:sz w:val="24"/>
          <w:szCs w:val="24"/>
        </w:rPr>
      </w:pPr>
      <w:r>
        <w:rPr>
          <w:rFonts w:hint="eastAsia" w:asciiTheme="minorEastAsia" w:hAnsiTheme="minorEastAsia" w:eastAsiaTheme="minorEastAsia" w:cstheme="minorEastAsia"/>
          <w:bCs/>
          <w:snapToGrid w:val="0"/>
          <w:kern w:val="0"/>
          <w:sz w:val="24"/>
          <w:szCs w:val="24"/>
        </w:rPr>
        <w:t>按投标保证金存放期间计算利息，退还投标保证金同时将利息划付至投标保证金的付款人账户。</w:t>
      </w:r>
    </w:p>
    <w:p>
      <w:pPr>
        <w:keepNext w:val="0"/>
        <w:keepLines w:val="0"/>
        <w:pageBreakBefore w:val="0"/>
        <w:kinsoku/>
        <w:overflowPunct/>
        <w:bidi w:val="0"/>
        <w:spacing w:beforeAutospacing="0" w:afterAutospacing="0" w:line="360" w:lineRule="auto"/>
        <w:ind w:left="424" w:leftChars="202" w:firstLine="643" w:firstLineChars="268"/>
        <w:rPr>
          <w:rFonts w:hint="eastAsia" w:asciiTheme="minorEastAsia" w:hAnsiTheme="minorEastAsia" w:eastAsiaTheme="minorEastAsia" w:cstheme="minorEastAsia"/>
          <w:bCs/>
          <w:snapToGrid w:val="0"/>
          <w:kern w:val="0"/>
          <w:sz w:val="24"/>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七、投标保证金的退还</w:t>
      </w:r>
    </w:p>
    <w:p>
      <w:pPr>
        <w:keepNext w:val="0"/>
        <w:keepLines w:val="0"/>
        <w:pageBreakBefore w:val="0"/>
        <w:kinsoku/>
        <w:overflowPunct/>
        <w:bidi w:val="0"/>
        <w:spacing w:beforeAutospacing="0" w:afterAutospacing="0" w:line="360" w:lineRule="auto"/>
        <w:ind w:firstLine="472" w:firstLineChars="196"/>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投标保证金自中标通知书发出之日起5个工作日内退还未中标人的投标保证金，自政府采购合同签订之日起5个工作日内退还中标人的投标保证金。</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（一）未中标人</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1、</w:t>
      </w:r>
      <w:bookmarkStart w:id="209" w:name="OLE_LINK44"/>
      <w:r>
        <w:rPr>
          <w:rFonts w:hint="eastAsia" w:asciiTheme="minorEastAsia" w:hAnsiTheme="minorEastAsia" w:eastAsiaTheme="minorEastAsia" w:cstheme="minorEastAsia"/>
          <w:snapToGrid w:val="0"/>
          <w:kern w:val="0"/>
          <w:sz w:val="24"/>
          <w:szCs w:val="21"/>
        </w:rPr>
        <w:t>采用网上支付、贷记凭证、电汇</w:t>
      </w:r>
      <w:bookmarkStart w:id="210" w:name="OLE_LINK31"/>
      <w:r>
        <w:rPr>
          <w:rFonts w:hint="eastAsia" w:asciiTheme="minorEastAsia" w:hAnsiTheme="minorEastAsia" w:eastAsiaTheme="minorEastAsia" w:cstheme="minorEastAsia"/>
          <w:snapToGrid w:val="0"/>
          <w:kern w:val="0"/>
          <w:sz w:val="24"/>
          <w:szCs w:val="21"/>
        </w:rPr>
        <w:t>方式</w:t>
      </w:r>
      <w:bookmarkEnd w:id="209"/>
      <w:bookmarkEnd w:id="210"/>
      <w:r>
        <w:rPr>
          <w:rFonts w:hint="eastAsia" w:asciiTheme="minorEastAsia" w:hAnsiTheme="minorEastAsia" w:eastAsiaTheme="minorEastAsia" w:cstheme="minorEastAsia"/>
          <w:snapToGrid w:val="0"/>
          <w:kern w:val="0"/>
          <w:sz w:val="24"/>
          <w:szCs w:val="21"/>
        </w:rPr>
        <w:t>提交的：</w:t>
      </w:r>
    </w:p>
    <w:p>
      <w:pPr>
        <w:keepNext w:val="0"/>
        <w:keepLines w:val="0"/>
        <w:pageBreakBefore w:val="0"/>
        <w:kinsoku/>
        <w:overflowPunct/>
        <w:bidi w:val="0"/>
        <w:spacing w:beforeAutospacing="0" w:afterAutospacing="0" w:line="360" w:lineRule="auto"/>
        <w:ind w:left="567" w:leftChars="270" w:firstLine="480" w:firstLineChars="200"/>
        <w:rPr>
          <w:rFonts w:hint="eastAsia" w:asciiTheme="minorEastAsia" w:hAnsiTheme="minorEastAsia" w:eastAsiaTheme="minorEastAsia" w:cstheme="minorEastAsia"/>
          <w:snapToGrid w:val="0"/>
          <w:kern w:val="0"/>
          <w:sz w:val="24"/>
          <w:szCs w:val="21"/>
        </w:rPr>
      </w:pPr>
      <w:bookmarkStart w:id="211" w:name="OLE_LINK32"/>
      <w:r>
        <w:rPr>
          <w:rFonts w:hint="eastAsia" w:asciiTheme="minorEastAsia" w:hAnsiTheme="minorEastAsia" w:eastAsiaTheme="minorEastAsia" w:cstheme="minorEastAsia"/>
          <w:snapToGrid w:val="0"/>
          <w:kern w:val="0"/>
          <w:sz w:val="24"/>
          <w:szCs w:val="21"/>
        </w:rPr>
        <w:t>投标人在收到</w:t>
      </w:r>
      <w:r>
        <w:rPr>
          <w:rFonts w:hint="eastAsia" w:asciiTheme="minorEastAsia" w:hAnsiTheme="minorEastAsia" w:eastAsiaTheme="minorEastAsia" w:cstheme="minorEastAsia"/>
          <w:snapToGrid w:val="0"/>
          <w:kern w:val="0"/>
          <w:sz w:val="24"/>
          <w:szCs w:val="21"/>
        </w:rPr>
        <w:fldChar w:fldCharType="begin"/>
      </w:r>
      <w:r>
        <w:rPr>
          <w:rFonts w:hint="eastAsia" w:asciiTheme="minorEastAsia" w:hAnsiTheme="minorEastAsia" w:eastAsiaTheme="minorEastAsia" w:cstheme="minorEastAsia"/>
          <w:snapToGrid w:val="0"/>
          <w:kern w:val="0"/>
          <w:sz w:val="24"/>
          <w:szCs w:val="21"/>
        </w:rPr>
        <w:instrText xml:space="preserve">HYPERLINK "http://www.66law.cn/topic2010/招标人/" \o "招标人"</w:instrText>
      </w:r>
      <w:r>
        <w:rPr>
          <w:rFonts w:hint="eastAsia" w:asciiTheme="minorEastAsia" w:hAnsiTheme="minorEastAsia" w:eastAsiaTheme="minorEastAsia" w:cstheme="minorEastAsia"/>
          <w:snapToGrid w:val="0"/>
          <w:kern w:val="0"/>
          <w:sz w:val="24"/>
          <w:szCs w:val="21"/>
        </w:rPr>
        <w:fldChar w:fldCharType="separate"/>
      </w:r>
      <w:r>
        <w:rPr>
          <w:rFonts w:hint="eastAsia" w:asciiTheme="minorEastAsia" w:hAnsiTheme="minorEastAsia" w:eastAsiaTheme="minorEastAsia" w:cstheme="minorEastAsia"/>
          <w:snapToGrid w:val="0"/>
          <w:kern w:val="0"/>
          <w:sz w:val="24"/>
          <w:szCs w:val="21"/>
        </w:rPr>
        <w:t>招标人</w:t>
      </w:r>
      <w:r>
        <w:rPr>
          <w:rFonts w:hint="eastAsia" w:asciiTheme="minorEastAsia" w:hAnsiTheme="minorEastAsia" w:eastAsiaTheme="minorEastAsia" w:cstheme="minorEastAsia"/>
          <w:snapToGrid w:val="0"/>
          <w:kern w:val="0"/>
          <w:sz w:val="24"/>
          <w:szCs w:val="21"/>
        </w:rPr>
        <w:fldChar w:fldCharType="end"/>
      </w:r>
      <w:r>
        <w:rPr>
          <w:rFonts w:hint="eastAsia" w:asciiTheme="minorEastAsia" w:hAnsiTheme="minorEastAsia" w:eastAsiaTheme="minorEastAsia" w:cstheme="minorEastAsia"/>
          <w:snapToGrid w:val="0"/>
          <w:kern w:val="0"/>
          <w:sz w:val="24"/>
          <w:szCs w:val="21"/>
        </w:rPr>
        <w:t>或招标代理机构发出的《未</w:t>
      </w:r>
      <w:r>
        <w:rPr>
          <w:rFonts w:hint="eastAsia" w:asciiTheme="minorEastAsia" w:hAnsiTheme="minorEastAsia" w:eastAsiaTheme="minorEastAsia" w:cstheme="minorEastAsia"/>
          <w:snapToGrid w:val="0"/>
          <w:kern w:val="0"/>
          <w:sz w:val="24"/>
          <w:szCs w:val="21"/>
        </w:rPr>
        <w:fldChar w:fldCharType="begin"/>
      </w:r>
      <w:r>
        <w:rPr>
          <w:rFonts w:hint="eastAsia" w:asciiTheme="minorEastAsia" w:hAnsiTheme="minorEastAsia" w:eastAsiaTheme="minorEastAsia" w:cstheme="minorEastAsia"/>
          <w:snapToGrid w:val="0"/>
          <w:kern w:val="0"/>
          <w:sz w:val="24"/>
          <w:szCs w:val="21"/>
        </w:rPr>
        <w:instrText xml:space="preserve">HYPERLINK "http://www.66law.cn/topic2010/中标通知书/" \o "中标通知书"</w:instrText>
      </w:r>
      <w:r>
        <w:rPr>
          <w:rFonts w:hint="eastAsia" w:asciiTheme="minorEastAsia" w:hAnsiTheme="minorEastAsia" w:eastAsiaTheme="minorEastAsia" w:cstheme="minorEastAsia"/>
          <w:snapToGrid w:val="0"/>
          <w:kern w:val="0"/>
          <w:sz w:val="24"/>
          <w:szCs w:val="21"/>
        </w:rPr>
        <w:fldChar w:fldCharType="separate"/>
      </w:r>
      <w:r>
        <w:rPr>
          <w:rFonts w:hint="eastAsia" w:asciiTheme="minorEastAsia" w:hAnsiTheme="minorEastAsia" w:eastAsiaTheme="minorEastAsia" w:cstheme="minorEastAsia"/>
          <w:snapToGrid w:val="0"/>
          <w:kern w:val="0"/>
          <w:sz w:val="24"/>
          <w:szCs w:val="21"/>
        </w:rPr>
        <w:t>中标通知书</w:t>
      </w:r>
      <w:r>
        <w:rPr>
          <w:rFonts w:hint="eastAsia" w:asciiTheme="minorEastAsia" w:hAnsiTheme="minorEastAsia" w:eastAsiaTheme="minorEastAsia" w:cstheme="minorEastAsia"/>
          <w:snapToGrid w:val="0"/>
          <w:kern w:val="0"/>
          <w:sz w:val="24"/>
          <w:szCs w:val="21"/>
        </w:rPr>
        <w:fldChar w:fldCharType="end"/>
      </w:r>
      <w:r>
        <w:rPr>
          <w:rFonts w:hint="eastAsia" w:asciiTheme="minorEastAsia" w:hAnsiTheme="minorEastAsia" w:eastAsiaTheme="minorEastAsia" w:cstheme="minorEastAsia"/>
          <w:snapToGrid w:val="0"/>
          <w:kern w:val="0"/>
          <w:sz w:val="24"/>
          <w:szCs w:val="21"/>
        </w:rPr>
        <w:t>》后，向</w:t>
      </w:r>
      <w:bookmarkStart w:id="212" w:name="OLE_LINK14"/>
      <w:r>
        <w:rPr>
          <w:rFonts w:hint="eastAsia" w:asciiTheme="minorEastAsia" w:hAnsiTheme="minorEastAsia" w:eastAsiaTheme="minorEastAsia" w:cstheme="minorEastAsia"/>
          <w:snapToGrid w:val="0"/>
          <w:kern w:val="0"/>
          <w:sz w:val="24"/>
          <w:szCs w:val="21"/>
        </w:rPr>
        <w:t>招标代理机构本项目的负责人</w:t>
      </w:r>
      <w:bookmarkEnd w:id="212"/>
      <w:r>
        <w:rPr>
          <w:rFonts w:hint="eastAsia" w:asciiTheme="minorEastAsia" w:hAnsiTheme="minorEastAsia" w:eastAsiaTheme="minorEastAsia" w:cstheme="minorEastAsia"/>
          <w:snapToGrid w:val="0"/>
          <w:kern w:val="0"/>
          <w:sz w:val="24"/>
          <w:szCs w:val="21"/>
        </w:rPr>
        <w:t>申请退还</w:t>
      </w:r>
      <w:bookmarkEnd w:id="211"/>
      <w:r>
        <w:rPr>
          <w:rFonts w:hint="eastAsia" w:asciiTheme="minorEastAsia" w:hAnsiTheme="minorEastAsia" w:eastAsiaTheme="minorEastAsia" w:cstheme="minorEastAsia"/>
          <w:snapToGrid w:val="0"/>
          <w:kern w:val="0"/>
          <w:sz w:val="24"/>
          <w:szCs w:val="21"/>
        </w:rPr>
        <w:t>，</w:t>
      </w:r>
      <w:bookmarkStart w:id="213" w:name="OLE_LINK42"/>
      <w:r>
        <w:rPr>
          <w:rFonts w:hint="eastAsia" w:asciiTheme="minorEastAsia" w:hAnsiTheme="minorEastAsia" w:eastAsiaTheme="minorEastAsia" w:cstheme="minorEastAsia"/>
          <w:snapToGrid w:val="0"/>
          <w:kern w:val="0"/>
          <w:sz w:val="24"/>
          <w:szCs w:val="21"/>
        </w:rPr>
        <w:t>招标代理机构的项目负责人提交财务审核后采用网上支付方式退还</w:t>
      </w:r>
      <w:bookmarkEnd w:id="213"/>
      <w:r>
        <w:rPr>
          <w:rFonts w:hint="eastAsia" w:asciiTheme="minorEastAsia" w:hAnsiTheme="minorEastAsia" w:eastAsiaTheme="minorEastAsia" w:cstheme="minorEastAsia"/>
          <w:snapToGrid w:val="0"/>
          <w:kern w:val="0"/>
          <w:sz w:val="24"/>
          <w:szCs w:val="21"/>
        </w:rPr>
        <w:t>。</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2、采用银行保函</w:t>
      </w:r>
      <w:bookmarkStart w:id="214" w:name="OLE_LINK13"/>
      <w:r>
        <w:rPr>
          <w:rFonts w:hint="eastAsia" w:asciiTheme="minorEastAsia" w:hAnsiTheme="minorEastAsia" w:eastAsiaTheme="minorEastAsia" w:cstheme="minorEastAsia"/>
          <w:snapToGrid w:val="0"/>
          <w:kern w:val="0"/>
          <w:sz w:val="24"/>
          <w:szCs w:val="21"/>
        </w:rPr>
        <w:t>方式提交的</w:t>
      </w:r>
      <w:bookmarkEnd w:id="214"/>
      <w:r>
        <w:rPr>
          <w:rFonts w:hint="eastAsia" w:asciiTheme="minorEastAsia" w:hAnsiTheme="minorEastAsia" w:eastAsiaTheme="minorEastAsia" w:cstheme="minorEastAsia"/>
          <w:snapToGrid w:val="0"/>
          <w:kern w:val="0"/>
          <w:sz w:val="24"/>
          <w:szCs w:val="21"/>
        </w:rPr>
        <w:t xml:space="preserve">： </w:t>
      </w:r>
    </w:p>
    <w:p>
      <w:pPr>
        <w:keepNext w:val="0"/>
        <w:keepLines w:val="0"/>
        <w:pageBreakBefore w:val="0"/>
        <w:kinsoku/>
        <w:overflowPunct/>
        <w:bidi w:val="0"/>
        <w:spacing w:beforeAutospacing="0" w:afterAutospacing="0" w:line="360" w:lineRule="auto"/>
        <w:ind w:left="567" w:leftChars="270"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投标人在收到</w:t>
      </w:r>
      <w:r>
        <w:rPr>
          <w:rFonts w:hint="eastAsia" w:asciiTheme="minorEastAsia" w:hAnsiTheme="minorEastAsia" w:eastAsiaTheme="minorEastAsia" w:cstheme="minorEastAsia"/>
          <w:snapToGrid w:val="0"/>
          <w:kern w:val="0"/>
          <w:sz w:val="24"/>
          <w:szCs w:val="21"/>
        </w:rPr>
        <w:fldChar w:fldCharType="begin"/>
      </w:r>
      <w:r>
        <w:rPr>
          <w:rFonts w:hint="eastAsia" w:asciiTheme="minorEastAsia" w:hAnsiTheme="minorEastAsia" w:eastAsiaTheme="minorEastAsia" w:cstheme="minorEastAsia"/>
          <w:snapToGrid w:val="0"/>
          <w:kern w:val="0"/>
          <w:sz w:val="24"/>
          <w:szCs w:val="21"/>
        </w:rPr>
        <w:instrText xml:space="preserve">HYPERLINK "http://www.66law.cn/topic2010/招标人/" \o "招标人"</w:instrText>
      </w:r>
      <w:r>
        <w:rPr>
          <w:rFonts w:hint="eastAsia" w:asciiTheme="minorEastAsia" w:hAnsiTheme="minorEastAsia" w:eastAsiaTheme="minorEastAsia" w:cstheme="minorEastAsia"/>
          <w:snapToGrid w:val="0"/>
          <w:kern w:val="0"/>
          <w:sz w:val="24"/>
          <w:szCs w:val="21"/>
        </w:rPr>
        <w:fldChar w:fldCharType="separate"/>
      </w:r>
      <w:r>
        <w:rPr>
          <w:rFonts w:hint="eastAsia" w:asciiTheme="minorEastAsia" w:hAnsiTheme="minorEastAsia" w:eastAsiaTheme="minorEastAsia" w:cstheme="minorEastAsia"/>
          <w:snapToGrid w:val="0"/>
          <w:kern w:val="0"/>
          <w:sz w:val="24"/>
          <w:szCs w:val="21"/>
        </w:rPr>
        <w:t>招标人</w:t>
      </w:r>
      <w:r>
        <w:rPr>
          <w:rFonts w:hint="eastAsia" w:asciiTheme="minorEastAsia" w:hAnsiTheme="minorEastAsia" w:eastAsiaTheme="minorEastAsia" w:cstheme="minorEastAsia"/>
          <w:snapToGrid w:val="0"/>
          <w:kern w:val="0"/>
          <w:sz w:val="24"/>
          <w:szCs w:val="21"/>
        </w:rPr>
        <w:fldChar w:fldCharType="end"/>
      </w:r>
      <w:r>
        <w:rPr>
          <w:rFonts w:hint="eastAsia" w:asciiTheme="minorEastAsia" w:hAnsiTheme="minorEastAsia" w:eastAsiaTheme="minorEastAsia" w:cstheme="minorEastAsia"/>
          <w:snapToGrid w:val="0"/>
          <w:kern w:val="0"/>
          <w:sz w:val="24"/>
          <w:szCs w:val="21"/>
        </w:rPr>
        <w:t>或招标代理机构发出的《未</w:t>
      </w:r>
      <w:r>
        <w:rPr>
          <w:rFonts w:hint="eastAsia" w:asciiTheme="minorEastAsia" w:hAnsiTheme="minorEastAsia" w:eastAsiaTheme="minorEastAsia" w:cstheme="minorEastAsia"/>
          <w:snapToGrid w:val="0"/>
          <w:kern w:val="0"/>
          <w:sz w:val="24"/>
          <w:szCs w:val="21"/>
        </w:rPr>
        <w:fldChar w:fldCharType="begin"/>
      </w:r>
      <w:r>
        <w:rPr>
          <w:rFonts w:hint="eastAsia" w:asciiTheme="minorEastAsia" w:hAnsiTheme="minorEastAsia" w:eastAsiaTheme="minorEastAsia" w:cstheme="minorEastAsia"/>
          <w:snapToGrid w:val="0"/>
          <w:kern w:val="0"/>
          <w:sz w:val="24"/>
          <w:szCs w:val="21"/>
        </w:rPr>
        <w:instrText xml:space="preserve">HYPERLINK "http://www.66law.cn/topic2010/中标通知书/" \o "中标通知书"</w:instrText>
      </w:r>
      <w:r>
        <w:rPr>
          <w:rFonts w:hint="eastAsia" w:asciiTheme="minorEastAsia" w:hAnsiTheme="minorEastAsia" w:eastAsiaTheme="minorEastAsia" w:cstheme="minorEastAsia"/>
          <w:snapToGrid w:val="0"/>
          <w:kern w:val="0"/>
          <w:sz w:val="24"/>
          <w:szCs w:val="21"/>
        </w:rPr>
        <w:fldChar w:fldCharType="separate"/>
      </w:r>
      <w:r>
        <w:rPr>
          <w:rFonts w:hint="eastAsia" w:asciiTheme="minorEastAsia" w:hAnsiTheme="minorEastAsia" w:eastAsiaTheme="minorEastAsia" w:cstheme="minorEastAsia"/>
          <w:snapToGrid w:val="0"/>
          <w:kern w:val="0"/>
          <w:sz w:val="24"/>
          <w:szCs w:val="21"/>
        </w:rPr>
        <w:t>中标通知书</w:t>
      </w:r>
      <w:r>
        <w:rPr>
          <w:rFonts w:hint="eastAsia" w:asciiTheme="minorEastAsia" w:hAnsiTheme="minorEastAsia" w:eastAsiaTheme="minorEastAsia" w:cstheme="minorEastAsia"/>
          <w:snapToGrid w:val="0"/>
          <w:kern w:val="0"/>
          <w:sz w:val="24"/>
          <w:szCs w:val="21"/>
        </w:rPr>
        <w:fldChar w:fldCharType="end"/>
      </w:r>
      <w:r>
        <w:rPr>
          <w:rFonts w:hint="eastAsia" w:asciiTheme="minorEastAsia" w:hAnsiTheme="minorEastAsia" w:eastAsiaTheme="minorEastAsia" w:cstheme="minorEastAsia"/>
          <w:snapToGrid w:val="0"/>
          <w:kern w:val="0"/>
          <w:sz w:val="24"/>
          <w:szCs w:val="21"/>
        </w:rPr>
        <w:t>》后，向招标代理机构本项目的负责人申请，招标代理机构的项目负责人将银行保函原件予以退还。</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 xml:space="preserve">（二）中标人 </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 xml:space="preserve">1、采用网上支付、贷记凭证、电汇方式提交的： </w:t>
      </w:r>
    </w:p>
    <w:p>
      <w:pPr>
        <w:keepNext w:val="0"/>
        <w:keepLines w:val="0"/>
        <w:pageBreakBefore w:val="0"/>
        <w:kinsoku/>
        <w:overflowPunct/>
        <w:bidi w:val="0"/>
        <w:spacing w:beforeAutospacing="0" w:afterAutospacing="0" w:line="360" w:lineRule="auto"/>
        <w:ind w:left="567" w:leftChars="270"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中标人凭</w:t>
      </w:r>
      <w:r>
        <w:rPr>
          <w:rFonts w:hint="eastAsia" w:asciiTheme="minorEastAsia" w:hAnsiTheme="minorEastAsia" w:eastAsiaTheme="minorEastAsia" w:cstheme="minorEastAsia"/>
          <w:snapToGrid w:val="0"/>
          <w:kern w:val="0"/>
          <w:sz w:val="24"/>
          <w:szCs w:val="21"/>
        </w:rPr>
        <w:fldChar w:fldCharType="begin"/>
      </w:r>
      <w:r>
        <w:rPr>
          <w:rFonts w:hint="eastAsia" w:asciiTheme="minorEastAsia" w:hAnsiTheme="minorEastAsia" w:eastAsiaTheme="minorEastAsia" w:cstheme="minorEastAsia"/>
          <w:snapToGrid w:val="0"/>
          <w:kern w:val="0"/>
          <w:sz w:val="24"/>
          <w:szCs w:val="21"/>
        </w:rPr>
        <w:instrText xml:space="preserve">HYPERLINK "http://www.66law.cn/topic2010/招标人/" \o "招标人"</w:instrText>
      </w:r>
      <w:r>
        <w:rPr>
          <w:rFonts w:hint="eastAsia" w:asciiTheme="minorEastAsia" w:hAnsiTheme="minorEastAsia" w:eastAsiaTheme="minorEastAsia" w:cstheme="minorEastAsia"/>
          <w:snapToGrid w:val="0"/>
          <w:kern w:val="0"/>
          <w:sz w:val="24"/>
          <w:szCs w:val="21"/>
        </w:rPr>
        <w:fldChar w:fldCharType="separate"/>
      </w:r>
      <w:r>
        <w:rPr>
          <w:rFonts w:hint="eastAsia" w:asciiTheme="minorEastAsia" w:hAnsiTheme="minorEastAsia" w:eastAsiaTheme="minorEastAsia" w:cstheme="minorEastAsia"/>
          <w:snapToGrid w:val="0"/>
          <w:kern w:val="0"/>
          <w:sz w:val="24"/>
          <w:szCs w:val="21"/>
        </w:rPr>
        <w:t>招标人</w:t>
      </w:r>
      <w:r>
        <w:rPr>
          <w:rFonts w:hint="eastAsia" w:asciiTheme="minorEastAsia" w:hAnsiTheme="minorEastAsia" w:eastAsiaTheme="minorEastAsia" w:cstheme="minorEastAsia"/>
          <w:snapToGrid w:val="0"/>
          <w:kern w:val="0"/>
          <w:sz w:val="24"/>
          <w:szCs w:val="21"/>
        </w:rPr>
        <w:fldChar w:fldCharType="end"/>
      </w:r>
      <w:r>
        <w:rPr>
          <w:rFonts w:hint="eastAsia" w:asciiTheme="minorEastAsia" w:hAnsiTheme="minorEastAsia" w:eastAsiaTheme="minorEastAsia" w:cstheme="minorEastAsia"/>
          <w:snapToGrid w:val="0"/>
          <w:kern w:val="0"/>
          <w:sz w:val="24"/>
          <w:szCs w:val="21"/>
        </w:rPr>
        <w:t>或招标代理机构发出的《</w:t>
      </w:r>
      <w:r>
        <w:rPr>
          <w:rFonts w:hint="eastAsia" w:asciiTheme="minorEastAsia" w:hAnsiTheme="minorEastAsia" w:eastAsiaTheme="minorEastAsia" w:cstheme="minorEastAsia"/>
          <w:snapToGrid w:val="0"/>
          <w:kern w:val="0"/>
          <w:sz w:val="24"/>
          <w:szCs w:val="21"/>
        </w:rPr>
        <w:fldChar w:fldCharType="begin"/>
      </w:r>
      <w:r>
        <w:rPr>
          <w:rFonts w:hint="eastAsia" w:asciiTheme="minorEastAsia" w:hAnsiTheme="minorEastAsia" w:eastAsiaTheme="minorEastAsia" w:cstheme="minorEastAsia"/>
          <w:snapToGrid w:val="0"/>
          <w:kern w:val="0"/>
          <w:sz w:val="24"/>
          <w:szCs w:val="21"/>
        </w:rPr>
        <w:instrText xml:space="preserve">HYPERLINK "http://www.66law.cn/topic2010/中标通知书/" \o "中标通知书"</w:instrText>
      </w:r>
      <w:r>
        <w:rPr>
          <w:rFonts w:hint="eastAsia" w:asciiTheme="minorEastAsia" w:hAnsiTheme="minorEastAsia" w:eastAsiaTheme="minorEastAsia" w:cstheme="minorEastAsia"/>
          <w:snapToGrid w:val="0"/>
          <w:kern w:val="0"/>
          <w:sz w:val="24"/>
          <w:szCs w:val="21"/>
        </w:rPr>
        <w:fldChar w:fldCharType="separate"/>
      </w:r>
      <w:r>
        <w:rPr>
          <w:rFonts w:hint="eastAsia" w:asciiTheme="minorEastAsia" w:hAnsiTheme="minorEastAsia" w:eastAsiaTheme="minorEastAsia" w:cstheme="minorEastAsia"/>
          <w:snapToGrid w:val="0"/>
          <w:kern w:val="0"/>
          <w:sz w:val="24"/>
          <w:szCs w:val="21"/>
        </w:rPr>
        <w:t>中标通知书</w:t>
      </w:r>
      <w:r>
        <w:rPr>
          <w:rFonts w:hint="eastAsia" w:asciiTheme="minorEastAsia" w:hAnsiTheme="minorEastAsia" w:eastAsiaTheme="minorEastAsia" w:cstheme="minorEastAsia"/>
          <w:snapToGrid w:val="0"/>
          <w:kern w:val="0"/>
          <w:sz w:val="24"/>
          <w:szCs w:val="21"/>
        </w:rPr>
        <w:fldChar w:fldCharType="end"/>
      </w:r>
      <w:r>
        <w:rPr>
          <w:rFonts w:hint="eastAsia" w:asciiTheme="minorEastAsia" w:hAnsiTheme="minorEastAsia" w:eastAsiaTheme="minorEastAsia" w:cstheme="minorEastAsia"/>
          <w:snapToGrid w:val="0"/>
          <w:kern w:val="0"/>
          <w:sz w:val="24"/>
          <w:szCs w:val="21"/>
        </w:rPr>
        <w:t>》、</w:t>
      </w:r>
      <w:r>
        <w:rPr>
          <w:rFonts w:hint="eastAsia" w:asciiTheme="minorEastAsia" w:hAnsiTheme="minorEastAsia" w:eastAsiaTheme="minorEastAsia" w:cstheme="minorEastAsia"/>
          <w:b/>
          <w:bCs/>
          <w:snapToGrid w:val="0"/>
          <w:kern w:val="0"/>
          <w:sz w:val="24"/>
          <w:szCs w:val="21"/>
        </w:rPr>
        <w:t>中标人与招标人签署的合同复印件</w:t>
      </w:r>
      <w:r>
        <w:rPr>
          <w:rFonts w:hint="eastAsia" w:asciiTheme="minorEastAsia" w:hAnsiTheme="minorEastAsia" w:eastAsiaTheme="minorEastAsia" w:cstheme="minorEastAsia"/>
          <w:snapToGrid w:val="0"/>
          <w:kern w:val="0"/>
          <w:sz w:val="24"/>
          <w:szCs w:val="21"/>
        </w:rPr>
        <w:t>向招标代理机构本项目的负责人申请退还，</w:t>
      </w:r>
      <w:bookmarkStart w:id="215" w:name="OLE_LINK43"/>
      <w:r>
        <w:rPr>
          <w:rFonts w:hint="eastAsia" w:asciiTheme="minorEastAsia" w:hAnsiTheme="minorEastAsia" w:eastAsiaTheme="minorEastAsia" w:cstheme="minorEastAsia"/>
          <w:snapToGrid w:val="0"/>
          <w:kern w:val="0"/>
          <w:sz w:val="24"/>
          <w:szCs w:val="21"/>
        </w:rPr>
        <w:t>招标代理机构的项目负责人提交财务审核后采用网上支付方式退还</w:t>
      </w:r>
      <w:bookmarkEnd w:id="215"/>
      <w:r>
        <w:rPr>
          <w:rFonts w:hint="eastAsia" w:asciiTheme="minorEastAsia" w:hAnsiTheme="minorEastAsia" w:eastAsiaTheme="minorEastAsia" w:cstheme="minorEastAsia"/>
          <w:snapToGrid w:val="0"/>
          <w:kern w:val="0"/>
          <w:sz w:val="24"/>
          <w:szCs w:val="21"/>
        </w:rPr>
        <w:t>。</w:t>
      </w:r>
      <w:bookmarkStart w:id="216" w:name="OLE_LINK21"/>
    </w:p>
    <w:bookmarkEnd w:id="216"/>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 xml:space="preserve">2、采用银行保函方式提交的： </w:t>
      </w:r>
    </w:p>
    <w:p>
      <w:pPr>
        <w:keepNext w:val="0"/>
        <w:keepLines w:val="0"/>
        <w:pageBreakBefore w:val="0"/>
        <w:kinsoku/>
        <w:overflowPunct/>
        <w:bidi w:val="0"/>
        <w:spacing w:beforeAutospacing="0" w:afterAutospacing="0" w:line="360" w:lineRule="auto"/>
        <w:ind w:left="567" w:leftChars="270" w:firstLine="480" w:firstLineChars="200"/>
        <w:rPr>
          <w:rFonts w:hint="eastAsia" w:asciiTheme="minorEastAsia" w:hAnsiTheme="minorEastAsia" w:eastAsiaTheme="minorEastAsia" w:cstheme="minorEastAsia"/>
          <w:snapToGrid w:val="0"/>
          <w:kern w:val="0"/>
          <w:sz w:val="24"/>
          <w:szCs w:val="21"/>
        </w:rPr>
      </w:pPr>
      <w:r>
        <w:rPr>
          <w:rFonts w:hint="eastAsia" w:asciiTheme="minorEastAsia" w:hAnsiTheme="minorEastAsia" w:eastAsiaTheme="minorEastAsia" w:cstheme="minorEastAsia"/>
          <w:snapToGrid w:val="0"/>
          <w:kern w:val="0"/>
          <w:sz w:val="24"/>
          <w:szCs w:val="21"/>
        </w:rPr>
        <w:t>中标人凭</w:t>
      </w:r>
      <w:r>
        <w:rPr>
          <w:rFonts w:hint="eastAsia" w:asciiTheme="minorEastAsia" w:hAnsiTheme="minorEastAsia" w:eastAsiaTheme="minorEastAsia" w:cstheme="minorEastAsia"/>
          <w:snapToGrid w:val="0"/>
          <w:kern w:val="0"/>
          <w:sz w:val="24"/>
          <w:szCs w:val="21"/>
        </w:rPr>
        <w:fldChar w:fldCharType="begin"/>
      </w:r>
      <w:r>
        <w:rPr>
          <w:rFonts w:hint="eastAsia" w:asciiTheme="minorEastAsia" w:hAnsiTheme="minorEastAsia" w:eastAsiaTheme="minorEastAsia" w:cstheme="minorEastAsia"/>
          <w:snapToGrid w:val="0"/>
          <w:kern w:val="0"/>
          <w:sz w:val="24"/>
          <w:szCs w:val="21"/>
        </w:rPr>
        <w:instrText xml:space="preserve">HYPERLINK "http://www.66law.cn/topic2010/招标人/" \o "招标人"</w:instrText>
      </w:r>
      <w:r>
        <w:rPr>
          <w:rFonts w:hint="eastAsia" w:asciiTheme="minorEastAsia" w:hAnsiTheme="minorEastAsia" w:eastAsiaTheme="minorEastAsia" w:cstheme="minorEastAsia"/>
          <w:snapToGrid w:val="0"/>
          <w:kern w:val="0"/>
          <w:sz w:val="24"/>
          <w:szCs w:val="21"/>
        </w:rPr>
        <w:fldChar w:fldCharType="separate"/>
      </w:r>
      <w:r>
        <w:rPr>
          <w:rFonts w:hint="eastAsia" w:asciiTheme="minorEastAsia" w:hAnsiTheme="minorEastAsia" w:eastAsiaTheme="minorEastAsia" w:cstheme="minorEastAsia"/>
          <w:snapToGrid w:val="0"/>
          <w:kern w:val="0"/>
          <w:sz w:val="24"/>
          <w:szCs w:val="21"/>
        </w:rPr>
        <w:t>招标人</w:t>
      </w:r>
      <w:r>
        <w:rPr>
          <w:rFonts w:hint="eastAsia" w:asciiTheme="minorEastAsia" w:hAnsiTheme="minorEastAsia" w:eastAsiaTheme="minorEastAsia" w:cstheme="minorEastAsia"/>
          <w:snapToGrid w:val="0"/>
          <w:kern w:val="0"/>
          <w:sz w:val="24"/>
          <w:szCs w:val="21"/>
        </w:rPr>
        <w:fldChar w:fldCharType="end"/>
      </w:r>
      <w:r>
        <w:rPr>
          <w:rFonts w:hint="eastAsia" w:asciiTheme="minorEastAsia" w:hAnsiTheme="minorEastAsia" w:eastAsiaTheme="minorEastAsia" w:cstheme="minorEastAsia"/>
          <w:snapToGrid w:val="0"/>
          <w:kern w:val="0"/>
          <w:sz w:val="24"/>
          <w:szCs w:val="21"/>
        </w:rPr>
        <w:t>或招标代理机构发出的《</w:t>
      </w:r>
      <w:r>
        <w:rPr>
          <w:rFonts w:hint="eastAsia" w:asciiTheme="minorEastAsia" w:hAnsiTheme="minorEastAsia" w:eastAsiaTheme="minorEastAsia" w:cstheme="minorEastAsia"/>
          <w:snapToGrid w:val="0"/>
          <w:kern w:val="0"/>
          <w:sz w:val="24"/>
          <w:szCs w:val="21"/>
        </w:rPr>
        <w:fldChar w:fldCharType="begin"/>
      </w:r>
      <w:r>
        <w:rPr>
          <w:rFonts w:hint="eastAsia" w:asciiTheme="minorEastAsia" w:hAnsiTheme="minorEastAsia" w:eastAsiaTheme="minorEastAsia" w:cstheme="minorEastAsia"/>
          <w:snapToGrid w:val="0"/>
          <w:kern w:val="0"/>
          <w:sz w:val="24"/>
          <w:szCs w:val="21"/>
        </w:rPr>
        <w:instrText xml:space="preserve">HYPERLINK "http://www.66law.cn/topic2010/中标通知书/" \o "中标通知书"</w:instrText>
      </w:r>
      <w:r>
        <w:rPr>
          <w:rFonts w:hint="eastAsia" w:asciiTheme="minorEastAsia" w:hAnsiTheme="minorEastAsia" w:eastAsiaTheme="minorEastAsia" w:cstheme="minorEastAsia"/>
          <w:snapToGrid w:val="0"/>
          <w:kern w:val="0"/>
          <w:sz w:val="24"/>
          <w:szCs w:val="21"/>
        </w:rPr>
        <w:fldChar w:fldCharType="separate"/>
      </w:r>
      <w:r>
        <w:rPr>
          <w:rFonts w:hint="eastAsia" w:asciiTheme="minorEastAsia" w:hAnsiTheme="minorEastAsia" w:eastAsiaTheme="minorEastAsia" w:cstheme="minorEastAsia"/>
          <w:snapToGrid w:val="0"/>
          <w:kern w:val="0"/>
          <w:sz w:val="24"/>
          <w:szCs w:val="21"/>
        </w:rPr>
        <w:t>中标通知书</w:t>
      </w:r>
      <w:r>
        <w:rPr>
          <w:rFonts w:hint="eastAsia" w:asciiTheme="minorEastAsia" w:hAnsiTheme="minorEastAsia" w:eastAsiaTheme="minorEastAsia" w:cstheme="minorEastAsia"/>
          <w:snapToGrid w:val="0"/>
          <w:kern w:val="0"/>
          <w:sz w:val="24"/>
          <w:szCs w:val="21"/>
        </w:rPr>
        <w:fldChar w:fldCharType="end"/>
      </w:r>
      <w:r>
        <w:rPr>
          <w:rFonts w:hint="eastAsia" w:asciiTheme="minorEastAsia" w:hAnsiTheme="minorEastAsia" w:eastAsiaTheme="minorEastAsia" w:cstheme="minorEastAsia"/>
          <w:snapToGrid w:val="0"/>
          <w:kern w:val="0"/>
          <w:sz w:val="24"/>
          <w:szCs w:val="21"/>
        </w:rPr>
        <w:t>》、</w:t>
      </w:r>
      <w:r>
        <w:rPr>
          <w:rFonts w:hint="eastAsia" w:asciiTheme="minorEastAsia" w:hAnsiTheme="minorEastAsia" w:eastAsiaTheme="minorEastAsia" w:cstheme="minorEastAsia"/>
          <w:b/>
          <w:bCs/>
          <w:snapToGrid w:val="0"/>
          <w:kern w:val="0"/>
          <w:sz w:val="24"/>
          <w:szCs w:val="21"/>
        </w:rPr>
        <w:t>中标人与招标人签署的合同复印件</w:t>
      </w:r>
      <w:r>
        <w:rPr>
          <w:rFonts w:hint="eastAsia" w:asciiTheme="minorEastAsia" w:hAnsiTheme="minorEastAsia" w:eastAsiaTheme="minorEastAsia" w:cstheme="minorEastAsia"/>
          <w:snapToGrid w:val="0"/>
          <w:kern w:val="0"/>
          <w:sz w:val="24"/>
          <w:szCs w:val="21"/>
        </w:rPr>
        <w:t>向招标代理机构本项目的负责人申请，招标代理机构的项目负责人将</w:t>
      </w:r>
      <w:bookmarkStart w:id="217" w:name="OLE_LINK22"/>
      <w:r>
        <w:rPr>
          <w:rFonts w:hint="eastAsia" w:asciiTheme="minorEastAsia" w:hAnsiTheme="minorEastAsia" w:eastAsiaTheme="minorEastAsia" w:cstheme="minorEastAsia"/>
          <w:snapToGrid w:val="0"/>
          <w:kern w:val="0"/>
          <w:sz w:val="24"/>
          <w:szCs w:val="21"/>
        </w:rPr>
        <w:t>银行保函原件</w:t>
      </w:r>
      <w:bookmarkEnd w:id="217"/>
      <w:r>
        <w:rPr>
          <w:rFonts w:hint="eastAsia" w:asciiTheme="minorEastAsia" w:hAnsiTheme="minorEastAsia" w:eastAsiaTheme="minorEastAsia" w:cstheme="minorEastAsia"/>
          <w:snapToGrid w:val="0"/>
          <w:kern w:val="0"/>
          <w:sz w:val="24"/>
          <w:szCs w:val="21"/>
        </w:rPr>
        <w:t>予以退还。</w:t>
      </w:r>
    </w:p>
    <w:p>
      <w:pPr>
        <w:keepNext w:val="0"/>
        <w:keepLines w:val="0"/>
        <w:pageBreakBefore w:val="0"/>
        <w:numPr>
          <w:ilvl w:val="0"/>
          <w:numId w:val="10"/>
        </w:numPr>
        <w:kinsoku/>
        <w:overflowPunct/>
        <w:bidi w:val="0"/>
        <w:spacing w:beforeAutospacing="0" w:afterAutospacing="0" w:line="360" w:lineRule="auto"/>
        <w:ind w:firstLine="482"/>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如</w:t>
      </w:r>
      <w:bookmarkStart w:id="218" w:name="OLE_LINK52"/>
      <w:r>
        <w:rPr>
          <w:rFonts w:hint="eastAsia" w:asciiTheme="minorEastAsia" w:hAnsiTheme="minorEastAsia" w:eastAsiaTheme="minorEastAsia" w:cstheme="minorEastAsia"/>
          <w:b/>
          <w:bCs/>
          <w:snapToGrid w:val="0"/>
          <w:kern w:val="0"/>
          <w:sz w:val="24"/>
          <w:szCs w:val="21"/>
        </w:rPr>
        <w:t>招标文件规定</w:t>
      </w:r>
      <w:bookmarkEnd w:id="218"/>
      <w:r>
        <w:rPr>
          <w:rFonts w:hint="eastAsia" w:asciiTheme="minorEastAsia" w:hAnsiTheme="minorEastAsia" w:eastAsiaTheme="minorEastAsia" w:cstheme="minorEastAsia"/>
          <w:b/>
          <w:bCs/>
          <w:snapToGrid w:val="0"/>
          <w:kern w:val="0"/>
          <w:sz w:val="24"/>
          <w:szCs w:val="21"/>
        </w:rPr>
        <w:t>由中标人缴纳招标代理服务费的，中标人须先向招标代理机构缴纳招标代理服务费后，招标代理机构再办理退还投标保证金手续。</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4"/>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napToGrid w:val="0"/>
          <w:kern w:val="0"/>
          <w:sz w:val="24"/>
          <w:szCs w:val="21"/>
        </w:rPr>
      </w:pPr>
      <w:r>
        <w:rPr>
          <w:rFonts w:hint="eastAsia" w:asciiTheme="minorEastAsia" w:hAnsiTheme="minorEastAsia" w:eastAsiaTheme="minorEastAsia" w:cstheme="minorEastAsia"/>
          <w:b/>
          <w:bCs/>
          <w:snapToGrid w:val="0"/>
          <w:kern w:val="0"/>
          <w:sz w:val="24"/>
          <w:szCs w:val="21"/>
        </w:rPr>
        <w:t>八、其他事项</w:t>
      </w:r>
    </w:p>
    <w:p>
      <w:pPr>
        <w:pStyle w:val="37"/>
        <w:keepNext w:val="0"/>
        <w:keepLines w:val="0"/>
        <w:pageBreakBefore w:val="0"/>
        <w:kinsoku/>
        <w:overflowPunct/>
        <w:bidi w:val="0"/>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 w:val="24"/>
        </w:rPr>
        <w:t>如投标人对本须知中的相关内容作进一步咨询，可按招标文件“投标人须知”的相关规定以书面形式向招标代理机构提出，或向招标文件中列明的招标代理机构的项目负责人电话咨询。</w:t>
      </w: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Cs w:val="44"/>
        </w:rPr>
      </w:pPr>
      <w:bookmarkStart w:id="219" w:name="_Toc402466058"/>
      <w:bookmarkEnd w:id="219"/>
      <w:bookmarkStart w:id="220" w:name="_Toc388529348"/>
      <w:bookmarkEnd w:id="220"/>
      <w:bookmarkStart w:id="221" w:name="_Toc762"/>
      <w:bookmarkEnd w:id="221"/>
      <w:bookmarkStart w:id="222" w:name="_Toc295339643"/>
      <w:bookmarkEnd w:id="222"/>
      <w:bookmarkStart w:id="223" w:name="_Toc372754680"/>
      <w:bookmarkEnd w:id="223"/>
      <w:bookmarkStart w:id="224" w:name="_Toc18847"/>
      <w:bookmarkEnd w:id="224"/>
      <w:bookmarkStart w:id="225" w:name="_Toc19353"/>
      <w:bookmarkEnd w:id="225"/>
      <w:bookmarkStart w:id="226" w:name="_Toc388529347"/>
      <w:bookmarkEnd w:id="226"/>
      <w:bookmarkStart w:id="227" w:name="_Toc294383740"/>
      <w:bookmarkEnd w:id="227"/>
      <w:bookmarkStart w:id="228" w:name="_Toc294383742"/>
      <w:bookmarkEnd w:id="228"/>
      <w:bookmarkStart w:id="229" w:name="_Toc375213739"/>
      <w:bookmarkEnd w:id="229"/>
      <w:bookmarkStart w:id="230" w:name="_Toc288164077"/>
      <w:bookmarkEnd w:id="230"/>
      <w:bookmarkStart w:id="231" w:name="_Toc388529349"/>
      <w:bookmarkEnd w:id="231"/>
      <w:r>
        <w:rPr>
          <w:rFonts w:hint="eastAsia" w:asciiTheme="minorEastAsia" w:hAnsiTheme="minorEastAsia" w:eastAsiaTheme="minorEastAsia" w:cstheme="minorEastAsia"/>
          <w:sz w:val="24"/>
          <w:szCs w:val="24"/>
        </w:rPr>
        <w:br w:type="page"/>
      </w:r>
      <w:bookmarkStart w:id="232" w:name="_Toc392227805"/>
      <w:bookmarkStart w:id="233" w:name="_Toc26241"/>
      <w:bookmarkStart w:id="234" w:name="_Toc8374"/>
      <w:bookmarkStart w:id="235" w:name="_Toc457747979"/>
      <w:bookmarkStart w:id="236" w:name="_Toc11627"/>
      <w:r>
        <w:rPr>
          <w:rFonts w:hint="eastAsia" w:asciiTheme="minorEastAsia" w:hAnsiTheme="minorEastAsia" w:eastAsiaTheme="minorEastAsia" w:cstheme="minorEastAsia"/>
          <w:sz w:val="32"/>
          <w:szCs w:val="32"/>
        </w:rPr>
        <w:t>第三章 评标方法</w:t>
      </w:r>
      <w:bookmarkEnd w:id="232"/>
      <w:bookmarkEnd w:id="233"/>
      <w:bookmarkEnd w:id="234"/>
      <w:bookmarkEnd w:id="235"/>
      <w:bookmarkEnd w:id="236"/>
    </w:p>
    <w:p>
      <w:pPr>
        <w:keepNext w:val="0"/>
        <w:keepLines w:val="0"/>
        <w:pageBreakBefore w:val="0"/>
        <w:kinsoku/>
        <w:overflowPunct/>
        <w:topLinePunct w:val="0"/>
        <w:autoSpaceDE/>
        <w:autoSpaceDN/>
        <w:bidi w:val="0"/>
        <w:spacing w:beforeAutospacing="0" w:afterAutospacing="0" w:line="360" w:lineRule="auto"/>
        <w:ind w:right="0" w:rightChars="0" w:firstLine="480" w:firstLineChars="200"/>
        <w:textAlignment w:val="auto"/>
        <w:rPr>
          <w:rFonts w:hint="eastAsia" w:asciiTheme="minorEastAsia" w:hAnsiTheme="minorEastAsia" w:eastAsiaTheme="minorEastAsia" w:cstheme="minorEastAsia"/>
          <w:b/>
          <w:bCs/>
          <w:snapToGrid w:val="0"/>
          <w:color w:val="000000"/>
          <w:kern w:val="0"/>
          <w:sz w:val="24"/>
        </w:rPr>
      </w:pPr>
      <w:r>
        <w:rPr>
          <w:rFonts w:hint="eastAsia" w:asciiTheme="minorEastAsia" w:hAnsiTheme="minorEastAsia" w:eastAsiaTheme="minorEastAsia" w:cstheme="minorEastAsia"/>
          <w:snapToGrid w:val="0"/>
          <w:kern w:val="0"/>
          <w:sz w:val="24"/>
          <w:lang w:val="zh-CN"/>
        </w:rPr>
        <w:t>根据《中华人民共和国政府采购法》、《中华人民共和国政府采购法实施条例》和</w:t>
      </w:r>
      <w:r>
        <w:rPr>
          <w:rFonts w:hint="eastAsia" w:asciiTheme="minorEastAsia" w:hAnsiTheme="minorEastAsia" w:eastAsiaTheme="minorEastAsia" w:cstheme="minorEastAsia"/>
          <w:sz w:val="24"/>
          <w:szCs w:val="24"/>
        </w:rPr>
        <w:t>《政府采购货物和服务招标投标管理办法（财政部令2017年第87号）》</w:t>
      </w:r>
      <w:r>
        <w:rPr>
          <w:rFonts w:hint="eastAsia" w:asciiTheme="minorEastAsia" w:hAnsiTheme="minorEastAsia" w:eastAsiaTheme="minorEastAsia" w:cstheme="minorEastAsia"/>
          <w:snapToGrid w:val="0"/>
          <w:kern w:val="0"/>
          <w:sz w:val="24"/>
          <w:lang w:val="zh-CN"/>
        </w:rPr>
        <w:t>的有关规定，并结合本项目招标文件中的有关要求，特制定本办法。</w:t>
      </w:r>
    </w:p>
    <w:p>
      <w:pPr>
        <w:pStyle w:val="15"/>
        <w:keepNext w:val="0"/>
        <w:keepLines w:val="0"/>
        <w:pageBreakBefore w:val="0"/>
        <w:kinsoku/>
        <w:overflowPunct/>
        <w:topLinePunct w:val="0"/>
        <w:autoSpaceDE/>
        <w:autoSpaceDN/>
        <w:bidi w:val="0"/>
        <w:spacing w:beforeAutospacing="0" w:afterAutospacing="0" w:line="360" w:lineRule="auto"/>
        <w:ind w:right="0" w:rightChars="0"/>
        <w:textAlignment w:val="auto"/>
        <w:outlineLvl w:val="2"/>
        <w:rPr>
          <w:rFonts w:hint="eastAsia" w:asciiTheme="minorEastAsia" w:hAnsiTheme="minorEastAsia" w:eastAsiaTheme="minorEastAsia" w:cstheme="minorEastAsia"/>
          <w:b/>
          <w:snapToGrid w:val="0"/>
          <w:kern w:val="0"/>
          <w:sz w:val="24"/>
          <w:szCs w:val="24"/>
        </w:rPr>
      </w:pPr>
      <w:r>
        <w:rPr>
          <w:rFonts w:hint="eastAsia" w:asciiTheme="minorEastAsia" w:hAnsiTheme="minorEastAsia" w:eastAsiaTheme="minorEastAsia" w:cstheme="minorEastAsia"/>
          <w:b/>
          <w:snapToGrid w:val="0"/>
          <w:kern w:val="0"/>
          <w:sz w:val="24"/>
          <w:szCs w:val="24"/>
        </w:rPr>
        <w:t>一、评标原则</w:t>
      </w:r>
    </w:p>
    <w:p>
      <w:pPr>
        <w:keepNext w:val="0"/>
        <w:keepLines w:val="0"/>
        <w:pageBreakBefore w:val="0"/>
        <w:widowControl/>
        <w:numPr>
          <w:ilvl w:val="0"/>
          <w:numId w:val="12"/>
        </w:numPr>
        <w:shd w:val="clear" w:color="auto" w:fill="FFFFFF"/>
        <w:kinsoku/>
        <w:overflowPunct/>
        <w:topLinePunct w:val="0"/>
        <w:autoSpaceDE/>
        <w:autoSpaceDN/>
        <w:bidi w:val="0"/>
        <w:snapToGrid w:val="0"/>
        <w:spacing w:beforeAutospacing="0" w:afterAutospacing="0" w:line="360" w:lineRule="auto"/>
        <w:ind w:right="0" w:rightChars="0"/>
        <w:textAlignment w:val="auto"/>
        <w:rPr>
          <w:rFonts w:hint="eastAsia" w:asciiTheme="minorEastAsia" w:hAnsiTheme="minorEastAsia" w:eastAsiaTheme="minorEastAsia" w:cstheme="minorEastAsia"/>
          <w:b w:val="0"/>
          <w:bCs w:val="0"/>
          <w:snapToGrid w:val="0"/>
          <w:color w:val="auto"/>
          <w:kern w:val="0"/>
          <w:sz w:val="24"/>
          <w:highlight w:val="none"/>
        </w:rPr>
      </w:pPr>
      <w:r>
        <w:rPr>
          <w:rFonts w:hint="eastAsia" w:asciiTheme="minorEastAsia" w:hAnsiTheme="minorEastAsia" w:eastAsiaTheme="minorEastAsia" w:cstheme="minorEastAsia"/>
          <w:snapToGrid w:val="0"/>
          <w:kern w:val="0"/>
          <w:sz w:val="24"/>
        </w:rPr>
        <w:t>由依法组建的评标委员会对</w:t>
      </w:r>
      <w:r>
        <w:rPr>
          <w:rFonts w:hint="eastAsia" w:asciiTheme="minorEastAsia" w:hAnsiTheme="minorEastAsia" w:eastAsiaTheme="minorEastAsia" w:cstheme="minorEastAsia"/>
          <w:sz w:val="24"/>
          <w:szCs w:val="24"/>
        </w:rPr>
        <w:t>符合资</w:t>
      </w:r>
      <w:r>
        <w:rPr>
          <w:rFonts w:hint="eastAsia" w:asciiTheme="minorEastAsia" w:hAnsiTheme="minorEastAsia" w:eastAsiaTheme="minorEastAsia" w:cstheme="minorEastAsia"/>
          <w:b w:val="0"/>
          <w:bCs w:val="0"/>
          <w:sz w:val="24"/>
          <w:szCs w:val="24"/>
        </w:rPr>
        <w:t>格的投标人的投标文件进行符合性审查，以确定其是否满足招标文件的实质性要求，</w:t>
      </w:r>
      <w:r>
        <w:rPr>
          <w:rFonts w:hint="eastAsia" w:asciiTheme="minorEastAsia" w:hAnsiTheme="minorEastAsia" w:eastAsiaTheme="minorEastAsia" w:cstheme="minorEastAsia"/>
          <w:b w:val="0"/>
          <w:bCs w:val="0"/>
          <w:snapToGrid w:val="0"/>
          <w:kern w:val="0"/>
          <w:sz w:val="24"/>
        </w:rPr>
        <w:t>通过符合性审查的投标文件才可以进入详细评审。</w:t>
      </w:r>
    </w:p>
    <w:p>
      <w:pPr>
        <w:keepNext w:val="0"/>
        <w:keepLines w:val="0"/>
        <w:pageBreakBefore w:val="0"/>
        <w:widowControl/>
        <w:numPr>
          <w:ilvl w:val="0"/>
          <w:numId w:val="12"/>
        </w:numPr>
        <w:shd w:val="clear" w:color="auto" w:fill="FFFFFF"/>
        <w:kinsoku/>
        <w:overflowPunct/>
        <w:topLinePunct w:val="0"/>
        <w:autoSpaceDE/>
        <w:autoSpaceDN/>
        <w:bidi w:val="0"/>
        <w:snapToGrid w:val="0"/>
        <w:spacing w:beforeAutospacing="0" w:afterAutospacing="0" w:line="360" w:lineRule="auto"/>
        <w:ind w:right="0" w:rightChars="0"/>
        <w:textAlignment w:val="auto"/>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b w:val="0"/>
          <w:bCs w:val="0"/>
          <w:snapToGrid w:val="0"/>
          <w:kern w:val="0"/>
          <w:sz w:val="24"/>
        </w:rPr>
        <w:t>详细评审采用综合评分法，投标人</w:t>
      </w:r>
      <w:r>
        <w:rPr>
          <w:rFonts w:hint="eastAsia" w:asciiTheme="minorEastAsia" w:hAnsiTheme="minorEastAsia" w:eastAsiaTheme="minorEastAsia" w:cstheme="minorEastAsia"/>
          <w:snapToGrid w:val="0"/>
          <w:kern w:val="0"/>
          <w:sz w:val="24"/>
        </w:rPr>
        <w:t>的</w:t>
      </w:r>
      <w:r>
        <w:rPr>
          <w:rFonts w:hint="eastAsia" w:asciiTheme="minorEastAsia" w:hAnsiTheme="minorEastAsia" w:eastAsiaTheme="minorEastAsia" w:cstheme="minorEastAsia"/>
          <w:snapToGrid w:val="0"/>
          <w:color w:val="auto"/>
          <w:kern w:val="0"/>
          <w:sz w:val="24"/>
        </w:rPr>
        <w:t>综合得分为投标人价格分和技术商务分的合计得分，总分为100分；其中价格分为30分、技术商务分为70分。</w:t>
      </w:r>
      <w:bookmarkStart w:id="237" w:name="OLE_LINK3"/>
      <w:bookmarkStart w:id="238" w:name="OLE_LINK5"/>
      <w:r>
        <w:rPr>
          <w:rFonts w:hint="eastAsia" w:asciiTheme="minorEastAsia" w:hAnsiTheme="minorEastAsia" w:eastAsiaTheme="minorEastAsia" w:cstheme="minorEastAsia"/>
          <w:snapToGrid w:val="0"/>
          <w:color w:val="auto"/>
          <w:kern w:val="0"/>
          <w:sz w:val="24"/>
        </w:rPr>
        <w:t>技术商务依据评标委员会打分合计后的算术平均值作为投</w:t>
      </w:r>
      <w:r>
        <w:rPr>
          <w:rFonts w:hint="eastAsia" w:asciiTheme="minorEastAsia" w:hAnsiTheme="minorEastAsia" w:eastAsiaTheme="minorEastAsia" w:cstheme="minorEastAsia"/>
          <w:snapToGrid w:val="0"/>
          <w:kern w:val="0"/>
          <w:sz w:val="24"/>
        </w:rPr>
        <w:t>标人技术商务分</w:t>
      </w:r>
      <w:bookmarkEnd w:id="237"/>
      <w:bookmarkEnd w:id="238"/>
      <w:r>
        <w:rPr>
          <w:rFonts w:hint="eastAsia" w:asciiTheme="minorEastAsia" w:hAnsiTheme="minorEastAsia" w:eastAsiaTheme="minorEastAsia" w:cstheme="minorEastAsia"/>
          <w:snapToGrid w:val="0"/>
          <w:kern w:val="0"/>
          <w:sz w:val="24"/>
        </w:rPr>
        <w:t>。评分分值计算保留小数点后2位，小数点后第3位“四舍五入”。</w:t>
      </w:r>
    </w:p>
    <w:p>
      <w:pPr>
        <w:keepNext w:val="0"/>
        <w:keepLines w:val="0"/>
        <w:pageBreakBefore w:val="0"/>
        <w:widowControl/>
        <w:numPr>
          <w:ilvl w:val="0"/>
          <w:numId w:val="12"/>
        </w:numPr>
        <w:shd w:val="clear" w:color="auto" w:fill="FFFFFF"/>
        <w:kinsoku/>
        <w:overflowPunct/>
        <w:topLinePunct w:val="0"/>
        <w:autoSpaceDE/>
        <w:autoSpaceDN/>
        <w:bidi w:val="0"/>
        <w:snapToGrid w:val="0"/>
        <w:spacing w:beforeAutospacing="0" w:afterAutospacing="0" w:line="360" w:lineRule="auto"/>
        <w:ind w:right="0" w:rightChars="0"/>
        <w:textAlignment w:val="auto"/>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snapToGrid w:val="0"/>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15"/>
        <w:keepNext w:val="0"/>
        <w:keepLines w:val="0"/>
        <w:pageBreakBefore w:val="0"/>
        <w:kinsoku/>
        <w:overflowPunct/>
        <w:topLinePunct w:val="0"/>
        <w:autoSpaceDE/>
        <w:autoSpaceDN/>
        <w:bidi w:val="0"/>
        <w:spacing w:beforeAutospacing="0" w:afterAutospacing="0" w:line="360" w:lineRule="auto"/>
        <w:ind w:right="0" w:rightChars="0"/>
        <w:textAlignment w:val="auto"/>
        <w:outlineLvl w:val="2"/>
        <w:rPr>
          <w:rFonts w:hint="eastAsia" w:asciiTheme="minorEastAsia" w:hAnsiTheme="minorEastAsia" w:eastAsiaTheme="minorEastAsia" w:cstheme="minorEastAsia"/>
          <w:b/>
          <w:snapToGrid w:val="0"/>
          <w:kern w:val="0"/>
          <w:sz w:val="24"/>
          <w:szCs w:val="24"/>
        </w:rPr>
      </w:pPr>
      <w:r>
        <w:rPr>
          <w:rFonts w:hint="eastAsia" w:asciiTheme="minorEastAsia" w:hAnsiTheme="minorEastAsia" w:eastAsiaTheme="minorEastAsia" w:cstheme="minorEastAsia"/>
          <w:b/>
          <w:snapToGrid w:val="0"/>
          <w:kern w:val="0"/>
          <w:sz w:val="24"/>
          <w:szCs w:val="24"/>
        </w:rPr>
        <w:t>二、评标程序</w:t>
      </w:r>
    </w:p>
    <w:p>
      <w:pPr>
        <w:pStyle w:val="15"/>
        <w:keepNext w:val="0"/>
        <w:keepLines w:val="0"/>
        <w:pageBreakBefore w:val="0"/>
        <w:kinsoku/>
        <w:overflowPunct/>
        <w:topLinePunct w:val="0"/>
        <w:autoSpaceDE/>
        <w:autoSpaceDN/>
        <w:bidi w:val="0"/>
        <w:spacing w:beforeAutospacing="0" w:afterAutospacing="0" w:line="360" w:lineRule="auto"/>
        <w:ind w:right="0" w:rightChars="0"/>
        <w:textAlignment w:val="auto"/>
        <w:outlineLvl w:val="2"/>
        <w:rPr>
          <w:rFonts w:hint="eastAsia" w:asciiTheme="minorEastAsia" w:hAnsiTheme="minorEastAsia" w:eastAsiaTheme="minorEastAsia" w:cstheme="minorEastAsia"/>
          <w:b/>
          <w:snapToGrid w:val="0"/>
          <w:kern w:val="0"/>
          <w:sz w:val="24"/>
          <w:szCs w:val="24"/>
        </w:rPr>
      </w:pPr>
      <w:r>
        <w:rPr>
          <w:rFonts w:hint="eastAsia" w:asciiTheme="minorEastAsia" w:hAnsiTheme="minorEastAsia" w:eastAsiaTheme="minorEastAsia" w:cstheme="minorEastAsia"/>
          <w:b/>
          <w:snapToGrid w:val="0"/>
          <w:kern w:val="0"/>
          <w:sz w:val="24"/>
        </w:rPr>
        <w:t xml:space="preserve">(一) </w:t>
      </w:r>
      <w:r>
        <w:rPr>
          <w:rFonts w:hint="eastAsia" w:asciiTheme="minorEastAsia" w:hAnsiTheme="minorEastAsia" w:eastAsiaTheme="minorEastAsia" w:cstheme="minorEastAsia"/>
          <w:b/>
          <w:snapToGrid w:val="0"/>
          <w:kern w:val="0"/>
          <w:sz w:val="24"/>
          <w:szCs w:val="24"/>
        </w:rPr>
        <w:t>符合性评审</w:t>
      </w:r>
    </w:p>
    <w:p>
      <w:pPr>
        <w:keepNext w:val="0"/>
        <w:keepLines w:val="0"/>
        <w:pageBreakBefore w:val="0"/>
        <w:widowControl/>
        <w:shd w:val="clear" w:color="auto" w:fill="FFFFFF"/>
        <w:kinsoku/>
        <w:overflowPunct/>
        <w:topLinePunct w:val="0"/>
        <w:autoSpaceDE/>
        <w:autoSpaceDN/>
        <w:bidi w:val="0"/>
        <w:snapToGrid w:val="0"/>
        <w:spacing w:beforeAutospacing="0" w:afterAutospacing="0" w:line="360" w:lineRule="auto"/>
        <w:ind w:right="0" w:rightChars="0" w:firstLine="482" w:firstLineChars="200"/>
        <w:textAlignment w:val="auto"/>
        <w:rPr>
          <w:rFonts w:hint="eastAsia" w:asciiTheme="minorEastAsia" w:hAnsiTheme="minorEastAsia" w:eastAsiaTheme="minorEastAsia" w:cstheme="minorEastAsia"/>
          <w:b/>
          <w:snapToGrid w:val="0"/>
          <w:kern w:val="0"/>
          <w:sz w:val="24"/>
        </w:rPr>
      </w:pPr>
      <w:r>
        <w:rPr>
          <w:rFonts w:hint="eastAsia" w:asciiTheme="minorEastAsia" w:hAnsiTheme="minorEastAsia" w:eastAsiaTheme="minorEastAsia" w:cstheme="minorEastAsia"/>
          <w:b/>
          <w:bCs/>
          <w:snapToGrid w:val="0"/>
          <w:kern w:val="0"/>
          <w:sz w:val="24"/>
        </w:rPr>
        <w:t>投标人有以下情形之一的，投标无效：</w:t>
      </w:r>
    </w:p>
    <w:p>
      <w:pPr>
        <w:keepNext w:val="0"/>
        <w:keepLines w:val="0"/>
        <w:pageBreakBefore w:val="0"/>
        <w:widowControl/>
        <w:numPr>
          <w:ilvl w:val="0"/>
          <w:numId w:val="13"/>
        </w:numPr>
        <w:shd w:val="clear" w:color="auto" w:fill="FFFFFF"/>
        <w:kinsoku/>
        <w:overflowPunct/>
        <w:topLinePunct w:val="0"/>
        <w:autoSpaceDE/>
        <w:autoSpaceDN/>
        <w:bidi w:val="0"/>
        <w:snapToGrid w:val="0"/>
        <w:spacing w:beforeAutospacing="0" w:afterAutospacing="0" w:line="360" w:lineRule="auto"/>
        <w:ind w:left="425" w:right="0" w:rightChars="0" w:hanging="424" w:hangingChars="17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未按照招标文件的规定提交投标保证金的。</w:t>
      </w:r>
    </w:p>
    <w:p>
      <w:pPr>
        <w:keepNext w:val="0"/>
        <w:keepLines w:val="0"/>
        <w:pageBreakBefore w:val="0"/>
        <w:widowControl/>
        <w:numPr>
          <w:ilvl w:val="0"/>
          <w:numId w:val="13"/>
        </w:numPr>
        <w:shd w:val="clear" w:color="auto" w:fill="FFFFFF"/>
        <w:kinsoku/>
        <w:overflowPunct/>
        <w:topLinePunct w:val="0"/>
        <w:autoSpaceDE/>
        <w:autoSpaceDN/>
        <w:bidi w:val="0"/>
        <w:snapToGrid w:val="0"/>
        <w:spacing w:beforeAutospacing="0" w:afterAutospacing="0" w:line="360" w:lineRule="auto"/>
        <w:ind w:left="425" w:right="0" w:rightChars="0" w:hanging="424" w:hangingChars="177"/>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投标文件未按招标文件要求签署、盖章的。</w:t>
      </w:r>
    </w:p>
    <w:p>
      <w:pPr>
        <w:keepNext w:val="0"/>
        <w:keepLines w:val="0"/>
        <w:pageBreakBefore w:val="0"/>
        <w:widowControl/>
        <w:numPr>
          <w:ilvl w:val="0"/>
          <w:numId w:val="13"/>
        </w:numPr>
        <w:shd w:val="clear" w:color="auto" w:fill="FFFFFF"/>
        <w:kinsoku/>
        <w:overflowPunct/>
        <w:topLinePunct w:val="0"/>
        <w:autoSpaceDE/>
        <w:autoSpaceDN/>
        <w:bidi w:val="0"/>
        <w:snapToGrid w:val="0"/>
        <w:spacing w:beforeAutospacing="0" w:afterAutospacing="0" w:line="360" w:lineRule="auto"/>
        <w:ind w:left="425" w:right="0" w:rightChars="0" w:hanging="424" w:hangingChars="177"/>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投标人资质条件不符合招标文件要求</w:t>
      </w:r>
      <w:r>
        <w:rPr>
          <w:rFonts w:hint="eastAsia" w:asciiTheme="minorEastAsia" w:hAnsiTheme="minorEastAsia" w:eastAsiaTheme="minorEastAsia" w:cstheme="minorEastAsia"/>
          <w:snapToGrid w:val="0"/>
          <w:kern w:val="0"/>
          <w:sz w:val="24"/>
          <w:lang w:eastAsia="zh-CN"/>
        </w:rPr>
        <w:t>；</w:t>
      </w:r>
    </w:p>
    <w:p>
      <w:pPr>
        <w:keepNext w:val="0"/>
        <w:keepLines w:val="0"/>
        <w:pageBreakBefore w:val="0"/>
        <w:widowControl/>
        <w:numPr>
          <w:ilvl w:val="0"/>
          <w:numId w:val="13"/>
        </w:numPr>
        <w:shd w:val="clear" w:color="auto" w:fill="FFFFFF"/>
        <w:kinsoku/>
        <w:overflowPunct/>
        <w:topLinePunct w:val="0"/>
        <w:autoSpaceDE/>
        <w:autoSpaceDN/>
        <w:bidi w:val="0"/>
        <w:snapToGrid w:val="0"/>
        <w:spacing w:beforeAutospacing="0" w:afterAutospacing="0" w:line="360" w:lineRule="auto"/>
        <w:ind w:left="425" w:right="0" w:rightChars="0" w:hanging="424" w:hangingChars="177"/>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投标报价超过招标文件中规定的预算金额或者最高限价的。</w:t>
      </w:r>
    </w:p>
    <w:p>
      <w:pPr>
        <w:keepNext w:val="0"/>
        <w:keepLines w:val="0"/>
        <w:pageBreakBefore w:val="0"/>
        <w:widowControl/>
        <w:numPr>
          <w:ilvl w:val="0"/>
          <w:numId w:val="13"/>
        </w:numPr>
        <w:shd w:val="clear" w:color="auto" w:fill="FFFFFF"/>
        <w:kinsoku/>
        <w:overflowPunct/>
        <w:topLinePunct w:val="0"/>
        <w:autoSpaceDE/>
        <w:autoSpaceDN/>
        <w:bidi w:val="0"/>
        <w:snapToGrid w:val="0"/>
        <w:spacing w:beforeAutospacing="0" w:afterAutospacing="0" w:line="360" w:lineRule="auto"/>
        <w:ind w:left="425" w:right="0" w:rightChars="0" w:hanging="424" w:hangingChars="177"/>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z w:val="24"/>
          <w:szCs w:val="24"/>
        </w:rPr>
        <w:t>投标文件含有采购人不能接受的附加条件的。</w:t>
      </w:r>
    </w:p>
    <w:p>
      <w:pPr>
        <w:keepNext w:val="0"/>
        <w:keepLines w:val="0"/>
        <w:pageBreakBefore w:val="0"/>
        <w:widowControl/>
        <w:numPr>
          <w:ilvl w:val="0"/>
          <w:numId w:val="13"/>
        </w:numPr>
        <w:shd w:val="clear" w:color="auto" w:fill="FFFFFF"/>
        <w:kinsoku/>
        <w:overflowPunct/>
        <w:topLinePunct w:val="0"/>
        <w:autoSpaceDE/>
        <w:autoSpaceDN/>
        <w:bidi w:val="0"/>
        <w:snapToGrid w:val="0"/>
        <w:spacing w:beforeAutospacing="0" w:afterAutospacing="0" w:line="360" w:lineRule="auto"/>
        <w:ind w:left="425" w:right="0" w:rightChars="0" w:hanging="424" w:hangingChars="177"/>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z w:val="24"/>
          <w:szCs w:val="24"/>
        </w:rPr>
        <w:t>法律、法规和招标文件规定的其他无效情形</w:t>
      </w:r>
      <w:r>
        <w:rPr>
          <w:rFonts w:hint="eastAsia" w:asciiTheme="minorEastAsia" w:hAnsiTheme="minorEastAsia" w:eastAsiaTheme="minorEastAsia" w:cstheme="minorEastAsia"/>
          <w:snapToGrid w:val="0"/>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lang w:val="en-US" w:eastAsia="zh-CN"/>
        </w:rPr>
        <w:t xml:space="preserve"> </w:t>
      </w:r>
      <w:r>
        <w:rPr>
          <w:rFonts w:hint="eastAsia" w:asciiTheme="minorEastAsia" w:hAnsiTheme="minorEastAsia" w:eastAsiaTheme="minorEastAsia" w:cstheme="minorEastAsia"/>
          <w:snapToGrid w:val="0"/>
          <w:kern w:val="0"/>
          <w:sz w:val="24"/>
        </w:rPr>
        <w:t>同一投标人提交两个以上不同的投标文件或者投标报价，但招标文件要求提交备选</w:t>
      </w:r>
      <w:r>
        <w:rPr>
          <w:rFonts w:hint="eastAsia" w:asciiTheme="minorEastAsia" w:hAnsiTheme="minorEastAsia" w:eastAsiaTheme="minorEastAsia" w:cstheme="minorEastAsia"/>
          <w:snapToGrid w:val="0"/>
          <w:color w:val="auto"/>
          <w:kern w:val="0"/>
          <w:sz w:val="24"/>
        </w:rPr>
        <w:t>投标</w:t>
      </w:r>
      <w:r>
        <w:rPr>
          <w:rFonts w:hint="eastAsia" w:asciiTheme="minorEastAsia" w:hAnsiTheme="minorEastAsia" w:eastAsiaTheme="minorEastAsia" w:cstheme="minorEastAsia"/>
          <w:snapToGrid w:val="0"/>
          <w:kern w:val="0"/>
          <w:sz w:val="24"/>
        </w:rPr>
        <w:t>的除外。</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投标人的报价有缺漏项或投标人不确认修正后的报价的</w:t>
      </w:r>
      <w:r>
        <w:rPr>
          <w:rFonts w:hint="eastAsia" w:asciiTheme="minorEastAsia" w:hAnsiTheme="minorEastAsia" w:eastAsiaTheme="minorEastAsia" w:cstheme="minorEastAsia"/>
          <w:b w:val="0"/>
          <w:bCs w:val="0"/>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b w:val="0"/>
          <w:bCs w:val="0"/>
          <w:snapToGrid w:val="0"/>
          <w:color w:val="auto"/>
          <w:kern w:val="0"/>
          <w:sz w:val="24"/>
          <w:lang w:val="en-US" w:eastAsia="zh-CN"/>
        </w:rPr>
        <w:t xml:space="preserve"> </w:t>
      </w:r>
      <w:r>
        <w:rPr>
          <w:rFonts w:hint="eastAsia" w:asciiTheme="minorEastAsia" w:hAnsiTheme="minorEastAsia" w:eastAsiaTheme="minorEastAsia" w:cstheme="minorEastAsia"/>
          <w:b w:val="0"/>
          <w:bCs w:val="0"/>
          <w:snapToGrid w:val="0"/>
          <w:color w:val="auto"/>
          <w:kern w:val="0"/>
          <w:sz w:val="24"/>
        </w:rPr>
        <w:t>投标有效期不足的；</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lang w:val="zh-CN"/>
        </w:rPr>
      </w:pPr>
      <w:r>
        <w:rPr>
          <w:rFonts w:hint="eastAsia" w:asciiTheme="minorEastAsia" w:hAnsiTheme="minorEastAsia" w:eastAsiaTheme="minorEastAsia" w:cstheme="minorEastAsia"/>
          <w:snapToGrid w:val="0"/>
          <w:kern w:val="0"/>
          <w:sz w:val="24"/>
          <w:lang w:val="en-US" w:eastAsia="zh-CN"/>
        </w:rPr>
        <w:t xml:space="preserve"> </w:t>
      </w:r>
      <w:r>
        <w:rPr>
          <w:rFonts w:hint="eastAsia" w:asciiTheme="minorEastAsia" w:hAnsiTheme="minorEastAsia" w:eastAsiaTheme="minorEastAsia" w:cstheme="minorEastAsia"/>
          <w:snapToGrid w:val="0"/>
          <w:kern w:val="0"/>
          <w:sz w:val="24"/>
          <w:lang w:val="zh-CN"/>
        </w:rPr>
        <w:t>投标文件</w:t>
      </w:r>
      <w:r>
        <w:rPr>
          <w:rFonts w:hint="eastAsia" w:asciiTheme="minorEastAsia" w:hAnsiTheme="minorEastAsia" w:eastAsiaTheme="minorEastAsia" w:cstheme="minorEastAsia"/>
          <w:snapToGrid w:val="0"/>
          <w:color w:val="auto"/>
          <w:kern w:val="0"/>
          <w:sz w:val="24"/>
          <w:lang w:val="zh-CN"/>
        </w:rPr>
        <w:t>非法定</w:t>
      </w:r>
      <w:r>
        <w:rPr>
          <w:rFonts w:hint="eastAsia" w:asciiTheme="minorEastAsia" w:hAnsiTheme="minorEastAsia" w:eastAsiaTheme="minorEastAsia" w:cstheme="minorEastAsia"/>
          <w:snapToGrid w:val="0"/>
          <w:kern w:val="0"/>
          <w:sz w:val="24"/>
          <w:lang w:val="zh-CN"/>
        </w:rPr>
        <w:t>代表人（单位负责人）签字时，无法定代表人（单位负责人）有效</w:t>
      </w:r>
      <w:r>
        <w:rPr>
          <w:rFonts w:hint="eastAsia" w:asciiTheme="minorEastAsia" w:hAnsiTheme="minorEastAsia" w:eastAsiaTheme="minorEastAsia" w:cstheme="minorEastAsia"/>
          <w:snapToGrid w:val="0"/>
          <w:color w:val="auto"/>
          <w:kern w:val="0"/>
          <w:sz w:val="24"/>
          <w:lang w:val="zh-CN"/>
        </w:rPr>
        <w:t>授权</w:t>
      </w:r>
      <w:r>
        <w:rPr>
          <w:rFonts w:hint="eastAsia" w:asciiTheme="minorEastAsia" w:hAnsiTheme="minorEastAsia" w:eastAsiaTheme="minorEastAsia" w:cstheme="minorEastAsia"/>
          <w:snapToGrid w:val="0"/>
          <w:kern w:val="0"/>
          <w:sz w:val="24"/>
          <w:lang w:val="zh-CN"/>
        </w:rPr>
        <w:t>书的；</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kern w:val="0"/>
          <w:sz w:val="24"/>
          <w:lang w:val="en-US" w:eastAsia="zh-CN"/>
        </w:rPr>
        <w:t xml:space="preserve"> </w:t>
      </w:r>
      <w:r>
        <w:rPr>
          <w:rFonts w:hint="eastAsia" w:asciiTheme="minorEastAsia" w:hAnsiTheme="minorEastAsia" w:eastAsiaTheme="minorEastAsia" w:cstheme="minorEastAsia"/>
          <w:snapToGrid w:val="0"/>
          <w:kern w:val="0"/>
          <w:sz w:val="24"/>
          <w:lang w:val="zh-CN"/>
        </w:rPr>
        <w:t>投标人的“投标函”或“开标一览表”或招标文件要求的证明文件未提供</w:t>
      </w:r>
      <w:r>
        <w:rPr>
          <w:rFonts w:hint="eastAsia" w:asciiTheme="minorEastAsia" w:hAnsiTheme="minorEastAsia" w:eastAsiaTheme="minorEastAsia" w:cstheme="minorEastAsia"/>
          <w:snapToGrid w:val="0"/>
          <w:kern w:val="0"/>
          <w:sz w:val="24"/>
        </w:rPr>
        <w:t>的或提供的资料不符合招标文件要求的</w:t>
      </w:r>
      <w:r>
        <w:rPr>
          <w:rFonts w:hint="eastAsia" w:asciiTheme="minorEastAsia" w:hAnsiTheme="minorEastAsia" w:eastAsiaTheme="minorEastAsia" w:cstheme="minorEastAsia"/>
          <w:snapToGrid w:val="0"/>
          <w:kern w:val="0"/>
          <w:sz w:val="24"/>
          <w:lang w:val="zh-CN"/>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lang w:val="en-US" w:eastAsia="zh-CN"/>
        </w:rPr>
        <w:t xml:space="preserve"> </w:t>
      </w:r>
      <w:r>
        <w:rPr>
          <w:rFonts w:hint="eastAsia" w:asciiTheme="minorEastAsia" w:hAnsiTheme="minorEastAsia" w:eastAsiaTheme="minorEastAsia" w:cstheme="minorEastAsia"/>
          <w:snapToGrid w:val="0"/>
          <w:color w:val="auto"/>
          <w:kern w:val="0"/>
          <w:sz w:val="24"/>
        </w:rPr>
        <w:t>投标人不按评标</w:t>
      </w:r>
      <w:r>
        <w:rPr>
          <w:rFonts w:hint="eastAsia" w:asciiTheme="minorEastAsia" w:hAnsiTheme="minorEastAsia" w:eastAsiaTheme="minorEastAsia" w:cstheme="minorEastAsia"/>
          <w:snapToGrid w:val="0"/>
          <w:kern w:val="0"/>
          <w:sz w:val="24"/>
        </w:rPr>
        <w:t>委员会</w:t>
      </w:r>
      <w:r>
        <w:rPr>
          <w:rFonts w:hint="eastAsia" w:asciiTheme="minorEastAsia" w:hAnsiTheme="minorEastAsia" w:eastAsiaTheme="minorEastAsia" w:cstheme="minorEastAsia"/>
          <w:snapToGrid w:val="0"/>
          <w:color w:val="auto"/>
          <w:kern w:val="0"/>
          <w:sz w:val="24"/>
        </w:rPr>
        <w:t>要求澄清、说明或补正的；</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lang w:val="en-US" w:eastAsia="zh-CN"/>
        </w:rPr>
        <w:t xml:space="preserve"> </w:t>
      </w:r>
      <w:r>
        <w:rPr>
          <w:rFonts w:hint="eastAsia" w:asciiTheme="minorEastAsia" w:hAnsiTheme="minorEastAsia" w:eastAsiaTheme="minorEastAsia" w:cstheme="minorEastAsia"/>
          <w:snapToGrid w:val="0"/>
          <w:color w:val="auto"/>
          <w:kern w:val="0"/>
          <w:sz w:val="24"/>
        </w:rPr>
        <w:t>投标人为招标人不具有独立法人资格的附属机构（单位）</w:t>
      </w:r>
      <w:r>
        <w:rPr>
          <w:rFonts w:hint="eastAsia" w:asciiTheme="minorEastAsia" w:hAnsiTheme="minorEastAsia" w:eastAsiaTheme="minorEastAsia" w:cstheme="minorEastAsia"/>
          <w:snapToGrid w:val="0"/>
          <w:color w:val="auto"/>
          <w:kern w:val="0"/>
          <w:sz w:val="24"/>
          <w:lang w:val="en-US" w:eastAsia="zh-CN"/>
        </w:rPr>
        <w:t>的</w:t>
      </w:r>
      <w:r>
        <w:rPr>
          <w:rFonts w:hint="eastAsia" w:asciiTheme="minorEastAsia" w:hAnsiTheme="minorEastAsia" w:eastAsiaTheme="minorEastAsia" w:cstheme="minorEastAsia"/>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lang w:val="en-US" w:eastAsia="zh-CN"/>
        </w:rPr>
        <w:t xml:space="preserve"> </w:t>
      </w:r>
      <w:r>
        <w:rPr>
          <w:rFonts w:hint="eastAsia" w:asciiTheme="minorEastAsia" w:hAnsiTheme="minorEastAsia" w:eastAsiaTheme="minorEastAsia" w:cstheme="minorEastAsia"/>
          <w:snapToGrid w:val="0"/>
          <w:color w:val="auto"/>
          <w:kern w:val="0"/>
          <w:sz w:val="24"/>
        </w:rPr>
        <w:t>投标人与本招标项目的其他投标人为同一单位负责人</w:t>
      </w:r>
      <w:r>
        <w:rPr>
          <w:rFonts w:hint="eastAsia" w:asciiTheme="minorEastAsia" w:hAnsiTheme="minorEastAsia" w:eastAsiaTheme="minorEastAsia" w:cstheme="minorEastAsia"/>
          <w:snapToGrid w:val="0"/>
          <w:color w:val="auto"/>
          <w:kern w:val="0"/>
          <w:sz w:val="24"/>
          <w:lang w:val="en-US" w:eastAsia="zh-CN"/>
        </w:rPr>
        <w:t>的</w:t>
      </w:r>
      <w:r>
        <w:rPr>
          <w:rFonts w:hint="eastAsia" w:asciiTheme="minorEastAsia" w:hAnsiTheme="minorEastAsia" w:eastAsiaTheme="minorEastAsia" w:cstheme="minorEastAsia"/>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lang w:val="en-US" w:eastAsia="zh-CN"/>
        </w:rPr>
        <w:t xml:space="preserve"> </w:t>
      </w:r>
      <w:r>
        <w:rPr>
          <w:rFonts w:hint="eastAsia" w:asciiTheme="minorEastAsia" w:hAnsiTheme="minorEastAsia" w:eastAsiaTheme="minorEastAsia" w:cstheme="minorEastAsia"/>
          <w:snapToGrid w:val="0"/>
          <w:color w:val="auto"/>
          <w:kern w:val="0"/>
          <w:sz w:val="24"/>
        </w:rPr>
        <w:t>投标人与本招标项目的其他投标人存在控股、管理关系</w:t>
      </w:r>
      <w:r>
        <w:rPr>
          <w:rFonts w:hint="eastAsia" w:asciiTheme="minorEastAsia" w:hAnsiTheme="minorEastAsia" w:eastAsiaTheme="minorEastAsia" w:cstheme="minorEastAsia"/>
          <w:snapToGrid w:val="0"/>
          <w:color w:val="auto"/>
          <w:kern w:val="0"/>
          <w:sz w:val="24"/>
          <w:lang w:val="en-US" w:eastAsia="zh-CN"/>
        </w:rPr>
        <w:t>的</w:t>
      </w:r>
      <w:r>
        <w:rPr>
          <w:rFonts w:hint="eastAsia" w:asciiTheme="minorEastAsia" w:hAnsiTheme="minorEastAsia" w:eastAsiaTheme="minorEastAsia" w:cstheme="minorEastAsia"/>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rPr>
        <w:t>投标人被依法暂停或取消投标资格</w:t>
      </w:r>
      <w:r>
        <w:rPr>
          <w:rFonts w:hint="eastAsia" w:asciiTheme="minorEastAsia" w:hAnsiTheme="minorEastAsia" w:eastAsiaTheme="minorEastAsia" w:cstheme="minorEastAsia"/>
          <w:snapToGrid w:val="0"/>
          <w:color w:val="auto"/>
          <w:kern w:val="0"/>
          <w:sz w:val="24"/>
          <w:lang w:val="en-US" w:eastAsia="zh-CN"/>
        </w:rPr>
        <w:t>的</w:t>
      </w:r>
      <w:r>
        <w:rPr>
          <w:rFonts w:hint="eastAsia" w:asciiTheme="minorEastAsia" w:hAnsiTheme="minorEastAsia" w:eastAsiaTheme="minorEastAsia" w:cstheme="minorEastAsia"/>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879" w:leftChars="190" w:right="0" w:rightChars="0" w:hanging="480" w:hangingChars="20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rPr>
        <w:t>投标人被责令停业，暂扣或吊销执照，或吊销资质证书</w:t>
      </w:r>
      <w:r>
        <w:rPr>
          <w:rFonts w:hint="eastAsia" w:asciiTheme="minorEastAsia" w:hAnsiTheme="minorEastAsia" w:eastAsiaTheme="minorEastAsia" w:cstheme="minorEastAsia"/>
          <w:snapToGrid w:val="0"/>
          <w:color w:val="auto"/>
          <w:kern w:val="0"/>
          <w:sz w:val="24"/>
          <w:lang w:val="en-US" w:eastAsia="zh-CN"/>
        </w:rPr>
        <w:t>的</w:t>
      </w:r>
      <w:r>
        <w:rPr>
          <w:rFonts w:hint="eastAsia" w:asciiTheme="minorEastAsia" w:hAnsiTheme="minorEastAsia" w:eastAsiaTheme="minorEastAsia" w:cstheme="minorEastAsia"/>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rPr>
        <w:t>投标人进入清算程序，或被宣告破产，或其他丧失履约能力的情形</w:t>
      </w:r>
      <w:r>
        <w:rPr>
          <w:rFonts w:hint="eastAsia" w:asciiTheme="minorEastAsia" w:hAnsiTheme="minorEastAsia" w:eastAsiaTheme="minorEastAsia" w:cstheme="minorEastAsia"/>
          <w:snapToGrid w:val="0"/>
          <w:color w:val="auto"/>
          <w:kern w:val="0"/>
          <w:sz w:val="24"/>
          <w:lang w:val="en-US" w:eastAsia="zh-CN"/>
        </w:rPr>
        <w:t>的</w:t>
      </w:r>
      <w:r>
        <w:rPr>
          <w:rFonts w:hint="eastAsia" w:asciiTheme="minorEastAsia" w:hAnsiTheme="minorEastAsia" w:eastAsiaTheme="minorEastAsia" w:cstheme="minorEastAsia"/>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rPr>
        <w:t>投标人被市场监管机关在国家企业信用信息公示系统中列入严重违法失信企业名单</w:t>
      </w:r>
      <w:r>
        <w:rPr>
          <w:rFonts w:hint="eastAsia" w:asciiTheme="minorEastAsia" w:hAnsiTheme="minorEastAsia" w:eastAsiaTheme="minorEastAsia" w:cstheme="minorEastAsia"/>
          <w:snapToGrid w:val="0"/>
          <w:color w:val="auto"/>
          <w:kern w:val="0"/>
          <w:sz w:val="24"/>
          <w:lang w:val="en-US" w:eastAsia="zh-CN"/>
        </w:rPr>
        <w:t>的</w:t>
      </w:r>
      <w:r>
        <w:rPr>
          <w:rFonts w:hint="eastAsia" w:asciiTheme="minorEastAsia" w:hAnsiTheme="minorEastAsia" w:eastAsiaTheme="minorEastAsia" w:cstheme="minorEastAsia"/>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rPr>
        <w:t>投标人或其法定代表人、拟委任的项目负责人被最高人民法院在“信用中国”网站列入失信被执行人名单</w:t>
      </w:r>
      <w:r>
        <w:rPr>
          <w:rFonts w:hint="eastAsia" w:asciiTheme="minorEastAsia" w:hAnsiTheme="minorEastAsia" w:eastAsiaTheme="minorEastAsia" w:cstheme="minorEastAsia"/>
          <w:snapToGrid w:val="0"/>
          <w:color w:val="auto"/>
          <w:kern w:val="0"/>
          <w:sz w:val="24"/>
          <w:lang w:val="en-US" w:eastAsia="zh-CN"/>
        </w:rPr>
        <w:t>的</w:t>
      </w:r>
      <w:r>
        <w:rPr>
          <w:rFonts w:hint="eastAsia" w:asciiTheme="minorEastAsia" w:hAnsiTheme="minorEastAsia" w:eastAsiaTheme="minorEastAsia" w:cstheme="minorEastAsia"/>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lang w:val="en-US" w:eastAsia="zh-CN"/>
        </w:rPr>
        <w:t>投标人被列入重大税收违法案件当事人名单、政府采购严重违法失信行为记录名单的；</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rPr>
        <w:t>在近三年内投标人或其法定代表人、拟委任的项目负责人有行贿犯罪行为</w:t>
      </w:r>
      <w:r>
        <w:rPr>
          <w:rFonts w:hint="eastAsia" w:asciiTheme="minorEastAsia" w:hAnsiTheme="minorEastAsia" w:eastAsiaTheme="minorEastAsia" w:cstheme="minorEastAsia"/>
          <w:snapToGrid w:val="0"/>
          <w:color w:val="auto"/>
          <w:kern w:val="0"/>
          <w:sz w:val="24"/>
          <w:lang w:val="en-US" w:eastAsia="zh-CN"/>
        </w:rPr>
        <w:t>的</w:t>
      </w:r>
      <w:r>
        <w:rPr>
          <w:rFonts w:hint="eastAsia" w:asciiTheme="minorEastAsia" w:hAnsiTheme="minorEastAsia" w:eastAsiaTheme="minorEastAsia" w:cstheme="minorEastAsia"/>
          <w:snapToGrid w:val="0"/>
          <w:color w:val="auto"/>
          <w:kern w:val="0"/>
          <w:sz w:val="24"/>
        </w:rPr>
        <w:t>；</w:t>
      </w:r>
    </w:p>
    <w:p>
      <w:pPr>
        <w:keepNext w:val="0"/>
        <w:keepLines w:val="0"/>
        <w:pageBreakBefore w:val="0"/>
        <w:widowControl/>
        <w:numPr>
          <w:ilvl w:val="1"/>
          <w:numId w:val="13"/>
        </w:numPr>
        <w:shd w:val="clear" w:color="auto" w:fill="FFFFFF"/>
        <w:kinsoku/>
        <w:overflowPunct/>
        <w:topLinePunct w:val="0"/>
        <w:autoSpaceDE/>
        <w:autoSpaceDN/>
        <w:bidi w:val="0"/>
        <w:snapToGrid w:val="0"/>
        <w:spacing w:beforeAutospacing="0" w:afterAutospacing="0" w:line="360" w:lineRule="auto"/>
        <w:ind w:left="1023" w:leftChars="190" w:right="0" w:rightChars="0" w:hanging="624" w:hangingChars="260"/>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rPr>
        <w:t>其他未对招标文件实质性要求和条件作出响应的：</w:t>
      </w:r>
    </w:p>
    <w:p>
      <w:pPr>
        <w:keepNext w:val="0"/>
        <w:keepLines w:val="0"/>
        <w:pageBreakBefore w:val="0"/>
        <w:widowControl/>
        <w:numPr>
          <w:ilvl w:val="0"/>
          <w:numId w:val="13"/>
        </w:numPr>
        <w:shd w:val="clear" w:color="auto" w:fill="FFFFFF"/>
        <w:kinsoku/>
        <w:overflowPunct/>
        <w:topLinePunct w:val="0"/>
        <w:autoSpaceDE/>
        <w:autoSpaceDN/>
        <w:bidi w:val="0"/>
        <w:snapToGrid w:val="0"/>
        <w:spacing w:beforeAutospacing="0" w:afterAutospacing="0" w:line="360" w:lineRule="auto"/>
        <w:ind w:left="425" w:right="0" w:rightChars="0" w:hanging="424" w:hangingChars="177"/>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投标人有串通投标、弄虚作假、妨碍其他投标人的竞争、损害招标人或者其他投标人的合法权益等行为的。</w:t>
      </w:r>
    </w:p>
    <w:p>
      <w:pPr>
        <w:pStyle w:val="15"/>
        <w:keepNext w:val="0"/>
        <w:keepLines w:val="0"/>
        <w:pageBreakBefore w:val="0"/>
        <w:kinsoku/>
        <w:overflowPunct/>
        <w:topLinePunct w:val="0"/>
        <w:autoSpaceDE/>
        <w:autoSpaceDN/>
        <w:bidi w:val="0"/>
        <w:spacing w:beforeAutospacing="0" w:afterAutospacing="0" w:line="360" w:lineRule="auto"/>
        <w:ind w:right="0" w:rightChars="0"/>
        <w:textAlignment w:val="auto"/>
        <w:outlineLvl w:val="2"/>
        <w:rPr>
          <w:rFonts w:hint="eastAsia" w:asciiTheme="minorEastAsia" w:hAnsiTheme="minorEastAsia" w:eastAsiaTheme="minorEastAsia" w:cstheme="minorEastAsia"/>
          <w:b/>
          <w:snapToGrid w:val="0"/>
          <w:kern w:val="0"/>
          <w:sz w:val="24"/>
        </w:rPr>
      </w:pPr>
      <w:r>
        <w:rPr>
          <w:rFonts w:hint="eastAsia" w:asciiTheme="minorEastAsia" w:hAnsiTheme="minorEastAsia" w:eastAsiaTheme="minorEastAsia" w:cstheme="minorEastAsia"/>
          <w:b/>
          <w:bCs/>
          <w:snapToGrid w:val="0"/>
          <w:kern w:val="0"/>
          <w:sz w:val="24"/>
        </w:rPr>
        <w:t>(二) 澄清</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153" w:leftChars="73" w:right="0" w:rightChars="0" w:firstLine="480" w:firstLineChars="200"/>
        <w:jc w:val="both"/>
        <w:textAlignment w:val="auto"/>
        <w:outlineLvl w:val="9"/>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z w:val="24"/>
          <w:szCs w:val="24"/>
        </w:rPr>
        <w:t>评标过程中，对于投标文件中含义不明确、同类问题表述不一致或者有明显文字和计算错误的内容，评标委员会应当以书面形式要求投标人在合理期限内作出必要的澄清、说明或者补正。投标人的澄清、说明或者补正应当采用书面形式，并加盖公章，或者由法定代表人（单位负责人）或其授权的代表签字。投标人的澄清、说明或者补正不得超出投标文件的范围或者改变投标文件的实质性内容</w:t>
      </w:r>
      <w:r>
        <w:rPr>
          <w:rFonts w:hint="eastAsia" w:asciiTheme="minorEastAsia" w:hAnsiTheme="minorEastAsia" w:eastAsiaTheme="minorEastAsia" w:cstheme="minorEastAsia"/>
          <w:snapToGrid w:val="0"/>
          <w:kern w:val="0"/>
          <w:sz w:val="24"/>
        </w:rPr>
        <w:t>。评标委员会对投标人提交的回复有疑问的，可以要求投标人进一步澄清，直至满足评标委员会的要求。</w:t>
      </w:r>
    </w:p>
    <w:p>
      <w:pPr>
        <w:pStyle w:val="15"/>
        <w:keepNext w:val="0"/>
        <w:keepLines w:val="0"/>
        <w:pageBreakBefore w:val="0"/>
        <w:kinsoku/>
        <w:overflowPunct/>
        <w:topLinePunct w:val="0"/>
        <w:autoSpaceDE/>
        <w:autoSpaceDN/>
        <w:bidi w:val="0"/>
        <w:spacing w:beforeAutospacing="0" w:afterAutospacing="0" w:line="360" w:lineRule="auto"/>
        <w:ind w:right="0" w:rightChars="0"/>
        <w:textAlignment w:val="auto"/>
        <w:outlineLvl w:val="2"/>
        <w:rPr>
          <w:rFonts w:hint="eastAsia" w:asciiTheme="minorEastAsia" w:hAnsiTheme="minorEastAsia" w:eastAsiaTheme="minorEastAsia" w:cstheme="minorEastAsia"/>
          <w:b/>
          <w:snapToGrid w:val="0"/>
          <w:kern w:val="0"/>
          <w:sz w:val="24"/>
        </w:rPr>
      </w:pPr>
      <w:r>
        <w:rPr>
          <w:rFonts w:hint="eastAsia" w:asciiTheme="minorEastAsia" w:hAnsiTheme="minorEastAsia" w:eastAsiaTheme="minorEastAsia" w:cstheme="minorEastAsia"/>
          <w:b/>
          <w:snapToGrid w:val="0"/>
          <w:kern w:val="0"/>
          <w:sz w:val="24"/>
          <w:szCs w:val="24"/>
        </w:rPr>
        <w:t xml:space="preserve">(三) </w:t>
      </w:r>
      <w:r>
        <w:rPr>
          <w:rFonts w:hint="eastAsia" w:asciiTheme="minorEastAsia" w:hAnsiTheme="minorEastAsia" w:eastAsiaTheme="minorEastAsia" w:cstheme="minorEastAsia"/>
          <w:b/>
          <w:bCs/>
          <w:snapToGrid w:val="0"/>
          <w:kern w:val="0"/>
          <w:sz w:val="24"/>
        </w:rPr>
        <w:t>修正</w:t>
      </w:r>
    </w:p>
    <w:p>
      <w:pPr>
        <w:keepNext w:val="0"/>
        <w:keepLines w:val="0"/>
        <w:pageBreakBefore w:val="0"/>
        <w:widowControl/>
        <w:shd w:val="clear" w:color="auto" w:fill="FFFFFF"/>
        <w:kinsoku/>
        <w:overflowPunct/>
        <w:topLinePunct w:val="0"/>
        <w:autoSpaceDE/>
        <w:autoSpaceDN/>
        <w:bidi w:val="0"/>
        <w:snapToGrid w:val="0"/>
        <w:spacing w:beforeAutospacing="0" w:afterAutospacing="0" w:line="360" w:lineRule="auto"/>
        <w:ind w:right="0" w:rightChars="0" w:firstLine="480" w:firstLineChars="200"/>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z w:val="24"/>
          <w:szCs w:val="24"/>
        </w:rPr>
        <w:t>投标文件报价出现前后不一致的，按照下列规定修正：</w:t>
      </w:r>
      <w:r>
        <w:rPr>
          <w:rFonts w:hint="eastAsia" w:asciiTheme="minorEastAsia" w:hAnsiTheme="minorEastAsia" w:eastAsiaTheme="minorEastAsia" w:cstheme="minorEastAsia"/>
          <w:snapToGrid w:val="0"/>
          <w:kern w:val="0"/>
          <w:sz w:val="24"/>
        </w:rPr>
        <w:t xml:space="preserve"> </w:t>
      </w:r>
    </w:p>
    <w:p>
      <w:pPr>
        <w:keepNext w:val="0"/>
        <w:keepLines w:val="0"/>
        <w:pageBreakBefore w:val="0"/>
        <w:numPr>
          <w:ilvl w:val="0"/>
          <w:numId w:val="14"/>
        </w:numPr>
        <w:kinsoku/>
        <w:overflowPunct/>
        <w:topLinePunct w:val="0"/>
        <w:autoSpaceDE/>
        <w:autoSpaceDN/>
        <w:bidi w:val="0"/>
        <w:adjustRightInd w:val="0"/>
        <w:snapToGrid w:val="0"/>
        <w:spacing w:beforeAutospacing="0" w:afterAutospacing="0" w:line="360" w:lineRule="auto"/>
        <w:ind w:left="855" w:leftChars="229" w:right="0" w:rightChars="0" w:hanging="374" w:hangingChars="156"/>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投标文件中开标一览表（报价表）内容与投标文件中相应内容不一致的，以开标一览表（报价表）为准；</w:t>
      </w:r>
    </w:p>
    <w:p>
      <w:pPr>
        <w:keepNext w:val="0"/>
        <w:keepLines w:val="0"/>
        <w:pageBreakBefore w:val="0"/>
        <w:numPr>
          <w:ilvl w:val="0"/>
          <w:numId w:val="14"/>
        </w:numPr>
        <w:kinsoku/>
        <w:overflowPunct/>
        <w:topLinePunct w:val="0"/>
        <w:autoSpaceDE/>
        <w:autoSpaceDN/>
        <w:bidi w:val="0"/>
        <w:adjustRightInd w:val="0"/>
        <w:snapToGrid w:val="0"/>
        <w:spacing w:beforeAutospacing="0" w:afterAutospacing="0" w:line="360" w:lineRule="auto"/>
        <w:ind w:left="855" w:leftChars="229" w:right="0" w:rightChars="0" w:hanging="374" w:hangingChars="156"/>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大写金额和小写金额不一致的，以大写金额为准；</w:t>
      </w:r>
    </w:p>
    <w:p>
      <w:pPr>
        <w:keepNext w:val="0"/>
        <w:keepLines w:val="0"/>
        <w:pageBreakBefore w:val="0"/>
        <w:numPr>
          <w:ilvl w:val="0"/>
          <w:numId w:val="14"/>
        </w:numPr>
        <w:kinsoku/>
        <w:overflowPunct/>
        <w:topLinePunct w:val="0"/>
        <w:autoSpaceDE/>
        <w:autoSpaceDN/>
        <w:bidi w:val="0"/>
        <w:adjustRightInd w:val="0"/>
        <w:snapToGrid w:val="0"/>
        <w:spacing w:beforeAutospacing="0" w:afterAutospacing="0" w:line="360" w:lineRule="auto"/>
        <w:ind w:left="855" w:leftChars="229" w:right="0" w:rightChars="0" w:hanging="374" w:hangingChars="156"/>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单价金额小数点或者百分比有明显错位的，以开标一览表的总价为准，并修改单价；</w:t>
      </w:r>
    </w:p>
    <w:p>
      <w:pPr>
        <w:keepNext w:val="0"/>
        <w:keepLines w:val="0"/>
        <w:pageBreakBefore w:val="0"/>
        <w:numPr>
          <w:ilvl w:val="0"/>
          <w:numId w:val="14"/>
        </w:numPr>
        <w:kinsoku/>
        <w:overflowPunct/>
        <w:topLinePunct w:val="0"/>
        <w:autoSpaceDE/>
        <w:autoSpaceDN/>
        <w:bidi w:val="0"/>
        <w:adjustRightInd w:val="0"/>
        <w:snapToGrid w:val="0"/>
        <w:spacing w:beforeAutospacing="0" w:afterAutospacing="0" w:line="360" w:lineRule="auto"/>
        <w:ind w:left="855" w:leftChars="229" w:right="0" w:rightChars="0" w:hanging="374" w:hangingChars="156"/>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总价金额与按单价汇总金额不一致的，以单价金额计算结果为准。</w:t>
      </w:r>
    </w:p>
    <w:p>
      <w:pPr>
        <w:keepNext w:val="0"/>
        <w:keepLines w:val="0"/>
        <w:pageBreakBefore w:val="0"/>
        <w:kinsoku/>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z w:val="24"/>
          <w:szCs w:val="24"/>
        </w:rPr>
        <w:t>同时出现两种以上不一致的，按照前款规定的顺序修正。</w:t>
      </w:r>
      <w:r>
        <w:rPr>
          <w:rFonts w:hint="eastAsia" w:asciiTheme="minorEastAsia" w:hAnsiTheme="minorEastAsia" w:eastAsiaTheme="minorEastAsia" w:cstheme="minorEastAsia"/>
          <w:snapToGrid w:val="0"/>
          <w:kern w:val="0"/>
          <w:sz w:val="24"/>
        </w:rPr>
        <w:t>评标委员会要求投标人对投标报价进行书面确认。投标人不确认的，其投标无效。</w:t>
      </w:r>
    </w:p>
    <w:p>
      <w:pPr>
        <w:pStyle w:val="15"/>
        <w:keepNext w:val="0"/>
        <w:keepLines w:val="0"/>
        <w:pageBreakBefore w:val="0"/>
        <w:kinsoku/>
        <w:overflowPunct/>
        <w:topLinePunct w:val="0"/>
        <w:autoSpaceDE/>
        <w:autoSpaceDN/>
        <w:bidi w:val="0"/>
        <w:spacing w:beforeAutospacing="0" w:afterAutospacing="0" w:line="360" w:lineRule="auto"/>
        <w:ind w:right="0" w:rightChars="0"/>
        <w:textAlignment w:val="auto"/>
        <w:outlineLvl w:val="2"/>
        <w:rPr>
          <w:rFonts w:hint="eastAsia" w:asciiTheme="minorEastAsia" w:hAnsiTheme="minorEastAsia" w:eastAsiaTheme="minorEastAsia" w:cstheme="minorEastAsia"/>
          <w:b/>
          <w:snapToGrid w:val="0"/>
          <w:kern w:val="0"/>
          <w:sz w:val="24"/>
          <w:szCs w:val="24"/>
          <w:lang w:eastAsia="zh-CN"/>
        </w:rPr>
      </w:pPr>
      <w:r>
        <w:rPr>
          <w:rFonts w:hint="eastAsia" w:asciiTheme="minorEastAsia" w:hAnsiTheme="minorEastAsia" w:eastAsiaTheme="minorEastAsia" w:cstheme="minorEastAsia"/>
          <w:b/>
          <w:snapToGrid w:val="0"/>
          <w:kern w:val="0"/>
          <w:sz w:val="24"/>
          <w:szCs w:val="24"/>
        </w:rPr>
        <w:t xml:space="preserve">(四) </w:t>
      </w:r>
      <w:r>
        <w:rPr>
          <w:rFonts w:hint="eastAsia" w:asciiTheme="minorEastAsia" w:hAnsiTheme="minorEastAsia" w:eastAsiaTheme="minorEastAsia" w:cstheme="minorEastAsia"/>
          <w:snapToGrid w:val="0"/>
          <w:kern w:val="0"/>
          <w:sz w:val="24"/>
        </w:rPr>
        <w:t>评标委员会认为投标人的报价明显低于其他通过符合性审查投标人的报价，有可能影响产品质量或者不能诚信履约的，应当要求投标人在评标现场合理的时间内提供书面说明，必要时提交相关证明材料；投标人不能证明其报价合理性的，评标委员会应当将其作为无效投标处理</w:t>
      </w:r>
      <w:r>
        <w:rPr>
          <w:rFonts w:hint="eastAsia" w:asciiTheme="minorEastAsia" w:hAnsiTheme="minorEastAsia" w:eastAsiaTheme="minorEastAsia" w:cstheme="minorEastAsia"/>
          <w:snapToGrid w:val="0"/>
          <w:kern w:val="0"/>
          <w:sz w:val="24"/>
          <w:lang w:eastAsia="zh-CN"/>
        </w:rPr>
        <w:t>。</w:t>
      </w:r>
    </w:p>
    <w:p>
      <w:pPr>
        <w:pStyle w:val="15"/>
        <w:keepNext w:val="0"/>
        <w:keepLines w:val="0"/>
        <w:pageBreakBefore w:val="0"/>
        <w:kinsoku/>
        <w:overflowPunct/>
        <w:topLinePunct w:val="0"/>
        <w:autoSpaceDE/>
        <w:autoSpaceDN/>
        <w:bidi w:val="0"/>
        <w:spacing w:beforeAutospacing="0" w:afterAutospacing="0" w:line="360" w:lineRule="auto"/>
        <w:ind w:right="0" w:rightChars="0"/>
        <w:textAlignment w:val="auto"/>
        <w:outlineLvl w:val="2"/>
        <w:rPr>
          <w:rFonts w:hint="eastAsia" w:asciiTheme="minorEastAsia" w:hAnsiTheme="minorEastAsia" w:eastAsiaTheme="minorEastAsia" w:cstheme="minorEastAsia"/>
          <w:b/>
          <w:snapToGrid w:val="0"/>
          <w:kern w:val="0"/>
          <w:sz w:val="24"/>
          <w:szCs w:val="24"/>
        </w:rPr>
      </w:pPr>
      <w:r>
        <w:rPr>
          <w:rFonts w:hint="eastAsia" w:asciiTheme="minorEastAsia" w:hAnsiTheme="minorEastAsia" w:eastAsiaTheme="minorEastAsia" w:cstheme="minorEastAsia"/>
          <w:b/>
          <w:snapToGrid w:val="0"/>
          <w:kern w:val="0"/>
          <w:sz w:val="24"/>
          <w:szCs w:val="24"/>
        </w:rPr>
        <w:t>(五)详细评审</w:t>
      </w:r>
    </w:p>
    <w:p>
      <w:pPr>
        <w:keepNext w:val="0"/>
        <w:keepLines w:val="0"/>
        <w:pageBreakBefore w:val="0"/>
        <w:kinsoku/>
        <w:overflowPunct/>
        <w:topLinePunct w:val="0"/>
        <w:autoSpaceDE/>
        <w:autoSpaceDN/>
        <w:bidi w:val="0"/>
        <w:adjustRightInd w:val="0"/>
        <w:snapToGrid w:val="0"/>
        <w:spacing w:beforeAutospacing="0" w:afterAutospacing="0" w:line="360" w:lineRule="auto"/>
        <w:ind w:right="0" w:rightChars="0"/>
        <w:textAlignment w:val="auto"/>
        <w:rPr>
          <w:rFonts w:hint="eastAsia" w:asciiTheme="minorEastAsia" w:hAnsiTheme="minorEastAsia" w:eastAsiaTheme="minorEastAsia" w:cstheme="minorEastAsia"/>
          <w:b/>
          <w:bCs/>
          <w:snapToGrid w:val="0"/>
          <w:color w:val="auto"/>
          <w:kern w:val="0"/>
          <w:sz w:val="24"/>
          <w:u w:val="none"/>
        </w:rPr>
      </w:pPr>
      <w:r>
        <w:rPr>
          <w:rFonts w:hint="eastAsia" w:asciiTheme="minorEastAsia" w:hAnsiTheme="minorEastAsia" w:eastAsiaTheme="minorEastAsia" w:cstheme="minorEastAsia"/>
          <w:b/>
          <w:snapToGrid w:val="0"/>
          <w:kern w:val="0"/>
          <w:sz w:val="24"/>
        </w:rPr>
        <w:t>1、</w:t>
      </w:r>
      <w:r>
        <w:rPr>
          <w:rFonts w:hint="eastAsia" w:asciiTheme="minorEastAsia" w:hAnsiTheme="minorEastAsia" w:eastAsiaTheme="minorEastAsia" w:cstheme="minorEastAsia"/>
          <w:b/>
          <w:bCs/>
          <w:snapToGrid w:val="0"/>
          <w:kern w:val="0"/>
          <w:sz w:val="24"/>
        </w:rPr>
        <w:t>技术</w:t>
      </w:r>
      <w:r>
        <w:rPr>
          <w:rFonts w:hint="eastAsia" w:asciiTheme="minorEastAsia" w:hAnsiTheme="minorEastAsia" w:eastAsiaTheme="minorEastAsia" w:cstheme="minorEastAsia"/>
          <w:b/>
          <w:bCs/>
          <w:snapToGrid w:val="0"/>
          <w:kern w:val="0"/>
          <w:sz w:val="24"/>
          <w:lang w:eastAsia="zh-CN"/>
        </w:rPr>
        <w:t>商务部分</w:t>
      </w:r>
      <w:r>
        <w:rPr>
          <w:rFonts w:hint="eastAsia" w:asciiTheme="minorEastAsia" w:hAnsiTheme="minorEastAsia" w:eastAsiaTheme="minorEastAsia" w:cstheme="minorEastAsia"/>
          <w:b/>
          <w:bCs/>
          <w:snapToGrid w:val="0"/>
          <w:color w:val="auto"/>
          <w:kern w:val="0"/>
          <w:sz w:val="24"/>
        </w:rPr>
        <w:t>：</w:t>
      </w:r>
      <w:r>
        <w:rPr>
          <w:rFonts w:hint="eastAsia" w:asciiTheme="minorEastAsia" w:hAnsiTheme="minorEastAsia" w:eastAsiaTheme="minorEastAsia" w:cstheme="minorEastAsia"/>
          <w:b/>
          <w:bCs/>
          <w:snapToGrid w:val="0"/>
          <w:color w:val="auto"/>
          <w:kern w:val="0"/>
          <w:sz w:val="24"/>
          <w:u w:val="none"/>
        </w:rPr>
        <w:t>总分值70分（最小打分单位0.5分）</w:t>
      </w:r>
    </w:p>
    <w:tbl>
      <w:tblPr>
        <w:tblStyle w:val="29"/>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124"/>
        <w:gridCol w:w="1026"/>
        <w:gridCol w:w="4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line="24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2124" w:type="dxa"/>
            <w:vAlign w:val="center"/>
          </w:tcPr>
          <w:p>
            <w:pPr>
              <w:spacing w:line="24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评审内容</w:t>
            </w:r>
          </w:p>
        </w:tc>
        <w:tc>
          <w:tcPr>
            <w:tcW w:w="1026" w:type="dxa"/>
            <w:vAlign w:val="center"/>
          </w:tcPr>
          <w:p>
            <w:pPr>
              <w:spacing w:line="24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分值</w:t>
            </w:r>
          </w:p>
        </w:tc>
        <w:tc>
          <w:tcPr>
            <w:tcW w:w="4551" w:type="dxa"/>
            <w:vAlign w:val="center"/>
          </w:tcPr>
          <w:p>
            <w:pPr>
              <w:spacing w:line="24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124"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lang w:val="en-US" w:eastAsia="zh-CN"/>
              </w:rPr>
              <w:t>投标产品的技术响应程度</w:t>
            </w:r>
          </w:p>
        </w:tc>
        <w:tc>
          <w:tcPr>
            <w:tcW w:w="1026" w:type="dxa"/>
            <w:vAlign w:val="center"/>
          </w:tcPr>
          <w:p>
            <w:pPr>
              <w:spacing w:line="24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25</w:t>
            </w:r>
            <w:bookmarkStart w:id="361" w:name="_GoBack"/>
            <w:bookmarkEnd w:id="361"/>
          </w:p>
        </w:tc>
        <w:tc>
          <w:tcPr>
            <w:tcW w:w="4551"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rPr>
              <w:t>不满足带“▲”项</w:t>
            </w:r>
            <w:r>
              <w:rPr>
                <w:rFonts w:hint="eastAsia" w:asciiTheme="minorEastAsia" w:hAnsiTheme="minorEastAsia" w:eastAsiaTheme="minorEastAsia" w:cstheme="minorEastAsia"/>
                <w:sz w:val="24"/>
                <w:lang w:val="en-US" w:eastAsia="zh-CN"/>
              </w:rPr>
              <w:t>重要条款的</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每项扣4分；</w:t>
            </w:r>
            <w:r>
              <w:rPr>
                <w:rFonts w:hint="eastAsia" w:asciiTheme="minorEastAsia" w:hAnsiTheme="minorEastAsia" w:eastAsiaTheme="minorEastAsia" w:cstheme="minorEastAsia"/>
                <w:sz w:val="24"/>
              </w:rPr>
              <w:t>不满足</w:t>
            </w:r>
            <w:r>
              <w:rPr>
                <w:rFonts w:hint="eastAsia" w:asciiTheme="minorEastAsia" w:hAnsiTheme="minorEastAsia" w:eastAsiaTheme="minorEastAsia" w:cstheme="minorEastAsia"/>
                <w:sz w:val="24"/>
                <w:lang w:val="en-US" w:eastAsia="zh-CN"/>
              </w:rPr>
              <w:t>非</w:t>
            </w:r>
            <w:r>
              <w:rPr>
                <w:rFonts w:hint="eastAsia" w:asciiTheme="minorEastAsia" w:hAnsiTheme="minorEastAsia" w:eastAsiaTheme="minorEastAsia" w:cstheme="minorEastAsia"/>
                <w:sz w:val="24"/>
              </w:rPr>
              <w:t>“▲”项</w:t>
            </w:r>
            <w:r>
              <w:rPr>
                <w:rFonts w:hint="eastAsia" w:asciiTheme="minorEastAsia" w:hAnsiTheme="minorEastAsia" w:eastAsiaTheme="minorEastAsia" w:cstheme="minorEastAsia"/>
                <w:sz w:val="24"/>
                <w:lang w:val="en-US" w:eastAsia="zh-CN"/>
              </w:rPr>
              <w:t>一般技术条款</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lang w:val="en-US" w:eastAsia="zh-CN"/>
              </w:rPr>
              <w:t>每项扣2分；扣完为止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124"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lang w:val="en-US" w:eastAsia="zh-CN"/>
              </w:rPr>
              <w:t>技术方案的质量</w:t>
            </w:r>
          </w:p>
        </w:tc>
        <w:tc>
          <w:tcPr>
            <w:tcW w:w="1026" w:type="dxa"/>
            <w:vAlign w:val="center"/>
          </w:tcPr>
          <w:p>
            <w:pPr>
              <w:spacing w:line="24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20</w:t>
            </w:r>
          </w:p>
        </w:tc>
        <w:tc>
          <w:tcPr>
            <w:tcW w:w="4551"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lang w:val="en-US" w:eastAsia="zh-CN"/>
              </w:rPr>
              <w:t>主要对方案的针对性、产品整体性能、产品先进性、安装调试等方面进行综合评价。</w:t>
            </w:r>
            <w:r>
              <w:rPr>
                <w:rFonts w:hint="eastAsia" w:asciiTheme="minorEastAsia" w:hAnsiTheme="minorEastAsia" w:eastAsiaTheme="minorEastAsia" w:cstheme="minorEastAsia"/>
                <w:sz w:val="24"/>
              </w:rPr>
              <w:t>综合评价为优：</w:t>
            </w:r>
            <w:r>
              <w:rPr>
                <w:rFonts w:hint="eastAsia" w:asciiTheme="minorEastAsia" w:hAnsiTheme="minorEastAsia" w:eastAsiaTheme="minorEastAsia" w:cstheme="minorEastAsia"/>
                <w:sz w:val="24"/>
                <w:lang w:val="en-US" w:eastAsia="zh-CN"/>
              </w:rPr>
              <w:t>15</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20</w:t>
            </w:r>
            <w:r>
              <w:rPr>
                <w:rFonts w:hint="eastAsia" w:asciiTheme="minorEastAsia" w:hAnsiTheme="minorEastAsia" w:eastAsiaTheme="minorEastAsia" w:cstheme="minorEastAsia"/>
                <w:sz w:val="24"/>
              </w:rPr>
              <w:t>分；良：</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15</w:t>
            </w:r>
            <w:r>
              <w:rPr>
                <w:rFonts w:hint="eastAsia" w:asciiTheme="minorEastAsia" w:hAnsiTheme="minorEastAsia" w:eastAsiaTheme="minorEastAsia" w:cstheme="minorEastAsia"/>
                <w:sz w:val="24"/>
              </w:rPr>
              <w:t>分；一般：</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2分，差：</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124"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lang w:val="en-US" w:eastAsia="zh-CN"/>
              </w:rPr>
              <w:t>投标人商务响应、售后服务方案及售后服务能力</w:t>
            </w:r>
          </w:p>
        </w:tc>
        <w:tc>
          <w:tcPr>
            <w:tcW w:w="1026" w:type="dxa"/>
            <w:vAlign w:val="center"/>
          </w:tcPr>
          <w:p>
            <w:pPr>
              <w:spacing w:line="240" w:lineRule="auto"/>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5</w:t>
            </w:r>
          </w:p>
        </w:tc>
        <w:tc>
          <w:tcPr>
            <w:tcW w:w="4551"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rPr>
              <w:t>综合评价为优：3-5分；良：2-3分；一般：1-2分，差：0-1分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124"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lang w:val="en-US" w:eastAsia="zh-CN"/>
              </w:rPr>
              <w:t>投标人及制造商的综合实力</w:t>
            </w:r>
          </w:p>
        </w:tc>
        <w:tc>
          <w:tcPr>
            <w:tcW w:w="1026" w:type="dxa"/>
            <w:vAlign w:val="center"/>
          </w:tcPr>
          <w:p>
            <w:pPr>
              <w:spacing w:line="240" w:lineRule="auto"/>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5</w:t>
            </w:r>
          </w:p>
        </w:tc>
        <w:tc>
          <w:tcPr>
            <w:tcW w:w="4551" w:type="dxa"/>
            <w:vAlign w:val="center"/>
          </w:tcPr>
          <w:p>
            <w:pPr>
              <w:spacing w:line="240" w:lineRule="auto"/>
              <w:rPr>
                <w:rFonts w:hint="eastAsia" w:asciiTheme="minorEastAsia" w:hAnsiTheme="minorEastAsia" w:eastAsiaTheme="minorEastAsia" w:cstheme="minorEastAsia"/>
                <w:color w:val="auto"/>
                <w:kern w:val="2"/>
                <w:sz w:val="24"/>
                <w:szCs w:val="22"/>
                <w:lang w:val="en-US" w:eastAsia="zh-CN" w:bidi="ar-SA"/>
              </w:rPr>
            </w:pPr>
            <w:r>
              <w:rPr>
                <w:rFonts w:hint="eastAsia" w:asciiTheme="minorEastAsia" w:hAnsiTheme="minorEastAsia" w:eastAsiaTheme="minorEastAsia" w:cstheme="minorEastAsia"/>
                <w:sz w:val="24"/>
              </w:rPr>
              <w:t>综合评价为优：3-5分；良：2-3分；一般：1-2分，差：0-1分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line="24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rPr>
              <w:t>5</w:t>
            </w:r>
          </w:p>
        </w:tc>
        <w:tc>
          <w:tcPr>
            <w:tcW w:w="2124"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lang w:val="en-US" w:eastAsia="zh-CN"/>
              </w:rPr>
              <w:t>投标人或投标产品的类似业绩</w:t>
            </w:r>
          </w:p>
        </w:tc>
        <w:tc>
          <w:tcPr>
            <w:tcW w:w="1026" w:type="dxa"/>
            <w:vAlign w:val="center"/>
          </w:tcPr>
          <w:p>
            <w:pPr>
              <w:spacing w:line="24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4551"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lang w:val="en-US" w:eastAsia="zh-CN"/>
              </w:rPr>
              <w:t>投标产品的类似业绩是指与本次招标产品相同的产品（也可以是不同型号）的业绩；投标人的类似业绩是指投标人自己销售的类似产品的业绩。以2017年1月1日以来签订的合同复印件为准，每份合同1分，最多5分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line="24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w:t>
            </w:r>
          </w:p>
        </w:tc>
        <w:tc>
          <w:tcPr>
            <w:tcW w:w="2124" w:type="dxa"/>
            <w:vAlign w:val="center"/>
          </w:tcPr>
          <w:p>
            <w:pPr>
              <w:spacing w:line="240" w:lineRule="auto"/>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lang w:val="en-US" w:eastAsia="zh-CN"/>
              </w:rPr>
              <w:t>制造商授权函</w:t>
            </w:r>
          </w:p>
        </w:tc>
        <w:tc>
          <w:tcPr>
            <w:tcW w:w="1026" w:type="dxa"/>
            <w:vAlign w:val="center"/>
          </w:tcPr>
          <w:p>
            <w:pPr>
              <w:spacing w:line="24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10</w:t>
            </w:r>
          </w:p>
        </w:tc>
        <w:tc>
          <w:tcPr>
            <w:tcW w:w="4551" w:type="dxa"/>
            <w:vAlign w:val="center"/>
          </w:tcPr>
          <w:p>
            <w:pPr>
              <w:spacing w:line="240" w:lineRule="auto"/>
              <w:rPr>
                <w:rFonts w:hint="eastAsia" w:asciiTheme="minorEastAsia" w:hAnsiTheme="minorEastAsia" w:eastAsiaTheme="minorEastAsia" w:cstheme="minorEastAsia"/>
                <w:color w:val="auto"/>
                <w:kern w:val="2"/>
                <w:sz w:val="24"/>
                <w:szCs w:val="21"/>
                <w:lang w:val="en-US" w:eastAsia="zh-CN" w:bidi="ar-SA"/>
              </w:rPr>
            </w:pPr>
            <w:r>
              <w:rPr>
                <w:rFonts w:hint="eastAsia" w:asciiTheme="minorEastAsia" w:hAnsiTheme="minorEastAsia" w:eastAsiaTheme="minorEastAsia" w:cstheme="minorEastAsia"/>
                <w:color w:val="auto"/>
                <w:sz w:val="24"/>
                <w:szCs w:val="21"/>
                <w:lang w:val="en-US" w:eastAsia="zh-CN"/>
              </w:rPr>
              <w:t>投标文件提供有效的制造商授权书的得10分，否则不得分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gridSpan w:val="2"/>
            <w:vAlign w:val="top"/>
          </w:tcPr>
          <w:p>
            <w:pPr>
              <w:spacing w:line="240" w:lineRule="auto"/>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技术商务小计</w:t>
            </w:r>
          </w:p>
        </w:tc>
        <w:tc>
          <w:tcPr>
            <w:tcW w:w="1026" w:type="dxa"/>
            <w:vAlign w:val="top"/>
          </w:tcPr>
          <w:p>
            <w:pPr>
              <w:spacing w:line="240" w:lineRule="auto"/>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70</w:t>
            </w:r>
          </w:p>
        </w:tc>
        <w:tc>
          <w:tcPr>
            <w:tcW w:w="4551" w:type="dxa"/>
            <w:vAlign w:val="top"/>
          </w:tcPr>
          <w:p>
            <w:pPr>
              <w:spacing w:line="240" w:lineRule="auto"/>
              <w:jc w:val="center"/>
              <w:rPr>
                <w:rFonts w:hint="eastAsia" w:asciiTheme="minorEastAsia" w:hAnsiTheme="minorEastAsia" w:eastAsiaTheme="minorEastAsia" w:cstheme="minorEastAsia"/>
                <w:b/>
                <w:color w:val="auto"/>
                <w:sz w:val="24"/>
              </w:rPr>
            </w:pPr>
          </w:p>
        </w:tc>
      </w:tr>
    </w:tbl>
    <w:p>
      <w:pPr>
        <w:spacing w:line="240" w:lineRule="auto"/>
        <w:rPr>
          <w:rFonts w:hint="eastAsia" w:asciiTheme="minorEastAsia" w:hAnsiTheme="minorEastAsia" w:eastAsiaTheme="minorEastAsia" w:cstheme="minorEastAsia"/>
          <w:color w:val="auto"/>
          <w:sz w:val="24"/>
          <w:szCs w:val="21"/>
          <w:lang w:val="en-US" w:eastAsia="zh-CN"/>
        </w:rPr>
      </w:pPr>
      <w:r>
        <w:rPr>
          <w:rFonts w:hint="eastAsia" w:asciiTheme="minorEastAsia" w:hAnsiTheme="minorEastAsia" w:eastAsiaTheme="minorEastAsia" w:cstheme="minorEastAsia"/>
          <w:color w:val="auto"/>
          <w:sz w:val="24"/>
          <w:szCs w:val="21"/>
          <w:lang w:val="en-US" w:eastAsia="zh-CN"/>
        </w:rPr>
        <w:t>备注：不满足招标文件《项目需求及技术规格》中标注▲条款的投标不会作为无效投标处理，但评标委员会将作出最不利于该投标人的评审。</w:t>
      </w:r>
    </w:p>
    <w:p>
      <w:pPr>
        <w:keepNext w:val="0"/>
        <w:keepLines w:val="0"/>
        <w:pageBreakBefore w:val="0"/>
        <w:kinsoku/>
        <w:overflowPunct/>
        <w:topLinePunct w:val="0"/>
        <w:autoSpaceDE/>
        <w:autoSpaceDN/>
        <w:bidi w:val="0"/>
        <w:adjustRightInd w:val="0"/>
        <w:snapToGrid w:val="0"/>
        <w:spacing w:beforeAutospacing="0" w:afterAutospacing="0" w:line="360" w:lineRule="auto"/>
        <w:ind w:right="0" w:rightChars="0"/>
        <w:textAlignment w:val="auto"/>
        <w:rPr>
          <w:rFonts w:hint="eastAsia" w:asciiTheme="minorEastAsia" w:hAnsiTheme="minorEastAsia" w:eastAsiaTheme="minorEastAsia" w:cstheme="minorEastAsia"/>
          <w:b/>
          <w:snapToGrid w:val="0"/>
          <w:kern w:val="0"/>
          <w:sz w:val="24"/>
        </w:rPr>
      </w:pPr>
    </w:p>
    <w:p>
      <w:pPr>
        <w:keepNext w:val="0"/>
        <w:keepLines w:val="0"/>
        <w:pageBreakBefore w:val="0"/>
        <w:kinsoku/>
        <w:overflowPunct/>
        <w:topLinePunct w:val="0"/>
        <w:autoSpaceDE/>
        <w:autoSpaceDN/>
        <w:bidi w:val="0"/>
        <w:adjustRightInd w:val="0"/>
        <w:snapToGrid w:val="0"/>
        <w:spacing w:beforeAutospacing="0" w:afterAutospacing="0" w:line="360" w:lineRule="auto"/>
        <w:ind w:right="0" w:rightChars="0"/>
        <w:textAlignment w:val="auto"/>
        <w:rPr>
          <w:rFonts w:hint="eastAsia" w:asciiTheme="minorEastAsia" w:hAnsiTheme="minorEastAsia" w:eastAsiaTheme="minorEastAsia" w:cstheme="minorEastAsia"/>
          <w:b/>
          <w:bCs/>
          <w:snapToGrid w:val="0"/>
          <w:kern w:val="0"/>
          <w:sz w:val="24"/>
        </w:rPr>
      </w:pPr>
      <w:r>
        <w:rPr>
          <w:rFonts w:hint="eastAsia" w:asciiTheme="minorEastAsia" w:hAnsiTheme="minorEastAsia" w:eastAsiaTheme="minorEastAsia" w:cstheme="minorEastAsia"/>
          <w:b/>
          <w:snapToGrid w:val="0"/>
          <w:kern w:val="0"/>
          <w:sz w:val="24"/>
        </w:rPr>
        <w:t>2、</w:t>
      </w:r>
      <w:r>
        <w:rPr>
          <w:rFonts w:hint="eastAsia" w:asciiTheme="minorEastAsia" w:hAnsiTheme="minorEastAsia" w:eastAsiaTheme="minorEastAsia" w:cstheme="minorEastAsia"/>
          <w:b/>
          <w:bCs/>
          <w:snapToGrid w:val="0"/>
          <w:kern w:val="0"/>
          <w:sz w:val="24"/>
          <w:lang w:eastAsia="zh-CN"/>
        </w:rPr>
        <w:t>价格分</w:t>
      </w:r>
      <w:r>
        <w:rPr>
          <w:rFonts w:hint="eastAsia" w:asciiTheme="minorEastAsia" w:hAnsiTheme="minorEastAsia" w:eastAsiaTheme="minorEastAsia" w:cstheme="minorEastAsia"/>
          <w:b/>
          <w:bCs/>
          <w:snapToGrid w:val="0"/>
          <w:kern w:val="0"/>
          <w:sz w:val="24"/>
        </w:rPr>
        <w:t>：总分</w:t>
      </w:r>
      <w:r>
        <w:rPr>
          <w:rFonts w:hint="eastAsia" w:asciiTheme="minorEastAsia" w:hAnsiTheme="minorEastAsia" w:eastAsiaTheme="minorEastAsia" w:cstheme="minorEastAsia"/>
          <w:b/>
          <w:bCs/>
          <w:snapToGrid w:val="0"/>
          <w:color w:val="auto"/>
          <w:kern w:val="0"/>
          <w:sz w:val="24"/>
          <w:u w:val="none"/>
        </w:rPr>
        <w:t>值30分</w:t>
      </w:r>
      <w:r>
        <w:rPr>
          <w:rFonts w:hint="eastAsia" w:asciiTheme="minorEastAsia" w:hAnsiTheme="minorEastAsia" w:eastAsiaTheme="minorEastAsia" w:cstheme="minorEastAsia"/>
          <w:b/>
          <w:bCs/>
          <w:snapToGrid w:val="0"/>
          <w:kern w:val="0"/>
          <w:sz w:val="24"/>
        </w:rPr>
        <w:t>。</w:t>
      </w:r>
    </w:p>
    <w:p>
      <w:pPr>
        <w:keepNext w:val="0"/>
        <w:keepLines w:val="0"/>
        <w:pageBreakBefore w:val="0"/>
        <w:kinsoku/>
        <w:overflowPunct/>
        <w:topLinePunct w:val="0"/>
        <w:autoSpaceDE/>
        <w:autoSpaceDN/>
        <w:bidi w:val="0"/>
        <w:spacing w:beforeAutospacing="0" w:afterAutospacing="0" w:line="360" w:lineRule="auto"/>
        <w:ind w:left="481" w:leftChars="229" w:right="0" w:rightChars="0" w:firstLine="0" w:firstLineChars="0"/>
        <w:textAlignment w:val="auto"/>
        <w:rPr>
          <w:rFonts w:hint="eastAsia" w:asciiTheme="minorEastAsia" w:hAnsiTheme="minorEastAsia" w:eastAsiaTheme="minorEastAsia" w:cstheme="minorEastAsia"/>
          <w:b/>
          <w:snapToGrid w:val="0"/>
          <w:color w:val="auto"/>
          <w:kern w:val="0"/>
          <w:sz w:val="24"/>
          <w:szCs w:val="21"/>
        </w:rPr>
      </w:pPr>
      <w:r>
        <w:rPr>
          <w:rFonts w:hint="eastAsia" w:asciiTheme="minorEastAsia" w:hAnsiTheme="minorEastAsia" w:eastAsiaTheme="minorEastAsia" w:cstheme="minorEastAsia"/>
          <w:b/>
          <w:snapToGrid w:val="0"/>
          <w:color w:val="auto"/>
          <w:kern w:val="0"/>
          <w:sz w:val="24"/>
          <w:szCs w:val="21"/>
        </w:rPr>
        <w:t>评标基准价：</w:t>
      </w:r>
    </w:p>
    <w:p>
      <w:pPr>
        <w:keepNext w:val="0"/>
        <w:keepLines w:val="0"/>
        <w:pageBreakBefore w:val="0"/>
        <w:kinsoku/>
        <w:overflowPunct/>
        <w:topLinePunct w:val="0"/>
        <w:autoSpaceDE/>
        <w:autoSpaceDN/>
        <w:bidi w:val="0"/>
        <w:spacing w:beforeAutospacing="0" w:afterAutospacing="0" w:line="360" w:lineRule="auto"/>
        <w:ind w:right="0" w:rightChars="0" w:firstLine="480" w:firstLineChars="200"/>
        <w:textAlignment w:val="auto"/>
        <w:rPr>
          <w:rFonts w:hint="eastAsia" w:asciiTheme="minorEastAsia" w:hAnsiTheme="minorEastAsia" w:eastAsiaTheme="minorEastAsia" w:cstheme="minorEastAsia"/>
          <w:snapToGrid w:val="0"/>
          <w:color w:val="auto"/>
          <w:kern w:val="0"/>
          <w:sz w:val="24"/>
          <w:szCs w:val="21"/>
        </w:rPr>
      </w:pPr>
      <w:r>
        <w:rPr>
          <w:rFonts w:hint="eastAsia" w:asciiTheme="minorEastAsia" w:hAnsiTheme="minorEastAsia" w:eastAsiaTheme="minorEastAsia" w:cstheme="minorEastAsia"/>
          <w:snapToGrid w:val="0"/>
          <w:color w:val="auto"/>
          <w:kern w:val="0"/>
          <w:sz w:val="24"/>
          <w:szCs w:val="21"/>
        </w:rPr>
        <w:t>按</w:t>
      </w:r>
      <w:r>
        <w:rPr>
          <w:rFonts w:hint="eastAsia" w:asciiTheme="minorEastAsia" w:hAnsiTheme="minorEastAsia" w:eastAsiaTheme="minorEastAsia" w:cstheme="minorEastAsia"/>
          <w:b/>
          <w:snapToGrid w:val="0"/>
          <w:color w:val="auto"/>
          <w:kern w:val="0"/>
          <w:sz w:val="24"/>
          <w:szCs w:val="21"/>
        </w:rPr>
        <w:t>价格调整后的最低价</w:t>
      </w:r>
      <w:r>
        <w:rPr>
          <w:rFonts w:hint="eastAsia" w:asciiTheme="minorEastAsia" w:hAnsiTheme="minorEastAsia" w:eastAsiaTheme="minorEastAsia" w:cstheme="minorEastAsia"/>
          <w:snapToGrid w:val="0"/>
          <w:color w:val="auto"/>
          <w:kern w:val="0"/>
          <w:sz w:val="24"/>
          <w:szCs w:val="21"/>
        </w:rPr>
        <w:t>为评标基准价，其价格分为30分。其他投标人的价格分统一按照下列公式计算：价格得分=(评标基准价／评标价)×30，小数点后保留2位，第三位四舍五入法。</w:t>
      </w:r>
    </w:p>
    <w:p>
      <w:pPr>
        <w:keepNext w:val="0"/>
        <w:keepLines w:val="0"/>
        <w:pageBreakBefore w:val="0"/>
        <w:kinsoku/>
        <w:overflowPunct/>
        <w:topLinePunct w:val="0"/>
        <w:autoSpaceDE/>
        <w:autoSpaceDN/>
        <w:bidi w:val="0"/>
        <w:spacing w:beforeAutospacing="0" w:afterAutospacing="0" w:line="360" w:lineRule="auto"/>
        <w:ind w:right="0" w:rightChars="0" w:firstLine="482" w:firstLineChars="200"/>
        <w:textAlignment w:val="auto"/>
        <w:rPr>
          <w:rFonts w:hint="eastAsia" w:asciiTheme="minorEastAsia" w:hAnsiTheme="minorEastAsia" w:eastAsiaTheme="minorEastAsia" w:cstheme="minorEastAsia"/>
          <w:b/>
          <w:snapToGrid w:val="0"/>
          <w:color w:val="auto"/>
          <w:kern w:val="0"/>
          <w:sz w:val="24"/>
        </w:rPr>
      </w:pPr>
    </w:p>
    <w:p>
      <w:pPr>
        <w:keepNext w:val="0"/>
        <w:keepLines w:val="0"/>
        <w:pageBreakBefore w:val="0"/>
        <w:kinsoku/>
        <w:overflowPunct/>
        <w:topLinePunct w:val="0"/>
        <w:autoSpaceDE/>
        <w:autoSpaceDN/>
        <w:bidi w:val="0"/>
        <w:spacing w:beforeAutospacing="0" w:afterAutospacing="0" w:line="360" w:lineRule="auto"/>
        <w:ind w:right="0" w:rightChars="0"/>
        <w:textAlignment w:val="auto"/>
        <w:rPr>
          <w:rFonts w:hint="eastAsia" w:asciiTheme="minorEastAsia" w:hAnsiTheme="minorEastAsia" w:eastAsiaTheme="minorEastAsia" w:cstheme="minorEastAsia"/>
          <w:b/>
          <w:snapToGrid w:val="0"/>
          <w:color w:val="auto"/>
          <w:kern w:val="0"/>
          <w:sz w:val="24"/>
        </w:rPr>
      </w:pPr>
      <w:r>
        <w:rPr>
          <w:rFonts w:hint="eastAsia" w:asciiTheme="minorEastAsia" w:hAnsiTheme="minorEastAsia" w:eastAsiaTheme="minorEastAsia" w:cstheme="minorEastAsia"/>
          <w:b/>
          <w:snapToGrid w:val="0"/>
          <w:color w:val="auto"/>
          <w:kern w:val="0"/>
          <w:sz w:val="24"/>
        </w:rPr>
        <w:t>3、排序</w:t>
      </w:r>
    </w:p>
    <w:p>
      <w:pPr>
        <w:keepNext w:val="0"/>
        <w:keepLines w:val="0"/>
        <w:pageBreakBefore w:val="0"/>
        <w:kinsoku/>
        <w:overflowPunct/>
        <w:topLinePunct w:val="0"/>
        <w:autoSpaceDE/>
        <w:autoSpaceDN/>
        <w:bidi w:val="0"/>
        <w:spacing w:beforeAutospacing="0" w:afterAutospacing="0" w:line="360" w:lineRule="auto"/>
        <w:ind w:right="0" w:rightChars="0" w:firstLine="566" w:firstLineChars="236"/>
        <w:textAlignment w:val="auto"/>
        <w:rPr>
          <w:rFonts w:hint="eastAsia" w:asciiTheme="minorEastAsia" w:hAnsiTheme="minorEastAsia" w:eastAsiaTheme="minorEastAsia" w:cstheme="minorEastAsia"/>
          <w:snapToGrid w:val="0"/>
          <w:color w:val="auto"/>
          <w:kern w:val="0"/>
          <w:sz w:val="24"/>
        </w:rPr>
      </w:pPr>
      <w:r>
        <w:rPr>
          <w:rFonts w:hint="eastAsia" w:asciiTheme="minorEastAsia" w:hAnsiTheme="minorEastAsia" w:eastAsiaTheme="minorEastAsia" w:cstheme="minorEastAsia"/>
          <w:snapToGrid w:val="0"/>
          <w:color w:val="auto"/>
          <w:kern w:val="0"/>
          <w:sz w:val="24"/>
        </w:rPr>
        <w:t>评标委员会按综合得分（</w:t>
      </w:r>
      <w:r>
        <w:rPr>
          <w:rFonts w:hint="eastAsia" w:asciiTheme="minorEastAsia" w:hAnsiTheme="minorEastAsia" w:eastAsiaTheme="minorEastAsia" w:cstheme="minorEastAsia"/>
          <w:snapToGrid w:val="0"/>
          <w:kern w:val="0"/>
          <w:sz w:val="24"/>
        </w:rPr>
        <w:t>技术商务分</w:t>
      </w:r>
      <w:r>
        <w:rPr>
          <w:rFonts w:hint="eastAsia" w:asciiTheme="minorEastAsia" w:hAnsiTheme="minorEastAsia" w:eastAsiaTheme="minorEastAsia" w:cstheme="minorEastAsia"/>
          <w:snapToGrid w:val="0"/>
          <w:kern w:val="0"/>
          <w:sz w:val="24"/>
          <w:lang w:val="en-US" w:eastAsia="zh-CN"/>
        </w:rPr>
        <w:t xml:space="preserve"> </w:t>
      </w:r>
      <w:r>
        <w:rPr>
          <w:rFonts w:hint="eastAsia" w:asciiTheme="minorEastAsia" w:hAnsiTheme="minorEastAsia" w:eastAsiaTheme="minorEastAsia" w:cstheme="minorEastAsia"/>
          <w:snapToGrid w:val="0"/>
          <w:color w:val="auto"/>
          <w:kern w:val="0"/>
          <w:sz w:val="24"/>
        </w:rPr>
        <w:t>+</w:t>
      </w:r>
      <w:r>
        <w:rPr>
          <w:rFonts w:hint="eastAsia" w:asciiTheme="minorEastAsia" w:hAnsiTheme="minorEastAsia" w:eastAsiaTheme="minorEastAsia" w:cstheme="minorEastAsia"/>
          <w:snapToGrid w:val="0"/>
          <w:color w:val="auto"/>
          <w:kern w:val="0"/>
          <w:sz w:val="24"/>
          <w:lang w:val="en-US" w:eastAsia="zh-CN"/>
        </w:rPr>
        <w:t xml:space="preserve"> 价格分</w:t>
      </w:r>
      <w:r>
        <w:rPr>
          <w:rFonts w:hint="eastAsia" w:asciiTheme="minorEastAsia" w:hAnsiTheme="minorEastAsia" w:eastAsiaTheme="minorEastAsia" w:cstheme="minorEastAsia"/>
          <w:snapToGrid w:val="0"/>
          <w:color w:val="auto"/>
          <w:kern w:val="0"/>
          <w:sz w:val="24"/>
        </w:rPr>
        <w:t>）</w:t>
      </w:r>
      <w:r>
        <w:rPr>
          <w:rFonts w:hint="eastAsia" w:asciiTheme="minorEastAsia" w:hAnsiTheme="minorEastAsia" w:eastAsiaTheme="minorEastAsia" w:cstheme="minorEastAsia"/>
          <w:color w:val="auto"/>
          <w:sz w:val="24"/>
          <w:szCs w:val="24"/>
        </w:rPr>
        <w:t>由高到低顺序排列。</w:t>
      </w:r>
      <w:r>
        <w:rPr>
          <w:rFonts w:hint="eastAsia" w:asciiTheme="minorEastAsia" w:hAnsiTheme="minorEastAsia" w:eastAsiaTheme="minorEastAsia" w:cstheme="minorEastAsia"/>
          <w:color w:val="auto"/>
          <w:sz w:val="24"/>
          <w:szCs w:val="24"/>
          <w:lang w:eastAsia="zh-CN"/>
        </w:rPr>
        <w:t>综合</w:t>
      </w:r>
      <w:r>
        <w:rPr>
          <w:rFonts w:hint="eastAsia" w:asciiTheme="minorEastAsia" w:hAnsiTheme="minorEastAsia" w:eastAsiaTheme="minorEastAsia" w:cstheme="minorEastAsia"/>
          <w:color w:val="auto"/>
          <w:sz w:val="24"/>
          <w:szCs w:val="24"/>
        </w:rPr>
        <w:t>得分相同的，按投标报价由低到高顺序排列。</w:t>
      </w:r>
      <w:r>
        <w:rPr>
          <w:rFonts w:hint="eastAsia" w:asciiTheme="minorEastAsia" w:hAnsiTheme="minorEastAsia" w:eastAsiaTheme="minorEastAsia" w:cstheme="minorEastAsia"/>
          <w:color w:val="auto"/>
          <w:sz w:val="24"/>
          <w:szCs w:val="24"/>
          <w:lang w:eastAsia="zh-CN"/>
        </w:rPr>
        <w:t>综合</w:t>
      </w:r>
      <w:r>
        <w:rPr>
          <w:rFonts w:hint="eastAsia" w:asciiTheme="minorEastAsia" w:hAnsiTheme="minorEastAsia" w:eastAsiaTheme="minorEastAsia" w:cstheme="minorEastAsia"/>
          <w:color w:val="auto"/>
          <w:sz w:val="24"/>
          <w:szCs w:val="24"/>
        </w:rPr>
        <w:t>得分且投标报价也相同的</w:t>
      </w:r>
      <w:r>
        <w:rPr>
          <w:rFonts w:hint="eastAsia" w:asciiTheme="minorEastAsia" w:hAnsiTheme="minorEastAsia" w:eastAsiaTheme="minorEastAsia" w:cstheme="minorEastAsia"/>
          <w:snapToGrid w:val="0"/>
          <w:color w:val="auto"/>
          <w:kern w:val="0"/>
          <w:sz w:val="24"/>
        </w:rPr>
        <w:t>，则由评委采用记名投票表决，得票多者排名靠前。</w:t>
      </w:r>
    </w:p>
    <w:p>
      <w:pPr>
        <w:keepNext w:val="0"/>
        <w:keepLines w:val="0"/>
        <w:pageBreakBefore w:val="0"/>
        <w:kinsoku/>
        <w:overflowPunct/>
        <w:topLinePunct w:val="0"/>
        <w:autoSpaceDE/>
        <w:autoSpaceDN/>
        <w:bidi w:val="0"/>
        <w:spacing w:beforeAutospacing="0" w:afterAutospacing="0" w:line="360" w:lineRule="auto"/>
        <w:ind w:right="0" w:rightChars="0"/>
        <w:textAlignment w:val="auto"/>
        <w:rPr>
          <w:rFonts w:hint="eastAsia" w:asciiTheme="minorEastAsia" w:hAnsiTheme="minorEastAsia" w:eastAsiaTheme="minorEastAsia" w:cstheme="minorEastAsia"/>
          <w:b/>
          <w:bCs/>
          <w:snapToGrid w:val="0"/>
          <w:color w:val="auto"/>
          <w:kern w:val="0"/>
          <w:sz w:val="24"/>
        </w:rPr>
      </w:pPr>
      <w:r>
        <w:rPr>
          <w:rFonts w:hint="eastAsia" w:asciiTheme="minorEastAsia" w:hAnsiTheme="minorEastAsia" w:eastAsiaTheme="minorEastAsia" w:cstheme="minorEastAsia"/>
          <w:b/>
          <w:snapToGrid w:val="0"/>
          <w:kern w:val="0"/>
          <w:sz w:val="24"/>
        </w:rPr>
        <w:t>4、</w:t>
      </w:r>
      <w:r>
        <w:rPr>
          <w:rFonts w:hint="eastAsia" w:asciiTheme="minorEastAsia" w:hAnsiTheme="minorEastAsia" w:eastAsiaTheme="minorEastAsia" w:cstheme="minorEastAsia"/>
          <w:b/>
          <w:bCs/>
          <w:snapToGrid w:val="0"/>
          <w:kern w:val="0"/>
          <w:sz w:val="24"/>
        </w:rPr>
        <w:t>评标结果</w:t>
      </w:r>
    </w:p>
    <w:p>
      <w:pPr>
        <w:keepNext w:val="0"/>
        <w:keepLines w:val="0"/>
        <w:pageBreakBefore w:val="0"/>
        <w:kinsoku/>
        <w:overflowPunct/>
        <w:topLinePunct w:val="0"/>
        <w:autoSpaceDE/>
        <w:autoSpaceDN/>
        <w:bidi w:val="0"/>
        <w:spacing w:beforeAutospacing="0" w:afterAutospacing="0" w:line="360" w:lineRule="auto"/>
        <w:ind w:right="0" w:rightChars="0" w:firstLine="480" w:firstLineChars="200"/>
        <w:textAlignment w:val="auto"/>
        <w:rPr>
          <w:rFonts w:hint="eastAsia" w:asciiTheme="minorEastAsia" w:hAnsiTheme="minorEastAsia" w:eastAsiaTheme="minorEastAsia" w:cstheme="minorEastAsia"/>
          <w:bCs/>
          <w:snapToGrid w:val="0"/>
          <w:color w:val="auto"/>
          <w:kern w:val="0"/>
          <w:sz w:val="24"/>
        </w:rPr>
      </w:pPr>
      <w:r>
        <w:rPr>
          <w:rFonts w:hint="eastAsia" w:asciiTheme="minorEastAsia" w:hAnsiTheme="minorEastAsia" w:eastAsiaTheme="minorEastAsia" w:cstheme="minorEastAsia"/>
          <w:bCs/>
          <w:snapToGrid w:val="0"/>
          <w:color w:val="auto"/>
          <w:kern w:val="0"/>
          <w:sz w:val="24"/>
        </w:rPr>
        <w:t>评标委员会确定</w:t>
      </w:r>
      <w:r>
        <w:rPr>
          <w:rFonts w:hint="eastAsia" w:asciiTheme="minorEastAsia" w:hAnsiTheme="minorEastAsia" w:eastAsiaTheme="minorEastAsia" w:cstheme="minorEastAsia"/>
          <w:b w:val="0"/>
          <w:bCs w:val="0"/>
          <w:snapToGrid w:val="0"/>
          <w:color w:val="auto"/>
          <w:kern w:val="0"/>
          <w:sz w:val="24"/>
        </w:rPr>
        <w:t>排序第一</w:t>
      </w:r>
      <w:r>
        <w:rPr>
          <w:rFonts w:hint="eastAsia" w:asciiTheme="minorEastAsia" w:hAnsiTheme="minorEastAsia" w:eastAsiaTheme="minorEastAsia" w:cstheme="minorEastAsia"/>
          <w:bCs/>
          <w:snapToGrid w:val="0"/>
          <w:color w:val="auto"/>
          <w:kern w:val="0"/>
          <w:sz w:val="24"/>
        </w:rPr>
        <w:t>的投标人为本招标项目的中标人。</w:t>
      </w: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rPr>
      </w:pPr>
      <w:bookmarkStart w:id="239" w:name="_Toc457747980"/>
      <w:bookmarkStart w:id="240" w:name="_Toc392227827"/>
      <w:r>
        <w:rPr>
          <w:rFonts w:hint="eastAsia" w:asciiTheme="minorEastAsia" w:hAnsiTheme="minorEastAsia" w:eastAsiaTheme="minorEastAsia" w:cstheme="minorEastAsia"/>
          <w:b/>
          <w:bCs/>
          <w:sz w:val="32"/>
          <w:szCs w:val="72"/>
        </w:rPr>
        <w:br w:type="page"/>
      </w:r>
      <w:bookmarkStart w:id="241" w:name="_Toc8272"/>
      <w:r>
        <w:rPr>
          <w:rFonts w:hint="eastAsia" w:asciiTheme="minorEastAsia" w:hAnsiTheme="minorEastAsia" w:eastAsiaTheme="minorEastAsia" w:cstheme="minorEastAsia"/>
          <w:b/>
          <w:bCs/>
          <w:sz w:val="32"/>
          <w:szCs w:val="72"/>
        </w:rPr>
        <w:t xml:space="preserve">第四章 </w:t>
      </w:r>
      <w:r>
        <w:rPr>
          <w:rFonts w:hint="eastAsia" w:asciiTheme="minorEastAsia" w:hAnsiTheme="minorEastAsia" w:eastAsiaTheme="minorEastAsia" w:cstheme="minorEastAsia"/>
          <w:sz w:val="32"/>
          <w:szCs w:val="32"/>
        </w:rPr>
        <w:t>合同</w:t>
      </w:r>
      <w:r>
        <w:rPr>
          <w:rFonts w:hint="eastAsia" w:asciiTheme="minorEastAsia" w:hAnsiTheme="minorEastAsia" w:eastAsiaTheme="minorEastAsia" w:cstheme="minorEastAsia"/>
          <w:b/>
          <w:bCs/>
          <w:sz w:val="32"/>
          <w:szCs w:val="72"/>
        </w:rPr>
        <w:t>格式</w:t>
      </w:r>
      <w:bookmarkEnd w:id="239"/>
      <w:bookmarkEnd w:id="240"/>
      <w:bookmarkEnd w:id="241"/>
    </w:p>
    <w:p>
      <w:pPr>
        <w:spacing w:line="360" w:lineRule="auto"/>
        <w:jc w:val="center"/>
        <w:outlineLvl w:val="1"/>
        <w:rPr>
          <w:rFonts w:hint="eastAsia" w:asciiTheme="minorEastAsia" w:hAnsiTheme="minorEastAsia" w:eastAsiaTheme="minorEastAsia" w:cstheme="minorEastAsia"/>
          <w:sz w:val="24"/>
        </w:rPr>
      </w:pPr>
      <w:bookmarkStart w:id="242" w:name="_Toc246996338"/>
      <w:bookmarkStart w:id="243" w:name="_Toc246997081"/>
      <w:bookmarkStart w:id="244" w:name="_Toc179632787"/>
      <w:bookmarkStart w:id="245" w:name="_Toc247085853"/>
      <w:bookmarkStart w:id="246" w:name="_Toc152042549"/>
      <w:bookmarkStart w:id="247" w:name="_Toc144974578"/>
      <w:bookmarkStart w:id="248" w:name="_Toc152045610"/>
      <w:bookmarkStart w:id="249" w:name="_Toc247527798"/>
      <w:bookmarkStart w:id="250" w:name="_Toc247514197"/>
      <w:bookmarkStart w:id="251" w:name="_Toc300835199"/>
      <w:bookmarkStart w:id="252" w:name="_Toc152042388"/>
      <w:bookmarkStart w:id="253" w:name="_Toc144974829"/>
      <w:bookmarkStart w:id="254" w:name="_Toc184635122"/>
    </w:p>
    <w:p>
      <w:pPr>
        <w:ind w:firstLine="321" w:firstLineChars="100"/>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sz w:val="32"/>
          <w:szCs w:val="32"/>
        </w:rPr>
        <w:t>医疗设备器械</w:t>
      </w:r>
      <w:r>
        <w:rPr>
          <w:rFonts w:hint="eastAsia" w:asciiTheme="minorEastAsia" w:hAnsiTheme="minorEastAsia" w:eastAsiaTheme="minorEastAsia" w:cstheme="minorEastAsia"/>
          <w:b/>
          <w:sz w:val="32"/>
          <w:szCs w:val="32"/>
        </w:rPr>
        <w:t>购销合同</w:t>
      </w:r>
    </w:p>
    <w:p>
      <w:pPr>
        <w:tabs>
          <w:tab w:val="left" w:pos="313"/>
          <w:tab w:val="center" w:pos="5049"/>
        </w:tabs>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b/>
          <w:bCs/>
          <w:szCs w:val="21"/>
        </w:rPr>
        <w:t xml:space="preserve">                                </w:t>
      </w:r>
    </w:p>
    <w:p>
      <w:pPr>
        <w:tabs>
          <w:tab w:val="left" w:pos="5773"/>
        </w:tabs>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szCs w:val="21"/>
        </w:rPr>
        <w:t>甲方（买方）：</w:t>
      </w:r>
      <w:r>
        <w:rPr>
          <w:rFonts w:hint="eastAsia" w:asciiTheme="minorEastAsia" w:hAnsiTheme="minorEastAsia" w:eastAsiaTheme="minorEastAsia" w:cstheme="minorEastAsia"/>
          <w:b/>
          <w:bCs/>
          <w:szCs w:val="21"/>
          <w:lang w:eastAsia="zh-CN"/>
        </w:rPr>
        <w:t>复旦大学附属妇产科医院</w:t>
      </w:r>
      <w:r>
        <w:rPr>
          <w:rFonts w:hint="eastAsia" w:asciiTheme="minorEastAsia" w:hAnsiTheme="minorEastAsia" w:eastAsiaTheme="minorEastAsia" w:cstheme="minorEastAsia"/>
          <w:b/>
          <w:bCs/>
          <w:szCs w:val="21"/>
        </w:rPr>
        <w:t xml:space="preserve">                  </w:t>
      </w:r>
    </w:p>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color w:val="000000" w:themeColor="text1"/>
          <w:szCs w:val="21"/>
          <w14:textFill>
            <w14:solidFill>
              <w14:schemeClr w14:val="tx1"/>
            </w14:solidFill>
          </w14:textFill>
        </w:rPr>
        <w:t>乙方（卖方）：                                      签约地：</w:t>
      </w:r>
    </w:p>
    <w:p>
      <w:pPr>
        <w:pStyle w:val="60"/>
        <w:ind w:left="422" w:hanging="422" w:hanging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1、</w:t>
      </w:r>
      <w:r>
        <w:rPr>
          <w:rFonts w:hint="eastAsia" w:asciiTheme="minorEastAsia" w:hAnsiTheme="minorEastAsia" w:eastAsiaTheme="minorEastAsia" w:cstheme="minorEastAsia"/>
        </w:rPr>
        <w:t xml:space="preserve">甲乙双方根据《中华人民共和国合同法》，在平等互利、协商一致的基础上，买方同意向卖方购买同时卖方同意授予买方以下设备： </w:t>
      </w:r>
    </w:p>
    <w:tbl>
      <w:tblPr>
        <w:tblStyle w:val="29"/>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98"/>
        <w:gridCol w:w="902"/>
        <w:gridCol w:w="1022"/>
        <w:gridCol w:w="912"/>
        <w:gridCol w:w="668"/>
        <w:gridCol w:w="95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4"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设备名称</w:t>
            </w:r>
          </w:p>
        </w:tc>
        <w:tc>
          <w:tcPr>
            <w:tcW w:w="1498"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规格型号</w:t>
            </w:r>
          </w:p>
        </w:tc>
        <w:tc>
          <w:tcPr>
            <w:tcW w:w="902"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品牌</w:t>
            </w:r>
          </w:p>
        </w:tc>
        <w:tc>
          <w:tcPr>
            <w:tcW w:w="1022"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原产地</w:t>
            </w:r>
          </w:p>
        </w:tc>
        <w:tc>
          <w:tcPr>
            <w:tcW w:w="912"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数量</w:t>
            </w:r>
          </w:p>
        </w:tc>
        <w:tc>
          <w:tcPr>
            <w:tcW w:w="668"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单位</w:t>
            </w:r>
          </w:p>
        </w:tc>
        <w:tc>
          <w:tcPr>
            <w:tcW w:w="959"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单价</w:t>
            </w:r>
          </w:p>
        </w:tc>
        <w:tc>
          <w:tcPr>
            <w:tcW w:w="1130"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成交金额（含税）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4" w:type="dxa"/>
            <w:vAlign w:val="center"/>
          </w:tcPr>
          <w:p>
            <w:pPr>
              <w:jc w:val="center"/>
              <w:rPr>
                <w:rFonts w:hint="eastAsia" w:asciiTheme="minorEastAsia" w:hAnsiTheme="minorEastAsia" w:eastAsiaTheme="minorEastAsia" w:cstheme="minorEastAsia"/>
                <w:color w:val="000000"/>
                <w:szCs w:val="21"/>
              </w:rPr>
            </w:pPr>
          </w:p>
        </w:tc>
        <w:tc>
          <w:tcPr>
            <w:tcW w:w="1498" w:type="dxa"/>
            <w:vAlign w:val="center"/>
          </w:tcPr>
          <w:p>
            <w:pPr>
              <w:adjustRightInd w:val="0"/>
              <w:snapToGrid w:val="0"/>
              <w:spacing w:line="240" w:lineRule="exact"/>
              <w:jc w:val="center"/>
              <w:rPr>
                <w:rFonts w:hint="eastAsia" w:asciiTheme="minorEastAsia" w:hAnsiTheme="minorEastAsia" w:eastAsiaTheme="minorEastAsia" w:cstheme="minorEastAsia"/>
                <w:szCs w:val="21"/>
              </w:rPr>
            </w:pPr>
          </w:p>
        </w:tc>
        <w:tc>
          <w:tcPr>
            <w:tcW w:w="902" w:type="dxa"/>
            <w:vAlign w:val="center"/>
          </w:tcPr>
          <w:p>
            <w:pPr>
              <w:jc w:val="center"/>
              <w:rPr>
                <w:rFonts w:hint="eastAsia" w:asciiTheme="minorEastAsia" w:hAnsiTheme="minorEastAsia" w:eastAsiaTheme="minorEastAsia" w:cstheme="minorEastAsia"/>
                <w:szCs w:val="21"/>
              </w:rPr>
            </w:pPr>
          </w:p>
        </w:tc>
        <w:tc>
          <w:tcPr>
            <w:tcW w:w="1022" w:type="dxa"/>
            <w:vAlign w:val="center"/>
          </w:tcPr>
          <w:p>
            <w:pPr>
              <w:jc w:val="center"/>
              <w:rPr>
                <w:rFonts w:hint="eastAsia" w:asciiTheme="minorEastAsia" w:hAnsiTheme="minorEastAsia" w:eastAsiaTheme="minorEastAsia" w:cstheme="minorEastAsia"/>
                <w:color w:val="000000"/>
                <w:szCs w:val="21"/>
              </w:rPr>
            </w:pPr>
          </w:p>
        </w:tc>
        <w:tc>
          <w:tcPr>
            <w:tcW w:w="912" w:type="dxa"/>
            <w:vAlign w:val="center"/>
          </w:tcPr>
          <w:p>
            <w:pPr>
              <w:jc w:val="center"/>
              <w:rPr>
                <w:rFonts w:hint="eastAsia" w:asciiTheme="minorEastAsia" w:hAnsiTheme="minorEastAsia" w:eastAsiaTheme="minorEastAsia" w:cstheme="minorEastAsia"/>
                <w:szCs w:val="21"/>
              </w:rPr>
            </w:pPr>
          </w:p>
        </w:tc>
        <w:tc>
          <w:tcPr>
            <w:tcW w:w="668" w:type="dxa"/>
            <w:vAlign w:val="center"/>
          </w:tcPr>
          <w:p>
            <w:pPr>
              <w:jc w:val="center"/>
              <w:rPr>
                <w:rFonts w:hint="eastAsia" w:asciiTheme="minorEastAsia" w:hAnsiTheme="minorEastAsia" w:eastAsiaTheme="minorEastAsia" w:cstheme="minorEastAsia"/>
                <w:color w:val="000000"/>
                <w:szCs w:val="21"/>
              </w:rPr>
            </w:pPr>
          </w:p>
        </w:tc>
        <w:tc>
          <w:tcPr>
            <w:tcW w:w="959" w:type="dxa"/>
            <w:vAlign w:val="center"/>
          </w:tcPr>
          <w:p>
            <w:pPr>
              <w:jc w:val="center"/>
              <w:rPr>
                <w:rFonts w:hint="eastAsia" w:asciiTheme="minorEastAsia" w:hAnsiTheme="minorEastAsia" w:eastAsiaTheme="minorEastAsia" w:cstheme="minorEastAsia"/>
              </w:rPr>
            </w:pPr>
          </w:p>
        </w:tc>
        <w:tc>
          <w:tcPr>
            <w:tcW w:w="1130" w:type="dxa"/>
            <w:vAlign w:val="center"/>
          </w:tcPr>
          <w:p>
            <w:pPr>
              <w:jc w:val="center"/>
              <w:rPr>
                <w:rFonts w:hint="eastAsia" w:asciiTheme="minorEastAsia" w:hAnsiTheme="minorEastAsia" w:eastAsiaTheme="minorEastAsia" w:cs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366" w:type="dxa"/>
            <w:gridSpan w:val="6"/>
            <w:vAlign w:val="center"/>
          </w:tcPr>
          <w:p>
            <w:pPr>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合计成交金额大写：</w:t>
            </w:r>
          </w:p>
        </w:tc>
        <w:tc>
          <w:tcPr>
            <w:tcW w:w="2089" w:type="dxa"/>
            <w:gridSpan w:val="2"/>
            <w:vAlign w:val="center"/>
          </w:tcPr>
          <w:p>
            <w:pPr>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r>
    </w:tbl>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本合同若有详细的双方签字的配置清单,请详见附件。</w:t>
      </w:r>
    </w:p>
    <w:p>
      <w:pPr>
        <w:ind w:left="358" w:hanging="358" w:hangingChars="17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2. 设备的交付期 </w:t>
      </w:r>
      <w:r>
        <w:rPr>
          <w:rFonts w:hint="eastAsia" w:asciiTheme="minorEastAsia" w:hAnsiTheme="minorEastAsia" w:eastAsiaTheme="minorEastAsia" w:cstheme="minorEastAsia"/>
        </w:rPr>
        <w:t>乙方在合同生效的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天内向甲方交付上述设备，逾期将按照第7条规定执行。</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3. 设备运输、安装和验收</w:t>
      </w:r>
    </w:p>
    <w:p>
      <w:pPr>
        <w:ind w:left="359" w:left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3.1乙方确保设备安全无损地运抵甲方指定现场，并承担设备的运费、保险等费用，装卸费由</w:t>
      </w:r>
      <w:r>
        <w:rPr>
          <w:rFonts w:hint="eastAsia" w:asciiTheme="minorEastAsia" w:hAnsiTheme="minorEastAsia" w:eastAsiaTheme="minorEastAsia" w:cstheme="minorEastAsia"/>
          <w:u w:val="single"/>
        </w:rPr>
        <w:t xml:space="preserve">乙方 </w:t>
      </w:r>
      <w:r>
        <w:rPr>
          <w:rFonts w:hint="eastAsia" w:asciiTheme="minorEastAsia" w:hAnsiTheme="minorEastAsia" w:eastAsiaTheme="minorEastAsia" w:cstheme="minorEastAsia"/>
        </w:rPr>
        <w:t>承担。</w:t>
      </w:r>
    </w:p>
    <w:p>
      <w:pPr>
        <w:ind w:left="359" w:left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3.2甲乙双方对设备进行开箱清点检查验收，如果发现数量不足或有质量、技术等问题，乙方应在</w:t>
      </w:r>
      <w:r>
        <w:rPr>
          <w:rFonts w:hint="eastAsia" w:asciiTheme="minorEastAsia" w:hAnsiTheme="minorEastAsia" w:eastAsiaTheme="minorEastAsia" w:cstheme="minorEastAsia"/>
          <w:u w:val="single"/>
        </w:rPr>
        <w:t xml:space="preserve">_  </w:t>
      </w:r>
      <w:r>
        <w:rPr>
          <w:rFonts w:hint="eastAsia" w:asciiTheme="minorEastAsia" w:hAnsiTheme="minorEastAsia" w:eastAsiaTheme="minorEastAsia" w:cstheme="minorEastAsia"/>
        </w:rPr>
        <w:t>天内，按照甲方的要求，采取补足、更换或退货等处理措施，并承担由此发生的一切损失和费用。</w:t>
      </w:r>
    </w:p>
    <w:p>
      <w:pPr>
        <w:ind w:left="359" w:left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3.3设备到货后，乙方应在接到甲方通知后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天内安装调试完成。</w:t>
      </w:r>
    </w:p>
    <w:p>
      <w:pPr>
        <w:ind w:left="359" w:left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3.4甲、乙双方在符合国家相关技术标准的基础上，根据合同的技术标准(见附件)进行技术验收，验收合格后，双方在甲方《验收合格单》上签字确认。</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4</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rPr>
        <w:t>付款方式</w:t>
      </w:r>
    </w:p>
    <w:p>
      <w:pPr>
        <w:ind w:firstLine="610" w:firstLineChars="3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57150</wp:posOffset>
                </wp:positionV>
                <wp:extent cx="114300" cy="99060"/>
                <wp:effectExtent l="4445" t="4445" r="18415" b="18415"/>
                <wp:wrapNone/>
                <wp:docPr id="4" name="矩形 4"/>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wrap="square" upright="1"/>
                    </wps:wsp>
                  </a:graphicData>
                </a:graphic>
              </wp:anchor>
            </w:drawing>
          </mc:Choice>
          <mc:Fallback>
            <w:pict>
              <v:rect id="_x0000_s1026" o:spid="_x0000_s1026" o:spt="1" style="position:absolute;left:0pt;margin-left:18pt;margin-top:4.5pt;height:7.8pt;width:9pt;z-index:251662336;mso-width-relative:page;mso-height-relative:page;" fillcolor="#FFFFFF" filled="t" stroked="t" coordsize="21600,21600" o:gfxdata="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eOjn1QAAAAYBAAAPAAAAAAAAAAEAIAAA&#10;ACIAAABkcnMvZG93bnJldi54bWxQSwECFAAUAAAACACHTuJA0afulA8CAABDBAAADgAAAAAAAAAB&#10;ACAAAAAkAQAAZHJzL2Uyb0RvYy54bWxQSwUGAAAAAAYABgBZAQAApQUAAAAA&#10;">
                <v:fill on="t" focussize="0,0"/>
                <v:stroke color="#000000" joinstyle="miter"/>
                <v:imagedata o:title=""/>
                <o:lock v:ext="edit" aspectratio="f"/>
                <v:textbox>
                  <w:txbxContent>
                    <w:p>
                      <w:pPr>
                        <w:jc w:val="center"/>
                      </w:pPr>
                    </w:p>
                  </w:txbxContent>
                </v:textbox>
              </v:rect>
            </w:pict>
          </mc:Fallback>
        </mc:AlternateContent>
      </w:r>
      <w:r>
        <w:rPr>
          <w:rFonts w:hint="eastAsia" w:asciiTheme="minorEastAsia" w:hAnsiTheme="minorEastAsia" w:eastAsiaTheme="minorEastAsia" w:cstheme="minorEastAsia"/>
          <w:color w:val="000000"/>
        </w:rPr>
        <w:t>安装调试验收合格，正常使用后</w:t>
      </w:r>
      <w:r>
        <w:rPr>
          <w:rFonts w:hint="eastAsia" w:asciiTheme="minorEastAsia" w:hAnsiTheme="minorEastAsia" w:eastAsiaTheme="minorEastAsia" w:cstheme="minorEastAsia"/>
          <w:color w:val="000000"/>
          <w:u w:val="single"/>
          <w:lang w:val="en-US" w:eastAsia="zh-CN"/>
        </w:rPr>
        <w:t xml:space="preserve">    </w:t>
      </w:r>
      <w:r>
        <w:rPr>
          <w:rFonts w:hint="eastAsia" w:asciiTheme="minorEastAsia" w:hAnsiTheme="minorEastAsia" w:eastAsiaTheme="minorEastAsia" w:cstheme="minorEastAsia"/>
          <w:color w:val="000000"/>
          <w:u w:val="single"/>
        </w:rPr>
        <w:t>天内付清货款</w:t>
      </w:r>
      <w:r>
        <w:rPr>
          <w:rFonts w:hint="eastAsia" w:asciiTheme="minorEastAsia" w:hAnsiTheme="minorEastAsia" w:eastAsiaTheme="minorEastAsia" w:cstheme="minorEastAsia"/>
          <w:color w:val="000000"/>
        </w:rPr>
        <w:t>。</w:t>
      </w:r>
    </w:p>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rPr>
        <w:t>5</w:t>
      </w:r>
      <w:r>
        <w:rPr>
          <w:rFonts w:hint="eastAsia" w:asciiTheme="minorEastAsia" w:hAnsiTheme="minorEastAsia" w:eastAsiaTheme="minorEastAsia" w:cstheme="minorEastAsia"/>
          <w:b/>
          <w:bCs/>
        </w:rPr>
        <w:t>.伴随服务</w:t>
      </w:r>
    </w:p>
    <w:p>
      <w:pPr>
        <w:ind w:left="428" w:leftChars="172" w:hanging="67" w:hangingChars="32"/>
        <w:rPr>
          <w:rFonts w:hint="eastAsia" w:asciiTheme="minorEastAsia" w:hAnsiTheme="minorEastAsia" w:eastAsiaTheme="minorEastAsia" w:cstheme="minorEastAsia"/>
        </w:rPr>
      </w:pPr>
      <w:r>
        <w:rPr>
          <w:rFonts w:hint="eastAsia" w:asciiTheme="minorEastAsia" w:hAnsiTheme="minorEastAsia" w:eastAsiaTheme="minorEastAsia" w:cstheme="minorEastAsia"/>
        </w:rPr>
        <w:t>5.1乙方应提供设备的技术文件，包括相应的图纸、操作手册、维护手册、质量保证文件、服务指南等，这些文件应随同设备一起发运至甲方。</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5.2乙方还应免费提供下列服务：</w:t>
      </w:r>
    </w:p>
    <w:p>
      <w:pPr>
        <w:numPr>
          <w:ilvl w:val="0"/>
          <w:numId w:val="15"/>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设备的现场安装和调试</w:t>
      </w:r>
    </w:p>
    <w:p>
      <w:pPr>
        <w:numPr>
          <w:ilvl w:val="0"/>
          <w:numId w:val="15"/>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提供设备安装和维修所需的专用工具和辅助材料</w:t>
      </w:r>
    </w:p>
    <w:p>
      <w:pPr>
        <w:numPr>
          <w:ilvl w:val="0"/>
          <w:numId w:val="15"/>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乙方应派专业技术人员在项目现场对甲方使用人员进行培训或指导，在使用一段时间后可根据甲方的要求另行安排培训计划。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6.质量保证及售后服务</w:t>
      </w:r>
    </w:p>
    <w:p>
      <w:pPr>
        <w:ind w:left="357" w:leftChars="170" w:firstLine="1"/>
        <w:rPr>
          <w:rFonts w:hint="eastAsia" w:asciiTheme="minorEastAsia" w:hAnsiTheme="minorEastAsia" w:eastAsiaTheme="minorEastAsia" w:cstheme="minorEastAsia"/>
        </w:rPr>
      </w:pPr>
      <w:r>
        <w:rPr>
          <w:rFonts w:hint="eastAsia" w:asciiTheme="minorEastAsia" w:hAnsiTheme="minorEastAsia" w:eastAsiaTheme="minorEastAsia" w:cstheme="minorEastAsia"/>
        </w:rPr>
        <w:t>6.1乙方应保证所供设备是在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月）后生产的全新的、未使用过的，并符合国家有关标准、制造厂标准及合同技术标准要求。如果仪器的质量或规格与合同不符，或证实仪器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w:t>
      </w:r>
    </w:p>
    <w:p>
      <w:pPr>
        <w:ind w:left="357" w:leftChars="170" w:firstLine="1"/>
        <w:rPr>
          <w:rFonts w:hint="eastAsia" w:asciiTheme="minorEastAsia" w:hAnsiTheme="minorEastAsia" w:eastAsiaTheme="minorEastAsia" w:cstheme="minorEastAsia"/>
        </w:rPr>
      </w:pPr>
      <w:r>
        <w:rPr>
          <w:rFonts w:hint="eastAsia" w:asciiTheme="minorEastAsia" w:hAnsiTheme="minorEastAsia" w:eastAsiaTheme="minorEastAsia" w:cstheme="minorEastAsia"/>
        </w:rPr>
        <w:t>6.2乙方应提供保修期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月，保修期的期限应以甲乙双方的验收合格之日起计算，保修期内免费更换零配件及工时费。乙方在保修期内应确保开机率95%以上，如达不到此要求，即相应延长保修期。</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6.3报修响应时间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小时，到场时间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小时（不可抗拒力量下除外），若48小时内故障不能修复，乙方提供备用机供甲方使用。</w:t>
      </w:r>
    </w:p>
    <w:p>
      <w:pPr>
        <w:ind w:left="357" w:leftChars="170" w:firstLine="1"/>
        <w:rPr>
          <w:rFonts w:hint="eastAsia" w:asciiTheme="minorEastAsia" w:hAnsiTheme="minorEastAsia" w:eastAsiaTheme="minorEastAsia" w:cstheme="minorEastAsia"/>
        </w:rPr>
      </w:pPr>
      <w:r>
        <w:rPr>
          <w:rFonts w:hint="eastAsia" w:asciiTheme="minorEastAsia" w:hAnsiTheme="minorEastAsia" w:eastAsiaTheme="minorEastAsia" w:cstheme="minorEastAsia"/>
        </w:rPr>
        <w:t>6.4保修期满后，人工费</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，年度保修合同价不高于设备总价的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，年度定期预防性维护保养次数，不少于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次。</w:t>
      </w:r>
    </w:p>
    <w:p>
      <w:pPr>
        <w:ind w:left="357" w:leftChars="170" w:firstLine="1"/>
        <w:rPr>
          <w:rFonts w:hint="eastAsia" w:asciiTheme="minorEastAsia" w:hAnsiTheme="minorEastAsia" w:eastAsiaTheme="minorEastAsia" w:cstheme="minorEastAsia"/>
        </w:rPr>
      </w:pPr>
      <w:r>
        <w:rPr>
          <w:rFonts w:hint="eastAsia" w:asciiTheme="minorEastAsia" w:hAnsiTheme="minorEastAsia" w:eastAsiaTheme="minorEastAsia" w:cstheme="minorEastAsia"/>
        </w:rPr>
        <w:t>6.5乙方负责仪器的终身维修并应继续提供优质的服务，储备足够的零配件备库，保修期满后，以</w:t>
      </w:r>
      <w:r>
        <w:rPr>
          <w:rFonts w:hint="eastAsia" w:asciiTheme="minorEastAsia" w:hAnsiTheme="minorEastAsia" w:eastAsiaTheme="minorEastAsia" w:cstheme="minorEastAsia"/>
          <w:color w:val="000000" w:themeColor="text1"/>
          <w:u w:val="single"/>
          <w14:textFill>
            <w14:solidFill>
              <w14:schemeClr w14:val="tx1"/>
            </w14:solidFill>
          </w14:textFill>
        </w:rPr>
        <w:t xml:space="preserve">       </w:t>
      </w:r>
      <w:r>
        <w:rPr>
          <w:rFonts w:hint="eastAsia" w:asciiTheme="minorEastAsia" w:hAnsiTheme="minorEastAsia" w:eastAsiaTheme="minorEastAsia" w:cstheme="minorEastAsia"/>
        </w:rPr>
        <w:t>的优惠价供应维修零配件，消耗品的供应由双方另设协议决定。</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7.索赔条款</w:t>
      </w:r>
    </w:p>
    <w:p>
      <w:pPr>
        <w:ind w:left="357" w:leftChars="170" w:firstLine="1"/>
        <w:rPr>
          <w:rFonts w:hint="eastAsia" w:asciiTheme="minorEastAsia" w:hAnsiTheme="minorEastAsia" w:eastAsiaTheme="minorEastAsia" w:cstheme="minorEastAsia"/>
        </w:rPr>
      </w:pPr>
      <w:r>
        <w:rPr>
          <w:rFonts w:hint="eastAsia" w:asciiTheme="minorEastAsia" w:hAnsiTheme="minorEastAsia" w:eastAsiaTheme="minorEastAsia" w:cstheme="minorEastAsia"/>
        </w:rPr>
        <w:t>7.1 如经国家食品药品监督管理局检验确认货物不符合本合同约定，买方有权选择下列方式之一要求卖方进行补救：</w:t>
      </w:r>
    </w:p>
    <w:p>
      <w:pPr>
        <w:ind w:left="428" w:leftChars="172" w:hanging="67" w:hangingChars="32"/>
        <w:rPr>
          <w:rFonts w:hint="eastAsia" w:asciiTheme="minorEastAsia" w:hAnsiTheme="minorEastAsia" w:eastAsiaTheme="minorEastAsia" w:cstheme="minorEastAsia"/>
        </w:rPr>
      </w:pPr>
      <w:r>
        <w:rPr>
          <w:rFonts w:hint="eastAsia" w:asciiTheme="minorEastAsia" w:hAnsiTheme="minorEastAsia" w:eastAsiaTheme="minorEastAsia" w:cstheme="minorEastAsia"/>
        </w:rPr>
        <w:t>7.1.1同意买方退货，并将全额货款偿还买方，并负担因退货而发生的一切直接损失和费用。</w:t>
      </w:r>
    </w:p>
    <w:p>
      <w:pPr>
        <w:ind w:left="428" w:leftChars="172" w:hanging="67" w:hangingChars="32"/>
        <w:rPr>
          <w:rFonts w:hint="eastAsia" w:asciiTheme="minorEastAsia" w:hAnsiTheme="minorEastAsia" w:eastAsiaTheme="minorEastAsia" w:cstheme="minorEastAsia"/>
        </w:rPr>
      </w:pPr>
      <w:r>
        <w:rPr>
          <w:rFonts w:hint="eastAsia" w:asciiTheme="minorEastAsia" w:hAnsiTheme="minorEastAsia" w:eastAsiaTheme="minorEastAsia" w:cstheme="minorEastAsia"/>
        </w:rPr>
        <w:t>7.1.2按照货物的疵劣程度、损坏的范围和买方所遭受的损失，将货物贬值。</w:t>
      </w:r>
    </w:p>
    <w:p>
      <w:pPr>
        <w:ind w:left="357" w:leftChars="170" w:firstLine="1"/>
        <w:rPr>
          <w:rFonts w:hint="eastAsia" w:asciiTheme="minorEastAsia" w:hAnsiTheme="minorEastAsia" w:eastAsiaTheme="minorEastAsia" w:cstheme="minorEastAsia"/>
        </w:rPr>
      </w:pPr>
      <w:r>
        <w:rPr>
          <w:rFonts w:hint="eastAsia" w:asciiTheme="minorEastAsia" w:hAnsiTheme="minorEastAsia" w:eastAsiaTheme="minorEastAsia" w:cstheme="minorEastAsia"/>
        </w:rPr>
        <w:t>7.1.3调换有瑕疵的货物，换货必须全新并符合本合同规定的规格，质量和性能，卖方并负责因此而产生的一切费用和买方的一切直接损失。</w:t>
      </w:r>
    </w:p>
    <w:p>
      <w:pPr>
        <w:ind w:left="357" w:leftChars="170" w:firstLine="1"/>
        <w:rPr>
          <w:rFonts w:hint="eastAsia" w:asciiTheme="minorEastAsia" w:hAnsiTheme="minorEastAsia" w:eastAsiaTheme="minorEastAsia" w:cstheme="minorEastAsia"/>
        </w:rPr>
      </w:pPr>
      <w:r>
        <w:rPr>
          <w:rFonts w:hint="eastAsia" w:asciiTheme="minorEastAsia" w:hAnsiTheme="minorEastAsia" w:eastAsiaTheme="minorEastAsia" w:cstheme="minorEastAsia"/>
        </w:rPr>
        <w:t>7.2如果乙方没有按照合同规定的时间交货和提供服务，甲方应从货款中扣除误期赔偿费而不影响合同项下的其他补救办法，延期交货和延期服务的赔偿费均按每周迟交仪器的合同价的百分之零点五（0.5％）计收，直至交货或提供服务为止。但误期赔偿费的最高限额不超过合同价的百分之五（5％）。一周按7天计算，不足7天按一周计算。一旦达到误期赔偿的最高限额，甲方有权终止合同，并要求乙方支付合同金额20%的违约金。</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7.3乙方应保证甲方和使用单位在使用该设备或其任何一部分时免受第三方提出侵犯其专利权、商标权或工业产权的起诉。</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8.争端的解决</w:t>
      </w:r>
    </w:p>
    <w:p>
      <w:pPr>
        <w:ind w:left="357" w:leftChars="170" w:firstLine="1"/>
        <w:rPr>
          <w:rFonts w:hint="eastAsia" w:asciiTheme="minorEastAsia" w:hAnsiTheme="minorEastAsia" w:eastAsiaTheme="minorEastAsia" w:cstheme="minorEastAsia"/>
        </w:rPr>
      </w:pPr>
      <w:r>
        <w:rPr>
          <w:rFonts w:hint="eastAsia" w:asciiTheme="minorEastAsia" w:hAnsiTheme="minorEastAsia" w:eastAsiaTheme="minorEastAsia" w:cstheme="minorEastAsia"/>
        </w:rPr>
        <w:t>双方如在履行合同中发生纠纷，首先应友好协商，协商不成，双方均应向甲方所在地有管辖权的人民法院起诉。</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9.合同生效</w:t>
      </w:r>
    </w:p>
    <w:p>
      <w:pPr>
        <w:ind w:left="419" w:leftChars="172" w:hanging="58" w:hangingChars="28"/>
        <w:rPr>
          <w:rFonts w:hint="eastAsia" w:asciiTheme="minorEastAsia" w:hAnsiTheme="minorEastAsia" w:eastAsiaTheme="minorEastAsia" w:cstheme="minorEastAsia"/>
        </w:rPr>
      </w:pPr>
      <w:r>
        <w:rPr>
          <w:rFonts w:hint="eastAsia" w:asciiTheme="minorEastAsia" w:hAnsiTheme="minorEastAsia" w:eastAsiaTheme="minorEastAsia" w:cstheme="minorEastAsia"/>
        </w:rPr>
        <w:t>9.1 本合同在甲、乙双方签字盖章后生效。</w:t>
      </w:r>
    </w:p>
    <w:p>
      <w:pPr>
        <w:ind w:left="419" w:leftChars="172" w:hanging="58" w:hangingChars="28"/>
        <w:rPr>
          <w:rFonts w:hint="eastAsia" w:asciiTheme="minorEastAsia" w:hAnsiTheme="minorEastAsia" w:eastAsiaTheme="minorEastAsia" w:cstheme="minorEastAsia"/>
        </w:rPr>
      </w:pPr>
      <w:r>
        <w:rPr>
          <w:rFonts w:hint="eastAsia" w:asciiTheme="minorEastAsia" w:hAnsiTheme="minorEastAsia" w:eastAsiaTheme="minorEastAsia" w:cstheme="minorEastAsia"/>
        </w:rPr>
        <w:t>9.2 本合同一式二份，以中文书就，甲方执一份，乙方执一份，具有相同的法律效应。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 xml:space="preserve">10.合同附件 </w:t>
      </w:r>
      <w:r>
        <w:rPr>
          <w:rFonts w:hint="eastAsia" w:asciiTheme="minorEastAsia" w:hAnsiTheme="minorEastAsia" w:eastAsiaTheme="minorEastAsia" w:cstheme="minorEastAsia"/>
        </w:rPr>
        <w:t>合同附件是合同的不可分割的组成部分，与合同具有同等法律效力。</w:t>
      </w:r>
    </w:p>
    <w:p>
      <w:pPr>
        <w:ind w:left="417" w:leftChars="172" w:hanging="56" w:hangingChars="28"/>
        <w:rPr>
          <w:rFonts w:hint="eastAsia" w:asciiTheme="minorEastAsia" w:hAnsiTheme="minorEastAsia" w:eastAsiaTheme="minorEastAsia" w:cstheme="minorEastAsia"/>
        </w:rPr>
      </w:pPr>
      <w:r>
        <w:rPr>
          <w:rFonts w:hint="eastAsia" w:asciiTheme="minorEastAsia" w:hAnsiTheme="minorEastAsia" w:eastAsiaTheme="minorEastAsia" w:cstheme="minorEastAsia"/>
          <w:sz w:val="20"/>
        </w:rPr>
        <mc:AlternateContent>
          <mc:Choice Requires="wps">
            <w:drawing>
              <wp:anchor distT="0" distB="0" distL="114300" distR="114300" simplePos="0" relativeHeight="251661312" behindDoc="0" locked="0" layoutInCell="1" allowOverlap="1">
                <wp:simplePos x="0" y="0"/>
                <wp:positionH relativeFrom="column">
                  <wp:posOffset>1400175</wp:posOffset>
                </wp:positionH>
                <wp:positionV relativeFrom="paragraph">
                  <wp:posOffset>38100</wp:posOffset>
                </wp:positionV>
                <wp:extent cx="114300" cy="99060"/>
                <wp:effectExtent l="4445" t="4445" r="18415" b="18415"/>
                <wp:wrapNone/>
                <wp:docPr id="3" name="矩形 3"/>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wrap="square" upright="1"/>
                    </wps:wsp>
                  </a:graphicData>
                </a:graphic>
              </wp:anchor>
            </w:drawing>
          </mc:Choice>
          <mc:Fallback>
            <w:pict>
              <v:rect id="_x0000_s1026" o:spid="_x0000_s1026" o:spt="1" style="position:absolute;left:0pt;margin-left:110.25pt;margin-top:3pt;height:7.8pt;width:9pt;z-index:251661312;mso-width-relative:page;mso-height-relative:page;" fillcolor="#FFFFFF" filled="t" stroked="t" coordsize="21600,21600" o:gfxdata="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ZFIdYAAAAIAQAADwAAAAAAAAABACAA&#10;AAAiAAAAZHJzL2Rvd25yZXYueG1sUEsBAhQAFAAAAAgAh07iQLkXoO8PAgAAQwQAAA4AAAAAAAAA&#10;AQAgAAAAJQEAAGRycy9lMm9Eb2MueG1sUEsFBgAAAAAGAAYAWQEAAKYFAAAAAA==&#10;">
                <v:fill on="t" focussize="0,0"/>
                <v:stroke color="#000000" joinstyle="miter"/>
                <v:imagedata o:title=""/>
                <o:lock v:ext="edit" aspectratio="f"/>
                <v:textbox>
                  <w:txbxContent>
                    <w:p>
                      <w:pPr>
                        <w:jc w:val="center"/>
                      </w:pPr>
                    </w:p>
                  </w:txbxContent>
                </v:textbox>
              </v:rect>
            </w:pict>
          </mc:Fallback>
        </mc:AlternateContent>
      </w:r>
      <w:r>
        <w:rPr>
          <w:rFonts w:hint="eastAsia" w:asciiTheme="minorEastAsia" w:hAnsiTheme="minorEastAsia" w:eastAsiaTheme="minorEastAsia" w:cstheme="minorEastAsia"/>
        </w:rPr>
        <w:t>10.1配置清单        设备的配置清单</w:t>
      </w:r>
    </w:p>
    <w:p>
      <w:pPr>
        <w:ind w:left="419" w:leftChars="172" w:hanging="58" w:hangingChars="28"/>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41910</wp:posOffset>
                </wp:positionV>
                <wp:extent cx="114300" cy="99060"/>
                <wp:effectExtent l="4445" t="4445" r="18415" b="18415"/>
                <wp:wrapNone/>
                <wp:docPr id="1" name="矩形 1"/>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wrap="square" upright="1"/>
                    </wps:wsp>
                  </a:graphicData>
                </a:graphic>
              </wp:anchor>
            </w:drawing>
          </mc:Choice>
          <mc:Fallback>
            <w:pict>
              <v:rect id="_x0000_s1026" o:spid="_x0000_s1026" o:spt="1" style="position:absolute;left:0pt;margin-left:232.5pt;margin-top:3.3pt;height:7.8pt;width:9pt;z-index:251659264;mso-width-relative:page;mso-height-relative:page;" fillcolor="#FFFFFF" filled="t" stroked="t" coordsize="21600,21600" o:gfxdata="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osxBbXAAAACAEAAA8AAAAAAAAAAQAg&#10;AAAAIgAAAGRycy9kb3ducmV2LnhtbFBLAQIUABQAAAAIAIdO4kB/tQRCDwIAAEMEAAAOAAAAAAAA&#10;AAEAIAAAACYBAABkcnMvZTJvRG9jLnhtbFBLBQYAAAAABgAGAFkBAACnBQAAAAA=&#10;">
                <v:fill on="t" focussize="0,0"/>
                <v:stroke color="#000000" joinstyle="miter"/>
                <v:imagedata o:title=""/>
                <o:lock v:ext="edit" aspectratio="f"/>
                <v:textbox>
                  <w:txbxContent>
                    <w:p>
                      <w:pPr>
                        <w:jc w:val="center"/>
                      </w:pPr>
                    </w:p>
                  </w:txbxContent>
                </v:textbox>
              </v:rect>
            </w:pict>
          </mc:Fallback>
        </mc:AlternateContent>
      </w:r>
      <w:r>
        <w:rPr>
          <w:rFonts w:hint="eastAsia" w:asciiTheme="minorEastAsia" w:hAnsiTheme="minorEastAsia" w:eastAsiaTheme="minorEastAsia" w:cstheme="minorEastAsia"/>
        </w:rPr>
        <mc:AlternateContent>
          <mc:Choice Requires="wps">
            <w:drawing>
              <wp:anchor distT="0" distB="0" distL="114300" distR="114300" simplePos="0" relativeHeight="251660288" behindDoc="0" locked="0" layoutInCell="1" allowOverlap="1">
                <wp:simplePos x="0" y="0"/>
                <wp:positionH relativeFrom="column">
                  <wp:posOffset>1400175</wp:posOffset>
                </wp:positionH>
                <wp:positionV relativeFrom="paragraph">
                  <wp:posOffset>47625</wp:posOffset>
                </wp:positionV>
                <wp:extent cx="114300" cy="99060"/>
                <wp:effectExtent l="4445" t="4445" r="18415" b="18415"/>
                <wp:wrapNone/>
                <wp:docPr id="2" name="矩形 2"/>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wrap="square" upright="1"/>
                    </wps:wsp>
                  </a:graphicData>
                </a:graphic>
              </wp:anchor>
            </w:drawing>
          </mc:Choice>
          <mc:Fallback>
            <w:pict>
              <v:rect id="_x0000_s1026" o:spid="_x0000_s1026" o:spt="1" style="position:absolute;left:0pt;margin-left:110.25pt;margin-top:3.75pt;height:7.8pt;width:9pt;z-index:251660288;mso-width-relative:page;mso-height-relative:page;" fillcolor="#FFFFFF" filled="t" stroked="t" coordsize="21600,21600" o:gfxdata="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YBljNYAAAAIAQAADwAAAAAAAAABACAA&#10;AAAiAAAAZHJzL2Rvd25yZXYueG1sUEsBAhQAFAAAAAgAh07iQNpGcrkPAgAAQwQAAA4AAAAAAAAA&#10;AQAgAAAAJQEAAGRycy9lMm9Eb2MueG1sUEsFBgAAAAAGAAYAWQEAAKYFAAAAAA==&#10;">
                <v:fill on="t" focussize="0,0"/>
                <v:stroke color="#000000" joinstyle="miter"/>
                <v:imagedata o:title=""/>
                <o:lock v:ext="edit" aspectratio="f"/>
                <v:textbox>
                  <w:txbxContent>
                    <w:p>
                      <w:pPr>
                        <w:jc w:val="center"/>
                      </w:pPr>
                    </w:p>
                  </w:txbxContent>
                </v:textbox>
              </v:rect>
            </w:pict>
          </mc:Fallback>
        </mc:AlternateContent>
      </w:r>
      <w:r>
        <w:rPr>
          <w:rFonts w:hint="eastAsia" w:asciiTheme="minorEastAsia" w:hAnsiTheme="minorEastAsia" w:eastAsiaTheme="minorEastAsia" w:cstheme="minorEastAsia"/>
        </w:rPr>
        <w:t xml:space="preserve">10.2技术标准        投标文件的技术响应     设备技术说明 </w:t>
      </w:r>
    </w:p>
    <w:p>
      <w:pPr>
        <w:rPr>
          <w:rFonts w:hint="eastAsia" w:asciiTheme="minorEastAsia" w:hAnsiTheme="minorEastAsia" w:eastAsiaTheme="minorEastAsia" w:cstheme="minorEastAsia"/>
          <w:color w:val="FF0000"/>
          <w:u w:val="single"/>
        </w:rPr>
      </w:pPr>
      <w:r>
        <w:rPr>
          <w:rFonts w:hint="eastAsia" w:asciiTheme="minorEastAsia" w:hAnsiTheme="minorEastAsia" w:eastAsiaTheme="minorEastAsia" w:cstheme="minorEastAsia"/>
          <w:b/>
          <w:bCs/>
        </w:rPr>
        <w:t>11. 特别约定 ：</w:t>
      </w:r>
      <w:r>
        <w:rPr>
          <w:rFonts w:hint="eastAsia" w:asciiTheme="minorEastAsia" w:hAnsiTheme="minorEastAsia" w:eastAsiaTheme="minorEastAsia" w:cstheme="minorEastAsia"/>
          <w:b/>
        </w:rPr>
        <w:t>_____________________________________________</w:t>
      </w:r>
    </w:p>
    <w:p>
      <w:pPr>
        <w:ind w:firstLine="422" w:firstLineChars="200"/>
        <w:rPr>
          <w:rFonts w:hint="eastAsia" w:asciiTheme="minorEastAsia" w:hAnsiTheme="minorEastAsia" w:eastAsiaTheme="minorEastAsia" w:cstheme="minorEastAsia"/>
          <w:b/>
          <w:bCs/>
          <w:u w:val="single"/>
        </w:rPr>
      </w:pPr>
    </w:p>
    <w:p>
      <w:pPr>
        <w:ind w:firstLine="422" w:firstLineChars="200"/>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ind w:firstLine="42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甲方：</w:t>
      </w:r>
      <w:r>
        <w:rPr>
          <w:rFonts w:hint="eastAsia" w:asciiTheme="minorEastAsia" w:hAnsiTheme="minorEastAsia" w:eastAsiaTheme="minorEastAsia" w:cstheme="minorEastAsia"/>
          <w:b/>
          <w:bCs/>
          <w:szCs w:val="21"/>
          <w:lang w:eastAsia="zh-CN"/>
        </w:rPr>
        <w:t>复旦大学附属妇产科医院</w:t>
      </w: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b/>
          <w:bCs/>
        </w:rPr>
        <w:t xml:space="preserve">             乙方：</w:t>
      </w:r>
    </w:p>
    <w:p>
      <w:pPr>
        <w:ind w:firstLine="310" w:firstLineChars="14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（盖章）                                 （盖章）</w:t>
      </w:r>
    </w:p>
    <w:p>
      <w:pPr>
        <w:ind w:left="42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甲方法定代表人或授权委托人              乙方法定代表人或授权委托人</w:t>
      </w:r>
    </w:p>
    <w:p>
      <w:pPr>
        <w:ind w:left="420"/>
        <w:rPr>
          <w:rFonts w:hint="eastAsia" w:asciiTheme="minorEastAsia" w:hAnsiTheme="minorEastAsia" w:eastAsiaTheme="minorEastAsia" w:cstheme="minorEastAsia"/>
          <w:b/>
          <w:bCs/>
        </w:rPr>
      </w:pPr>
    </w:p>
    <w:p>
      <w:pPr>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__________________________               _________________________</w:t>
      </w:r>
    </w:p>
    <w:p>
      <w:pPr>
        <w:ind w:firstLine="422" w:firstLineChars="200"/>
        <w:rPr>
          <w:rFonts w:hint="eastAsia" w:asciiTheme="minorEastAsia" w:hAnsiTheme="minorEastAsia" w:eastAsiaTheme="minorEastAsia" w:cstheme="minorEastAsia"/>
          <w:b/>
          <w:u w:val="single"/>
        </w:rPr>
      </w:pPr>
    </w:p>
    <w:p>
      <w:pPr>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 xml:space="preserve">日期：____________________              日期：____________________  </w:t>
      </w:r>
    </w:p>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br w:type="page"/>
      </w:r>
    </w:p>
    <w:p>
      <w:pPr>
        <w:spacing w:afterLines="50" w:line="480" w:lineRule="exact"/>
        <w:ind w:firstLine="562" w:firstLineChars="20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复旦大学附属妇产科医院</w:t>
      </w:r>
      <w:r>
        <w:rPr>
          <w:rFonts w:hint="eastAsia" w:asciiTheme="minorEastAsia" w:hAnsiTheme="minorEastAsia" w:eastAsiaTheme="minorEastAsia" w:cstheme="minorEastAsia"/>
          <w:b/>
          <w:sz w:val="28"/>
          <w:szCs w:val="28"/>
        </w:rPr>
        <w:t>廉洁购销合同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rPr>
        <w:t>甲方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复旦大学附属妇产科医院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乙方</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为进一步加强医疗卫生行风建设，规范医疗卫生机构购销行为，有效防范商业贿赂行为，营造公平交易、诚实守信的购销环境，经甲、乙双方协商，同意签订本合同，并共同遵守：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一、甲乙双方按照《合同法》及购销合同约定购销药品、医用设备、医用耗材、软硬件设备、办公用品（日用品）、基建修缮等产品。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二、甲方应当严格执行购销合同验收、入库制度，对采购产品及发票进行查验，不得违反有关规定合同外采购、违价采购或从非规定渠道采购。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四、严禁甲方工作人员利用任何途径和方式，为乙方统计医师个人及临床科室有关医药产品用量信息，或为乙方统计提供便利。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五、乙方不得以回扣、宴请等方式影响甲方工作人员采购或</w:t>
      </w:r>
      <w:r>
        <w:rPr>
          <w:rFonts w:hint="eastAsia" w:asciiTheme="minorEastAsia" w:hAnsiTheme="minorEastAsia" w:eastAsiaTheme="minorEastAsia" w:cstheme="minorEastAsia"/>
          <w:kern w:val="0"/>
          <w:sz w:val="21"/>
          <w:szCs w:val="21"/>
        </w:rPr>
        <w:t>使用产品的选择权，不得在学术活动中提供旅游、超标准支付食宿费用。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六、乙方指定____________________作为销售代表洽谈业务。严格遵守甲方关于接待医药生产经营企业管理的规定进行备案和预约，销售代表必须在指定时间到甲方指定地点联系商谈，不得擅自到住院部、门急诊部、医技科室及医务人员宿舍等推销产品，不得借故到甲方相关领导、部门负责人及工作人员家中访谈并提供任何好处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七、乙方如违反本合同，一经发现，甲方有权终止购销合同，并向有关卫生健康行政部门报告。如乙方被列入商业贿赂不良记录，则严格按照国家卫生计生委、上海市卫生计生委及甲方关于建立医药购销领域商业贿赂不良记录的相关规定处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八、本合同作为产品购销合同的重要组成部分，与购销合同一并执行，具有同等的法律效力，双方如在履行合同中发生纠纷，首先应友好协商，协商不成，双方均应向甲方所在地有管辖权的人民法院诉讼解决。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九、本合同一式三份，甲、乙双方各执一份，甲方纪检监察部门</w:t>
      </w:r>
      <w:r>
        <w:rPr>
          <w:rFonts w:hint="eastAsia" w:asciiTheme="minorEastAsia" w:hAnsiTheme="minorEastAsia" w:eastAsiaTheme="minorEastAsia" w:cstheme="minorEastAsia"/>
          <w:kern w:val="0"/>
          <w:sz w:val="21"/>
          <w:szCs w:val="21"/>
        </w:rPr>
        <w:t>执一份，并从签订之日起生效。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甲方(盖章)：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 xml:space="preserve">        乙方(盖章)：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法定代表人(负责人)：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 xml:space="preserve">         法定代表人(负责人)：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采购部门负责人签名：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 xml:space="preserve">        经办人签名：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年   月   日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 xml:space="preserve">  年   月   日</w:t>
      </w:r>
    </w:p>
    <w:p>
      <w:pPr>
        <w:pStyle w:val="3"/>
        <w:keepNext w:val="0"/>
        <w:keepLines w:val="0"/>
        <w:pageBreakBefore w:val="0"/>
        <w:kinsoku/>
        <w:overflowPunct/>
        <w:bidi w:val="0"/>
        <w:spacing w:before="0" w:beforeLines="0" w:beforeAutospacing="0" w:after="0" w:afterLines="0" w:afterAutospacing="0" w:line="360" w:lineRule="auto"/>
        <w:jc w:val="both"/>
        <w:rPr>
          <w:rFonts w:hint="eastAsia" w:asciiTheme="minorEastAsia" w:hAnsiTheme="minorEastAsia" w:eastAsiaTheme="minorEastAsia" w:cstheme="minorEastAsia"/>
          <w:b w:val="0"/>
          <w:bCs/>
          <w:sz w:val="24"/>
          <w:szCs w:val="24"/>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pPr>
    </w:p>
    <w:bookmarkEnd w:id="242"/>
    <w:bookmarkEnd w:id="243"/>
    <w:bookmarkEnd w:id="244"/>
    <w:bookmarkEnd w:id="245"/>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sectPr>
          <w:footerReference r:id="rId4" w:type="default"/>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bookmarkStart w:id="255" w:name="_Toc24324"/>
      <w:bookmarkStart w:id="256" w:name="_Toc457748048"/>
      <w:bookmarkStart w:id="257" w:name="_Toc15568"/>
      <w:bookmarkStart w:id="258" w:name="_Toc392227905"/>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Cs w:val="44"/>
        </w:rPr>
      </w:pPr>
      <w:bookmarkStart w:id="259" w:name="_Toc392227903"/>
      <w:bookmarkStart w:id="260" w:name="_Toc457748070"/>
      <w:bookmarkStart w:id="261" w:name="_Toc29349"/>
      <w:bookmarkStart w:id="262" w:name="_Toc1060"/>
      <w:bookmarkStart w:id="263" w:name="_Toc21503"/>
      <w:r>
        <w:rPr>
          <w:rFonts w:hint="eastAsia" w:asciiTheme="minorEastAsia" w:hAnsiTheme="minorEastAsia" w:eastAsiaTheme="minorEastAsia" w:cstheme="minorEastAsia"/>
          <w:sz w:val="32"/>
          <w:szCs w:val="32"/>
        </w:rPr>
        <w:t>第</w:t>
      </w:r>
      <w:r>
        <w:rPr>
          <w:rFonts w:hint="eastAsia" w:asciiTheme="minorEastAsia" w:hAnsiTheme="minorEastAsia" w:eastAsiaTheme="minorEastAsia" w:cstheme="minorEastAsia"/>
          <w:sz w:val="32"/>
          <w:szCs w:val="32"/>
          <w:lang w:val="en-US" w:eastAsia="zh-CN"/>
        </w:rPr>
        <w:t>五</w:t>
      </w:r>
      <w:r>
        <w:rPr>
          <w:rFonts w:hint="eastAsia" w:asciiTheme="minorEastAsia" w:hAnsiTheme="minorEastAsia" w:eastAsiaTheme="minorEastAsia" w:cstheme="minorEastAsia"/>
          <w:sz w:val="32"/>
          <w:szCs w:val="32"/>
        </w:rPr>
        <w:t>章</w:t>
      </w:r>
      <w:bookmarkEnd w:id="259"/>
      <w:r>
        <w:rPr>
          <w:rFonts w:hint="eastAsia" w:asciiTheme="minorEastAsia" w:hAnsiTheme="minorEastAsia" w:eastAsiaTheme="minorEastAsia" w:cstheme="minorEastAsia"/>
          <w:sz w:val="32"/>
          <w:szCs w:val="32"/>
        </w:rPr>
        <w:t xml:space="preserve"> </w:t>
      </w:r>
      <w:bookmarkEnd w:id="260"/>
      <w:r>
        <w:rPr>
          <w:rFonts w:hint="eastAsia" w:asciiTheme="minorEastAsia" w:hAnsiTheme="minorEastAsia" w:eastAsiaTheme="minorEastAsia" w:cstheme="minorEastAsia"/>
          <w:sz w:val="32"/>
          <w:szCs w:val="32"/>
        </w:rPr>
        <w:t>采购需求</w:t>
      </w:r>
      <w:bookmarkEnd w:id="261"/>
      <w:bookmarkEnd w:id="262"/>
      <w:bookmarkEnd w:id="263"/>
    </w:p>
    <w:tbl>
      <w:tblPr>
        <w:tblStyle w:val="2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4747"/>
        <w:gridCol w:w="168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4747"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招标</w:t>
            </w:r>
            <w:r>
              <w:rPr>
                <w:rFonts w:hint="eastAsia" w:asciiTheme="minorEastAsia" w:hAnsiTheme="minorEastAsia" w:eastAsiaTheme="minorEastAsia" w:cstheme="minorEastAsia"/>
                <w:b/>
                <w:sz w:val="24"/>
                <w:szCs w:val="24"/>
              </w:rPr>
              <w:t>术要求</w:t>
            </w:r>
          </w:p>
        </w:tc>
        <w:tc>
          <w:tcPr>
            <w:tcW w:w="1687"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投标响应</w:t>
            </w:r>
          </w:p>
        </w:tc>
        <w:tc>
          <w:tcPr>
            <w:tcW w:w="900"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一、</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eastAsia="zh-CN"/>
              </w:rPr>
              <w:t>设备名称：多通道荧光定量基因扩增仪，数量</w:t>
            </w:r>
            <w:r>
              <w:rPr>
                <w:rFonts w:hint="eastAsia" w:ascii="宋体" w:hAnsi="宋体" w:eastAsia="宋体" w:cs="宋体"/>
                <w:b w:val="0"/>
                <w:bCs/>
                <w:sz w:val="21"/>
                <w:szCs w:val="21"/>
                <w:lang w:val="en-US" w:eastAsia="zh-CN"/>
              </w:rPr>
              <w:t>2套</w:t>
            </w:r>
          </w:p>
        </w:tc>
        <w:tc>
          <w:tcPr>
            <w:tcW w:w="1687" w:type="dxa"/>
            <w:vAlign w:val="center"/>
          </w:tcPr>
          <w:p>
            <w:pPr>
              <w:rPr>
                <w:rFonts w:hint="eastAsia" w:asciiTheme="minorEastAsia" w:hAnsiTheme="minorEastAsia" w:eastAsiaTheme="minorEastAsia" w:cstheme="minorEastAsia"/>
                <w:b/>
                <w:sz w:val="24"/>
                <w:szCs w:val="24"/>
              </w:rPr>
            </w:pPr>
          </w:p>
        </w:tc>
        <w:tc>
          <w:tcPr>
            <w:tcW w:w="900" w:type="dxa"/>
            <w:vAlign w:val="center"/>
          </w:tcPr>
          <w:p>
            <w:pP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4747" w:type="dxa"/>
            <w:vAlign w:val="center"/>
          </w:tcPr>
          <w:p>
            <w:pPr>
              <w:widowControl/>
              <w:textAlignment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rPr>
              <w:t>检测通量：96</w:t>
            </w:r>
          </w:p>
        </w:tc>
        <w:tc>
          <w:tcPr>
            <w:tcW w:w="1687" w:type="dxa"/>
            <w:vAlign w:val="center"/>
          </w:tcPr>
          <w:p>
            <w:pPr>
              <w:rPr>
                <w:rFonts w:hint="eastAsia" w:asciiTheme="minorEastAsia" w:hAnsiTheme="minorEastAsia" w:eastAsiaTheme="minorEastAsia" w:cstheme="minorEastAsia"/>
                <w:b/>
                <w:sz w:val="24"/>
                <w:szCs w:val="24"/>
              </w:rPr>
            </w:pPr>
          </w:p>
        </w:tc>
        <w:tc>
          <w:tcPr>
            <w:tcW w:w="900" w:type="dxa"/>
            <w:vAlign w:val="center"/>
          </w:tcPr>
          <w:p>
            <w:pP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适用耗材：0.2mL透明/磨砂/乳白PCR薄壁无裙边96孔板、0.2mL透明/磨砂/乳白PCR薄壁八联管，透明光学试管盖、0.2mL透明/磨砂/乳白PCR薄壁单管，透明光学试管盖</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反应体系：5uL~100uL</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电源规格：AC220V(±10%),50Hz,900VA</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通讯接口：TCP/IP协议，以太网连接</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4747" w:type="dxa"/>
            <w:vAlign w:val="center"/>
          </w:tcPr>
          <w:p>
            <w:pPr>
              <w:widowControl/>
              <w:textAlignment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rPr>
              <w:t>重量：42Kg</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外形尺寸：470mm(L)x355mm(W)x484mm(H)</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温控技术：半导体制冷片加热制冷技术</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温控范围：0.0℃~100.0℃</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温度准确性≤0.1℃</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模块控温精度≤ 0.1℃</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温度均匀性：±0.1℃</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▲13</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最大升温速率：6.1℃/s</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最大降温速率：5℃/s</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15</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温度梯度：支持</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16</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梯度范围：35.0℃~100.0℃</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17</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梯度跨度：宽度：1.0℃~40.0℃，温度数：12列</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温控程序：支持标准PCR、梯度PCR、降落PCR、长片段PCR等</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19</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热盖温控范围：40℃~110℃</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激发光源：高亮免维护LED灯</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21</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荧光检测器件：光电二极管</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▲22</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荧光扫描时间：7S完成6个荧光通道96个孔位的全部检测</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23</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样本重复性：Ct值CV ≤ 0.5%</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24</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样本线性：/r/≥0.999</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▲25</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显示：10.4寸全彩触摸显示屏，可脱离电脑独立运行</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26</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软件功能：支持绝对定量、相对定量分析、熔解曲线分析、高分辨熔解曲线（HRM）、基因SNP分型、终点荧光等分析功能。</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27</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语言支持：支持中/英文双语</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28</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数据存储：可存储 ≥1000个实验设置文件/实验数据文件</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29</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远程控制：可实现一台主控计算机控制多台仪器</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▲30</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断电保护：瞬时断电保护，在仪器重启后继续运行未完成实验</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31</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单机分析结果：无需电脑，在仪器上就可分析实验数据</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32</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Lis系统：可支持医院Lis系统</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▲33</w:t>
            </w:r>
          </w:p>
        </w:tc>
        <w:tc>
          <w:tcPr>
            <w:tcW w:w="4747" w:type="dxa"/>
            <w:vAlign w:val="center"/>
          </w:tcPr>
          <w:p>
            <w:pPr>
              <w:widowControl/>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保修期：整机保修至少3年</w:t>
            </w:r>
          </w:p>
        </w:tc>
        <w:tc>
          <w:tcPr>
            <w:tcW w:w="1687" w:type="dxa"/>
            <w:vAlign w:val="center"/>
          </w:tcPr>
          <w:p>
            <w:pPr>
              <w:rPr>
                <w:rFonts w:hint="eastAsia" w:asciiTheme="minorEastAsia" w:hAnsiTheme="minorEastAsia" w:eastAsiaTheme="minorEastAsia" w:cstheme="minorEastAsia"/>
                <w:sz w:val="24"/>
                <w:szCs w:val="24"/>
              </w:rPr>
            </w:pPr>
          </w:p>
        </w:tc>
        <w:tc>
          <w:tcPr>
            <w:tcW w:w="900"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二、</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配置清单</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整机2套</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p>
        </w:tc>
        <w:tc>
          <w:tcPr>
            <w:tcW w:w="4747" w:type="dxa"/>
            <w:vAlign w:val="center"/>
          </w:tcPr>
          <w:p>
            <w:pPr>
              <w:widowControl/>
              <w:textAlignment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新型冠状病毒核酸快速检测系统1台，核酸检测分析仪1台，供配套使用</w:t>
            </w:r>
          </w:p>
        </w:tc>
        <w:tc>
          <w:tcPr>
            <w:tcW w:w="1687" w:type="dxa"/>
            <w:vAlign w:val="center"/>
          </w:tcPr>
          <w:p>
            <w:pPr>
              <w:widowControl/>
              <w:textAlignment w:val="center"/>
              <w:rPr>
                <w:rFonts w:hint="eastAsia" w:ascii="宋体" w:hAnsi="宋体" w:cs="宋体"/>
                <w:b w:val="0"/>
                <w:bCs/>
                <w:color w:val="auto"/>
                <w:sz w:val="21"/>
                <w:szCs w:val="21"/>
                <w:lang w:val="en-US" w:eastAsia="zh-CN"/>
              </w:rPr>
            </w:pPr>
          </w:p>
        </w:tc>
        <w:tc>
          <w:tcPr>
            <w:tcW w:w="900" w:type="dxa"/>
            <w:vAlign w:val="center"/>
          </w:tcPr>
          <w:p>
            <w:pPr>
              <w:widowControl/>
              <w:textAlignment w:val="center"/>
              <w:rPr>
                <w:rFonts w:hint="eastAsia" w:ascii="宋体" w:hAnsi="宋体" w:cs="宋体"/>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w:t>
            </w:r>
          </w:p>
        </w:tc>
        <w:tc>
          <w:tcPr>
            <w:tcW w:w="4747" w:type="dxa"/>
            <w:vAlign w:val="center"/>
          </w:tcPr>
          <w:p>
            <w:pPr>
              <w:widowControl/>
              <w:textAlignment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新型冠状病毒核酸快速检测系统技术参数要求</w:t>
            </w:r>
          </w:p>
        </w:tc>
        <w:tc>
          <w:tcPr>
            <w:tcW w:w="1687" w:type="dxa"/>
            <w:vAlign w:val="center"/>
          </w:tcPr>
          <w:p>
            <w:pPr>
              <w:widowControl/>
              <w:textAlignment w:val="center"/>
              <w:rPr>
                <w:rFonts w:hint="eastAsia" w:ascii="宋体" w:hAnsi="宋体" w:cs="宋体"/>
                <w:b w:val="0"/>
                <w:bCs/>
                <w:color w:val="auto"/>
                <w:sz w:val="21"/>
                <w:szCs w:val="21"/>
                <w:lang w:val="en-US" w:eastAsia="zh-CN"/>
              </w:rPr>
            </w:pPr>
          </w:p>
        </w:tc>
        <w:tc>
          <w:tcPr>
            <w:tcW w:w="900" w:type="dxa"/>
            <w:vAlign w:val="center"/>
          </w:tcPr>
          <w:p>
            <w:pPr>
              <w:widowControl/>
              <w:textAlignment w:val="center"/>
              <w:rPr>
                <w:rFonts w:hint="eastAsia" w:ascii="宋体" w:hAnsi="宋体" w:cs="宋体"/>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新型冠状病毒核酸快速检测系统，产品组成包括：主机、电源适配器及随机软件；其他配件包括：平板笔记本电脑、小型离心机。</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rPr>
              <w:t>3.1.1</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设备主机基于实时荧光定量PCR检测技术方法。</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3.1.2</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核酸快速检测系统光源：High Power LED，使用寿命不少于10年.</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3.1.3</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核酸快速检测系统检测头：高灵敏度光电二极管。</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3.1.4</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核酸快速检测系统加热制冷模块：陶瓷加热、空气浴冷。</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rPr>
              <w:t>3.1.5</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核酸快速检测系统升温速度：≥7.0℃/s；降温速度：≥1.5℃/s。</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3.1.6</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核酸快速检测系统温度精准性：≤±0.5℃。</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3.1.7</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核酸快速检测系统样本容量： 4×50uL 反应管</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rPr>
              <w:t>3.1.8</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核酸快速检测系统检测位为≥4个，每个检测位独立升降温控制模块，可单独设定PCR实验，各模块无干扰，实现样本随到随检。</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3.1.9</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核酸快速检测系统主机净重：≤5kg</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3.1.10</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核酸快速检测系统操作方式：半封闭模式。</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3.1.11</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核酸快速检测系统检测通道：4个，包括FAM/SYBR Green（470nm）/ HEX/VIC（525nm）/ ROX/TEXAS RED（580nm）/ CY5（635nm）</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rPr>
              <w:t>3.1.12</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样本处理：无需核酸提取纯化，可原始样本上样检测；手工操作少，在同一仪器内部全自动完成核酸裂解、释放、扩增、结果输出，一次开盖，避免密闭空间气溶胶污染。</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3.1.13</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适用样本：呼吸道拭子、痰液等；</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rPr>
              <w:t>3.1.14</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仪器及配套试剂具备有效期内的三类医疗器械注册证。</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rPr>
              <w:t>3.1.15</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完整检测时间：≤30分钟</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3.2</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售后</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3.2.1</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质保期不少于1年。</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3.2.2</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提供厂家售后承诺书。</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3.2.3</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提供装机及培训计划。</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w:t>
            </w:r>
          </w:p>
        </w:tc>
        <w:tc>
          <w:tcPr>
            <w:tcW w:w="4747" w:type="dxa"/>
            <w:vAlign w:val="center"/>
          </w:tcPr>
          <w:p>
            <w:pPr>
              <w:widowControl/>
              <w:textAlignment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核酸检测分析仪单通道技术参数要求</w:t>
            </w:r>
          </w:p>
        </w:tc>
        <w:tc>
          <w:tcPr>
            <w:tcW w:w="1687" w:type="dxa"/>
            <w:vAlign w:val="center"/>
          </w:tcPr>
          <w:p>
            <w:pPr>
              <w:widowControl/>
              <w:textAlignment w:val="center"/>
              <w:rPr>
                <w:rFonts w:hint="eastAsia" w:ascii="宋体" w:hAnsi="宋体" w:cs="宋体"/>
                <w:b w:val="0"/>
                <w:bCs/>
                <w:color w:val="auto"/>
                <w:sz w:val="21"/>
                <w:szCs w:val="21"/>
                <w:lang w:val="en-US" w:eastAsia="zh-CN"/>
              </w:rPr>
            </w:pPr>
          </w:p>
        </w:tc>
        <w:tc>
          <w:tcPr>
            <w:tcW w:w="900" w:type="dxa"/>
            <w:vAlign w:val="center"/>
          </w:tcPr>
          <w:p>
            <w:pPr>
              <w:widowControl/>
              <w:textAlignment w:val="center"/>
              <w:rPr>
                <w:rFonts w:hint="eastAsia" w:ascii="宋体" w:hAnsi="宋体" w:cs="宋体"/>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1、</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基本参数</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1.1</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注册证：三类医疗器械注册证和CE认证</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1.2</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反应体系：25ul/50ul</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1.3</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时间：最快15分钟输出检测结果</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1.4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自带存储：16G</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1.5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尺寸及重量：尺寸≤32cm*25cm*40cm，重量≤10kg</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2、</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温控参数</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2.1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升温速率：最快≥6.0℃/秒（50℃~90℃）</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2.2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降温速率：最快≥2.0℃/秒（50℃~90℃）</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2.3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加热/冷却技术：液态金属涂覆陶瓷加热/空气浴冷却</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2.4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温度控制：独立的加热模块可实现单模块控制</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2.5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温度精确度：±0.5℃（50℃~90℃）</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 xml:space="preserve">2.6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温度控制范围：室温±5℃~99℃</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3、</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光学参数</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3.1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激发光源：高能、长寿命的四色LED光源</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3.2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检测器：高灵敏度光电二极管</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3.3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检测方式：实时动态监测</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3.4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荧光检测通道：1通道</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3.5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适用染料：FAM；VIC；ROX；CY5</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3.6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灵敏度：可检测单拷贝基因</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3.7</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检出限：＜2nM（对于FAM/VIC/ROX/CY5）</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3.8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动态线性范围/线性度：8个或更多数量级/梯队线性回归系数R≥0.99</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4、</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软件参数</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4.1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界面语言：中英文切换</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4.2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分析软件登录途径：配套触摸屏</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4.3 </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程序运行：内置程序</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5、</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功能参数</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5.1</w:t>
            </w:r>
          </w:p>
        </w:tc>
        <w:tc>
          <w:tcPr>
            <w:tcW w:w="4747" w:type="dxa"/>
            <w:vAlign w:val="center"/>
          </w:tcPr>
          <w:p>
            <w:pPr>
              <w:widowControl/>
              <w:textAlignment w:val="center"/>
              <w:rPr>
                <w:rFonts w:hint="eastAsia" w:ascii="宋体" w:hAnsi="宋体" w:eastAsia="宋体" w:cs="宋体"/>
                <w:b w:val="0"/>
                <w:bCs/>
                <w:sz w:val="21"/>
                <w:szCs w:val="21"/>
                <w:lang w:val="en-US" w:eastAsia="zh-CN"/>
              </w:rPr>
            </w:pPr>
            <w:r>
              <w:rPr>
                <w:rFonts w:hint="eastAsia" w:ascii="宋体" w:hAnsi="宋体" w:eastAsia="宋体" w:cs="宋体"/>
                <w:sz w:val="21"/>
                <w:szCs w:val="21"/>
              </w:rPr>
              <w:t>快速易用：操作简单，集核酸提取、PCR扩增、结果解读和报告打印为一体，快速出具简单实验结果。</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5.2</w:t>
            </w:r>
          </w:p>
        </w:tc>
        <w:tc>
          <w:tcPr>
            <w:tcW w:w="4747" w:type="dxa"/>
            <w:vAlign w:val="center"/>
          </w:tcPr>
          <w:p>
            <w:pPr>
              <w:widowControl/>
              <w:textAlignment w:val="center"/>
              <w:rPr>
                <w:rFonts w:hint="eastAsia" w:ascii="宋体" w:hAnsi="宋体" w:eastAsia="宋体" w:cs="宋体"/>
                <w:sz w:val="21"/>
                <w:szCs w:val="21"/>
              </w:rPr>
            </w:pPr>
            <w:r>
              <w:rPr>
                <w:rFonts w:hint="eastAsia" w:ascii="宋体" w:hAnsi="宋体" w:eastAsia="宋体" w:cs="宋体"/>
                <w:sz w:val="21"/>
                <w:szCs w:val="21"/>
              </w:rPr>
              <w:t>支持单管多重qPCR检测</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6、</w:t>
            </w:r>
          </w:p>
        </w:tc>
        <w:tc>
          <w:tcPr>
            <w:tcW w:w="4747" w:type="dxa"/>
            <w:vAlign w:val="center"/>
          </w:tcPr>
          <w:p>
            <w:pPr>
              <w:widowControl/>
              <w:textAlignment w:val="center"/>
              <w:rPr>
                <w:rFonts w:hint="eastAsia" w:ascii="宋体" w:hAnsi="宋体" w:eastAsia="宋体" w:cs="宋体"/>
                <w:sz w:val="21"/>
                <w:szCs w:val="21"/>
              </w:rPr>
            </w:pPr>
            <w:r>
              <w:rPr>
                <w:rFonts w:hint="eastAsia" w:ascii="宋体" w:hAnsi="宋体" w:eastAsia="宋体" w:cs="宋体"/>
                <w:sz w:val="21"/>
                <w:szCs w:val="21"/>
              </w:rPr>
              <w:t>配套项目</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widowControl/>
              <w:textAlignment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6.1 </w:t>
            </w:r>
          </w:p>
        </w:tc>
        <w:tc>
          <w:tcPr>
            <w:tcW w:w="4747" w:type="dxa"/>
            <w:vAlign w:val="center"/>
          </w:tcPr>
          <w:p>
            <w:pPr>
              <w:widowControl/>
              <w:textAlignment w:val="center"/>
              <w:rPr>
                <w:rFonts w:hint="eastAsia" w:ascii="宋体" w:hAnsi="宋体" w:eastAsia="宋体" w:cs="宋体"/>
                <w:sz w:val="21"/>
                <w:szCs w:val="21"/>
              </w:rPr>
            </w:pPr>
            <w:r>
              <w:rPr>
                <w:rFonts w:hint="eastAsia" w:ascii="宋体" w:hAnsi="宋体" w:eastAsia="宋体" w:cs="宋体"/>
                <w:sz w:val="21"/>
                <w:szCs w:val="21"/>
              </w:rPr>
              <w:t>厂家提供8种以上的有NMPA三类证试剂，用于仪器的项目搭载</w:t>
            </w:r>
          </w:p>
        </w:tc>
        <w:tc>
          <w:tcPr>
            <w:tcW w:w="1687" w:type="dxa"/>
            <w:vAlign w:val="center"/>
          </w:tcPr>
          <w:p>
            <w:pPr>
              <w:widowControl/>
              <w:textAlignment w:val="center"/>
              <w:rPr>
                <w:rFonts w:hint="eastAsia" w:ascii="宋体" w:hAnsi="宋体" w:cs="宋体"/>
                <w:b w:val="0"/>
                <w:bCs/>
                <w:sz w:val="21"/>
                <w:szCs w:val="21"/>
                <w:lang w:val="en-US" w:eastAsia="zh-CN"/>
              </w:rPr>
            </w:pPr>
          </w:p>
        </w:tc>
        <w:tc>
          <w:tcPr>
            <w:tcW w:w="900" w:type="dxa"/>
            <w:vAlign w:val="center"/>
          </w:tcPr>
          <w:p>
            <w:pPr>
              <w:widowControl/>
              <w:textAlignment w:val="center"/>
              <w:rPr>
                <w:rFonts w:hint="eastAsia" w:ascii="宋体" w:hAnsi="宋体" w:cs="宋体"/>
                <w:b w:val="0"/>
                <w:bCs/>
                <w:sz w:val="21"/>
                <w:szCs w:val="21"/>
                <w:lang w:val="en-US" w:eastAsia="zh-CN"/>
              </w:rPr>
            </w:pPr>
          </w:p>
        </w:tc>
      </w:tr>
    </w:tbl>
    <w:p>
      <w:pPr>
        <w:keepNext w:val="0"/>
        <w:keepLines w:val="0"/>
        <w:pageBreakBefore w:val="0"/>
        <w:tabs>
          <w:tab w:val="left" w:pos="1080"/>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b/>
          <w:i/>
          <w:color w:val="0000FF"/>
          <w:sz w:val="24"/>
          <w:szCs w:val="24"/>
        </w:rPr>
      </w:pPr>
    </w:p>
    <w:p>
      <w:pPr>
        <w:tabs>
          <w:tab w:val="left" w:pos="1080"/>
        </w:tabs>
        <w:autoSpaceDE w:val="0"/>
        <w:autoSpaceDN w:val="0"/>
        <w:adjustRightInd w:val="0"/>
        <w:spacing w:line="360" w:lineRule="auto"/>
        <w:jc w:val="left"/>
        <w:rPr>
          <w:rFonts w:hint="eastAsia" w:asciiTheme="minorEastAsia" w:hAnsiTheme="minorEastAsia" w:eastAsiaTheme="minorEastAsia" w:cstheme="minorEastAsia"/>
          <w:b/>
          <w:i/>
          <w:color w:val="0000FF"/>
          <w:sz w:val="24"/>
          <w:szCs w:val="24"/>
        </w:rPr>
      </w:pPr>
    </w:p>
    <w:p>
      <w:pPr>
        <w:keepNext w:val="0"/>
        <w:keepLines w:val="0"/>
        <w:pageBreakBefore w:val="0"/>
        <w:kinsoku/>
        <w:overflowPunct/>
        <w:bidi w:val="0"/>
        <w:spacing w:beforeAutospacing="0" w:afterAutospacing="0" w:line="360" w:lineRule="auto"/>
        <w:ind w:firstLine="410" w:firstLineChars="171"/>
        <w:rPr>
          <w:rFonts w:hint="eastAsia" w:asciiTheme="minorEastAsia" w:hAnsiTheme="minorEastAsia" w:eastAsiaTheme="minorEastAsia" w:cstheme="minorEastAsia"/>
          <w:sz w:val="24"/>
          <w:szCs w:val="24"/>
        </w:rPr>
      </w:pPr>
    </w:p>
    <w:p>
      <w:pPr>
        <w:rPr>
          <w:rFonts w:hint="eastAsia"/>
        </w:rPr>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p>
    <w:p>
      <w:pPr>
        <w:pStyle w:val="2"/>
        <w:rPr>
          <w:rFonts w:hint="eastAsia"/>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b w:val="0"/>
          <w:bCs/>
          <w:sz w:val="24"/>
          <w:szCs w:val="24"/>
        </w:rPr>
      </w:pPr>
    </w:p>
    <w:p>
      <w:pPr>
        <w:pStyle w:val="3"/>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Cs w:val="44"/>
        </w:rPr>
      </w:pPr>
      <w:bookmarkStart w:id="264" w:name="_Toc3668"/>
      <w:r>
        <w:rPr>
          <w:rFonts w:hint="eastAsia" w:asciiTheme="minorEastAsia" w:hAnsiTheme="minorEastAsia" w:eastAsiaTheme="minorEastAsia" w:cstheme="minorEastAsia"/>
          <w:szCs w:val="44"/>
        </w:rPr>
        <w:t>第</w:t>
      </w:r>
      <w:r>
        <w:rPr>
          <w:rFonts w:hint="eastAsia" w:asciiTheme="minorEastAsia" w:hAnsiTheme="minorEastAsia" w:eastAsiaTheme="minorEastAsia" w:cstheme="minorEastAsia"/>
          <w:szCs w:val="44"/>
          <w:lang w:val="en-US" w:eastAsia="zh-CN"/>
        </w:rPr>
        <w:t>六</w:t>
      </w:r>
      <w:r>
        <w:rPr>
          <w:rFonts w:hint="eastAsia" w:asciiTheme="minorEastAsia" w:hAnsiTheme="minorEastAsia" w:eastAsiaTheme="minorEastAsia" w:cstheme="minorEastAsia"/>
          <w:szCs w:val="44"/>
        </w:rPr>
        <w:t>章 投标文件格式</w:t>
      </w:r>
      <w:bookmarkEnd w:id="255"/>
      <w:bookmarkEnd w:id="256"/>
      <w:bookmarkEnd w:id="257"/>
      <w:bookmarkEnd w:id="258"/>
      <w:bookmarkEnd w:id="264"/>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bCs/>
          <w:spacing w:val="-12"/>
          <w:sz w:val="48"/>
          <w:szCs w:val="36"/>
          <w:u w:val="none"/>
        </w:rPr>
      </w:pPr>
      <w:r>
        <w:rPr>
          <w:rFonts w:hint="eastAsia" w:asciiTheme="minorEastAsia" w:hAnsiTheme="minorEastAsia" w:eastAsiaTheme="minorEastAsia" w:cstheme="minorEastAsia"/>
          <w:bCs/>
          <w:spacing w:val="-12"/>
          <w:sz w:val="48"/>
          <w:szCs w:val="36"/>
          <w:u w:val="none"/>
        </w:rPr>
        <w:br w:type="page"/>
      </w: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Cs/>
          <w:spacing w:val="-12"/>
          <w:sz w:val="48"/>
          <w:szCs w:val="36"/>
          <w:u w:val="none"/>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Cs/>
          <w:spacing w:val="-12"/>
          <w:sz w:val="48"/>
          <w:szCs w:val="36"/>
          <w:u w:val="none"/>
          <w:lang w:val="en-US" w:eastAsia="zh-CN"/>
        </w:rPr>
      </w:pPr>
      <w:r>
        <w:rPr>
          <w:rFonts w:hint="eastAsia" w:asciiTheme="minorEastAsia" w:hAnsiTheme="minorEastAsia" w:eastAsiaTheme="minorEastAsia" w:cstheme="minorEastAsia"/>
          <w:bCs/>
          <w:spacing w:val="-12"/>
          <w:sz w:val="48"/>
          <w:szCs w:val="36"/>
          <w:u w:val="none"/>
          <w:lang w:val="en-US" w:eastAsia="zh-CN"/>
        </w:rPr>
        <w:t>复旦大学附属妇产科医院</w:t>
      </w: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Cs/>
          <w:spacing w:val="-12"/>
          <w:sz w:val="48"/>
          <w:szCs w:val="36"/>
          <w:lang w:eastAsia="zh-CN"/>
        </w:rPr>
      </w:pPr>
      <w:r>
        <w:rPr>
          <w:rFonts w:hint="eastAsia" w:asciiTheme="minorEastAsia" w:hAnsiTheme="minorEastAsia" w:eastAsiaTheme="minorEastAsia" w:cstheme="minorEastAsia"/>
          <w:bCs/>
          <w:spacing w:val="-12"/>
          <w:sz w:val="48"/>
          <w:szCs w:val="36"/>
          <w:u w:val="none"/>
          <w:lang w:eastAsia="zh-CN"/>
        </w:rPr>
        <w:t>多通道荧光定量基因扩增仪</w:t>
      </w: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snapToGrid w:val="0"/>
          <w:kern w:val="0"/>
          <w:sz w:val="72"/>
          <w:szCs w:val="80"/>
        </w:rPr>
      </w:pPr>
      <w:r>
        <w:rPr>
          <w:rFonts w:hint="eastAsia" w:asciiTheme="minorEastAsia" w:hAnsiTheme="minorEastAsia" w:eastAsiaTheme="minorEastAsia" w:cstheme="minorEastAsia"/>
          <w:snapToGrid w:val="0"/>
          <w:kern w:val="0"/>
          <w:sz w:val="72"/>
          <w:szCs w:val="80"/>
        </w:rPr>
        <w:t>投 标 文 件</w:t>
      </w:r>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b/>
          <w:snapToGrid w:val="0"/>
          <w:kern w:val="0"/>
          <w:sz w:val="56"/>
          <w:szCs w:val="72"/>
        </w:rPr>
      </w:pP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Cs/>
          <w:snapToGrid w:val="0"/>
          <w:kern w:val="0"/>
          <w:sz w:val="28"/>
          <w:szCs w:val="32"/>
          <w:lang w:eastAsia="zh-CN"/>
        </w:rPr>
      </w:pPr>
      <w:r>
        <w:rPr>
          <w:rFonts w:hint="eastAsia" w:asciiTheme="minorEastAsia" w:hAnsiTheme="minorEastAsia" w:eastAsiaTheme="minorEastAsia" w:cstheme="minorEastAsia"/>
          <w:bCs/>
          <w:snapToGrid w:val="0"/>
          <w:kern w:val="0"/>
          <w:sz w:val="28"/>
          <w:szCs w:val="32"/>
        </w:rPr>
        <w:t>招标编号：</w:t>
      </w:r>
      <w:r>
        <w:rPr>
          <w:rFonts w:hint="eastAsia" w:asciiTheme="minorEastAsia" w:hAnsiTheme="minorEastAsia" w:eastAsiaTheme="minorEastAsia" w:cstheme="minorEastAsia"/>
          <w:bCs/>
          <w:snapToGrid w:val="0"/>
          <w:kern w:val="0"/>
          <w:sz w:val="28"/>
          <w:szCs w:val="32"/>
          <w:u w:val="none"/>
        </w:rPr>
        <w:t>0613-</w:t>
      </w:r>
      <w:r>
        <w:rPr>
          <w:rFonts w:hint="eastAsia" w:asciiTheme="minorEastAsia" w:hAnsiTheme="minorEastAsia" w:eastAsiaTheme="minorEastAsia" w:cstheme="minorEastAsia"/>
          <w:bCs/>
          <w:snapToGrid w:val="0"/>
          <w:kern w:val="0"/>
          <w:sz w:val="28"/>
          <w:szCs w:val="32"/>
          <w:u w:val="none"/>
          <w:lang w:eastAsia="zh-CN"/>
        </w:rPr>
        <w:t>217123062652</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keepNext w:val="0"/>
        <w:keepLines w:val="0"/>
        <w:pageBreakBefore w:val="0"/>
        <w:kinsoku/>
        <w:overflowPunct/>
        <w:bidi w:val="0"/>
        <w:spacing w:beforeAutospacing="0" w:afterAutospacing="0" w:line="300" w:lineRule="auto"/>
        <w:jc w:val="center"/>
        <w:rPr>
          <w:rFonts w:hint="eastAsia" w:asciiTheme="minorEastAsia" w:hAnsiTheme="minorEastAsia" w:eastAsiaTheme="minorEastAsia" w:cstheme="minorEastAsia"/>
          <w:sz w:val="28"/>
          <w:szCs w:val="32"/>
        </w:rPr>
      </w:pPr>
      <w:r>
        <w:rPr>
          <w:rFonts w:hint="eastAsia" w:asciiTheme="minorEastAsia" w:hAnsiTheme="minorEastAsia" w:eastAsiaTheme="minorEastAsia" w:cstheme="minorEastAsia"/>
          <w:sz w:val="28"/>
          <w:szCs w:val="32"/>
        </w:rPr>
        <w:t>投 标 人：</w:t>
      </w:r>
      <w:r>
        <w:rPr>
          <w:rFonts w:hint="eastAsia" w:asciiTheme="minorEastAsia" w:hAnsiTheme="minorEastAsia" w:eastAsiaTheme="minorEastAsia" w:cstheme="minorEastAsia"/>
          <w:sz w:val="28"/>
          <w:szCs w:val="32"/>
          <w:u w:val="single"/>
        </w:rPr>
        <w:t xml:space="preserve">                        </w:t>
      </w:r>
      <w:r>
        <w:rPr>
          <w:rFonts w:hint="eastAsia" w:asciiTheme="minorEastAsia" w:hAnsiTheme="minorEastAsia" w:eastAsiaTheme="minorEastAsia" w:cstheme="minorEastAsia"/>
          <w:sz w:val="28"/>
          <w:szCs w:val="32"/>
        </w:rPr>
        <w:t>（盖单位公章）</w:t>
      </w:r>
    </w:p>
    <w:p>
      <w:pPr>
        <w:keepNext w:val="0"/>
        <w:keepLines w:val="0"/>
        <w:pageBreakBefore w:val="0"/>
        <w:kinsoku/>
        <w:overflowPunct/>
        <w:bidi w:val="0"/>
        <w:spacing w:beforeAutospacing="0" w:afterAutospacing="0" w:line="300" w:lineRule="auto"/>
        <w:jc w:val="center"/>
        <w:rPr>
          <w:rFonts w:hint="eastAsia" w:asciiTheme="minorEastAsia" w:hAnsiTheme="minorEastAsia" w:eastAsiaTheme="minorEastAsia" w:cstheme="minorEastAsia"/>
          <w:sz w:val="28"/>
          <w:szCs w:val="32"/>
        </w:rPr>
      </w:pPr>
      <w:r>
        <w:rPr>
          <w:rFonts w:hint="eastAsia" w:asciiTheme="minorEastAsia" w:hAnsiTheme="minorEastAsia" w:eastAsiaTheme="minorEastAsia" w:cstheme="minorEastAsia"/>
          <w:sz w:val="28"/>
          <w:szCs w:val="32"/>
        </w:rPr>
        <w:t xml:space="preserve"> </w:t>
      </w: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sz w:val="28"/>
          <w:szCs w:val="32"/>
        </w:rPr>
      </w:pPr>
      <w:r>
        <w:rPr>
          <w:rFonts w:hint="eastAsia" w:asciiTheme="minorEastAsia" w:hAnsiTheme="minorEastAsia" w:eastAsiaTheme="minorEastAsia" w:cstheme="minorEastAsia"/>
          <w:sz w:val="28"/>
          <w:szCs w:val="32"/>
          <w:u w:val="single"/>
        </w:rPr>
        <w:t xml:space="preserve">      </w:t>
      </w:r>
      <w:r>
        <w:rPr>
          <w:rFonts w:hint="eastAsia" w:asciiTheme="minorEastAsia" w:hAnsiTheme="minorEastAsia" w:eastAsiaTheme="minorEastAsia" w:cstheme="minorEastAsia"/>
          <w:sz w:val="28"/>
          <w:szCs w:val="32"/>
        </w:rPr>
        <w:t>年</w:t>
      </w:r>
      <w:r>
        <w:rPr>
          <w:rFonts w:hint="eastAsia" w:asciiTheme="minorEastAsia" w:hAnsiTheme="minorEastAsia" w:eastAsiaTheme="minorEastAsia" w:cstheme="minorEastAsia"/>
          <w:sz w:val="28"/>
          <w:szCs w:val="32"/>
          <w:u w:val="single"/>
        </w:rPr>
        <w:t xml:space="preserve">      </w:t>
      </w:r>
      <w:r>
        <w:rPr>
          <w:rFonts w:hint="eastAsia" w:asciiTheme="minorEastAsia" w:hAnsiTheme="minorEastAsia" w:eastAsiaTheme="minorEastAsia" w:cstheme="minorEastAsia"/>
          <w:sz w:val="28"/>
          <w:szCs w:val="32"/>
        </w:rPr>
        <w:t>月</w:t>
      </w:r>
      <w:r>
        <w:rPr>
          <w:rFonts w:hint="eastAsia" w:asciiTheme="minorEastAsia" w:hAnsiTheme="minorEastAsia" w:eastAsiaTheme="minorEastAsia" w:cstheme="minorEastAsia"/>
          <w:sz w:val="28"/>
          <w:szCs w:val="32"/>
          <w:u w:val="single"/>
        </w:rPr>
        <w:t xml:space="preserve">      </w:t>
      </w:r>
      <w:r>
        <w:rPr>
          <w:rFonts w:hint="eastAsia" w:asciiTheme="minorEastAsia" w:hAnsiTheme="minorEastAsia" w:eastAsiaTheme="minorEastAsia" w:cstheme="minorEastAsia"/>
          <w:sz w:val="28"/>
          <w:szCs w:val="32"/>
        </w:rPr>
        <w:t>日</w:t>
      </w: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br w:type="page"/>
      </w:r>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bookmarkStart w:id="265" w:name="_Toc457748049"/>
      <w:bookmarkStart w:id="266" w:name="_Toc19758"/>
      <w:bookmarkStart w:id="267" w:name="_Toc30929"/>
      <w:bookmarkStart w:id="268" w:name="_Toc392227906"/>
      <w:r>
        <w:rPr>
          <w:rFonts w:hint="eastAsia" w:asciiTheme="minorEastAsia" w:hAnsiTheme="minorEastAsia" w:eastAsiaTheme="minorEastAsia" w:cstheme="minorEastAsia"/>
          <w:sz w:val="30"/>
          <w:szCs w:val="30"/>
        </w:rPr>
        <w:t>目  录</w:t>
      </w:r>
      <w:bookmarkEnd w:id="265"/>
      <w:bookmarkEnd w:id="266"/>
      <w:bookmarkEnd w:id="267"/>
      <w:bookmarkEnd w:id="268"/>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szCs w:val="24"/>
        </w:rPr>
      </w:pPr>
      <w:bookmarkStart w:id="269" w:name="_Toc352691655"/>
      <w:bookmarkStart w:id="270" w:name="_Toc7039"/>
      <w:bookmarkStart w:id="271" w:name="_Toc369531691"/>
      <w:r>
        <w:rPr>
          <w:rFonts w:hint="eastAsia" w:asciiTheme="minorEastAsia" w:hAnsiTheme="minorEastAsia" w:eastAsiaTheme="minorEastAsia" w:cstheme="minorEastAsia"/>
          <w:b/>
          <w:szCs w:val="21"/>
        </w:rPr>
        <w:t>编制详细的目录</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szCs w:val="24"/>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szCs w:val="24"/>
        </w:rPr>
      </w:pPr>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24"/>
          <w:szCs w:val="24"/>
        </w:rPr>
        <w:br w:type="page"/>
      </w:r>
      <w:bookmarkEnd w:id="269"/>
      <w:bookmarkEnd w:id="270"/>
      <w:bookmarkEnd w:id="271"/>
      <w:bookmarkStart w:id="272" w:name="_Toc15634"/>
      <w:bookmarkStart w:id="273" w:name="_Toc392227907"/>
      <w:bookmarkStart w:id="274" w:name="_Toc6161"/>
      <w:bookmarkStart w:id="275" w:name="_Toc457748050"/>
      <w:r>
        <w:rPr>
          <w:rFonts w:hint="eastAsia" w:asciiTheme="minorEastAsia" w:hAnsiTheme="minorEastAsia" w:eastAsiaTheme="minorEastAsia" w:cstheme="minorEastAsia"/>
          <w:sz w:val="30"/>
          <w:szCs w:val="30"/>
        </w:rPr>
        <w:t>投标</w:t>
      </w:r>
      <w:bookmarkStart w:id="276" w:name="_Toc6931"/>
      <w:bookmarkStart w:id="277" w:name="_Toc369531692"/>
      <w:bookmarkStart w:id="278" w:name="_Toc352691656"/>
      <w:r>
        <w:rPr>
          <w:rFonts w:hint="eastAsia" w:asciiTheme="minorEastAsia" w:hAnsiTheme="minorEastAsia" w:eastAsiaTheme="minorEastAsia" w:cstheme="minorEastAsia"/>
          <w:sz w:val="30"/>
          <w:szCs w:val="30"/>
        </w:rPr>
        <w:t>函</w:t>
      </w:r>
      <w:bookmarkEnd w:id="272"/>
      <w:bookmarkEnd w:id="273"/>
      <w:bookmarkEnd w:id="274"/>
      <w:bookmarkEnd w:id="275"/>
    </w:p>
    <w:bookmarkEnd w:id="276"/>
    <w:bookmarkEnd w:id="277"/>
    <w:bookmarkEnd w:id="278"/>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复旦大学附属妇产科医院</w:t>
      </w:r>
      <w:r>
        <w:rPr>
          <w:rFonts w:hint="eastAsia" w:asciiTheme="minorEastAsia" w:hAnsiTheme="minorEastAsia" w:eastAsiaTheme="minorEastAsia" w:cstheme="minorEastAsia"/>
          <w:b/>
          <w:sz w:val="21"/>
          <w:szCs w:val="21"/>
        </w:rPr>
        <w:t>：</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1、我方已仔细研究了</w:t>
      </w:r>
      <w:r>
        <w:rPr>
          <w:rFonts w:hint="eastAsia" w:asciiTheme="minorEastAsia" w:hAnsiTheme="minorEastAsia" w:eastAsiaTheme="minorEastAsia" w:cstheme="minorEastAsia"/>
          <w:sz w:val="21"/>
          <w:szCs w:val="21"/>
          <w:u w:val="single"/>
          <w:lang w:eastAsia="zh-CN"/>
        </w:rPr>
        <w:t>多通道荧光定量基因扩增仪</w:t>
      </w:r>
      <w:r>
        <w:rPr>
          <w:rFonts w:hint="eastAsia" w:asciiTheme="minorEastAsia" w:hAnsiTheme="minorEastAsia" w:eastAsiaTheme="minorEastAsia" w:cstheme="minorEastAsia"/>
          <w:sz w:val="21"/>
          <w:szCs w:val="21"/>
        </w:rPr>
        <w:t xml:space="preserve"> 项目（招标编号：0613</w:t>
      </w:r>
      <w:r>
        <w:rPr>
          <w:rFonts w:hint="eastAsia" w:asciiTheme="minorEastAsia" w:hAnsiTheme="minorEastAsia" w:eastAsiaTheme="minorEastAsia" w:cstheme="minorEastAsia"/>
          <w:sz w:val="21"/>
          <w:szCs w:val="21"/>
          <w:u w:val="none"/>
        </w:rPr>
        <w:t>-</w:t>
      </w:r>
      <w:r>
        <w:rPr>
          <w:rFonts w:hint="eastAsia" w:asciiTheme="minorEastAsia" w:hAnsiTheme="minorEastAsia" w:eastAsiaTheme="minorEastAsia" w:cstheme="minorEastAsia"/>
          <w:sz w:val="21"/>
          <w:szCs w:val="21"/>
          <w:u w:val="none"/>
          <w:lang w:eastAsia="zh-CN"/>
        </w:rPr>
        <w:t>217123062652</w:t>
      </w:r>
      <w:r>
        <w:rPr>
          <w:rFonts w:hint="eastAsia" w:asciiTheme="minorEastAsia" w:hAnsiTheme="minorEastAsia" w:eastAsiaTheme="minorEastAsia" w:cstheme="minorEastAsia"/>
          <w:sz w:val="21"/>
          <w:szCs w:val="21"/>
          <w:u w:val="none"/>
        </w:rPr>
        <w:t>）的招标文件，包括补充文件（如有的话）的全部内容，</w:t>
      </w:r>
      <w:r>
        <w:rPr>
          <w:rFonts w:hint="eastAsia" w:ascii="宋体" w:hAnsi="宋体" w:eastAsia="宋体" w:cs="宋体"/>
          <w:szCs w:val="21"/>
        </w:rPr>
        <w:t>愿意以</w:t>
      </w:r>
      <w:r>
        <w:rPr>
          <w:rFonts w:hint="eastAsia" w:ascii="宋体" w:hAnsi="宋体" w:cs="宋体"/>
          <w:szCs w:val="21"/>
          <w:lang w:eastAsia="zh-CN"/>
        </w:rPr>
        <w:t>“</w:t>
      </w:r>
      <w:r>
        <w:rPr>
          <w:rFonts w:hint="eastAsia" w:ascii="宋体" w:hAnsi="宋体" w:cs="宋体"/>
          <w:szCs w:val="21"/>
          <w:lang w:val="en-US" w:eastAsia="zh-CN"/>
        </w:rPr>
        <w:t>开标一览表</w:t>
      </w:r>
      <w:r>
        <w:rPr>
          <w:rFonts w:hint="eastAsia" w:ascii="宋体" w:hAnsi="宋体" w:cs="宋体"/>
          <w:szCs w:val="21"/>
          <w:lang w:eastAsia="zh-CN"/>
        </w:rPr>
        <w:t>”</w:t>
      </w:r>
      <w:r>
        <w:rPr>
          <w:rFonts w:hint="eastAsia" w:ascii="宋体" w:hAnsi="宋体" w:eastAsia="宋体" w:cs="宋体"/>
          <w:szCs w:val="21"/>
        </w:rPr>
        <w:t>的投标总报价</w:t>
      </w:r>
      <w:r>
        <w:rPr>
          <w:rFonts w:hint="eastAsia" w:asciiTheme="minorEastAsia" w:hAnsiTheme="minorEastAsia" w:eastAsiaTheme="minorEastAsia" w:cstheme="minorEastAsia"/>
          <w:sz w:val="21"/>
          <w:szCs w:val="21"/>
        </w:rPr>
        <w:t>，提供本招标项目所需的货物及相关服务，并按合同约定履行义务。</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2、我方的投标文件包括下列内容：</w:t>
      </w:r>
    </w:p>
    <w:p>
      <w:pPr>
        <w:keepNext w:val="0"/>
        <w:keepLines w:val="0"/>
        <w:pageBreakBefore w:val="0"/>
        <w:kinsoku/>
        <w:overflowPunct/>
        <w:bidi w:val="0"/>
        <w:spacing w:beforeAutospacing="0" w:afterAutospacing="0" w:line="360" w:lineRule="auto"/>
        <w:ind w:firstLine="4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（1）投标函；</w:t>
      </w:r>
    </w:p>
    <w:p>
      <w:pPr>
        <w:keepNext w:val="0"/>
        <w:keepLines w:val="0"/>
        <w:pageBreakBefore w:val="0"/>
        <w:kinsoku/>
        <w:overflowPunct/>
        <w:bidi w:val="0"/>
        <w:spacing w:beforeAutospacing="0" w:afterAutospacing="0" w:line="360" w:lineRule="auto"/>
        <w:ind w:firstLine="4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（2）已按照招标文件要求递交投标保证金；</w:t>
      </w:r>
    </w:p>
    <w:p>
      <w:pPr>
        <w:keepNext w:val="0"/>
        <w:keepLines w:val="0"/>
        <w:pageBreakBefore w:val="0"/>
        <w:kinsoku/>
        <w:overflowPunct/>
        <w:bidi w:val="0"/>
        <w:spacing w:beforeAutospacing="0" w:afterAutospacing="0" w:line="360" w:lineRule="auto"/>
        <w:ind w:firstLine="4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（3）按招标文件要求提供的全部文件。</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3、我方承诺除商务和技术偏差表列出的偏差外，我方响应招标文件的全部要求。</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4、我方投标的有效期为</w:t>
      </w:r>
      <w:r>
        <w:rPr>
          <w:rFonts w:hint="eastAsia" w:asciiTheme="minorEastAsia" w:hAnsiTheme="minorEastAsia" w:eastAsiaTheme="minorEastAsia" w:cstheme="minorEastAsia"/>
          <w:sz w:val="21"/>
          <w:szCs w:val="21"/>
          <w:lang w:val="en-US" w:eastAsia="zh-CN"/>
        </w:rPr>
        <w:t>90</w:t>
      </w:r>
      <w:r>
        <w:rPr>
          <w:rFonts w:hint="eastAsia" w:asciiTheme="minorEastAsia" w:hAnsiTheme="minorEastAsia" w:eastAsiaTheme="minorEastAsia" w:cstheme="minorEastAsia"/>
          <w:sz w:val="21"/>
          <w:szCs w:val="21"/>
        </w:rPr>
        <w:t>个日历日，并承诺在此投标有效期内不撤销投标文件。</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5、我方完全理解贵方不一定要接受最低价的投标或收到的任何投标。</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6、如我方中标，我方承诺：</w:t>
      </w:r>
    </w:p>
    <w:p>
      <w:pPr>
        <w:keepNext w:val="0"/>
        <w:keepLines w:val="0"/>
        <w:pageBreakBefore w:val="0"/>
        <w:kinsoku/>
        <w:overflowPunct/>
        <w:bidi w:val="0"/>
        <w:spacing w:beforeAutospacing="0" w:afterAutospacing="0" w:line="360" w:lineRule="auto"/>
        <w:ind w:left="945" w:leftChars="400" w:hanging="105" w:hanging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（1）在收到中标通知书后，在规定的期限内与贵方签订合同；</w:t>
      </w:r>
    </w:p>
    <w:p>
      <w:pPr>
        <w:keepNext w:val="0"/>
        <w:keepLines w:val="0"/>
        <w:pageBreakBefore w:val="0"/>
        <w:kinsoku/>
        <w:overflowPunct/>
        <w:bidi w:val="0"/>
        <w:spacing w:beforeAutospacing="0" w:afterAutospacing="0" w:line="360" w:lineRule="auto"/>
        <w:ind w:left="945" w:leftChars="400" w:hanging="105" w:hanging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（2）在签订合同时不向贵方提出附加条件；</w:t>
      </w:r>
    </w:p>
    <w:p>
      <w:pPr>
        <w:keepNext w:val="0"/>
        <w:keepLines w:val="0"/>
        <w:pageBreakBefore w:val="0"/>
        <w:kinsoku/>
        <w:overflowPunct/>
        <w:bidi w:val="0"/>
        <w:spacing w:beforeAutospacing="0" w:afterAutospacing="0" w:line="360" w:lineRule="auto"/>
        <w:ind w:left="945" w:leftChars="400" w:hanging="105" w:hanging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（3）按照招标文件要求提交履约保证金；</w:t>
      </w:r>
      <w:bookmarkStart w:id="279" w:name="_Toc1187"/>
      <w:bookmarkStart w:id="280" w:name="_Toc369531694"/>
      <w:bookmarkStart w:id="281" w:name="_Toc352691658"/>
    </w:p>
    <w:p>
      <w:pPr>
        <w:keepNext w:val="0"/>
        <w:keepLines w:val="0"/>
        <w:pageBreakBefore w:val="0"/>
        <w:kinsoku/>
        <w:overflowPunct/>
        <w:bidi w:val="0"/>
        <w:spacing w:beforeAutospacing="0" w:afterAutospacing="0" w:line="360" w:lineRule="auto"/>
        <w:ind w:left="945" w:leftChars="400" w:hanging="105" w:hanging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（4）在合</w:t>
      </w:r>
      <w:bookmarkEnd w:id="279"/>
      <w:bookmarkEnd w:id="280"/>
      <w:bookmarkEnd w:id="281"/>
      <w:r>
        <w:rPr>
          <w:rFonts w:hint="eastAsia" w:asciiTheme="minorEastAsia" w:hAnsiTheme="minorEastAsia" w:eastAsiaTheme="minorEastAsia" w:cstheme="minorEastAsia"/>
          <w:sz w:val="21"/>
          <w:szCs w:val="21"/>
        </w:rPr>
        <w:t>同约定的期限内完成合同规定的全部义务。</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7、我方在此声明，所递交的投标文件及有关资料内容完整、真实和准确，且不存在第一章“投标邀请”3.5和3.7所列的任何一种情形。</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（其他补充说明）。</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p>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法定代表人或其委托代理人姓名、职务（印刷体）：_______________</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电子邮件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w:t>
      </w:r>
      <w:r>
        <w:rPr>
          <w:rFonts w:hint="eastAsia" w:asciiTheme="minorEastAsia" w:hAnsiTheme="minorEastAsia" w:eastAsiaTheme="minorEastAsia" w:cstheme="minorEastAsia"/>
          <w:sz w:val="21"/>
          <w:szCs w:val="21"/>
          <w:u w:val="single"/>
        </w:rPr>
        <w:t xml:space="preserve">         </w:t>
      </w:r>
      <w:bookmarkStart w:id="282" w:name="_Toc369531695"/>
      <w:bookmarkStart w:id="283" w:name="_Toc352691659"/>
      <w:bookmarkStart w:id="284" w:name="_Toc16568"/>
      <w:r>
        <w:rPr>
          <w:rFonts w:hint="eastAsia" w:asciiTheme="minorEastAsia" w:hAnsiTheme="minorEastAsia" w:eastAsiaTheme="minorEastAsia" w:cstheme="minorEastAsia"/>
          <w:sz w:val="21"/>
          <w:szCs w:val="21"/>
          <w:u w:val="single"/>
        </w:rPr>
        <w:t xml:space="preserve">   </w:t>
      </w:r>
      <w:bookmarkEnd w:id="282"/>
      <w:bookmarkEnd w:id="283"/>
      <w:bookmarkEnd w:id="284"/>
      <w:r>
        <w:rPr>
          <w:rFonts w:hint="eastAsia" w:asciiTheme="minorEastAsia" w:hAnsiTheme="minorEastAsia" w:eastAsiaTheme="minorEastAsia" w:cstheme="minorEastAsia"/>
          <w:sz w:val="21"/>
          <w:szCs w:val="21"/>
          <w:u w:val="single"/>
        </w:rPr>
        <w:t xml:space="preserve">     </w:t>
      </w:r>
      <w:bookmarkStart w:id="285" w:name="_Toc16824"/>
      <w:bookmarkStart w:id="286" w:name="_Toc352691660"/>
      <w:bookmarkStart w:id="287" w:name="_Toc369531696"/>
      <w:r>
        <w:rPr>
          <w:rFonts w:hint="eastAsia" w:asciiTheme="minorEastAsia" w:hAnsiTheme="minorEastAsia" w:eastAsiaTheme="minorEastAsia" w:cstheme="minorEastAsia"/>
          <w:sz w:val="21"/>
          <w:szCs w:val="21"/>
          <w:u w:val="single"/>
        </w:rPr>
        <w:t xml:space="preserve">           </w:t>
      </w:r>
      <w:bookmarkEnd w:id="285"/>
      <w:bookmarkEnd w:id="286"/>
      <w:bookmarkEnd w:id="287"/>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邮政编码：</w:t>
      </w:r>
      <w:r>
        <w:rPr>
          <w:rFonts w:hint="eastAsia" w:asciiTheme="minorEastAsia" w:hAnsiTheme="minorEastAsia" w:eastAsiaTheme="minorEastAsia" w:cstheme="minorEastAsia"/>
          <w:sz w:val="21"/>
          <w:szCs w:val="21"/>
          <w:u w:val="single"/>
        </w:rPr>
        <w:t xml:space="preserve">    </w:t>
      </w:r>
      <w:bookmarkEnd w:id="246"/>
      <w:bookmarkEnd w:id="247"/>
      <w:bookmarkEnd w:id="248"/>
      <w:bookmarkEnd w:id="249"/>
      <w:bookmarkEnd w:id="250"/>
      <w:bookmarkEnd w:id="251"/>
      <w:bookmarkEnd w:id="252"/>
      <w:bookmarkEnd w:id="253"/>
      <w:bookmarkEnd w:id="254"/>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kinsoku/>
        <w:wordWrap w:val="0"/>
        <w:overflowPunct/>
        <w:bidi w:val="0"/>
        <w:spacing w:beforeAutospacing="0" w:afterAutospacing="0" w:line="360" w:lineRule="auto"/>
        <w:ind w:firstLine="4725" w:firstLineChars="225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szCs w:val="24"/>
        </w:rPr>
      </w:pPr>
    </w:p>
    <w:p>
      <w:pPr>
        <w:pStyle w:val="4"/>
        <w:keepNext w:val="0"/>
        <w:keepLines w:val="0"/>
        <w:pageBreakBefore w:val="0"/>
        <w:kinsoku/>
        <w:overflowPunct/>
        <w:bidi w:val="0"/>
        <w:spacing w:before="0" w:beforeLines="0" w:beforeAutospacing="0" w:after="0" w:afterLines="0" w:afterAutospacing="0" w:line="360" w:lineRule="auto"/>
        <w:jc w:val="center"/>
        <w:outlineLvl w:val="1"/>
        <w:rPr>
          <w:rFonts w:hint="eastAsia" w:asciiTheme="minorEastAsia" w:hAnsiTheme="minorEastAsia" w:eastAsiaTheme="minorEastAsia" w:cstheme="minorEastAsia"/>
          <w:sz w:val="30"/>
          <w:szCs w:val="30"/>
        </w:rPr>
      </w:pPr>
      <w:bookmarkStart w:id="288" w:name="_Toc300835209"/>
      <w:bookmarkStart w:id="289" w:name="_Toc17960"/>
      <w:bookmarkStart w:id="290" w:name="_Toc384308375"/>
      <w:bookmarkStart w:id="291" w:name="_Toc152042576"/>
      <w:bookmarkStart w:id="292" w:name="_Toc152045787"/>
      <w:bookmarkStart w:id="293" w:name="_Toc352691661"/>
      <w:bookmarkStart w:id="294" w:name="_Toc369531697"/>
      <w:bookmarkStart w:id="295" w:name="_Toc361508752"/>
      <w:bookmarkStart w:id="296" w:name="_Toc247514246"/>
      <w:bookmarkStart w:id="297" w:name="_Toc144974856"/>
      <w:bookmarkStart w:id="298" w:name="_Toc247527827"/>
      <w:r>
        <w:rPr>
          <w:rFonts w:hint="eastAsia" w:asciiTheme="minorEastAsia" w:hAnsiTheme="minorEastAsia" w:eastAsiaTheme="minorEastAsia" w:cstheme="minorEastAsia"/>
          <w:sz w:val="24"/>
          <w:szCs w:val="24"/>
        </w:rPr>
        <w:br w:type="page"/>
      </w:r>
      <w:bookmarkStart w:id="299" w:name="_Toc26392"/>
      <w:bookmarkStart w:id="300" w:name="_Toc457748051"/>
      <w:bookmarkStart w:id="301" w:name="_Toc23036"/>
      <w:r>
        <w:rPr>
          <w:rFonts w:hint="eastAsia" w:asciiTheme="minorEastAsia" w:hAnsiTheme="minorEastAsia" w:eastAsiaTheme="minorEastAsia" w:cstheme="minorEastAsia"/>
          <w:sz w:val="30"/>
          <w:szCs w:val="30"/>
        </w:rPr>
        <w:t>投标保证金</w:t>
      </w:r>
      <w:bookmarkEnd w:id="299"/>
      <w:bookmarkEnd w:id="300"/>
      <w:bookmarkEnd w:id="301"/>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
          <w:sz w:val="24"/>
          <w:szCs w:val="24"/>
        </w:rPr>
      </w:pPr>
    </w:p>
    <w:p>
      <w:pPr>
        <w:spacing w:line="360" w:lineRule="auto"/>
        <w:jc w:val="center"/>
        <w:rPr>
          <w:rFonts w:hint="eastAsia" w:asciiTheme="minorEastAsia" w:hAnsiTheme="minorEastAsia" w:eastAsiaTheme="minorEastAsia" w:cstheme="minorEastAsia"/>
          <w:b/>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附投标保证金的交付凭</w:t>
      </w:r>
      <w:r>
        <w:rPr>
          <w:rFonts w:hint="eastAsia" w:asciiTheme="minorEastAsia" w:hAnsiTheme="minorEastAsia" w:eastAsiaTheme="minorEastAsia" w:cstheme="minorEastAsia"/>
          <w:color w:val="auto"/>
          <w:sz w:val="24"/>
          <w:szCs w:val="24"/>
        </w:rPr>
        <w:t>证（以下二选一）：</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1）网上支付、贷记凭证、电汇的底单</w:t>
      </w:r>
      <w:bookmarkStart w:id="302" w:name="OLE_LINK48"/>
      <w:r>
        <w:rPr>
          <w:rFonts w:hint="eastAsia" w:asciiTheme="minorEastAsia" w:hAnsiTheme="minorEastAsia" w:eastAsiaTheme="minorEastAsia" w:cstheme="minorEastAsia"/>
          <w:color w:val="auto"/>
          <w:sz w:val="24"/>
          <w:szCs w:val="24"/>
        </w:rPr>
        <w:t>复印件</w:t>
      </w:r>
      <w:bookmarkEnd w:id="302"/>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2）银行保函的复印件。</w:t>
      </w:r>
    </w:p>
    <w:p>
      <w:pPr>
        <w:keepNext w:val="0"/>
        <w:keepLines w:val="0"/>
        <w:pageBreakBefore w:val="0"/>
        <w:kinsoku/>
        <w:overflowPunct/>
        <w:bidi w:val="0"/>
        <w:spacing w:beforeAutospacing="0" w:afterAutospacing="0" w:line="360" w:lineRule="auto"/>
        <w:ind w:firstLine="480" w:firstLineChars="200"/>
        <w:rPr>
          <w:rFonts w:hint="eastAsia" w:asciiTheme="minorEastAsia" w:hAnsiTheme="minorEastAsia" w:eastAsiaTheme="minorEastAsia" w:cstheme="minorEastAsia"/>
          <w:sz w:val="24"/>
          <w:szCs w:val="24"/>
        </w:rPr>
      </w:pPr>
    </w:p>
    <w:p>
      <w:pPr>
        <w:pStyle w:val="4"/>
        <w:keepNext w:val="0"/>
        <w:keepLines w:val="0"/>
        <w:pageBreakBefore w:val="0"/>
        <w:kinsoku/>
        <w:overflowPunct/>
        <w:bidi w:val="0"/>
        <w:spacing w:before="0" w:beforeLines="0" w:beforeAutospacing="0" w:after="0" w:afterLines="0" w:afterAutospacing="0" w:line="360" w:lineRule="auto"/>
        <w:jc w:val="center"/>
        <w:outlineLvl w:val="1"/>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val="0"/>
          <w:sz w:val="24"/>
          <w:szCs w:val="24"/>
        </w:rPr>
        <w:br w:type="page"/>
      </w:r>
      <w:bookmarkStart w:id="303" w:name="_Toc457748054"/>
      <w:bookmarkStart w:id="304" w:name="_Toc392227908"/>
      <w:bookmarkStart w:id="305" w:name="_Toc22168"/>
      <w:bookmarkStart w:id="306" w:name="_Toc10160"/>
      <w:bookmarkStart w:id="307" w:name="_Toc457748053"/>
      <w:r>
        <w:rPr>
          <w:rFonts w:hint="eastAsia" w:asciiTheme="minorEastAsia" w:hAnsiTheme="minorEastAsia" w:eastAsiaTheme="minorEastAsia" w:cstheme="minorEastAsia"/>
          <w:sz w:val="30"/>
          <w:szCs w:val="30"/>
        </w:rPr>
        <w:t>法定代表人（单位负责人）身份证明</w:t>
      </w:r>
      <w:bookmarkEnd w:id="303"/>
      <w:bookmarkEnd w:id="304"/>
      <w:bookmarkEnd w:id="305"/>
      <w:bookmarkEnd w:id="306"/>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单位性质：</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成立时间：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       经营期限：</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日至</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    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性     别：</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职     务：</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系</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（投标人名称）的法定代表人（单位负责人）。</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特此证明。</w:t>
      </w:r>
    </w:p>
    <w:p>
      <w:pPr>
        <w:keepNext w:val="0"/>
        <w:keepLines w:val="0"/>
        <w:pageBreakBefore w:val="0"/>
        <w:kinsoku/>
        <w:overflowPunct/>
        <w:bidi w:val="0"/>
        <w:spacing w:beforeAutospacing="0" w:afterAutospacing="0" w:line="360" w:lineRule="auto"/>
        <w:jc w:val="right"/>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keepNext w:val="0"/>
        <w:keepLines w:val="0"/>
        <w:pageBreakBefore w:val="0"/>
        <w:kinsoku/>
        <w:overflowPunct/>
        <w:bidi w:val="0"/>
        <w:spacing w:beforeAutospacing="0" w:afterAutospacing="0" w:line="360" w:lineRule="auto"/>
        <w:jc w:val="right"/>
        <w:rPr>
          <w:rFonts w:hint="eastAsia" w:asciiTheme="minorEastAsia" w:hAnsiTheme="minorEastAsia" w:eastAsiaTheme="minorEastAsia" w:cstheme="minorEastAsia"/>
          <w:sz w:val="21"/>
          <w:szCs w:val="21"/>
          <w:u w:val="single"/>
        </w:rPr>
      </w:pPr>
    </w:p>
    <w:p>
      <w:pPr>
        <w:keepNext w:val="0"/>
        <w:keepLines w:val="0"/>
        <w:pageBreakBefore w:val="0"/>
        <w:kinsoku/>
        <w:wordWrap w:val="0"/>
        <w:overflowPunct/>
        <w:bidi w:val="0"/>
        <w:spacing w:beforeAutospacing="0" w:afterAutospacing="0" w:line="360" w:lineRule="auto"/>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keepNext w:val="0"/>
        <w:keepLines w:val="0"/>
        <w:pageBreakBefore w:val="0"/>
        <w:kinsoku/>
        <w:overflowPunct/>
        <w:bidi w:val="0"/>
        <w:spacing w:beforeAutospacing="0" w:afterAutospacing="0" w:line="360" w:lineRule="auto"/>
        <w:ind w:firstLine="840" w:firstLineChars="400"/>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ind w:firstLine="42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法定代表人身份证复印件粘贴处：</w:t>
      </w:r>
    </w:p>
    <w:tbl>
      <w:tblPr>
        <w:tblStyle w:val="29"/>
        <w:tblpPr w:leftFromText="180" w:rightFromText="180" w:vertAnchor="text" w:horzAnchor="margin" w:tblpXSpec="center" w:tblpY="506"/>
        <w:tblOverlap w:val="never"/>
        <w:tblW w:w="5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trPr>
        <w:tc>
          <w:tcPr>
            <w:tcW w:w="5784" w:type="dxa"/>
            <w:vAlign w:val="top"/>
          </w:tcPr>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在此粘贴身份证复印件</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p>
        </w:tc>
      </w:tr>
    </w:tbl>
    <w:p>
      <w:pPr>
        <w:keepNext w:val="0"/>
        <w:keepLines w:val="0"/>
        <w:pageBreakBefore w:val="0"/>
        <w:kinsoku/>
        <w:overflowPunct/>
        <w:bidi w:val="0"/>
        <w:spacing w:beforeAutospacing="0" w:afterAutospacing="0" w:line="360" w:lineRule="auto"/>
        <w:ind w:firstLine="600" w:firstLineChars="200"/>
        <w:jc w:val="center"/>
        <w:outlineLvl w:val="1"/>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sz w:val="30"/>
          <w:szCs w:val="30"/>
        </w:rPr>
        <w:br w:type="page"/>
      </w:r>
      <w:bookmarkStart w:id="308" w:name="OLE_LINK2"/>
      <w:bookmarkStart w:id="309" w:name="OLE_LINK1"/>
      <w:bookmarkStart w:id="310" w:name="_Toc21167"/>
      <w:bookmarkStart w:id="311" w:name="_Toc21838"/>
      <w:r>
        <w:rPr>
          <w:rFonts w:hint="eastAsia" w:asciiTheme="minorEastAsia" w:hAnsiTheme="minorEastAsia" w:eastAsiaTheme="minorEastAsia" w:cstheme="minorEastAsia"/>
          <w:b/>
          <w:sz w:val="30"/>
          <w:szCs w:val="30"/>
        </w:rPr>
        <w:t>法定代表人（单位负责人）授权委托书</w:t>
      </w:r>
      <w:bookmarkEnd w:id="308"/>
      <w:bookmarkEnd w:id="309"/>
      <w:bookmarkEnd w:id="310"/>
      <w:bookmarkEnd w:id="311"/>
    </w:p>
    <w:p>
      <w:pPr>
        <w:keepNext w:val="0"/>
        <w:keepLines w:val="0"/>
        <w:pageBreakBefore w:val="0"/>
        <w:kinsoku/>
        <w:overflowPunct/>
        <w:bidi w:val="0"/>
        <w:spacing w:beforeAutospacing="0" w:afterAutospacing="0" w:line="360" w:lineRule="auto"/>
        <w:ind w:firstLine="602" w:firstLineChars="200"/>
        <w:jc w:val="center"/>
        <w:rPr>
          <w:rFonts w:hint="eastAsia" w:asciiTheme="minorEastAsia" w:hAnsiTheme="minorEastAsia" w:eastAsiaTheme="minorEastAsia" w:cstheme="minorEastAsia"/>
          <w:b/>
          <w:sz w:val="30"/>
          <w:szCs w:val="30"/>
        </w:rPr>
      </w:pP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（姓名）系</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（投标人名称）的法定代表人（单位负责人），现授权</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（姓名）为我方代理人。代理人根据授权，以我方名义签署、澄清、说明、补正、提交、撤回、修改</w:t>
      </w:r>
      <w:r>
        <w:rPr>
          <w:rFonts w:hint="eastAsia" w:asciiTheme="minorEastAsia" w:hAnsiTheme="minorEastAsia" w:eastAsiaTheme="minorEastAsia" w:cstheme="minorEastAsia"/>
          <w:sz w:val="21"/>
          <w:szCs w:val="21"/>
          <w:u w:val="single"/>
          <w:lang w:eastAsia="zh-CN"/>
        </w:rPr>
        <w:t>多通道荧光定量基因扩增仪、招标编号0613-217123062652</w:t>
      </w:r>
      <w:r>
        <w:rPr>
          <w:rFonts w:hint="eastAsia" w:asciiTheme="minorEastAsia" w:hAnsiTheme="minorEastAsia" w:eastAsiaTheme="minorEastAsia" w:cstheme="minorEastAsia"/>
          <w:sz w:val="21"/>
          <w:szCs w:val="21"/>
        </w:rPr>
        <w:t>投标文件、签订合同和处理有关事宜，其法律后果由我方承担。</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委托期限：</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ind w:firstLine="1260" w:firstLineChars="6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代理人无转委托权。</w:t>
      </w:r>
    </w:p>
    <w:p>
      <w:pPr>
        <w:keepNext w:val="0"/>
        <w:keepLines w:val="0"/>
        <w:pageBreakBefore w:val="0"/>
        <w:kinsoku/>
        <w:overflowPunct/>
        <w:bidi w:val="0"/>
        <w:spacing w:beforeAutospacing="0" w:afterAutospacing="0" w:line="360" w:lineRule="auto"/>
        <w:ind w:firstLine="3570" w:firstLineChars="1700"/>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法定代表人：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xml:space="preserve">    身份证号码：</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身份证号码：</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wordWrap w:val="0"/>
        <w:overflowPunct/>
        <w:bidi w:val="0"/>
        <w:spacing w:beforeAutospacing="0" w:afterAutospacing="0" w:line="360" w:lineRule="auto"/>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1"/>
          <w:szCs w:val="21"/>
        </w:rPr>
        <w:t>委托代理人身份证复印件粘贴处：</w:t>
      </w:r>
    </w:p>
    <w:tbl>
      <w:tblPr>
        <w:tblStyle w:val="29"/>
        <w:tblpPr w:leftFromText="180" w:rightFromText="180" w:vertAnchor="text" w:horzAnchor="margin" w:tblpXSpec="center" w:tblpY="506"/>
        <w:tblOverlap w:val="never"/>
        <w:tblW w:w="5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trPr>
        <w:tc>
          <w:tcPr>
            <w:tcW w:w="5784" w:type="dxa"/>
            <w:vAlign w:val="top"/>
          </w:tcPr>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在此粘贴身份证复印件</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p>
        </w:tc>
      </w:tr>
    </w:tbl>
    <w:p>
      <w:pPr>
        <w:pStyle w:val="4"/>
        <w:keepNext w:val="0"/>
        <w:keepLines w:val="0"/>
        <w:pageBreakBefore w:val="0"/>
        <w:kinsoku/>
        <w:overflowPunct/>
        <w:bidi w:val="0"/>
        <w:spacing w:before="0" w:beforeLines="0" w:beforeAutospacing="0" w:after="0" w:afterLines="0" w:afterAutospacing="0" w:line="360" w:lineRule="auto"/>
        <w:jc w:val="center"/>
        <w:outlineLvl w:val="1"/>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jc w:val="left"/>
        <w:rPr>
          <w:rFonts w:hint="eastAsia" w:asciiTheme="minorEastAsia" w:hAnsiTheme="minorEastAsia" w:eastAsiaTheme="minorEastAsia" w:cstheme="minorEastAsia"/>
          <w:sz w:val="30"/>
          <w:szCs w:val="30"/>
        </w:rPr>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bookmarkStart w:id="312" w:name="_Toc9467"/>
    </w:p>
    <w:p>
      <w:pPr>
        <w:bidi w:val="0"/>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开标一览表</w:t>
      </w:r>
      <w:bookmarkEnd w:id="307"/>
      <w:bookmarkEnd w:id="312"/>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投标人名称：</w:t>
      </w:r>
      <w:r>
        <w:rPr>
          <w:rFonts w:hint="eastAsia" w:asciiTheme="minorEastAsia" w:hAnsiTheme="minorEastAsia" w:eastAsiaTheme="minorEastAsia" w:cstheme="minorEastAsia"/>
          <w:sz w:val="21"/>
          <w:szCs w:val="21"/>
          <w:lang w:val="en-US" w:eastAsia="zh-CN"/>
        </w:rPr>
        <w:t>_________________</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lang w:eastAsia="zh-CN"/>
        </w:rPr>
        <w:t>多通道荧光定量基因扩增仪</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招标编号：0613-</w:t>
      </w:r>
      <w:r>
        <w:rPr>
          <w:rFonts w:hint="eastAsia" w:asciiTheme="minorEastAsia" w:hAnsiTheme="minorEastAsia" w:eastAsiaTheme="minorEastAsia" w:cstheme="minorEastAsia"/>
          <w:sz w:val="21"/>
          <w:szCs w:val="21"/>
          <w:lang w:eastAsia="zh-CN"/>
        </w:rPr>
        <w:t>217123062652</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auto"/>
          <w:sz w:val="21"/>
          <w:szCs w:val="21"/>
        </w:rPr>
        <w:t>单位：人民币元</w:t>
      </w:r>
    </w:p>
    <w:tbl>
      <w:tblPr>
        <w:tblStyle w:val="29"/>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03"/>
        <w:gridCol w:w="1495"/>
        <w:gridCol w:w="917"/>
        <w:gridCol w:w="873"/>
        <w:gridCol w:w="1703"/>
        <w:gridCol w:w="1321"/>
        <w:gridCol w:w="122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731" w:hRule="atLeast"/>
          <w:jc w:val="center"/>
        </w:trPr>
        <w:tc>
          <w:tcPr>
            <w:tcW w:w="80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495"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产品</w:t>
            </w:r>
            <w:r>
              <w:rPr>
                <w:rFonts w:hint="eastAsia" w:asciiTheme="minorEastAsia" w:hAnsiTheme="minorEastAsia" w:eastAsiaTheme="minorEastAsia" w:cstheme="minorEastAsia"/>
                <w:sz w:val="21"/>
                <w:szCs w:val="21"/>
              </w:rPr>
              <w:t>名称</w:t>
            </w:r>
          </w:p>
        </w:tc>
        <w:tc>
          <w:tcPr>
            <w:tcW w:w="917" w:type="dxa"/>
            <w:vAlign w:val="center"/>
          </w:tcPr>
          <w:p>
            <w:pPr>
              <w:pStyle w:val="45"/>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w:t>
            </w:r>
          </w:p>
        </w:tc>
        <w:tc>
          <w:tcPr>
            <w:tcW w:w="873" w:type="dxa"/>
            <w:vAlign w:val="center"/>
          </w:tcPr>
          <w:p>
            <w:pPr>
              <w:pStyle w:val="45"/>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70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制造商/原产地</w:t>
            </w:r>
          </w:p>
        </w:tc>
        <w:tc>
          <w:tcPr>
            <w:tcW w:w="1321"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投标价</w:t>
            </w:r>
          </w:p>
        </w:tc>
        <w:tc>
          <w:tcPr>
            <w:tcW w:w="1225"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交货期</w:t>
            </w:r>
          </w:p>
        </w:tc>
        <w:tc>
          <w:tcPr>
            <w:tcW w:w="108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32" w:hRule="exact"/>
          <w:jc w:val="center"/>
        </w:trPr>
        <w:tc>
          <w:tcPr>
            <w:tcW w:w="803" w:type="dxa"/>
            <w:vAlign w:val="center"/>
          </w:tcPr>
          <w:p>
            <w:pPr>
              <w:pStyle w:val="45"/>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9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917"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873"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703"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321"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225"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087"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exact"/>
          <w:jc w:val="center"/>
        </w:trPr>
        <w:tc>
          <w:tcPr>
            <w:tcW w:w="8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9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917"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873"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703" w:type="dxa"/>
            <w:vAlign w:val="top"/>
          </w:tcPr>
          <w:p>
            <w:pPr>
              <w:keepNext w:val="0"/>
              <w:keepLines w:val="0"/>
              <w:pageBreakBefore w:val="0"/>
              <w:kinsoku/>
              <w:overflowPunct/>
              <w:bidi w:val="0"/>
              <w:spacing w:beforeAutospacing="0" w:afterAutospacing="0" w:line="400" w:lineRule="exact"/>
              <w:ind w:firstLine="420" w:firstLineChars="200"/>
              <w:rPr>
                <w:rFonts w:hint="eastAsia" w:asciiTheme="minorEastAsia" w:hAnsiTheme="minorEastAsia" w:eastAsiaTheme="minorEastAsia" w:cstheme="minorEastAsia"/>
                <w:sz w:val="21"/>
                <w:szCs w:val="21"/>
              </w:rPr>
            </w:pPr>
          </w:p>
        </w:tc>
        <w:tc>
          <w:tcPr>
            <w:tcW w:w="1321"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225"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087"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exact"/>
          <w:jc w:val="center"/>
        </w:trPr>
        <w:tc>
          <w:tcPr>
            <w:tcW w:w="8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9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917"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873"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703"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321"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225"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c>
          <w:tcPr>
            <w:tcW w:w="1087" w:type="dxa"/>
            <w:vAlign w:val="top"/>
          </w:tcPr>
          <w:p>
            <w:pPr>
              <w:keepNext w:val="0"/>
              <w:keepLines w:val="0"/>
              <w:pageBreakBefore w:val="0"/>
              <w:kinsoku/>
              <w:overflowPunct/>
              <w:bidi w:val="0"/>
              <w:spacing w:beforeAutospacing="0" w:afterAutospacing="0" w:line="40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395" w:hRule="atLeast"/>
          <w:jc w:val="center"/>
        </w:trPr>
        <w:tc>
          <w:tcPr>
            <w:tcW w:w="9424" w:type="dxa"/>
            <w:gridSpan w:val="8"/>
            <w:vAlign w:val="top"/>
          </w:tcPr>
          <w:p>
            <w:pPr>
              <w:keepNext w:val="0"/>
              <w:keepLines w:val="0"/>
              <w:pageBreakBefore w:val="0"/>
              <w:kinsoku/>
              <w:overflowPunct/>
              <w:bidi w:val="0"/>
              <w:spacing w:beforeAutospacing="0" w:afterAutospacing="0" w:line="400" w:lineRule="exact"/>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合计：</w:t>
            </w:r>
          </w:p>
          <w:p>
            <w:pPr>
              <w:keepNext w:val="0"/>
              <w:keepLines w:val="0"/>
              <w:pageBreakBefore w:val="0"/>
              <w:kinsoku/>
              <w:overflowPunct/>
              <w:bidi w:val="0"/>
              <w:spacing w:beforeAutospacing="0" w:afterAutospacing="0" w:line="400" w:lineRule="exact"/>
              <w:ind w:firstLine="525" w:firstLineChars="2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小写：</w:t>
            </w:r>
          </w:p>
          <w:p>
            <w:pPr>
              <w:keepNext w:val="0"/>
              <w:keepLines w:val="0"/>
              <w:pageBreakBefore w:val="0"/>
              <w:kinsoku/>
              <w:overflowPunct/>
              <w:bidi w:val="0"/>
              <w:spacing w:beforeAutospacing="0" w:afterAutospacing="0" w:line="400" w:lineRule="exact"/>
              <w:ind w:firstLine="525" w:firstLineChars="2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大写：</w:t>
            </w:r>
          </w:p>
        </w:tc>
      </w:tr>
    </w:tbl>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sz w:val="24"/>
        </w:rPr>
      </w:pPr>
    </w:p>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keepNext w:val="0"/>
        <w:keepLines w:val="0"/>
        <w:pageBreakBefore w:val="0"/>
        <w:kinsoku/>
        <w:overflowPunct/>
        <w:topLinePunct/>
        <w:bidi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法定代表人（单位负责人）或其委托代理人：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szCs w:val="24"/>
        </w:rPr>
      </w:pPr>
    </w:p>
    <w:bookmarkEnd w:id="288"/>
    <w:bookmarkEnd w:id="289"/>
    <w:bookmarkEnd w:id="290"/>
    <w:bookmarkEnd w:id="291"/>
    <w:bookmarkEnd w:id="292"/>
    <w:bookmarkEnd w:id="293"/>
    <w:bookmarkEnd w:id="294"/>
    <w:bookmarkEnd w:id="295"/>
    <w:bookmarkEnd w:id="296"/>
    <w:bookmarkEnd w:id="297"/>
    <w:bookmarkEnd w:id="298"/>
    <w:p>
      <w:pPr>
        <w:pStyle w:val="4"/>
        <w:keepNext w:val="0"/>
        <w:keepLines w:val="0"/>
        <w:pageBreakBefore w:val="0"/>
        <w:kinsoku/>
        <w:overflowPunct/>
        <w:bidi w:val="0"/>
        <w:spacing w:before="0" w:beforeLines="0" w:beforeAutospacing="0" w:after="0" w:afterLines="0" w:afterAutospacing="0" w:line="360" w:lineRule="auto"/>
        <w:jc w:val="center"/>
        <w:outlineLvl w:val="1"/>
        <w:rPr>
          <w:rFonts w:hint="eastAsia" w:asciiTheme="minorEastAsia" w:hAnsiTheme="minorEastAsia" w:eastAsiaTheme="minorEastAsia" w:cstheme="minorEastAsia"/>
          <w:sz w:val="30"/>
          <w:szCs w:val="30"/>
          <w:lang w:eastAsia="zh-CN"/>
        </w:rPr>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bookmarkStart w:id="313" w:name="_Toc30778"/>
      <w:bookmarkStart w:id="314" w:name="_Toc392227914"/>
      <w:bookmarkStart w:id="315" w:name="_Toc457748056"/>
    </w:p>
    <w:p>
      <w:pPr>
        <w:pStyle w:val="4"/>
        <w:keepNext w:val="0"/>
        <w:keepLines w:val="0"/>
        <w:pageBreakBefore w:val="0"/>
        <w:kinsoku/>
        <w:overflowPunct/>
        <w:bidi w:val="0"/>
        <w:spacing w:before="0" w:beforeLines="0" w:beforeAutospacing="0" w:after="0" w:afterLines="0" w:afterAutospacing="0" w:line="360" w:lineRule="auto"/>
        <w:jc w:val="center"/>
        <w:outlineLvl w:val="1"/>
        <w:rPr>
          <w:rFonts w:hint="eastAsia" w:asciiTheme="minorEastAsia" w:hAnsiTheme="minorEastAsia" w:eastAsiaTheme="minorEastAsia" w:cstheme="minorEastAsia"/>
          <w:sz w:val="30"/>
          <w:szCs w:val="30"/>
        </w:rPr>
      </w:pPr>
      <w:bookmarkStart w:id="316" w:name="_Toc20752"/>
      <w:r>
        <w:rPr>
          <w:rFonts w:hint="eastAsia" w:asciiTheme="minorEastAsia" w:hAnsiTheme="minorEastAsia" w:eastAsiaTheme="minorEastAsia" w:cstheme="minorEastAsia"/>
          <w:sz w:val="30"/>
          <w:szCs w:val="30"/>
          <w:lang w:eastAsia="zh-CN"/>
        </w:rPr>
        <w:t>投标</w:t>
      </w:r>
      <w:r>
        <w:rPr>
          <w:rFonts w:hint="eastAsia" w:asciiTheme="minorEastAsia" w:hAnsiTheme="minorEastAsia" w:eastAsiaTheme="minorEastAsia" w:cstheme="minorEastAsia"/>
          <w:sz w:val="30"/>
          <w:szCs w:val="30"/>
        </w:rPr>
        <w:t>分项报价表</w:t>
      </w:r>
      <w:bookmarkEnd w:id="313"/>
      <w:bookmarkEnd w:id="314"/>
      <w:bookmarkEnd w:id="315"/>
      <w:bookmarkEnd w:id="316"/>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投标人名称：</w:t>
      </w:r>
      <w:r>
        <w:rPr>
          <w:rFonts w:hint="eastAsia" w:asciiTheme="minorEastAsia" w:hAnsiTheme="minorEastAsia" w:eastAsiaTheme="minorEastAsia" w:cstheme="minorEastAsia"/>
          <w:sz w:val="21"/>
          <w:szCs w:val="21"/>
          <w:lang w:val="en-US" w:eastAsia="zh-CN"/>
        </w:rPr>
        <w:t>_________________</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项目名称：多通道荧光定量基因扩增仪</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 xml:space="preserve">招标编号：0613-217123062652    </w:t>
      </w:r>
      <w:r>
        <w:rPr>
          <w:rFonts w:hint="eastAsia" w:asciiTheme="minorEastAsia" w:hAnsiTheme="minorEastAsia" w:eastAsiaTheme="minorEastAsia" w:cstheme="minorEastAsia"/>
          <w:sz w:val="21"/>
          <w:szCs w:val="21"/>
        </w:rPr>
        <w:t xml:space="preserve">                   单位：</w:t>
      </w:r>
      <w:r>
        <w:rPr>
          <w:rFonts w:hint="eastAsia" w:asciiTheme="minorEastAsia" w:hAnsiTheme="minorEastAsia" w:eastAsiaTheme="minorEastAsia" w:cstheme="minorEastAsia"/>
          <w:color w:val="auto"/>
          <w:sz w:val="21"/>
          <w:szCs w:val="21"/>
        </w:rPr>
        <w:t>人民币元</w:t>
      </w:r>
    </w:p>
    <w:tbl>
      <w:tblPr>
        <w:tblStyle w:val="29"/>
        <w:tblW w:w="869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89"/>
        <w:gridCol w:w="848"/>
        <w:gridCol w:w="1248"/>
        <w:gridCol w:w="1089"/>
        <w:gridCol w:w="1566"/>
        <w:gridCol w:w="1403"/>
        <w:gridCol w:w="1249"/>
        <w:gridCol w:w="7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18" w:hRule="atLeast"/>
        </w:trPr>
        <w:tc>
          <w:tcPr>
            <w:tcW w:w="589"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848"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名称</w:t>
            </w:r>
          </w:p>
        </w:tc>
        <w:tc>
          <w:tcPr>
            <w:tcW w:w="1248"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型号和规格</w:t>
            </w:r>
          </w:p>
        </w:tc>
        <w:tc>
          <w:tcPr>
            <w:tcW w:w="1089"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原产地和制造商</w:t>
            </w:r>
          </w:p>
        </w:tc>
        <w:tc>
          <w:tcPr>
            <w:tcW w:w="1566"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1403"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单价</w:t>
            </w:r>
          </w:p>
        </w:tc>
        <w:tc>
          <w:tcPr>
            <w:tcW w:w="1249"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总价</w:t>
            </w:r>
          </w:p>
        </w:tc>
        <w:tc>
          <w:tcPr>
            <w:tcW w:w="704"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589" w:type="dxa"/>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848" w:type="dxa"/>
            <w:vAlign w:val="top"/>
          </w:tcPr>
          <w:p>
            <w:pPr>
              <w:rPr>
                <w:rFonts w:hint="eastAsia" w:asciiTheme="minorEastAsia" w:hAnsiTheme="minorEastAsia" w:eastAsiaTheme="minorEastAsia" w:cstheme="minorEastAsia"/>
              </w:rPr>
            </w:pPr>
          </w:p>
        </w:tc>
        <w:tc>
          <w:tcPr>
            <w:tcW w:w="1248" w:type="dxa"/>
            <w:vAlign w:val="top"/>
          </w:tcPr>
          <w:p>
            <w:pPr>
              <w:rPr>
                <w:rFonts w:hint="eastAsia" w:asciiTheme="minorEastAsia" w:hAnsiTheme="minorEastAsia" w:eastAsiaTheme="minorEastAsia" w:cstheme="minorEastAsia"/>
              </w:rPr>
            </w:pPr>
          </w:p>
        </w:tc>
        <w:tc>
          <w:tcPr>
            <w:tcW w:w="1089" w:type="dxa"/>
            <w:vAlign w:val="top"/>
          </w:tcPr>
          <w:p>
            <w:pPr>
              <w:rPr>
                <w:rFonts w:hint="eastAsia" w:asciiTheme="minorEastAsia" w:hAnsiTheme="minorEastAsia" w:eastAsiaTheme="minorEastAsia" w:cstheme="minorEastAsia"/>
              </w:rPr>
            </w:pPr>
          </w:p>
        </w:tc>
        <w:tc>
          <w:tcPr>
            <w:tcW w:w="1566" w:type="dxa"/>
            <w:vAlign w:val="top"/>
          </w:tcPr>
          <w:p>
            <w:pPr>
              <w:rPr>
                <w:rFonts w:hint="eastAsia" w:asciiTheme="minorEastAsia" w:hAnsiTheme="minorEastAsia" w:eastAsiaTheme="minorEastAsia" w:cstheme="minorEastAsia"/>
              </w:rPr>
            </w:pPr>
          </w:p>
        </w:tc>
        <w:tc>
          <w:tcPr>
            <w:tcW w:w="1403" w:type="dxa"/>
            <w:vAlign w:val="top"/>
          </w:tcPr>
          <w:p>
            <w:pPr>
              <w:rPr>
                <w:rFonts w:hint="eastAsia" w:asciiTheme="minorEastAsia" w:hAnsiTheme="minorEastAsia" w:eastAsiaTheme="minorEastAsia" w:cstheme="minorEastAsia"/>
              </w:rPr>
            </w:pPr>
          </w:p>
        </w:tc>
        <w:tc>
          <w:tcPr>
            <w:tcW w:w="1249" w:type="dxa"/>
            <w:vAlign w:val="top"/>
          </w:tcPr>
          <w:p>
            <w:pPr>
              <w:rPr>
                <w:rFonts w:hint="eastAsia" w:asciiTheme="minorEastAsia" w:hAnsiTheme="minorEastAsia" w:eastAsiaTheme="minorEastAsia" w:cstheme="minorEastAsia"/>
              </w:rPr>
            </w:pPr>
          </w:p>
        </w:tc>
        <w:tc>
          <w:tcPr>
            <w:tcW w:w="704" w:type="dxa"/>
            <w:vAlign w:val="top"/>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589" w:type="dxa"/>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848" w:type="dxa"/>
            <w:vAlign w:val="top"/>
          </w:tcPr>
          <w:p>
            <w:pPr>
              <w:rPr>
                <w:rFonts w:hint="eastAsia" w:asciiTheme="minorEastAsia" w:hAnsiTheme="minorEastAsia" w:eastAsiaTheme="minorEastAsia" w:cstheme="minorEastAsia"/>
              </w:rPr>
            </w:pPr>
          </w:p>
        </w:tc>
        <w:tc>
          <w:tcPr>
            <w:tcW w:w="1248" w:type="dxa"/>
            <w:vAlign w:val="top"/>
          </w:tcPr>
          <w:p>
            <w:pPr>
              <w:rPr>
                <w:rFonts w:hint="eastAsia" w:asciiTheme="minorEastAsia" w:hAnsiTheme="minorEastAsia" w:eastAsiaTheme="minorEastAsia" w:cstheme="minorEastAsia"/>
              </w:rPr>
            </w:pPr>
          </w:p>
        </w:tc>
        <w:tc>
          <w:tcPr>
            <w:tcW w:w="1089" w:type="dxa"/>
            <w:vAlign w:val="top"/>
          </w:tcPr>
          <w:p>
            <w:pPr>
              <w:rPr>
                <w:rFonts w:hint="eastAsia" w:asciiTheme="minorEastAsia" w:hAnsiTheme="minorEastAsia" w:eastAsiaTheme="minorEastAsia" w:cstheme="minorEastAsia"/>
              </w:rPr>
            </w:pPr>
          </w:p>
        </w:tc>
        <w:tc>
          <w:tcPr>
            <w:tcW w:w="1566" w:type="dxa"/>
            <w:vAlign w:val="top"/>
          </w:tcPr>
          <w:p>
            <w:pPr>
              <w:rPr>
                <w:rFonts w:hint="eastAsia" w:asciiTheme="minorEastAsia" w:hAnsiTheme="minorEastAsia" w:eastAsiaTheme="minorEastAsia" w:cstheme="minorEastAsia"/>
              </w:rPr>
            </w:pPr>
          </w:p>
        </w:tc>
        <w:tc>
          <w:tcPr>
            <w:tcW w:w="1403" w:type="dxa"/>
            <w:vAlign w:val="top"/>
          </w:tcPr>
          <w:p>
            <w:pPr>
              <w:rPr>
                <w:rFonts w:hint="eastAsia" w:asciiTheme="minorEastAsia" w:hAnsiTheme="minorEastAsia" w:eastAsiaTheme="minorEastAsia" w:cstheme="minorEastAsia"/>
              </w:rPr>
            </w:pPr>
          </w:p>
        </w:tc>
        <w:tc>
          <w:tcPr>
            <w:tcW w:w="1249" w:type="dxa"/>
            <w:vAlign w:val="top"/>
          </w:tcPr>
          <w:p>
            <w:pPr>
              <w:rPr>
                <w:rFonts w:hint="eastAsia" w:asciiTheme="minorEastAsia" w:hAnsiTheme="minorEastAsia" w:eastAsiaTheme="minorEastAsia" w:cstheme="minorEastAsia"/>
              </w:rPr>
            </w:pPr>
          </w:p>
        </w:tc>
        <w:tc>
          <w:tcPr>
            <w:tcW w:w="704" w:type="dxa"/>
            <w:vAlign w:val="top"/>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589" w:type="dxa"/>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848" w:type="dxa"/>
            <w:vAlign w:val="top"/>
          </w:tcPr>
          <w:p>
            <w:pPr>
              <w:rPr>
                <w:rFonts w:hint="eastAsia" w:asciiTheme="minorEastAsia" w:hAnsiTheme="minorEastAsia" w:eastAsiaTheme="minorEastAsia" w:cstheme="minorEastAsia"/>
              </w:rPr>
            </w:pPr>
          </w:p>
        </w:tc>
        <w:tc>
          <w:tcPr>
            <w:tcW w:w="1248" w:type="dxa"/>
            <w:vAlign w:val="top"/>
          </w:tcPr>
          <w:p>
            <w:pPr>
              <w:rPr>
                <w:rFonts w:hint="eastAsia" w:asciiTheme="minorEastAsia" w:hAnsiTheme="minorEastAsia" w:eastAsiaTheme="minorEastAsia" w:cstheme="minorEastAsia"/>
              </w:rPr>
            </w:pPr>
          </w:p>
        </w:tc>
        <w:tc>
          <w:tcPr>
            <w:tcW w:w="1089" w:type="dxa"/>
            <w:vAlign w:val="top"/>
          </w:tcPr>
          <w:p>
            <w:pPr>
              <w:rPr>
                <w:rFonts w:hint="eastAsia" w:asciiTheme="minorEastAsia" w:hAnsiTheme="minorEastAsia" w:eastAsiaTheme="minorEastAsia" w:cstheme="minorEastAsia"/>
              </w:rPr>
            </w:pPr>
          </w:p>
        </w:tc>
        <w:tc>
          <w:tcPr>
            <w:tcW w:w="1566" w:type="dxa"/>
            <w:vAlign w:val="top"/>
          </w:tcPr>
          <w:p>
            <w:pPr>
              <w:rPr>
                <w:rFonts w:hint="eastAsia" w:asciiTheme="minorEastAsia" w:hAnsiTheme="minorEastAsia" w:eastAsiaTheme="minorEastAsia" w:cstheme="minorEastAsia"/>
              </w:rPr>
            </w:pPr>
          </w:p>
        </w:tc>
        <w:tc>
          <w:tcPr>
            <w:tcW w:w="1403" w:type="dxa"/>
            <w:vAlign w:val="top"/>
          </w:tcPr>
          <w:p>
            <w:pPr>
              <w:rPr>
                <w:rFonts w:hint="eastAsia" w:asciiTheme="minorEastAsia" w:hAnsiTheme="minorEastAsia" w:eastAsiaTheme="minorEastAsia" w:cstheme="minorEastAsia"/>
              </w:rPr>
            </w:pPr>
          </w:p>
        </w:tc>
        <w:tc>
          <w:tcPr>
            <w:tcW w:w="1249" w:type="dxa"/>
            <w:vAlign w:val="top"/>
          </w:tcPr>
          <w:p>
            <w:pPr>
              <w:rPr>
                <w:rFonts w:hint="eastAsia" w:asciiTheme="minorEastAsia" w:hAnsiTheme="minorEastAsia" w:eastAsiaTheme="minorEastAsia" w:cstheme="minorEastAsia"/>
              </w:rPr>
            </w:pPr>
          </w:p>
        </w:tc>
        <w:tc>
          <w:tcPr>
            <w:tcW w:w="704" w:type="dxa"/>
            <w:vAlign w:val="top"/>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589" w:type="dxa"/>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848" w:type="dxa"/>
            <w:vAlign w:val="top"/>
          </w:tcPr>
          <w:p>
            <w:pPr>
              <w:rPr>
                <w:rFonts w:hint="eastAsia" w:asciiTheme="minorEastAsia" w:hAnsiTheme="minorEastAsia" w:eastAsiaTheme="minorEastAsia" w:cstheme="minorEastAsia"/>
              </w:rPr>
            </w:pPr>
          </w:p>
        </w:tc>
        <w:tc>
          <w:tcPr>
            <w:tcW w:w="1248" w:type="dxa"/>
            <w:vAlign w:val="top"/>
          </w:tcPr>
          <w:p>
            <w:pPr>
              <w:rPr>
                <w:rFonts w:hint="eastAsia" w:asciiTheme="minorEastAsia" w:hAnsiTheme="minorEastAsia" w:eastAsiaTheme="minorEastAsia" w:cstheme="minorEastAsia"/>
              </w:rPr>
            </w:pPr>
          </w:p>
        </w:tc>
        <w:tc>
          <w:tcPr>
            <w:tcW w:w="1089" w:type="dxa"/>
            <w:vAlign w:val="top"/>
          </w:tcPr>
          <w:p>
            <w:pPr>
              <w:rPr>
                <w:rFonts w:hint="eastAsia" w:asciiTheme="minorEastAsia" w:hAnsiTheme="minorEastAsia" w:eastAsiaTheme="minorEastAsia" w:cstheme="minorEastAsia"/>
              </w:rPr>
            </w:pPr>
          </w:p>
        </w:tc>
        <w:tc>
          <w:tcPr>
            <w:tcW w:w="1566" w:type="dxa"/>
            <w:vAlign w:val="top"/>
          </w:tcPr>
          <w:p>
            <w:pPr>
              <w:rPr>
                <w:rFonts w:hint="eastAsia" w:asciiTheme="minorEastAsia" w:hAnsiTheme="minorEastAsia" w:eastAsiaTheme="minorEastAsia" w:cstheme="minorEastAsia"/>
              </w:rPr>
            </w:pPr>
          </w:p>
        </w:tc>
        <w:tc>
          <w:tcPr>
            <w:tcW w:w="1403" w:type="dxa"/>
            <w:vAlign w:val="top"/>
          </w:tcPr>
          <w:p>
            <w:pPr>
              <w:rPr>
                <w:rFonts w:hint="eastAsia" w:asciiTheme="minorEastAsia" w:hAnsiTheme="minorEastAsia" w:eastAsiaTheme="minorEastAsia" w:cstheme="minorEastAsia"/>
              </w:rPr>
            </w:pPr>
          </w:p>
        </w:tc>
        <w:tc>
          <w:tcPr>
            <w:tcW w:w="1249" w:type="dxa"/>
            <w:vAlign w:val="top"/>
          </w:tcPr>
          <w:p>
            <w:pPr>
              <w:rPr>
                <w:rFonts w:hint="eastAsia" w:asciiTheme="minorEastAsia" w:hAnsiTheme="minorEastAsia" w:eastAsiaTheme="minorEastAsia" w:cstheme="minorEastAsia"/>
              </w:rPr>
            </w:pPr>
          </w:p>
        </w:tc>
        <w:tc>
          <w:tcPr>
            <w:tcW w:w="704" w:type="dxa"/>
            <w:vAlign w:val="top"/>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589" w:type="dxa"/>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848" w:type="dxa"/>
            <w:vAlign w:val="top"/>
          </w:tcPr>
          <w:p>
            <w:pPr>
              <w:rPr>
                <w:rFonts w:hint="eastAsia" w:asciiTheme="minorEastAsia" w:hAnsiTheme="minorEastAsia" w:eastAsiaTheme="minorEastAsia" w:cstheme="minorEastAsia"/>
              </w:rPr>
            </w:pPr>
          </w:p>
        </w:tc>
        <w:tc>
          <w:tcPr>
            <w:tcW w:w="1248" w:type="dxa"/>
            <w:vAlign w:val="top"/>
          </w:tcPr>
          <w:p>
            <w:pPr>
              <w:rPr>
                <w:rFonts w:hint="eastAsia" w:asciiTheme="minorEastAsia" w:hAnsiTheme="minorEastAsia" w:eastAsiaTheme="minorEastAsia" w:cstheme="minorEastAsia"/>
              </w:rPr>
            </w:pPr>
          </w:p>
        </w:tc>
        <w:tc>
          <w:tcPr>
            <w:tcW w:w="1089" w:type="dxa"/>
            <w:vAlign w:val="top"/>
          </w:tcPr>
          <w:p>
            <w:pPr>
              <w:rPr>
                <w:rFonts w:hint="eastAsia" w:asciiTheme="minorEastAsia" w:hAnsiTheme="minorEastAsia" w:eastAsiaTheme="minorEastAsia" w:cstheme="minorEastAsia"/>
              </w:rPr>
            </w:pPr>
          </w:p>
        </w:tc>
        <w:tc>
          <w:tcPr>
            <w:tcW w:w="1566" w:type="dxa"/>
            <w:vAlign w:val="top"/>
          </w:tcPr>
          <w:p>
            <w:pPr>
              <w:rPr>
                <w:rFonts w:hint="eastAsia" w:asciiTheme="minorEastAsia" w:hAnsiTheme="minorEastAsia" w:eastAsiaTheme="minorEastAsia" w:cstheme="minorEastAsia"/>
              </w:rPr>
            </w:pPr>
          </w:p>
        </w:tc>
        <w:tc>
          <w:tcPr>
            <w:tcW w:w="1403" w:type="dxa"/>
            <w:vAlign w:val="top"/>
          </w:tcPr>
          <w:p>
            <w:pPr>
              <w:rPr>
                <w:rFonts w:hint="eastAsia" w:asciiTheme="minorEastAsia" w:hAnsiTheme="minorEastAsia" w:eastAsiaTheme="minorEastAsia" w:cstheme="minorEastAsia"/>
              </w:rPr>
            </w:pPr>
          </w:p>
        </w:tc>
        <w:tc>
          <w:tcPr>
            <w:tcW w:w="1249" w:type="dxa"/>
            <w:vAlign w:val="top"/>
          </w:tcPr>
          <w:p>
            <w:pPr>
              <w:rPr>
                <w:rFonts w:hint="eastAsia" w:asciiTheme="minorEastAsia" w:hAnsiTheme="minorEastAsia" w:eastAsiaTheme="minorEastAsia" w:cstheme="minorEastAsia"/>
              </w:rPr>
            </w:pPr>
          </w:p>
        </w:tc>
        <w:tc>
          <w:tcPr>
            <w:tcW w:w="704" w:type="dxa"/>
            <w:vAlign w:val="top"/>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589" w:type="dxa"/>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tc>
        <w:tc>
          <w:tcPr>
            <w:tcW w:w="848" w:type="dxa"/>
            <w:vAlign w:val="top"/>
          </w:tcPr>
          <w:p>
            <w:pPr>
              <w:rPr>
                <w:rFonts w:hint="eastAsia" w:asciiTheme="minorEastAsia" w:hAnsiTheme="minorEastAsia" w:eastAsiaTheme="minorEastAsia" w:cstheme="minorEastAsia"/>
              </w:rPr>
            </w:pPr>
          </w:p>
        </w:tc>
        <w:tc>
          <w:tcPr>
            <w:tcW w:w="1248" w:type="dxa"/>
            <w:vAlign w:val="top"/>
          </w:tcPr>
          <w:p>
            <w:pPr>
              <w:rPr>
                <w:rFonts w:hint="eastAsia" w:asciiTheme="minorEastAsia" w:hAnsiTheme="minorEastAsia" w:eastAsiaTheme="minorEastAsia" w:cstheme="minorEastAsia"/>
              </w:rPr>
            </w:pPr>
          </w:p>
        </w:tc>
        <w:tc>
          <w:tcPr>
            <w:tcW w:w="1089" w:type="dxa"/>
            <w:vAlign w:val="top"/>
          </w:tcPr>
          <w:p>
            <w:pPr>
              <w:rPr>
                <w:rFonts w:hint="eastAsia" w:asciiTheme="minorEastAsia" w:hAnsiTheme="minorEastAsia" w:eastAsiaTheme="minorEastAsia" w:cstheme="minorEastAsia"/>
              </w:rPr>
            </w:pPr>
          </w:p>
        </w:tc>
        <w:tc>
          <w:tcPr>
            <w:tcW w:w="1566" w:type="dxa"/>
            <w:vAlign w:val="top"/>
          </w:tcPr>
          <w:p>
            <w:pPr>
              <w:rPr>
                <w:rFonts w:hint="eastAsia" w:asciiTheme="minorEastAsia" w:hAnsiTheme="minorEastAsia" w:eastAsiaTheme="minorEastAsia" w:cstheme="minorEastAsia"/>
              </w:rPr>
            </w:pPr>
          </w:p>
        </w:tc>
        <w:tc>
          <w:tcPr>
            <w:tcW w:w="1403" w:type="dxa"/>
            <w:vAlign w:val="top"/>
          </w:tcPr>
          <w:p>
            <w:pPr>
              <w:rPr>
                <w:rFonts w:hint="eastAsia" w:asciiTheme="minorEastAsia" w:hAnsiTheme="minorEastAsia" w:eastAsiaTheme="minorEastAsia" w:cstheme="minorEastAsia"/>
              </w:rPr>
            </w:pPr>
          </w:p>
        </w:tc>
        <w:tc>
          <w:tcPr>
            <w:tcW w:w="1249" w:type="dxa"/>
            <w:vAlign w:val="top"/>
          </w:tcPr>
          <w:p>
            <w:pPr>
              <w:rPr>
                <w:rFonts w:hint="eastAsia" w:asciiTheme="minorEastAsia" w:hAnsiTheme="minorEastAsia" w:eastAsiaTheme="minorEastAsia" w:cstheme="minorEastAsia"/>
              </w:rPr>
            </w:pPr>
          </w:p>
        </w:tc>
        <w:tc>
          <w:tcPr>
            <w:tcW w:w="704" w:type="dxa"/>
            <w:vAlign w:val="top"/>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6743" w:type="dxa"/>
            <w:gridSpan w:val="6"/>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szCs w:val="21"/>
              </w:rPr>
              <w:t>合计：</w:t>
            </w:r>
          </w:p>
        </w:tc>
        <w:tc>
          <w:tcPr>
            <w:tcW w:w="1249" w:type="dxa"/>
            <w:vAlign w:val="top"/>
          </w:tcPr>
          <w:p>
            <w:pPr>
              <w:rPr>
                <w:rFonts w:hint="eastAsia" w:asciiTheme="minorEastAsia" w:hAnsiTheme="minorEastAsia" w:eastAsiaTheme="minorEastAsia" w:cstheme="minorEastAsia"/>
              </w:rPr>
            </w:pPr>
          </w:p>
        </w:tc>
        <w:tc>
          <w:tcPr>
            <w:tcW w:w="704" w:type="dxa"/>
            <w:vAlign w:val="top"/>
          </w:tcPr>
          <w:p>
            <w:pPr>
              <w:rPr>
                <w:rFonts w:hint="eastAsia" w:asciiTheme="minorEastAsia" w:hAnsiTheme="minorEastAsia" w:eastAsiaTheme="minorEastAsia" w:cstheme="minorEastAsia"/>
              </w:rPr>
            </w:pPr>
          </w:p>
        </w:tc>
      </w:tr>
    </w:tbl>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以上报价均为含税价。</w:t>
      </w:r>
    </w:p>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szCs w:val="21"/>
          <w:lang w:eastAsia="zh-CN"/>
        </w:rPr>
      </w:pPr>
    </w:p>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keepNext w:val="0"/>
        <w:keepLines w:val="0"/>
        <w:pageBreakBefore w:val="0"/>
        <w:kinsoku/>
        <w:overflowPunct/>
        <w:topLinePunct/>
        <w:bidi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法定代表人（单位负责人）或其委托代理人：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Cs/>
          <w:color w:val="auto"/>
          <w:sz w:val="21"/>
          <w:szCs w:val="21"/>
        </w:rPr>
      </w:pPr>
    </w:p>
    <w:p>
      <w:pPr>
        <w:keepNext w:val="0"/>
        <w:keepLines w:val="0"/>
        <w:pageBreakBefore w:val="0"/>
        <w:kinsoku/>
        <w:overflowPunct/>
        <w:bidi w:val="0"/>
        <w:spacing w:beforeAutospacing="0" w:afterAutospacing="0" w:line="360" w:lineRule="auto"/>
        <w:jc w:val="left"/>
        <w:rPr>
          <w:rFonts w:hint="eastAsia" w:asciiTheme="minorEastAsia" w:hAnsiTheme="minorEastAsia" w:eastAsiaTheme="minorEastAsia" w:cstheme="minorEastAsia"/>
          <w:b/>
          <w:sz w:val="24"/>
        </w:rPr>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p>
    <w:p>
      <w:pPr>
        <w:keepNext w:val="0"/>
        <w:keepLines w:val="0"/>
        <w:pageBreakBefore w:val="0"/>
        <w:kinsoku/>
        <w:overflowPunct/>
        <w:bidi w:val="0"/>
        <w:spacing w:beforeAutospacing="0" w:afterAutospacing="0"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附表：</w:t>
      </w:r>
    </w:p>
    <w:p>
      <w:pPr>
        <w:spacing w:line="360" w:lineRule="auto"/>
        <w:jc w:val="center"/>
        <w:rPr>
          <w:rFonts w:hint="eastAsia" w:asciiTheme="minorEastAsia" w:hAnsiTheme="minorEastAsia" w:eastAsiaTheme="minorEastAsia" w:cstheme="minorEastAsia"/>
          <w:b/>
          <w:sz w:val="28"/>
          <w:szCs w:val="21"/>
        </w:rPr>
      </w:pPr>
      <w:r>
        <w:rPr>
          <w:rFonts w:hint="eastAsia" w:asciiTheme="minorEastAsia" w:hAnsiTheme="minorEastAsia" w:eastAsiaTheme="minorEastAsia" w:cstheme="minorEastAsia"/>
          <w:b/>
          <w:sz w:val="28"/>
          <w:szCs w:val="21"/>
        </w:rPr>
        <w:t>详细的配置清单</w:t>
      </w:r>
    </w:p>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eastAsia="zh-CN"/>
        </w:rPr>
        <w:t>复旦大学附属妇产科医院</w:t>
      </w:r>
      <w:r>
        <w:rPr>
          <w:rFonts w:hint="eastAsia" w:asciiTheme="minorEastAsia" w:hAnsiTheme="minorEastAsia" w:eastAsiaTheme="minorEastAsia" w:cstheme="minorEastAsia"/>
          <w:b/>
        </w:rPr>
        <w:t>：</w:t>
      </w:r>
    </w:p>
    <w:p>
      <w:pPr>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针对</w:t>
      </w:r>
      <w:r>
        <w:rPr>
          <w:rFonts w:hint="eastAsia" w:asciiTheme="minorEastAsia" w:hAnsiTheme="minorEastAsia" w:eastAsiaTheme="minorEastAsia" w:cstheme="minorEastAsia"/>
          <w:b/>
          <w:lang w:eastAsia="zh-CN"/>
        </w:rPr>
        <w:t>多通道荧光定量基因扩增仪</w:t>
      </w:r>
      <w:r>
        <w:rPr>
          <w:rFonts w:hint="eastAsia" w:asciiTheme="minorEastAsia" w:hAnsiTheme="minorEastAsia" w:eastAsiaTheme="minorEastAsia" w:cstheme="minorEastAsia"/>
          <w:b/>
        </w:rPr>
        <w:t>（招标编号：0613-</w:t>
      </w:r>
      <w:r>
        <w:rPr>
          <w:rFonts w:hint="eastAsia" w:asciiTheme="minorEastAsia" w:hAnsiTheme="minorEastAsia" w:eastAsiaTheme="minorEastAsia" w:cstheme="minorEastAsia"/>
          <w:b/>
          <w:lang w:eastAsia="zh-CN"/>
        </w:rPr>
        <w:t>217123062652</w:t>
      </w:r>
      <w:r>
        <w:rPr>
          <w:rFonts w:hint="eastAsia" w:asciiTheme="minorEastAsia" w:hAnsiTheme="minorEastAsia" w:eastAsiaTheme="minorEastAsia" w:cstheme="minorEastAsia"/>
          <w:b/>
        </w:rPr>
        <w:t>），详细的配置清单如下：</w:t>
      </w: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2" w:firstLineChars="200"/>
        <w:rPr>
          <w:rFonts w:hint="eastAsia" w:asciiTheme="minorEastAsia" w:hAnsiTheme="minorEastAsia" w:eastAsiaTheme="minorEastAsia" w:cstheme="minorEastAsia"/>
          <w:b/>
        </w:rPr>
      </w:pP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法定代表人（单位负责人）或其委托代理人：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keepNext w:val="0"/>
        <w:keepLines w:val="0"/>
        <w:pageBreakBefore w:val="0"/>
        <w:kinsoku/>
        <w:overflowPunct/>
        <w:bidi w:val="0"/>
        <w:spacing w:beforeAutospacing="0" w:afterAutospacing="0" w:line="360" w:lineRule="auto"/>
        <w:jc w:val="left"/>
        <w:rPr>
          <w:rFonts w:hint="eastAsia" w:asciiTheme="minorEastAsia" w:hAnsiTheme="minorEastAsia" w:eastAsiaTheme="minorEastAsia" w:cstheme="minorEastAsia"/>
          <w:b/>
          <w:sz w:val="24"/>
        </w:rPr>
      </w:pP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br w:type="page"/>
      </w:r>
      <w:r>
        <w:rPr>
          <w:rFonts w:hint="eastAsia" w:asciiTheme="minorEastAsia" w:hAnsiTheme="minorEastAsia" w:eastAsiaTheme="minorEastAsia" w:cstheme="minorEastAsia"/>
          <w:b/>
          <w:sz w:val="30"/>
          <w:szCs w:val="30"/>
        </w:rPr>
        <w:t>备品备件报价表</w:t>
      </w:r>
    </w:p>
    <w:p>
      <w:pPr>
        <w:keepNext w:val="0"/>
        <w:keepLines w:val="0"/>
        <w:pageBreakBefore w:val="0"/>
        <w:kinsoku/>
        <w:overflowPunct/>
        <w:bidi w:val="0"/>
        <w:spacing w:beforeAutospacing="0" w:afterAutospacing="0" w:line="360" w:lineRule="auto"/>
        <w:ind w:firstLine="480"/>
        <w:jc w:val="center"/>
        <w:rPr>
          <w:rFonts w:hint="eastAsia" w:asciiTheme="minorEastAsia" w:hAnsiTheme="minorEastAsia" w:eastAsiaTheme="minorEastAsia" w:cstheme="minorEastAsia"/>
          <w:b/>
          <w:sz w:val="24"/>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lang w:eastAsia="zh-CN"/>
        </w:rPr>
        <w:t>多通道荧光定量基因扩增仪</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招标编号：0613-</w:t>
      </w:r>
      <w:r>
        <w:rPr>
          <w:rFonts w:hint="eastAsia" w:asciiTheme="minorEastAsia" w:hAnsiTheme="minorEastAsia" w:eastAsiaTheme="minorEastAsia" w:cstheme="minorEastAsia"/>
          <w:sz w:val="21"/>
          <w:szCs w:val="21"/>
          <w:lang w:eastAsia="zh-CN"/>
        </w:rPr>
        <w:t>217123062652</w:t>
      </w:r>
      <w:r>
        <w:rPr>
          <w:rFonts w:hint="eastAsia" w:asciiTheme="minorEastAsia" w:hAnsiTheme="minorEastAsia" w:eastAsiaTheme="minorEastAsia" w:cstheme="minorEastAsia"/>
          <w:sz w:val="21"/>
          <w:szCs w:val="21"/>
        </w:rPr>
        <w:t xml:space="preserve">                     单位：</w:t>
      </w:r>
      <w:r>
        <w:rPr>
          <w:rFonts w:hint="eastAsia" w:asciiTheme="minorEastAsia" w:hAnsiTheme="minorEastAsia" w:eastAsiaTheme="minorEastAsia" w:cstheme="minorEastAsia"/>
          <w:color w:val="auto"/>
          <w:sz w:val="21"/>
          <w:szCs w:val="21"/>
        </w:rPr>
        <w:t>人民币元</w:t>
      </w:r>
    </w:p>
    <w:tbl>
      <w:tblPr>
        <w:tblStyle w:val="2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18"/>
        <w:gridCol w:w="1777"/>
        <w:gridCol w:w="1955"/>
        <w:gridCol w:w="908"/>
        <w:gridCol w:w="1403"/>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1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777"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名称与规格</w:t>
            </w:r>
          </w:p>
        </w:tc>
        <w:tc>
          <w:tcPr>
            <w:tcW w:w="195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原产地与制造商</w:t>
            </w:r>
          </w:p>
        </w:tc>
        <w:tc>
          <w:tcPr>
            <w:tcW w:w="90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4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w:t>
            </w: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1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777"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95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90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4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1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777"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95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90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4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777"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95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90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4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1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777"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95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90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4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1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777"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95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90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4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1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777"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95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90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4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777"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95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90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4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1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777"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955"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908"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403"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61" w:type="dxa"/>
            <w:gridSpan w:val="5"/>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合计</w:t>
            </w:r>
          </w:p>
        </w:tc>
        <w:tc>
          <w:tcPr>
            <w:tcW w:w="1599" w:type="dxa"/>
            <w:vAlign w:val="top"/>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b/>
                <w:sz w:val="21"/>
                <w:szCs w:val="21"/>
              </w:rPr>
            </w:pPr>
          </w:p>
        </w:tc>
      </w:tr>
    </w:tbl>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注：投标人需按本表格式提供质保期后运行2年所需的备品备件的清单和价格，并承诺在</w:t>
      </w:r>
      <w:r>
        <w:rPr>
          <w:rFonts w:hint="eastAsia" w:asciiTheme="minorEastAsia" w:hAnsiTheme="minorEastAsia" w:eastAsiaTheme="minorEastAsia" w:cstheme="minorEastAsia"/>
          <w:snapToGrid w:val="0"/>
          <w:color w:val="auto"/>
          <w:sz w:val="21"/>
          <w:szCs w:val="21"/>
        </w:rPr>
        <w:t>质保期满后</w:t>
      </w:r>
      <w:r>
        <w:rPr>
          <w:rFonts w:hint="eastAsia" w:asciiTheme="minorEastAsia" w:hAnsiTheme="minorEastAsia" w:eastAsiaTheme="minorEastAsia" w:cstheme="minorEastAsia"/>
          <w:color w:val="auto"/>
          <w:sz w:val="21"/>
          <w:szCs w:val="21"/>
        </w:rPr>
        <w:t>5年内不高于上述清单的价格，此报价不计入投标总价。</w:t>
      </w:r>
    </w:p>
    <w:p>
      <w:pPr>
        <w:keepNext w:val="0"/>
        <w:keepLines w:val="0"/>
        <w:pageBreakBefore w:val="0"/>
        <w:kinsoku/>
        <w:overflowPunct/>
        <w:bidi w:val="0"/>
        <w:spacing w:beforeAutospacing="0" w:afterAutospacing="0" w:line="360" w:lineRule="auto"/>
        <w:ind w:firstLine="480"/>
        <w:jc w:val="center"/>
        <w:rPr>
          <w:rFonts w:hint="eastAsia" w:asciiTheme="minorEastAsia" w:hAnsiTheme="minorEastAsia" w:eastAsiaTheme="minorEastAsia" w:cstheme="minorEastAsia"/>
          <w:b/>
          <w:sz w:val="21"/>
          <w:szCs w:val="21"/>
        </w:rPr>
      </w:pPr>
    </w:p>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keepNext w:val="0"/>
        <w:keepLines w:val="0"/>
        <w:pageBreakBefore w:val="0"/>
        <w:kinsoku/>
        <w:overflowPunct/>
        <w:topLinePunct/>
        <w:bidi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法定代表人（单位负责人）或其委托代理人：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jc w:val="center"/>
        <w:rPr>
          <w:rFonts w:hint="eastAsia" w:asciiTheme="minorEastAsia" w:hAnsiTheme="minorEastAsia" w:eastAsiaTheme="minorEastAsia" w:cstheme="minorEastAsia"/>
          <w:b/>
          <w:sz w:val="30"/>
          <w:szCs w:val="30"/>
        </w:rPr>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p>
    <w:p>
      <w:pPr>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维保费用报价承诺函</w:t>
      </w:r>
    </w:p>
    <w:p>
      <w:pPr>
        <w:rPr>
          <w:rFonts w:hint="eastAsia" w:asciiTheme="minorEastAsia" w:hAnsiTheme="minorEastAsia" w:eastAsiaTheme="minorEastAsia" w:cstheme="minorEastAsia"/>
          <w:b/>
        </w:rPr>
      </w:pPr>
    </w:p>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eastAsia="zh-CN"/>
        </w:rPr>
        <w:t>复旦大学附属妇产科医院</w:t>
      </w:r>
      <w:r>
        <w:rPr>
          <w:rFonts w:hint="eastAsia" w:asciiTheme="minorEastAsia" w:hAnsiTheme="minorEastAsia" w:eastAsiaTheme="minorEastAsia" w:cstheme="minorEastAsia"/>
          <w:b/>
        </w:rPr>
        <w:t>：</w:t>
      </w:r>
    </w:p>
    <w:p>
      <w:pPr>
        <w:ind w:firstLine="420" w:firstLineChars="200"/>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针对</w:t>
      </w:r>
      <w:r>
        <w:rPr>
          <w:rFonts w:hint="eastAsia" w:asciiTheme="minorEastAsia" w:hAnsiTheme="minorEastAsia" w:eastAsiaTheme="minorEastAsia" w:cstheme="minorEastAsia"/>
          <w:b w:val="0"/>
          <w:bCs/>
          <w:lang w:eastAsia="zh-CN"/>
        </w:rPr>
        <w:t>多通道荧光定量基因扩增仪</w:t>
      </w:r>
      <w:r>
        <w:rPr>
          <w:rFonts w:hint="eastAsia" w:asciiTheme="minorEastAsia" w:hAnsiTheme="minorEastAsia" w:eastAsiaTheme="minorEastAsia" w:cstheme="minorEastAsia"/>
          <w:b w:val="0"/>
          <w:bCs/>
        </w:rPr>
        <w:t>（招标编号：0613-</w:t>
      </w:r>
      <w:r>
        <w:rPr>
          <w:rFonts w:hint="eastAsia" w:asciiTheme="minorEastAsia" w:hAnsiTheme="minorEastAsia" w:eastAsiaTheme="minorEastAsia" w:cstheme="minorEastAsia"/>
          <w:b w:val="0"/>
          <w:bCs/>
          <w:lang w:eastAsia="zh-CN"/>
        </w:rPr>
        <w:t>217123062652</w:t>
      </w:r>
      <w:r>
        <w:rPr>
          <w:rFonts w:hint="eastAsia" w:asciiTheme="minorEastAsia" w:hAnsiTheme="minorEastAsia" w:eastAsiaTheme="minorEastAsia" w:cstheme="minorEastAsia"/>
          <w:b w:val="0"/>
          <w:bCs/>
        </w:rPr>
        <w:t>）保修期满后的维保费用，我方作出以下承诺：</w:t>
      </w:r>
    </w:p>
    <w:p>
      <w:p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1. 保修期满后，</w:t>
      </w:r>
      <w:r>
        <w:rPr>
          <w:rFonts w:hint="eastAsia" w:asciiTheme="minorEastAsia" w:hAnsiTheme="minorEastAsia" w:eastAsiaTheme="minorEastAsia" w:cstheme="minorEastAsia"/>
          <w:color w:val="auto"/>
          <w:lang w:val="en-US" w:eastAsia="zh-CN"/>
        </w:rPr>
        <w:t>前3年内</w:t>
      </w:r>
      <w:r>
        <w:rPr>
          <w:rFonts w:hint="eastAsia" w:asciiTheme="minorEastAsia" w:hAnsiTheme="minorEastAsia" w:eastAsiaTheme="minorEastAsia" w:cstheme="minorEastAsia"/>
          <w:color w:val="auto"/>
        </w:rPr>
        <w:t>购买保修</w:t>
      </w:r>
      <w:r>
        <w:rPr>
          <w:rFonts w:hint="eastAsia" w:asciiTheme="minorEastAsia" w:hAnsiTheme="minorEastAsia" w:eastAsiaTheme="minorEastAsia" w:cstheme="minorEastAsia"/>
          <w:color w:val="auto"/>
          <w:lang w:val="en-US" w:eastAsia="zh-CN"/>
        </w:rPr>
        <w:t>服务</w:t>
      </w:r>
      <w:r>
        <w:rPr>
          <w:rFonts w:hint="eastAsia" w:asciiTheme="minorEastAsia" w:hAnsiTheme="minorEastAsia" w:eastAsiaTheme="minorEastAsia" w:cstheme="minorEastAsia"/>
          <w:color w:val="auto"/>
        </w:rPr>
        <w:t>时</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每年的</w:t>
      </w:r>
      <w:r>
        <w:rPr>
          <w:rFonts w:hint="eastAsia" w:asciiTheme="minorEastAsia" w:hAnsiTheme="minorEastAsia" w:eastAsiaTheme="minorEastAsia" w:cstheme="minorEastAsia"/>
          <w:color w:val="auto"/>
        </w:rPr>
        <w:t>价格不高于设备总价的___%，之后</w:t>
      </w:r>
      <w:r>
        <w:rPr>
          <w:rFonts w:hint="eastAsia" w:asciiTheme="minorEastAsia" w:hAnsiTheme="minorEastAsia" w:eastAsiaTheme="minorEastAsia" w:cstheme="minorEastAsia"/>
          <w:color w:val="auto"/>
          <w:lang w:val="en-US" w:eastAsia="zh-CN"/>
        </w:rPr>
        <w:t>每年的</w:t>
      </w:r>
      <w:r>
        <w:rPr>
          <w:rFonts w:hint="eastAsia" w:asciiTheme="minorEastAsia" w:hAnsiTheme="minorEastAsia" w:eastAsiaTheme="minorEastAsia" w:cstheme="minorEastAsia"/>
          <w:color w:val="auto"/>
        </w:rPr>
        <w:t>价格不高于设备总价的___ %。</w:t>
      </w:r>
    </w:p>
    <w:p>
      <w:pPr>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 保修期满后，在非保修的情况下，以</w:t>
      </w:r>
      <w:r>
        <w:rPr>
          <w:rFonts w:hint="eastAsia" w:asciiTheme="minorEastAsia" w:hAnsiTheme="minorEastAsia" w:eastAsiaTheme="minorEastAsia" w:cstheme="minorEastAsia"/>
          <w:i/>
          <w:color w:val="auto"/>
          <w:u w:val="single"/>
        </w:rPr>
        <w:t xml:space="preserve">  请填写   </w:t>
      </w:r>
      <w:r>
        <w:rPr>
          <w:rFonts w:hint="eastAsia" w:asciiTheme="minorEastAsia" w:hAnsiTheme="minorEastAsia" w:eastAsiaTheme="minorEastAsia" w:cstheme="minorEastAsia"/>
          <w:color w:val="auto"/>
        </w:rPr>
        <w:t>折的优惠价供应维修零配件，免除人工费。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 其它服务承诺：</w:t>
      </w:r>
    </w:p>
    <w:p>
      <w:pPr>
        <w:spacing w:line="360" w:lineRule="auto"/>
        <w:jc w:val="center"/>
        <w:rPr>
          <w:rFonts w:hint="eastAsia" w:asciiTheme="minorEastAsia" w:hAnsiTheme="minorEastAsia" w:eastAsiaTheme="minorEastAsia" w:cstheme="minorEastAsia"/>
          <w:b/>
          <w:color w:val="auto"/>
          <w:sz w:val="28"/>
          <w:szCs w:val="21"/>
        </w:rPr>
      </w:pPr>
      <w:r>
        <w:rPr>
          <w:rFonts w:hint="eastAsia" w:asciiTheme="minorEastAsia" w:hAnsiTheme="minorEastAsia" w:eastAsiaTheme="minorEastAsia" w:cstheme="minorEastAsia"/>
          <w:b w:val="0"/>
          <w:bCs/>
          <w:color w:val="auto"/>
          <w:sz w:val="22"/>
          <w:szCs w:val="22"/>
          <w:lang w:eastAsia="zh-CN"/>
        </w:rPr>
        <w:t>投标人</w:t>
      </w:r>
      <w:r>
        <w:rPr>
          <w:rFonts w:hint="eastAsia" w:asciiTheme="minorEastAsia" w:hAnsiTheme="minorEastAsia" w:eastAsiaTheme="minorEastAsia" w:cstheme="minorEastAsia"/>
          <w:b w:val="0"/>
          <w:bCs/>
          <w:color w:val="auto"/>
          <w:sz w:val="22"/>
          <w:szCs w:val="22"/>
          <w:lang w:val="en-US" w:eastAsia="zh-CN"/>
        </w:rPr>
        <w:t>也</w:t>
      </w:r>
      <w:r>
        <w:rPr>
          <w:rFonts w:hint="eastAsia" w:asciiTheme="minorEastAsia" w:hAnsiTheme="minorEastAsia" w:eastAsiaTheme="minorEastAsia" w:cstheme="minorEastAsia"/>
          <w:b w:val="0"/>
          <w:bCs/>
          <w:color w:val="auto"/>
          <w:sz w:val="22"/>
          <w:szCs w:val="22"/>
          <w:lang w:eastAsia="zh-CN"/>
        </w:rPr>
        <w:t>可自拟格式</w:t>
      </w:r>
    </w:p>
    <w:p>
      <w:pPr>
        <w:spacing w:line="360" w:lineRule="auto"/>
        <w:jc w:val="center"/>
        <w:rPr>
          <w:rFonts w:hint="eastAsia" w:asciiTheme="minorEastAsia" w:hAnsiTheme="minorEastAsia" w:eastAsiaTheme="minorEastAsia" w:cstheme="minorEastAsia"/>
          <w:b/>
          <w:sz w:val="28"/>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Theme="minorEastAsia" w:hAnsiTheme="minorEastAsia" w:eastAsiaTheme="minorEastAsia" w:cstheme="minorEastAsia"/>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Theme="minorEastAsia" w:hAnsiTheme="minorEastAsia" w:eastAsiaTheme="minorEastAsia" w:cstheme="minorEastAsia"/>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Theme="minorEastAsia" w:hAnsiTheme="minorEastAsia" w:eastAsiaTheme="minorEastAsia" w:cstheme="minorEastAsia"/>
          <w:szCs w:val="21"/>
        </w:rPr>
      </w:pPr>
    </w:p>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keepNext w:val="0"/>
        <w:keepLines w:val="0"/>
        <w:pageBreakBefore w:val="0"/>
        <w:kinsoku/>
        <w:overflowPunct/>
        <w:topLinePunct/>
        <w:bidi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法定代表人（单位负责人）或其委托代理人：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autoSpaceDE w:val="0"/>
        <w:autoSpaceDN w:val="0"/>
        <w:adjustRightInd w:val="0"/>
        <w:snapToGrid w:val="0"/>
        <w:spacing w:line="360" w:lineRule="auto"/>
        <w:jc w:val="center"/>
        <w:outlineLvl w:val="1"/>
        <w:rPr>
          <w:rFonts w:hint="eastAsia" w:asciiTheme="minorEastAsia" w:hAnsiTheme="minorEastAsia" w:eastAsiaTheme="minorEastAsia" w:cstheme="minorEastAsia"/>
          <w:b/>
          <w:sz w:val="28"/>
          <w:szCs w:val="28"/>
        </w:rPr>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p>
    <w:p>
      <w:pPr>
        <w:autoSpaceDE w:val="0"/>
        <w:autoSpaceDN w:val="0"/>
        <w:adjustRightInd w:val="0"/>
        <w:snapToGrid w:val="0"/>
        <w:spacing w:line="360" w:lineRule="auto"/>
        <w:jc w:val="center"/>
        <w:outlineLvl w:val="1"/>
        <w:rPr>
          <w:rFonts w:hint="eastAsia" w:asciiTheme="minorEastAsia" w:hAnsiTheme="minorEastAsia" w:eastAsiaTheme="minorEastAsia" w:cstheme="minorEastAsia"/>
          <w:b/>
          <w:spacing w:val="8"/>
          <w:kern w:val="0"/>
          <w:sz w:val="28"/>
          <w:szCs w:val="28"/>
        </w:rPr>
      </w:pPr>
      <w:bookmarkStart w:id="317" w:name="_Toc25792"/>
      <w:r>
        <w:rPr>
          <w:rFonts w:hint="eastAsia" w:asciiTheme="minorEastAsia" w:hAnsiTheme="minorEastAsia" w:eastAsiaTheme="minorEastAsia" w:cstheme="minorEastAsia"/>
          <w:b/>
          <w:sz w:val="28"/>
          <w:szCs w:val="28"/>
        </w:rPr>
        <w:t>关于原产于美国进口商品加征关税的承诺书（格式）</w:t>
      </w:r>
      <w:bookmarkEnd w:id="317"/>
    </w:p>
    <w:p>
      <w:pPr>
        <w:spacing w:before="156" w:beforeLines="50" w:after="156" w:afterLines="50" w:line="360" w:lineRule="auto"/>
        <w:jc w:val="left"/>
        <w:rPr>
          <w:rFonts w:hint="eastAsia" w:asciiTheme="minorEastAsia" w:hAnsiTheme="minorEastAsia" w:eastAsiaTheme="minorEastAsia" w:cstheme="minorEastAsia"/>
          <w:sz w:val="24"/>
        </w:rPr>
      </w:pPr>
    </w:p>
    <w:p>
      <w:pPr>
        <w:spacing w:before="156" w:beforeLines="50" w:after="156" w:afterLines="5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复旦大学附属妇产科医院</w:t>
      </w:r>
      <w:r>
        <w:rPr>
          <w:rFonts w:hint="eastAsia" w:asciiTheme="minorEastAsia" w:hAnsiTheme="minorEastAsia" w:eastAsiaTheme="minorEastAsia" w:cstheme="minorEastAsia"/>
          <w:sz w:val="21"/>
          <w:szCs w:val="21"/>
        </w:rPr>
        <w:t>：</w:t>
      </w:r>
    </w:p>
    <w:p>
      <w:pPr>
        <w:spacing w:before="156" w:beforeLines="50" w:after="156" w:afterLines="5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（投标人名称）     </w:t>
      </w:r>
      <w:r>
        <w:rPr>
          <w:rFonts w:hint="eastAsia" w:asciiTheme="minorEastAsia" w:hAnsiTheme="minorEastAsia" w:eastAsiaTheme="minorEastAsia" w:cstheme="minorEastAsia"/>
          <w:sz w:val="21"/>
          <w:szCs w:val="21"/>
        </w:rPr>
        <w:t xml:space="preserve">参加贵公司组织的 </w:t>
      </w:r>
      <w:r>
        <w:rPr>
          <w:rFonts w:hint="eastAsia" w:asciiTheme="minorEastAsia" w:hAnsiTheme="minorEastAsia" w:eastAsiaTheme="minorEastAsia" w:cstheme="minorEastAsia"/>
          <w:sz w:val="21"/>
          <w:szCs w:val="21"/>
          <w:u w:val="single"/>
        </w:rPr>
        <w:t xml:space="preserve"> （项目名称） </w:t>
      </w:r>
      <w:r>
        <w:rPr>
          <w:rFonts w:hint="eastAsia" w:asciiTheme="minorEastAsia" w:hAnsiTheme="minorEastAsia" w:eastAsiaTheme="minorEastAsia" w:cstheme="minorEastAsia"/>
          <w:sz w:val="21"/>
          <w:szCs w:val="21"/>
        </w:rPr>
        <w:t>项目的投标。在此承诺：</w:t>
      </w:r>
    </w:p>
    <w:p>
      <w:pPr>
        <w:spacing w:before="156" w:beforeLines="50" w:after="156" w:afterLines="5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若我司投标产品被国务院关税税则委员会列入《关于对原产于美国进口商品加征关税的公告》的商品清单，并在货物进口时被中国海关实施加征关税，加征的关税以及由此增加的增值税等额外税费由我司承担。</w:t>
      </w:r>
    </w:p>
    <w:p>
      <w:pPr>
        <w:spacing w:before="156" w:beforeLines="50" w:after="156" w:afterLines="5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特此承诺。</w:t>
      </w:r>
    </w:p>
    <w:p>
      <w:pPr>
        <w:spacing w:before="156" w:beforeLines="50" w:after="156" w:afterLines="50" w:line="360" w:lineRule="auto"/>
        <w:jc w:val="left"/>
        <w:rPr>
          <w:rFonts w:hint="eastAsia" w:asciiTheme="minorEastAsia" w:hAnsiTheme="minorEastAsia" w:eastAsiaTheme="minorEastAsia" w:cstheme="minorEastAsia"/>
          <w:b/>
          <w:bCs/>
          <w:sz w:val="21"/>
          <w:szCs w:val="21"/>
          <w:highlight w:val="yellow"/>
        </w:rPr>
      </w:pPr>
    </w:p>
    <w:p>
      <w:p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投标人代表签字:______________</w:t>
      </w:r>
    </w:p>
    <w:p>
      <w:p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日期:___________________  </w:t>
      </w:r>
    </w:p>
    <w:p>
      <w:p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投标人名称:______________________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公章：</w:t>
      </w:r>
      <w:r>
        <w:rPr>
          <w:rFonts w:hint="eastAsia" w:asciiTheme="minorEastAsia" w:hAnsiTheme="minorEastAsia" w:eastAsiaTheme="minorEastAsia" w:cstheme="minorEastAsia"/>
          <w:sz w:val="21"/>
          <w:szCs w:val="21"/>
          <w:u w:val="single"/>
        </w:rPr>
        <w:t xml:space="preserve">                          </w:t>
      </w:r>
    </w:p>
    <w:p>
      <w:pPr>
        <w:pStyle w:val="45"/>
        <w:spacing w:line="360" w:lineRule="auto"/>
        <w:rPr>
          <w:rFonts w:hint="eastAsia" w:asciiTheme="minorEastAsia" w:hAnsiTheme="minorEastAsia" w:eastAsiaTheme="minorEastAsia" w:cstheme="minorEastAsia"/>
          <w:szCs w:val="21"/>
        </w:rPr>
      </w:pPr>
    </w:p>
    <w:p>
      <w:pPr>
        <w:topLinePunct/>
        <w:spacing w:line="360" w:lineRule="auto"/>
        <w:jc w:val="left"/>
        <w:rPr>
          <w:rFonts w:hint="eastAsia" w:asciiTheme="minorEastAsia" w:hAnsiTheme="minorEastAsia" w:eastAsiaTheme="minorEastAsia" w:cstheme="minorEastAsia"/>
        </w:rPr>
      </w:pPr>
    </w:p>
    <w:p>
      <w:pPr>
        <w:spacing w:line="360" w:lineRule="auto"/>
        <w:jc w:val="both"/>
        <w:rPr>
          <w:rFonts w:hint="eastAsia" w:asciiTheme="minorEastAsia" w:hAnsiTheme="minorEastAsia" w:eastAsiaTheme="minorEastAsia" w:cstheme="minorEastAsia"/>
          <w:b/>
          <w:sz w:val="28"/>
          <w:szCs w:val="21"/>
          <w:lang w:val="en-US" w:eastAsia="zh-CN"/>
        </w:rPr>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p>
    <w:p>
      <w:pPr>
        <w:pStyle w:val="4"/>
        <w:keepNext w:val="0"/>
        <w:keepLines w:val="0"/>
        <w:pageBreakBefore w:val="0"/>
        <w:kinsoku/>
        <w:overflowPunct/>
        <w:bidi w:val="0"/>
        <w:spacing w:before="0" w:beforeLines="0" w:beforeAutospacing="0" w:after="0" w:afterLines="0" w:afterAutospacing="0" w:line="360" w:lineRule="auto"/>
        <w:jc w:val="center"/>
        <w:outlineLvl w:val="1"/>
        <w:rPr>
          <w:rFonts w:hint="eastAsia" w:asciiTheme="minorEastAsia" w:hAnsiTheme="minorEastAsia" w:eastAsiaTheme="minorEastAsia" w:cstheme="minorEastAsia"/>
          <w:sz w:val="30"/>
          <w:szCs w:val="30"/>
        </w:rPr>
      </w:pPr>
      <w:bookmarkStart w:id="318" w:name="_Toc457748057"/>
      <w:bookmarkStart w:id="319" w:name="_Toc5732"/>
      <w:bookmarkStart w:id="320" w:name="_Toc392227913"/>
      <w:bookmarkStart w:id="321" w:name="_Toc1690"/>
      <w:r>
        <w:rPr>
          <w:rFonts w:hint="eastAsia" w:asciiTheme="minorEastAsia" w:hAnsiTheme="minorEastAsia" w:eastAsiaTheme="minorEastAsia" w:cstheme="minorEastAsia"/>
          <w:sz w:val="30"/>
          <w:szCs w:val="30"/>
        </w:rPr>
        <w:t>商务偏差表</w:t>
      </w:r>
      <w:bookmarkEnd w:id="318"/>
      <w:bookmarkEnd w:id="319"/>
      <w:bookmarkEnd w:id="320"/>
      <w:bookmarkEnd w:id="321"/>
    </w:p>
    <w:tbl>
      <w:tblPr>
        <w:tblStyle w:val="29"/>
        <w:tblW w:w="83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5" w:type="dxa"/>
          <w:left w:w="28" w:type="dxa"/>
          <w:bottom w:w="85" w:type="dxa"/>
          <w:right w:w="28" w:type="dxa"/>
        </w:tblCellMar>
      </w:tblPr>
      <w:tblGrid>
        <w:gridCol w:w="796"/>
        <w:gridCol w:w="1504"/>
        <w:gridCol w:w="1789"/>
        <w:gridCol w:w="1533"/>
        <w:gridCol w:w="1656"/>
        <w:gridCol w:w="10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79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504"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招标文件章节及条款号</w:t>
            </w:r>
          </w:p>
        </w:tc>
        <w:tc>
          <w:tcPr>
            <w:tcW w:w="178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招标要求</w:t>
            </w:r>
          </w:p>
        </w:tc>
        <w:tc>
          <w:tcPr>
            <w:tcW w:w="153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投标文件章节及条款号</w:t>
            </w:r>
          </w:p>
        </w:tc>
        <w:tc>
          <w:tcPr>
            <w:tcW w:w="165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投标响应</w:t>
            </w:r>
          </w:p>
        </w:tc>
        <w:tc>
          <w:tcPr>
            <w:tcW w:w="102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偏差说明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79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04"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78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3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5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2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79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04"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78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3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5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2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79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04"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78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3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5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2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79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04"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78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3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5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2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79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04"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78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3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5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2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79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04"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78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3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5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2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79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04"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78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3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5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2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79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04"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78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33"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56"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2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bl>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color w:val="auto"/>
          <w:sz w:val="24"/>
          <w:highlight w:val="yellow"/>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bCs/>
          <w:color w:val="auto"/>
          <w:sz w:val="21"/>
          <w:szCs w:val="21"/>
        </w:rPr>
        <w:t>说明：投标人须对招标文件的商务要求列出偏差内容，</w:t>
      </w:r>
      <w:r>
        <w:rPr>
          <w:rFonts w:hint="eastAsia" w:asciiTheme="minorEastAsia" w:hAnsiTheme="minorEastAsia" w:eastAsiaTheme="minorEastAsia" w:cstheme="minorEastAsia"/>
          <w:b/>
          <w:color w:val="auto"/>
          <w:sz w:val="21"/>
          <w:szCs w:val="21"/>
        </w:rPr>
        <w:t>如全部内容均无偏差，则注明“</w:t>
      </w:r>
      <w:r>
        <w:rPr>
          <w:rFonts w:hint="eastAsia" w:asciiTheme="minorEastAsia" w:hAnsiTheme="minorEastAsia" w:eastAsiaTheme="minorEastAsia" w:cstheme="minorEastAsia"/>
          <w:b/>
          <w:bCs/>
          <w:color w:val="auto"/>
          <w:sz w:val="21"/>
          <w:szCs w:val="21"/>
        </w:rPr>
        <w:t>均无偏差</w:t>
      </w:r>
      <w:r>
        <w:rPr>
          <w:rFonts w:hint="eastAsia" w:asciiTheme="minorEastAsia" w:hAnsiTheme="minorEastAsia" w:eastAsiaTheme="minorEastAsia" w:cstheme="minorEastAsia"/>
          <w:b/>
          <w:color w:val="auto"/>
          <w:sz w:val="21"/>
          <w:szCs w:val="21"/>
        </w:rPr>
        <w:t>”。投标人未填写本偏差表的，视作均无偏差，但在评审时将作不利于投标人的评判。</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sz w:val="21"/>
          <w:szCs w:val="21"/>
        </w:rPr>
      </w:pPr>
    </w:p>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keepNext w:val="0"/>
        <w:keepLines w:val="0"/>
        <w:pageBreakBefore w:val="0"/>
        <w:kinsoku/>
        <w:overflowPunct/>
        <w:topLinePunct/>
        <w:bidi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法定代表人（单位负责人）或其委托代理人：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4"/>
        <w:keepNext w:val="0"/>
        <w:keepLines w:val="0"/>
        <w:pageBreakBefore w:val="0"/>
        <w:kinsoku/>
        <w:overflowPunct/>
        <w:bidi w:val="0"/>
        <w:spacing w:before="0" w:beforeLines="0" w:beforeAutospacing="0" w:after="0" w:afterLines="0" w:afterAutospacing="0" w:line="360" w:lineRule="auto"/>
        <w:jc w:val="center"/>
        <w:outlineLvl w:val="1"/>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24"/>
          <w:szCs w:val="24"/>
        </w:rPr>
        <w:br w:type="page"/>
      </w:r>
      <w:bookmarkStart w:id="322" w:name="_Toc392227915"/>
      <w:bookmarkStart w:id="323" w:name="_Toc12241"/>
      <w:bookmarkStart w:id="324" w:name="_Toc457748058"/>
      <w:bookmarkStart w:id="325" w:name="_Toc5720"/>
      <w:bookmarkStart w:id="326" w:name="_Toc361508760"/>
      <w:r>
        <w:rPr>
          <w:rFonts w:hint="eastAsia" w:asciiTheme="minorEastAsia" w:hAnsiTheme="minorEastAsia" w:eastAsiaTheme="minorEastAsia" w:cstheme="minorEastAsia"/>
          <w:sz w:val="30"/>
          <w:szCs w:val="30"/>
        </w:rPr>
        <w:t>资格和履约能力证明资料</w:t>
      </w:r>
      <w:bookmarkEnd w:id="322"/>
      <w:bookmarkEnd w:id="323"/>
      <w:bookmarkEnd w:id="324"/>
      <w:bookmarkEnd w:id="325"/>
    </w:p>
    <w:p>
      <w:pPr>
        <w:keepNext w:val="0"/>
        <w:keepLines w:val="0"/>
        <w:pageBreakBefore w:val="0"/>
        <w:tabs>
          <w:tab w:val="left" w:pos="425"/>
        </w:tabs>
        <w:kinsoku/>
        <w:overflowPunct/>
        <w:bidi w:val="0"/>
        <w:spacing w:beforeAutospacing="0" w:afterAutospacing="0" w:line="360" w:lineRule="auto"/>
        <w:ind w:firstLine="316"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投标人应如实填写并提供证明材料。若填写内容和提供的材料与事实不符的，将依照《中华人民共和国政府采购法》第七十七条第一款的规定追究法律责任。</w:t>
      </w: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1"/>
          <w:szCs w:val="21"/>
        </w:rPr>
      </w:pPr>
      <w:bookmarkStart w:id="327" w:name="_Toc392227916"/>
      <w:bookmarkStart w:id="328" w:name="_Toc457748059"/>
      <w:r>
        <w:rPr>
          <w:rFonts w:hint="eastAsia" w:asciiTheme="minorEastAsia" w:hAnsiTheme="minorEastAsia" w:eastAsiaTheme="minorEastAsia" w:cstheme="minorEastAsia"/>
          <w:b/>
          <w:sz w:val="21"/>
          <w:szCs w:val="21"/>
        </w:rPr>
        <w:t>（一）</w:t>
      </w:r>
      <w:r>
        <w:rPr>
          <w:rFonts w:hint="eastAsia" w:asciiTheme="minorEastAsia" w:hAnsiTheme="minorEastAsia" w:eastAsiaTheme="minorEastAsia" w:cstheme="minorEastAsia"/>
          <w:b/>
          <w:sz w:val="21"/>
          <w:szCs w:val="21"/>
          <w:lang w:val="en-US" w:eastAsia="zh-CN"/>
        </w:rPr>
        <w:t>投标人</w:t>
      </w:r>
      <w:r>
        <w:rPr>
          <w:rFonts w:hint="eastAsia" w:asciiTheme="minorEastAsia" w:hAnsiTheme="minorEastAsia" w:eastAsiaTheme="minorEastAsia" w:cstheme="minorEastAsia"/>
          <w:b/>
          <w:sz w:val="21"/>
          <w:szCs w:val="21"/>
        </w:rPr>
        <w:t>基本情况</w:t>
      </w:r>
      <w:bookmarkEnd w:id="327"/>
      <w:bookmarkEnd w:id="328"/>
    </w:p>
    <w:p>
      <w:pPr>
        <w:pStyle w:val="5"/>
        <w:keepNext w:val="0"/>
        <w:keepLines w:val="0"/>
        <w:spacing w:before="0" w:after="0" w:line="360" w:lineRule="auto"/>
        <w:ind w:firstLine="732" w:firstLineChars="349"/>
        <w:rPr>
          <w:rFonts w:hint="eastAsia" w:ascii="宋体" w:hAnsi="宋体" w:eastAsia="宋体" w:cs="宋体"/>
          <w:bCs/>
          <w:sz w:val="21"/>
          <w:szCs w:val="21"/>
          <w:lang w:eastAsia="zh-CN"/>
        </w:rPr>
      </w:pPr>
      <w:r>
        <w:rPr>
          <w:rFonts w:hint="eastAsia" w:ascii="宋体" w:hAnsi="宋体" w:eastAsia="宋体" w:cs="宋体"/>
          <w:bCs/>
          <w:sz w:val="21"/>
          <w:szCs w:val="21"/>
        </w:rPr>
        <w:t>医疗器械经营许可证</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备案证</w:t>
      </w:r>
      <w:r>
        <w:rPr>
          <w:rFonts w:hint="eastAsia" w:ascii="宋体" w:hAnsi="宋体" w:eastAsia="宋体" w:cs="宋体"/>
          <w:bCs/>
          <w:sz w:val="21"/>
          <w:szCs w:val="21"/>
          <w:lang w:eastAsia="zh-CN"/>
        </w:rPr>
        <w:t>）</w:t>
      </w:r>
    </w:p>
    <w:p>
      <w:pPr>
        <w:pStyle w:val="5"/>
        <w:keepNext w:val="0"/>
        <w:keepLines w:val="0"/>
        <w:spacing w:before="0" w:after="0" w:line="360" w:lineRule="auto"/>
        <w:ind w:firstLine="732" w:firstLineChars="349"/>
        <w:rPr>
          <w:rFonts w:hint="eastAsia" w:ascii="宋体" w:hAnsi="宋体" w:eastAsia="宋体" w:cs="宋体"/>
          <w:bCs/>
          <w:sz w:val="21"/>
          <w:szCs w:val="21"/>
          <w:lang w:eastAsia="zh-CN"/>
        </w:rPr>
      </w:pPr>
      <w:r>
        <w:rPr>
          <w:rFonts w:hint="eastAsia" w:ascii="宋体" w:hAnsi="宋体" w:eastAsia="宋体" w:cs="宋体"/>
          <w:bCs/>
          <w:sz w:val="21"/>
          <w:szCs w:val="21"/>
        </w:rPr>
        <w:t>医疗器械注册证</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备案证</w:t>
      </w:r>
      <w:r>
        <w:rPr>
          <w:rFonts w:hint="eastAsia" w:ascii="宋体" w:hAnsi="宋体" w:eastAsia="宋体" w:cs="宋体"/>
          <w:bCs/>
          <w:sz w:val="21"/>
          <w:szCs w:val="21"/>
          <w:lang w:eastAsia="zh-CN"/>
        </w:rPr>
        <w:t>）</w:t>
      </w:r>
    </w:p>
    <w:p>
      <w:pPr>
        <w:pStyle w:val="5"/>
        <w:keepNext w:val="0"/>
        <w:keepLines w:val="0"/>
        <w:spacing w:before="0" w:after="0" w:line="360" w:lineRule="auto"/>
        <w:ind w:firstLine="732" w:firstLineChars="349"/>
        <w:rPr>
          <w:rFonts w:hint="default"/>
          <w:lang w:val="en-US"/>
        </w:rPr>
      </w:pPr>
      <w:r>
        <w:rPr>
          <w:rFonts w:hint="eastAsia" w:ascii="宋体" w:hAnsi="宋体" w:eastAsia="宋体" w:cs="宋体"/>
          <w:bCs/>
          <w:sz w:val="21"/>
          <w:szCs w:val="21"/>
          <w:lang w:val="en-US" w:eastAsia="zh-CN"/>
        </w:rPr>
        <w:t>质量体系认证证书等（如有）</w:t>
      </w:r>
    </w:p>
    <w:p>
      <w:pPr>
        <w:pStyle w:val="5"/>
        <w:keepNext w:val="0"/>
        <w:keepLines w:val="0"/>
        <w:spacing w:before="0" w:after="0" w:line="360" w:lineRule="auto"/>
        <w:ind w:firstLine="732" w:firstLineChars="349"/>
        <w:rPr>
          <w:rFonts w:hint="eastAsia" w:asciiTheme="minorEastAsia" w:hAnsiTheme="minorEastAsia" w:eastAsiaTheme="minorEastAsia" w:cstheme="minorEastAsia"/>
          <w:sz w:val="21"/>
          <w:szCs w:val="21"/>
        </w:rPr>
      </w:pPr>
      <w:r>
        <w:rPr>
          <w:rFonts w:hint="eastAsia" w:ascii="宋体" w:hAnsi="宋体" w:eastAsia="宋体" w:cs="宋体"/>
          <w:bCs/>
          <w:sz w:val="21"/>
          <w:szCs w:val="21"/>
          <w:lang w:val="en-US" w:eastAsia="zh-CN"/>
        </w:rPr>
        <w:t>以上资质须加盖投标人公章</w:t>
      </w:r>
    </w:p>
    <w:p>
      <w:pPr>
        <w:keepNext w:val="0"/>
        <w:keepLines w:val="0"/>
        <w:pageBreakBefore w:val="0"/>
        <w:numPr>
          <w:ilvl w:val="0"/>
          <w:numId w:val="0"/>
        </w:numPr>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widowControl w:val="0"/>
        <w:numPr>
          <w:ilvl w:val="0"/>
          <w:numId w:val="0"/>
        </w:numPr>
        <w:kinsoku/>
        <w:overflowPunct/>
        <w:bidi w:val="0"/>
        <w:spacing w:beforeAutospacing="0" w:afterAutospacing="0" w:line="360" w:lineRule="auto"/>
        <w:jc w:val="both"/>
        <w:rPr>
          <w:rFonts w:hint="eastAsia" w:asciiTheme="minorEastAsia" w:hAnsiTheme="minorEastAsia" w:eastAsiaTheme="minorEastAsia" w:cstheme="minorEastAsia"/>
          <w:sz w:val="24"/>
        </w:rPr>
      </w:pP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br w:type="page"/>
      </w:r>
      <w:r>
        <w:rPr>
          <w:rFonts w:hint="eastAsia" w:asciiTheme="minorEastAsia" w:hAnsiTheme="minorEastAsia" w:eastAsiaTheme="minorEastAsia" w:cstheme="minorEastAsia"/>
          <w:b/>
          <w:sz w:val="30"/>
          <w:szCs w:val="30"/>
        </w:rPr>
        <w:t>制造商出具的授权函</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none"/>
          <w:lang w:eastAsia="zh-CN"/>
        </w:rPr>
        <w:t>复旦大学附属妇产科医院</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w:t>
      </w:r>
      <w:r>
        <w:rPr>
          <w:rFonts w:hint="eastAsia" w:asciiTheme="minorEastAsia" w:hAnsiTheme="minorEastAsia" w:eastAsiaTheme="minorEastAsia" w:cstheme="minorEastAsia"/>
          <w:sz w:val="21"/>
          <w:szCs w:val="21"/>
          <w:u w:val="single"/>
        </w:rPr>
        <w:t>（制造商名称）</w:t>
      </w:r>
      <w:r>
        <w:rPr>
          <w:rFonts w:hint="eastAsia" w:asciiTheme="minorEastAsia" w:hAnsiTheme="minorEastAsia" w:eastAsiaTheme="minorEastAsia" w:cstheme="minorEastAsia"/>
          <w:sz w:val="21"/>
          <w:szCs w:val="21"/>
        </w:rPr>
        <w:t>是按</w:t>
      </w:r>
      <w:r>
        <w:rPr>
          <w:rFonts w:hint="eastAsia" w:asciiTheme="minorEastAsia" w:hAnsiTheme="minorEastAsia" w:eastAsiaTheme="minorEastAsia" w:cstheme="minorEastAsia"/>
          <w:sz w:val="21"/>
          <w:szCs w:val="21"/>
          <w:u w:val="single"/>
        </w:rPr>
        <w:t>（国家名称）</w:t>
      </w:r>
      <w:r>
        <w:rPr>
          <w:rFonts w:hint="eastAsia" w:asciiTheme="minorEastAsia" w:hAnsiTheme="minorEastAsia" w:eastAsiaTheme="minorEastAsia" w:cstheme="minorEastAsia"/>
          <w:sz w:val="21"/>
          <w:szCs w:val="21"/>
        </w:rPr>
        <w:t>法律成立的一家制造商，主要营业地点设在</w:t>
      </w:r>
      <w:r>
        <w:rPr>
          <w:rFonts w:hint="eastAsia" w:asciiTheme="minorEastAsia" w:hAnsiTheme="minorEastAsia" w:eastAsiaTheme="minorEastAsia" w:cstheme="minorEastAsia"/>
          <w:sz w:val="21"/>
          <w:szCs w:val="21"/>
          <w:u w:val="single"/>
        </w:rPr>
        <w:t>（制造商地址）</w:t>
      </w:r>
      <w:r>
        <w:rPr>
          <w:rFonts w:hint="eastAsia" w:asciiTheme="minorEastAsia" w:hAnsiTheme="minorEastAsia" w:eastAsiaTheme="minorEastAsia" w:cstheme="minorEastAsia"/>
          <w:sz w:val="21"/>
          <w:szCs w:val="21"/>
        </w:rPr>
        <w:t>。兹指派按中国的法律正式成立的，主要营业地点设在</w:t>
      </w:r>
      <w:r>
        <w:rPr>
          <w:rFonts w:hint="eastAsia" w:asciiTheme="minorEastAsia" w:hAnsiTheme="minorEastAsia" w:eastAsiaTheme="minorEastAsia" w:cstheme="minorEastAsia"/>
          <w:sz w:val="21"/>
          <w:szCs w:val="21"/>
          <w:u w:val="single"/>
        </w:rPr>
        <w:t>（投标人地址）</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u w:val="single"/>
        </w:rPr>
        <w:t>（投标人名称）</w:t>
      </w:r>
      <w:r>
        <w:rPr>
          <w:rFonts w:hint="eastAsia" w:asciiTheme="minorEastAsia" w:hAnsiTheme="minorEastAsia" w:eastAsiaTheme="minorEastAsia" w:cstheme="minorEastAsia"/>
          <w:sz w:val="21"/>
          <w:szCs w:val="21"/>
        </w:rPr>
        <w:t>作为我方真正的和合法的代理人进行下列有效的活动：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（1）代表我方办理贵方</w:t>
      </w:r>
      <w:r>
        <w:rPr>
          <w:rFonts w:hint="eastAsia" w:asciiTheme="minorEastAsia" w:hAnsiTheme="minorEastAsia" w:eastAsiaTheme="minorEastAsia" w:cstheme="minorEastAsia"/>
          <w:sz w:val="21"/>
          <w:szCs w:val="21"/>
          <w:u w:val="single"/>
          <w:lang w:eastAsia="zh-CN"/>
        </w:rPr>
        <w:t>多通道荧光定量基因扩增仪、招标编号</w:t>
      </w:r>
      <w:r>
        <w:rPr>
          <w:rFonts w:hint="eastAsia" w:asciiTheme="minorEastAsia" w:hAnsiTheme="minorEastAsia" w:eastAsiaTheme="minorEastAsia" w:cstheme="minorEastAsia"/>
          <w:sz w:val="21"/>
          <w:szCs w:val="21"/>
          <w:u w:val="single"/>
        </w:rPr>
        <w:t>0613-</w:t>
      </w:r>
      <w:r>
        <w:rPr>
          <w:rFonts w:hint="eastAsia" w:asciiTheme="minorEastAsia" w:hAnsiTheme="minorEastAsia" w:eastAsiaTheme="minorEastAsia" w:cstheme="minorEastAsia"/>
          <w:sz w:val="21"/>
          <w:szCs w:val="21"/>
          <w:u w:val="single"/>
          <w:lang w:eastAsia="zh-CN"/>
        </w:rPr>
        <w:t>217123062652</w:t>
      </w:r>
      <w:r>
        <w:rPr>
          <w:rFonts w:hint="eastAsia" w:asciiTheme="minorEastAsia" w:hAnsiTheme="minorEastAsia" w:eastAsiaTheme="minorEastAsia" w:cstheme="minorEastAsia"/>
          <w:sz w:val="21"/>
          <w:szCs w:val="21"/>
        </w:rPr>
        <w:t>要求提供的由我方制造的货物的有关事宜，并对我方具有约束力。</w:t>
      </w:r>
    </w:p>
    <w:p>
      <w:pPr>
        <w:tabs>
          <w:tab w:val="left" w:pos="0"/>
        </w:tabs>
        <w:spacing w:line="276"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授权产品的名称：_________</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Cs w:val="21"/>
        </w:rPr>
        <w:t>型号：___________</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（2）作为制造商，我方保证以投标合作者来约束自己，并对该投标共同和分别承担招标文件中所规定的义务。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（3）我方兹授予</w:t>
      </w:r>
      <w:r>
        <w:rPr>
          <w:rFonts w:hint="eastAsia" w:asciiTheme="minorEastAsia" w:hAnsiTheme="minorEastAsia" w:eastAsiaTheme="minorEastAsia" w:cstheme="minorEastAsia"/>
          <w:sz w:val="21"/>
          <w:szCs w:val="21"/>
          <w:u w:val="single"/>
        </w:rPr>
        <w:t>（投标人名称）</w:t>
      </w:r>
      <w:r>
        <w:rPr>
          <w:rFonts w:hint="eastAsia" w:asciiTheme="minorEastAsia" w:hAnsiTheme="minorEastAsia" w:eastAsiaTheme="minorEastAsia" w:cstheme="minorEastAsia"/>
          <w:sz w:val="21"/>
          <w:szCs w:val="21"/>
        </w:rPr>
        <w:t>全权办理和履行上述我方为完成上述各点所必须的事宜，具有替换或撤消的权力。兹确认</w:t>
      </w:r>
      <w:r>
        <w:rPr>
          <w:rFonts w:hint="eastAsia" w:asciiTheme="minorEastAsia" w:hAnsiTheme="minorEastAsia" w:eastAsiaTheme="minorEastAsia" w:cstheme="minorEastAsia"/>
          <w:sz w:val="21"/>
          <w:szCs w:val="21"/>
          <w:u w:val="single"/>
        </w:rPr>
        <w:t>（投标人名称）</w:t>
      </w:r>
      <w:r>
        <w:rPr>
          <w:rFonts w:hint="eastAsia" w:asciiTheme="minorEastAsia" w:hAnsiTheme="minorEastAsia" w:eastAsiaTheme="minorEastAsia" w:cstheme="minorEastAsia"/>
          <w:sz w:val="21"/>
          <w:szCs w:val="21"/>
        </w:rPr>
        <w:t>或其委托代理人依此合法地办理一切事宜。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我方于</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日签署本文件，</w:t>
      </w:r>
      <w:r>
        <w:rPr>
          <w:rFonts w:hint="eastAsia" w:asciiTheme="minorEastAsia" w:hAnsiTheme="minorEastAsia" w:eastAsiaTheme="minorEastAsia" w:cstheme="minorEastAsia"/>
          <w:sz w:val="21"/>
          <w:szCs w:val="21"/>
          <w:u w:val="single"/>
        </w:rPr>
        <w:t>（投标人名称）</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日接受此件，并根据招标文件的规定，保证为上述公司就此次招标而提交的货物承担全部质量保证责任，以此为证。</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投标人名称（盖章）：                  出具授权书的制造商名称（盖章）：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                  _____________________________</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                         法定代表人或</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其委托代理人姓名、职务：_________      其委托代理人姓名、职务：______</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签字或盖章：____________               签字或盖章：____________</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pStyle w:val="5"/>
        <w:keepNext w:val="0"/>
        <w:keepLines w:val="0"/>
        <w:pageBreakBefore w:val="0"/>
        <w:kinsoku/>
        <w:overflowPunct/>
        <w:bidi w:val="0"/>
        <w:spacing w:before="0" w:beforeLines="0" w:beforeAutospacing="0" w:after="0" w:afterLines="0" w:afterAutospacing="0" w:line="360" w:lineRule="auto"/>
        <w:ind w:firstLine="137"/>
        <w:jc w:val="left"/>
        <w:rPr>
          <w:rFonts w:hint="eastAsia" w:asciiTheme="minorEastAsia" w:hAnsiTheme="minorEastAsia" w:eastAsiaTheme="minorEastAsia" w:cstheme="minorEastAsia"/>
          <w:b/>
          <w:sz w:val="24"/>
          <w:szCs w:val="24"/>
        </w:rPr>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bookmarkStart w:id="329" w:name="_Toc457748060"/>
      <w:bookmarkStart w:id="330" w:name="_Toc392227918"/>
    </w:p>
    <w:p>
      <w:pPr>
        <w:pStyle w:val="5"/>
        <w:keepNext w:val="0"/>
        <w:keepLines w:val="0"/>
        <w:pageBreakBefore w:val="0"/>
        <w:kinsoku/>
        <w:overflowPunct/>
        <w:bidi w:val="0"/>
        <w:spacing w:before="0" w:beforeLines="0" w:beforeAutospacing="0" w:after="0" w:afterLines="0" w:afterAutospacing="0" w:line="360" w:lineRule="auto"/>
        <w:ind w:firstLine="137"/>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（二）业绩情况表</w:t>
      </w:r>
      <w:bookmarkEnd w:id="329"/>
      <w:bookmarkEnd w:id="330"/>
    </w:p>
    <w:p>
      <w:pPr>
        <w:keepNext w:val="0"/>
        <w:keepLines w:val="0"/>
        <w:pageBreakBefore w:val="0"/>
        <w:kinsoku/>
        <w:overflowPunct/>
        <w:bidi w:val="0"/>
        <w:spacing w:beforeAutospacing="0" w:afterAutospacing="0" w:line="360"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1、投标人业绩情况</w:t>
      </w:r>
    </w:p>
    <w:bookmarkEnd w:id="326"/>
    <w:tbl>
      <w:tblPr>
        <w:tblStyle w:val="29"/>
        <w:tblW w:w="14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2480"/>
        <w:gridCol w:w="1910"/>
        <w:gridCol w:w="1912"/>
        <w:gridCol w:w="1900"/>
        <w:gridCol w:w="190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vAlign w:val="center"/>
          </w:tcPr>
          <w:p>
            <w:pPr>
              <w:topLinePunct/>
              <w:spacing w:line="400" w:lineRule="exact"/>
              <w:jc w:val="center"/>
              <w:rPr>
                <w:rFonts w:hint="eastAsia" w:asciiTheme="minorEastAsia" w:hAnsiTheme="minorEastAsia" w:eastAsiaTheme="minorEastAsia" w:cstheme="minorEastAsia"/>
                <w:szCs w:val="21"/>
              </w:rPr>
            </w:pPr>
            <w:bookmarkStart w:id="331" w:name="_Toc300835217"/>
            <w:bookmarkStart w:id="332" w:name="_Toc352691669"/>
            <w:bookmarkStart w:id="333" w:name="_Toc28644"/>
            <w:bookmarkStart w:id="334" w:name="_Toc369531705"/>
            <w:r>
              <w:rPr>
                <w:rFonts w:hint="eastAsia" w:asciiTheme="minorEastAsia" w:hAnsiTheme="minorEastAsia" w:eastAsiaTheme="minorEastAsia" w:cstheme="minorEastAsia"/>
                <w:szCs w:val="21"/>
              </w:rPr>
              <w:t>产品名称</w:t>
            </w:r>
          </w:p>
        </w:tc>
        <w:tc>
          <w:tcPr>
            <w:tcW w:w="2480" w:type="dxa"/>
            <w:vAlign w:val="center"/>
          </w:tcPr>
          <w:p>
            <w:pPr>
              <w:topLinePunct/>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规格和型号</w:t>
            </w:r>
          </w:p>
        </w:tc>
        <w:tc>
          <w:tcPr>
            <w:tcW w:w="1910" w:type="dxa"/>
            <w:vAlign w:val="center"/>
          </w:tcPr>
          <w:p>
            <w:pPr>
              <w:topLinePunct/>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买方名称</w:t>
            </w:r>
          </w:p>
        </w:tc>
        <w:tc>
          <w:tcPr>
            <w:tcW w:w="1912" w:type="dxa"/>
            <w:vAlign w:val="center"/>
          </w:tcPr>
          <w:p>
            <w:pPr>
              <w:topLinePunct/>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买方联系人及电话</w:t>
            </w:r>
          </w:p>
        </w:tc>
        <w:tc>
          <w:tcPr>
            <w:tcW w:w="1900" w:type="dxa"/>
            <w:vAlign w:val="center"/>
          </w:tcPr>
          <w:p>
            <w:pPr>
              <w:topLinePunct/>
              <w:spacing w:line="400" w:lineRule="exact"/>
              <w:jc w:val="center"/>
              <w:rPr>
                <w:rFonts w:hint="eastAsia" w:ascii="宋体" w:hAnsi="宋体" w:eastAsia="宋体" w:cs="宋体"/>
                <w:kern w:val="2"/>
                <w:sz w:val="21"/>
                <w:szCs w:val="21"/>
                <w:lang w:val="en-US" w:eastAsia="zh-CN" w:bidi="ar-SA"/>
              </w:rPr>
            </w:pPr>
            <w:r>
              <w:rPr>
                <w:rFonts w:ascii="宋体" w:hAnsi="宋体"/>
                <w:szCs w:val="21"/>
              </w:rPr>
              <w:t>合同价格</w:t>
            </w:r>
            <w:r>
              <w:rPr>
                <w:rFonts w:hint="eastAsia" w:ascii="宋体" w:hAnsi="宋体"/>
                <w:szCs w:val="21"/>
              </w:rPr>
              <w:t>（可以隐藏价格）</w:t>
            </w:r>
          </w:p>
        </w:tc>
        <w:tc>
          <w:tcPr>
            <w:tcW w:w="1900" w:type="dxa"/>
            <w:vAlign w:val="center"/>
          </w:tcPr>
          <w:p>
            <w:pPr>
              <w:topLinePunct/>
              <w:spacing w:line="4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合同签订日期</w:t>
            </w:r>
          </w:p>
        </w:tc>
        <w:tc>
          <w:tcPr>
            <w:tcW w:w="1897" w:type="dxa"/>
            <w:vAlign w:val="center"/>
          </w:tcPr>
          <w:p>
            <w:pPr>
              <w:topLinePunct/>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vAlign w:val="center"/>
          </w:tcPr>
          <w:p>
            <w:pPr>
              <w:topLinePunct/>
              <w:spacing w:line="400" w:lineRule="exact"/>
              <w:jc w:val="center"/>
              <w:rPr>
                <w:rFonts w:hint="eastAsia" w:asciiTheme="minorEastAsia" w:hAnsiTheme="minorEastAsia" w:eastAsiaTheme="minorEastAsia" w:cstheme="minorEastAsia"/>
                <w:szCs w:val="21"/>
              </w:rPr>
            </w:pPr>
          </w:p>
        </w:tc>
        <w:tc>
          <w:tcPr>
            <w:tcW w:w="248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2"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897" w:type="dxa"/>
            <w:vAlign w:val="center"/>
          </w:tcPr>
          <w:p>
            <w:pPr>
              <w:topLinePunct/>
              <w:spacing w:line="400" w:lineRule="exact"/>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vAlign w:val="center"/>
          </w:tcPr>
          <w:p>
            <w:pPr>
              <w:topLinePunct/>
              <w:spacing w:line="400" w:lineRule="exact"/>
              <w:jc w:val="center"/>
              <w:rPr>
                <w:rFonts w:hint="eastAsia" w:asciiTheme="minorEastAsia" w:hAnsiTheme="minorEastAsia" w:eastAsiaTheme="minorEastAsia" w:cstheme="minorEastAsia"/>
                <w:szCs w:val="21"/>
              </w:rPr>
            </w:pPr>
          </w:p>
        </w:tc>
        <w:tc>
          <w:tcPr>
            <w:tcW w:w="248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2"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897" w:type="dxa"/>
            <w:vAlign w:val="center"/>
          </w:tcPr>
          <w:p>
            <w:pPr>
              <w:topLinePunct/>
              <w:spacing w:line="400" w:lineRule="exact"/>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6" w:type="dxa"/>
            <w:vAlign w:val="center"/>
          </w:tcPr>
          <w:p>
            <w:pPr>
              <w:topLinePunct/>
              <w:spacing w:line="400" w:lineRule="exact"/>
              <w:jc w:val="center"/>
              <w:rPr>
                <w:rFonts w:hint="eastAsia" w:asciiTheme="minorEastAsia" w:hAnsiTheme="minorEastAsia" w:eastAsiaTheme="minorEastAsia" w:cstheme="minorEastAsia"/>
                <w:szCs w:val="21"/>
              </w:rPr>
            </w:pPr>
          </w:p>
        </w:tc>
        <w:tc>
          <w:tcPr>
            <w:tcW w:w="248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2"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897" w:type="dxa"/>
            <w:vAlign w:val="center"/>
          </w:tcPr>
          <w:p>
            <w:pPr>
              <w:topLinePunct/>
              <w:spacing w:line="400" w:lineRule="exact"/>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vAlign w:val="center"/>
          </w:tcPr>
          <w:p>
            <w:pPr>
              <w:topLinePunct/>
              <w:spacing w:line="400" w:lineRule="exact"/>
              <w:jc w:val="center"/>
              <w:rPr>
                <w:rFonts w:hint="eastAsia" w:asciiTheme="minorEastAsia" w:hAnsiTheme="minorEastAsia" w:eastAsiaTheme="minorEastAsia" w:cstheme="minorEastAsia"/>
                <w:szCs w:val="21"/>
              </w:rPr>
            </w:pPr>
          </w:p>
        </w:tc>
        <w:tc>
          <w:tcPr>
            <w:tcW w:w="248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2"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897" w:type="dxa"/>
            <w:vAlign w:val="center"/>
          </w:tcPr>
          <w:p>
            <w:pPr>
              <w:topLinePunct/>
              <w:spacing w:line="400" w:lineRule="exact"/>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vAlign w:val="center"/>
          </w:tcPr>
          <w:p>
            <w:pPr>
              <w:topLinePunct/>
              <w:spacing w:line="400" w:lineRule="exact"/>
              <w:jc w:val="center"/>
              <w:rPr>
                <w:rFonts w:hint="eastAsia" w:asciiTheme="minorEastAsia" w:hAnsiTheme="minorEastAsia" w:eastAsiaTheme="minorEastAsia" w:cstheme="minorEastAsia"/>
                <w:szCs w:val="21"/>
              </w:rPr>
            </w:pPr>
          </w:p>
        </w:tc>
        <w:tc>
          <w:tcPr>
            <w:tcW w:w="248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2"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897" w:type="dxa"/>
            <w:vAlign w:val="center"/>
          </w:tcPr>
          <w:p>
            <w:pPr>
              <w:topLinePunct/>
              <w:spacing w:line="400" w:lineRule="exact"/>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vAlign w:val="center"/>
          </w:tcPr>
          <w:p>
            <w:pPr>
              <w:topLinePunct/>
              <w:spacing w:line="400" w:lineRule="exact"/>
              <w:jc w:val="left"/>
              <w:rPr>
                <w:rFonts w:hint="eastAsia" w:asciiTheme="minorEastAsia" w:hAnsiTheme="minorEastAsia" w:eastAsiaTheme="minorEastAsia" w:cstheme="minorEastAsia"/>
                <w:szCs w:val="21"/>
              </w:rPr>
            </w:pPr>
          </w:p>
        </w:tc>
        <w:tc>
          <w:tcPr>
            <w:tcW w:w="248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2"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897" w:type="dxa"/>
            <w:vAlign w:val="center"/>
          </w:tcPr>
          <w:p>
            <w:pPr>
              <w:topLinePunct/>
              <w:spacing w:line="400" w:lineRule="exact"/>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6" w:type="dxa"/>
            <w:vAlign w:val="center"/>
          </w:tcPr>
          <w:p>
            <w:pPr>
              <w:topLinePunct/>
              <w:spacing w:line="400" w:lineRule="exact"/>
              <w:jc w:val="center"/>
              <w:rPr>
                <w:rFonts w:hint="eastAsia" w:asciiTheme="minorEastAsia" w:hAnsiTheme="minorEastAsia" w:eastAsiaTheme="minorEastAsia" w:cstheme="minorEastAsia"/>
                <w:szCs w:val="21"/>
              </w:rPr>
            </w:pPr>
          </w:p>
        </w:tc>
        <w:tc>
          <w:tcPr>
            <w:tcW w:w="248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12"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900" w:type="dxa"/>
            <w:vAlign w:val="center"/>
          </w:tcPr>
          <w:p>
            <w:pPr>
              <w:topLinePunct/>
              <w:spacing w:line="400" w:lineRule="exact"/>
              <w:jc w:val="center"/>
              <w:rPr>
                <w:rFonts w:hint="eastAsia" w:asciiTheme="minorEastAsia" w:hAnsiTheme="minorEastAsia" w:eastAsiaTheme="minorEastAsia" w:cstheme="minorEastAsia"/>
                <w:szCs w:val="21"/>
              </w:rPr>
            </w:pPr>
          </w:p>
        </w:tc>
        <w:tc>
          <w:tcPr>
            <w:tcW w:w="1897" w:type="dxa"/>
            <w:vAlign w:val="center"/>
          </w:tcPr>
          <w:p>
            <w:pPr>
              <w:topLinePunct/>
              <w:spacing w:line="400" w:lineRule="exact"/>
              <w:jc w:val="center"/>
              <w:rPr>
                <w:rFonts w:hint="eastAsia" w:asciiTheme="minorEastAsia" w:hAnsiTheme="minorEastAsia" w:eastAsiaTheme="minorEastAsia" w:cstheme="minorEastAsia"/>
                <w:szCs w:val="21"/>
              </w:rPr>
            </w:pPr>
          </w:p>
        </w:tc>
      </w:tr>
    </w:tbl>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bookmarkEnd w:id="331"/>
      <w:r>
        <w:rPr>
          <w:rFonts w:hint="eastAsia" w:asciiTheme="minorEastAsia" w:hAnsiTheme="minorEastAsia" w:eastAsiaTheme="minorEastAsia" w:cstheme="minorEastAsia"/>
          <w:sz w:val="21"/>
          <w:szCs w:val="21"/>
        </w:rPr>
        <w:t>如投标人须知对</w:t>
      </w:r>
      <w:r>
        <w:rPr>
          <w:rFonts w:hint="eastAsia" w:asciiTheme="minorEastAsia" w:hAnsiTheme="minorEastAsia" w:eastAsiaTheme="minorEastAsia" w:cstheme="minorEastAsia"/>
          <w:color w:val="auto"/>
          <w:sz w:val="21"/>
          <w:szCs w:val="21"/>
        </w:rPr>
        <w:t>投标人业绩有要求的，投标</w:t>
      </w:r>
      <w:bookmarkEnd w:id="332"/>
      <w:bookmarkEnd w:id="333"/>
      <w:bookmarkEnd w:id="334"/>
      <w:r>
        <w:rPr>
          <w:rFonts w:hint="eastAsia" w:asciiTheme="minorEastAsia" w:hAnsiTheme="minorEastAsia" w:eastAsiaTheme="minorEastAsia" w:cstheme="minorEastAsia"/>
          <w:color w:val="auto"/>
          <w:sz w:val="21"/>
          <w:szCs w:val="21"/>
        </w:rPr>
        <w:t>人应填写本表并根据投标人须知的要求在本表后附合同复印件。</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2、投标设备的业绩情况</w:t>
      </w:r>
    </w:p>
    <w:p>
      <w:pPr>
        <w:keepNext w:val="0"/>
        <w:keepLines w:val="0"/>
        <w:pageBreakBefore w:val="0"/>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如投标人须知要求投标人提供投标设备的业绩的，投标人应按照上表的格式和要求提供投标设备的业绩情况及相关证明材料。</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1"/>
          <w:szCs w:val="21"/>
        </w:rPr>
        <w:sectPr>
          <w:pgSz w:w="16783" w:h="11850" w:orient="landscape"/>
          <w:pgMar w:top="1803" w:right="1440" w:bottom="1803" w:left="1440" w:header="720" w:footer="720" w:gutter="0"/>
          <w:pgBorders>
            <w:top w:val="none" w:sz="0" w:space="0"/>
            <w:left w:val="none" w:sz="0" w:space="0"/>
            <w:bottom w:val="none" w:sz="0" w:space="0"/>
            <w:right w:val="none" w:sz="0" w:space="0"/>
          </w:pgBorders>
          <w:cols w:space="720" w:num="1"/>
          <w:rtlGutter w:val="0"/>
          <w:docGrid w:linePitch="286" w:charSpace="0"/>
        </w:sectPr>
      </w:pPr>
      <w:bookmarkStart w:id="335" w:name="_Toc457748061"/>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val="en-US" w:eastAsia="zh-CN"/>
        </w:rPr>
        <w:t>三</w:t>
      </w:r>
      <w:r>
        <w:rPr>
          <w:rFonts w:hint="eastAsia" w:asciiTheme="minorEastAsia" w:hAnsiTheme="minorEastAsia" w:eastAsiaTheme="minorEastAsia" w:cstheme="minorEastAsia"/>
          <w:b/>
          <w:sz w:val="21"/>
          <w:szCs w:val="21"/>
        </w:rPr>
        <w:t>）银行资信证明</w:t>
      </w:r>
      <w:bookmarkEnd w:id="335"/>
    </w:p>
    <w:p>
      <w:pPr>
        <w:keepNext w:val="0"/>
        <w:keepLines w:val="0"/>
        <w:pageBreakBefore w:val="0"/>
        <w:kinsoku/>
        <w:overflowPunct/>
        <w:bidi w:val="0"/>
        <w:spacing w:beforeAutospacing="0" w:afterAutospacing="0"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投标人须提供其基本开户</w:t>
      </w:r>
      <w:r>
        <w:rPr>
          <w:rFonts w:hint="eastAsia" w:asciiTheme="minorEastAsia" w:hAnsiTheme="minorEastAsia" w:eastAsiaTheme="minorEastAsia" w:cstheme="minorEastAsia"/>
          <w:color w:val="auto"/>
          <w:sz w:val="21"/>
          <w:szCs w:val="21"/>
        </w:rPr>
        <w:t>银行在开标前</w:t>
      </w:r>
      <w:r>
        <w:rPr>
          <w:rFonts w:hint="eastAsia" w:asciiTheme="minorEastAsia" w:hAnsiTheme="minorEastAsia" w:eastAsiaTheme="minorEastAsia" w:cstheme="minorEastAsia"/>
          <w:color w:val="auto"/>
          <w:sz w:val="21"/>
          <w:szCs w:val="21"/>
          <w:lang w:eastAsia="zh-CN"/>
        </w:rPr>
        <w:t>六个</w:t>
      </w:r>
      <w:r>
        <w:rPr>
          <w:rFonts w:hint="eastAsia" w:asciiTheme="minorEastAsia" w:hAnsiTheme="minorEastAsia" w:eastAsiaTheme="minorEastAsia" w:cstheme="minorEastAsia"/>
          <w:color w:val="auto"/>
          <w:sz w:val="21"/>
          <w:szCs w:val="21"/>
        </w:rPr>
        <w:t>月内开具的资信证明的原件的复印件</w:t>
      </w:r>
      <w:r>
        <w:rPr>
          <w:rFonts w:hint="eastAsia" w:asciiTheme="minorEastAsia" w:hAnsiTheme="minorEastAsia" w:eastAsiaTheme="minorEastAsia" w:cstheme="minorEastAsia"/>
          <w:b/>
          <w:color w:val="auto"/>
          <w:sz w:val="21"/>
          <w:szCs w:val="21"/>
        </w:rPr>
        <w:t>（无需针对本招标项目）</w:t>
      </w:r>
      <w:r>
        <w:rPr>
          <w:rFonts w:hint="eastAsia" w:asciiTheme="minorEastAsia" w:hAnsiTheme="minorEastAsia" w:eastAsiaTheme="minorEastAsia" w:cstheme="minorEastAsia"/>
          <w:color w:val="auto"/>
          <w:sz w:val="21"/>
          <w:szCs w:val="21"/>
        </w:rPr>
        <w:t>。</w:t>
      </w:r>
    </w:p>
    <w:p>
      <w:pPr>
        <w:keepNext w:val="0"/>
        <w:keepLines w:val="0"/>
        <w:pageBreakBefore w:val="0"/>
        <w:kinsoku/>
        <w:overflowPunct/>
        <w:bidi w:val="0"/>
        <w:spacing w:beforeAutospacing="0" w:afterAutospacing="0" w:line="360" w:lineRule="auto"/>
        <w:ind w:firstLine="630" w:firstLineChars="300"/>
        <w:rPr>
          <w:rFonts w:hint="eastAsia" w:asciiTheme="minorEastAsia" w:hAnsiTheme="minorEastAsia" w:eastAsiaTheme="minorEastAsia" w:cstheme="minorEastAsia"/>
          <w:sz w:val="21"/>
          <w:szCs w:val="21"/>
        </w:rPr>
      </w:pP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1"/>
          <w:szCs w:val="21"/>
        </w:rPr>
      </w:pPr>
      <w:bookmarkStart w:id="336" w:name="_Toc392227917"/>
      <w:bookmarkStart w:id="337" w:name="_Toc457748062"/>
      <w:r>
        <w:rPr>
          <w:rFonts w:hint="eastAsia" w:asciiTheme="minorEastAsia" w:hAnsiTheme="minorEastAsia" w:eastAsiaTheme="minorEastAsia" w:cstheme="minorEastAsia"/>
          <w:b/>
          <w:sz w:val="21"/>
          <w:szCs w:val="21"/>
        </w:rPr>
        <w:br w:type="page"/>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val="en-US" w:eastAsia="zh-CN"/>
        </w:rPr>
        <w:t>四</w:t>
      </w:r>
      <w:r>
        <w:rPr>
          <w:rFonts w:hint="eastAsia" w:asciiTheme="minorEastAsia" w:hAnsiTheme="minorEastAsia" w:eastAsiaTheme="minorEastAsia" w:cstheme="minorEastAsia"/>
          <w:b/>
          <w:sz w:val="21"/>
          <w:szCs w:val="21"/>
        </w:rPr>
        <w:t>）近年经审计的财务</w:t>
      </w:r>
      <w:bookmarkEnd w:id="336"/>
      <w:bookmarkEnd w:id="337"/>
      <w:r>
        <w:rPr>
          <w:rFonts w:hint="eastAsia" w:asciiTheme="minorEastAsia" w:hAnsiTheme="minorEastAsia" w:eastAsiaTheme="minorEastAsia" w:cstheme="minorEastAsia"/>
          <w:b/>
          <w:sz w:val="21"/>
          <w:szCs w:val="21"/>
        </w:rPr>
        <w:t>报告</w:t>
      </w:r>
    </w:p>
    <w:p>
      <w:pPr>
        <w:keepNext w:val="0"/>
        <w:keepLines w:val="0"/>
        <w:pageBreakBefore w:val="0"/>
        <w:tabs>
          <w:tab w:val="left" w:pos="425"/>
        </w:tabs>
        <w:kinsoku/>
        <w:overflowPunct/>
        <w:bidi w:val="0"/>
        <w:spacing w:beforeAutospacing="0" w:afterAutospacing="0"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投标人须根据投标人须知的规定，提供一定</w:t>
      </w:r>
      <w:r>
        <w:rPr>
          <w:rFonts w:hint="eastAsia" w:asciiTheme="minorEastAsia" w:hAnsiTheme="minorEastAsia" w:eastAsiaTheme="minorEastAsia" w:cstheme="minorEastAsia"/>
          <w:color w:val="auto"/>
          <w:sz w:val="21"/>
          <w:szCs w:val="21"/>
        </w:rPr>
        <w:t>期限内的经审计的财务报告，包括“四表一注”，即资产负债表、利润表、现金流量表、所有者权益变动表及其附注等。</w:t>
      </w:r>
    </w:p>
    <w:p>
      <w:pPr>
        <w:keepNext w:val="0"/>
        <w:keepLines w:val="0"/>
        <w:pageBreakBefore w:val="0"/>
        <w:tabs>
          <w:tab w:val="left" w:pos="425"/>
        </w:tabs>
        <w:kinsoku/>
        <w:overflowPunct/>
        <w:bidi w:val="0"/>
        <w:spacing w:beforeAutospacing="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提供的具体年份要求见投标人须知前附表。投标人的成立时间少于投标人须知前附表规定年份的，应提供成立以来的财务状况表。</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1"/>
          <w:szCs w:val="21"/>
        </w:rPr>
      </w:pPr>
      <w:bookmarkStart w:id="338" w:name="_Toc392227919"/>
      <w:bookmarkStart w:id="339" w:name="_Toc457748063"/>
      <w:r>
        <w:rPr>
          <w:rFonts w:hint="eastAsia" w:asciiTheme="minorEastAsia" w:hAnsiTheme="minorEastAsia" w:eastAsiaTheme="minorEastAsia" w:cstheme="minorEastAsia"/>
          <w:b/>
          <w:sz w:val="21"/>
          <w:szCs w:val="21"/>
        </w:rPr>
        <w:br w:type="page"/>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val="en-US" w:eastAsia="zh-CN"/>
        </w:rPr>
        <w:t>五</w:t>
      </w:r>
      <w:r>
        <w:rPr>
          <w:rFonts w:hint="eastAsia" w:asciiTheme="minorEastAsia" w:hAnsiTheme="minorEastAsia" w:eastAsiaTheme="minorEastAsia" w:cstheme="minorEastAsia"/>
          <w:b/>
          <w:sz w:val="21"/>
          <w:szCs w:val="21"/>
        </w:rPr>
        <w:t>）</w:t>
      </w:r>
      <w:bookmarkEnd w:id="338"/>
      <w:r>
        <w:rPr>
          <w:rFonts w:hint="eastAsia" w:asciiTheme="minorEastAsia" w:hAnsiTheme="minorEastAsia" w:eastAsiaTheme="minorEastAsia" w:cstheme="minorEastAsia"/>
          <w:b/>
          <w:sz w:val="21"/>
          <w:szCs w:val="21"/>
        </w:rPr>
        <w:t xml:space="preserve"> 依法缴纳税收和社会保障金的证明</w:t>
      </w:r>
    </w:p>
    <w:p>
      <w:pPr>
        <w:keepNext w:val="0"/>
        <w:keepLines w:val="0"/>
        <w:pageBreakBefore w:val="0"/>
        <w:kinsoku/>
        <w:overflowPunct/>
        <w:bidi w:val="0"/>
        <w:spacing w:beforeAutospacing="0" w:afterAutospacing="0" w:line="360" w:lineRule="auto"/>
        <w:ind w:firstLine="525" w:firstLineChars="2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投标人须根据投标人须知的规定，提供一定期限内的缴纳增值税、营业税和企业所得税的凭据和缴纳社会保险的凭据。</w:t>
      </w:r>
    </w:p>
    <w:p>
      <w:pPr>
        <w:keepNext w:val="0"/>
        <w:keepLines w:val="0"/>
        <w:pageBreakBefore w:val="0"/>
        <w:kinsoku/>
        <w:overflowPunct/>
        <w:bidi w:val="0"/>
        <w:spacing w:beforeAutospacing="0" w:afterAutospacing="0" w:line="360" w:lineRule="auto"/>
        <w:ind w:firstLine="525" w:firstLineChars="2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提供的期限要求见投标人须知前附表。投标人的成立时间少于投标人须知前附表规定期限的，应提供成立以来的上述缴款证明。</w:t>
      </w:r>
    </w:p>
    <w:p>
      <w:pPr>
        <w:keepNext w:val="0"/>
        <w:keepLines w:val="0"/>
        <w:pageBreakBefore w:val="0"/>
        <w:kinsoku/>
        <w:overflowPunct/>
        <w:bidi w:val="0"/>
        <w:spacing w:beforeAutospacing="0" w:afterAutospacing="0" w:line="360" w:lineRule="auto"/>
        <w:ind w:firstLine="527" w:firstLineChars="25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依法免税或不需要缴纳社会保障资金的投标人，应提供依法免税或不需要缴纳社会保障资金的证明。</w:t>
      </w:r>
    </w:p>
    <w:p>
      <w:pPr>
        <w:keepNext w:val="0"/>
        <w:keepLines w:val="0"/>
        <w:pageBreakBefore w:val="0"/>
        <w:kinsoku/>
        <w:overflowPunct/>
        <w:bidi w:val="0"/>
        <w:spacing w:beforeAutospacing="0" w:afterAutospacing="0"/>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rPr>
          <w:rFonts w:hint="eastAsia" w:asciiTheme="minorEastAsia" w:hAnsiTheme="minorEastAsia" w:eastAsiaTheme="minorEastAsia" w:cstheme="minorEastAsia"/>
          <w:sz w:val="21"/>
          <w:szCs w:val="21"/>
        </w:rPr>
      </w:pP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br w:type="page"/>
      </w:r>
      <w:r>
        <w:rPr>
          <w:rFonts w:hint="eastAsia" w:asciiTheme="minorEastAsia" w:hAnsiTheme="minorEastAsia" w:eastAsiaTheme="minorEastAsia" w:cstheme="minorEastAsia"/>
          <w:b/>
          <w:sz w:val="21"/>
          <w:szCs w:val="21"/>
        </w:rPr>
        <w:t>（六）</w:t>
      </w:r>
      <w:bookmarkEnd w:id="339"/>
      <w:r>
        <w:rPr>
          <w:rFonts w:hint="eastAsia" w:asciiTheme="minorEastAsia" w:hAnsiTheme="minorEastAsia" w:eastAsiaTheme="minorEastAsia" w:cstheme="minorEastAsia"/>
          <w:b/>
          <w:sz w:val="21"/>
          <w:szCs w:val="21"/>
        </w:rPr>
        <w:t>参加本次政府采购活动前3年内在经营活动中没有重大违法记录的承诺书，截止至开标日成立不足3年的投标人可提供自成立以来无重大违法记录的承诺书</w:t>
      </w:r>
    </w:p>
    <w:p>
      <w:pPr>
        <w:spacing w:line="276"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近3年</w:t>
      </w:r>
      <w:r>
        <w:rPr>
          <w:rFonts w:hint="eastAsia" w:asciiTheme="minorEastAsia" w:hAnsiTheme="minorEastAsia" w:eastAsiaTheme="minorEastAsia" w:cstheme="minorEastAsia"/>
          <w:b/>
          <w:bCs/>
          <w:sz w:val="28"/>
          <w:szCs w:val="28"/>
          <w:lang w:val="en-US" w:eastAsia="zh-CN"/>
        </w:rPr>
        <w:t>投标人重大违法</w:t>
      </w:r>
      <w:r>
        <w:rPr>
          <w:rFonts w:hint="eastAsia" w:asciiTheme="minorEastAsia" w:hAnsiTheme="minorEastAsia" w:eastAsiaTheme="minorEastAsia" w:cstheme="minorEastAsia"/>
          <w:b/>
          <w:bCs/>
          <w:sz w:val="28"/>
          <w:szCs w:val="28"/>
        </w:rPr>
        <w:t>的书面声明</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复旦大学附属妇产科医院</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p>
    <w:p>
      <w:pPr>
        <w:spacing w:line="360" w:lineRule="auto"/>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2018年6月1日起至今</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（投标人名称）</w:t>
      </w:r>
      <w:r>
        <w:rPr>
          <w:rFonts w:hint="eastAsia" w:asciiTheme="minorEastAsia" w:hAnsiTheme="minorEastAsia" w:eastAsiaTheme="minorEastAsia" w:cstheme="minorEastAsia"/>
        </w:rPr>
        <w:t>（统一社会信用代码：_____________），</w:t>
      </w:r>
      <w:r>
        <w:rPr>
          <w:rFonts w:hint="eastAsia" w:asciiTheme="minorEastAsia" w:hAnsiTheme="minorEastAsia" w:eastAsiaTheme="minorEastAsia" w:cstheme="minorEastAsia"/>
          <w:lang w:val="en-US" w:eastAsia="zh-CN"/>
        </w:rPr>
        <w:t>现声明如下：</w:t>
      </w:r>
    </w:p>
    <w:p>
      <w:pPr>
        <w:numPr>
          <w:ilvl w:val="0"/>
          <w:numId w:val="16"/>
        </w:num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未</w:t>
      </w:r>
      <w:r>
        <w:rPr>
          <w:rFonts w:hint="eastAsia" w:asciiTheme="minorEastAsia" w:hAnsiTheme="minorEastAsia" w:eastAsiaTheme="minorEastAsia" w:cstheme="minorEastAsia"/>
          <w:szCs w:val="21"/>
        </w:rPr>
        <w:t>出现重大质量和安全事故不良记录</w:t>
      </w:r>
      <w:r>
        <w:rPr>
          <w:rFonts w:hint="eastAsia" w:asciiTheme="minorEastAsia" w:hAnsiTheme="minorEastAsia" w:eastAsiaTheme="minorEastAsia" w:cstheme="minorEastAsia"/>
          <w:szCs w:val="21"/>
          <w:lang w:eastAsia="zh-CN"/>
        </w:rPr>
        <w:t>；</w:t>
      </w:r>
    </w:p>
    <w:p>
      <w:pPr>
        <w:numPr>
          <w:ilvl w:val="0"/>
          <w:numId w:val="16"/>
        </w:num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在最近三年内没有骗取中标或者重大的质量问题；</w:t>
      </w:r>
    </w:p>
    <w:p>
      <w:pPr>
        <w:numPr>
          <w:ilvl w:val="0"/>
          <w:numId w:val="16"/>
        </w:num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没有严重违约；</w:t>
      </w:r>
    </w:p>
    <w:p>
      <w:pPr>
        <w:numPr>
          <w:ilvl w:val="0"/>
          <w:numId w:val="16"/>
        </w:numPr>
        <w:spacing w:line="360" w:lineRule="auto"/>
        <w:ind w:firstLine="420" w:firstLineChars="200"/>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szCs w:val="21"/>
          <w:lang w:val="en-US" w:eastAsia="zh-CN"/>
        </w:rPr>
        <w:t>未被责令停产停业、暂扣或</w:t>
      </w:r>
      <w:r>
        <w:rPr>
          <w:rFonts w:hint="eastAsia" w:asciiTheme="minorEastAsia" w:hAnsiTheme="minorEastAsia" w:eastAsiaTheme="minorEastAsia" w:cstheme="minorEastAsia"/>
          <w:b w:val="0"/>
          <w:bCs w:val="0"/>
          <w:szCs w:val="21"/>
          <w:lang w:val="en-US" w:eastAsia="zh-CN"/>
        </w:rPr>
        <w:t>者吊销许可证、暂扣或者吊销执照的；</w:t>
      </w:r>
    </w:p>
    <w:p>
      <w:pPr>
        <w:numPr>
          <w:ilvl w:val="0"/>
          <w:numId w:val="16"/>
        </w:numPr>
        <w:spacing w:line="360" w:lineRule="auto"/>
        <w:ind w:firstLine="420" w:firstLineChars="200"/>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 w:val="21"/>
          <w:szCs w:val="21"/>
          <w:lang w:val="en-US" w:eastAsia="zh-CN"/>
        </w:rPr>
        <w:t>无</w:t>
      </w:r>
      <w:r>
        <w:rPr>
          <w:rFonts w:hint="eastAsia" w:asciiTheme="minorEastAsia" w:hAnsiTheme="minorEastAsia" w:eastAsiaTheme="minorEastAsia" w:cstheme="minorEastAsia"/>
          <w:b w:val="0"/>
          <w:bCs w:val="0"/>
          <w:sz w:val="21"/>
          <w:szCs w:val="21"/>
        </w:rPr>
        <w:t>因违法经营受到刑事处罚或者较大数额罚款等行政处罚</w:t>
      </w:r>
      <w:r>
        <w:rPr>
          <w:rFonts w:hint="eastAsia" w:asciiTheme="minorEastAsia" w:hAnsiTheme="minorEastAsia" w:eastAsiaTheme="minorEastAsia" w:cstheme="minorEastAsia"/>
          <w:b w:val="0"/>
          <w:bCs w:val="0"/>
          <w:sz w:val="21"/>
          <w:szCs w:val="21"/>
          <w:lang w:eastAsia="zh-CN"/>
        </w:rPr>
        <w:t>；</w:t>
      </w:r>
    </w:p>
    <w:p>
      <w:pPr>
        <w:numPr>
          <w:ilvl w:val="0"/>
          <w:numId w:val="16"/>
        </w:numPr>
        <w:spacing w:line="360" w:lineRule="auto"/>
        <w:ind w:firstLine="420" w:firstLineChars="200"/>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未处于投标资格被暂停或取消、财产被接管、冻结、破产等状态；</w:t>
      </w:r>
    </w:p>
    <w:p>
      <w:pPr>
        <w:numPr>
          <w:ilvl w:val="0"/>
          <w:numId w:val="16"/>
        </w:numPr>
        <w:spacing w:line="360" w:lineRule="auto"/>
        <w:ind w:firstLine="420" w:firstLineChars="200"/>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未被人民法院公布为失信被执行人；</w:t>
      </w:r>
    </w:p>
    <w:p>
      <w:pPr>
        <w:numPr>
          <w:ilvl w:val="0"/>
          <w:numId w:val="16"/>
        </w:num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未列入“国家企业信用信息公示系统”（www.gsxt.gov.cn）“列入严重违法失信企业名单（黑名单）；</w:t>
      </w:r>
    </w:p>
    <w:p>
      <w:pPr>
        <w:numPr>
          <w:ilvl w:val="0"/>
          <w:numId w:val="16"/>
        </w:num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未列入“信用中国网站”（www.creditchina.gov.cn）“黑名单”</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我方承诺以上信息是真实的，如有虚假或被发现与事实不符，我方同意并接受以下条款：</w:t>
      </w:r>
    </w:p>
    <w:p>
      <w:pPr>
        <w:numPr>
          <w:ilvl w:val="0"/>
          <w:numId w:val="17"/>
        </w:numPr>
        <w:spacing w:line="360" w:lineRule="auto"/>
        <w:ind w:left="985" w:leftChars="269" w:hanging="420" w:hanging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招标人或评标委员会可以按弄虚作假行为进行认定；</w:t>
      </w:r>
    </w:p>
    <w:p>
      <w:pPr>
        <w:numPr>
          <w:ilvl w:val="0"/>
          <w:numId w:val="17"/>
        </w:numPr>
        <w:spacing w:line="360" w:lineRule="auto"/>
        <w:ind w:left="985" w:leftChars="269" w:hanging="420" w:hanging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如我方已中标，招标人可以取消我方中标资格；</w:t>
      </w:r>
    </w:p>
    <w:p>
      <w:pPr>
        <w:numPr>
          <w:ilvl w:val="0"/>
          <w:numId w:val="17"/>
        </w:numPr>
        <w:spacing w:line="360" w:lineRule="auto"/>
        <w:ind w:left="985" w:leftChars="269" w:hanging="420" w:hanging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如已与招标人签订合同，招标人可以无条件终止合同并不承担任何违约责任；</w:t>
      </w:r>
    </w:p>
    <w:p>
      <w:pPr>
        <w:numPr>
          <w:ilvl w:val="0"/>
          <w:numId w:val="17"/>
        </w:numPr>
        <w:spacing w:line="360" w:lineRule="auto"/>
        <w:ind w:left="985" w:leftChars="269" w:hanging="420" w:hanging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我方愿意承担由此给招标人造成的直接或间接损失以及相应的法律责任。</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特此声明！</w:t>
      </w: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Theme="minorEastAsia" w:hAnsiTheme="minorEastAsia" w:eastAsiaTheme="minorEastAsia" w:cstheme="minorEastAsia"/>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（盖单位公章）</w:t>
      </w:r>
    </w:p>
    <w:p>
      <w:pPr>
        <w:topLinePunct/>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法定代表人（单位负责人）或其委托代理人：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（签字或盖章）</w:t>
      </w:r>
    </w:p>
    <w:p>
      <w:pPr>
        <w:pStyle w:val="45"/>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w:t>
      </w:r>
    </w:p>
    <w:p>
      <w:pPr>
        <w:pStyle w:val="15"/>
        <w:rPr>
          <w:rFonts w:hint="eastAsia" w:asciiTheme="minorEastAsia" w:hAnsiTheme="minorEastAsia" w:eastAsiaTheme="minorEastAsia" w:cstheme="minorEastAsia"/>
        </w:rPr>
      </w:pPr>
    </w:p>
    <w:p>
      <w:pPr>
        <w:keepNext w:val="0"/>
        <w:keepLines w:val="0"/>
        <w:pageBreakBefore w:val="0"/>
        <w:tabs>
          <w:tab w:val="left" w:pos="425"/>
        </w:tabs>
        <w:kinsoku/>
        <w:overflowPunct/>
        <w:bidi w:val="0"/>
        <w:spacing w:beforeAutospacing="0" w:afterAutospacing="0" w:line="360" w:lineRule="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备注：</w:t>
      </w:r>
      <w:r>
        <w:rPr>
          <w:rFonts w:hint="eastAsia" w:asciiTheme="minorEastAsia" w:hAnsiTheme="minorEastAsia" w:eastAsiaTheme="minorEastAsia" w:cstheme="minorEastAsia"/>
          <w:b w:val="0"/>
          <w:bCs/>
          <w:sz w:val="21"/>
          <w:szCs w:val="21"/>
        </w:rPr>
        <w:t>重大违法记录指投标人因违法经营受到刑事处罚或者责令停产停业、吊销许可证或者执照、较大数额罚款等行政处罚。</w:t>
      </w:r>
    </w:p>
    <w:p>
      <w:pPr>
        <w:keepNext w:val="0"/>
        <w:keepLines w:val="0"/>
        <w:pageBreakBefore w:val="0"/>
        <w:tabs>
          <w:tab w:val="left" w:pos="425"/>
        </w:tabs>
        <w:kinsoku/>
        <w:overflowPunct/>
        <w:bidi w:val="0"/>
        <w:spacing w:beforeAutospacing="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br w:type="page"/>
      </w:r>
      <w:r>
        <w:rPr>
          <w:rFonts w:hint="eastAsia" w:asciiTheme="minorEastAsia" w:hAnsiTheme="minorEastAsia" w:eastAsiaTheme="minorEastAsia" w:cstheme="minorEastAsia"/>
          <w:b/>
          <w:sz w:val="21"/>
          <w:szCs w:val="21"/>
          <w:lang w:eastAsia="zh-CN"/>
        </w:rPr>
        <w:t>（</w:t>
      </w:r>
      <w:r>
        <w:rPr>
          <w:rFonts w:hint="eastAsia" w:asciiTheme="minorEastAsia" w:hAnsiTheme="minorEastAsia" w:eastAsiaTheme="minorEastAsia" w:cstheme="minorEastAsia"/>
          <w:b/>
          <w:sz w:val="21"/>
          <w:szCs w:val="21"/>
          <w:lang w:val="en-US" w:eastAsia="zh-CN"/>
        </w:rPr>
        <w:t>七</w:t>
      </w:r>
      <w:r>
        <w:rPr>
          <w:rFonts w:hint="eastAsia" w:asciiTheme="minorEastAsia" w:hAnsiTheme="minorEastAsia" w:eastAsiaTheme="minorEastAsia" w:cstheme="minorEastAsia"/>
          <w:b/>
          <w:sz w:val="21"/>
          <w:szCs w:val="21"/>
          <w:lang w:eastAsia="zh-CN"/>
        </w:rPr>
        <w:t>）</w:t>
      </w:r>
      <w:r>
        <w:rPr>
          <w:rFonts w:hint="eastAsia" w:asciiTheme="minorEastAsia" w:hAnsiTheme="minorEastAsia" w:eastAsiaTheme="minorEastAsia" w:cstheme="minorEastAsia"/>
          <w:b/>
          <w:sz w:val="21"/>
          <w:szCs w:val="21"/>
        </w:rPr>
        <w:t>参加本次政府采购活动前3年内在经营活动中没有</w:t>
      </w:r>
      <w:r>
        <w:rPr>
          <w:rFonts w:hint="eastAsia" w:asciiTheme="minorEastAsia" w:hAnsiTheme="minorEastAsia" w:eastAsiaTheme="minorEastAsia" w:cstheme="minorEastAsia"/>
          <w:b/>
          <w:sz w:val="21"/>
          <w:szCs w:val="21"/>
          <w:lang w:val="en-US" w:eastAsia="zh-CN"/>
        </w:rPr>
        <w:t>行贿犯罪</w:t>
      </w:r>
      <w:r>
        <w:rPr>
          <w:rFonts w:hint="eastAsia" w:asciiTheme="minorEastAsia" w:hAnsiTheme="minorEastAsia" w:eastAsiaTheme="minorEastAsia" w:cstheme="minorEastAsia"/>
          <w:b/>
          <w:sz w:val="21"/>
          <w:szCs w:val="21"/>
        </w:rPr>
        <w:t>记录的承诺书，截止至开标日成立不足3年的投标人可提供自成立以来无</w:t>
      </w:r>
      <w:r>
        <w:rPr>
          <w:rFonts w:hint="eastAsia" w:asciiTheme="minorEastAsia" w:hAnsiTheme="minorEastAsia" w:eastAsiaTheme="minorEastAsia" w:cstheme="minorEastAsia"/>
          <w:b/>
          <w:sz w:val="21"/>
          <w:szCs w:val="21"/>
          <w:lang w:val="en-US" w:eastAsia="zh-CN"/>
        </w:rPr>
        <w:t>行贿犯罪</w:t>
      </w:r>
      <w:r>
        <w:rPr>
          <w:rFonts w:hint="eastAsia" w:asciiTheme="minorEastAsia" w:hAnsiTheme="minorEastAsia" w:eastAsiaTheme="minorEastAsia" w:cstheme="minorEastAsia"/>
          <w:b/>
          <w:sz w:val="21"/>
          <w:szCs w:val="21"/>
        </w:rPr>
        <w:t>记录的承诺书</w:t>
      </w:r>
    </w:p>
    <w:p>
      <w:pPr>
        <w:spacing w:line="276"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近3年</w:t>
      </w:r>
      <w:r>
        <w:rPr>
          <w:rFonts w:hint="eastAsia" w:asciiTheme="minorEastAsia" w:hAnsiTheme="minorEastAsia" w:eastAsiaTheme="minorEastAsia" w:cstheme="minorEastAsia"/>
          <w:b/>
          <w:bCs/>
          <w:sz w:val="28"/>
          <w:szCs w:val="28"/>
          <w:lang w:val="en-US" w:eastAsia="zh-CN"/>
        </w:rPr>
        <w:t>投标人行贿犯罪</w:t>
      </w:r>
      <w:r>
        <w:rPr>
          <w:rFonts w:hint="eastAsia" w:asciiTheme="minorEastAsia" w:hAnsiTheme="minorEastAsia" w:eastAsiaTheme="minorEastAsia" w:cstheme="minorEastAsia"/>
          <w:b/>
          <w:bCs/>
          <w:sz w:val="28"/>
          <w:szCs w:val="28"/>
        </w:rPr>
        <w:t>情况的书面声明</w:t>
      </w:r>
    </w:p>
    <w:p>
      <w:pPr>
        <w:spacing w:line="276" w:lineRule="auto"/>
        <w:jc w:val="center"/>
        <w:rPr>
          <w:rFonts w:hint="eastAsia" w:asciiTheme="minorEastAsia" w:hAnsiTheme="minorEastAsia" w:eastAsiaTheme="minorEastAsia" w:cstheme="minorEastAsia"/>
          <w:b/>
          <w:bCs/>
          <w:sz w:val="28"/>
          <w:szCs w:val="28"/>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复旦大学附属妇产科医院：</w:t>
      </w:r>
    </w:p>
    <w:p>
      <w:pPr>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2018年6月1日起至今，</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（投标人名称）</w:t>
      </w:r>
      <w:r>
        <w:rPr>
          <w:rFonts w:hint="eastAsia" w:asciiTheme="minorEastAsia" w:hAnsiTheme="minorEastAsia" w:eastAsiaTheme="minorEastAsia" w:cstheme="minorEastAsia"/>
          <w:lang w:val="en-US" w:eastAsia="zh-CN"/>
        </w:rPr>
        <w:t>（统一社会信用代码：_____________），法定代表人：_______________，身份证号：____________________，本项目负责人：________________，身份证号：______________________，没有行贿犯罪记录。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我方承诺以上信息是真实的，如有虚假或被发现与事实不符，我方同意并接受以下条款：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（1）招标人或评标委员会可以按弄虚作假行为进行认定；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（2）如我方已中标，招标人可以取消我方中标资格；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（3）如已与招标人签订合同，招标人可以无条件终止合同并不承担任何违约责任；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（4）我方愿意承担由此给招标人造成的直接或间接损失以及相应的法律责任。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特此声明！</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Theme="minorEastAsia" w:hAnsiTheme="minorEastAsia" w:eastAsiaTheme="minorEastAsia" w:cstheme="minorEastAsia"/>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（盖单位公章）</w:t>
      </w:r>
    </w:p>
    <w:p>
      <w:pPr>
        <w:topLinePunct/>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法定代表人（单位负责人）或其委托代理人：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（签字或盖章）</w:t>
      </w:r>
    </w:p>
    <w:p>
      <w:pPr>
        <w:pStyle w:val="45"/>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w:t>
      </w:r>
    </w:p>
    <w:p>
      <w:pPr>
        <w:keepNext w:val="0"/>
        <w:keepLines w:val="0"/>
        <w:pageBreakBefore w:val="0"/>
        <w:tabs>
          <w:tab w:val="left" w:pos="425"/>
        </w:tabs>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1"/>
          <w:szCs w:val="21"/>
          <w:lang w:val="en-US" w:eastAsia="zh-CN"/>
        </w:rPr>
        <w:t>八</w:t>
      </w:r>
      <w:r>
        <w:rPr>
          <w:rFonts w:hint="eastAsia" w:asciiTheme="minorEastAsia" w:hAnsiTheme="minorEastAsia" w:eastAsiaTheme="minorEastAsia" w:cstheme="minorEastAsia"/>
          <w:b/>
          <w:sz w:val="24"/>
          <w:szCs w:val="24"/>
        </w:rPr>
        <w:t>）中小企业声明函</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lang w:val="en-US" w:eastAsia="zh-CN"/>
        </w:rPr>
        <w:t>投标产品为进口产品的不适用）</w:t>
      </w:r>
    </w:p>
    <w:p>
      <w:pPr>
        <w:keepNext w:val="0"/>
        <w:keepLines w:val="0"/>
        <w:pageBreakBefore w:val="0"/>
        <w:kinsoku/>
        <w:overflowPunct/>
        <w:bidi w:val="0"/>
        <w:spacing w:beforeAutospacing="0" w:afterAutospacing="0"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中小企业声明函</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lang w:val="en-US" w:eastAsia="zh-CN"/>
        </w:rPr>
        <w:t>货物）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sz w:val="21"/>
          <w:szCs w:val="21"/>
          <w:u w:val="single"/>
          <w:lang w:val="en-US" w:eastAsia="zh-CN"/>
        </w:rPr>
        <w:t>复旦大学附属妇产科医院</w:t>
      </w:r>
      <w:r>
        <w:rPr>
          <w:rFonts w:hint="eastAsia" w:asciiTheme="minorEastAsia" w:hAnsiTheme="minorEastAsia" w:eastAsiaTheme="minorEastAsia" w:cstheme="minorEastAsia"/>
          <w:sz w:val="21"/>
          <w:szCs w:val="21"/>
          <w:u w:val="none"/>
          <w:lang w:val="en-US" w:eastAsia="zh-CN"/>
        </w:rPr>
        <w:t xml:space="preserve"> </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u w:val="single"/>
          <w:lang w:eastAsia="zh-CN"/>
        </w:rPr>
        <w:t>多通道荧光定量基因扩增仪</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none"/>
        </w:rPr>
        <w:t>采购活动</w:t>
      </w:r>
      <w:r>
        <w:rPr>
          <w:rFonts w:hint="eastAsia" w:asciiTheme="minorEastAsia" w:hAnsiTheme="minorEastAsia" w:eastAsiaTheme="minorEastAsia" w:cstheme="minorEastAsia"/>
          <w:sz w:val="21"/>
          <w:szCs w:val="21"/>
        </w:rPr>
        <w:t xml:space="preserve"> ，提供的货物全部由符合政策要求的中小企业制造。相关企业（含联合体中的中小企业、签订分包意向协议的中小企业）的具体情况如下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w:t>
      </w:r>
      <w:r>
        <w:rPr>
          <w:rFonts w:hint="eastAsia" w:asciiTheme="minorEastAsia" w:hAnsiTheme="minorEastAsia" w:eastAsiaTheme="minorEastAsia" w:cstheme="minorEastAsia"/>
          <w:sz w:val="21"/>
          <w:szCs w:val="21"/>
          <w:u w:val="single"/>
        </w:rPr>
        <w:t>多通道荧光定量基因扩增仪</w:t>
      </w:r>
      <w:r>
        <w:rPr>
          <w:rFonts w:hint="eastAsia" w:asciiTheme="minorEastAsia" w:hAnsiTheme="minorEastAsia" w:eastAsiaTheme="minorEastAsia" w:cstheme="minorEastAsia"/>
          <w:sz w:val="21"/>
          <w:szCs w:val="21"/>
        </w:rPr>
        <w:t xml:space="preserve">，属于 </w:t>
      </w:r>
      <w:r>
        <w:rPr>
          <w:rFonts w:hint="eastAsia" w:asciiTheme="minorEastAsia" w:hAnsiTheme="minorEastAsia" w:eastAsiaTheme="minorEastAsia" w:cstheme="minorEastAsia"/>
          <w:sz w:val="21"/>
          <w:szCs w:val="21"/>
          <w:u w:val="single"/>
          <w:lang w:eastAsia="zh-CN"/>
        </w:rPr>
        <w:t>工业</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 xml:space="preserve">行业；制造商为 </w:t>
      </w:r>
      <w:r>
        <w:rPr>
          <w:rFonts w:hint="eastAsia" w:asciiTheme="minorEastAsia" w:hAnsiTheme="minorEastAsia" w:eastAsiaTheme="minorEastAsia" w:cstheme="minorEastAsia"/>
          <w:sz w:val="21"/>
          <w:szCs w:val="21"/>
          <w:u w:val="single"/>
        </w:rPr>
        <w:t>（企业名称）</w:t>
      </w:r>
      <w:r>
        <w:rPr>
          <w:rFonts w:hint="eastAsia" w:asciiTheme="minorEastAsia" w:hAnsiTheme="minorEastAsia" w:eastAsiaTheme="minorEastAsia" w:cstheme="minorEastAsia"/>
          <w:sz w:val="21"/>
          <w:szCs w:val="21"/>
        </w:rPr>
        <w:t>，从业人员</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 营业收入为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万元，资产总额为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万元，属于 </w:t>
      </w:r>
      <w:r>
        <w:rPr>
          <w:rFonts w:hint="eastAsia" w:asciiTheme="minorEastAsia" w:hAnsiTheme="minorEastAsia" w:eastAsiaTheme="minorEastAsia" w:cstheme="minorEastAsia"/>
          <w:sz w:val="21"/>
          <w:szCs w:val="21"/>
          <w:u w:val="single"/>
        </w:rPr>
        <w:t>（大型企业、中型企业、小型企业、微型企业）</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本企业对上述声明内容的真实性负责。如有虚假，将依法承担相应责任 。</w:t>
      </w:r>
    </w:p>
    <w:p>
      <w:pPr>
        <w:keepNext w:val="0"/>
        <w:keepLines w:val="0"/>
        <w:pageBreakBefore w:val="0"/>
        <w:kinsoku/>
        <w:overflowPunct/>
        <w:bidi w:val="0"/>
        <w:spacing w:beforeAutospacing="0" w:afterAutospacing="0" w:line="360" w:lineRule="auto"/>
        <w:ind w:left="5460"/>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ind w:left="5460"/>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ind w:firstLine="3150" w:firstLineChars="15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企业名称（盖章）：</w:t>
      </w:r>
    </w:p>
    <w:p>
      <w:pPr>
        <w:keepNext w:val="0"/>
        <w:keepLines w:val="0"/>
        <w:pageBreakBefore w:val="0"/>
        <w:kinsoku/>
        <w:overflowPunct/>
        <w:bidi w:val="0"/>
        <w:spacing w:beforeAutospacing="0" w:afterAutospacing="0" w:line="360" w:lineRule="auto"/>
        <w:ind w:firstLine="3150" w:firstLineChars="15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日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期：</w:t>
      </w:r>
    </w:p>
    <w:p>
      <w:pPr>
        <w:keepNext w:val="0"/>
        <w:keepLines w:val="0"/>
        <w:pageBreakBefore w:val="0"/>
        <w:kinsoku/>
        <w:overflowPunct/>
        <w:bidi w:val="0"/>
        <w:spacing w:beforeAutospacing="0" w:afterAutospacing="0" w:line="360" w:lineRule="auto"/>
        <w:jc w:val="center"/>
        <w:rPr>
          <w:rFonts w:hint="eastAsia" w:asciiTheme="minorEastAsia" w:hAnsiTheme="minorEastAsia" w:eastAsiaTheme="minorEastAsia" w:cstheme="minorEastAsia"/>
          <w:b/>
          <w:sz w:val="30"/>
          <w:szCs w:val="30"/>
        </w:rPr>
      </w:pPr>
    </w:p>
    <w:p>
      <w:pPr>
        <w:keepNext w:val="0"/>
        <w:keepLines w:val="0"/>
        <w:pageBreakBefore w:val="0"/>
        <w:widowControl/>
        <w:shd w:val="clear" w:color="auto" w:fill="FFFFFF"/>
        <w:kinsoku/>
        <w:overflowPunct/>
        <w:bidi w:val="0"/>
        <w:spacing w:beforeAutospacing="0" w:afterAutospacing="0" w:line="360" w:lineRule="auto"/>
        <w:ind w:firstLine="482"/>
        <w:jc w:val="left"/>
        <w:rPr>
          <w:rFonts w:hint="eastAsia" w:asciiTheme="minorEastAsia" w:hAnsiTheme="minorEastAsia" w:eastAsiaTheme="minorEastAsia" w:cstheme="minorEastAsia"/>
          <w:snapToGrid w:val="0"/>
          <w:kern w:val="0"/>
          <w:sz w:val="21"/>
          <w:szCs w:val="21"/>
          <w:lang w:val="en-US" w:eastAsia="zh-CN"/>
        </w:rPr>
      </w:pPr>
    </w:p>
    <w:p>
      <w:pPr>
        <w:keepNext w:val="0"/>
        <w:keepLines w:val="0"/>
        <w:pageBreakBefore w:val="0"/>
        <w:widowControl/>
        <w:shd w:val="clear" w:color="auto" w:fill="FFFFFF"/>
        <w:kinsoku/>
        <w:overflowPunct/>
        <w:bidi w:val="0"/>
        <w:spacing w:beforeAutospacing="0" w:afterAutospacing="0" w:line="360" w:lineRule="auto"/>
        <w:ind w:firstLine="482"/>
        <w:jc w:val="left"/>
        <w:rPr>
          <w:rFonts w:hint="eastAsia" w:asciiTheme="minorEastAsia" w:hAnsiTheme="minorEastAsia" w:eastAsiaTheme="minorEastAsia" w:cstheme="minorEastAsia"/>
          <w:snapToGrid w:val="0"/>
          <w:kern w:val="0"/>
          <w:sz w:val="21"/>
          <w:szCs w:val="21"/>
          <w:lang w:val="en-US" w:eastAsia="zh-CN"/>
        </w:rPr>
      </w:pPr>
    </w:p>
    <w:p>
      <w:pPr>
        <w:keepNext w:val="0"/>
        <w:keepLines w:val="0"/>
        <w:pageBreakBefore w:val="0"/>
        <w:widowControl/>
        <w:shd w:val="clear" w:color="auto" w:fill="FFFFFF"/>
        <w:kinsoku/>
        <w:overflowPunct/>
        <w:bidi w:val="0"/>
        <w:spacing w:beforeAutospacing="0" w:afterAutospacing="0" w:line="360" w:lineRule="auto"/>
        <w:ind w:firstLine="482"/>
        <w:jc w:val="left"/>
        <w:rPr>
          <w:rFonts w:hint="eastAsia" w:asciiTheme="minorEastAsia" w:hAnsiTheme="minorEastAsia" w:eastAsiaTheme="minorEastAsia" w:cstheme="minorEastAsia"/>
          <w:snapToGrid w:val="0"/>
          <w:kern w:val="0"/>
          <w:sz w:val="21"/>
          <w:szCs w:val="21"/>
          <w:lang w:val="en-US" w:eastAsia="zh-CN"/>
        </w:rPr>
      </w:pPr>
    </w:p>
    <w:p>
      <w:pPr>
        <w:keepNext w:val="0"/>
        <w:keepLines w:val="0"/>
        <w:pageBreakBefore w:val="0"/>
        <w:widowControl/>
        <w:shd w:val="clear" w:color="auto" w:fill="FFFFFF"/>
        <w:kinsoku/>
        <w:overflowPunct/>
        <w:bidi w:val="0"/>
        <w:spacing w:beforeAutospacing="0" w:afterAutospacing="0" w:line="360" w:lineRule="auto"/>
        <w:ind w:firstLine="482"/>
        <w:jc w:val="left"/>
        <w:rPr>
          <w:rFonts w:hint="eastAsia" w:asciiTheme="minorEastAsia" w:hAnsiTheme="minorEastAsia" w:eastAsiaTheme="minorEastAsia" w:cstheme="minorEastAsia"/>
          <w:snapToGrid w:val="0"/>
          <w:kern w:val="0"/>
          <w:sz w:val="21"/>
          <w:szCs w:val="21"/>
          <w:lang w:val="en-US" w:eastAsia="zh-CN"/>
        </w:rPr>
      </w:pPr>
    </w:p>
    <w:p>
      <w:pPr>
        <w:keepNext w:val="0"/>
        <w:keepLines w:val="0"/>
        <w:pageBreakBefore w:val="0"/>
        <w:widowControl/>
        <w:shd w:val="clear" w:color="auto" w:fill="FFFFFF"/>
        <w:kinsoku/>
        <w:overflowPunct/>
        <w:bidi w:val="0"/>
        <w:spacing w:beforeAutospacing="0" w:afterAutospacing="0" w:line="360" w:lineRule="auto"/>
        <w:ind w:firstLine="482"/>
        <w:jc w:val="left"/>
        <w:rPr>
          <w:rFonts w:hint="eastAsia" w:asciiTheme="minorEastAsia" w:hAnsiTheme="minorEastAsia" w:eastAsiaTheme="minorEastAsia" w:cstheme="minorEastAsia"/>
          <w:snapToGrid w:val="0"/>
          <w:kern w:val="0"/>
          <w:sz w:val="21"/>
          <w:szCs w:val="21"/>
          <w:lang w:val="en-US" w:eastAsia="zh-CN"/>
        </w:rPr>
      </w:pPr>
    </w:p>
    <w:p>
      <w:pPr>
        <w:keepNext w:val="0"/>
        <w:keepLines w:val="0"/>
        <w:pageBreakBefore w:val="0"/>
        <w:widowControl/>
        <w:shd w:val="clear" w:color="auto" w:fill="FFFFFF"/>
        <w:kinsoku/>
        <w:overflowPunct/>
        <w:bidi w:val="0"/>
        <w:spacing w:beforeAutospacing="0" w:afterAutospacing="0" w:line="360" w:lineRule="auto"/>
        <w:ind w:firstLine="482"/>
        <w:jc w:val="left"/>
        <w:rPr>
          <w:rFonts w:hint="eastAsia" w:asciiTheme="minorEastAsia" w:hAnsiTheme="minorEastAsia" w:eastAsiaTheme="minorEastAsia" w:cstheme="minorEastAsia"/>
          <w:snapToGrid w:val="0"/>
          <w:kern w:val="0"/>
          <w:sz w:val="21"/>
          <w:szCs w:val="21"/>
          <w:lang w:val="en-US" w:eastAsia="zh-CN"/>
        </w:rPr>
      </w:pPr>
      <w:r>
        <w:rPr>
          <w:rFonts w:hint="eastAsia" w:asciiTheme="minorEastAsia" w:hAnsiTheme="minorEastAsia" w:eastAsiaTheme="minorEastAsia" w:cstheme="minorEastAsia"/>
          <w:snapToGrid w:val="0"/>
          <w:kern w:val="0"/>
          <w:sz w:val="21"/>
          <w:szCs w:val="21"/>
          <w:lang w:val="en-US" w:eastAsia="zh-CN"/>
        </w:rPr>
        <w:t>注：从业人员、营业收入、资产总额填报上一年度数据，无上一年度数据的新成立企业可不填报。</w:t>
      </w:r>
    </w:p>
    <w:p>
      <w:pPr>
        <w:rPr>
          <w:rFonts w:hint="eastAsia"/>
          <w:lang w:val="en-US" w:eastAsia="zh-CN"/>
        </w:rPr>
      </w:pPr>
      <w:r>
        <w:rPr>
          <w:rFonts w:hint="eastAsia"/>
          <w:lang w:val="en-US" w:eastAsia="zh-CN"/>
        </w:rPr>
        <w:br w:type="page"/>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480" w:lineRule="atLeast"/>
        <w:ind w:left="0" w:right="0" w:firstLine="0"/>
        <w:jc w:val="center"/>
        <w:textAlignment w:val="baseline"/>
        <w:rPr>
          <w:rFonts w:ascii="宋体" w:hAnsi="宋体" w:eastAsia="宋体" w:cs="宋体"/>
          <w:b/>
          <w:caps w:val="0"/>
          <w:color w:val="000000"/>
          <w:spacing w:val="0"/>
          <w:sz w:val="24"/>
          <w:szCs w:val="24"/>
        </w:rPr>
      </w:pPr>
      <w:r>
        <w:rPr>
          <w:rFonts w:hint="eastAsia" w:ascii="宋体" w:hAnsi="宋体" w:eastAsia="宋体" w:cs="宋体"/>
          <w:b/>
          <w:caps w:val="0"/>
          <w:color w:val="000000"/>
          <w:spacing w:val="0"/>
          <w:sz w:val="24"/>
          <w:szCs w:val="24"/>
          <w:shd w:val="clear" w:color="auto" w:fill="FFFFFF"/>
          <w:vertAlign w:val="baseline"/>
        </w:rPr>
        <w:t>国家统计局关于印发《统计上大中小微型企业划分办法（2017）》的通知</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336" w:lineRule="atLeast"/>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各省、自治区、直辖市统计局，新疆生产建设兵团统计局，国务院各有关部门，国家统计局各调查总队：</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336" w:lineRule="atLeast"/>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keepNext w:val="0"/>
        <w:keepLines w:val="0"/>
        <w:widowControl/>
        <w:suppressLineNumbers w:val="0"/>
        <w:jc w:val="left"/>
      </w:pP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336" w:lineRule="atLeast"/>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附件：《统计上大中小微型企业划分办法（2017）》修订说明</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336" w:lineRule="atLeast"/>
        <w:ind w:left="0" w:right="660" w:firstLine="0"/>
        <w:jc w:val="right"/>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国家统计局  </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336" w:lineRule="atLeast"/>
        <w:ind w:left="0" w:right="660" w:firstLine="0"/>
        <w:jc w:val="right"/>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2017年12月28日</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336" w:lineRule="atLeast"/>
        <w:ind w:left="0" w:right="0" w:firstLine="0"/>
        <w:textAlignment w:val="baseline"/>
        <w:rPr>
          <w:rFonts w:hint="eastAsia" w:ascii="宋体" w:hAnsi="宋体" w:eastAsia="宋体" w:cs="宋体"/>
          <w:caps w:val="0"/>
          <w:color w:val="000000"/>
          <w:spacing w:val="0"/>
          <w:sz w:val="16"/>
          <w:szCs w:val="16"/>
        </w:rPr>
      </w:pP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480" w:lineRule="atLeast"/>
        <w:ind w:left="0" w:right="0" w:firstLine="0"/>
        <w:jc w:val="center"/>
        <w:textAlignment w:val="baseline"/>
        <w:rPr>
          <w:rFonts w:hint="eastAsia" w:ascii="宋体" w:hAnsi="宋体" w:eastAsia="宋体" w:cs="宋体"/>
          <w:b/>
          <w:caps w:val="0"/>
          <w:color w:val="000000"/>
          <w:spacing w:val="0"/>
          <w:sz w:val="28"/>
          <w:szCs w:val="28"/>
        </w:rPr>
      </w:pPr>
      <w:r>
        <w:rPr>
          <w:rFonts w:hint="eastAsia" w:ascii="宋体" w:hAnsi="宋体" w:eastAsia="宋体" w:cs="宋体"/>
          <w:b/>
          <w:caps w:val="0"/>
          <w:color w:val="000000"/>
          <w:spacing w:val="0"/>
          <w:sz w:val="28"/>
          <w:szCs w:val="28"/>
          <w:shd w:val="clear" w:color="auto" w:fill="FFFFFF"/>
          <w:vertAlign w:val="baseline"/>
        </w:rPr>
        <w:t>统计上大中小微型企业划分办法（2017）</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240" w:lineRule="auto"/>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一、根据工业和信息化部、国家统计局、国家发展改革委、财政部《关于印发中小企业划型标准规定的通知》（工信部联企业〔2011〕300号），以《国民经济行业分类》（GB/T4754-2017）为基础，结合统计工作的实际情况，制定本办法。</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240" w:lineRule="auto"/>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二、本办法适用对象为在中华人民共和国境内依法设立的各种组织形式的法人企业或单位。个体工商户参照本办法进行划分。</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240" w:lineRule="auto"/>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240" w:lineRule="auto"/>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四、本办法按照行业门类、大类、中类和组合类别，依据从业人员、营业收入、资产总额等指标或替代指标，将我国的企业划分为大型、中型、小型、微型等四种类型。具体划分标准见附表。</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240" w:lineRule="auto"/>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五、企业划分由政府综合统计部门根据统计年报每年确定一次，定报统计原则上不进行调整。</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240" w:lineRule="auto"/>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六、本办法自印发之日起执行，国家统计局2011年印发的《统计上大中小微型企业划分办法》（国统字〔2011〕75号）同时废止。</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240" w:lineRule="auto"/>
        <w:ind w:left="0" w:right="0" w:firstLine="0"/>
        <w:textAlignment w:val="baseline"/>
        <w:rPr>
          <w:rFonts w:hint="eastAsia" w:ascii="宋体" w:hAnsi="宋体" w:eastAsia="宋体" w:cs="宋体"/>
          <w:caps w:val="0"/>
          <w:color w:val="000000"/>
          <w:spacing w:val="0"/>
          <w:sz w:val="16"/>
          <w:szCs w:val="16"/>
        </w:rPr>
      </w:pPr>
      <w:r>
        <w:rPr>
          <w:rFonts w:hint="eastAsia" w:ascii="宋体" w:hAnsi="宋体" w:eastAsia="宋体" w:cs="宋体"/>
          <w:caps w:val="0"/>
          <w:color w:val="000000"/>
          <w:spacing w:val="0"/>
          <w:sz w:val="16"/>
          <w:szCs w:val="16"/>
          <w:shd w:val="clear" w:color="auto" w:fill="FFFFFF"/>
          <w:vertAlign w:val="baseline"/>
        </w:rPr>
        <w:t>附表：统计上大中小微型企业划分标准</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480" w:lineRule="atLeast"/>
        <w:ind w:left="0" w:right="0" w:firstLine="0"/>
        <w:jc w:val="center"/>
        <w:textAlignment w:val="baseline"/>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sz w:val="21"/>
          <w:szCs w:val="21"/>
          <w:shd w:val="clear" w:color="auto" w:fill="FFFFFF"/>
          <w:vertAlign w:val="baseline"/>
        </w:rPr>
        <w:br w:type="page"/>
      </w:r>
      <w:r>
        <w:rPr>
          <w:rFonts w:hint="eastAsia" w:ascii="宋体" w:hAnsi="宋体" w:eastAsia="宋体" w:cs="宋体"/>
          <w:b/>
          <w:caps w:val="0"/>
          <w:color w:val="000000"/>
          <w:spacing w:val="0"/>
          <w:sz w:val="21"/>
          <w:szCs w:val="21"/>
          <w:shd w:val="clear" w:color="auto" w:fill="FFFFFF"/>
          <w:vertAlign w:val="baseline"/>
        </w:rPr>
        <w:t>统计上大中小微型企业划分标准</w:t>
      </w:r>
    </w:p>
    <w:tbl>
      <w:tblPr>
        <w:tblStyle w:val="29"/>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17"/>
        <w:gridCol w:w="1279"/>
        <w:gridCol w:w="809"/>
        <w:gridCol w:w="1278"/>
        <w:gridCol w:w="1279"/>
        <w:gridCol w:w="1279"/>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tcBorders>
              <w:tl2br w:val="nil"/>
              <w:tr2bl w:val="nil"/>
            </w:tcBorders>
            <w:noWrap w:val="0"/>
            <w:tcMar>
              <w:top w:w="60" w:type="dxa"/>
              <w:left w:w="60" w:type="dxa"/>
              <w:bottom w:w="60" w:type="dxa"/>
              <w:right w:w="6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b/>
                <w:sz w:val="18"/>
                <w:szCs w:val="18"/>
              </w:rPr>
            </w:pPr>
            <w:r>
              <w:rPr>
                <w:rFonts w:hint="eastAsia" w:ascii="宋体" w:hAnsi="宋体" w:eastAsia="宋体" w:cs="宋体"/>
                <w:b/>
                <w:kern w:val="0"/>
                <w:sz w:val="18"/>
                <w:szCs w:val="18"/>
                <w:vertAlign w:val="baseline"/>
                <w:lang w:val="en-US" w:eastAsia="zh-CN" w:bidi="ar"/>
              </w:rPr>
              <w:t>行业名称</w:t>
            </w:r>
          </w:p>
        </w:tc>
        <w:tc>
          <w:tcPr>
            <w:tcW w:w="1279" w:type="dxa"/>
            <w:tcBorders>
              <w:tl2br w:val="nil"/>
              <w:tr2bl w:val="nil"/>
            </w:tcBorders>
            <w:noWrap w:val="0"/>
            <w:tcMar>
              <w:top w:w="60" w:type="dxa"/>
              <w:left w:w="60" w:type="dxa"/>
              <w:bottom w:w="60" w:type="dxa"/>
              <w:right w:w="6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b/>
                <w:sz w:val="18"/>
                <w:szCs w:val="18"/>
              </w:rPr>
            </w:pPr>
            <w:r>
              <w:rPr>
                <w:rFonts w:hint="eastAsia" w:ascii="宋体" w:hAnsi="宋体" w:eastAsia="宋体" w:cs="宋体"/>
                <w:b/>
                <w:kern w:val="0"/>
                <w:sz w:val="18"/>
                <w:szCs w:val="18"/>
                <w:vertAlign w:val="baseline"/>
                <w:lang w:val="en-US" w:eastAsia="zh-CN" w:bidi="ar"/>
              </w:rPr>
              <w:t>指标名称</w:t>
            </w:r>
          </w:p>
        </w:tc>
        <w:tc>
          <w:tcPr>
            <w:tcW w:w="809" w:type="dxa"/>
            <w:tcBorders>
              <w:tl2br w:val="nil"/>
              <w:tr2bl w:val="nil"/>
            </w:tcBorders>
            <w:noWrap w:val="0"/>
            <w:tcMar>
              <w:top w:w="60" w:type="dxa"/>
              <w:left w:w="60" w:type="dxa"/>
              <w:bottom w:w="60" w:type="dxa"/>
              <w:right w:w="6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b/>
                <w:sz w:val="18"/>
                <w:szCs w:val="18"/>
              </w:rPr>
            </w:pPr>
            <w:r>
              <w:rPr>
                <w:rFonts w:hint="eastAsia" w:ascii="宋体" w:hAnsi="宋体" w:eastAsia="宋体" w:cs="宋体"/>
                <w:b/>
                <w:kern w:val="0"/>
                <w:sz w:val="18"/>
                <w:szCs w:val="18"/>
                <w:vertAlign w:val="baseline"/>
                <w:lang w:val="en-US" w:eastAsia="zh-CN" w:bidi="ar"/>
              </w:rPr>
              <w:t>计量单位</w:t>
            </w:r>
          </w:p>
        </w:tc>
        <w:tc>
          <w:tcPr>
            <w:tcW w:w="1278" w:type="dxa"/>
            <w:tcBorders>
              <w:tl2br w:val="nil"/>
              <w:tr2bl w:val="nil"/>
            </w:tcBorders>
            <w:noWrap w:val="0"/>
            <w:tcMar>
              <w:top w:w="60" w:type="dxa"/>
              <w:left w:w="60" w:type="dxa"/>
              <w:bottom w:w="60" w:type="dxa"/>
              <w:right w:w="6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b/>
                <w:sz w:val="18"/>
                <w:szCs w:val="18"/>
              </w:rPr>
            </w:pPr>
            <w:r>
              <w:rPr>
                <w:rFonts w:hint="eastAsia" w:ascii="宋体" w:hAnsi="宋体" w:eastAsia="宋体" w:cs="宋体"/>
                <w:b/>
                <w:kern w:val="0"/>
                <w:sz w:val="18"/>
                <w:szCs w:val="18"/>
                <w:vertAlign w:val="baseline"/>
                <w:lang w:val="en-US" w:eastAsia="zh-CN" w:bidi="ar"/>
              </w:rPr>
              <w:t>大型</w:t>
            </w:r>
          </w:p>
        </w:tc>
        <w:tc>
          <w:tcPr>
            <w:tcW w:w="1279" w:type="dxa"/>
            <w:tcBorders>
              <w:tl2br w:val="nil"/>
              <w:tr2bl w:val="nil"/>
            </w:tcBorders>
            <w:noWrap w:val="0"/>
            <w:tcMar>
              <w:top w:w="60" w:type="dxa"/>
              <w:left w:w="60" w:type="dxa"/>
              <w:bottom w:w="60" w:type="dxa"/>
              <w:right w:w="6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b/>
                <w:sz w:val="18"/>
                <w:szCs w:val="18"/>
              </w:rPr>
            </w:pPr>
            <w:r>
              <w:rPr>
                <w:rFonts w:hint="eastAsia" w:ascii="宋体" w:hAnsi="宋体" w:eastAsia="宋体" w:cs="宋体"/>
                <w:b/>
                <w:kern w:val="0"/>
                <w:sz w:val="18"/>
                <w:szCs w:val="18"/>
                <w:vertAlign w:val="baseline"/>
                <w:lang w:val="en-US" w:eastAsia="zh-CN" w:bidi="ar"/>
              </w:rPr>
              <w:t>中型</w:t>
            </w:r>
          </w:p>
        </w:tc>
        <w:tc>
          <w:tcPr>
            <w:tcW w:w="1279" w:type="dxa"/>
            <w:tcBorders>
              <w:tl2br w:val="nil"/>
              <w:tr2bl w:val="nil"/>
            </w:tcBorders>
            <w:noWrap w:val="0"/>
            <w:tcMar>
              <w:top w:w="60" w:type="dxa"/>
              <w:left w:w="60" w:type="dxa"/>
              <w:bottom w:w="60" w:type="dxa"/>
              <w:right w:w="6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b/>
                <w:sz w:val="18"/>
                <w:szCs w:val="18"/>
              </w:rPr>
            </w:pPr>
            <w:r>
              <w:rPr>
                <w:rFonts w:hint="eastAsia" w:ascii="宋体" w:hAnsi="宋体" w:eastAsia="宋体" w:cs="宋体"/>
                <w:b/>
                <w:kern w:val="0"/>
                <w:sz w:val="18"/>
                <w:szCs w:val="18"/>
                <w:vertAlign w:val="baseline"/>
                <w:lang w:val="en-US" w:eastAsia="zh-CN" w:bidi="ar"/>
              </w:rPr>
              <w:t>小型</w:t>
            </w:r>
          </w:p>
        </w:tc>
        <w:tc>
          <w:tcPr>
            <w:tcW w:w="823" w:type="dxa"/>
            <w:tcBorders>
              <w:tl2br w:val="nil"/>
              <w:tr2bl w:val="nil"/>
            </w:tcBorders>
            <w:noWrap w:val="0"/>
            <w:tcMar>
              <w:top w:w="60" w:type="dxa"/>
              <w:left w:w="60" w:type="dxa"/>
              <w:bottom w:w="60" w:type="dxa"/>
              <w:right w:w="6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b/>
                <w:sz w:val="18"/>
                <w:szCs w:val="18"/>
              </w:rPr>
            </w:pPr>
            <w:r>
              <w:rPr>
                <w:rFonts w:hint="eastAsia" w:ascii="宋体" w:hAnsi="宋体" w:eastAsia="宋体" w:cs="宋体"/>
                <w:b/>
                <w:kern w:val="0"/>
                <w:sz w:val="18"/>
                <w:szCs w:val="18"/>
                <w:vertAlign w:val="baseline"/>
                <w:lang w:val="en-US" w:eastAsia="zh-CN" w:bidi="ar"/>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农、林、牧、渔业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Y≥20000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500≤Y＜20000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50≤Y＜500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工业 *</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300≤X＜1000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20≤X＜300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Y≥40000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2000≤Y＜40000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300≤Y＜2000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建筑业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Y≥80000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6000≤Y＜80000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300≤Y＜6000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资产总额(Z)</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Z≥80000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5000≤Z＜80000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300≤Z＜5000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批发业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X≥200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20≤X＜200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5≤X＜20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Y≥40000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5000≤Y＜40000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1000≤Y＜5000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零售业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50≤X＜300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10≤X＜50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Y≥20000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500≤Y＜20000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100≤Y＜500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交通运输业 *</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300≤X＜1000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20≤X＜300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Y≥30000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3000≤Y＜30000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200≤Y＜3000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仓储业*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X≥200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100≤X＜200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20≤X＜100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Y≥30000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1000≤Y＜30000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100≤Y＜1000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邮政业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300≤X＜1000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20≤X＜300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Y≥30000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2000≤Y＜30000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100≤Y＜2000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住宿业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10≤X＜100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2000≤Y＜10000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100≤Y＜2000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餐饮业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10≤X＜100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2000≤Y＜10000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100≤Y＜2000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信息传输业 *</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X≥2000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100≤X＜2000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10≤X＜100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1000≤Y＜100000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100≤Y＜1000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软件和信息技术服务业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10≤X＜100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1000≤Y＜10000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50≤Y＜1000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房地产开发经营</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Y≥200000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1000≤Y＜200000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100≤Y＜1000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资产总额(Z)</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Z≥10000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5000≤Z＜10000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2000≤Z＜5000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物业管理</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300≤X＜1000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100≤X＜300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营业收入(Y)</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Y≥5000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1000≤Y＜5000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500≤Y＜1000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租赁和商务服务业</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10≤X＜100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vMerge w:val="continue"/>
            <w:tcBorders>
              <w:tl2br w:val="nil"/>
              <w:tr2bl w:val="nil"/>
            </w:tcBorders>
            <w:noWrap w:val="0"/>
            <w:vAlign w:val="center"/>
          </w:tcPr>
          <w:p>
            <w:pPr>
              <w:rPr>
                <w:rFonts w:hint="eastAsia" w:ascii="宋体"/>
                <w:sz w:val="18"/>
                <w:szCs w:val="18"/>
              </w:rPr>
            </w:pP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资产总额(Z)</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万元</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Z≥120000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8000≤Z＜120000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100≤Z＜8000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617"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其他未列明行业 *</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从业人员(X)</w:t>
            </w:r>
          </w:p>
        </w:tc>
        <w:tc>
          <w:tcPr>
            <w:tcW w:w="80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人</w:t>
            </w:r>
          </w:p>
        </w:tc>
        <w:tc>
          <w:tcPr>
            <w:tcW w:w="127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100≤X＜300</w:t>
            </w:r>
          </w:p>
        </w:tc>
        <w:tc>
          <w:tcPr>
            <w:tcW w:w="1279"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10≤X＜100</w:t>
            </w:r>
          </w:p>
        </w:tc>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sz w:val="18"/>
                <w:szCs w:val="18"/>
              </w:rPr>
            </w:pPr>
            <w:r>
              <w:rPr>
                <w:rFonts w:ascii="宋体" w:hAnsi="宋体" w:eastAsia="宋体" w:cs="宋体"/>
                <w:kern w:val="0"/>
                <w:sz w:val="18"/>
                <w:szCs w:val="18"/>
                <w:lang w:val="en-US" w:eastAsia="zh-CN" w:bidi="ar"/>
              </w:rPr>
              <w:t>X＜10</w:t>
            </w:r>
          </w:p>
        </w:tc>
      </w:tr>
    </w:tbl>
    <w:p>
      <w:pPr>
        <w:pStyle w:val="5"/>
        <w:keepNext w:val="0"/>
        <w:keepLines w:val="0"/>
        <w:spacing w:before="0" w:after="0" w:line="240" w:lineRule="auto"/>
        <w:ind w:firstLine="118"/>
        <w:rPr>
          <w:rFonts w:hint="eastAsia" w:ascii="宋体" w:hAnsi="宋体" w:eastAsia="宋体" w:cs="宋体"/>
          <w:b w:val="0"/>
          <w:bCs/>
          <w:sz w:val="18"/>
          <w:szCs w:val="18"/>
        </w:rPr>
      </w:pPr>
      <w:r>
        <w:rPr>
          <w:rFonts w:hint="eastAsia" w:ascii="宋体" w:hAnsi="宋体" w:eastAsia="宋体" w:cs="宋体"/>
          <w:b w:val="0"/>
          <w:bCs/>
          <w:sz w:val="18"/>
          <w:szCs w:val="18"/>
        </w:rPr>
        <w:t>说明：</w:t>
      </w:r>
    </w:p>
    <w:p>
      <w:pPr>
        <w:pStyle w:val="5"/>
        <w:keepNext w:val="0"/>
        <w:keepLines w:val="0"/>
        <w:spacing w:before="0" w:after="0" w:line="240" w:lineRule="auto"/>
        <w:ind w:left="268" w:leftChars="42" w:hanging="180" w:hangingChars="100"/>
        <w:rPr>
          <w:rFonts w:hint="eastAsia" w:ascii="宋体" w:hAnsi="宋体" w:eastAsia="宋体" w:cs="宋体"/>
          <w:b w:val="0"/>
          <w:bCs/>
          <w:sz w:val="18"/>
          <w:szCs w:val="18"/>
        </w:rPr>
      </w:pPr>
      <w:r>
        <w:rPr>
          <w:rFonts w:hint="eastAsia" w:ascii="宋体" w:hAnsi="宋体" w:eastAsia="宋体" w:cs="宋体"/>
          <w:b w:val="0"/>
          <w:bCs/>
          <w:sz w:val="18"/>
          <w:szCs w:val="18"/>
        </w:rPr>
        <w:t>1.大型、中型和小型企业须同时满足所列指标的下限，否则下划一档；微型企业只须满足所列指标中的一项即可。</w:t>
      </w:r>
    </w:p>
    <w:p>
      <w:pPr>
        <w:pStyle w:val="5"/>
        <w:keepNext w:val="0"/>
        <w:keepLines w:val="0"/>
        <w:spacing w:before="0" w:after="0" w:line="240" w:lineRule="auto"/>
        <w:ind w:left="268" w:leftChars="42" w:hanging="180" w:hangingChars="100"/>
        <w:rPr>
          <w:rFonts w:hint="eastAsia" w:ascii="宋体" w:hAnsi="宋体" w:eastAsia="宋体" w:cs="宋体"/>
          <w:b w:val="0"/>
          <w:bCs/>
          <w:sz w:val="18"/>
          <w:szCs w:val="18"/>
        </w:rPr>
      </w:pPr>
      <w:r>
        <w:rPr>
          <w:rFonts w:hint="eastAsia" w:ascii="宋体" w:hAnsi="宋体" w:eastAsia="宋体" w:cs="宋体"/>
          <w:b w:val="0"/>
          <w:bCs/>
          <w:sz w:val="18"/>
          <w:szCs w:val="18"/>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5"/>
        <w:keepNext w:val="0"/>
        <w:keepLines w:val="0"/>
        <w:spacing w:before="0" w:after="0" w:line="240" w:lineRule="auto"/>
        <w:ind w:left="268" w:leftChars="42" w:hanging="180" w:hangingChars="100"/>
        <w:rPr>
          <w:rFonts w:hint="eastAsia" w:ascii="宋体" w:hAnsi="宋体" w:eastAsia="宋体" w:cs="宋体"/>
          <w:b w:val="0"/>
          <w:bCs/>
          <w:sz w:val="18"/>
          <w:szCs w:val="18"/>
        </w:rPr>
      </w:pPr>
      <w:r>
        <w:rPr>
          <w:rFonts w:hint="eastAsia" w:ascii="宋体" w:hAnsi="宋体" w:eastAsia="宋体" w:cs="宋体"/>
          <w:b w:val="0"/>
          <w:bCs/>
          <w:sz w:val="18"/>
          <w:szCs w:val="18"/>
        </w:rPr>
        <w:t>3.企业划分指标以现行统计制度为准。</w:t>
      </w:r>
    </w:p>
    <w:p>
      <w:pPr>
        <w:pStyle w:val="5"/>
        <w:keepNext w:val="0"/>
        <w:keepLines w:val="0"/>
        <w:spacing w:before="0" w:after="0" w:line="240" w:lineRule="auto"/>
        <w:ind w:firstLine="268" w:firstLineChars="149"/>
        <w:rPr>
          <w:rFonts w:hint="eastAsia" w:ascii="宋体" w:hAnsi="宋体" w:eastAsia="宋体" w:cs="宋体"/>
          <w:b w:val="0"/>
          <w:bCs/>
          <w:sz w:val="18"/>
          <w:szCs w:val="18"/>
        </w:rPr>
      </w:pPr>
      <w:r>
        <w:rPr>
          <w:rFonts w:hint="eastAsia" w:ascii="宋体" w:hAnsi="宋体" w:eastAsia="宋体" w:cs="宋体"/>
          <w:b w:val="0"/>
          <w:bCs/>
          <w:sz w:val="18"/>
          <w:szCs w:val="18"/>
        </w:rPr>
        <w:t>（1）从业人员，是指期末从业人员数，没有期末从业人员数的，采用全年平均人员数代替。</w:t>
      </w:r>
    </w:p>
    <w:p>
      <w:pPr>
        <w:pStyle w:val="5"/>
        <w:keepNext w:val="0"/>
        <w:keepLines w:val="0"/>
        <w:spacing w:before="0" w:after="0" w:line="240" w:lineRule="auto"/>
        <w:ind w:left="701" w:leftChars="128" w:hanging="432" w:hangingChars="240"/>
        <w:rPr>
          <w:rFonts w:hint="eastAsia" w:ascii="宋体" w:hAnsi="宋体" w:eastAsia="宋体" w:cs="宋体"/>
          <w:b w:val="0"/>
          <w:bCs/>
          <w:sz w:val="18"/>
          <w:szCs w:val="18"/>
        </w:rPr>
      </w:pPr>
      <w:r>
        <w:rPr>
          <w:rFonts w:hint="eastAsia" w:ascii="宋体" w:hAnsi="宋体" w:eastAsia="宋体" w:cs="宋体"/>
          <w:b w:val="0"/>
          <w:bCs/>
          <w:sz w:val="18"/>
          <w:szCs w:val="18"/>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5"/>
        <w:keepNext w:val="0"/>
        <w:keepLines w:val="0"/>
        <w:spacing w:before="0" w:after="0" w:line="240" w:lineRule="auto"/>
        <w:ind w:left="701" w:leftChars="128" w:hanging="432" w:hangingChars="240"/>
        <w:rPr>
          <w:rFonts w:hint="eastAsia" w:ascii="宋体" w:hAnsi="宋体" w:eastAsia="宋体" w:cs="宋体"/>
          <w:b w:val="0"/>
          <w:bCs/>
          <w:sz w:val="18"/>
          <w:szCs w:val="18"/>
        </w:rPr>
      </w:pPr>
      <w:r>
        <w:rPr>
          <w:rFonts w:hint="eastAsia" w:ascii="宋体" w:hAnsi="宋体" w:eastAsia="宋体" w:cs="宋体"/>
          <w:b w:val="0"/>
          <w:bCs/>
          <w:sz w:val="18"/>
          <w:szCs w:val="18"/>
        </w:rPr>
        <w:t>（3）资产总额，采用资产总计代替。</w:t>
      </w:r>
    </w:p>
    <w:p>
      <w:pPr>
        <w:pStyle w:val="2"/>
        <w:rPr>
          <w:rFonts w:hint="eastAsia"/>
          <w:lang w:val="en-US" w:eastAsia="zh-CN"/>
        </w:rPr>
      </w:pPr>
    </w:p>
    <w:p>
      <w:pPr>
        <w:pStyle w:val="2"/>
        <w:rPr>
          <w:rFonts w:hint="eastAsia"/>
          <w:lang w:val="en-US" w:eastAsia="zh-CN"/>
        </w:rPr>
      </w:pP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4"/>
          <w:szCs w:val="24"/>
        </w:rPr>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pP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val="en-US" w:eastAsia="zh-CN"/>
        </w:rPr>
        <w:t>九</w:t>
      </w:r>
      <w:r>
        <w:rPr>
          <w:rFonts w:hint="eastAsia" w:asciiTheme="minorEastAsia" w:hAnsiTheme="minorEastAsia" w:eastAsiaTheme="minorEastAsia" w:cstheme="minorEastAsia"/>
          <w:b/>
          <w:sz w:val="24"/>
          <w:szCs w:val="24"/>
        </w:rPr>
        <w:t>）残疾人福利性单位声明函</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lang w:val="en-US" w:eastAsia="zh-CN"/>
        </w:rPr>
        <w:t>如适用的话）</w:t>
      </w:r>
    </w:p>
    <w:p>
      <w:pPr>
        <w:keepNext w:val="0"/>
        <w:keepLines w:val="0"/>
        <w:pageBreakBefore w:val="0"/>
        <w:kinsoku/>
        <w:overflowPunct/>
        <w:bidi w:val="0"/>
        <w:spacing w:beforeAutospacing="0" w:afterAutospacing="0"/>
        <w:rPr>
          <w:rFonts w:hint="eastAsia" w:asciiTheme="minorEastAsia" w:hAnsiTheme="minorEastAsia" w:eastAsiaTheme="minorEastAsia" w:cstheme="minorEastAsia"/>
        </w:rPr>
      </w:pPr>
    </w:p>
    <w:p>
      <w:pPr>
        <w:keepNext w:val="0"/>
        <w:keepLines w:val="0"/>
        <w:pageBreakBefore w:val="0"/>
        <w:kinsoku/>
        <w:overflowPunct/>
        <w:bidi w:val="0"/>
        <w:spacing w:beforeAutospacing="0" w:afterAutospacing="0" w:line="588"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残疾人福利性单位声明函</w:t>
      </w:r>
    </w:p>
    <w:p>
      <w:pPr>
        <w:keepNext w:val="0"/>
        <w:keepLines w:val="0"/>
        <w:pageBreakBefore w:val="0"/>
        <w:kinsoku/>
        <w:overflowPunct/>
        <w:bidi w:val="0"/>
        <w:spacing w:beforeAutospacing="0" w:afterAutospacing="0" w:line="588" w:lineRule="exact"/>
        <w:ind w:firstLine="420" w:firstLineChars="200"/>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588"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overflowPunct/>
        <w:bidi w:val="0"/>
        <w:spacing w:beforeAutospacing="0" w:afterAutospacing="0" w:line="588"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本单位对上述声明的真实性负责。如有虚假，将依法承担相应责任。</w:t>
      </w:r>
    </w:p>
    <w:p>
      <w:pPr>
        <w:keepNext w:val="0"/>
        <w:keepLines w:val="0"/>
        <w:pageBreakBefore w:val="0"/>
        <w:kinsoku/>
        <w:overflowPunct/>
        <w:bidi w:val="0"/>
        <w:spacing w:beforeAutospacing="0" w:afterAutospacing="0" w:line="588" w:lineRule="exact"/>
        <w:ind w:firstLine="420" w:firstLineChars="200"/>
        <w:rPr>
          <w:rFonts w:hint="eastAsia" w:asciiTheme="minorEastAsia" w:hAnsiTheme="minorEastAsia" w:eastAsiaTheme="minorEastAsia" w:cstheme="minorEastAsia"/>
          <w:sz w:val="21"/>
          <w:szCs w:val="21"/>
        </w:rPr>
      </w:pPr>
    </w:p>
    <w:p>
      <w:pPr>
        <w:keepNext w:val="0"/>
        <w:keepLines w:val="0"/>
        <w:pageBreakBefore w:val="0"/>
        <w:tabs>
          <w:tab w:val="left" w:pos="4860"/>
        </w:tabs>
        <w:kinsoku/>
        <w:overflowPunct/>
        <w:bidi w:val="0"/>
        <w:spacing w:beforeAutospacing="0" w:afterAutospacing="0" w:line="588" w:lineRule="exact"/>
        <w:ind w:right="1560"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单位名称（盖章）：</w:t>
      </w:r>
    </w:p>
    <w:p>
      <w:pPr>
        <w:keepNext w:val="0"/>
        <w:keepLines w:val="0"/>
        <w:pageBreakBefore w:val="0"/>
        <w:tabs>
          <w:tab w:val="left" w:pos="4860"/>
        </w:tabs>
        <w:kinsoku/>
        <w:overflowPunct/>
        <w:bidi w:val="0"/>
        <w:spacing w:beforeAutospacing="0" w:afterAutospacing="0" w:line="588" w:lineRule="exact"/>
        <w:ind w:right="1560"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日  期：</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br w:type="page"/>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4"/>
          <w:szCs w:val="24"/>
          <w:lang w:val="en-US" w:eastAsia="zh-CN"/>
        </w:rPr>
        <w:t>十</w:t>
      </w:r>
      <w:r>
        <w:rPr>
          <w:rFonts w:hint="eastAsia" w:asciiTheme="minorEastAsia" w:hAnsiTheme="minorEastAsia" w:eastAsiaTheme="minorEastAsia" w:cstheme="minorEastAsia"/>
          <w:b/>
          <w:sz w:val="21"/>
          <w:szCs w:val="21"/>
        </w:rPr>
        <w:t>）省级以上监狱管理局、戒毒管理局（含新疆生产建设兵团）出具的属于监狱企业的证明文件</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color w:val="000000"/>
          <w:kern w:val="0"/>
          <w:sz w:val="21"/>
          <w:szCs w:val="21"/>
          <w:lang w:val="en-US" w:eastAsia="zh-CN"/>
        </w:rPr>
      </w:pPr>
      <w:r>
        <w:rPr>
          <w:rFonts w:hint="eastAsia" w:asciiTheme="minorEastAsia" w:hAnsiTheme="minorEastAsia" w:eastAsiaTheme="minorEastAsia" w:cstheme="minorEastAsia"/>
          <w:b/>
          <w:color w:val="000000"/>
          <w:kern w:val="0"/>
          <w:sz w:val="21"/>
          <w:szCs w:val="21"/>
          <w:lang w:val="en-US" w:eastAsia="zh-CN"/>
        </w:rPr>
        <w:t xml:space="preserve">    （如适用的话）</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color w:val="000000"/>
          <w:kern w:val="0"/>
          <w:sz w:val="21"/>
          <w:szCs w:val="21"/>
        </w:rPr>
      </w:pP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sz w:val="21"/>
          <w:szCs w:val="21"/>
        </w:rPr>
        <w:br w:type="page"/>
      </w:r>
      <w:r>
        <w:rPr>
          <w:rFonts w:hint="eastAsia" w:asciiTheme="minorEastAsia" w:hAnsiTheme="minorEastAsia" w:eastAsiaTheme="minorEastAsia" w:cstheme="minorEastAsia"/>
          <w:b/>
          <w:color w:val="auto"/>
          <w:sz w:val="21"/>
          <w:szCs w:val="21"/>
        </w:rPr>
        <w:t>（十</w:t>
      </w:r>
      <w:r>
        <w:rPr>
          <w:rFonts w:hint="eastAsia" w:asciiTheme="minorEastAsia" w:hAnsiTheme="minorEastAsia" w:eastAsiaTheme="minorEastAsia" w:cstheme="minorEastAsia"/>
          <w:b/>
          <w:color w:val="auto"/>
          <w:sz w:val="21"/>
          <w:szCs w:val="21"/>
          <w:lang w:val="en-US" w:eastAsia="zh-CN"/>
        </w:rPr>
        <w:t>一</w:t>
      </w:r>
      <w:r>
        <w:rPr>
          <w:rFonts w:hint="eastAsia" w:asciiTheme="minorEastAsia" w:hAnsiTheme="minorEastAsia" w:eastAsiaTheme="minorEastAsia" w:cstheme="minorEastAsia"/>
          <w:b/>
          <w:color w:val="auto"/>
          <w:sz w:val="21"/>
          <w:szCs w:val="21"/>
        </w:rPr>
        <w:t>）国家确定的认证机构出具的处于有效期之内的节能产品或环境标志产品认证证书的复印件、全国认证认可信息公共服务平台（http://cx.cnca.cn/ CertECloud/index/index/page）中获证产品信息查询页截屏打印件并加盖公章（当招标文件要求提供时）</w:t>
      </w:r>
    </w:p>
    <w:p>
      <w:pPr>
        <w:pStyle w:val="5"/>
        <w:keepNext w:val="0"/>
        <w:keepLines w:val="0"/>
        <w:pageBreakBefore w:val="0"/>
        <w:kinsoku/>
        <w:overflowPunct/>
        <w:bidi w:val="0"/>
        <w:spacing w:before="0" w:beforeLines="0" w:beforeAutospacing="0" w:after="0" w:afterLines="0" w:afterAutospacing="0" w:line="360" w:lineRule="auto"/>
        <w:ind w:firstLine="118"/>
        <w:rPr>
          <w:rFonts w:hint="eastAsia" w:asciiTheme="minorEastAsia" w:hAnsiTheme="minorEastAsia" w:eastAsiaTheme="minorEastAsia" w:cstheme="minorEastAsia"/>
          <w:b/>
          <w:sz w:val="21"/>
          <w:szCs w:val="21"/>
        </w:rPr>
      </w:pPr>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24"/>
          <w:szCs w:val="24"/>
        </w:rPr>
        <w:br w:type="page"/>
      </w:r>
      <w:bookmarkStart w:id="340" w:name="_Toc15152"/>
      <w:bookmarkStart w:id="341" w:name="_Toc31984"/>
      <w:bookmarkStart w:id="342" w:name="_Toc457748064"/>
      <w:r>
        <w:rPr>
          <w:rFonts w:hint="eastAsia" w:asciiTheme="minorEastAsia" w:hAnsiTheme="minorEastAsia" w:eastAsiaTheme="minorEastAsia" w:cstheme="minorEastAsia"/>
          <w:sz w:val="30"/>
          <w:szCs w:val="30"/>
        </w:rPr>
        <w:t>其他资料</w:t>
      </w:r>
      <w:bookmarkEnd w:id="340"/>
      <w:bookmarkEnd w:id="341"/>
      <w:bookmarkEnd w:id="342"/>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napToGrid w:val="0"/>
          <w:kern w:val="0"/>
          <w:sz w:val="21"/>
          <w:szCs w:val="21"/>
        </w:rPr>
        <w:t>招标文件要求提供的或投标人认为需要补充的其他资料</w:t>
      </w:r>
      <w:r>
        <w:rPr>
          <w:rFonts w:hint="eastAsia" w:asciiTheme="minorEastAsia" w:hAnsiTheme="minorEastAsia" w:eastAsiaTheme="minorEastAsia" w:cstheme="minorEastAsia"/>
          <w:sz w:val="21"/>
          <w:szCs w:val="21"/>
        </w:rPr>
        <w:t>）</w:t>
      </w:r>
    </w:p>
    <w:p>
      <w:pPr>
        <w:autoSpaceDE w:val="0"/>
        <w:autoSpaceDN w:val="0"/>
        <w:spacing w:line="360" w:lineRule="auto"/>
        <w:ind w:right="74"/>
        <w:jc w:val="center"/>
        <w:outlineLvl w:val="0"/>
        <w:rPr>
          <w:rFonts w:hint="eastAsia" w:asciiTheme="minorEastAsia" w:hAnsiTheme="minorEastAsia" w:eastAsiaTheme="minorEastAsia" w:cstheme="minorEastAsia"/>
          <w:b/>
          <w:snapToGrid w:val="0"/>
          <w:color w:val="000000"/>
          <w:sz w:val="32"/>
          <w:szCs w:val="32"/>
        </w:rPr>
      </w:pPr>
      <w:r>
        <w:rPr>
          <w:rFonts w:hint="eastAsia" w:asciiTheme="minorEastAsia" w:hAnsiTheme="minorEastAsia" w:eastAsiaTheme="minorEastAsia" w:cstheme="minorEastAsia"/>
          <w:sz w:val="24"/>
          <w:szCs w:val="24"/>
        </w:rPr>
        <w:br w:type="page"/>
      </w:r>
      <w:bookmarkStart w:id="343" w:name="_Toc10771"/>
      <w:r>
        <w:rPr>
          <w:rFonts w:hint="eastAsia" w:asciiTheme="minorEastAsia" w:hAnsiTheme="minorEastAsia" w:eastAsiaTheme="minorEastAsia" w:cstheme="minorEastAsia"/>
          <w:b/>
          <w:snapToGrid w:val="0"/>
          <w:color w:val="000000"/>
          <w:sz w:val="32"/>
          <w:szCs w:val="32"/>
        </w:rPr>
        <w:t>资格审查表（格式）</w:t>
      </w:r>
      <w:bookmarkEnd w:id="343"/>
    </w:p>
    <w:p>
      <w:pPr>
        <w:spacing w:before="120" w:beforeLines="50" w:line="240" w:lineRule="auto"/>
        <w:rPr>
          <w:rFonts w:hint="eastAsia" w:asciiTheme="minorEastAsia" w:hAnsiTheme="minorEastAsia" w:eastAsiaTheme="minorEastAsia" w:cstheme="minorEastAsia"/>
          <w:snapToGrid w:val="0"/>
          <w:sz w:val="24"/>
          <w:u w:val="single"/>
          <w:lang w:eastAsia="zh-CN"/>
        </w:rPr>
      </w:pPr>
      <w:r>
        <w:rPr>
          <w:rFonts w:hint="eastAsia" w:asciiTheme="minorEastAsia" w:hAnsiTheme="minorEastAsia" w:eastAsiaTheme="minorEastAsia" w:cstheme="minorEastAsia"/>
          <w:snapToGrid w:val="0"/>
          <w:sz w:val="24"/>
        </w:rPr>
        <w:t>项目名称：</w:t>
      </w:r>
      <w:r>
        <w:rPr>
          <w:rFonts w:hint="eastAsia" w:asciiTheme="minorEastAsia" w:hAnsiTheme="minorEastAsia" w:eastAsiaTheme="minorEastAsia" w:cstheme="minorEastAsia"/>
          <w:snapToGrid w:val="0"/>
          <w:sz w:val="24"/>
          <w:lang w:eastAsia="zh-CN"/>
        </w:rPr>
        <w:t>多通道荧光定量基因扩增仪</w:t>
      </w:r>
    </w:p>
    <w:p>
      <w:pPr>
        <w:spacing w:line="240" w:lineRule="auto"/>
        <w:rPr>
          <w:rFonts w:hint="eastAsia" w:asciiTheme="minorEastAsia" w:hAnsiTheme="minorEastAsia" w:eastAsiaTheme="minorEastAsia" w:cstheme="minorEastAsia"/>
          <w:snapToGrid w:val="0"/>
          <w:sz w:val="24"/>
          <w:lang w:eastAsia="zh-CN"/>
        </w:rPr>
      </w:pPr>
      <w:r>
        <w:rPr>
          <w:rFonts w:hint="eastAsia" w:asciiTheme="minorEastAsia" w:hAnsiTheme="minorEastAsia" w:eastAsiaTheme="minorEastAsia" w:cstheme="minorEastAsia"/>
          <w:snapToGrid w:val="0"/>
          <w:sz w:val="24"/>
        </w:rPr>
        <w:t>招标编号：0613-</w:t>
      </w:r>
      <w:r>
        <w:rPr>
          <w:rFonts w:hint="eastAsia" w:asciiTheme="minorEastAsia" w:hAnsiTheme="minorEastAsia" w:eastAsiaTheme="minorEastAsia" w:cstheme="minorEastAsia"/>
          <w:snapToGrid w:val="0"/>
          <w:sz w:val="24"/>
          <w:lang w:eastAsia="zh-CN"/>
        </w:rPr>
        <w:t>217123062652</w:t>
      </w:r>
    </w:p>
    <w:tbl>
      <w:tblPr>
        <w:tblStyle w:val="2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05"/>
        <w:gridCol w:w="2503"/>
        <w:gridCol w:w="362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3" w:hRule="atLeast"/>
        </w:trPr>
        <w:tc>
          <w:tcPr>
            <w:tcW w:w="805" w:type="dxa"/>
            <w:vAlign w:val="center"/>
          </w:tcPr>
          <w:p>
            <w:pPr>
              <w:autoSpaceDE w:val="0"/>
              <w:autoSpaceDN w:val="0"/>
              <w:spacing w:line="240" w:lineRule="auto"/>
              <w:jc w:val="center"/>
              <w:rPr>
                <w:rFonts w:hint="eastAsia" w:asciiTheme="minorEastAsia" w:hAnsiTheme="minorEastAsia" w:eastAsiaTheme="minorEastAsia" w:cstheme="minorEastAsia"/>
                <w:b/>
                <w:bCs/>
                <w:snapToGrid w:val="0"/>
                <w:szCs w:val="21"/>
              </w:rPr>
            </w:pPr>
            <w:r>
              <w:rPr>
                <w:rFonts w:hint="eastAsia" w:asciiTheme="minorEastAsia" w:hAnsiTheme="minorEastAsia" w:eastAsiaTheme="minorEastAsia" w:cstheme="minorEastAsia"/>
                <w:b/>
                <w:bCs/>
                <w:snapToGrid w:val="0"/>
                <w:szCs w:val="21"/>
              </w:rPr>
              <w:t>序号</w:t>
            </w:r>
          </w:p>
        </w:tc>
        <w:tc>
          <w:tcPr>
            <w:tcW w:w="2503" w:type="dxa"/>
            <w:vAlign w:val="center"/>
          </w:tcPr>
          <w:p>
            <w:pPr>
              <w:autoSpaceDE w:val="0"/>
              <w:autoSpaceDN w:val="0"/>
              <w:snapToGrid w:val="0"/>
              <w:spacing w:line="240" w:lineRule="auto"/>
              <w:jc w:val="center"/>
              <w:rPr>
                <w:rFonts w:hint="eastAsia" w:asciiTheme="minorEastAsia" w:hAnsiTheme="minorEastAsia" w:eastAsiaTheme="minorEastAsia" w:cstheme="minorEastAsia"/>
                <w:b/>
                <w:bCs/>
                <w:snapToGrid w:val="0"/>
                <w:szCs w:val="21"/>
              </w:rPr>
            </w:pPr>
            <w:r>
              <w:rPr>
                <w:rFonts w:hint="eastAsia" w:asciiTheme="minorEastAsia" w:hAnsiTheme="minorEastAsia" w:eastAsiaTheme="minorEastAsia" w:cstheme="minorEastAsia"/>
                <w:b/>
                <w:bCs/>
                <w:snapToGrid w:val="0"/>
                <w:szCs w:val="21"/>
              </w:rPr>
              <w:t>资格要求</w:t>
            </w:r>
          </w:p>
        </w:tc>
        <w:tc>
          <w:tcPr>
            <w:tcW w:w="3621" w:type="dxa"/>
            <w:tcBorders>
              <w:bottom w:val="single" w:color="auto" w:sz="4" w:space="0"/>
            </w:tcBorders>
            <w:vAlign w:val="top"/>
          </w:tcPr>
          <w:p>
            <w:pPr>
              <w:autoSpaceDE w:val="0"/>
              <w:autoSpaceDN w:val="0"/>
              <w:snapToGrid w:val="0"/>
              <w:spacing w:line="24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napToGrid w:val="0"/>
                <w:szCs w:val="21"/>
              </w:rPr>
              <w:t>要求提供的证明材料</w:t>
            </w:r>
          </w:p>
        </w:tc>
        <w:tc>
          <w:tcPr>
            <w:tcW w:w="1531" w:type="dxa"/>
            <w:tcBorders>
              <w:bottom w:val="single" w:color="auto" w:sz="4" w:space="0"/>
            </w:tcBorders>
            <w:vAlign w:val="center"/>
          </w:tcPr>
          <w:p>
            <w:pPr>
              <w:autoSpaceDE w:val="0"/>
              <w:autoSpaceDN w:val="0"/>
              <w:snapToGrid w:val="0"/>
              <w:spacing w:line="240" w:lineRule="auto"/>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响应内容所在投标文件页数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8"/>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color w:val="auto"/>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bCs/>
                <w:snapToGrid w:val="0"/>
                <w:color w:val="auto"/>
                <w:szCs w:val="21"/>
              </w:rPr>
            </w:pPr>
            <w:r>
              <w:rPr>
                <w:rFonts w:hint="eastAsia" w:asciiTheme="minorEastAsia" w:hAnsiTheme="minorEastAsia" w:eastAsiaTheme="minorEastAsia" w:cstheme="minorEastAsia"/>
                <w:bCs/>
                <w:snapToGrid w:val="0"/>
                <w:color w:val="auto"/>
                <w:szCs w:val="21"/>
              </w:rPr>
              <w:t>符合《中华人民共和国政府采购法》第二十二条规定的供应商。</w:t>
            </w:r>
          </w:p>
        </w:tc>
        <w:tc>
          <w:tcPr>
            <w:tcW w:w="3621" w:type="dxa"/>
            <w:tcBorders>
              <w:tl2br w:val="single" w:color="auto" w:sz="4" w:space="0"/>
            </w:tcBorders>
            <w:vAlign w:val="center"/>
          </w:tcPr>
          <w:p>
            <w:pPr>
              <w:autoSpaceDE w:val="0"/>
              <w:autoSpaceDN w:val="0"/>
              <w:spacing w:line="240" w:lineRule="auto"/>
              <w:rPr>
                <w:rFonts w:hint="eastAsia" w:asciiTheme="minorEastAsia" w:hAnsiTheme="minorEastAsia" w:eastAsiaTheme="minorEastAsia" w:cstheme="minorEastAsia"/>
                <w:bCs/>
                <w:snapToGrid w:val="0"/>
                <w:color w:val="auto"/>
                <w:szCs w:val="21"/>
              </w:rPr>
            </w:pP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9"/>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color w:val="auto"/>
                <w:szCs w:val="21"/>
                <w:lang w:val="en-US" w:eastAsia="zh-CN"/>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bCs/>
                <w:snapToGrid w:val="0"/>
                <w:color w:val="auto"/>
                <w:szCs w:val="21"/>
              </w:rPr>
            </w:pPr>
            <w:r>
              <w:rPr>
                <w:rFonts w:hint="eastAsia" w:asciiTheme="minorEastAsia" w:hAnsiTheme="minorEastAsia" w:eastAsiaTheme="minorEastAsia" w:cstheme="minorEastAsia"/>
                <w:color w:val="auto"/>
                <w:szCs w:val="21"/>
              </w:rPr>
              <w:t>具有独立承担民事责任的能力</w:t>
            </w:r>
            <w:r>
              <w:rPr>
                <w:rFonts w:hint="eastAsia" w:asciiTheme="minorEastAsia" w:hAnsiTheme="minorEastAsia" w:eastAsiaTheme="minorEastAsia" w:cstheme="minorEastAsia"/>
                <w:bCs/>
                <w:snapToGrid w:val="0"/>
                <w:color w:val="auto"/>
                <w:szCs w:val="21"/>
              </w:rPr>
              <w:t>。</w:t>
            </w:r>
          </w:p>
        </w:tc>
        <w:tc>
          <w:tcPr>
            <w:tcW w:w="3621" w:type="dxa"/>
            <w:vAlign w:val="center"/>
          </w:tcPr>
          <w:p>
            <w:pPr>
              <w:autoSpaceDE w:val="0"/>
              <w:autoSpaceDN w:val="0"/>
              <w:spacing w:line="24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营业执照或自然人的身份证明</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9"/>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color w:val="auto"/>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bCs/>
                <w:snapToGrid w:val="0"/>
                <w:color w:val="auto"/>
                <w:szCs w:val="21"/>
              </w:rPr>
            </w:pPr>
            <w:r>
              <w:rPr>
                <w:rFonts w:hint="eastAsia" w:asciiTheme="minorEastAsia" w:hAnsiTheme="minorEastAsia" w:eastAsiaTheme="minorEastAsia" w:cstheme="minorEastAsia"/>
                <w:color w:val="auto"/>
                <w:szCs w:val="21"/>
              </w:rPr>
              <w:t>具有良好的商业信誉和健全的财务会计制度</w:t>
            </w:r>
            <w:r>
              <w:rPr>
                <w:rFonts w:hint="eastAsia" w:asciiTheme="minorEastAsia" w:hAnsiTheme="minorEastAsia" w:eastAsiaTheme="minorEastAsia" w:cstheme="minorEastAsia"/>
                <w:bCs/>
                <w:snapToGrid w:val="0"/>
                <w:color w:val="auto"/>
                <w:szCs w:val="21"/>
              </w:rPr>
              <w:t>。</w:t>
            </w:r>
          </w:p>
        </w:tc>
        <w:tc>
          <w:tcPr>
            <w:tcW w:w="3621" w:type="dxa"/>
            <w:vAlign w:val="center"/>
          </w:tcPr>
          <w:p>
            <w:pPr>
              <w:autoSpaceDE w:val="0"/>
              <w:autoSpaceDN w:val="0"/>
              <w:spacing w:line="24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近</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2019年和2020年</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财务报告或银行资信证明或财政部门认可的政府采购专业担保机构出具的投标担保函</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9"/>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color w:val="auto"/>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bCs/>
                <w:snapToGrid w:val="0"/>
                <w:color w:val="auto"/>
                <w:szCs w:val="21"/>
              </w:rPr>
            </w:pPr>
            <w:r>
              <w:rPr>
                <w:rFonts w:hint="eastAsia" w:asciiTheme="minorEastAsia" w:hAnsiTheme="minorEastAsia" w:eastAsiaTheme="minorEastAsia" w:cstheme="minorEastAsia"/>
                <w:color w:val="auto"/>
                <w:szCs w:val="21"/>
              </w:rPr>
              <w:t>具有履行合同所必需的设备和专业技术能力</w:t>
            </w:r>
            <w:r>
              <w:rPr>
                <w:rFonts w:hint="eastAsia" w:asciiTheme="minorEastAsia" w:hAnsiTheme="minorEastAsia" w:eastAsiaTheme="minorEastAsia" w:cstheme="minorEastAsia"/>
                <w:bCs/>
                <w:snapToGrid w:val="0"/>
                <w:color w:val="auto"/>
                <w:szCs w:val="21"/>
              </w:rPr>
              <w:t>。</w:t>
            </w:r>
          </w:p>
        </w:tc>
        <w:tc>
          <w:tcPr>
            <w:tcW w:w="3621" w:type="dxa"/>
            <w:vAlign w:val="center"/>
          </w:tcPr>
          <w:p>
            <w:pPr>
              <w:autoSpaceDE w:val="0"/>
              <w:autoSpaceDN w:val="0"/>
              <w:spacing w:line="24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投标人基本情况</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9"/>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color w:val="auto"/>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bCs/>
                <w:snapToGrid w:val="0"/>
                <w:color w:val="auto"/>
                <w:szCs w:val="21"/>
              </w:rPr>
            </w:pPr>
            <w:r>
              <w:rPr>
                <w:rFonts w:hint="eastAsia" w:asciiTheme="minorEastAsia" w:hAnsiTheme="minorEastAsia" w:eastAsiaTheme="minorEastAsia" w:cstheme="minorEastAsia"/>
                <w:color w:val="auto"/>
                <w:szCs w:val="21"/>
              </w:rPr>
              <w:t>有依法缴纳税收和社会保障资金的良好记录</w:t>
            </w:r>
            <w:r>
              <w:rPr>
                <w:rFonts w:hint="eastAsia" w:asciiTheme="minorEastAsia" w:hAnsiTheme="minorEastAsia" w:eastAsiaTheme="minorEastAsia" w:cstheme="minorEastAsia"/>
                <w:bCs/>
                <w:snapToGrid w:val="0"/>
                <w:color w:val="auto"/>
                <w:szCs w:val="21"/>
              </w:rPr>
              <w:t>。</w:t>
            </w:r>
          </w:p>
        </w:tc>
        <w:tc>
          <w:tcPr>
            <w:tcW w:w="3621" w:type="dxa"/>
            <w:vAlign w:val="center"/>
          </w:tcPr>
          <w:p>
            <w:pPr>
              <w:autoSpaceDE w:val="0"/>
              <w:autoSpaceDN w:val="0"/>
              <w:spacing w:line="24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近6个月内任意一个月的缴纳增值税、营业税和企业所得税的凭据；近</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个月内任意一个月的缴纳社会保险的凭据；依法免税或不需要缴纳社会保障资金的证明</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9"/>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color w:val="auto"/>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bCs/>
                <w:snapToGrid w:val="0"/>
                <w:color w:val="auto"/>
                <w:szCs w:val="21"/>
              </w:rPr>
            </w:pPr>
            <w:r>
              <w:rPr>
                <w:rFonts w:hint="eastAsia" w:asciiTheme="minorEastAsia" w:hAnsiTheme="minorEastAsia" w:eastAsiaTheme="minorEastAsia" w:cstheme="minorEastAsia"/>
                <w:color w:val="auto"/>
                <w:szCs w:val="21"/>
              </w:rPr>
              <w:t>参加本次政府采购活动前三年内，在经营活动中没有重大违法记录</w:t>
            </w:r>
            <w:r>
              <w:rPr>
                <w:rFonts w:hint="eastAsia" w:asciiTheme="minorEastAsia" w:hAnsiTheme="minorEastAsia" w:eastAsiaTheme="minorEastAsia" w:cstheme="minorEastAsia"/>
                <w:bCs/>
                <w:snapToGrid w:val="0"/>
                <w:color w:val="auto"/>
                <w:szCs w:val="21"/>
              </w:rPr>
              <w:t>。</w:t>
            </w:r>
          </w:p>
        </w:tc>
        <w:tc>
          <w:tcPr>
            <w:tcW w:w="3621" w:type="dxa"/>
            <w:vAlign w:val="center"/>
          </w:tcPr>
          <w:p>
            <w:pPr>
              <w:autoSpaceDE w:val="0"/>
              <w:autoSpaceDN w:val="0"/>
              <w:spacing w:line="24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没有重大违法记录的书面声明</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8"/>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bCs/>
                <w:snapToGrid w:val="0"/>
                <w:szCs w:val="21"/>
              </w:rPr>
            </w:pPr>
            <w:r>
              <w:rPr>
                <w:rFonts w:hint="eastAsia" w:asciiTheme="minorEastAsia" w:hAnsiTheme="minorEastAsia" w:eastAsiaTheme="minorEastAsia" w:cstheme="minorEastAsia"/>
                <w:bCs/>
                <w:snapToGrid w:val="0"/>
                <w:szCs w:val="21"/>
              </w:rPr>
              <w:t>未被“信用中国网站”（www.creditchina.gov.cn）列入失信被执行人、重大税收违法案件当事人名单、政府采购严重违法失信名单。</w:t>
            </w:r>
          </w:p>
        </w:tc>
        <w:tc>
          <w:tcPr>
            <w:tcW w:w="3621" w:type="dxa"/>
            <w:vAlign w:val="center"/>
          </w:tcPr>
          <w:p>
            <w:pPr>
              <w:autoSpaceDE w:val="0"/>
              <w:autoSpaceDN w:val="0"/>
              <w:spacing w:line="240" w:lineRule="auto"/>
              <w:rPr>
                <w:rFonts w:hint="eastAsia" w:asciiTheme="minorEastAsia" w:hAnsiTheme="minorEastAsia" w:eastAsiaTheme="minorEastAsia" w:cstheme="minorEastAsia"/>
                <w:bCs/>
                <w:snapToGrid w:val="0"/>
                <w:szCs w:val="21"/>
              </w:rPr>
            </w:pPr>
            <w:r>
              <w:rPr>
                <w:rFonts w:hint="eastAsia" w:asciiTheme="minorEastAsia" w:hAnsiTheme="minorEastAsia" w:eastAsiaTheme="minorEastAsia" w:cstheme="minorEastAsia"/>
                <w:szCs w:val="21"/>
              </w:rPr>
              <w:t>（无需提供，由招标人或招标代理机构在资格审查时从 “信用中国”网站查询并打印）</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8"/>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在投标截止时间前三年内投标人或其单位负责人、拟委任的项目负责人无行贿犯罪行为</w:t>
            </w:r>
          </w:p>
        </w:tc>
        <w:tc>
          <w:tcPr>
            <w:tcW w:w="3621" w:type="dxa"/>
            <w:vAlign w:val="center"/>
          </w:tcPr>
          <w:p>
            <w:pPr>
              <w:autoSpaceDE w:val="0"/>
              <w:autoSpaceDN w:val="0"/>
              <w:spacing w:line="240" w:lineRule="auto"/>
              <w:rPr>
                <w:rFonts w:hint="eastAsia" w:asciiTheme="minorEastAsia" w:hAnsiTheme="minorEastAsia" w:eastAsiaTheme="minorEastAsia" w:cstheme="minorEastAsia"/>
                <w:bCs/>
                <w:snapToGrid w:val="0"/>
                <w:color w:val="FF0000"/>
                <w:szCs w:val="21"/>
              </w:rPr>
            </w:pPr>
            <w:r>
              <w:rPr>
                <w:rFonts w:hint="eastAsia" w:asciiTheme="minorEastAsia" w:hAnsiTheme="minorEastAsia" w:eastAsiaTheme="minorEastAsia" w:cstheme="minorEastAsia"/>
                <w:szCs w:val="21"/>
              </w:rPr>
              <w:t>没有</w:t>
            </w:r>
            <w:r>
              <w:rPr>
                <w:rFonts w:hint="eastAsia" w:asciiTheme="minorEastAsia" w:hAnsiTheme="minorEastAsia" w:eastAsiaTheme="minorEastAsia" w:cstheme="minorEastAsia"/>
                <w:szCs w:val="21"/>
                <w:lang w:val="en-US" w:eastAsia="zh-CN"/>
              </w:rPr>
              <w:t>行贿犯罪</w:t>
            </w:r>
            <w:r>
              <w:rPr>
                <w:rFonts w:hint="eastAsia" w:asciiTheme="minorEastAsia" w:hAnsiTheme="minorEastAsia" w:eastAsiaTheme="minorEastAsia" w:cstheme="minorEastAsia"/>
                <w:szCs w:val="21"/>
              </w:rPr>
              <w:t>记录的书面声明</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8"/>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与本项目招标代理机构的负责人为同一人或者存在直接控股和管理关系的供应商不得参加本次政府采购活动</w:t>
            </w:r>
            <w:r>
              <w:rPr>
                <w:rFonts w:hint="eastAsia" w:asciiTheme="minorEastAsia" w:hAnsiTheme="minorEastAsia" w:eastAsiaTheme="minorEastAsia" w:cstheme="minorEastAsia"/>
                <w:bCs/>
                <w:snapToGrid w:val="0"/>
                <w:szCs w:val="21"/>
              </w:rPr>
              <w:t>。</w:t>
            </w:r>
          </w:p>
        </w:tc>
        <w:tc>
          <w:tcPr>
            <w:tcW w:w="362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szCs w:val="21"/>
              </w:rPr>
            </w:pPr>
            <w:r>
              <w:rPr>
                <w:rFonts w:hint="eastAsia" w:asciiTheme="minorEastAsia" w:hAnsiTheme="minorEastAsia" w:eastAsiaTheme="minorEastAsia" w:cstheme="minorEastAsia"/>
                <w:szCs w:val="21"/>
              </w:rPr>
              <w:t>投标函</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8"/>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单位负责人为同一人或者存在直接控股、管理关系的不同投标人，不得同时参加同一包件的投标或者未划分包件的同一招标项目的投标</w:t>
            </w:r>
            <w:r>
              <w:rPr>
                <w:rFonts w:hint="eastAsia" w:asciiTheme="minorEastAsia" w:hAnsiTheme="minorEastAsia" w:eastAsiaTheme="minorEastAsia" w:cstheme="minorEastAsia"/>
                <w:bCs/>
                <w:snapToGrid w:val="0"/>
                <w:szCs w:val="21"/>
              </w:rPr>
              <w:t>。</w:t>
            </w:r>
          </w:p>
        </w:tc>
        <w:tc>
          <w:tcPr>
            <w:tcW w:w="362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szCs w:val="21"/>
              </w:rPr>
            </w:pPr>
            <w:r>
              <w:rPr>
                <w:rFonts w:hint="eastAsia" w:asciiTheme="minorEastAsia" w:hAnsiTheme="minorEastAsia" w:eastAsiaTheme="minorEastAsia" w:cstheme="minorEastAsia"/>
                <w:szCs w:val="21"/>
              </w:rPr>
              <w:t>投标人基本情况表</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8"/>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bCs/>
                <w:snapToGrid w:val="0"/>
                <w:szCs w:val="21"/>
              </w:rPr>
            </w:pPr>
            <w:r>
              <w:rPr>
                <w:rFonts w:hint="eastAsia" w:asciiTheme="minorEastAsia" w:hAnsiTheme="minorEastAsia" w:eastAsiaTheme="minorEastAsia" w:cstheme="minorEastAsia"/>
                <w:szCs w:val="21"/>
              </w:rPr>
              <w:t>为本项目提供整体设计、规范编制或者项目管理、监理、检测等服务的供应商不得参加本次政府采购活动</w:t>
            </w:r>
            <w:r>
              <w:rPr>
                <w:rFonts w:hint="eastAsia" w:asciiTheme="minorEastAsia" w:hAnsiTheme="minorEastAsia" w:eastAsiaTheme="minorEastAsia" w:cstheme="minorEastAsia"/>
                <w:bCs/>
                <w:snapToGrid w:val="0"/>
                <w:szCs w:val="21"/>
              </w:rPr>
              <w:t>。</w:t>
            </w:r>
          </w:p>
        </w:tc>
        <w:tc>
          <w:tcPr>
            <w:tcW w:w="362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szCs w:val="21"/>
              </w:rPr>
            </w:pPr>
            <w:r>
              <w:rPr>
                <w:rFonts w:hint="eastAsia" w:asciiTheme="minorEastAsia" w:hAnsiTheme="minorEastAsia" w:eastAsiaTheme="minorEastAsia" w:cstheme="minorEastAsia"/>
                <w:szCs w:val="21"/>
              </w:rPr>
              <w:t>投标函</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805" w:type="dxa"/>
            <w:vAlign w:val="center"/>
          </w:tcPr>
          <w:p>
            <w:pPr>
              <w:numPr>
                <w:ilvl w:val="0"/>
                <w:numId w:val="18"/>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color w:val="auto"/>
                <w:szCs w:val="21"/>
              </w:rPr>
            </w:pPr>
          </w:p>
        </w:tc>
        <w:tc>
          <w:tcPr>
            <w:tcW w:w="2503" w:type="dxa"/>
            <w:vAlign w:val="center"/>
          </w:tcPr>
          <w:p>
            <w:pPr>
              <w:adjustRightInd/>
              <w:spacing w:line="240" w:lineRule="auto"/>
              <w:jc w:val="left"/>
              <w:textAlignment w:val="auto"/>
              <w:rPr>
                <w:rFonts w:hint="eastAsia" w:asciiTheme="minorEastAsia" w:hAnsiTheme="minorEastAsia" w:eastAsiaTheme="minorEastAsia" w:cstheme="minorEastAsia"/>
                <w:bCs/>
                <w:snapToGrid w:val="0"/>
                <w:color w:val="auto"/>
                <w:szCs w:val="21"/>
                <w:u w:val="single"/>
              </w:rPr>
            </w:pPr>
            <w:r>
              <w:rPr>
                <w:rFonts w:hint="eastAsia" w:asciiTheme="minorEastAsia" w:hAnsiTheme="minorEastAsia" w:eastAsiaTheme="minorEastAsia" w:cstheme="minorEastAsia"/>
                <w:iCs/>
                <w:color w:val="auto"/>
                <w:szCs w:val="21"/>
              </w:rPr>
              <w:t>资质要求：（1）投标产品具备国家相关行业主管部门颁发的有效期内的医疗器械注册证（备案证）。（2）投标人具备与本次招标内容相适应的医疗器械经营许可证（备案表）</w:t>
            </w:r>
          </w:p>
        </w:tc>
        <w:tc>
          <w:tcPr>
            <w:tcW w:w="362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color w:val="auto"/>
                <w:szCs w:val="21"/>
              </w:rPr>
            </w:pPr>
            <w:r>
              <w:rPr>
                <w:rFonts w:hint="eastAsia" w:asciiTheme="minorEastAsia" w:hAnsiTheme="minorEastAsia" w:eastAsiaTheme="minorEastAsia" w:cstheme="minorEastAsia"/>
                <w:bCs/>
                <w:snapToGrid w:val="0"/>
                <w:color w:val="auto"/>
                <w:szCs w:val="21"/>
              </w:rPr>
              <w:t>资质证书复印件</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27" w:hRule="atLeast"/>
        </w:trPr>
        <w:tc>
          <w:tcPr>
            <w:tcW w:w="805" w:type="dxa"/>
            <w:vAlign w:val="center"/>
          </w:tcPr>
          <w:p>
            <w:pPr>
              <w:numPr>
                <w:ilvl w:val="0"/>
                <w:numId w:val="18"/>
              </w:numPr>
              <w:adjustRightInd/>
              <w:spacing w:line="240" w:lineRule="auto"/>
              <w:ind w:left="425" w:leftChars="0" w:hanging="425" w:firstLineChars="0"/>
              <w:jc w:val="both"/>
              <w:textAlignment w:val="auto"/>
              <w:rPr>
                <w:rFonts w:hint="eastAsia" w:asciiTheme="minorEastAsia" w:hAnsiTheme="minorEastAsia" w:eastAsiaTheme="minorEastAsia" w:cstheme="minorEastAsia"/>
                <w:bCs/>
                <w:snapToGrid w:val="0"/>
                <w:color w:val="auto"/>
                <w:szCs w:val="21"/>
              </w:rPr>
            </w:pPr>
          </w:p>
        </w:tc>
        <w:tc>
          <w:tcPr>
            <w:tcW w:w="2503" w:type="dxa"/>
            <w:vAlign w:val="center"/>
          </w:tcPr>
          <w:p>
            <w:pPr>
              <w:autoSpaceDE w:val="0"/>
              <w:autoSpaceDN w:val="0"/>
              <w:spacing w:line="240" w:lineRule="auto"/>
              <w:jc w:val="left"/>
              <w:rPr>
                <w:rFonts w:hint="eastAsia" w:asciiTheme="minorEastAsia" w:hAnsiTheme="minorEastAsia" w:eastAsiaTheme="minorEastAsia" w:cstheme="minorEastAsia"/>
                <w:bCs/>
                <w:i/>
                <w:snapToGrid w:val="0"/>
                <w:color w:val="auto"/>
                <w:szCs w:val="21"/>
              </w:rPr>
            </w:pPr>
            <w:r>
              <w:rPr>
                <w:rFonts w:hint="eastAsia" w:asciiTheme="minorEastAsia" w:hAnsiTheme="minorEastAsia" w:eastAsiaTheme="minorEastAsia" w:cstheme="minorEastAsia"/>
                <w:iCs/>
                <w:color w:val="auto"/>
                <w:szCs w:val="21"/>
              </w:rPr>
              <w:t>本项目专门面向中小企业或小型、微型企业采购</w:t>
            </w:r>
            <w:r>
              <w:rPr>
                <w:rFonts w:hint="eastAsia" w:asciiTheme="minorEastAsia" w:hAnsiTheme="minorEastAsia" w:eastAsiaTheme="minorEastAsia" w:cstheme="minorEastAsia"/>
                <w:bCs/>
                <w:iCs/>
                <w:snapToGrid w:val="0"/>
                <w:color w:val="auto"/>
                <w:szCs w:val="21"/>
              </w:rPr>
              <w:t>。</w:t>
            </w:r>
          </w:p>
        </w:tc>
        <w:tc>
          <w:tcPr>
            <w:tcW w:w="3621" w:type="dxa"/>
            <w:vAlign w:val="center"/>
          </w:tcPr>
          <w:p>
            <w:pPr>
              <w:autoSpaceDE w:val="0"/>
              <w:autoSpaceDN w:val="0"/>
              <w:spacing w:line="240" w:lineRule="auto"/>
              <w:jc w:val="center"/>
              <w:rPr>
                <w:rFonts w:hint="eastAsia" w:asciiTheme="minorEastAsia" w:hAnsiTheme="minorEastAsia" w:eastAsiaTheme="minorEastAsia" w:cstheme="minorEastAsia"/>
                <w:bCs/>
                <w:i/>
                <w:snapToGrid w:val="0"/>
                <w:color w:val="auto"/>
                <w:szCs w:val="21"/>
              </w:rPr>
            </w:pPr>
            <w:r>
              <w:rPr>
                <w:rFonts w:hint="eastAsia" w:asciiTheme="minorEastAsia" w:hAnsiTheme="minorEastAsia" w:eastAsiaTheme="minorEastAsia" w:cstheme="minorEastAsia"/>
                <w:iCs/>
                <w:color w:val="auto"/>
                <w:szCs w:val="21"/>
              </w:rPr>
              <w:t>中小企业声明函</w:t>
            </w:r>
          </w:p>
        </w:tc>
        <w:tc>
          <w:tcPr>
            <w:tcW w:w="1531" w:type="dxa"/>
            <w:vAlign w:val="center"/>
          </w:tcPr>
          <w:p>
            <w:pPr>
              <w:autoSpaceDE w:val="0"/>
              <w:autoSpaceDN w:val="0"/>
              <w:spacing w:line="240" w:lineRule="auto"/>
              <w:jc w:val="center"/>
              <w:rPr>
                <w:rFonts w:hint="eastAsia" w:asciiTheme="minorEastAsia" w:hAnsiTheme="minorEastAsia" w:eastAsiaTheme="minorEastAsia" w:cstheme="minorEastAsia"/>
                <w:bCs/>
                <w:snapToGrid w:val="0"/>
                <w:color w:val="auto"/>
                <w:szCs w:val="21"/>
              </w:rPr>
            </w:pPr>
          </w:p>
        </w:tc>
      </w:tr>
    </w:tbl>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4"/>
          <w:szCs w:val="24"/>
          <w:lang w:eastAsia="zh-CN"/>
        </w:rPr>
        <w:t>备注：（</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eastAsia="zh-CN"/>
        </w:rPr>
        <w:t>）投标人</w:t>
      </w:r>
      <w:r>
        <w:rPr>
          <w:rFonts w:hint="eastAsia" w:asciiTheme="minorEastAsia" w:hAnsiTheme="minorEastAsia" w:eastAsiaTheme="minorEastAsia" w:cstheme="minorEastAsia"/>
          <w:b/>
          <w:bCs/>
          <w:sz w:val="32"/>
          <w:szCs w:val="32"/>
          <w:lang w:eastAsia="zh-CN"/>
        </w:rPr>
        <w:t>必须</w:t>
      </w:r>
      <w:r>
        <w:rPr>
          <w:rFonts w:hint="eastAsia" w:asciiTheme="minorEastAsia" w:hAnsiTheme="minorEastAsia" w:eastAsiaTheme="minorEastAsia" w:cstheme="minorEastAsia"/>
          <w:b/>
          <w:bCs/>
          <w:sz w:val="24"/>
          <w:szCs w:val="24"/>
          <w:lang w:eastAsia="zh-CN"/>
        </w:rPr>
        <w:t>提供上表；（</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eastAsia="zh-CN"/>
        </w:rPr>
        <w:t>）投标人必须</w:t>
      </w:r>
      <w:r>
        <w:rPr>
          <w:rFonts w:hint="eastAsia" w:asciiTheme="minorEastAsia" w:hAnsiTheme="minorEastAsia" w:eastAsiaTheme="minorEastAsia" w:cstheme="minorEastAsia"/>
          <w:b/>
          <w:bCs/>
          <w:sz w:val="32"/>
          <w:szCs w:val="32"/>
          <w:lang w:eastAsia="zh-CN"/>
        </w:rPr>
        <w:t>如实提供</w:t>
      </w:r>
      <w:r>
        <w:rPr>
          <w:rFonts w:hint="eastAsia" w:asciiTheme="minorEastAsia" w:hAnsiTheme="minorEastAsia" w:eastAsiaTheme="minorEastAsia" w:cstheme="minorEastAsia"/>
          <w:b/>
          <w:bCs/>
          <w:sz w:val="24"/>
          <w:szCs w:val="24"/>
          <w:lang w:eastAsia="zh-CN"/>
        </w:rPr>
        <w:t>上表要求的资料；（</w:t>
      </w: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资格审查</w:t>
      </w:r>
      <w:r>
        <w:rPr>
          <w:rFonts w:hint="eastAsia" w:asciiTheme="minorEastAsia" w:hAnsiTheme="minorEastAsia" w:eastAsiaTheme="minorEastAsia" w:cstheme="minorEastAsia"/>
          <w:b/>
          <w:bCs/>
          <w:sz w:val="24"/>
          <w:szCs w:val="24"/>
          <w:lang w:eastAsia="zh-CN"/>
        </w:rPr>
        <w:t>由招标人代表和招标代理机构审查。（</w:t>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8"/>
          <w:szCs w:val="28"/>
          <w:lang w:eastAsia="zh-CN"/>
        </w:rPr>
        <w:t>投标人不符合上表任何一条的，将作无效投标处理。</w:t>
      </w:r>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24"/>
          <w:szCs w:val="24"/>
        </w:rPr>
      </w:pPr>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24"/>
          <w:szCs w:val="24"/>
        </w:rPr>
        <w:br w:type="page"/>
      </w:r>
      <w:bookmarkStart w:id="344" w:name="_Toc457748065"/>
      <w:bookmarkStart w:id="345" w:name="_Toc29791"/>
      <w:bookmarkStart w:id="346" w:name="_Toc8855"/>
      <w:r>
        <w:rPr>
          <w:rFonts w:hint="eastAsia" w:asciiTheme="minorEastAsia" w:hAnsiTheme="minorEastAsia" w:eastAsiaTheme="minorEastAsia" w:cstheme="minorEastAsia"/>
          <w:sz w:val="30"/>
          <w:szCs w:val="30"/>
        </w:rPr>
        <w:t>技术偏差表</w:t>
      </w:r>
      <w:bookmarkEnd w:id="344"/>
      <w:bookmarkEnd w:id="345"/>
      <w:bookmarkEnd w:id="346"/>
    </w:p>
    <w:tbl>
      <w:tblPr>
        <w:tblStyle w:val="29"/>
        <w:tblW w:w="83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5" w:type="dxa"/>
          <w:left w:w="28" w:type="dxa"/>
          <w:bottom w:w="85" w:type="dxa"/>
          <w:right w:w="28" w:type="dxa"/>
        </w:tblCellMar>
      </w:tblPr>
      <w:tblGrid>
        <w:gridCol w:w="679"/>
        <w:gridCol w:w="1527"/>
        <w:gridCol w:w="1817"/>
        <w:gridCol w:w="1557"/>
        <w:gridCol w:w="1682"/>
        <w:gridCol w:w="10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招标文件章节及条款号</w:t>
            </w: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招标要求</w:t>
            </w: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投标文件章节及条款号</w:t>
            </w: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投标响应</w:t>
            </w: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偏差说明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85" w:type="dxa"/>
            <w:left w:w="28" w:type="dxa"/>
            <w:bottom w:w="85" w:type="dxa"/>
            <w:right w:w="28" w:type="dxa"/>
          </w:tblCellMar>
        </w:tblPrEx>
        <w:tc>
          <w:tcPr>
            <w:tcW w:w="679"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2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81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557"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682"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c>
          <w:tcPr>
            <w:tcW w:w="1038" w:type="dxa"/>
            <w:vAlign w:val="center"/>
          </w:tcPr>
          <w:p>
            <w:pPr>
              <w:keepNext w:val="0"/>
              <w:keepLines w:val="0"/>
              <w:pageBreakBefore w:val="0"/>
              <w:kinsoku/>
              <w:overflowPunct/>
              <w:bidi w:val="0"/>
              <w:spacing w:beforeAutospacing="0" w:afterAutospacing="0" w:line="400" w:lineRule="exact"/>
              <w:jc w:val="center"/>
              <w:rPr>
                <w:rFonts w:hint="eastAsia" w:asciiTheme="minorEastAsia" w:hAnsiTheme="minorEastAsia" w:eastAsiaTheme="minorEastAsia" w:cstheme="minorEastAsia"/>
                <w:sz w:val="21"/>
                <w:szCs w:val="21"/>
              </w:rPr>
            </w:pPr>
          </w:p>
        </w:tc>
      </w:tr>
    </w:tbl>
    <w:p>
      <w:pPr>
        <w:spacing w:after="120"/>
        <w:jc w:val="left"/>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 w:val="21"/>
          <w:szCs w:val="21"/>
        </w:rPr>
        <w:t>说明：</w:t>
      </w:r>
      <w:r>
        <w:rPr>
          <w:rFonts w:hint="eastAsia" w:asciiTheme="minorEastAsia" w:hAnsiTheme="minorEastAsia" w:eastAsiaTheme="minorEastAsia" w:cstheme="minorEastAsia"/>
          <w:b w:val="0"/>
          <w:bCs w:val="0"/>
          <w:szCs w:val="21"/>
        </w:rPr>
        <w:t>本表是对招标文件第</w:t>
      </w:r>
      <w:r>
        <w:rPr>
          <w:rFonts w:hint="eastAsia" w:asciiTheme="minorEastAsia" w:hAnsiTheme="minorEastAsia" w:eastAsiaTheme="minorEastAsia" w:cstheme="minorEastAsia"/>
          <w:b w:val="0"/>
          <w:bCs w:val="0"/>
          <w:szCs w:val="21"/>
          <w:lang w:val="en-US" w:eastAsia="zh-CN"/>
        </w:rPr>
        <w:t>五</w:t>
      </w:r>
      <w:r>
        <w:rPr>
          <w:rFonts w:hint="eastAsia" w:asciiTheme="minorEastAsia" w:hAnsiTheme="minorEastAsia" w:eastAsiaTheme="minorEastAsia" w:cstheme="minorEastAsia"/>
          <w:b w:val="0"/>
          <w:bCs w:val="0"/>
          <w:szCs w:val="21"/>
        </w:rPr>
        <w:t>章《</w:t>
      </w:r>
      <w:r>
        <w:rPr>
          <w:rFonts w:hint="eastAsia" w:asciiTheme="minorEastAsia" w:hAnsiTheme="minorEastAsia" w:eastAsiaTheme="minorEastAsia" w:cstheme="minorEastAsia"/>
          <w:b w:val="0"/>
          <w:bCs w:val="0"/>
          <w:szCs w:val="21"/>
          <w:lang w:eastAsia="zh-CN"/>
        </w:rPr>
        <w:t>采购需求</w:t>
      </w:r>
      <w:r>
        <w:rPr>
          <w:rFonts w:hint="eastAsia" w:asciiTheme="minorEastAsia" w:hAnsiTheme="minorEastAsia" w:eastAsiaTheme="minorEastAsia" w:cstheme="minorEastAsia"/>
          <w:b w:val="0"/>
          <w:bCs w:val="0"/>
          <w:szCs w:val="21"/>
        </w:rPr>
        <w:t>》的</w:t>
      </w:r>
      <w:r>
        <w:rPr>
          <w:rFonts w:hint="eastAsia" w:asciiTheme="minorEastAsia" w:hAnsiTheme="minorEastAsia" w:eastAsiaTheme="minorEastAsia" w:cstheme="minorEastAsia"/>
          <w:b/>
          <w:bCs/>
          <w:sz w:val="28"/>
          <w:szCs w:val="28"/>
          <w:lang w:val="en-US" w:eastAsia="zh-CN"/>
        </w:rPr>
        <w:t>所有条款</w:t>
      </w:r>
      <w:r>
        <w:rPr>
          <w:rFonts w:hint="eastAsia" w:asciiTheme="minorEastAsia" w:hAnsiTheme="minorEastAsia" w:eastAsiaTheme="minorEastAsia" w:cstheme="minorEastAsia"/>
          <w:b w:val="0"/>
          <w:bCs w:val="0"/>
          <w:szCs w:val="21"/>
        </w:rPr>
        <w:t>逐条应答，投标人可自行设定格式。如未逐条应答，是投标人的风险，则按不利于投标人的原则评审，并可能导致投标</w:t>
      </w:r>
      <w:r>
        <w:rPr>
          <w:rFonts w:hint="eastAsia" w:asciiTheme="minorEastAsia" w:hAnsiTheme="minorEastAsia" w:eastAsiaTheme="minorEastAsia" w:cstheme="minorEastAsia"/>
          <w:b w:val="0"/>
          <w:bCs w:val="0"/>
          <w:szCs w:val="21"/>
          <w:lang w:eastAsia="zh-CN"/>
        </w:rPr>
        <w:t>无效</w:t>
      </w:r>
      <w:r>
        <w:rPr>
          <w:rFonts w:hint="eastAsia" w:asciiTheme="minorEastAsia" w:hAnsiTheme="minorEastAsia" w:eastAsiaTheme="minorEastAsia" w:cstheme="minorEastAsia"/>
          <w:b w:val="0"/>
          <w:bCs w:val="0"/>
          <w:szCs w:val="21"/>
        </w:rPr>
        <w:t>。</w:t>
      </w:r>
    </w:p>
    <w:p>
      <w:pPr>
        <w:spacing w:after="120"/>
        <w:jc w:val="left"/>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首先对实现或满足程度明确作出“满足”、“不满足”，或 “部分满足”的应答，然后作出具体、详细的说明。</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Cs w:val="21"/>
        </w:rPr>
        <w:t>凡采用“详见”，“参见”方式说明的，应添加指向性的章节及页码。</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sz w:val="21"/>
          <w:szCs w:val="21"/>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b/>
          <w:sz w:val="21"/>
          <w:szCs w:val="21"/>
        </w:rPr>
      </w:pPr>
    </w:p>
    <w:p>
      <w:pPr>
        <w:keepNext w:val="0"/>
        <w:keepLines w:val="0"/>
        <w:pageBreakBefore w:val="0"/>
        <w:tabs>
          <w:tab w:val="left" w:pos="794"/>
          <w:tab w:val="left" w:pos="2129"/>
          <w:tab w:val="left" w:pos="3209"/>
          <w:tab w:val="left" w:pos="4289"/>
          <w:tab w:val="left" w:pos="5369"/>
          <w:tab w:val="left" w:pos="6449"/>
          <w:tab w:val="left" w:pos="7529"/>
          <w:tab w:val="left" w:pos="9074"/>
        </w:tabs>
        <w:kinsoku/>
        <w:overflowPunct/>
        <w:autoSpaceDE w:val="0"/>
        <w:autoSpaceDN w:val="0"/>
        <w:bidi w:val="0"/>
        <w:adjustRightInd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（盖单位公章）</w:t>
      </w:r>
    </w:p>
    <w:p>
      <w:pPr>
        <w:keepNext w:val="0"/>
        <w:keepLines w:val="0"/>
        <w:pageBreakBefore w:val="0"/>
        <w:kinsoku/>
        <w:overflowPunct/>
        <w:topLinePunct/>
        <w:bidi w:val="0"/>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法定代表人（单位负责人）或其委托代理人：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24"/>
          <w:szCs w:val="24"/>
        </w:rPr>
        <w:br w:type="page"/>
      </w:r>
      <w:bookmarkStart w:id="347" w:name="_Toc16623"/>
      <w:bookmarkStart w:id="348" w:name="_Toc1632"/>
      <w:r>
        <w:rPr>
          <w:rFonts w:hint="eastAsia" w:asciiTheme="minorEastAsia" w:hAnsiTheme="minorEastAsia" w:eastAsiaTheme="minorEastAsia" w:cstheme="minorEastAsia"/>
          <w:sz w:val="30"/>
          <w:szCs w:val="30"/>
        </w:rPr>
        <w:t>投标技术性能指标详细描述</w:t>
      </w:r>
      <w:bookmarkEnd w:id="347"/>
      <w:bookmarkEnd w:id="348"/>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napToGrid w:val="0"/>
          <w:kern w:val="0"/>
          <w:sz w:val="21"/>
          <w:szCs w:val="21"/>
        </w:rPr>
        <w:t>格式自拟</w:t>
      </w:r>
      <w:r>
        <w:rPr>
          <w:rFonts w:hint="eastAsia" w:asciiTheme="minorEastAsia" w:hAnsiTheme="minorEastAsia" w:eastAsiaTheme="minorEastAsia" w:cstheme="minorEastAsia"/>
          <w:sz w:val="21"/>
          <w:szCs w:val="21"/>
        </w:rPr>
        <w:t>）</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30"/>
          <w:szCs w:val="30"/>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30"/>
          <w:szCs w:val="30"/>
        </w:rPr>
      </w:pPr>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bookmarkStart w:id="349" w:name="_Toc392227921"/>
      <w:bookmarkStart w:id="350" w:name="_Toc14753"/>
      <w:bookmarkStart w:id="351" w:name="_Toc457748067"/>
      <w:r>
        <w:rPr>
          <w:rFonts w:hint="eastAsia" w:asciiTheme="minorEastAsia" w:hAnsiTheme="minorEastAsia" w:eastAsiaTheme="minorEastAsia" w:cstheme="minorEastAsia"/>
          <w:sz w:val="30"/>
          <w:szCs w:val="30"/>
        </w:rPr>
        <w:br w:type="page"/>
      </w:r>
      <w:bookmarkStart w:id="352" w:name="_Toc2030"/>
      <w:r>
        <w:rPr>
          <w:rFonts w:hint="eastAsia" w:asciiTheme="minorEastAsia" w:hAnsiTheme="minorEastAsia" w:eastAsiaTheme="minorEastAsia" w:cstheme="minorEastAsia"/>
          <w:sz w:val="30"/>
          <w:szCs w:val="30"/>
        </w:rPr>
        <w:t>技术支持资料</w:t>
      </w:r>
      <w:bookmarkEnd w:id="349"/>
      <w:bookmarkEnd w:id="350"/>
      <w:bookmarkEnd w:id="351"/>
      <w:bookmarkEnd w:id="352"/>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napToGrid w:val="0"/>
          <w:kern w:val="0"/>
          <w:sz w:val="21"/>
          <w:szCs w:val="21"/>
        </w:rPr>
        <w:t>格式自拟</w:t>
      </w:r>
      <w:r>
        <w:rPr>
          <w:rFonts w:hint="eastAsia" w:asciiTheme="minorEastAsia" w:hAnsiTheme="minorEastAsia" w:eastAsiaTheme="minorEastAsia" w:cstheme="minorEastAsia"/>
          <w:sz w:val="21"/>
          <w:szCs w:val="21"/>
        </w:rPr>
        <w:t>）</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30"/>
          <w:szCs w:val="30"/>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30"/>
          <w:szCs w:val="30"/>
        </w:rPr>
      </w:pPr>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bookmarkStart w:id="353" w:name="_Toc457748068"/>
      <w:bookmarkStart w:id="354" w:name="_Toc392227922"/>
      <w:bookmarkStart w:id="355" w:name="_Toc11651"/>
      <w:r>
        <w:rPr>
          <w:rFonts w:hint="eastAsia" w:asciiTheme="minorEastAsia" w:hAnsiTheme="minorEastAsia" w:eastAsiaTheme="minorEastAsia" w:cstheme="minorEastAsia"/>
          <w:sz w:val="30"/>
          <w:szCs w:val="30"/>
        </w:rPr>
        <w:br w:type="page"/>
      </w:r>
      <w:bookmarkStart w:id="356" w:name="_Toc24523"/>
      <w:r>
        <w:rPr>
          <w:rFonts w:hint="eastAsia" w:asciiTheme="minorEastAsia" w:hAnsiTheme="minorEastAsia" w:eastAsiaTheme="minorEastAsia" w:cstheme="minorEastAsia"/>
          <w:sz w:val="30"/>
          <w:szCs w:val="30"/>
        </w:rPr>
        <w:t>技术服务和售后服务计划</w:t>
      </w:r>
      <w:bookmarkEnd w:id="353"/>
      <w:bookmarkEnd w:id="354"/>
      <w:bookmarkEnd w:id="355"/>
      <w:bookmarkEnd w:id="356"/>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sz w:val="21"/>
          <w:szCs w:val="21"/>
        </w:rPr>
      </w:pPr>
      <w:bookmarkStart w:id="357" w:name="_Toc392227923"/>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napToGrid w:val="0"/>
          <w:kern w:val="0"/>
          <w:sz w:val="21"/>
          <w:szCs w:val="21"/>
        </w:rPr>
        <w:t>格式自拟</w:t>
      </w:r>
      <w:r>
        <w:rPr>
          <w:rFonts w:hint="eastAsia" w:asciiTheme="minorEastAsia" w:hAnsiTheme="minorEastAsia" w:eastAsiaTheme="minorEastAsia" w:cstheme="minorEastAsia"/>
          <w:sz w:val="21"/>
          <w:szCs w:val="21"/>
        </w:rPr>
        <w:t>）</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30"/>
          <w:szCs w:val="30"/>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30"/>
          <w:szCs w:val="30"/>
        </w:rPr>
      </w:pPr>
    </w:p>
    <w:p>
      <w:pPr>
        <w:pStyle w:val="4"/>
        <w:keepNext w:val="0"/>
        <w:keepLines w:val="0"/>
        <w:pageBreakBefore w:val="0"/>
        <w:kinsoku/>
        <w:overflowPunct/>
        <w:bidi w:val="0"/>
        <w:spacing w:before="0" w:beforeLines="0" w:beforeAutospacing="0" w:after="0" w:afterLines="0" w:afterAutospacing="0" w:line="360" w:lineRule="auto"/>
        <w:jc w:val="center"/>
        <w:rPr>
          <w:rFonts w:hint="eastAsia" w:asciiTheme="minorEastAsia" w:hAnsiTheme="minorEastAsia" w:eastAsiaTheme="minorEastAsia" w:cstheme="minorEastAsia"/>
          <w:sz w:val="30"/>
          <w:szCs w:val="30"/>
        </w:rPr>
      </w:pPr>
      <w:bookmarkStart w:id="358" w:name="_Toc3229"/>
      <w:bookmarkStart w:id="359" w:name="_Toc457748069"/>
      <w:r>
        <w:rPr>
          <w:rFonts w:hint="eastAsia" w:asciiTheme="minorEastAsia" w:hAnsiTheme="minorEastAsia" w:eastAsiaTheme="minorEastAsia" w:cstheme="minorEastAsia"/>
          <w:sz w:val="30"/>
          <w:szCs w:val="30"/>
        </w:rPr>
        <w:br w:type="page"/>
      </w:r>
      <w:bookmarkStart w:id="360" w:name="_Toc22748"/>
      <w:r>
        <w:rPr>
          <w:rFonts w:hint="eastAsia" w:asciiTheme="minorEastAsia" w:hAnsiTheme="minorEastAsia" w:eastAsiaTheme="minorEastAsia" w:cstheme="minorEastAsia"/>
          <w:sz w:val="30"/>
          <w:szCs w:val="30"/>
        </w:rPr>
        <w:t>其他资料</w:t>
      </w:r>
      <w:bookmarkEnd w:id="357"/>
      <w:bookmarkEnd w:id="358"/>
      <w:bookmarkEnd w:id="359"/>
      <w:bookmarkEnd w:id="360"/>
    </w:p>
    <w:p>
      <w:pPr>
        <w:keepNext w:val="0"/>
        <w:keepLines w:val="0"/>
        <w:pageBreakBefore w:val="0"/>
        <w:kinsoku/>
        <w:overflowPunct/>
        <w:bidi w:val="0"/>
        <w:spacing w:beforeAutospacing="0" w:afterAutospacing="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napToGrid w:val="0"/>
          <w:kern w:val="0"/>
          <w:sz w:val="24"/>
          <w:szCs w:val="24"/>
        </w:rPr>
        <w:t>招标文件要求提供的或投标人认为需要补充的其他资料</w:t>
      </w:r>
      <w:r>
        <w:rPr>
          <w:rFonts w:hint="eastAsia" w:asciiTheme="minorEastAsia" w:hAnsiTheme="minorEastAsia" w:eastAsiaTheme="minorEastAsia" w:cstheme="minorEastAsia"/>
          <w:sz w:val="24"/>
          <w:szCs w:val="24"/>
        </w:rPr>
        <w:t>）</w:t>
      </w: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30"/>
          <w:szCs w:val="30"/>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30"/>
          <w:szCs w:val="30"/>
        </w:rPr>
      </w:pPr>
    </w:p>
    <w:p>
      <w:pPr>
        <w:keepNext w:val="0"/>
        <w:keepLines w:val="0"/>
        <w:pageBreakBefore w:val="0"/>
        <w:kinsoku/>
        <w:overflowPunct/>
        <w:bidi w:val="0"/>
        <w:spacing w:beforeAutospacing="0" w:afterAutospacing="0" w:line="360" w:lineRule="auto"/>
        <w:rPr>
          <w:rFonts w:hint="eastAsia" w:asciiTheme="minorEastAsia" w:hAnsiTheme="minorEastAsia" w:eastAsiaTheme="minorEastAsia" w:cstheme="minorEastAsia"/>
          <w:sz w:val="24"/>
          <w:szCs w:val="24"/>
        </w:rPr>
      </w:pPr>
    </w:p>
    <w:sectPr>
      <w:pgSz w:w="11850" w:h="16783"/>
      <w:pgMar w:top="1440" w:right="1803" w:bottom="1440" w:left="1803" w:header="720" w:footer="720" w:gutter="0"/>
      <w:pgBorders>
        <w:top w:val="none" w:sz="0" w:space="0"/>
        <w:left w:val="none" w:sz="0" w:space="0"/>
        <w:bottom w:val="none" w:sz="0" w:space="0"/>
        <w:right w:val="none" w:sz="0" w:space="0"/>
      </w:pgBorders>
      <w:cols w:space="72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体">
    <w:altName w:val="宋体"/>
    <w:panose1 w:val="00000000000000000000"/>
    <w:charset w:val="86"/>
    <w:family w:val="roman"/>
    <w:pitch w:val="default"/>
    <w:sig w:usb0="00000000" w:usb1="00000000" w:usb2="00000010"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5</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32</w:t>
    </w:r>
    <w:r>
      <w:rP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9A93D"/>
    <w:multiLevelType w:val="singleLevel"/>
    <w:tmpl w:val="E3B9A93D"/>
    <w:lvl w:ilvl="0" w:tentative="0">
      <w:start w:val="1"/>
      <w:numFmt w:val="bullet"/>
      <w:lvlText w:val=""/>
      <w:lvlJc w:val="left"/>
      <w:pPr>
        <w:ind w:left="420" w:hanging="420"/>
      </w:pPr>
      <w:rPr>
        <w:rFonts w:hint="default" w:ascii="Wingdings" w:hAnsi="Wingdings"/>
      </w:rPr>
    </w:lvl>
  </w:abstractNum>
  <w:abstractNum w:abstractNumId="1">
    <w:nsid w:val="0000000A"/>
    <w:multiLevelType w:val="multilevel"/>
    <w:tmpl w:val="0000000A"/>
    <w:lvl w:ilvl="0" w:tentative="0">
      <w:start w:val="1"/>
      <w:numFmt w:val="decimal"/>
      <w:lvlText w:val="（%1）"/>
      <w:lvlJc w:val="left"/>
      <w:pPr>
        <w:tabs>
          <w:tab w:val="left" w:pos="1152"/>
        </w:tabs>
        <w:ind w:left="1152" w:hanging="720"/>
      </w:pPr>
      <w:rPr>
        <w:rFonts w:hint="eastAsia"/>
      </w:rPr>
    </w:lvl>
    <w:lvl w:ilvl="1" w:tentative="0">
      <w:start w:val="1"/>
      <w:numFmt w:val="lowerLetter"/>
      <w:lvlText w:val="%2)"/>
      <w:lvlJc w:val="left"/>
      <w:pPr>
        <w:tabs>
          <w:tab w:val="left" w:pos="1272"/>
        </w:tabs>
        <w:ind w:left="1272" w:hanging="420"/>
      </w:pPr>
    </w:lvl>
    <w:lvl w:ilvl="2" w:tentative="0">
      <w:start w:val="1"/>
      <w:numFmt w:val="lowerRoman"/>
      <w:lvlText w:val="%3."/>
      <w:lvlJc w:val="right"/>
      <w:pPr>
        <w:tabs>
          <w:tab w:val="left" w:pos="1692"/>
        </w:tabs>
        <w:ind w:left="1692" w:hanging="420"/>
      </w:pPr>
    </w:lvl>
    <w:lvl w:ilvl="3" w:tentative="0">
      <w:start w:val="1"/>
      <w:numFmt w:val="decimal"/>
      <w:lvlText w:val="%4."/>
      <w:lvlJc w:val="left"/>
      <w:pPr>
        <w:tabs>
          <w:tab w:val="left" w:pos="2112"/>
        </w:tabs>
        <w:ind w:left="2112" w:hanging="420"/>
      </w:pPr>
    </w:lvl>
    <w:lvl w:ilvl="4" w:tentative="0">
      <w:start w:val="1"/>
      <w:numFmt w:val="lowerLetter"/>
      <w:lvlText w:val="%5)"/>
      <w:lvlJc w:val="left"/>
      <w:pPr>
        <w:tabs>
          <w:tab w:val="left" w:pos="2532"/>
        </w:tabs>
        <w:ind w:left="2532" w:hanging="420"/>
      </w:pPr>
    </w:lvl>
    <w:lvl w:ilvl="5" w:tentative="0">
      <w:start w:val="1"/>
      <w:numFmt w:val="lowerRoman"/>
      <w:lvlText w:val="%6."/>
      <w:lvlJc w:val="right"/>
      <w:pPr>
        <w:tabs>
          <w:tab w:val="left" w:pos="2952"/>
        </w:tabs>
        <w:ind w:left="2952" w:hanging="420"/>
      </w:pPr>
    </w:lvl>
    <w:lvl w:ilvl="6" w:tentative="0">
      <w:start w:val="1"/>
      <w:numFmt w:val="decimal"/>
      <w:lvlText w:val="%7."/>
      <w:lvlJc w:val="left"/>
      <w:pPr>
        <w:tabs>
          <w:tab w:val="left" w:pos="3372"/>
        </w:tabs>
        <w:ind w:left="3372" w:hanging="420"/>
      </w:pPr>
    </w:lvl>
    <w:lvl w:ilvl="7" w:tentative="0">
      <w:start w:val="1"/>
      <w:numFmt w:val="lowerLetter"/>
      <w:lvlText w:val="%8)"/>
      <w:lvlJc w:val="left"/>
      <w:pPr>
        <w:tabs>
          <w:tab w:val="left" w:pos="3792"/>
        </w:tabs>
        <w:ind w:left="3792" w:hanging="420"/>
      </w:pPr>
    </w:lvl>
    <w:lvl w:ilvl="8" w:tentative="0">
      <w:start w:val="1"/>
      <w:numFmt w:val="lowerRoman"/>
      <w:lvlText w:val="%9."/>
      <w:lvlJc w:val="right"/>
      <w:pPr>
        <w:tabs>
          <w:tab w:val="left" w:pos="4212"/>
        </w:tabs>
        <w:ind w:left="4212" w:hanging="420"/>
      </w:pPr>
    </w:lvl>
  </w:abstractNum>
  <w:abstractNum w:abstractNumId="2">
    <w:nsid w:val="2518C7C2"/>
    <w:multiLevelType w:val="singleLevel"/>
    <w:tmpl w:val="2518C7C2"/>
    <w:lvl w:ilvl="0" w:tentative="0">
      <w:start w:val="1"/>
      <w:numFmt w:val="decimal"/>
      <w:lvlText w:val="%1)"/>
      <w:lvlJc w:val="left"/>
      <w:pPr>
        <w:ind w:left="425" w:hanging="425"/>
      </w:pPr>
      <w:rPr>
        <w:rFonts w:hint="default"/>
      </w:rPr>
    </w:lvl>
  </w:abstractNum>
  <w:abstractNum w:abstractNumId="3">
    <w:nsid w:val="2B96E499"/>
    <w:multiLevelType w:val="singleLevel"/>
    <w:tmpl w:val="2B96E499"/>
    <w:lvl w:ilvl="0" w:tentative="0">
      <w:start w:val="1"/>
      <w:numFmt w:val="decimal"/>
      <w:lvlText w:val="%1)"/>
      <w:lvlJc w:val="left"/>
      <w:pPr>
        <w:ind w:left="425" w:hanging="425"/>
      </w:pPr>
      <w:rPr>
        <w:rFonts w:hint="default"/>
      </w:rPr>
    </w:lvl>
  </w:abstractNum>
  <w:abstractNum w:abstractNumId="4">
    <w:nsid w:val="35B53A41"/>
    <w:multiLevelType w:val="singleLevel"/>
    <w:tmpl w:val="35B53A41"/>
    <w:lvl w:ilvl="0" w:tentative="0">
      <w:start w:val="1"/>
      <w:numFmt w:val="decimal"/>
      <w:lvlText w:val="3.%1"/>
      <w:lvlJc w:val="left"/>
      <w:pPr>
        <w:tabs>
          <w:tab w:val="left" w:pos="397"/>
        </w:tabs>
        <w:ind w:left="454" w:leftChars="0" w:hanging="454" w:firstLineChars="0"/>
      </w:pPr>
      <w:rPr>
        <w:rFonts w:hint="default"/>
      </w:rPr>
    </w:lvl>
  </w:abstractNum>
  <w:abstractNum w:abstractNumId="5">
    <w:nsid w:val="46108A80"/>
    <w:multiLevelType w:val="singleLevel"/>
    <w:tmpl w:val="46108A80"/>
    <w:lvl w:ilvl="0" w:tentative="0">
      <w:start w:val="1"/>
      <w:numFmt w:val="decimal"/>
      <w:suff w:val="nothing"/>
      <w:lvlText w:val="（%1）"/>
      <w:lvlJc w:val="left"/>
    </w:lvl>
  </w:abstractNum>
  <w:abstractNum w:abstractNumId="6">
    <w:nsid w:val="578DBC02"/>
    <w:multiLevelType w:val="singleLevel"/>
    <w:tmpl w:val="578DBC02"/>
    <w:lvl w:ilvl="0" w:tentative="0">
      <w:start w:val="1"/>
      <w:numFmt w:val="decimal"/>
      <w:suff w:val="nothing"/>
      <w:lvlText w:val="%1、"/>
      <w:lvlJc w:val="left"/>
    </w:lvl>
  </w:abstractNum>
  <w:abstractNum w:abstractNumId="7">
    <w:nsid w:val="5791BBFF"/>
    <w:multiLevelType w:val="singleLevel"/>
    <w:tmpl w:val="5791BBFF"/>
    <w:lvl w:ilvl="0" w:tentative="0">
      <w:start w:val="1"/>
      <w:numFmt w:val="decimal"/>
      <w:suff w:val="nothing"/>
      <w:lvlText w:val="%1、"/>
      <w:lvlJc w:val="left"/>
    </w:lvl>
  </w:abstractNum>
  <w:abstractNum w:abstractNumId="8">
    <w:nsid w:val="59E00E6E"/>
    <w:multiLevelType w:val="singleLevel"/>
    <w:tmpl w:val="59E00E6E"/>
    <w:lvl w:ilvl="0" w:tentative="0">
      <w:start w:val="1"/>
      <w:numFmt w:val="decimal"/>
      <w:lvlText w:val="%1)"/>
      <w:lvlJc w:val="left"/>
      <w:pPr>
        <w:ind w:left="425" w:hanging="425"/>
      </w:pPr>
      <w:rPr>
        <w:rFonts w:hint="default"/>
      </w:rPr>
    </w:lvl>
  </w:abstractNum>
  <w:abstractNum w:abstractNumId="9">
    <w:nsid w:val="59E01BD6"/>
    <w:multiLevelType w:val="singleLevel"/>
    <w:tmpl w:val="59E01BD6"/>
    <w:lvl w:ilvl="0" w:tentative="0">
      <w:start w:val="1"/>
      <w:numFmt w:val="decimal"/>
      <w:suff w:val="nothing"/>
      <w:lvlText w:val="（%1）"/>
      <w:lvlJc w:val="left"/>
    </w:lvl>
  </w:abstractNum>
  <w:abstractNum w:abstractNumId="10">
    <w:nsid w:val="59E20211"/>
    <w:multiLevelType w:val="singleLevel"/>
    <w:tmpl w:val="59E20211"/>
    <w:lvl w:ilvl="0" w:tentative="0">
      <w:start w:val="1"/>
      <w:numFmt w:val="decimal"/>
      <w:suff w:val="nothing"/>
      <w:lvlText w:val="（%1）"/>
      <w:lvlJc w:val="left"/>
    </w:lvl>
  </w:abstractNum>
  <w:abstractNum w:abstractNumId="11">
    <w:nsid w:val="59E20533"/>
    <w:multiLevelType w:val="singleLevel"/>
    <w:tmpl w:val="59E20533"/>
    <w:lvl w:ilvl="0" w:tentative="0">
      <w:start w:val="1"/>
      <w:numFmt w:val="decimal"/>
      <w:suff w:val="nothing"/>
      <w:lvlText w:val="（%1）"/>
      <w:lvlJc w:val="left"/>
    </w:lvl>
  </w:abstractNum>
  <w:abstractNum w:abstractNumId="12">
    <w:nsid w:val="59E2F54C"/>
    <w:multiLevelType w:val="multilevel"/>
    <w:tmpl w:val="59E2F54C"/>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3">
    <w:nsid w:val="59E2F6A3"/>
    <w:multiLevelType w:val="singleLevel"/>
    <w:tmpl w:val="59E2F6A3"/>
    <w:lvl w:ilvl="0" w:tentative="0">
      <w:start w:val="1"/>
      <w:numFmt w:val="decimal"/>
      <w:suff w:val="space"/>
      <w:lvlText w:val="%1."/>
      <w:lvlJc w:val="left"/>
    </w:lvl>
  </w:abstractNum>
  <w:abstractNum w:abstractNumId="14">
    <w:nsid w:val="59EC2A00"/>
    <w:multiLevelType w:val="singleLevel"/>
    <w:tmpl w:val="59EC2A00"/>
    <w:lvl w:ilvl="0" w:tentative="0">
      <w:start w:val="1"/>
      <w:numFmt w:val="decimal"/>
      <w:lvlText w:val="%1"/>
      <w:lvlJc w:val="left"/>
      <w:pPr>
        <w:tabs>
          <w:tab w:val="left" w:pos="420"/>
        </w:tabs>
        <w:ind w:left="425" w:hanging="425"/>
      </w:pPr>
      <w:rPr>
        <w:rFonts w:hint="default"/>
      </w:rPr>
    </w:lvl>
  </w:abstractNum>
  <w:abstractNum w:abstractNumId="15">
    <w:nsid w:val="59EC2AAF"/>
    <w:multiLevelType w:val="singleLevel"/>
    <w:tmpl w:val="59EC2AAF"/>
    <w:lvl w:ilvl="0" w:tentative="0">
      <w:start w:val="1"/>
      <w:numFmt w:val="decimal"/>
      <w:lvlText w:val="1.%1"/>
      <w:lvlJc w:val="left"/>
      <w:pPr>
        <w:tabs>
          <w:tab w:val="left" w:pos="420"/>
        </w:tabs>
        <w:ind w:left="425" w:hanging="425"/>
      </w:pPr>
      <w:rPr>
        <w:rFonts w:hint="default"/>
      </w:rPr>
    </w:lvl>
  </w:abstractNum>
  <w:abstractNum w:abstractNumId="16">
    <w:nsid w:val="5ABDC92E"/>
    <w:multiLevelType w:val="singleLevel"/>
    <w:tmpl w:val="5ABDC92E"/>
    <w:lvl w:ilvl="0" w:tentative="0">
      <w:start w:val="1"/>
      <w:numFmt w:val="chineseCounting"/>
      <w:suff w:val="nothing"/>
      <w:lvlText w:val="%1、"/>
      <w:lvlJc w:val="left"/>
    </w:lvl>
  </w:abstractNum>
  <w:abstractNum w:abstractNumId="17">
    <w:nsid w:val="6C7059E8"/>
    <w:multiLevelType w:val="multilevel"/>
    <w:tmpl w:val="6C7059E8"/>
    <w:lvl w:ilvl="0" w:tentative="0">
      <w:start w:val="1"/>
      <w:numFmt w:val="japaneseCounting"/>
      <w:lvlText w:val="第%1章"/>
      <w:lvlJc w:val="left"/>
      <w:pPr>
        <w:ind w:left="1548" w:hanging="84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8">
    <w:nsid w:val="7CF22F03"/>
    <w:multiLevelType w:val="multilevel"/>
    <w:tmpl w:val="7CF22F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4"/>
  </w:num>
  <w:num w:numId="3">
    <w:abstractNumId w:val="8"/>
  </w:num>
  <w:num w:numId="4">
    <w:abstractNumId w:val="2"/>
  </w:num>
  <w:num w:numId="5">
    <w:abstractNumId w:val="3"/>
  </w:num>
  <w:num w:numId="6">
    <w:abstractNumId w:val="17"/>
  </w:num>
  <w:num w:numId="7">
    <w:abstractNumId w:val="9"/>
  </w:num>
  <w:num w:numId="8">
    <w:abstractNumId w:val="10"/>
  </w:num>
  <w:num w:numId="9">
    <w:abstractNumId w:val="11"/>
  </w:num>
  <w:num w:numId="10">
    <w:abstractNumId w:val="6"/>
  </w:num>
  <w:num w:numId="11">
    <w:abstractNumId w:val="7"/>
  </w:num>
  <w:num w:numId="12">
    <w:abstractNumId w:val="18"/>
  </w:num>
  <w:num w:numId="13">
    <w:abstractNumId w:val="12"/>
  </w:num>
  <w:num w:numId="14">
    <w:abstractNumId w:val="13"/>
  </w:num>
  <w:num w:numId="15">
    <w:abstractNumId w:val="1"/>
  </w:num>
  <w:num w:numId="16">
    <w:abstractNumId w:val="5"/>
  </w:num>
  <w:num w:numId="17">
    <w:abstractNumId w:val="0"/>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B"/>
    <w:rsid w:val="000017A4"/>
    <w:rsid w:val="000045D2"/>
    <w:rsid w:val="000052CA"/>
    <w:rsid w:val="00011FD5"/>
    <w:rsid w:val="000128DB"/>
    <w:rsid w:val="00014092"/>
    <w:rsid w:val="00015F0A"/>
    <w:rsid w:val="00025B3D"/>
    <w:rsid w:val="00025DA7"/>
    <w:rsid w:val="00026171"/>
    <w:rsid w:val="00032061"/>
    <w:rsid w:val="00034390"/>
    <w:rsid w:val="000412DE"/>
    <w:rsid w:val="0004153F"/>
    <w:rsid w:val="00044A73"/>
    <w:rsid w:val="00050CF9"/>
    <w:rsid w:val="0005265F"/>
    <w:rsid w:val="00055940"/>
    <w:rsid w:val="00055AC8"/>
    <w:rsid w:val="0005647F"/>
    <w:rsid w:val="00061E71"/>
    <w:rsid w:val="00062AC6"/>
    <w:rsid w:val="00063A17"/>
    <w:rsid w:val="00064CFB"/>
    <w:rsid w:val="00065FDC"/>
    <w:rsid w:val="00070655"/>
    <w:rsid w:val="00073C2B"/>
    <w:rsid w:val="0007517F"/>
    <w:rsid w:val="00080951"/>
    <w:rsid w:val="000850CD"/>
    <w:rsid w:val="00087FB2"/>
    <w:rsid w:val="00090308"/>
    <w:rsid w:val="0009582F"/>
    <w:rsid w:val="00097A2B"/>
    <w:rsid w:val="000A5C6B"/>
    <w:rsid w:val="000A6FB0"/>
    <w:rsid w:val="000A7441"/>
    <w:rsid w:val="000C0018"/>
    <w:rsid w:val="000C0337"/>
    <w:rsid w:val="000C0BFB"/>
    <w:rsid w:val="000C24D0"/>
    <w:rsid w:val="000C45C0"/>
    <w:rsid w:val="000C60A7"/>
    <w:rsid w:val="000D2D64"/>
    <w:rsid w:val="000D432A"/>
    <w:rsid w:val="000E04C5"/>
    <w:rsid w:val="000F1704"/>
    <w:rsid w:val="000F1E78"/>
    <w:rsid w:val="000F23AA"/>
    <w:rsid w:val="000F4070"/>
    <w:rsid w:val="000F46D0"/>
    <w:rsid w:val="000F7BE9"/>
    <w:rsid w:val="00100901"/>
    <w:rsid w:val="00101142"/>
    <w:rsid w:val="001011FC"/>
    <w:rsid w:val="00101A40"/>
    <w:rsid w:val="00102618"/>
    <w:rsid w:val="001038B4"/>
    <w:rsid w:val="001057E6"/>
    <w:rsid w:val="001071FF"/>
    <w:rsid w:val="001161EC"/>
    <w:rsid w:val="00116B4A"/>
    <w:rsid w:val="00117474"/>
    <w:rsid w:val="00121018"/>
    <w:rsid w:val="00122CA2"/>
    <w:rsid w:val="00125C92"/>
    <w:rsid w:val="00126245"/>
    <w:rsid w:val="001266FC"/>
    <w:rsid w:val="001328E8"/>
    <w:rsid w:val="00133EAE"/>
    <w:rsid w:val="0013690E"/>
    <w:rsid w:val="00142854"/>
    <w:rsid w:val="00145A10"/>
    <w:rsid w:val="00151EE1"/>
    <w:rsid w:val="00152112"/>
    <w:rsid w:val="0015290F"/>
    <w:rsid w:val="001539C0"/>
    <w:rsid w:val="00153F37"/>
    <w:rsid w:val="00155125"/>
    <w:rsid w:val="0015624E"/>
    <w:rsid w:val="00165246"/>
    <w:rsid w:val="00165DF2"/>
    <w:rsid w:val="0016794E"/>
    <w:rsid w:val="00170678"/>
    <w:rsid w:val="001711CD"/>
    <w:rsid w:val="001735B4"/>
    <w:rsid w:val="0017466A"/>
    <w:rsid w:val="001760A6"/>
    <w:rsid w:val="001821DE"/>
    <w:rsid w:val="00182BCB"/>
    <w:rsid w:val="00193445"/>
    <w:rsid w:val="00193C1D"/>
    <w:rsid w:val="00195F04"/>
    <w:rsid w:val="00197C25"/>
    <w:rsid w:val="001A1DED"/>
    <w:rsid w:val="001A369F"/>
    <w:rsid w:val="001A4CEB"/>
    <w:rsid w:val="001A5119"/>
    <w:rsid w:val="001A7D32"/>
    <w:rsid w:val="001B00B8"/>
    <w:rsid w:val="001B066D"/>
    <w:rsid w:val="001B0D7B"/>
    <w:rsid w:val="001B393F"/>
    <w:rsid w:val="001B4148"/>
    <w:rsid w:val="001C2799"/>
    <w:rsid w:val="001C338F"/>
    <w:rsid w:val="001C33D6"/>
    <w:rsid w:val="001C6D12"/>
    <w:rsid w:val="001D33E9"/>
    <w:rsid w:val="001D354B"/>
    <w:rsid w:val="001D41A0"/>
    <w:rsid w:val="001E255C"/>
    <w:rsid w:val="001E3421"/>
    <w:rsid w:val="001E45B0"/>
    <w:rsid w:val="001F4134"/>
    <w:rsid w:val="001F50AA"/>
    <w:rsid w:val="00203876"/>
    <w:rsid w:val="00204D7E"/>
    <w:rsid w:val="00206D34"/>
    <w:rsid w:val="00206E62"/>
    <w:rsid w:val="00207A0B"/>
    <w:rsid w:val="002136D0"/>
    <w:rsid w:val="002229E2"/>
    <w:rsid w:val="00222BAF"/>
    <w:rsid w:val="002232D1"/>
    <w:rsid w:val="00223F9B"/>
    <w:rsid w:val="0023038F"/>
    <w:rsid w:val="00232A09"/>
    <w:rsid w:val="002422B1"/>
    <w:rsid w:val="00242A38"/>
    <w:rsid w:val="00242CFA"/>
    <w:rsid w:val="00244576"/>
    <w:rsid w:val="002465B5"/>
    <w:rsid w:val="00247124"/>
    <w:rsid w:val="0025015D"/>
    <w:rsid w:val="00251A49"/>
    <w:rsid w:val="00251B30"/>
    <w:rsid w:val="00251CD4"/>
    <w:rsid w:val="00253EA0"/>
    <w:rsid w:val="00261F3A"/>
    <w:rsid w:val="00263751"/>
    <w:rsid w:val="00263C47"/>
    <w:rsid w:val="002678C0"/>
    <w:rsid w:val="00273ACD"/>
    <w:rsid w:val="00273B65"/>
    <w:rsid w:val="002810DC"/>
    <w:rsid w:val="00282295"/>
    <w:rsid w:val="00285406"/>
    <w:rsid w:val="0028683F"/>
    <w:rsid w:val="002A4643"/>
    <w:rsid w:val="002A552C"/>
    <w:rsid w:val="002A5CC0"/>
    <w:rsid w:val="002B3493"/>
    <w:rsid w:val="002B7C47"/>
    <w:rsid w:val="002C4A91"/>
    <w:rsid w:val="002D543D"/>
    <w:rsid w:val="002D5DCB"/>
    <w:rsid w:val="002D69E4"/>
    <w:rsid w:val="002D7644"/>
    <w:rsid w:val="002E07EA"/>
    <w:rsid w:val="002E17BA"/>
    <w:rsid w:val="002E7E08"/>
    <w:rsid w:val="002F02F5"/>
    <w:rsid w:val="002F5E27"/>
    <w:rsid w:val="0030101D"/>
    <w:rsid w:val="00306B04"/>
    <w:rsid w:val="00306EC4"/>
    <w:rsid w:val="003167C0"/>
    <w:rsid w:val="003202F2"/>
    <w:rsid w:val="00321F89"/>
    <w:rsid w:val="00332136"/>
    <w:rsid w:val="00333709"/>
    <w:rsid w:val="00340349"/>
    <w:rsid w:val="00342688"/>
    <w:rsid w:val="00342E18"/>
    <w:rsid w:val="003473C0"/>
    <w:rsid w:val="003546C5"/>
    <w:rsid w:val="003619DF"/>
    <w:rsid w:val="00363404"/>
    <w:rsid w:val="003646BE"/>
    <w:rsid w:val="00371763"/>
    <w:rsid w:val="00371B28"/>
    <w:rsid w:val="0037245D"/>
    <w:rsid w:val="00375D14"/>
    <w:rsid w:val="003761BE"/>
    <w:rsid w:val="0037621C"/>
    <w:rsid w:val="00376DD9"/>
    <w:rsid w:val="00376E7E"/>
    <w:rsid w:val="003848C0"/>
    <w:rsid w:val="00390855"/>
    <w:rsid w:val="003A1E09"/>
    <w:rsid w:val="003A32BF"/>
    <w:rsid w:val="003A559E"/>
    <w:rsid w:val="003A62BF"/>
    <w:rsid w:val="003A734C"/>
    <w:rsid w:val="003A739A"/>
    <w:rsid w:val="003B3922"/>
    <w:rsid w:val="003B4E0E"/>
    <w:rsid w:val="003B4F03"/>
    <w:rsid w:val="003B7792"/>
    <w:rsid w:val="003C023B"/>
    <w:rsid w:val="003C5666"/>
    <w:rsid w:val="003C6510"/>
    <w:rsid w:val="003D1170"/>
    <w:rsid w:val="003D1711"/>
    <w:rsid w:val="003D43D7"/>
    <w:rsid w:val="003D4B93"/>
    <w:rsid w:val="003E0864"/>
    <w:rsid w:val="003E31A4"/>
    <w:rsid w:val="003E38A8"/>
    <w:rsid w:val="003E40AD"/>
    <w:rsid w:val="003F116C"/>
    <w:rsid w:val="003F2FBE"/>
    <w:rsid w:val="003F4A2B"/>
    <w:rsid w:val="003F504F"/>
    <w:rsid w:val="003F5B69"/>
    <w:rsid w:val="003F70AB"/>
    <w:rsid w:val="00402923"/>
    <w:rsid w:val="00404B6B"/>
    <w:rsid w:val="004068FB"/>
    <w:rsid w:val="00417F2A"/>
    <w:rsid w:val="00420DD7"/>
    <w:rsid w:val="00421C3A"/>
    <w:rsid w:val="00423088"/>
    <w:rsid w:val="004233A6"/>
    <w:rsid w:val="00426679"/>
    <w:rsid w:val="00431391"/>
    <w:rsid w:val="00432125"/>
    <w:rsid w:val="00432B49"/>
    <w:rsid w:val="00433676"/>
    <w:rsid w:val="004364BD"/>
    <w:rsid w:val="00436961"/>
    <w:rsid w:val="00440E99"/>
    <w:rsid w:val="004458C1"/>
    <w:rsid w:val="00445D3B"/>
    <w:rsid w:val="00445F1C"/>
    <w:rsid w:val="0044773A"/>
    <w:rsid w:val="00450457"/>
    <w:rsid w:val="00450691"/>
    <w:rsid w:val="00457DC2"/>
    <w:rsid w:val="004632CF"/>
    <w:rsid w:val="0046465E"/>
    <w:rsid w:val="00465929"/>
    <w:rsid w:val="004664F2"/>
    <w:rsid w:val="004725B8"/>
    <w:rsid w:val="00472B6B"/>
    <w:rsid w:val="00473C37"/>
    <w:rsid w:val="00482CAD"/>
    <w:rsid w:val="00490179"/>
    <w:rsid w:val="004935C1"/>
    <w:rsid w:val="00494539"/>
    <w:rsid w:val="004A1277"/>
    <w:rsid w:val="004A3A69"/>
    <w:rsid w:val="004A3F2B"/>
    <w:rsid w:val="004A519D"/>
    <w:rsid w:val="004A76E5"/>
    <w:rsid w:val="004B2D46"/>
    <w:rsid w:val="004B379F"/>
    <w:rsid w:val="004B6A14"/>
    <w:rsid w:val="004C0728"/>
    <w:rsid w:val="004C081C"/>
    <w:rsid w:val="004C2677"/>
    <w:rsid w:val="004C2AAA"/>
    <w:rsid w:val="004C6C12"/>
    <w:rsid w:val="004C7CFA"/>
    <w:rsid w:val="004D021C"/>
    <w:rsid w:val="004D118A"/>
    <w:rsid w:val="004D47BD"/>
    <w:rsid w:val="004D5D06"/>
    <w:rsid w:val="004D7237"/>
    <w:rsid w:val="004E304F"/>
    <w:rsid w:val="004E3BDB"/>
    <w:rsid w:val="004E4B20"/>
    <w:rsid w:val="004E4EDD"/>
    <w:rsid w:val="004E535B"/>
    <w:rsid w:val="004F1972"/>
    <w:rsid w:val="004F1D7E"/>
    <w:rsid w:val="004F5F8E"/>
    <w:rsid w:val="00502A4C"/>
    <w:rsid w:val="00503106"/>
    <w:rsid w:val="005034E3"/>
    <w:rsid w:val="00503B6E"/>
    <w:rsid w:val="00504EC0"/>
    <w:rsid w:val="00506669"/>
    <w:rsid w:val="0050739A"/>
    <w:rsid w:val="00511660"/>
    <w:rsid w:val="00512C7D"/>
    <w:rsid w:val="005167FC"/>
    <w:rsid w:val="00521558"/>
    <w:rsid w:val="00521605"/>
    <w:rsid w:val="00522D50"/>
    <w:rsid w:val="00525964"/>
    <w:rsid w:val="0052723E"/>
    <w:rsid w:val="00527763"/>
    <w:rsid w:val="00531BAF"/>
    <w:rsid w:val="0053214D"/>
    <w:rsid w:val="005335C7"/>
    <w:rsid w:val="00537A8D"/>
    <w:rsid w:val="00541BAB"/>
    <w:rsid w:val="00541E75"/>
    <w:rsid w:val="00542748"/>
    <w:rsid w:val="00544560"/>
    <w:rsid w:val="00550159"/>
    <w:rsid w:val="00550234"/>
    <w:rsid w:val="005534E7"/>
    <w:rsid w:val="00556D0C"/>
    <w:rsid w:val="005600B3"/>
    <w:rsid w:val="00562E61"/>
    <w:rsid w:val="00563881"/>
    <w:rsid w:val="00567137"/>
    <w:rsid w:val="0057758F"/>
    <w:rsid w:val="00580957"/>
    <w:rsid w:val="00583D00"/>
    <w:rsid w:val="005850C2"/>
    <w:rsid w:val="00586B48"/>
    <w:rsid w:val="00591E06"/>
    <w:rsid w:val="00594EFD"/>
    <w:rsid w:val="005A0D94"/>
    <w:rsid w:val="005A728D"/>
    <w:rsid w:val="005B68AA"/>
    <w:rsid w:val="005B6EC1"/>
    <w:rsid w:val="005C27DF"/>
    <w:rsid w:val="005C64F5"/>
    <w:rsid w:val="005C7215"/>
    <w:rsid w:val="005D087E"/>
    <w:rsid w:val="005D1070"/>
    <w:rsid w:val="005D736F"/>
    <w:rsid w:val="005E0568"/>
    <w:rsid w:val="005E2161"/>
    <w:rsid w:val="005E4D90"/>
    <w:rsid w:val="005E7A15"/>
    <w:rsid w:val="005F0851"/>
    <w:rsid w:val="005F47A9"/>
    <w:rsid w:val="005F558B"/>
    <w:rsid w:val="00600FF9"/>
    <w:rsid w:val="006043D7"/>
    <w:rsid w:val="00612562"/>
    <w:rsid w:val="0061586C"/>
    <w:rsid w:val="00625BF7"/>
    <w:rsid w:val="00632FDF"/>
    <w:rsid w:val="00636380"/>
    <w:rsid w:val="00636CA1"/>
    <w:rsid w:val="006379CC"/>
    <w:rsid w:val="00640078"/>
    <w:rsid w:val="00640DA1"/>
    <w:rsid w:val="00650953"/>
    <w:rsid w:val="006520D4"/>
    <w:rsid w:val="0065365E"/>
    <w:rsid w:val="00655CA8"/>
    <w:rsid w:val="00657384"/>
    <w:rsid w:val="0066669F"/>
    <w:rsid w:val="006709D8"/>
    <w:rsid w:val="0067339C"/>
    <w:rsid w:val="00674672"/>
    <w:rsid w:val="00674C50"/>
    <w:rsid w:val="00675241"/>
    <w:rsid w:val="0068036C"/>
    <w:rsid w:val="0068102E"/>
    <w:rsid w:val="006816E3"/>
    <w:rsid w:val="00681EEB"/>
    <w:rsid w:val="0068266D"/>
    <w:rsid w:val="00683090"/>
    <w:rsid w:val="00686AF3"/>
    <w:rsid w:val="00690943"/>
    <w:rsid w:val="00690ED4"/>
    <w:rsid w:val="00691AA2"/>
    <w:rsid w:val="00693CB4"/>
    <w:rsid w:val="006945A5"/>
    <w:rsid w:val="006952F5"/>
    <w:rsid w:val="00696076"/>
    <w:rsid w:val="006A2D56"/>
    <w:rsid w:val="006A768B"/>
    <w:rsid w:val="006B0F5A"/>
    <w:rsid w:val="006B1B7E"/>
    <w:rsid w:val="006B268A"/>
    <w:rsid w:val="006B3723"/>
    <w:rsid w:val="006B412C"/>
    <w:rsid w:val="006B4620"/>
    <w:rsid w:val="006B65B0"/>
    <w:rsid w:val="006B6CF0"/>
    <w:rsid w:val="006C2050"/>
    <w:rsid w:val="006C2C33"/>
    <w:rsid w:val="006C78DA"/>
    <w:rsid w:val="006D25D8"/>
    <w:rsid w:val="006D2C8D"/>
    <w:rsid w:val="006D33C8"/>
    <w:rsid w:val="006D779F"/>
    <w:rsid w:val="006D7D77"/>
    <w:rsid w:val="006E023A"/>
    <w:rsid w:val="006E046A"/>
    <w:rsid w:val="006E2C61"/>
    <w:rsid w:val="006E521B"/>
    <w:rsid w:val="006F0F61"/>
    <w:rsid w:val="006F0FD4"/>
    <w:rsid w:val="006F30E8"/>
    <w:rsid w:val="006F4D18"/>
    <w:rsid w:val="006F611E"/>
    <w:rsid w:val="007011F6"/>
    <w:rsid w:val="007050B1"/>
    <w:rsid w:val="00706F83"/>
    <w:rsid w:val="00711A2C"/>
    <w:rsid w:val="00715B30"/>
    <w:rsid w:val="00716C9C"/>
    <w:rsid w:val="007252FC"/>
    <w:rsid w:val="00725587"/>
    <w:rsid w:val="00726B23"/>
    <w:rsid w:val="0072702D"/>
    <w:rsid w:val="0073148F"/>
    <w:rsid w:val="00732E91"/>
    <w:rsid w:val="0073599E"/>
    <w:rsid w:val="00737E9C"/>
    <w:rsid w:val="007425D1"/>
    <w:rsid w:val="00742A92"/>
    <w:rsid w:val="00746E7E"/>
    <w:rsid w:val="00753456"/>
    <w:rsid w:val="00753691"/>
    <w:rsid w:val="007572F5"/>
    <w:rsid w:val="00760340"/>
    <w:rsid w:val="00762EED"/>
    <w:rsid w:val="007635F5"/>
    <w:rsid w:val="00764D94"/>
    <w:rsid w:val="007667F2"/>
    <w:rsid w:val="00766FCE"/>
    <w:rsid w:val="007670C2"/>
    <w:rsid w:val="00773688"/>
    <w:rsid w:val="00777ECF"/>
    <w:rsid w:val="007839C5"/>
    <w:rsid w:val="0078456E"/>
    <w:rsid w:val="007911B2"/>
    <w:rsid w:val="00794462"/>
    <w:rsid w:val="007A1717"/>
    <w:rsid w:val="007A1DBF"/>
    <w:rsid w:val="007A2DAC"/>
    <w:rsid w:val="007A44CC"/>
    <w:rsid w:val="007A54B1"/>
    <w:rsid w:val="007A5E08"/>
    <w:rsid w:val="007A6512"/>
    <w:rsid w:val="007B0138"/>
    <w:rsid w:val="007B243E"/>
    <w:rsid w:val="007B529A"/>
    <w:rsid w:val="007C1F3A"/>
    <w:rsid w:val="007C2732"/>
    <w:rsid w:val="007C4BFB"/>
    <w:rsid w:val="007C6EEF"/>
    <w:rsid w:val="007C7AB2"/>
    <w:rsid w:val="007D0EFA"/>
    <w:rsid w:val="007D16DC"/>
    <w:rsid w:val="007E00EA"/>
    <w:rsid w:val="007E0563"/>
    <w:rsid w:val="007E1787"/>
    <w:rsid w:val="007E5A28"/>
    <w:rsid w:val="007E710B"/>
    <w:rsid w:val="007E7474"/>
    <w:rsid w:val="007E75EC"/>
    <w:rsid w:val="007E78FD"/>
    <w:rsid w:val="007F34DD"/>
    <w:rsid w:val="007F6554"/>
    <w:rsid w:val="00801275"/>
    <w:rsid w:val="008019F1"/>
    <w:rsid w:val="00804678"/>
    <w:rsid w:val="00805E4A"/>
    <w:rsid w:val="008063C0"/>
    <w:rsid w:val="00807D7C"/>
    <w:rsid w:val="00810788"/>
    <w:rsid w:val="00810E03"/>
    <w:rsid w:val="008122E2"/>
    <w:rsid w:val="0081394F"/>
    <w:rsid w:val="00814771"/>
    <w:rsid w:val="00816FDE"/>
    <w:rsid w:val="00817FFC"/>
    <w:rsid w:val="00825F31"/>
    <w:rsid w:val="00826D9D"/>
    <w:rsid w:val="00827D7C"/>
    <w:rsid w:val="00830C56"/>
    <w:rsid w:val="00832A00"/>
    <w:rsid w:val="00835E55"/>
    <w:rsid w:val="00837472"/>
    <w:rsid w:val="00843843"/>
    <w:rsid w:val="008567AE"/>
    <w:rsid w:val="0086035B"/>
    <w:rsid w:val="00860FBB"/>
    <w:rsid w:val="008649AA"/>
    <w:rsid w:val="00865A18"/>
    <w:rsid w:val="008678BA"/>
    <w:rsid w:val="00875FE6"/>
    <w:rsid w:val="008769C9"/>
    <w:rsid w:val="008776F7"/>
    <w:rsid w:val="00877B50"/>
    <w:rsid w:val="00893E52"/>
    <w:rsid w:val="00896408"/>
    <w:rsid w:val="008A0E5F"/>
    <w:rsid w:val="008A1A2F"/>
    <w:rsid w:val="008A2CAD"/>
    <w:rsid w:val="008A3781"/>
    <w:rsid w:val="008A5A95"/>
    <w:rsid w:val="008A68C5"/>
    <w:rsid w:val="008B0211"/>
    <w:rsid w:val="008B3541"/>
    <w:rsid w:val="008B5046"/>
    <w:rsid w:val="008B59E9"/>
    <w:rsid w:val="008C0A26"/>
    <w:rsid w:val="008C3605"/>
    <w:rsid w:val="008C39CB"/>
    <w:rsid w:val="008C48D2"/>
    <w:rsid w:val="008C4AFB"/>
    <w:rsid w:val="008C6737"/>
    <w:rsid w:val="008D4743"/>
    <w:rsid w:val="008E0C28"/>
    <w:rsid w:val="008E2F14"/>
    <w:rsid w:val="008E7486"/>
    <w:rsid w:val="008F1E08"/>
    <w:rsid w:val="00900353"/>
    <w:rsid w:val="00901D67"/>
    <w:rsid w:val="00907FB0"/>
    <w:rsid w:val="00910DA2"/>
    <w:rsid w:val="00913A35"/>
    <w:rsid w:val="00913DA9"/>
    <w:rsid w:val="009152C0"/>
    <w:rsid w:val="009165B6"/>
    <w:rsid w:val="00920C0A"/>
    <w:rsid w:val="00923B10"/>
    <w:rsid w:val="0092577B"/>
    <w:rsid w:val="00925F3E"/>
    <w:rsid w:val="009261F3"/>
    <w:rsid w:val="00926DDE"/>
    <w:rsid w:val="00927399"/>
    <w:rsid w:val="00927D66"/>
    <w:rsid w:val="00930D38"/>
    <w:rsid w:val="0093114D"/>
    <w:rsid w:val="009357AE"/>
    <w:rsid w:val="009357B0"/>
    <w:rsid w:val="009364E1"/>
    <w:rsid w:val="009379A3"/>
    <w:rsid w:val="0094434C"/>
    <w:rsid w:val="009474DA"/>
    <w:rsid w:val="0094784E"/>
    <w:rsid w:val="00953D3E"/>
    <w:rsid w:val="00955E69"/>
    <w:rsid w:val="00964382"/>
    <w:rsid w:val="00964882"/>
    <w:rsid w:val="00966DCF"/>
    <w:rsid w:val="009761A1"/>
    <w:rsid w:val="00982395"/>
    <w:rsid w:val="00982A69"/>
    <w:rsid w:val="00991C61"/>
    <w:rsid w:val="00992D28"/>
    <w:rsid w:val="009938D8"/>
    <w:rsid w:val="00993BD3"/>
    <w:rsid w:val="009952DD"/>
    <w:rsid w:val="009A1F5F"/>
    <w:rsid w:val="009B115E"/>
    <w:rsid w:val="009B33E8"/>
    <w:rsid w:val="009B7762"/>
    <w:rsid w:val="009C23A5"/>
    <w:rsid w:val="009C39F4"/>
    <w:rsid w:val="009C4C13"/>
    <w:rsid w:val="009C59FD"/>
    <w:rsid w:val="009C7CE4"/>
    <w:rsid w:val="009D2748"/>
    <w:rsid w:val="009E280D"/>
    <w:rsid w:val="009E4701"/>
    <w:rsid w:val="009E5804"/>
    <w:rsid w:val="009E5BA9"/>
    <w:rsid w:val="009E5ECB"/>
    <w:rsid w:val="009F04D2"/>
    <w:rsid w:val="009F149A"/>
    <w:rsid w:val="009F6D0F"/>
    <w:rsid w:val="00A006C4"/>
    <w:rsid w:val="00A008A0"/>
    <w:rsid w:val="00A025F0"/>
    <w:rsid w:val="00A04BF9"/>
    <w:rsid w:val="00A04FA7"/>
    <w:rsid w:val="00A074C3"/>
    <w:rsid w:val="00A15FC8"/>
    <w:rsid w:val="00A164CE"/>
    <w:rsid w:val="00A17684"/>
    <w:rsid w:val="00A2006E"/>
    <w:rsid w:val="00A20610"/>
    <w:rsid w:val="00A21C1B"/>
    <w:rsid w:val="00A239C4"/>
    <w:rsid w:val="00A2413F"/>
    <w:rsid w:val="00A25A2E"/>
    <w:rsid w:val="00A30493"/>
    <w:rsid w:val="00A334C9"/>
    <w:rsid w:val="00A34C33"/>
    <w:rsid w:val="00A36268"/>
    <w:rsid w:val="00A377E8"/>
    <w:rsid w:val="00A52256"/>
    <w:rsid w:val="00A6082D"/>
    <w:rsid w:val="00A627BF"/>
    <w:rsid w:val="00A64CFB"/>
    <w:rsid w:val="00A6546E"/>
    <w:rsid w:val="00A701DD"/>
    <w:rsid w:val="00A71821"/>
    <w:rsid w:val="00A75120"/>
    <w:rsid w:val="00A77D34"/>
    <w:rsid w:val="00A81988"/>
    <w:rsid w:val="00A85867"/>
    <w:rsid w:val="00A874C7"/>
    <w:rsid w:val="00A87965"/>
    <w:rsid w:val="00A91165"/>
    <w:rsid w:val="00A97300"/>
    <w:rsid w:val="00AA11A3"/>
    <w:rsid w:val="00AA1819"/>
    <w:rsid w:val="00AA4B2B"/>
    <w:rsid w:val="00AB3141"/>
    <w:rsid w:val="00AB4837"/>
    <w:rsid w:val="00AB5898"/>
    <w:rsid w:val="00AB66B8"/>
    <w:rsid w:val="00AC3BFA"/>
    <w:rsid w:val="00AC4CDA"/>
    <w:rsid w:val="00AC674B"/>
    <w:rsid w:val="00AD6F91"/>
    <w:rsid w:val="00AE1106"/>
    <w:rsid w:val="00AE42DA"/>
    <w:rsid w:val="00AF5855"/>
    <w:rsid w:val="00AF596B"/>
    <w:rsid w:val="00AF5DBE"/>
    <w:rsid w:val="00B001A1"/>
    <w:rsid w:val="00B00B19"/>
    <w:rsid w:val="00B036EE"/>
    <w:rsid w:val="00B0641E"/>
    <w:rsid w:val="00B06ED6"/>
    <w:rsid w:val="00B10202"/>
    <w:rsid w:val="00B20435"/>
    <w:rsid w:val="00B210FC"/>
    <w:rsid w:val="00B21303"/>
    <w:rsid w:val="00B47518"/>
    <w:rsid w:val="00B51017"/>
    <w:rsid w:val="00B559A6"/>
    <w:rsid w:val="00B55B88"/>
    <w:rsid w:val="00B6230D"/>
    <w:rsid w:val="00B64306"/>
    <w:rsid w:val="00B64808"/>
    <w:rsid w:val="00B719DC"/>
    <w:rsid w:val="00B72660"/>
    <w:rsid w:val="00B73F74"/>
    <w:rsid w:val="00B753AC"/>
    <w:rsid w:val="00B80B0E"/>
    <w:rsid w:val="00B820CB"/>
    <w:rsid w:val="00B850F5"/>
    <w:rsid w:val="00B87058"/>
    <w:rsid w:val="00B924CB"/>
    <w:rsid w:val="00B95E39"/>
    <w:rsid w:val="00BA127E"/>
    <w:rsid w:val="00BA3B75"/>
    <w:rsid w:val="00BA5293"/>
    <w:rsid w:val="00BA6DCF"/>
    <w:rsid w:val="00BB0334"/>
    <w:rsid w:val="00BB6E09"/>
    <w:rsid w:val="00BC1DF0"/>
    <w:rsid w:val="00BC59B7"/>
    <w:rsid w:val="00BC68F3"/>
    <w:rsid w:val="00BC7FB4"/>
    <w:rsid w:val="00BD02FB"/>
    <w:rsid w:val="00BD0812"/>
    <w:rsid w:val="00BD18FE"/>
    <w:rsid w:val="00BD3214"/>
    <w:rsid w:val="00BD54D1"/>
    <w:rsid w:val="00BD58EC"/>
    <w:rsid w:val="00BD67B6"/>
    <w:rsid w:val="00BD6D1C"/>
    <w:rsid w:val="00BE2659"/>
    <w:rsid w:val="00BE3CC4"/>
    <w:rsid w:val="00BE497F"/>
    <w:rsid w:val="00BE52AF"/>
    <w:rsid w:val="00BE5A5D"/>
    <w:rsid w:val="00BE5F60"/>
    <w:rsid w:val="00BE6008"/>
    <w:rsid w:val="00BE799D"/>
    <w:rsid w:val="00BE7BF4"/>
    <w:rsid w:val="00BF044A"/>
    <w:rsid w:val="00BF13FA"/>
    <w:rsid w:val="00BF1F32"/>
    <w:rsid w:val="00BF3DB6"/>
    <w:rsid w:val="00BF3ED4"/>
    <w:rsid w:val="00BF4AC4"/>
    <w:rsid w:val="00BF56A8"/>
    <w:rsid w:val="00BF6C6D"/>
    <w:rsid w:val="00C000E6"/>
    <w:rsid w:val="00C034CB"/>
    <w:rsid w:val="00C03E2D"/>
    <w:rsid w:val="00C04833"/>
    <w:rsid w:val="00C06BA3"/>
    <w:rsid w:val="00C07B46"/>
    <w:rsid w:val="00C10EA2"/>
    <w:rsid w:val="00C14F4C"/>
    <w:rsid w:val="00C15906"/>
    <w:rsid w:val="00C15C84"/>
    <w:rsid w:val="00C16E65"/>
    <w:rsid w:val="00C20378"/>
    <w:rsid w:val="00C21BD4"/>
    <w:rsid w:val="00C229CA"/>
    <w:rsid w:val="00C2535B"/>
    <w:rsid w:val="00C33830"/>
    <w:rsid w:val="00C35A0B"/>
    <w:rsid w:val="00C35F82"/>
    <w:rsid w:val="00C413B6"/>
    <w:rsid w:val="00C5613E"/>
    <w:rsid w:val="00C56892"/>
    <w:rsid w:val="00C6031B"/>
    <w:rsid w:val="00C637FD"/>
    <w:rsid w:val="00C65F10"/>
    <w:rsid w:val="00C67BA8"/>
    <w:rsid w:val="00C70B54"/>
    <w:rsid w:val="00C7116F"/>
    <w:rsid w:val="00C71D37"/>
    <w:rsid w:val="00C74BE3"/>
    <w:rsid w:val="00C75213"/>
    <w:rsid w:val="00C75D0D"/>
    <w:rsid w:val="00C77D07"/>
    <w:rsid w:val="00C80BD0"/>
    <w:rsid w:val="00C8172F"/>
    <w:rsid w:val="00C82657"/>
    <w:rsid w:val="00C84086"/>
    <w:rsid w:val="00C86286"/>
    <w:rsid w:val="00C86A85"/>
    <w:rsid w:val="00C87EF5"/>
    <w:rsid w:val="00C97479"/>
    <w:rsid w:val="00CA141A"/>
    <w:rsid w:val="00CA1FB5"/>
    <w:rsid w:val="00CA3D2F"/>
    <w:rsid w:val="00CA4526"/>
    <w:rsid w:val="00CB0A6E"/>
    <w:rsid w:val="00CB0AB0"/>
    <w:rsid w:val="00CB2000"/>
    <w:rsid w:val="00CB3BA8"/>
    <w:rsid w:val="00CB3C7E"/>
    <w:rsid w:val="00CB555E"/>
    <w:rsid w:val="00CB621C"/>
    <w:rsid w:val="00CC04E0"/>
    <w:rsid w:val="00CC0798"/>
    <w:rsid w:val="00CC0FCD"/>
    <w:rsid w:val="00CC4ECD"/>
    <w:rsid w:val="00CC5BF2"/>
    <w:rsid w:val="00CC77FB"/>
    <w:rsid w:val="00CC78D0"/>
    <w:rsid w:val="00CC7CEE"/>
    <w:rsid w:val="00CD6C04"/>
    <w:rsid w:val="00CE032D"/>
    <w:rsid w:val="00CE0BD9"/>
    <w:rsid w:val="00CE2178"/>
    <w:rsid w:val="00CE2636"/>
    <w:rsid w:val="00CE4385"/>
    <w:rsid w:val="00CE474E"/>
    <w:rsid w:val="00CE58DE"/>
    <w:rsid w:val="00CE7821"/>
    <w:rsid w:val="00CF0F46"/>
    <w:rsid w:val="00D00752"/>
    <w:rsid w:val="00D05231"/>
    <w:rsid w:val="00D05F0E"/>
    <w:rsid w:val="00D06831"/>
    <w:rsid w:val="00D12356"/>
    <w:rsid w:val="00D151D8"/>
    <w:rsid w:val="00D157C5"/>
    <w:rsid w:val="00D17F9A"/>
    <w:rsid w:val="00D2143D"/>
    <w:rsid w:val="00D22CC9"/>
    <w:rsid w:val="00D24E97"/>
    <w:rsid w:val="00D2665C"/>
    <w:rsid w:val="00D2714B"/>
    <w:rsid w:val="00D27331"/>
    <w:rsid w:val="00D31A22"/>
    <w:rsid w:val="00D34B59"/>
    <w:rsid w:val="00D355AF"/>
    <w:rsid w:val="00D37019"/>
    <w:rsid w:val="00D424F4"/>
    <w:rsid w:val="00D43B0E"/>
    <w:rsid w:val="00D45171"/>
    <w:rsid w:val="00D45D4F"/>
    <w:rsid w:val="00D50B86"/>
    <w:rsid w:val="00D515CD"/>
    <w:rsid w:val="00D526B8"/>
    <w:rsid w:val="00D5302D"/>
    <w:rsid w:val="00D54FFE"/>
    <w:rsid w:val="00D558C2"/>
    <w:rsid w:val="00D57A72"/>
    <w:rsid w:val="00D60031"/>
    <w:rsid w:val="00D66A72"/>
    <w:rsid w:val="00D66F36"/>
    <w:rsid w:val="00D74310"/>
    <w:rsid w:val="00D74914"/>
    <w:rsid w:val="00D805B9"/>
    <w:rsid w:val="00D874C6"/>
    <w:rsid w:val="00D92265"/>
    <w:rsid w:val="00D94076"/>
    <w:rsid w:val="00D94273"/>
    <w:rsid w:val="00DA5B42"/>
    <w:rsid w:val="00DA77E6"/>
    <w:rsid w:val="00DB082E"/>
    <w:rsid w:val="00DB0C86"/>
    <w:rsid w:val="00DB2B7E"/>
    <w:rsid w:val="00DB3264"/>
    <w:rsid w:val="00DB7C04"/>
    <w:rsid w:val="00DC3A4D"/>
    <w:rsid w:val="00DC76AE"/>
    <w:rsid w:val="00DD0867"/>
    <w:rsid w:val="00DD2358"/>
    <w:rsid w:val="00DD238C"/>
    <w:rsid w:val="00DD27F0"/>
    <w:rsid w:val="00DD6BC6"/>
    <w:rsid w:val="00DD73F1"/>
    <w:rsid w:val="00DE02F5"/>
    <w:rsid w:val="00DE193A"/>
    <w:rsid w:val="00DE266B"/>
    <w:rsid w:val="00DE4E8A"/>
    <w:rsid w:val="00DE77E9"/>
    <w:rsid w:val="00DF1513"/>
    <w:rsid w:val="00DF542C"/>
    <w:rsid w:val="00DF697E"/>
    <w:rsid w:val="00E01C9B"/>
    <w:rsid w:val="00E02482"/>
    <w:rsid w:val="00E028FF"/>
    <w:rsid w:val="00E054BB"/>
    <w:rsid w:val="00E05B5E"/>
    <w:rsid w:val="00E07663"/>
    <w:rsid w:val="00E10251"/>
    <w:rsid w:val="00E217AA"/>
    <w:rsid w:val="00E2248F"/>
    <w:rsid w:val="00E22BBA"/>
    <w:rsid w:val="00E2573B"/>
    <w:rsid w:val="00E3248B"/>
    <w:rsid w:val="00E32622"/>
    <w:rsid w:val="00E346A1"/>
    <w:rsid w:val="00E35BD8"/>
    <w:rsid w:val="00E45BBB"/>
    <w:rsid w:val="00E4665E"/>
    <w:rsid w:val="00E467F1"/>
    <w:rsid w:val="00E533FD"/>
    <w:rsid w:val="00E534D2"/>
    <w:rsid w:val="00E54CD4"/>
    <w:rsid w:val="00E55248"/>
    <w:rsid w:val="00E5543A"/>
    <w:rsid w:val="00E56149"/>
    <w:rsid w:val="00E5723C"/>
    <w:rsid w:val="00E60897"/>
    <w:rsid w:val="00E6148B"/>
    <w:rsid w:val="00E625FA"/>
    <w:rsid w:val="00E62ABD"/>
    <w:rsid w:val="00E66FF7"/>
    <w:rsid w:val="00E70DE2"/>
    <w:rsid w:val="00E7168E"/>
    <w:rsid w:val="00E74E71"/>
    <w:rsid w:val="00E7586D"/>
    <w:rsid w:val="00E75B95"/>
    <w:rsid w:val="00E807BA"/>
    <w:rsid w:val="00E84A00"/>
    <w:rsid w:val="00E84FE8"/>
    <w:rsid w:val="00E8710D"/>
    <w:rsid w:val="00E91C25"/>
    <w:rsid w:val="00E947F2"/>
    <w:rsid w:val="00E95952"/>
    <w:rsid w:val="00EA0666"/>
    <w:rsid w:val="00EA0C16"/>
    <w:rsid w:val="00EA10CA"/>
    <w:rsid w:val="00EA7F90"/>
    <w:rsid w:val="00EB1C28"/>
    <w:rsid w:val="00EB2008"/>
    <w:rsid w:val="00EB5262"/>
    <w:rsid w:val="00EB6DE7"/>
    <w:rsid w:val="00EB71F5"/>
    <w:rsid w:val="00EC46F1"/>
    <w:rsid w:val="00ED03CE"/>
    <w:rsid w:val="00ED076F"/>
    <w:rsid w:val="00ED0E5A"/>
    <w:rsid w:val="00ED377E"/>
    <w:rsid w:val="00ED4CB0"/>
    <w:rsid w:val="00ED5518"/>
    <w:rsid w:val="00ED69C6"/>
    <w:rsid w:val="00ED76D9"/>
    <w:rsid w:val="00EE0193"/>
    <w:rsid w:val="00EE1E3F"/>
    <w:rsid w:val="00EE21CA"/>
    <w:rsid w:val="00EE2234"/>
    <w:rsid w:val="00EE2816"/>
    <w:rsid w:val="00EE6167"/>
    <w:rsid w:val="00EE6D85"/>
    <w:rsid w:val="00EE7266"/>
    <w:rsid w:val="00EE785E"/>
    <w:rsid w:val="00EF3944"/>
    <w:rsid w:val="00EF52A1"/>
    <w:rsid w:val="00EF5D02"/>
    <w:rsid w:val="00F00CCB"/>
    <w:rsid w:val="00F012E0"/>
    <w:rsid w:val="00F01438"/>
    <w:rsid w:val="00F05394"/>
    <w:rsid w:val="00F06124"/>
    <w:rsid w:val="00F102E0"/>
    <w:rsid w:val="00F10726"/>
    <w:rsid w:val="00F11C57"/>
    <w:rsid w:val="00F12FA9"/>
    <w:rsid w:val="00F13C6E"/>
    <w:rsid w:val="00F14120"/>
    <w:rsid w:val="00F149B4"/>
    <w:rsid w:val="00F17962"/>
    <w:rsid w:val="00F27861"/>
    <w:rsid w:val="00F304AE"/>
    <w:rsid w:val="00F440DD"/>
    <w:rsid w:val="00F4632D"/>
    <w:rsid w:val="00F51563"/>
    <w:rsid w:val="00F542FB"/>
    <w:rsid w:val="00F54990"/>
    <w:rsid w:val="00F5683A"/>
    <w:rsid w:val="00F577DC"/>
    <w:rsid w:val="00F61591"/>
    <w:rsid w:val="00F66024"/>
    <w:rsid w:val="00F66FBE"/>
    <w:rsid w:val="00F80498"/>
    <w:rsid w:val="00F80CB5"/>
    <w:rsid w:val="00F80FF0"/>
    <w:rsid w:val="00F82DC9"/>
    <w:rsid w:val="00F85A81"/>
    <w:rsid w:val="00F86C0A"/>
    <w:rsid w:val="00F872D5"/>
    <w:rsid w:val="00F91F0F"/>
    <w:rsid w:val="00F93080"/>
    <w:rsid w:val="00F9331B"/>
    <w:rsid w:val="00F95915"/>
    <w:rsid w:val="00F96776"/>
    <w:rsid w:val="00FA25AF"/>
    <w:rsid w:val="00FA3EBB"/>
    <w:rsid w:val="00FA4A8E"/>
    <w:rsid w:val="00FA5C92"/>
    <w:rsid w:val="00FA675F"/>
    <w:rsid w:val="00FB3284"/>
    <w:rsid w:val="00FB3313"/>
    <w:rsid w:val="00FB48DF"/>
    <w:rsid w:val="00FB65D8"/>
    <w:rsid w:val="00FC13B1"/>
    <w:rsid w:val="00FC15F8"/>
    <w:rsid w:val="00FC5824"/>
    <w:rsid w:val="00FC5D22"/>
    <w:rsid w:val="00FC6F82"/>
    <w:rsid w:val="00FC7223"/>
    <w:rsid w:val="00FC7519"/>
    <w:rsid w:val="00FD0B9E"/>
    <w:rsid w:val="00FD0CA5"/>
    <w:rsid w:val="00FD0DDC"/>
    <w:rsid w:val="00FD43F1"/>
    <w:rsid w:val="00FD7944"/>
    <w:rsid w:val="00FE0B9D"/>
    <w:rsid w:val="00FE19F4"/>
    <w:rsid w:val="00FE2167"/>
    <w:rsid w:val="00FE4198"/>
    <w:rsid w:val="00FE63C0"/>
    <w:rsid w:val="00FF19E5"/>
    <w:rsid w:val="00FF47E0"/>
    <w:rsid w:val="00FF48AA"/>
    <w:rsid w:val="00FF58A6"/>
    <w:rsid w:val="00FF6634"/>
    <w:rsid w:val="00FF6B57"/>
    <w:rsid w:val="00FF7F84"/>
    <w:rsid w:val="01252B0B"/>
    <w:rsid w:val="012D1ACE"/>
    <w:rsid w:val="012F6197"/>
    <w:rsid w:val="013E1B96"/>
    <w:rsid w:val="016A13E2"/>
    <w:rsid w:val="016A1856"/>
    <w:rsid w:val="016C3678"/>
    <w:rsid w:val="017231B2"/>
    <w:rsid w:val="01AA3C00"/>
    <w:rsid w:val="01BA1FAE"/>
    <w:rsid w:val="01C95FBC"/>
    <w:rsid w:val="01FA7BEC"/>
    <w:rsid w:val="021F2274"/>
    <w:rsid w:val="02251BAE"/>
    <w:rsid w:val="022845C1"/>
    <w:rsid w:val="02436182"/>
    <w:rsid w:val="0244333E"/>
    <w:rsid w:val="02497924"/>
    <w:rsid w:val="024B2C06"/>
    <w:rsid w:val="02BA606F"/>
    <w:rsid w:val="03074366"/>
    <w:rsid w:val="033C3670"/>
    <w:rsid w:val="036C778B"/>
    <w:rsid w:val="036D13FC"/>
    <w:rsid w:val="037E1995"/>
    <w:rsid w:val="03872A6D"/>
    <w:rsid w:val="03A711BB"/>
    <w:rsid w:val="03C3548E"/>
    <w:rsid w:val="03D547B3"/>
    <w:rsid w:val="03D663BA"/>
    <w:rsid w:val="03DA284F"/>
    <w:rsid w:val="03DF4F76"/>
    <w:rsid w:val="04205F3D"/>
    <w:rsid w:val="04214E6D"/>
    <w:rsid w:val="042602D7"/>
    <w:rsid w:val="043F57AB"/>
    <w:rsid w:val="04646B21"/>
    <w:rsid w:val="04966D04"/>
    <w:rsid w:val="04D73519"/>
    <w:rsid w:val="04DF680F"/>
    <w:rsid w:val="04EA1655"/>
    <w:rsid w:val="04EE5255"/>
    <w:rsid w:val="04F57003"/>
    <w:rsid w:val="05133ED9"/>
    <w:rsid w:val="05143B48"/>
    <w:rsid w:val="054735B7"/>
    <w:rsid w:val="05984F04"/>
    <w:rsid w:val="05CC3871"/>
    <w:rsid w:val="05D553BE"/>
    <w:rsid w:val="05E0702C"/>
    <w:rsid w:val="05E50540"/>
    <w:rsid w:val="0606105B"/>
    <w:rsid w:val="061D666A"/>
    <w:rsid w:val="062D2C53"/>
    <w:rsid w:val="06343969"/>
    <w:rsid w:val="063B6884"/>
    <w:rsid w:val="0649713E"/>
    <w:rsid w:val="064D3FD7"/>
    <w:rsid w:val="06582A21"/>
    <w:rsid w:val="067135A7"/>
    <w:rsid w:val="06820F10"/>
    <w:rsid w:val="06853F61"/>
    <w:rsid w:val="0692669E"/>
    <w:rsid w:val="06B44E5F"/>
    <w:rsid w:val="06BF7B4B"/>
    <w:rsid w:val="06CA606B"/>
    <w:rsid w:val="06CE2F23"/>
    <w:rsid w:val="06D90B7D"/>
    <w:rsid w:val="070B2D79"/>
    <w:rsid w:val="070E01B0"/>
    <w:rsid w:val="07171C6A"/>
    <w:rsid w:val="071A07ED"/>
    <w:rsid w:val="071E141A"/>
    <w:rsid w:val="078C754A"/>
    <w:rsid w:val="078D1FA7"/>
    <w:rsid w:val="07A2353D"/>
    <w:rsid w:val="07A70146"/>
    <w:rsid w:val="07CB116E"/>
    <w:rsid w:val="07ED3912"/>
    <w:rsid w:val="07F24454"/>
    <w:rsid w:val="080C3956"/>
    <w:rsid w:val="080F57D7"/>
    <w:rsid w:val="081642CE"/>
    <w:rsid w:val="083E016E"/>
    <w:rsid w:val="08470018"/>
    <w:rsid w:val="084C50A9"/>
    <w:rsid w:val="084F0BF9"/>
    <w:rsid w:val="084F6B35"/>
    <w:rsid w:val="08575CFD"/>
    <w:rsid w:val="08712CE8"/>
    <w:rsid w:val="08843642"/>
    <w:rsid w:val="08871D9C"/>
    <w:rsid w:val="08A95B6A"/>
    <w:rsid w:val="08CE127B"/>
    <w:rsid w:val="09327C7A"/>
    <w:rsid w:val="093B6562"/>
    <w:rsid w:val="093E0DA0"/>
    <w:rsid w:val="096804F1"/>
    <w:rsid w:val="09894201"/>
    <w:rsid w:val="09945ED9"/>
    <w:rsid w:val="0996304A"/>
    <w:rsid w:val="09B91699"/>
    <w:rsid w:val="09BB1A23"/>
    <w:rsid w:val="09C0241E"/>
    <w:rsid w:val="09C2120B"/>
    <w:rsid w:val="09C21D56"/>
    <w:rsid w:val="0A206373"/>
    <w:rsid w:val="0A3D67D8"/>
    <w:rsid w:val="0A4664C7"/>
    <w:rsid w:val="0A4A1FF8"/>
    <w:rsid w:val="0A671082"/>
    <w:rsid w:val="0A994253"/>
    <w:rsid w:val="0ADB0E2A"/>
    <w:rsid w:val="0B193428"/>
    <w:rsid w:val="0B3872C6"/>
    <w:rsid w:val="0B413ACA"/>
    <w:rsid w:val="0B60369D"/>
    <w:rsid w:val="0B8415A0"/>
    <w:rsid w:val="0BA13D20"/>
    <w:rsid w:val="0BA93418"/>
    <w:rsid w:val="0BD36993"/>
    <w:rsid w:val="0BDA2F49"/>
    <w:rsid w:val="0BF75FA0"/>
    <w:rsid w:val="0C0C4563"/>
    <w:rsid w:val="0C2C517D"/>
    <w:rsid w:val="0C444450"/>
    <w:rsid w:val="0C4D3B5D"/>
    <w:rsid w:val="0C560994"/>
    <w:rsid w:val="0C6F6735"/>
    <w:rsid w:val="0C7A1077"/>
    <w:rsid w:val="0C8A3857"/>
    <w:rsid w:val="0CAD44F5"/>
    <w:rsid w:val="0CB837C2"/>
    <w:rsid w:val="0CD062C2"/>
    <w:rsid w:val="0CD41890"/>
    <w:rsid w:val="0CFB514D"/>
    <w:rsid w:val="0D0567F6"/>
    <w:rsid w:val="0D131644"/>
    <w:rsid w:val="0D150A13"/>
    <w:rsid w:val="0D1D5A0E"/>
    <w:rsid w:val="0D89262D"/>
    <w:rsid w:val="0D9E10EB"/>
    <w:rsid w:val="0DAC749E"/>
    <w:rsid w:val="0DBF73EA"/>
    <w:rsid w:val="0DBF76A3"/>
    <w:rsid w:val="0DC17C58"/>
    <w:rsid w:val="0DE638A6"/>
    <w:rsid w:val="0DF437D6"/>
    <w:rsid w:val="0E2C7C56"/>
    <w:rsid w:val="0E390D62"/>
    <w:rsid w:val="0E507AEC"/>
    <w:rsid w:val="0EB92E71"/>
    <w:rsid w:val="0EE358D3"/>
    <w:rsid w:val="0F1119D8"/>
    <w:rsid w:val="0F1718AE"/>
    <w:rsid w:val="0F426E07"/>
    <w:rsid w:val="0F4853E5"/>
    <w:rsid w:val="0F7D1614"/>
    <w:rsid w:val="0F8B40DB"/>
    <w:rsid w:val="0FA10663"/>
    <w:rsid w:val="0FA47BA8"/>
    <w:rsid w:val="0FC072F5"/>
    <w:rsid w:val="0FDD39EB"/>
    <w:rsid w:val="0FE805A8"/>
    <w:rsid w:val="0FEB7ECA"/>
    <w:rsid w:val="0FF309D8"/>
    <w:rsid w:val="0FFE7970"/>
    <w:rsid w:val="1005725B"/>
    <w:rsid w:val="105A329A"/>
    <w:rsid w:val="106D7C45"/>
    <w:rsid w:val="10AD5D55"/>
    <w:rsid w:val="10B8450E"/>
    <w:rsid w:val="10BA54A7"/>
    <w:rsid w:val="10C17212"/>
    <w:rsid w:val="10C658F0"/>
    <w:rsid w:val="10D52320"/>
    <w:rsid w:val="10EA1474"/>
    <w:rsid w:val="110E400D"/>
    <w:rsid w:val="11192986"/>
    <w:rsid w:val="111A3EC3"/>
    <w:rsid w:val="11283D2F"/>
    <w:rsid w:val="113E10E4"/>
    <w:rsid w:val="11AD61AA"/>
    <w:rsid w:val="11D34F30"/>
    <w:rsid w:val="122107EC"/>
    <w:rsid w:val="12347BC6"/>
    <w:rsid w:val="124973FE"/>
    <w:rsid w:val="12A863E0"/>
    <w:rsid w:val="12EF32BD"/>
    <w:rsid w:val="12F6433F"/>
    <w:rsid w:val="13167525"/>
    <w:rsid w:val="13365764"/>
    <w:rsid w:val="13595853"/>
    <w:rsid w:val="13682EDD"/>
    <w:rsid w:val="13CE33BF"/>
    <w:rsid w:val="13D379B2"/>
    <w:rsid w:val="13D77AB6"/>
    <w:rsid w:val="13E2545D"/>
    <w:rsid w:val="13EA5300"/>
    <w:rsid w:val="13FA32D3"/>
    <w:rsid w:val="14265163"/>
    <w:rsid w:val="142F4691"/>
    <w:rsid w:val="144107F3"/>
    <w:rsid w:val="144728CF"/>
    <w:rsid w:val="14552F51"/>
    <w:rsid w:val="14603213"/>
    <w:rsid w:val="14626D08"/>
    <w:rsid w:val="147D703B"/>
    <w:rsid w:val="147E5910"/>
    <w:rsid w:val="149009DE"/>
    <w:rsid w:val="14B533B1"/>
    <w:rsid w:val="14CC6391"/>
    <w:rsid w:val="14F72DCD"/>
    <w:rsid w:val="14FD3926"/>
    <w:rsid w:val="15062C0B"/>
    <w:rsid w:val="151B664D"/>
    <w:rsid w:val="151E2778"/>
    <w:rsid w:val="15541BAA"/>
    <w:rsid w:val="158B402B"/>
    <w:rsid w:val="15B85BCD"/>
    <w:rsid w:val="15E8783D"/>
    <w:rsid w:val="15F252FF"/>
    <w:rsid w:val="1600089F"/>
    <w:rsid w:val="162A61DF"/>
    <w:rsid w:val="16333991"/>
    <w:rsid w:val="16580CA7"/>
    <w:rsid w:val="1661484B"/>
    <w:rsid w:val="166F2B4B"/>
    <w:rsid w:val="168E782C"/>
    <w:rsid w:val="16C93789"/>
    <w:rsid w:val="16CD4539"/>
    <w:rsid w:val="16E91414"/>
    <w:rsid w:val="16EA2772"/>
    <w:rsid w:val="16F6131D"/>
    <w:rsid w:val="16FF2462"/>
    <w:rsid w:val="17076898"/>
    <w:rsid w:val="17136436"/>
    <w:rsid w:val="176413A0"/>
    <w:rsid w:val="176631C7"/>
    <w:rsid w:val="1770621D"/>
    <w:rsid w:val="177D5A59"/>
    <w:rsid w:val="177F20F6"/>
    <w:rsid w:val="178F78A1"/>
    <w:rsid w:val="179861C6"/>
    <w:rsid w:val="17FE063D"/>
    <w:rsid w:val="180668B5"/>
    <w:rsid w:val="182B36F3"/>
    <w:rsid w:val="183A016B"/>
    <w:rsid w:val="184B2D58"/>
    <w:rsid w:val="185F7055"/>
    <w:rsid w:val="18722CB9"/>
    <w:rsid w:val="188A65B6"/>
    <w:rsid w:val="18C51A5F"/>
    <w:rsid w:val="18C875D3"/>
    <w:rsid w:val="18CD1ADC"/>
    <w:rsid w:val="18D9352A"/>
    <w:rsid w:val="19094EBC"/>
    <w:rsid w:val="190F0762"/>
    <w:rsid w:val="19184BF5"/>
    <w:rsid w:val="19207241"/>
    <w:rsid w:val="1974419A"/>
    <w:rsid w:val="19857CAF"/>
    <w:rsid w:val="19AA6867"/>
    <w:rsid w:val="19BC2B5E"/>
    <w:rsid w:val="19FC5BD1"/>
    <w:rsid w:val="1A024F0A"/>
    <w:rsid w:val="1A0E2971"/>
    <w:rsid w:val="1A5F35C6"/>
    <w:rsid w:val="1A761982"/>
    <w:rsid w:val="1A823129"/>
    <w:rsid w:val="1A99676A"/>
    <w:rsid w:val="1A9D4254"/>
    <w:rsid w:val="1AC54F5A"/>
    <w:rsid w:val="1AD673B1"/>
    <w:rsid w:val="1B136467"/>
    <w:rsid w:val="1B2E33E8"/>
    <w:rsid w:val="1B32626F"/>
    <w:rsid w:val="1B434107"/>
    <w:rsid w:val="1B4C5D24"/>
    <w:rsid w:val="1B740BCE"/>
    <w:rsid w:val="1B8A058E"/>
    <w:rsid w:val="1B8D6237"/>
    <w:rsid w:val="1B993D85"/>
    <w:rsid w:val="1BA240DC"/>
    <w:rsid w:val="1BE951D6"/>
    <w:rsid w:val="1BF100F0"/>
    <w:rsid w:val="1BFB363C"/>
    <w:rsid w:val="1BFC5E62"/>
    <w:rsid w:val="1C0B1F12"/>
    <w:rsid w:val="1C2D6919"/>
    <w:rsid w:val="1C3D3146"/>
    <w:rsid w:val="1C466E61"/>
    <w:rsid w:val="1C51664B"/>
    <w:rsid w:val="1C5F6A46"/>
    <w:rsid w:val="1C9D616D"/>
    <w:rsid w:val="1D4159FA"/>
    <w:rsid w:val="1D4A4851"/>
    <w:rsid w:val="1D586399"/>
    <w:rsid w:val="1D5953A7"/>
    <w:rsid w:val="1D6D06AA"/>
    <w:rsid w:val="1D762FCE"/>
    <w:rsid w:val="1D7B085B"/>
    <w:rsid w:val="1D8F6519"/>
    <w:rsid w:val="1DA2641B"/>
    <w:rsid w:val="1DA50E97"/>
    <w:rsid w:val="1DC8185F"/>
    <w:rsid w:val="1DD01D50"/>
    <w:rsid w:val="1DD367D5"/>
    <w:rsid w:val="1DD96F12"/>
    <w:rsid w:val="1DE41374"/>
    <w:rsid w:val="1E1E2B47"/>
    <w:rsid w:val="1E2B2D48"/>
    <w:rsid w:val="1E4D7863"/>
    <w:rsid w:val="1E515D96"/>
    <w:rsid w:val="1E555B90"/>
    <w:rsid w:val="1E7462E4"/>
    <w:rsid w:val="1E7D7CA1"/>
    <w:rsid w:val="1E8030EE"/>
    <w:rsid w:val="1E8D2205"/>
    <w:rsid w:val="1EA760DF"/>
    <w:rsid w:val="1EC5532A"/>
    <w:rsid w:val="1EC82B4C"/>
    <w:rsid w:val="1EE57E3C"/>
    <w:rsid w:val="1F0C74F6"/>
    <w:rsid w:val="1F2416B0"/>
    <w:rsid w:val="1F3642A9"/>
    <w:rsid w:val="1F373124"/>
    <w:rsid w:val="1F4D3504"/>
    <w:rsid w:val="1F695302"/>
    <w:rsid w:val="1F7F4BD4"/>
    <w:rsid w:val="1FAB0CEB"/>
    <w:rsid w:val="1FBB1C16"/>
    <w:rsid w:val="1FE5598A"/>
    <w:rsid w:val="1FE65064"/>
    <w:rsid w:val="20100506"/>
    <w:rsid w:val="20163229"/>
    <w:rsid w:val="201768D3"/>
    <w:rsid w:val="202718F0"/>
    <w:rsid w:val="202F42FD"/>
    <w:rsid w:val="20314E31"/>
    <w:rsid w:val="203B1DCF"/>
    <w:rsid w:val="20593757"/>
    <w:rsid w:val="205E1A2B"/>
    <w:rsid w:val="207224F2"/>
    <w:rsid w:val="207C47F6"/>
    <w:rsid w:val="207C70D2"/>
    <w:rsid w:val="209F181A"/>
    <w:rsid w:val="20A92C24"/>
    <w:rsid w:val="20AC439E"/>
    <w:rsid w:val="20B44177"/>
    <w:rsid w:val="20C47F24"/>
    <w:rsid w:val="210F01E6"/>
    <w:rsid w:val="215532CA"/>
    <w:rsid w:val="21610F15"/>
    <w:rsid w:val="21625B44"/>
    <w:rsid w:val="2174510E"/>
    <w:rsid w:val="21827F2D"/>
    <w:rsid w:val="2188074D"/>
    <w:rsid w:val="21BD474F"/>
    <w:rsid w:val="220D4886"/>
    <w:rsid w:val="22292CE9"/>
    <w:rsid w:val="22516281"/>
    <w:rsid w:val="22643D5C"/>
    <w:rsid w:val="22793600"/>
    <w:rsid w:val="227E439D"/>
    <w:rsid w:val="22BB1C28"/>
    <w:rsid w:val="22E1079B"/>
    <w:rsid w:val="22EE169D"/>
    <w:rsid w:val="233F6878"/>
    <w:rsid w:val="23494B26"/>
    <w:rsid w:val="2356389D"/>
    <w:rsid w:val="236F31D6"/>
    <w:rsid w:val="238103B3"/>
    <w:rsid w:val="23970773"/>
    <w:rsid w:val="23AF2D7A"/>
    <w:rsid w:val="23C45E02"/>
    <w:rsid w:val="23D55635"/>
    <w:rsid w:val="23D91236"/>
    <w:rsid w:val="23E353AA"/>
    <w:rsid w:val="23EB1F34"/>
    <w:rsid w:val="23EB7734"/>
    <w:rsid w:val="23F7006B"/>
    <w:rsid w:val="2419648E"/>
    <w:rsid w:val="243201E0"/>
    <w:rsid w:val="24443330"/>
    <w:rsid w:val="2453769A"/>
    <w:rsid w:val="245B4C20"/>
    <w:rsid w:val="24680B8B"/>
    <w:rsid w:val="24741271"/>
    <w:rsid w:val="247D6DAC"/>
    <w:rsid w:val="2486063B"/>
    <w:rsid w:val="24B9375B"/>
    <w:rsid w:val="24BF042D"/>
    <w:rsid w:val="25182CA8"/>
    <w:rsid w:val="2545535E"/>
    <w:rsid w:val="255A7478"/>
    <w:rsid w:val="25660E9C"/>
    <w:rsid w:val="256E48C7"/>
    <w:rsid w:val="25801AEB"/>
    <w:rsid w:val="2595573A"/>
    <w:rsid w:val="25C51DDD"/>
    <w:rsid w:val="25DC37D0"/>
    <w:rsid w:val="25DE68BA"/>
    <w:rsid w:val="25F43CA6"/>
    <w:rsid w:val="25FE34BE"/>
    <w:rsid w:val="25FF6F8E"/>
    <w:rsid w:val="26011DF0"/>
    <w:rsid w:val="26044A00"/>
    <w:rsid w:val="269D0CD2"/>
    <w:rsid w:val="26A82052"/>
    <w:rsid w:val="26F1048F"/>
    <w:rsid w:val="2704390F"/>
    <w:rsid w:val="2713141F"/>
    <w:rsid w:val="271B6B0C"/>
    <w:rsid w:val="27244C2E"/>
    <w:rsid w:val="272A4D9C"/>
    <w:rsid w:val="2768765C"/>
    <w:rsid w:val="27745D23"/>
    <w:rsid w:val="277F300E"/>
    <w:rsid w:val="278E3271"/>
    <w:rsid w:val="27951E14"/>
    <w:rsid w:val="2798488F"/>
    <w:rsid w:val="27BD0FA5"/>
    <w:rsid w:val="27CE34AA"/>
    <w:rsid w:val="27E048AC"/>
    <w:rsid w:val="280072C5"/>
    <w:rsid w:val="28157331"/>
    <w:rsid w:val="28581F11"/>
    <w:rsid w:val="286417FB"/>
    <w:rsid w:val="286628CD"/>
    <w:rsid w:val="28701ACD"/>
    <w:rsid w:val="288E6627"/>
    <w:rsid w:val="28993DB1"/>
    <w:rsid w:val="28B57A90"/>
    <w:rsid w:val="28B80F1D"/>
    <w:rsid w:val="28CC2D1D"/>
    <w:rsid w:val="28FB6A13"/>
    <w:rsid w:val="293D73A5"/>
    <w:rsid w:val="297C280E"/>
    <w:rsid w:val="29904BFA"/>
    <w:rsid w:val="29A32695"/>
    <w:rsid w:val="29C46AE3"/>
    <w:rsid w:val="29C8474B"/>
    <w:rsid w:val="29F56080"/>
    <w:rsid w:val="29FA4CB0"/>
    <w:rsid w:val="2A0C43F6"/>
    <w:rsid w:val="2A120042"/>
    <w:rsid w:val="2A506A12"/>
    <w:rsid w:val="2A8C12D5"/>
    <w:rsid w:val="2A8D69A6"/>
    <w:rsid w:val="2AA04FD0"/>
    <w:rsid w:val="2B0D143A"/>
    <w:rsid w:val="2B222857"/>
    <w:rsid w:val="2B326636"/>
    <w:rsid w:val="2B333562"/>
    <w:rsid w:val="2B536043"/>
    <w:rsid w:val="2B705D79"/>
    <w:rsid w:val="2B894819"/>
    <w:rsid w:val="2BA271CC"/>
    <w:rsid w:val="2C137559"/>
    <w:rsid w:val="2C1A2D21"/>
    <w:rsid w:val="2C52004C"/>
    <w:rsid w:val="2C5F2904"/>
    <w:rsid w:val="2C771074"/>
    <w:rsid w:val="2C7E2E9C"/>
    <w:rsid w:val="2CC023EB"/>
    <w:rsid w:val="2CD71288"/>
    <w:rsid w:val="2CF05EDC"/>
    <w:rsid w:val="2D032F97"/>
    <w:rsid w:val="2D0A5979"/>
    <w:rsid w:val="2D0E7197"/>
    <w:rsid w:val="2D220679"/>
    <w:rsid w:val="2D392B6F"/>
    <w:rsid w:val="2D6C3D36"/>
    <w:rsid w:val="2D7C5A3D"/>
    <w:rsid w:val="2E0E759F"/>
    <w:rsid w:val="2E502989"/>
    <w:rsid w:val="2E5133FF"/>
    <w:rsid w:val="2E6E2D05"/>
    <w:rsid w:val="2E7A1956"/>
    <w:rsid w:val="2E894C75"/>
    <w:rsid w:val="2ECC34BC"/>
    <w:rsid w:val="2EDD5CB3"/>
    <w:rsid w:val="2EE54B91"/>
    <w:rsid w:val="2EF63476"/>
    <w:rsid w:val="2F406458"/>
    <w:rsid w:val="2F4F53B5"/>
    <w:rsid w:val="2F5B33C1"/>
    <w:rsid w:val="2F683ACE"/>
    <w:rsid w:val="2F7B05F4"/>
    <w:rsid w:val="2F85495C"/>
    <w:rsid w:val="2FA33C8C"/>
    <w:rsid w:val="2FA8565B"/>
    <w:rsid w:val="2FEE4FE0"/>
    <w:rsid w:val="300508EA"/>
    <w:rsid w:val="300C126B"/>
    <w:rsid w:val="30183039"/>
    <w:rsid w:val="301F5527"/>
    <w:rsid w:val="302C6AD2"/>
    <w:rsid w:val="303A1BED"/>
    <w:rsid w:val="30486768"/>
    <w:rsid w:val="306964E8"/>
    <w:rsid w:val="307216AB"/>
    <w:rsid w:val="30825C02"/>
    <w:rsid w:val="309345CE"/>
    <w:rsid w:val="30982981"/>
    <w:rsid w:val="30AF34FD"/>
    <w:rsid w:val="30B71021"/>
    <w:rsid w:val="30EB19FB"/>
    <w:rsid w:val="30F053E8"/>
    <w:rsid w:val="31212F86"/>
    <w:rsid w:val="31641D8B"/>
    <w:rsid w:val="31667A5B"/>
    <w:rsid w:val="317B4A3B"/>
    <w:rsid w:val="31801DD4"/>
    <w:rsid w:val="31997FC5"/>
    <w:rsid w:val="319F0E3A"/>
    <w:rsid w:val="31B75017"/>
    <w:rsid w:val="31CD31BC"/>
    <w:rsid w:val="31EE6896"/>
    <w:rsid w:val="31FC5AAA"/>
    <w:rsid w:val="32036E27"/>
    <w:rsid w:val="3210204B"/>
    <w:rsid w:val="323B52AD"/>
    <w:rsid w:val="323D6951"/>
    <w:rsid w:val="32442872"/>
    <w:rsid w:val="32A01359"/>
    <w:rsid w:val="32A51C03"/>
    <w:rsid w:val="32CB5F4D"/>
    <w:rsid w:val="330F6ED9"/>
    <w:rsid w:val="33264568"/>
    <w:rsid w:val="33603A4D"/>
    <w:rsid w:val="338E4D3E"/>
    <w:rsid w:val="339E1260"/>
    <w:rsid w:val="33A64439"/>
    <w:rsid w:val="33B43DD0"/>
    <w:rsid w:val="33B84B8F"/>
    <w:rsid w:val="33BB65BF"/>
    <w:rsid w:val="33C53D75"/>
    <w:rsid w:val="33E25430"/>
    <w:rsid w:val="33EF2388"/>
    <w:rsid w:val="33F96A28"/>
    <w:rsid w:val="340A270F"/>
    <w:rsid w:val="34111C05"/>
    <w:rsid w:val="343273BE"/>
    <w:rsid w:val="34364261"/>
    <w:rsid w:val="34424F9F"/>
    <w:rsid w:val="34595C4B"/>
    <w:rsid w:val="34683B76"/>
    <w:rsid w:val="34761D8E"/>
    <w:rsid w:val="347B1B96"/>
    <w:rsid w:val="347B6AFB"/>
    <w:rsid w:val="34A340E9"/>
    <w:rsid w:val="34BB60C5"/>
    <w:rsid w:val="34DE1884"/>
    <w:rsid w:val="34DF1ED5"/>
    <w:rsid w:val="34EC0909"/>
    <w:rsid w:val="34ED7718"/>
    <w:rsid w:val="34EF5039"/>
    <w:rsid w:val="351C1B34"/>
    <w:rsid w:val="351D1D9E"/>
    <w:rsid w:val="352A522D"/>
    <w:rsid w:val="35376809"/>
    <w:rsid w:val="354B174C"/>
    <w:rsid w:val="356F16F1"/>
    <w:rsid w:val="35A47524"/>
    <w:rsid w:val="35F46E14"/>
    <w:rsid w:val="35F84B2F"/>
    <w:rsid w:val="35F84D27"/>
    <w:rsid w:val="35FB301A"/>
    <w:rsid w:val="365F78C9"/>
    <w:rsid w:val="367B6C5B"/>
    <w:rsid w:val="36803519"/>
    <w:rsid w:val="368C4A42"/>
    <w:rsid w:val="36934009"/>
    <w:rsid w:val="36A43CBC"/>
    <w:rsid w:val="36A810D4"/>
    <w:rsid w:val="36AB52A2"/>
    <w:rsid w:val="36E01F1C"/>
    <w:rsid w:val="36EB1174"/>
    <w:rsid w:val="36FF11DD"/>
    <w:rsid w:val="370A1813"/>
    <w:rsid w:val="375A575E"/>
    <w:rsid w:val="376521DA"/>
    <w:rsid w:val="376941CC"/>
    <w:rsid w:val="376D29ED"/>
    <w:rsid w:val="37932498"/>
    <w:rsid w:val="37AC2FF7"/>
    <w:rsid w:val="37B81D10"/>
    <w:rsid w:val="37D07910"/>
    <w:rsid w:val="37EB1DE3"/>
    <w:rsid w:val="37F56052"/>
    <w:rsid w:val="38105AEF"/>
    <w:rsid w:val="38146CFF"/>
    <w:rsid w:val="382052CC"/>
    <w:rsid w:val="384C70BC"/>
    <w:rsid w:val="384D605C"/>
    <w:rsid w:val="385D3EC3"/>
    <w:rsid w:val="385E1F9C"/>
    <w:rsid w:val="38BA447C"/>
    <w:rsid w:val="38BB3076"/>
    <w:rsid w:val="38C85E2D"/>
    <w:rsid w:val="38E00913"/>
    <w:rsid w:val="38EC4989"/>
    <w:rsid w:val="38F26CC1"/>
    <w:rsid w:val="390025E5"/>
    <w:rsid w:val="39166E75"/>
    <w:rsid w:val="391F4C29"/>
    <w:rsid w:val="39521E4F"/>
    <w:rsid w:val="39593E7F"/>
    <w:rsid w:val="39663374"/>
    <w:rsid w:val="397D6A6B"/>
    <w:rsid w:val="398C2BF4"/>
    <w:rsid w:val="399F4C83"/>
    <w:rsid w:val="39B81ED7"/>
    <w:rsid w:val="39C83EF7"/>
    <w:rsid w:val="39DA53A4"/>
    <w:rsid w:val="39E96D1F"/>
    <w:rsid w:val="39F03D2F"/>
    <w:rsid w:val="3A184DB7"/>
    <w:rsid w:val="3A1D58F7"/>
    <w:rsid w:val="3A233CB0"/>
    <w:rsid w:val="3A2E3A77"/>
    <w:rsid w:val="3A3C2546"/>
    <w:rsid w:val="3A5A04F7"/>
    <w:rsid w:val="3A846E4D"/>
    <w:rsid w:val="3A875775"/>
    <w:rsid w:val="3A90026B"/>
    <w:rsid w:val="3A9D2B0F"/>
    <w:rsid w:val="3B0804BC"/>
    <w:rsid w:val="3B143EB5"/>
    <w:rsid w:val="3B41062F"/>
    <w:rsid w:val="3B4A70AE"/>
    <w:rsid w:val="3B600ED3"/>
    <w:rsid w:val="3B7028D5"/>
    <w:rsid w:val="3B787A93"/>
    <w:rsid w:val="3B921AF8"/>
    <w:rsid w:val="3B9D6987"/>
    <w:rsid w:val="3BBF2E43"/>
    <w:rsid w:val="3BCC5840"/>
    <w:rsid w:val="3BEF60AE"/>
    <w:rsid w:val="3C0813EA"/>
    <w:rsid w:val="3C1C27AE"/>
    <w:rsid w:val="3C2D36DB"/>
    <w:rsid w:val="3C495F7A"/>
    <w:rsid w:val="3C737669"/>
    <w:rsid w:val="3CBB7D6D"/>
    <w:rsid w:val="3CD51CB1"/>
    <w:rsid w:val="3CEB7FDB"/>
    <w:rsid w:val="3CF63FF4"/>
    <w:rsid w:val="3CFB53D6"/>
    <w:rsid w:val="3D35585E"/>
    <w:rsid w:val="3D3B5EF4"/>
    <w:rsid w:val="3D477E9F"/>
    <w:rsid w:val="3D5377D8"/>
    <w:rsid w:val="3D584ABF"/>
    <w:rsid w:val="3D66625F"/>
    <w:rsid w:val="3D6F3FDE"/>
    <w:rsid w:val="3DA04761"/>
    <w:rsid w:val="3DC04D69"/>
    <w:rsid w:val="3DDA55DD"/>
    <w:rsid w:val="3DFB7550"/>
    <w:rsid w:val="3E3E0215"/>
    <w:rsid w:val="3E4F795A"/>
    <w:rsid w:val="3E5048A7"/>
    <w:rsid w:val="3E5304CB"/>
    <w:rsid w:val="3E623F37"/>
    <w:rsid w:val="3E656C21"/>
    <w:rsid w:val="3E824080"/>
    <w:rsid w:val="3E9D7E62"/>
    <w:rsid w:val="3EA61654"/>
    <w:rsid w:val="3EC64C8A"/>
    <w:rsid w:val="3ECC3ADA"/>
    <w:rsid w:val="3ECD644B"/>
    <w:rsid w:val="3EF57C46"/>
    <w:rsid w:val="3F1D1BC4"/>
    <w:rsid w:val="3F1F2940"/>
    <w:rsid w:val="3FA84F6B"/>
    <w:rsid w:val="3FB13348"/>
    <w:rsid w:val="3FB57A05"/>
    <w:rsid w:val="3FB72105"/>
    <w:rsid w:val="3FB97529"/>
    <w:rsid w:val="3FC30822"/>
    <w:rsid w:val="3FC66285"/>
    <w:rsid w:val="3FD84838"/>
    <w:rsid w:val="3FEF5113"/>
    <w:rsid w:val="3FFB7A53"/>
    <w:rsid w:val="4010153C"/>
    <w:rsid w:val="401815B7"/>
    <w:rsid w:val="401E020E"/>
    <w:rsid w:val="4029239B"/>
    <w:rsid w:val="40505088"/>
    <w:rsid w:val="40677DDF"/>
    <w:rsid w:val="40685DD4"/>
    <w:rsid w:val="40927608"/>
    <w:rsid w:val="40BB0F3A"/>
    <w:rsid w:val="40E81660"/>
    <w:rsid w:val="412409BD"/>
    <w:rsid w:val="416B6C54"/>
    <w:rsid w:val="418075AC"/>
    <w:rsid w:val="41966762"/>
    <w:rsid w:val="41AA52FB"/>
    <w:rsid w:val="41AE3A8F"/>
    <w:rsid w:val="41B94E7C"/>
    <w:rsid w:val="41C6745E"/>
    <w:rsid w:val="41F52BE4"/>
    <w:rsid w:val="41FF5A91"/>
    <w:rsid w:val="42027B31"/>
    <w:rsid w:val="42153E37"/>
    <w:rsid w:val="4228786B"/>
    <w:rsid w:val="42505F78"/>
    <w:rsid w:val="426344FE"/>
    <w:rsid w:val="427B11B1"/>
    <w:rsid w:val="428C0E79"/>
    <w:rsid w:val="42B37240"/>
    <w:rsid w:val="42D06B2A"/>
    <w:rsid w:val="42D4165A"/>
    <w:rsid w:val="42DA2732"/>
    <w:rsid w:val="43265077"/>
    <w:rsid w:val="432C5546"/>
    <w:rsid w:val="433108EE"/>
    <w:rsid w:val="433E3B4D"/>
    <w:rsid w:val="43427D42"/>
    <w:rsid w:val="435C3DCD"/>
    <w:rsid w:val="4381247C"/>
    <w:rsid w:val="438A7351"/>
    <w:rsid w:val="439661FC"/>
    <w:rsid w:val="43BB7B1A"/>
    <w:rsid w:val="43C43AB8"/>
    <w:rsid w:val="43CE7A08"/>
    <w:rsid w:val="43EB7EC4"/>
    <w:rsid w:val="444D33BB"/>
    <w:rsid w:val="444E5768"/>
    <w:rsid w:val="44547A79"/>
    <w:rsid w:val="446017CB"/>
    <w:rsid w:val="44934275"/>
    <w:rsid w:val="449D5B1B"/>
    <w:rsid w:val="449E357F"/>
    <w:rsid w:val="44A545C0"/>
    <w:rsid w:val="44DB296B"/>
    <w:rsid w:val="44EB3AD0"/>
    <w:rsid w:val="44FD38EF"/>
    <w:rsid w:val="452D1ED4"/>
    <w:rsid w:val="455974EE"/>
    <w:rsid w:val="45613511"/>
    <w:rsid w:val="456B7E9A"/>
    <w:rsid w:val="45875E92"/>
    <w:rsid w:val="45B862A7"/>
    <w:rsid w:val="45C775FB"/>
    <w:rsid w:val="45E910AB"/>
    <w:rsid w:val="45F03030"/>
    <w:rsid w:val="460543DC"/>
    <w:rsid w:val="460E055E"/>
    <w:rsid w:val="461A645C"/>
    <w:rsid w:val="462058EA"/>
    <w:rsid w:val="4634085C"/>
    <w:rsid w:val="46357F13"/>
    <w:rsid w:val="465940B4"/>
    <w:rsid w:val="4671006D"/>
    <w:rsid w:val="468C724B"/>
    <w:rsid w:val="46962FBA"/>
    <w:rsid w:val="46A95613"/>
    <w:rsid w:val="46B13B54"/>
    <w:rsid w:val="46C67328"/>
    <w:rsid w:val="46C777F8"/>
    <w:rsid w:val="46E21F29"/>
    <w:rsid w:val="46F05658"/>
    <w:rsid w:val="47000320"/>
    <w:rsid w:val="471E07A6"/>
    <w:rsid w:val="47245405"/>
    <w:rsid w:val="473B5EE1"/>
    <w:rsid w:val="473E2789"/>
    <w:rsid w:val="474E7D1E"/>
    <w:rsid w:val="47504A5B"/>
    <w:rsid w:val="476A089A"/>
    <w:rsid w:val="47860BE0"/>
    <w:rsid w:val="479C1E43"/>
    <w:rsid w:val="47CA0D94"/>
    <w:rsid w:val="47DC1E48"/>
    <w:rsid w:val="47E816EE"/>
    <w:rsid w:val="48274BC2"/>
    <w:rsid w:val="48515D80"/>
    <w:rsid w:val="48860933"/>
    <w:rsid w:val="48B76869"/>
    <w:rsid w:val="48EB5277"/>
    <w:rsid w:val="48F84DE7"/>
    <w:rsid w:val="48FA325E"/>
    <w:rsid w:val="49163F00"/>
    <w:rsid w:val="491B040A"/>
    <w:rsid w:val="491D129E"/>
    <w:rsid w:val="492F2D5E"/>
    <w:rsid w:val="494E5806"/>
    <w:rsid w:val="495314E0"/>
    <w:rsid w:val="4967308F"/>
    <w:rsid w:val="497C1C61"/>
    <w:rsid w:val="49962C22"/>
    <w:rsid w:val="499D2010"/>
    <w:rsid w:val="49BD0F27"/>
    <w:rsid w:val="49D355FB"/>
    <w:rsid w:val="49EB4C8A"/>
    <w:rsid w:val="4A085387"/>
    <w:rsid w:val="4A456A7C"/>
    <w:rsid w:val="4A4B5FE1"/>
    <w:rsid w:val="4A5F7944"/>
    <w:rsid w:val="4A7576D5"/>
    <w:rsid w:val="4A971541"/>
    <w:rsid w:val="4A9B744A"/>
    <w:rsid w:val="4AB84744"/>
    <w:rsid w:val="4AC0261D"/>
    <w:rsid w:val="4ADA060C"/>
    <w:rsid w:val="4AF453C3"/>
    <w:rsid w:val="4B0304CE"/>
    <w:rsid w:val="4B17609B"/>
    <w:rsid w:val="4B1A2294"/>
    <w:rsid w:val="4B227D9E"/>
    <w:rsid w:val="4B275051"/>
    <w:rsid w:val="4B2E1D91"/>
    <w:rsid w:val="4B4C526E"/>
    <w:rsid w:val="4B53385E"/>
    <w:rsid w:val="4B540F5F"/>
    <w:rsid w:val="4B573226"/>
    <w:rsid w:val="4B5C07E7"/>
    <w:rsid w:val="4B655FED"/>
    <w:rsid w:val="4B685A6E"/>
    <w:rsid w:val="4B73615A"/>
    <w:rsid w:val="4BA809F9"/>
    <w:rsid w:val="4BA94B8F"/>
    <w:rsid w:val="4BBB5C22"/>
    <w:rsid w:val="4BBD7C14"/>
    <w:rsid w:val="4BD90A3A"/>
    <w:rsid w:val="4BEE7CA7"/>
    <w:rsid w:val="4BF4363C"/>
    <w:rsid w:val="4C072AB5"/>
    <w:rsid w:val="4C164579"/>
    <w:rsid w:val="4C394537"/>
    <w:rsid w:val="4C3D21F9"/>
    <w:rsid w:val="4C484D67"/>
    <w:rsid w:val="4C4D74FF"/>
    <w:rsid w:val="4C4F0EFE"/>
    <w:rsid w:val="4C4F7F2D"/>
    <w:rsid w:val="4C504F8E"/>
    <w:rsid w:val="4C524392"/>
    <w:rsid w:val="4C5C5A92"/>
    <w:rsid w:val="4C6349DA"/>
    <w:rsid w:val="4C873A0D"/>
    <w:rsid w:val="4C884D5D"/>
    <w:rsid w:val="4C8D339D"/>
    <w:rsid w:val="4C8E018D"/>
    <w:rsid w:val="4CA41902"/>
    <w:rsid w:val="4CB1795E"/>
    <w:rsid w:val="4CC55210"/>
    <w:rsid w:val="4CC931E9"/>
    <w:rsid w:val="4CF21982"/>
    <w:rsid w:val="4CF55708"/>
    <w:rsid w:val="4D077C35"/>
    <w:rsid w:val="4D4C29BF"/>
    <w:rsid w:val="4D4C7D2D"/>
    <w:rsid w:val="4D637B6D"/>
    <w:rsid w:val="4D8462DF"/>
    <w:rsid w:val="4D867D5B"/>
    <w:rsid w:val="4DA63F16"/>
    <w:rsid w:val="4DC23707"/>
    <w:rsid w:val="4E002F27"/>
    <w:rsid w:val="4E0920C7"/>
    <w:rsid w:val="4E130FE0"/>
    <w:rsid w:val="4E167BE1"/>
    <w:rsid w:val="4E220145"/>
    <w:rsid w:val="4E2271B2"/>
    <w:rsid w:val="4E294CCB"/>
    <w:rsid w:val="4E3D2311"/>
    <w:rsid w:val="4E4C0B3D"/>
    <w:rsid w:val="4E723AC0"/>
    <w:rsid w:val="4E7C4371"/>
    <w:rsid w:val="4E9A6046"/>
    <w:rsid w:val="4ECF543C"/>
    <w:rsid w:val="4EDE41D8"/>
    <w:rsid w:val="4EFD5660"/>
    <w:rsid w:val="4F407A14"/>
    <w:rsid w:val="4F4865AC"/>
    <w:rsid w:val="4F5D603A"/>
    <w:rsid w:val="4F6054DD"/>
    <w:rsid w:val="4F630AAA"/>
    <w:rsid w:val="4F770C11"/>
    <w:rsid w:val="4F8176EB"/>
    <w:rsid w:val="4F9A15CD"/>
    <w:rsid w:val="4F9B5F88"/>
    <w:rsid w:val="4FA06754"/>
    <w:rsid w:val="4FB146D0"/>
    <w:rsid w:val="4FBF7B7D"/>
    <w:rsid w:val="4FD2122D"/>
    <w:rsid w:val="50191506"/>
    <w:rsid w:val="501D72C2"/>
    <w:rsid w:val="501F53AA"/>
    <w:rsid w:val="503114A6"/>
    <w:rsid w:val="5038443D"/>
    <w:rsid w:val="50466C30"/>
    <w:rsid w:val="50584CA6"/>
    <w:rsid w:val="505B54F4"/>
    <w:rsid w:val="506064C1"/>
    <w:rsid w:val="506F0CC4"/>
    <w:rsid w:val="50802064"/>
    <w:rsid w:val="508322E8"/>
    <w:rsid w:val="50854485"/>
    <w:rsid w:val="509A39D9"/>
    <w:rsid w:val="509C04EC"/>
    <w:rsid w:val="50D00BB1"/>
    <w:rsid w:val="51027B3B"/>
    <w:rsid w:val="5112515A"/>
    <w:rsid w:val="51212E9F"/>
    <w:rsid w:val="513C2048"/>
    <w:rsid w:val="515F12E0"/>
    <w:rsid w:val="517E65E5"/>
    <w:rsid w:val="5184334B"/>
    <w:rsid w:val="518B207B"/>
    <w:rsid w:val="5194507F"/>
    <w:rsid w:val="51A40F88"/>
    <w:rsid w:val="51AC573D"/>
    <w:rsid w:val="51BF24FE"/>
    <w:rsid w:val="51E65787"/>
    <w:rsid w:val="51F50A25"/>
    <w:rsid w:val="520E3A09"/>
    <w:rsid w:val="52551517"/>
    <w:rsid w:val="525837F9"/>
    <w:rsid w:val="52B72603"/>
    <w:rsid w:val="52C25EC8"/>
    <w:rsid w:val="52CC4138"/>
    <w:rsid w:val="52CF008D"/>
    <w:rsid w:val="52E1252B"/>
    <w:rsid w:val="530F1794"/>
    <w:rsid w:val="5318609D"/>
    <w:rsid w:val="53207CD8"/>
    <w:rsid w:val="532668B9"/>
    <w:rsid w:val="53284D5C"/>
    <w:rsid w:val="533B727D"/>
    <w:rsid w:val="535E65EB"/>
    <w:rsid w:val="53640A5D"/>
    <w:rsid w:val="53842CC2"/>
    <w:rsid w:val="539353FE"/>
    <w:rsid w:val="53A02800"/>
    <w:rsid w:val="53B75054"/>
    <w:rsid w:val="53B82D21"/>
    <w:rsid w:val="53C960CD"/>
    <w:rsid w:val="53CC5C56"/>
    <w:rsid w:val="53CF3208"/>
    <w:rsid w:val="53D46D64"/>
    <w:rsid w:val="54022056"/>
    <w:rsid w:val="54194C2C"/>
    <w:rsid w:val="541B7FCE"/>
    <w:rsid w:val="541D57F2"/>
    <w:rsid w:val="54357740"/>
    <w:rsid w:val="54437195"/>
    <w:rsid w:val="547B468F"/>
    <w:rsid w:val="54D83B3D"/>
    <w:rsid w:val="54D87276"/>
    <w:rsid w:val="54EA4168"/>
    <w:rsid w:val="54F062AD"/>
    <w:rsid w:val="550B7A99"/>
    <w:rsid w:val="551F02AC"/>
    <w:rsid w:val="553E0A1D"/>
    <w:rsid w:val="55476A66"/>
    <w:rsid w:val="55597C8A"/>
    <w:rsid w:val="55835688"/>
    <w:rsid w:val="55892D43"/>
    <w:rsid w:val="55B5515E"/>
    <w:rsid w:val="55BD3BFA"/>
    <w:rsid w:val="55FA437F"/>
    <w:rsid w:val="56202078"/>
    <w:rsid w:val="562A4C0C"/>
    <w:rsid w:val="56371420"/>
    <w:rsid w:val="567A0398"/>
    <w:rsid w:val="568C574B"/>
    <w:rsid w:val="56A344A8"/>
    <w:rsid w:val="56BA42C6"/>
    <w:rsid w:val="56C3348D"/>
    <w:rsid w:val="56CF29D7"/>
    <w:rsid w:val="5719062C"/>
    <w:rsid w:val="571B31D4"/>
    <w:rsid w:val="573D75A8"/>
    <w:rsid w:val="57465521"/>
    <w:rsid w:val="5768660E"/>
    <w:rsid w:val="577F4FD6"/>
    <w:rsid w:val="57A07146"/>
    <w:rsid w:val="57B6638F"/>
    <w:rsid w:val="57C915A8"/>
    <w:rsid w:val="57E3646D"/>
    <w:rsid w:val="57FF3FC9"/>
    <w:rsid w:val="58062962"/>
    <w:rsid w:val="58083B08"/>
    <w:rsid w:val="58141E0F"/>
    <w:rsid w:val="58193FCE"/>
    <w:rsid w:val="586918DE"/>
    <w:rsid w:val="58A17566"/>
    <w:rsid w:val="58B301CF"/>
    <w:rsid w:val="58BC1CFC"/>
    <w:rsid w:val="58BE231B"/>
    <w:rsid w:val="5914114A"/>
    <w:rsid w:val="59204978"/>
    <w:rsid w:val="59315D24"/>
    <w:rsid w:val="59490A96"/>
    <w:rsid w:val="595E6D16"/>
    <w:rsid w:val="59746C3B"/>
    <w:rsid w:val="597700F6"/>
    <w:rsid w:val="59854642"/>
    <w:rsid w:val="5986074F"/>
    <w:rsid w:val="598C2214"/>
    <w:rsid w:val="59991A38"/>
    <w:rsid w:val="59B258FB"/>
    <w:rsid w:val="59E52E59"/>
    <w:rsid w:val="5A096E88"/>
    <w:rsid w:val="5A5C0703"/>
    <w:rsid w:val="5A7E3E1C"/>
    <w:rsid w:val="5AA16A65"/>
    <w:rsid w:val="5AEA46A4"/>
    <w:rsid w:val="5B5E40BF"/>
    <w:rsid w:val="5B663F01"/>
    <w:rsid w:val="5B7B0F17"/>
    <w:rsid w:val="5B7E09F7"/>
    <w:rsid w:val="5BC22F58"/>
    <w:rsid w:val="5BE36025"/>
    <w:rsid w:val="5BE863B1"/>
    <w:rsid w:val="5BEA0070"/>
    <w:rsid w:val="5BF41771"/>
    <w:rsid w:val="5C4037A8"/>
    <w:rsid w:val="5C4F0505"/>
    <w:rsid w:val="5C752795"/>
    <w:rsid w:val="5C85145E"/>
    <w:rsid w:val="5CA52F6D"/>
    <w:rsid w:val="5CC01A01"/>
    <w:rsid w:val="5CF15213"/>
    <w:rsid w:val="5CF5451E"/>
    <w:rsid w:val="5D02514A"/>
    <w:rsid w:val="5D0350D1"/>
    <w:rsid w:val="5D0355F1"/>
    <w:rsid w:val="5D063C08"/>
    <w:rsid w:val="5D1E7E8A"/>
    <w:rsid w:val="5D2020B7"/>
    <w:rsid w:val="5D2723D7"/>
    <w:rsid w:val="5D27462B"/>
    <w:rsid w:val="5D3F55DD"/>
    <w:rsid w:val="5D7153C0"/>
    <w:rsid w:val="5DA04B59"/>
    <w:rsid w:val="5DC06818"/>
    <w:rsid w:val="5DE404C6"/>
    <w:rsid w:val="5DEA7FFD"/>
    <w:rsid w:val="5E083A82"/>
    <w:rsid w:val="5E274F65"/>
    <w:rsid w:val="5E3C7227"/>
    <w:rsid w:val="5E462F4B"/>
    <w:rsid w:val="5E577F0F"/>
    <w:rsid w:val="5E5B763C"/>
    <w:rsid w:val="5E6A2252"/>
    <w:rsid w:val="5E935173"/>
    <w:rsid w:val="5EBC1068"/>
    <w:rsid w:val="5EBD47BD"/>
    <w:rsid w:val="5EBF3335"/>
    <w:rsid w:val="5EEF24A2"/>
    <w:rsid w:val="5F49784F"/>
    <w:rsid w:val="5F532131"/>
    <w:rsid w:val="5F6F28A6"/>
    <w:rsid w:val="5F87271E"/>
    <w:rsid w:val="5F913F6E"/>
    <w:rsid w:val="5F942FD7"/>
    <w:rsid w:val="5F9A4A02"/>
    <w:rsid w:val="5F9C3D97"/>
    <w:rsid w:val="5FAD2448"/>
    <w:rsid w:val="5FBA6B96"/>
    <w:rsid w:val="5FC3495A"/>
    <w:rsid w:val="5FC67C2B"/>
    <w:rsid w:val="5FE9040C"/>
    <w:rsid w:val="5FF70675"/>
    <w:rsid w:val="60096689"/>
    <w:rsid w:val="60541255"/>
    <w:rsid w:val="60682B34"/>
    <w:rsid w:val="606B68EE"/>
    <w:rsid w:val="60A06E0B"/>
    <w:rsid w:val="60AD570E"/>
    <w:rsid w:val="60CD5DAB"/>
    <w:rsid w:val="60DF26E4"/>
    <w:rsid w:val="60FF383C"/>
    <w:rsid w:val="610E46E7"/>
    <w:rsid w:val="611030D8"/>
    <w:rsid w:val="61357CEE"/>
    <w:rsid w:val="61363A01"/>
    <w:rsid w:val="61530E20"/>
    <w:rsid w:val="61745FCD"/>
    <w:rsid w:val="617F2682"/>
    <w:rsid w:val="61872875"/>
    <w:rsid w:val="61A703FD"/>
    <w:rsid w:val="61D76192"/>
    <w:rsid w:val="61DB3917"/>
    <w:rsid w:val="61F37259"/>
    <w:rsid w:val="620943D1"/>
    <w:rsid w:val="621324B7"/>
    <w:rsid w:val="6213429C"/>
    <w:rsid w:val="622C7655"/>
    <w:rsid w:val="6259512A"/>
    <w:rsid w:val="628F35AD"/>
    <w:rsid w:val="62C15550"/>
    <w:rsid w:val="62CC6E1E"/>
    <w:rsid w:val="62CF761D"/>
    <w:rsid w:val="62D364CF"/>
    <w:rsid w:val="62F15296"/>
    <w:rsid w:val="62FD65FA"/>
    <w:rsid w:val="63081C0F"/>
    <w:rsid w:val="63094986"/>
    <w:rsid w:val="630D7120"/>
    <w:rsid w:val="63503A40"/>
    <w:rsid w:val="63645788"/>
    <w:rsid w:val="636F4C9B"/>
    <w:rsid w:val="63760873"/>
    <w:rsid w:val="63851F15"/>
    <w:rsid w:val="63B45DCA"/>
    <w:rsid w:val="63BC2275"/>
    <w:rsid w:val="63BE4036"/>
    <w:rsid w:val="63BF3AA8"/>
    <w:rsid w:val="63C22AEE"/>
    <w:rsid w:val="63C911FA"/>
    <w:rsid w:val="63D57B54"/>
    <w:rsid w:val="63E07D2C"/>
    <w:rsid w:val="63FD34DD"/>
    <w:rsid w:val="641E3481"/>
    <w:rsid w:val="64861CF5"/>
    <w:rsid w:val="64A03E0D"/>
    <w:rsid w:val="64B51197"/>
    <w:rsid w:val="653C73CA"/>
    <w:rsid w:val="657906B1"/>
    <w:rsid w:val="658440D5"/>
    <w:rsid w:val="65F83791"/>
    <w:rsid w:val="65FA0057"/>
    <w:rsid w:val="66122C2D"/>
    <w:rsid w:val="661C4DBF"/>
    <w:rsid w:val="66385BE6"/>
    <w:rsid w:val="663874C4"/>
    <w:rsid w:val="6643462E"/>
    <w:rsid w:val="667F2A00"/>
    <w:rsid w:val="667F398F"/>
    <w:rsid w:val="66BD4E2C"/>
    <w:rsid w:val="66E0327B"/>
    <w:rsid w:val="66E775AB"/>
    <w:rsid w:val="672A7376"/>
    <w:rsid w:val="6735475C"/>
    <w:rsid w:val="674771F5"/>
    <w:rsid w:val="67561494"/>
    <w:rsid w:val="67765000"/>
    <w:rsid w:val="67954DB7"/>
    <w:rsid w:val="67A60594"/>
    <w:rsid w:val="67D761B1"/>
    <w:rsid w:val="67D90CF2"/>
    <w:rsid w:val="67DC5B22"/>
    <w:rsid w:val="680F2EF3"/>
    <w:rsid w:val="6823748C"/>
    <w:rsid w:val="68386D92"/>
    <w:rsid w:val="68482C4A"/>
    <w:rsid w:val="68591D74"/>
    <w:rsid w:val="686A3311"/>
    <w:rsid w:val="68765AE2"/>
    <w:rsid w:val="68805BA0"/>
    <w:rsid w:val="68854857"/>
    <w:rsid w:val="68AC4E1F"/>
    <w:rsid w:val="68AE58EA"/>
    <w:rsid w:val="68B01E0B"/>
    <w:rsid w:val="69475680"/>
    <w:rsid w:val="694D644B"/>
    <w:rsid w:val="69684E8E"/>
    <w:rsid w:val="696E0693"/>
    <w:rsid w:val="69855B12"/>
    <w:rsid w:val="69884F80"/>
    <w:rsid w:val="698F7626"/>
    <w:rsid w:val="69AD1EA3"/>
    <w:rsid w:val="69B37CA5"/>
    <w:rsid w:val="69C00344"/>
    <w:rsid w:val="69EB2DEA"/>
    <w:rsid w:val="69ED6035"/>
    <w:rsid w:val="69F43DF4"/>
    <w:rsid w:val="69F85B32"/>
    <w:rsid w:val="6A43089B"/>
    <w:rsid w:val="6A5045EB"/>
    <w:rsid w:val="6A6C243A"/>
    <w:rsid w:val="6AAF1173"/>
    <w:rsid w:val="6AB33DFA"/>
    <w:rsid w:val="6AD71696"/>
    <w:rsid w:val="6AEE2F41"/>
    <w:rsid w:val="6B0F411B"/>
    <w:rsid w:val="6B145882"/>
    <w:rsid w:val="6B1A49A6"/>
    <w:rsid w:val="6B3414CB"/>
    <w:rsid w:val="6B430B25"/>
    <w:rsid w:val="6B464EA3"/>
    <w:rsid w:val="6B6241C5"/>
    <w:rsid w:val="6B783581"/>
    <w:rsid w:val="6B8335EE"/>
    <w:rsid w:val="6B8624F6"/>
    <w:rsid w:val="6BC437A6"/>
    <w:rsid w:val="6BC57849"/>
    <w:rsid w:val="6BCB3734"/>
    <w:rsid w:val="6BE00A47"/>
    <w:rsid w:val="6BE7075E"/>
    <w:rsid w:val="6C020694"/>
    <w:rsid w:val="6C161676"/>
    <w:rsid w:val="6C221DCA"/>
    <w:rsid w:val="6C3334C9"/>
    <w:rsid w:val="6C45131E"/>
    <w:rsid w:val="6C897BB9"/>
    <w:rsid w:val="6C984BB0"/>
    <w:rsid w:val="6CA352DA"/>
    <w:rsid w:val="6CA46F92"/>
    <w:rsid w:val="6CC236D8"/>
    <w:rsid w:val="6CD07851"/>
    <w:rsid w:val="6CF07D6A"/>
    <w:rsid w:val="6CFA68FB"/>
    <w:rsid w:val="6D082C0A"/>
    <w:rsid w:val="6D18539E"/>
    <w:rsid w:val="6D1B7A01"/>
    <w:rsid w:val="6D1E3873"/>
    <w:rsid w:val="6D39782E"/>
    <w:rsid w:val="6D4A0B78"/>
    <w:rsid w:val="6D4B1F6C"/>
    <w:rsid w:val="6D510837"/>
    <w:rsid w:val="6E0076FB"/>
    <w:rsid w:val="6E13291D"/>
    <w:rsid w:val="6E2602EE"/>
    <w:rsid w:val="6E53660F"/>
    <w:rsid w:val="6E6C5C16"/>
    <w:rsid w:val="6E833960"/>
    <w:rsid w:val="6E8F767E"/>
    <w:rsid w:val="6E933C96"/>
    <w:rsid w:val="6E9A39B4"/>
    <w:rsid w:val="6EA14F78"/>
    <w:rsid w:val="6EA54945"/>
    <w:rsid w:val="6EC40EC6"/>
    <w:rsid w:val="6ED96CD3"/>
    <w:rsid w:val="6F056B25"/>
    <w:rsid w:val="6F402D74"/>
    <w:rsid w:val="6F69473F"/>
    <w:rsid w:val="6FAA7A52"/>
    <w:rsid w:val="6FD2779E"/>
    <w:rsid w:val="70013BB3"/>
    <w:rsid w:val="700545AD"/>
    <w:rsid w:val="702975E6"/>
    <w:rsid w:val="704D4AC3"/>
    <w:rsid w:val="70513E1B"/>
    <w:rsid w:val="70847347"/>
    <w:rsid w:val="708C4F68"/>
    <w:rsid w:val="70D7560A"/>
    <w:rsid w:val="710579A2"/>
    <w:rsid w:val="711D3E08"/>
    <w:rsid w:val="71293B6E"/>
    <w:rsid w:val="71413680"/>
    <w:rsid w:val="715D58C7"/>
    <w:rsid w:val="71641205"/>
    <w:rsid w:val="71A22D27"/>
    <w:rsid w:val="71A81DE4"/>
    <w:rsid w:val="71B41860"/>
    <w:rsid w:val="71C06487"/>
    <w:rsid w:val="71EB2E5C"/>
    <w:rsid w:val="71EF480B"/>
    <w:rsid w:val="71F25E92"/>
    <w:rsid w:val="71F557B7"/>
    <w:rsid w:val="72083B8C"/>
    <w:rsid w:val="72147C3F"/>
    <w:rsid w:val="72232D9B"/>
    <w:rsid w:val="72274503"/>
    <w:rsid w:val="72387E7E"/>
    <w:rsid w:val="724B6C64"/>
    <w:rsid w:val="72500A11"/>
    <w:rsid w:val="72611263"/>
    <w:rsid w:val="72651E4D"/>
    <w:rsid w:val="728F4B9E"/>
    <w:rsid w:val="72A93549"/>
    <w:rsid w:val="72AB2230"/>
    <w:rsid w:val="72C4450C"/>
    <w:rsid w:val="72CE7645"/>
    <w:rsid w:val="7300400A"/>
    <w:rsid w:val="730E5B83"/>
    <w:rsid w:val="731D47D3"/>
    <w:rsid w:val="7352575D"/>
    <w:rsid w:val="73562BD8"/>
    <w:rsid w:val="73586F87"/>
    <w:rsid w:val="736F2615"/>
    <w:rsid w:val="737732D6"/>
    <w:rsid w:val="738F43B4"/>
    <w:rsid w:val="73985433"/>
    <w:rsid w:val="73A45FA9"/>
    <w:rsid w:val="73C142FC"/>
    <w:rsid w:val="73C762C0"/>
    <w:rsid w:val="73CE3A10"/>
    <w:rsid w:val="73D857ED"/>
    <w:rsid w:val="73F12514"/>
    <w:rsid w:val="73F72F8D"/>
    <w:rsid w:val="744E2463"/>
    <w:rsid w:val="745D4B6A"/>
    <w:rsid w:val="74760AC9"/>
    <w:rsid w:val="748E4FF9"/>
    <w:rsid w:val="7493711F"/>
    <w:rsid w:val="74982E62"/>
    <w:rsid w:val="749A4D22"/>
    <w:rsid w:val="74E55AC3"/>
    <w:rsid w:val="74E93AA6"/>
    <w:rsid w:val="74FA7C24"/>
    <w:rsid w:val="750D363C"/>
    <w:rsid w:val="75566967"/>
    <w:rsid w:val="75686A6E"/>
    <w:rsid w:val="75905CFD"/>
    <w:rsid w:val="75C52BFF"/>
    <w:rsid w:val="75D560FF"/>
    <w:rsid w:val="75DC2529"/>
    <w:rsid w:val="75DD4EA0"/>
    <w:rsid w:val="75F826C3"/>
    <w:rsid w:val="76072AB9"/>
    <w:rsid w:val="760852B0"/>
    <w:rsid w:val="761359CF"/>
    <w:rsid w:val="762365B4"/>
    <w:rsid w:val="76266FDA"/>
    <w:rsid w:val="76427FEF"/>
    <w:rsid w:val="764405EC"/>
    <w:rsid w:val="765D56FB"/>
    <w:rsid w:val="766133C7"/>
    <w:rsid w:val="768761E1"/>
    <w:rsid w:val="76996E57"/>
    <w:rsid w:val="76BF7D0B"/>
    <w:rsid w:val="76E55245"/>
    <w:rsid w:val="76FA49E0"/>
    <w:rsid w:val="77065609"/>
    <w:rsid w:val="770C5CCF"/>
    <w:rsid w:val="7721438E"/>
    <w:rsid w:val="77364340"/>
    <w:rsid w:val="773F3E4F"/>
    <w:rsid w:val="777F4165"/>
    <w:rsid w:val="77A474F2"/>
    <w:rsid w:val="77AF26E8"/>
    <w:rsid w:val="77C64B61"/>
    <w:rsid w:val="77C729E8"/>
    <w:rsid w:val="77D24ECD"/>
    <w:rsid w:val="77E4364E"/>
    <w:rsid w:val="77F83931"/>
    <w:rsid w:val="782A4632"/>
    <w:rsid w:val="782E4111"/>
    <w:rsid w:val="782F5DF4"/>
    <w:rsid w:val="783723DB"/>
    <w:rsid w:val="78701244"/>
    <w:rsid w:val="787646F3"/>
    <w:rsid w:val="787A0236"/>
    <w:rsid w:val="787C4A44"/>
    <w:rsid w:val="788E2B75"/>
    <w:rsid w:val="78AD6011"/>
    <w:rsid w:val="79087078"/>
    <w:rsid w:val="790C5A5D"/>
    <w:rsid w:val="79131676"/>
    <w:rsid w:val="79413676"/>
    <w:rsid w:val="79465488"/>
    <w:rsid w:val="794B4F53"/>
    <w:rsid w:val="795129AE"/>
    <w:rsid w:val="796712ED"/>
    <w:rsid w:val="798C1B40"/>
    <w:rsid w:val="799F0EF8"/>
    <w:rsid w:val="79A872C0"/>
    <w:rsid w:val="79AE2E69"/>
    <w:rsid w:val="79AF53D3"/>
    <w:rsid w:val="79B779F5"/>
    <w:rsid w:val="79BB6ADC"/>
    <w:rsid w:val="79DB6FC9"/>
    <w:rsid w:val="79F3353C"/>
    <w:rsid w:val="7A1A390D"/>
    <w:rsid w:val="7A1D7309"/>
    <w:rsid w:val="7A43172B"/>
    <w:rsid w:val="7A4F36B7"/>
    <w:rsid w:val="7A9631B0"/>
    <w:rsid w:val="7AB21EED"/>
    <w:rsid w:val="7AC157B9"/>
    <w:rsid w:val="7ACF639B"/>
    <w:rsid w:val="7AE07D01"/>
    <w:rsid w:val="7B0C72BF"/>
    <w:rsid w:val="7B2437FD"/>
    <w:rsid w:val="7B2C2DEA"/>
    <w:rsid w:val="7B2C6BDC"/>
    <w:rsid w:val="7B3A61E6"/>
    <w:rsid w:val="7B3E08D6"/>
    <w:rsid w:val="7B446EFB"/>
    <w:rsid w:val="7B506700"/>
    <w:rsid w:val="7B6126A0"/>
    <w:rsid w:val="7B6B6770"/>
    <w:rsid w:val="7B724DB3"/>
    <w:rsid w:val="7BF74B2A"/>
    <w:rsid w:val="7C052525"/>
    <w:rsid w:val="7C062220"/>
    <w:rsid w:val="7C402CEC"/>
    <w:rsid w:val="7C446F9F"/>
    <w:rsid w:val="7C4D20BA"/>
    <w:rsid w:val="7C6E33C3"/>
    <w:rsid w:val="7CA031CB"/>
    <w:rsid w:val="7CB76279"/>
    <w:rsid w:val="7CC213C3"/>
    <w:rsid w:val="7CCF61F2"/>
    <w:rsid w:val="7CD91B35"/>
    <w:rsid w:val="7CF15E9A"/>
    <w:rsid w:val="7CFC0F8A"/>
    <w:rsid w:val="7D0B0A64"/>
    <w:rsid w:val="7D563F7B"/>
    <w:rsid w:val="7D6364D7"/>
    <w:rsid w:val="7D8074BA"/>
    <w:rsid w:val="7D9F5410"/>
    <w:rsid w:val="7DC43DE4"/>
    <w:rsid w:val="7DE5029C"/>
    <w:rsid w:val="7E1B2C2D"/>
    <w:rsid w:val="7E2C4609"/>
    <w:rsid w:val="7E392EA7"/>
    <w:rsid w:val="7E5E5BA1"/>
    <w:rsid w:val="7E7D5307"/>
    <w:rsid w:val="7E952D1F"/>
    <w:rsid w:val="7E9806BB"/>
    <w:rsid w:val="7E9976B9"/>
    <w:rsid w:val="7EB36422"/>
    <w:rsid w:val="7EE44E6F"/>
    <w:rsid w:val="7EE569BD"/>
    <w:rsid w:val="7EE72FC4"/>
    <w:rsid w:val="7EF70654"/>
    <w:rsid w:val="7F1176A7"/>
    <w:rsid w:val="7F127BA4"/>
    <w:rsid w:val="7F150E0C"/>
    <w:rsid w:val="7F2A431F"/>
    <w:rsid w:val="7F737DAC"/>
    <w:rsid w:val="7F7B0F29"/>
    <w:rsid w:val="7F8B770B"/>
    <w:rsid w:val="7F8F6DDC"/>
    <w:rsid w:val="7FAE6966"/>
    <w:rsid w:val="7FD83DDF"/>
    <w:rsid w:val="7FEA7ACF"/>
    <w:rsid w:val="7FEE1660"/>
    <w:rsid w:val="7FF16475"/>
    <w:rsid w:val="7FF263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5"/>
    <w:qFormat/>
    <w:uiPriority w:val="0"/>
    <w:pPr>
      <w:keepNext/>
      <w:keepLines/>
      <w:widowControl w:val="0"/>
      <w:spacing w:before="340" w:beforeLines="0" w:beforeAutospacing="0" w:after="330" w:afterLines="0" w:afterAutospacing="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widowControl w:val="0"/>
      <w:spacing w:before="260" w:beforeLines="0" w:beforeAutospacing="0" w:after="260" w:afterLines="0" w:afterAutospacing="0" w:line="412" w:lineRule="auto"/>
      <w:outlineLvl w:val="1"/>
    </w:pPr>
    <w:rPr>
      <w:rFonts w:ascii="Arial" w:hAnsi="Arial" w:eastAsia="黑体"/>
      <w:b/>
      <w:sz w:val="32"/>
      <w:szCs w:val="20"/>
    </w:rPr>
  </w:style>
  <w:style w:type="paragraph" w:styleId="5">
    <w:name w:val="heading 3"/>
    <w:basedOn w:val="1"/>
    <w:next w:val="1"/>
    <w:qFormat/>
    <w:uiPriority w:val="0"/>
    <w:pPr>
      <w:keepNext/>
      <w:keepLines/>
      <w:widowControl w:val="0"/>
      <w:spacing w:before="260" w:beforeLines="0" w:beforeAutospacing="0" w:after="260" w:afterLines="0" w:afterAutospacing="0" w:line="412" w:lineRule="auto"/>
      <w:ind w:firstLine="49" w:firstLineChars="49"/>
      <w:outlineLvl w:val="2"/>
    </w:pPr>
    <w:rPr>
      <w:rFonts w:ascii="黑体" w:eastAsia="黑体"/>
      <w:sz w:val="28"/>
      <w:szCs w:val="20"/>
    </w:rPr>
  </w:style>
  <w:style w:type="paragraph" w:styleId="6">
    <w:name w:val="heading 7"/>
    <w:basedOn w:val="1"/>
    <w:next w:val="1"/>
    <w:link w:val="54"/>
    <w:qFormat/>
    <w:uiPriority w:val="0"/>
    <w:pPr>
      <w:keepNext/>
      <w:keepLines/>
      <w:spacing w:before="240" w:after="64" w:line="320" w:lineRule="auto"/>
      <w:outlineLvl w:val="6"/>
    </w:pPr>
    <w:rPr>
      <w:b/>
      <w:bCs/>
      <w:sz w:val="24"/>
      <w:szCs w:val="24"/>
    </w:rPr>
  </w:style>
  <w:style w:type="paragraph" w:styleId="7">
    <w:name w:val="heading 8"/>
    <w:basedOn w:val="1"/>
    <w:next w:val="1"/>
    <w:link w:val="49"/>
    <w:qFormat/>
    <w:uiPriority w:val="0"/>
    <w:pPr>
      <w:keepNext/>
      <w:keepLines/>
      <w:spacing w:before="240" w:after="64" w:line="320" w:lineRule="auto"/>
      <w:outlineLvl w:val="7"/>
    </w:pPr>
    <w:rPr>
      <w:rFonts w:ascii="Calibri Light" w:hAnsi="Calibri Light"/>
      <w:sz w:val="24"/>
      <w:szCs w:val="24"/>
    </w:rPr>
  </w:style>
  <w:style w:type="character" w:default="1" w:styleId="31">
    <w:name w:val="Default Paragraph Font"/>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w:basedOn w:val="1"/>
    <w:link w:val="56"/>
    <w:qFormat/>
    <w:uiPriority w:val="0"/>
    <w:pPr>
      <w:spacing w:after="120"/>
    </w:pPr>
  </w:style>
  <w:style w:type="paragraph" w:styleId="8">
    <w:name w:val="toc 7"/>
    <w:basedOn w:val="1"/>
    <w:next w:val="1"/>
    <w:qFormat/>
    <w:uiPriority w:val="39"/>
    <w:pPr>
      <w:ind w:left="1200" w:leftChars="1200"/>
    </w:pPr>
  </w:style>
  <w:style w:type="paragraph" w:styleId="9">
    <w:name w:val="Normal Indent"/>
    <w:basedOn w:val="1"/>
    <w:qFormat/>
    <w:uiPriority w:val="0"/>
    <w:pPr>
      <w:ind w:firstLine="420"/>
    </w:pPr>
  </w:style>
  <w:style w:type="paragraph" w:styleId="10">
    <w:name w:val="Document Map"/>
    <w:basedOn w:val="1"/>
    <w:qFormat/>
    <w:uiPriority w:val="0"/>
    <w:rPr>
      <w:rFonts w:ascii="宋体" w:cs="宋体"/>
      <w:sz w:val="18"/>
      <w:szCs w:val="18"/>
      <w:lang w:bidi="ar-SA"/>
    </w:rPr>
  </w:style>
  <w:style w:type="paragraph" w:styleId="11">
    <w:name w:val="annotation text"/>
    <w:basedOn w:val="1"/>
    <w:link w:val="57"/>
    <w:qFormat/>
    <w:uiPriority w:val="99"/>
    <w:pPr>
      <w:jc w:val="left"/>
    </w:pPr>
    <w:rPr>
      <w:rFonts w:ascii="Times New Roman" w:hAnsi="Times New Roman"/>
      <w:szCs w:val="20"/>
    </w:rPr>
  </w:style>
  <w:style w:type="paragraph" w:styleId="12">
    <w:name w:val="Body Text 3"/>
    <w:basedOn w:val="1"/>
    <w:qFormat/>
    <w:uiPriority w:val="0"/>
    <w:rPr>
      <w:rFonts w:ascii="宋体"/>
      <w:sz w:val="24"/>
      <w:szCs w:val="20"/>
    </w:rPr>
  </w:style>
  <w:style w:type="paragraph" w:styleId="13">
    <w:name w:val="toc 5"/>
    <w:basedOn w:val="1"/>
    <w:next w:val="1"/>
    <w:qFormat/>
    <w:uiPriority w:val="39"/>
    <w:pPr>
      <w:ind w:left="800" w:leftChars="800"/>
    </w:pPr>
  </w:style>
  <w:style w:type="paragraph" w:styleId="14">
    <w:name w:val="toc 3"/>
    <w:basedOn w:val="1"/>
    <w:next w:val="1"/>
    <w:qFormat/>
    <w:uiPriority w:val="39"/>
    <w:pPr>
      <w:ind w:left="400" w:leftChars="400"/>
    </w:pPr>
  </w:style>
  <w:style w:type="paragraph" w:styleId="15">
    <w:name w:val="Plain Text"/>
    <w:basedOn w:val="1"/>
    <w:link w:val="47"/>
    <w:qFormat/>
    <w:uiPriority w:val="0"/>
    <w:rPr>
      <w:rFonts w:ascii="宋体"/>
    </w:rPr>
  </w:style>
  <w:style w:type="paragraph" w:styleId="16">
    <w:name w:val="toc 8"/>
    <w:basedOn w:val="1"/>
    <w:next w:val="1"/>
    <w:qFormat/>
    <w:uiPriority w:val="39"/>
    <w:pPr>
      <w:ind w:left="1400" w:leftChars="1400"/>
    </w:pPr>
  </w:style>
  <w:style w:type="paragraph" w:styleId="17">
    <w:name w:val="Date"/>
    <w:basedOn w:val="1"/>
    <w:next w:val="1"/>
    <w:qFormat/>
    <w:uiPriority w:val="0"/>
    <w:pPr>
      <w:ind w:left="2500" w:leftChars="2500"/>
    </w:pPr>
    <w:rPr>
      <w:rFonts w:ascii="Times New Roman" w:hAnsi="Times New Roman"/>
      <w:szCs w:val="20"/>
    </w:rPr>
  </w:style>
  <w:style w:type="paragraph" w:styleId="18">
    <w:name w:val="Balloon Text"/>
    <w:basedOn w:val="1"/>
    <w:qFormat/>
    <w:uiPriority w:val="0"/>
    <w:rPr>
      <w:rFonts w:ascii="Times New Roman" w:hAnsi="Times New Roman"/>
      <w:sz w:val="18"/>
      <w:szCs w:val="20"/>
    </w:rPr>
  </w:style>
  <w:style w:type="paragraph" w:styleId="19">
    <w:name w:val="footer"/>
    <w:basedOn w:val="1"/>
    <w:link w:val="48"/>
    <w:qFormat/>
    <w:uiPriority w:val="99"/>
    <w:pPr>
      <w:tabs>
        <w:tab w:val="center" w:pos="4153"/>
        <w:tab w:val="right" w:pos="8306"/>
      </w:tabs>
      <w:snapToGrid w:val="0"/>
      <w:jc w:val="left"/>
    </w:pPr>
    <w:rPr>
      <w:sz w:val="18"/>
    </w:rPr>
  </w:style>
  <w:style w:type="paragraph" w:styleId="2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rFonts w:ascii="Times New Roman" w:hAnsi="Times New Roman"/>
      <w:sz w:val="18"/>
      <w:szCs w:val="20"/>
    </w:rPr>
  </w:style>
  <w:style w:type="paragraph" w:styleId="21">
    <w:name w:val="toc 1"/>
    <w:basedOn w:val="1"/>
    <w:next w:val="1"/>
    <w:qFormat/>
    <w:uiPriority w:val="39"/>
  </w:style>
  <w:style w:type="paragraph" w:styleId="22">
    <w:name w:val="toc 4"/>
    <w:basedOn w:val="1"/>
    <w:next w:val="1"/>
    <w:qFormat/>
    <w:uiPriority w:val="39"/>
    <w:pPr>
      <w:ind w:left="600" w:leftChars="600"/>
    </w:pPr>
  </w:style>
  <w:style w:type="paragraph" w:styleId="23">
    <w:name w:val="toc 6"/>
    <w:basedOn w:val="1"/>
    <w:next w:val="1"/>
    <w:qFormat/>
    <w:uiPriority w:val="39"/>
    <w:pPr>
      <w:ind w:left="1000" w:leftChars="1000"/>
    </w:pPr>
  </w:style>
  <w:style w:type="paragraph" w:styleId="24">
    <w:name w:val="Body Text Indent 3"/>
    <w:basedOn w:val="1"/>
    <w:qFormat/>
    <w:uiPriority w:val="0"/>
    <w:pPr>
      <w:spacing w:after="120" w:afterLines="0"/>
      <w:ind w:left="200" w:leftChars="200"/>
    </w:pPr>
    <w:rPr>
      <w:sz w:val="16"/>
      <w:szCs w:val="16"/>
    </w:rPr>
  </w:style>
  <w:style w:type="paragraph" w:styleId="25">
    <w:name w:val="toc 2"/>
    <w:basedOn w:val="1"/>
    <w:next w:val="1"/>
    <w:qFormat/>
    <w:uiPriority w:val="39"/>
    <w:pPr>
      <w:ind w:left="200" w:leftChars="200"/>
    </w:pPr>
  </w:style>
  <w:style w:type="paragraph" w:styleId="26">
    <w:name w:val="toc 9"/>
    <w:basedOn w:val="1"/>
    <w:next w:val="1"/>
    <w:qFormat/>
    <w:uiPriority w:val="39"/>
    <w:pPr>
      <w:ind w:left="1600" w:leftChars="1600"/>
    </w:pPr>
  </w:style>
  <w:style w:type="paragraph" w:styleId="27">
    <w:name w:val="Normal (Web)"/>
    <w:basedOn w:val="1"/>
    <w:qFormat/>
    <w:uiPriority w:val="0"/>
    <w:pPr>
      <w:widowControl/>
      <w:spacing w:before="100" w:beforeLines="0" w:beforeAutospacing="1" w:after="100" w:afterLines="0" w:afterAutospacing="1"/>
      <w:jc w:val="left"/>
    </w:pPr>
    <w:rPr>
      <w:rFonts w:ascii="Calibri Light" w:hAnsi="Calibri Light" w:cs="Calibri Light"/>
      <w:kern w:val="0"/>
      <w:sz w:val="24"/>
    </w:rPr>
  </w:style>
  <w:style w:type="paragraph" w:styleId="28">
    <w:name w:val="annotation subject"/>
    <w:basedOn w:val="11"/>
    <w:next w:val="11"/>
    <w:qFormat/>
    <w:uiPriority w:val="0"/>
    <w:rPr>
      <w:lang w:val="en-US" w:eastAsia="zh-CN"/>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bCs/>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annotation reference"/>
    <w:qFormat/>
    <w:uiPriority w:val="99"/>
    <w:rPr>
      <w:sz w:val="21"/>
    </w:rPr>
  </w:style>
  <w:style w:type="paragraph" w:customStyle="1" w:styleId="36">
    <w:name w:val="样式1"/>
    <w:basedOn w:val="1"/>
    <w:link w:val="59"/>
    <w:qFormat/>
    <w:uiPriority w:val="0"/>
    <w:pPr>
      <w:tabs>
        <w:tab w:val="left" w:pos="1560"/>
      </w:tabs>
      <w:adjustRightInd w:val="0"/>
      <w:spacing w:line="440" w:lineRule="exact"/>
      <w:jc w:val="left"/>
      <w:textAlignment w:val="baseline"/>
    </w:pPr>
    <w:rPr>
      <w:rFonts w:ascii="Times New Roman" w:hAnsi="Times New Roman" w:eastAsia="仿宋体"/>
      <w:spacing w:val="-16"/>
      <w:kern w:val="0"/>
      <w:sz w:val="28"/>
      <w:szCs w:val="20"/>
    </w:rPr>
  </w:style>
  <w:style w:type="paragraph" w:customStyle="1" w:styleId="37">
    <w:name w:val="p0"/>
    <w:basedOn w:val="1"/>
    <w:qFormat/>
    <w:uiPriority w:val="0"/>
    <w:pPr>
      <w:widowControl/>
    </w:pPr>
    <w:rPr>
      <w:rFonts w:hint="eastAsia" w:ascii="Times New Roman" w:hAnsi="Times New Roman"/>
      <w:szCs w:val="24"/>
    </w:rPr>
  </w:style>
  <w:style w:type="paragraph" w:customStyle="1" w:styleId="38">
    <w:name w:val="标题 21"/>
    <w:basedOn w:val="1"/>
    <w:next w:val="1"/>
    <w:qFormat/>
    <w:uiPriority w:val="0"/>
    <w:pPr>
      <w:keepNext/>
      <w:keepLines/>
      <w:outlineLvl w:val="1"/>
    </w:pPr>
    <w:rPr>
      <w:rFonts w:hint="eastAsia" w:ascii="Times New Roman" w:hAnsi="Times New Roman"/>
      <w:szCs w:val="20"/>
    </w:rPr>
  </w:style>
  <w:style w:type="paragraph" w:customStyle="1" w:styleId="39">
    <w:name w:val="Table Paragraph"/>
    <w:basedOn w:val="1"/>
    <w:qFormat/>
    <w:uiPriority w:val="1"/>
    <w:pPr>
      <w:jc w:val="left"/>
    </w:pPr>
    <w:rPr>
      <w:rFonts w:eastAsia="Calibri"/>
      <w:kern w:val="0"/>
      <w:sz w:val="22"/>
      <w:lang w:eastAsia="en-US"/>
    </w:rPr>
  </w:style>
  <w:style w:type="paragraph" w:customStyle="1" w:styleId="40">
    <w:name w:val="_Style 23"/>
    <w:basedOn w:val="1"/>
    <w:qFormat/>
    <w:uiPriority w:val="0"/>
    <w:pPr>
      <w:widowControl/>
      <w:spacing w:after="160" w:afterLines="0" w:afterAutospacing="0" w:line="240" w:lineRule="exact"/>
      <w:jc w:val="left"/>
    </w:pPr>
  </w:style>
  <w:style w:type="paragraph" w:customStyle="1" w:styleId="41">
    <w:name w:val="_Style 39"/>
    <w:basedOn w:val="3"/>
    <w:next w:val="1"/>
    <w:qFormat/>
    <w:uiPriority w:val="39"/>
    <w:pPr>
      <w:keepNext/>
      <w:keepLines/>
      <w:widowControl/>
      <w:spacing w:before="480" w:beforeLines="0" w:beforeAutospacing="0" w:after="0" w:afterLines="0" w:afterAutospacing="0" w:line="276" w:lineRule="auto"/>
      <w:jc w:val="left"/>
      <w:outlineLvl w:val="9"/>
    </w:pPr>
    <w:rPr>
      <w:rFonts w:ascii="Cambria" w:hAnsi="Cambria" w:eastAsia="宋体"/>
      <w:color w:val="365F91"/>
      <w:kern w:val="0"/>
      <w:sz w:val="28"/>
    </w:rPr>
  </w:style>
  <w:style w:type="paragraph" w:customStyle="1" w:styleId="42">
    <w:name w:val="_Style 40"/>
    <w:qFormat/>
    <w:uiPriority w:val="0"/>
    <w:rPr>
      <w:rFonts w:ascii="Times New Roman" w:hAnsi="Times New Roman" w:eastAsia="宋体" w:cs="Times New Roman"/>
      <w:kern w:val="2"/>
      <w:sz w:val="21"/>
      <w:lang w:val="en-US" w:eastAsia="zh-CN" w:bidi="ar-SA"/>
    </w:rPr>
  </w:style>
  <w:style w:type="paragraph" w:customStyle="1" w:styleId="43">
    <w:name w:val=" Char"/>
    <w:basedOn w:val="1"/>
    <w:qFormat/>
    <w:uiPriority w:val="0"/>
    <w:rPr>
      <w:rFonts w:ascii="Tahoma" w:hAnsi="Tahoma"/>
      <w:sz w:val="24"/>
      <w:szCs w:val="20"/>
    </w:rPr>
  </w:style>
  <w:style w:type="paragraph" w:customStyle="1" w:styleId="44">
    <w:name w:val="日期1"/>
    <w:basedOn w:val="1"/>
    <w:next w:val="1"/>
    <w:qFormat/>
    <w:uiPriority w:val="0"/>
    <w:pPr>
      <w:adjustRightInd w:val="0"/>
      <w:textAlignment w:val="baseline"/>
    </w:pPr>
    <w:rPr>
      <w:rFonts w:ascii="Times New Roman" w:hAnsi="Times New Roman" w:eastAsia="仿宋_GB2312"/>
      <w:sz w:val="28"/>
      <w:szCs w:val="20"/>
    </w:rPr>
  </w:style>
  <w:style w:type="paragraph" w:customStyle="1" w:styleId="45">
    <w:name w:val="1"/>
    <w:basedOn w:val="1"/>
    <w:next w:val="15"/>
    <w:qFormat/>
    <w:uiPriority w:val="0"/>
    <w:rPr>
      <w:rFonts w:ascii="宋体" w:hAnsi="Courier New"/>
      <w:szCs w:val="20"/>
    </w:rPr>
  </w:style>
  <w:style w:type="character" w:customStyle="1" w:styleId="46">
    <w:name w:val="未处理的提及"/>
    <w:unhideWhenUsed/>
    <w:qFormat/>
    <w:uiPriority w:val="99"/>
    <w:rPr>
      <w:color w:val="808080"/>
      <w:shd w:val="clear" w:color="auto" w:fill="E6E6E6"/>
    </w:rPr>
  </w:style>
  <w:style w:type="character" w:customStyle="1" w:styleId="47">
    <w:name w:val="纯文本 Char"/>
    <w:link w:val="15"/>
    <w:qFormat/>
    <w:uiPriority w:val="0"/>
    <w:rPr>
      <w:rFonts w:ascii="宋体" w:hAnsi="Calibri" w:eastAsia="宋体"/>
      <w:kern w:val="2"/>
      <w:sz w:val="21"/>
      <w:szCs w:val="22"/>
    </w:rPr>
  </w:style>
  <w:style w:type="character" w:customStyle="1" w:styleId="48">
    <w:name w:val="页脚 Char"/>
    <w:link w:val="19"/>
    <w:qFormat/>
    <w:uiPriority w:val="99"/>
    <w:rPr>
      <w:rFonts w:ascii="Calibri" w:hAnsi="Calibri" w:eastAsia="宋体"/>
      <w:kern w:val="2"/>
      <w:sz w:val="18"/>
      <w:szCs w:val="22"/>
    </w:rPr>
  </w:style>
  <w:style w:type="character" w:customStyle="1" w:styleId="49">
    <w:name w:val="标题 8 Char"/>
    <w:link w:val="7"/>
    <w:semiHidden/>
    <w:qFormat/>
    <w:uiPriority w:val="0"/>
    <w:rPr>
      <w:rFonts w:ascii="Calibri Light" w:hAnsi="Calibri Light" w:eastAsia="宋体" w:cs="Times New Roman"/>
      <w:kern w:val="2"/>
      <w:sz w:val="24"/>
      <w:szCs w:val="24"/>
    </w:rPr>
  </w:style>
  <w:style w:type="character" w:customStyle="1" w:styleId="50">
    <w:name w:val="Comment Text Char"/>
    <w:qFormat/>
    <w:uiPriority w:val="0"/>
  </w:style>
  <w:style w:type="character" w:customStyle="1" w:styleId="51">
    <w:name w:val="font41"/>
    <w:qFormat/>
    <w:uiPriority w:val="0"/>
    <w:rPr>
      <w:rFonts w:hint="eastAsia" w:ascii="宋体" w:hAnsi="宋体" w:eastAsia="宋体" w:cs="宋体"/>
      <w:color w:val="000000"/>
      <w:sz w:val="24"/>
      <w:szCs w:val="24"/>
      <w:u w:val="none"/>
    </w:rPr>
  </w:style>
  <w:style w:type="character" w:customStyle="1" w:styleId="52">
    <w:name w:val="批注文字 Char1"/>
    <w:qFormat/>
    <w:uiPriority w:val="0"/>
    <w:rPr>
      <w:rFonts w:ascii="Times New Roman" w:hAnsi="Times New Roman" w:eastAsia="宋体" w:cs="Times New Roman"/>
      <w:sz w:val="20"/>
      <w:szCs w:val="20"/>
      <w:lang w:bidi="ar-SA"/>
    </w:rPr>
  </w:style>
  <w:style w:type="character" w:customStyle="1" w:styleId="53">
    <w:name w:val="样式 新宋体 小四"/>
    <w:qFormat/>
    <w:uiPriority w:val="0"/>
    <w:rPr>
      <w:rFonts w:ascii="新宋体" w:hAnsi="新宋体" w:eastAsia="宋体"/>
      <w:sz w:val="21"/>
    </w:rPr>
  </w:style>
  <w:style w:type="character" w:customStyle="1" w:styleId="54">
    <w:name w:val="标题 7 Char"/>
    <w:link w:val="6"/>
    <w:semiHidden/>
    <w:qFormat/>
    <w:uiPriority w:val="0"/>
    <w:rPr>
      <w:rFonts w:ascii="Calibri" w:hAnsi="Calibri" w:eastAsia="宋体"/>
      <w:b/>
      <w:bCs/>
      <w:kern w:val="2"/>
      <w:sz w:val="24"/>
      <w:szCs w:val="24"/>
    </w:rPr>
  </w:style>
  <w:style w:type="character" w:customStyle="1" w:styleId="55">
    <w:name w:val="标题 1 Char"/>
    <w:link w:val="3"/>
    <w:qFormat/>
    <w:uiPriority w:val="0"/>
    <w:rPr>
      <w:rFonts w:eastAsia="宋体"/>
      <w:b/>
      <w:kern w:val="44"/>
      <w:sz w:val="44"/>
    </w:rPr>
  </w:style>
  <w:style w:type="character" w:customStyle="1" w:styleId="56">
    <w:name w:val="正文文本 Char"/>
    <w:link w:val="2"/>
    <w:qFormat/>
    <w:uiPriority w:val="0"/>
    <w:rPr>
      <w:rFonts w:ascii="Calibri" w:hAnsi="Calibri" w:eastAsia="宋体"/>
      <w:kern w:val="2"/>
      <w:sz w:val="21"/>
      <w:szCs w:val="22"/>
    </w:rPr>
  </w:style>
  <w:style w:type="character" w:customStyle="1" w:styleId="57">
    <w:name w:val="批注文字 Char"/>
    <w:link w:val="11"/>
    <w:qFormat/>
    <w:uiPriority w:val="99"/>
    <w:rPr>
      <w:rFonts w:eastAsia="宋体"/>
      <w:kern w:val="2"/>
      <w:sz w:val="21"/>
    </w:rPr>
  </w:style>
  <w:style w:type="character" w:customStyle="1" w:styleId="58">
    <w:name w:val="style_kwd"/>
    <w:basedOn w:val="31"/>
    <w:qFormat/>
    <w:uiPriority w:val="0"/>
  </w:style>
  <w:style w:type="character" w:customStyle="1" w:styleId="59">
    <w:name w:val="样式1 Char"/>
    <w:link w:val="36"/>
    <w:qFormat/>
    <w:uiPriority w:val="0"/>
    <w:rPr>
      <w:rFonts w:eastAsia="仿宋体"/>
      <w:spacing w:val="-16"/>
      <w:kern w:val="0"/>
      <w:sz w:val="28"/>
      <w:szCs w:val="20"/>
    </w:rPr>
  </w:style>
  <w:style w:type="paragraph" w:customStyle="1" w:styleId="60">
    <w:name w:val="正文文本缩进1"/>
    <w:basedOn w:val="1"/>
    <w:qFormat/>
    <w:uiPriority w:val="0"/>
    <w:pPr>
      <w:ind w:firstLine="420" w:firstLineChars="200"/>
    </w:pPr>
  </w:style>
  <w:style w:type="paragraph" w:customStyle="1" w:styleId="6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76</Pages>
  <Words>6362</Words>
  <Characters>36266</Characters>
  <Lines>302</Lines>
  <Paragraphs>85</Paragraphs>
  <TotalTime>2</TotalTime>
  <ScaleCrop>false</ScaleCrop>
  <LinksUpToDate>false</LinksUpToDate>
  <CharactersWithSpaces>42543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2016-08-14T07:34:00Z</dcterms:created>
  <dc:creator>蔡南琪</dc:creator>
  <cp:lastModifiedBy>zzh</cp:lastModifiedBy>
  <cp:lastPrinted>2017-10-15T05:12:00Z</cp:lastPrinted>
  <dcterms:modified xsi:type="dcterms:W3CDTF">2021-06-17T10:25:19Z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AA34171774D4445EA30E218A65D7C032</vt:lpwstr>
  </property>
</Properties>
</file>