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szCs w:val="32"/>
        </w:rPr>
      </w:pPr>
      <w:bookmarkStart w:id="5" w:name="_GoBack"/>
      <w:bookmarkEnd w:id="5"/>
      <w:bookmarkStart w:id="0" w:name="_Toc5453"/>
      <w:r>
        <w:rPr>
          <w:rFonts w:hint="eastAsia"/>
          <w:szCs w:val="32"/>
        </w:rPr>
        <w:t xml:space="preserve">  招标公告</w:t>
      </w:r>
      <w:bookmarkEnd w:id="0"/>
    </w:p>
    <w:p>
      <w:pPr>
        <w:spacing w:line="360" w:lineRule="auto"/>
        <w:ind w:firstLine="480" w:firstLineChars="200"/>
        <w:rPr>
          <w:rFonts w:hint="eastAsia" w:ascii="宋体" w:hAnsi="宋体"/>
          <w:b/>
          <w:color w:val="000000"/>
          <w:sz w:val="28"/>
          <w:szCs w:val="28"/>
        </w:rPr>
      </w:pPr>
      <w:r>
        <w:rPr>
          <w:rFonts w:hint="eastAsia" w:ascii="宋体" w:hAnsi="宋体"/>
          <w:kern w:val="0"/>
          <w:sz w:val="24"/>
        </w:rPr>
        <w:t>根据《中华人民共和国政府采购法》、《中华人民共和国政府采购法实施条例》等有关规定，</w:t>
      </w:r>
      <w:r>
        <w:rPr>
          <w:rFonts w:hint="eastAsia" w:ascii="宋体" w:hAnsi="宋体"/>
          <w:color w:val="000000"/>
          <w:kern w:val="0"/>
          <w:sz w:val="24"/>
        </w:rPr>
        <w:t>经</w:t>
      </w:r>
      <w:r>
        <w:rPr>
          <w:rFonts w:hint="eastAsia" w:ascii="宋体" w:hAnsi="宋体"/>
          <w:color w:val="000000"/>
          <w:sz w:val="24"/>
        </w:rPr>
        <w:t>有关单位</w:t>
      </w:r>
      <w:r>
        <w:rPr>
          <w:rFonts w:hint="eastAsia" w:ascii="宋体" w:hAnsi="宋体"/>
          <w:color w:val="000000"/>
          <w:kern w:val="0"/>
          <w:sz w:val="24"/>
        </w:rPr>
        <w:t>批准，</w:t>
      </w:r>
      <w:r>
        <w:rPr>
          <w:rFonts w:hint="eastAsia" w:ascii="宋体" w:hAnsi="宋体"/>
          <w:kern w:val="0"/>
          <w:sz w:val="24"/>
        </w:rPr>
        <w:t>云南志达招标有限公司受采购人中国林业科学研究院资源昆虫研究所</w:t>
      </w:r>
      <w:r>
        <w:rPr>
          <w:rFonts w:hint="eastAsia" w:ascii="宋体" w:hAnsi="宋体"/>
          <w:sz w:val="24"/>
        </w:rPr>
        <w:t>的委托</w:t>
      </w:r>
      <w:r>
        <w:rPr>
          <w:rFonts w:hint="eastAsia" w:ascii="宋体" w:hAnsi="宋体"/>
          <w:kern w:val="0"/>
          <w:sz w:val="24"/>
        </w:rPr>
        <w:t>，对“</w:t>
      </w:r>
      <w:r>
        <w:rPr>
          <w:rFonts w:hint="eastAsia" w:ascii="宋体" w:hAnsi="宋体"/>
          <w:sz w:val="24"/>
        </w:rPr>
        <w:t>中国林业科学研究院资源昆虫研究所资源昆虫培育与利用实验室仪器设备购置项目</w:t>
      </w:r>
      <w:r>
        <w:rPr>
          <w:rFonts w:hint="eastAsia" w:ascii="宋体" w:hAnsi="宋体"/>
          <w:kern w:val="0"/>
          <w:sz w:val="24"/>
        </w:rPr>
        <w:t>”进行公开招标采购，欢迎符合《</w:t>
      </w:r>
      <w:r>
        <w:rPr>
          <w:rFonts w:hint="eastAsia" w:ascii="宋体" w:hAnsi="宋体"/>
          <w:sz w:val="24"/>
        </w:rPr>
        <w:t>中国林业科学研究院资源昆虫研究所资源昆虫培育与利用实验室仪器设备购置项目</w:t>
      </w:r>
      <w:r>
        <w:rPr>
          <w:rFonts w:hint="eastAsia" w:ascii="宋体" w:hAnsi="宋体"/>
          <w:spacing w:val="10"/>
          <w:sz w:val="24"/>
        </w:rPr>
        <w:t>招标文件</w:t>
      </w:r>
      <w:r>
        <w:rPr>
          <w:rFonts w:hint="eastAsia" w:ascii="宋体" w:hAnsi="宋体"/>
          <w:kern w:val="0"/>
          <w:sz w:val="24"/>
        </w:rPr>
        <w:t>》（以下简称《</w:t>
      </w:r>
      <w:r>
        <w:rPr>
          <w:rFonts w:hint="eastAsia" w:ascii="宋体" w:hAnsi="宋体"/>
          <w:spacing w:val="10"/>
          <w:sz w:val="24"/>
        </w:rPr>
        <w:t>招标</w:t>
      </w:r>
      <w:r>
        <w:rPr>
          <w:rFonts w:hint="eastAsia" w:ascii="宋体" w:hAnsi="宋体"/>
          <w:kern w:val="0"/>
          <w:sz w:val="24"/>
        </w:rPr>
        <w:t>文件》）规定条件，具有相应供货或完成项目能力的</w:t>
      </w:r>
      <w:r>
        <w:rPr>
          <w:rFonts w:hint="eastAsia" w:ascii="宋体" w:hAnsi="宋体"/>
          <w:spacing w:val="10"/>
          <w:sz w:val="24"/>
        </w:rPr>
        <w:t>投标人</w:t>
      </w:r>
      <w:r>
        <w:rPr>
          <w:rFonts w:hint="eastAsia" w:ascii="宋体" w:hAnsi="宋体"/>
          <w:kern w:val="0"/>
          <w:sz w:val="24"/>
        </w:rPr>
        <w:t>报名参加。</w:t>
      </w:r>
    </w:p>
    <w:p>
      <w:pPr>
        <w:spacing w:line="360" w:lineRule="auto"/>
        <w:ind w:firstLine="520" w:firstLineChars="200"/>
        <w:rPr>
          <w:rFonts w:hint="eastAsia" w:ascii="宋体" w:hAnsi="宋体"/>
          <w:spacing w:val="10"/>
          <w:sz w:val="24"/>
        </w:rPr>
      </w:pPr>
      <w:r>
        <w:rPr>
          <w:rFonts w:hint="eastAsia" w:ascii="宋体" w:hAnsi="宋体"/>
          <w:spacing w:val="10"/>
          <w:sz w:val="24"/>
        </w:rPr>
        <w:t>1、项目名称：</w:t>
      </w:r>
      <w:r>
        <w:rPr>
          <w:rFonts w:hint="eastAsia" w:ascii="宋体" w:hAnsi="宋体"/>
          <w:sz w:val="24"/>
        </w:rPr>
        <w:t>中国林业科学研究院资源昆虫研究所资源昆虫培育与利用实验室仪器设备购置项目</w:t>
      </w:r>
    </w:p>
    <w:p>
      <w:pPr>
        <w:spacing w:line="360" w:lineRule="auto"/>
        <w:ind w:firstLine="910" w:firstLineChars="350"/>
        <w:rPr>
          <w:rFonts w:hint="eastAsia" w:ascii="宋体" w:hAnsi="宋体"/>
          <w:spacing w:val="10"/>
          <w:sz w:val="24"/>
        </w:rPr>
      </w:pPr>
      <w:r>
        <w:rPr>
          <w:rFonts w:hint="eastAsia" w:ascii="宋体" w:hAnsi="宋体"/>
          <w:spacing w:val="10"/>
          <w:sz w:val="24"/>
        </w:rPr>
        <w:t>项目编号：ZD20180068</w:t>
      </w:r>
    </w:p>
    <w:p>
      <w:pPr>
        <w:spacing w:line="360" w:lineRule="auto"/>
        <w:ind w:firstLine="910" w:firstLineChars="350"/>
        <w:rPr>
          <w:rFonts w:hint="eastAsia" w:ascii="宋体" w:hAnsi="宋体"/>
          <w:spacing w:val="10"/>
          <w:sz w:val="24"/>
        </w:rPr>
      </w:pPr>
      <w:r>
        <w:rPr>
          <w:rFonts w:hint="eastAsia" w:ascii="宋体" w:hAnsi="宋体"/>
          <w:spacing w:val="10"/>
          <w:sz w:val="24"/>
        </w:rPr>
        <w:t>本次项目预算：人民币</w:t>
      </w:r>
      <w:r>
        <w:rPr>
          <w:rFonts w:hint="eastAsia" w:ascii="宋体" w:hAnsi="宋体"/>
          <w:spacing w:val="10"/>
          <w:sz w:val="24"/>
          <w:lang w:val="en-US" w:eastAsia="zh-CN"/>
        </w:rPr>
        <w:t>1050</w:t>
      </w:r>
      <w:r>
        <w:rPr>
          <w:rFonts w:hint="eastAsia" w:ascii="宋体" w:hAnsi="宋体"/>
          <w:spacing w:val="10"/>
          <w:sz w:val="24"/>
        </w:rPr>
        <w:t>.00万元，其中：A包人民币80.00万元整、B包人民币140.00万元整、C包人民币313.20万元整、D包人民币358.00万元整、E包人民币158.80万元整</w:t>
      </w:r>
    </w:p>
    <w:p>
      <w:pPr>
        <w:spacing w:line="360" w:lineRule="auto"/>
        <w:ind w:firstLine="480" w:firstLineChars="200"/>
        <w:rPr>
          <w:rFonts w:hint="eastAsia" w:ascii="宋体" w:hAnsi="宋体"/>
          <w:color w:val="000000"/>
          <w:kern w:val="0"/>
          <w:sz w:val="24"/>
        </w:rPr>
      </w:pPr>
      <w:r>
        <w:rPr>
          <w:rFonts w:hint="eastAsia" w:ascii="宋体" w:hAnsi="宋体"/>
          <w:kern w:val="0"/>
          <w:sz w:val="24"/>
        </w:rPr>
        <w:t>2、招标内容：实验室仪器设备一批，分为五个包</w:t>
      </w:r>
      <w:r>
        <w:rPr>
          <w:rFonts w:hint="eastAsia" w:ascii="宋体" w:hAnsi="宋体"/>
          <w:kern w:val="0"/>
          <w:sz w:val="24"/>
          <w:lang w:eastAsia="zh-CN"/>
        </w:rPr>
        <w:t>，</w:t>
      </w:r>
      <w:r>
        <w:rPr>
          <w:rFonts w:hint="eastAsia" w:ascii="宋体" w:hAnsi="宋体"/>
          <w:color w:val="000000"/>
          <w:kern w:val="0"/>
          <w:sz w:val="24"/>
        </w:rPr>
        <w:t>见下表及“招标文件：附件九”。</w:t>
      </w:r>
    </w:p>
    <w:tbl>
      <w:tblPr>
        <w:tblStyle w:val="5"/>
        <w:tblpPr w:leftFromText="180" w:rightFromText="180" w:vertAnchor="text" w:horzAnchor="page" w:tblpX="1387" w:tblpY="504"/>
        <w:tblOverlap w:val="never"/>
        <w:tblW w:w="9325" w:type="dxa"/>
        <w:tblInd w:w="0" w:type="dxa"/>
        <w:tblLayout w:type="fixed"/>
        <w:tblCellMar>
          <w:top w:w="0" w:type="dxa"/>
          <w:left w:w="108" w:type="dxa"/>
          <w:bottom w:w="0" w:type="dxa"/>
          <w:right w:w="108" w:type="dxa"/>
        </w:tblCellMar>
      </w:tblPr>
      <w:tblGrid>
        <w:gridCol w:w="1333"/>
        <w:gridCol w:w="1177"/>
        <w:gridCol w:w="4640"/>
        <w:gridCol w:w="1059"/>
        <w:gridCol w:w="1116"/>
      </w:tblGrid>
      <w:tr>
        <w:tblPrEx>
          <w:tblLayout w:type="fixed"/>
          <w:tblCellMar>
            <w:top w:w="0" w:type="dxa"/>
            <w:left w:w="108" w:type="dxa"/>
            <w:bottom w:w="0" w:type="dxa"/>
            <w:right w:w="108" w:type="dxa"/>
          </w:tblCellMar>
        </w:tblPrEx>
        <w:trPr>
          <w:trHeight w:val="371" w:hRule="atLeast"/>
        </w:trPr>
        <w:tc>
          <w:tcPr>
            <w:tcW w:w="1333" w:type="dxa"/>
            <w:tcBorders>
              <w:top w:val="single" w:color="auto" w:sz="4" w:space="0"/>
              <w:left w:val="single" w:color="auto" w:sz="4" w:space="0"/>
              <w:bottom w:val="single" w:color="auto" w:sz="4" w:space="0"/>
              <w:right w:val="single" w:color="auto" w:sz="4" w:space="0"/>
            </w:tcBorders>
            <w:vAlign w:val="center"/>
          </w:tcPr>
          <w:p>
            <w:pPr>
              <w:jc w:val="center"/>
              <w:rPr>
                <w:rFonts w:hint="eastAsia"/>
              </w:rPr>
            </w:pPr>
            <w:bookmarkStart w:id="1" w:name="_Toc414268325"/>
            <w:bookmarkStart w:id="2" w:name="_Toc385936990"/>
            <w:bookmarkStart w:id="3" w:name="_Toc380417530"/>
            <w:bookmarkStart w:id="4" w:name="_Toc353869707"/>
            <w:r>
              <w:rPr>
                <w:rFonts w:hint="eastAsia" w:ascii="Times New Roman" w:hAnsi="Times New Roman" w:cs="宋体"/>
                <w:lang w:bidi="ar"/>
              </w:rPr>
              <w:t>包号</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cs="宋体"/>
                <w:lang w:bidi="ar"/>
              </w:rPr>
            </w:pPr>
            <w:r>
              <w:rPr>
                <w:rFonts w:hint="eastAsia" w:ascii="Times New Roman" w:hAnsi="Times New Roman" w:cs="宋体"/>
                <w:lang w:bidi="ar"/>
              </w:rPr>
              <w:t>序号</w:t>
            </w:r>
          </w:p>
        </w:tc>
        <w:tc>
          <w:tcPr>
            <w:tcW w:w="4640" w:type="dxa"/>
            <w:tcBorders>
              <w:top w:val="single" w:color="auto" w:sz="4" w:space="0"/>
              <w:left w:val="nil"/>
              <w:bottom w:val="single" w:color="auto" w:sz="4" w:space="0"/>
              <w:right w:val="single" w:color="auto" w:sz="4" w:space="0"/>
            </w:tcBorders>
            <w:vAlign w:val="center"/>
          </w:tcPr>
          <w:p>
            <w:pPr>
              <w:jc w:val="center"/>
            </w:pPr>
            <w:r>
              <w:rPr>
                <w:rFonts w:hint="eastAsia" w:ascii="Times New Roman" w:hAnsi="Times New Roman" w:cs="宋体"/>
                <w:lang w:bidi="ar"/>
              </w:rPr>
              <w:t>产品名称</w:t>
            </w:r>
          </w:p>
        </w:tc>
        <w:tc>
          <w:tcPr>
            <w:tcW w:w="1059" w:type="dxa"/>
            <w:tcBorders>
              <w:top w:val="single" w:color="auto" w:sz="4" w:space="0"/>
              <w:left w:val="nil"/>
              <w:bottom w:val="single" w:color="auto" w:sz="4" w:space="0"/>
              <w:right w:val="single" w:color="auto" w:sz="4" w:space="0"/>
            </w:tcBorders>
            <w:vAlign w:val="top"/>
          </w:tcPr>
          <w:p>
            <w:pPr>
              <w:jc w:val="center"/>
            </w:pPr>
            <w:r>
              <w:rPr>
                <w:rFonts w:hint="eastAsia" w:ascii="Times New Roman" w:hAnsi="Times New Roman" w:cs="宋体"/>
                <w:lang w:bidi="ar"/>
              </w:rPr>
              <w:t>数量</w:t>
            </w:r>
          </w:p>
        </w:tc>
        <w:tc>
          <w:tcPr>
            <w:tcW w:w="1116" w:type="dxa"/>
            <w:tcBorders>
              <w:top w:val="single" w:color="auto" w:sz="4" w:space="0"/>
              <w:left w:val="single" w:color="auto" w:sz="4" w:space="0"/>
              <w:bottom w:val="single" w:color="auto" w:sz="4" w:space="0"/>
              <w:right w:val="single" w:color="auto" w:sz="4" w:space="0"/>
            </w:tcBorders>
            <w:vAlign w:val="top"/>
          </w:tcPr>
          <w:p>
            <w:pPr>
              <w:jc w:val="center"/>
              <w:rPr>
                <w:rFonts w:hint="eastAsia" w:ascii="Times New Roman" w:hAnsi="Times New Roman" w:cs="宋体"/>
                <w:lang w:bidi="ar"/>
              </w:rPr>
            </w:pPr>
            <w:r>
              <w:rPr>
                <w:rFonts w:hint="eastAsia" w:ascii="Times New Roman" w:hAnsi="Times New Roman" w:cs="宋体"/>
                <w:lang w:bidi="ar"/>
              </w:rPr>
              <w:t>单位</w:t>
            </w:r>
          </w:p>
        </w:tc>
      </w:tr>
      <w:tr>
        <w:tblPrEx>
          <w:tblLayout w:type="fixed"/>
          <w:tblCellMar>
            <w:top w:w="0" w:type="dxa"/>
            <w:left w:w="108" w:type="dxa"/>
            <w:bottom w:w="0" w:type="dxa"/>
            <w:right w:w="108" w:type="dxa"/>
          </w:tblCellMar>
        </w:tblPrEx>
        <w:trPr>
          <w:trHeight w:val="371" w:hRule="atLeast"/>
        </w:trPr>
        <w:tc>
          <w:tcPr>
            <w:tcW w:w="1333" w:type="dxa"/>
            <w:vMerge w:val="restart"/>
            <w:tcBorders>
              <w:top w:val="single" w:color="auto" w:sz="4" w:space="0"/>
              <w:left w:val="single" w:color="auto" w:sz="4" w:space="0"/>
              <w:right w:val="single" w:color="auto" w:sz="4" w:space="0"/>
            </w:tcBorders>
            <w:vAlign w:val="center"/>
          </w:tcPr>
          <w:p>
            <w:pPr>
              <w:jc w:val="center"/>
              <w:rPr>
                <w:rFonts w:hint="eastAsia"/>
              </w:rPr>
            </w:pPr>
            <w:r>
              <w:rPr>
                <w:rFonts w:hint="eastAsia"/>
              </w:rPr>
              <w:t>A</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4640" w:type="dxa"/>
            <w:tcBorders>
              <w:top w:val="single" w:color="auto" w:sz="4" w:space="0"/>
              <w:left w:val="nil"/>
              <w:bottom w:val="single" w:color="auto" w:sz="4" w:space="0"/>
              <w:right w:val="single" w:color="auto" w:sz="4" w:space="0"/>
            </w:tcBorders>
            <w:vAlign w:val="center"/>
          </w:tcPr>
          <w:p>
            <w:pPr>
              <w:jc w:val="center"/>
            </w:pPr>
            <w:r>
              <w:rPr>
                <w:rFonts w:hint="eastAsia"/>
              </w:rPr>
              <w:t>全自动样品消煮仪</w:t>
            </w:r>
          </w:p>
        </w:tc>
        <w:tc>
          <w:tcPr>
            <w:tcW w:w="1059" w:type="dxa"/>
            <w:tcBorders>
              <w:top w:val="single" w:color="auto" w:sz="4" w:space="0"/>
              <w:left w:val="nil"/>
              <w:bottom w:val="single" w:color="auto" w:sz="4" w:space="0"/>
              <w:right w:val="single" w:color="auto" w:sz="4" w:space="0"/>
            </w:tcBorders>
            <w:vAlign w:val="center"/>
          </w:tcPr>
          <w:p>
            <w:pPr>
              <w:jc w:val="cente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left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2</w:t>
            </w:r>
          </w:p>
        </w:tc>
        <w:tc>
          <w:tcPr>
            <w:tcW w:w="4640" w:type="dxa"/>
            <w:tcBorders>
              <w:top w:val="single" w:color="auto" w:sz="4" w:space="0"/>
              <w:left w:val="nil"/>
              <w:bottom w:val="single" w:color="auto" w:sz="4" w:space="0"/>
              <w:right w:val="single" w:color="auto" w:sz="4" w:space="0"/>
            </w:tcBorders>
            <w:vAlign w:val="center"/>
          </w:tcPr>
          <w:p>
            <w:pPr>
              <w:jc w:val="center"/>
            </w:pPr>
            <w:r>
              <w:rPr>
                <w:rFonts w:hint="eastAsia"/>
              </w:rPr>
              <w:t>昆虫飞行信息系统</w:t>
            </w:r>
          </w:p>
        </w:tc>
        <w:tc>
          <w:tcPr>
            <w:tcW w:w="1059" w:type="dxa"/>
            <w:tcBorders>
              <w:top w:val="single" w:color="auto" w:sz="4" w:space="0"/>
              <w:left w:val="nil"/>
              <w:bottom w:val="single" w:color="auto" w:sz="4" w:space="0"/>
              <w:right w:val="single" w:color="auto" w:sz="4" w:space="0"/>
            </w:tcBorders>
            <w:vAlign w:val="center"/>
          </w:tcPr>
          <w:p>
            <w:pPr>
              <w:jc w:val="cente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 xml:space="preserve">3 </w:t>
            </w:r>
          </w:p>
        </w:tc>
        <w:tc>
          <w:tcPr>
            <w:tcW w:w="4640" w:type="dxa"/>
            <w:tcBorders>
              <w:top w:val="single" w:color="auto" w:sz="4" w:space="0"/>
              <w:left w:val="nil"/>
              <w:bottom w:val="single" w:color="auto" w:sz="4" w:space="0"/>
              <w:right w:val="single" w:color="auto" w:sz="4" w:space="0"/>
            </w:tcBorders>
            <w:vAlign w:val="center"/>
          </w:tcPr>
          <w:p>
            <w:pPr>
              <w:jc w:val="center"/>
            </w:pPr>
            <w:r>
              <w:rPr>
                <w:rFonts w:hint="eastAsia"/>
              </w:rPr>
              <w:t>热红外成像仪</w:t>
            </w:r>
          </w:p>
        </w:tc>
        <w:tc>
          <w:tcPr>
            <w:tcW w:w="1059" w:type="dxa"/>
            <w:tcBorders>
              <w:top w:val="single" w:color="auto" w:sz="4" w:space="0"/>
              <w:left w:val="nil"/>
              <w:bottom w:val="single" w:color="auto" w:sz="4" w:space="0"/>
              <w:right w:val="single" w:color="auto" w:sz="4" w:space="0"/>
            </w:tcBorders>
            <w:vAlign w:val="center"/>
          </w:tcPr>
          <w:p>
            <w:pPr>
              <w:jc w:val="cente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B</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1</w:t>
            </w:r>
          </w:p>
        </w:tc>
        <w:tc>
          <w:tcPr>
            <w:tcW w:w="464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细胞冻存管理系统</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2</w:t>
            </w:r>
          </w:p>
        </w:tc>
        <w:tc>
          <w:tcPr>
            <w:tcW w:w="464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全自动数字扫描显微成像系统</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3</w:t>
            </w:r>
          </w:p>
        </w:tc>
        <w:tc>
          <w:tcPr>
            <w:tcW w:w="464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中压制备色谱升级套件</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C</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1</w:t>
            </w:r>
          </w:p>
        </w:tc>
        <w:tc>
          <w:tcPr>
            <w:tcW w:w="464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开路式CO2/H2O/CH4通量及能量平衡分析系统</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2</w:t>
            </w:r>
          </w:p>
        </w:tc>
        <w:tc>
          <w:tcPr>
            <w:tcW w:w="4640" w:type="dxa"/>
            <w:tcBorders>
              <w:top w:val="single" w:color="auto" w:sz="4" w:space="0"/>
              <w:left w:val="nil"/>
              <w:bottom w:val="single" w:color="auto" w:sz="4" w:space="0"/>
              <w:right w:val="single" w:color="auto" w:sz="4" w:space="0"/>
            </w:tcBorders>
            <w:vAlign w:val="center"/>
          </w:tcPr>
          <w:p>
            <w:pPr>
              <w:jc w:val="center"/>
              <w:rPr>
                <w:rFonts w:hint="eastAsia"/>
              </w:rPr>
            </w:pPr>
            <w:r>
              <w:rPr>
                <w:rFonts w:hint="eastAsia"/>
              </w:rPr>
              <w:t>辐射照度计</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3</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rPr>
            </w:pPr>
            <w:r>
              <w:rPr>
                <w:rFonts w:hint="eastAsia" w:ascii="新宋体" w:eastAsia="新宋体" w:cs="新宋体"/>
                <w:bCs/>
                <w:kern w:val="0"/>
                <w:szCs w:val="21"/>
              </w:rPr>
              <w:t>小电热板</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4</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大电热板</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5</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电子天平</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6</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立式单门双层恒温震荡器</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7</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马弗炉</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8</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高内涵升级透射光组件</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9</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振动筛分仪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10</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行星式球磨仪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11</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实时无损离子分子微检测系统</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rPr>
            </w:pPr>
            <w:r>
              <w:rPr>
                <w:rFonts w:hint="eastAsia"/>
              </w:rPr>
              <w:t>D</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1</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纤维素测定仪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2</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全自动凯氏定氮仪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3</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蛋白分离和电喷雾离子化系统</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4</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气相色谱仪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top w:val="single" w:color="auto" w:sz="4" w:space="0"/>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5</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电感耦合等离子体发射光谱仪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restart"/>
            <w:tcBorders>
              <w:top w:val="single" w:color="auto" w:sz="4" w:space="0"/>
              <w:left w:val="single" w:color="auto" w:sz="4" w:space="0"/>
              <w:right w:val="single" w:color="auto" w:sz="4" w:space="0"/>
            </w:tcBorders>
            <w:vAlign w:val="center"/>
          </w:tcPr>
          <w:p>
            <w:pPr>
              <w:jc w:val="center"/>
              <w:rPr>
                <w:rFonts w:hint="eastAsia"/>
              </w:rPr>
            </w:pPr>
            <w:r>
              <w:rPr>
                <w:rFonts w:hint="eastAsia"/>
              </w:rPr>
              <w:t>E</w:t>
            </w: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1</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高速逆流色谱仪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left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2</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高精度自动色度仪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left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3</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药物透皮扩散试验仪</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left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4</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蜜蜂计数器</w:t>
            </w:r>
          </w:p>
        </w:tc>
        <w:tc>
          <w:tcPr>
            <w:tcW w:w="1059" w:type="dxa"/>
            <w:tcBorders>
              <w:top w:val="single" w:color="auto" w:sz="4" w:space="0"/>
              <w:left w:val="nil"/>
              <w:bottom w:val="single" w:color="auto" w:sz="4" w:space="0"/>
              <w:right w:val="single" w:color="auto" w:sz="4" w:space="0"/>
            </w:tcBorders>
            <w:vAlign w:val="center"/>
          </w:tcPr>
          <w:p>
            <w:pPr>
              <w:jc w:val="center"/>
              <w:rPr>
                <w:rFonts w:ascii="Times New Roman" w:hAnsi="Times New Roman"/>
                <w:lang w:bidi="ar"/>
              </w:rPr>
            </w:pPr>
            <w:r>
              <w:rPr>
                <w:rFonts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left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5</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耐腐蚀试剂柜</w:t>
            </w:r>
          </w:p>
        </w:tc>
        <w:tc>
          <w:tcPr>
            <w:tcW w:w="1059"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2</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left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6</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冷原子荧光光谱仪</w:t>
            </w:r>
          </w:p>
        </w:tc>
        <w:tc>
          <w:tcPr>
            <w:tcW w:w="1059"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1</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tr>
        <w:tblPrEx>
          <w:tblLayout w:type="fixed"/>
          <w:tblCellMar>
            <w:top w:w="0" w:type="dxa"/>
            <w:left w:w="108" w:type="dxa"/>
            <w:bottom w:w="0" w:type="dxa"/>
            <w:right w:w="108" w:type="dxa"/>
          </w:tblCellMar>
        </w:tblPrEx>
        <w:trPr>
          <w:trHeight w:val="371" w:hRule="atLeast"/>
        </w:trPr>
        <w:tc>
          <w:tcPr>
            <w:tcW w:w="1333" w:type="dxa"/>
            <w:vMerge w:val="continue"/>
            <w:tcBorders>
              <w:left w:val="single" w:color="auto" w:sz="4" w:space="0"/>
              <w:bottom w:val="single" w:color="auto" w:sz="4" w:space="0"/>
              <w:right w:val="single" w:color="auto" w:sz="4" w:space="0"/>
            </w:tcBorders>
            <w:vAlign w:val="center"/>
          </w:tcPr>
          <w:p>
            <w:pPr>
              <w:jc w:val="center"/>
            </w:pPr>
          </w:p>
        </w:tc>
        <w:tc>
          <w:tcPr>
            <w:tcW w:w="117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7</w:t>
            </w:r>
          </w:p>
        </w:tc>
        <w:tc>
          <w:tcPr>
            <w:tcW w:w="4640" w:type="dxa"/>
            <w:tcBorders>
              <w:top w:val="single" w:color="auto" w:sz="4" w:space="0"/>
              <w:left w:val="nil"/>
              <w:bottom w:val="single" w:color="auto" w:sz="4" w:space="0"/>
              <w:right w:val="single" w:color="auto" w:sz="4" w:space="0"/>
            </w:tcBorders>
            <w:vAlign w:val="center"/>
          </w:tcPr>
          <w:p>
            <w:pPr>
              <w:autoSpaceDE w:val="0"/>
              <w:autoSpaceDN w:val="0"/>
              <w:adjustRightInd w:val="0"/>
              <w:jc w:val="center"/>
              <w:rPr>
                <w:rFonts w:hint="eastAsia" w:ascii="新宋体" w:eastAsia="新宋体" w:cs="新宋体"/>
                <w:bCs/>
                <w:kern w:val="0"/>
                <w:szCs w:val="21"/>
              </w:rPr>
            </w:pPr>
            <w:r>
              <w:rPr>
                <w:rFonts w:hint="eastAsia" w:ascii="新宋体" w:eastAsia="新宋体" w:cs="新宋体"/>
                <w:bCs/>
                <w:kern w:val="0"/>
                <w:szCs w:val="21"/>
              </w:rPr>
              <w:t>氢气发生器</w:t>
            </w:r>
          </w:p>
        </w:tc>
        <w:tc>
          <w:tcPr>
            <w:tcW w:w="1059" w:type="dxa"/>
            <w:tcBorders>
              <w:top w:val="single" w:color="auto" w:sz="4" w:space="0"/>
              <w:left w:val="nil"/>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2</w:t>
            </w:r>
          </w:p>
        </w:tc>
        <w:tc>
          <w:tcPr>
            <w:tcW w:w="111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imes New Roman" w:hAnsi="Times New Roman"/>
                <w:lang w:bidi="ar"/>
              </w:rPr>
            </w:pPr>
            <w:r>
              <w:rPr>
                <w:rFonts w:hint="eastAsia" w:ascii="Times New Roman" w:hAnsi="Times New Roman"/>
                <w:lang w:bidi="ar"/>
              </w:rPr>
              <w:t>台</w:t>
            </w:r>
          </w:p>
        </w:tc>
      </w:tr>
      <w:bookmarkEnd w:id="1"/>
      <w:bookmarkEnd w:id="2"/>
      <w:bookmarkEnd w:id="3"/>
      <w:bookmarkEnd w:id="4"/>
    </w:tbl>
    <w:p>
      <w:pPr>
        <w:widowControl/>
        <w:spacing w:line="360" w:lineRule="auto"/>
        <w:jc w:val="left"/>
        <w:rPr>
          <w:rFonts w:hint="eastAsia" w:ascii="宋体" w:hAnsi="宋体"/>
          <w:kern w:val="0"/>
          <w:sz w:val="24"/>
        </w:rPr>
      </w:pPr>
      <w:r>
        <w:rPr>
          <w:rFonts w:hint="eastAsia" w:ascii="宋体" w:hAnsi="宋体"/>
          <w:kern w:val="0"/>
          <w:sz w:val="24"/>
        </w:rPr>
        <w:t xml:space="preserve">  各投标人可对其中任意一个包，也可对多个包进行投标，每个包的内容不可以再拆分，否则按废标处理。</w:t>
      </w:r>
    </w:p>
    <w:p>
      <w:pPr>
        <w:widowControl/>
        <w:spacing w:line="360" w:lineRule="auto"/>
        <w:jc w:val="left"/>
        <w:rPr>
          <w:rFonts w:hint="eastAsia" w:ascii="宋体" w:hAnsi="宋体"/>
          <w:kern w:val="0"/>
          <w:sz w:val="24"/>
        </w:rPr>
      </w:pPr>
      <w:r>
        <w:rPr>
          <w:rFonts w:hint="eastAsia" w:ascii="宋体" w:hAnsi="宋体"/>
          <w:kern w:val="0"/>
          <w:sz w:val="24"/>
        </w:rPr>
        <w:t xml:space="preserve">  注：A、B、C、D、E五个包，每个投标人只能中标其中一个包。</w:t>
      </w:r>
    </w:p>
    <w:p>
      <w:pPr>
        <w:widowControl/>
        <w:spacing w:line="360" w:lineRule="auto"/>
        <w:jc w:val="left"/>
        <w:rPr>
          <w:rFonts w:hint="eastAsia" w:ascii="宋体" w:hAnsi="宋体"/>
          <w:kern w:val="0"/>
          <w:sz w:val="24"/>
        </w:rPr>
      </w:pPr>
      <w:r>
        <w:rPr>
          <w:rFonts w:hint="eastAsia" w:ascii="宋体" w:hAnsi="宋体"/>
          <w:kern w:val="0"/>
          <w:sz w:val="24"/>
        </w:rPr>
        <w:t>3、合格的投标人：</w:t>
      </w:r>
    </w:p>
    <w:p>
      <w:pPr>
        <w:widowControl/>
        <w:spacing w:line="360" w:lineRule="auto"/>
        <w:ind w:firstLine="480" w:firstLineChars="200"/>
        <w:jc w:val="left"/>
        <w:rPr>
          <w:rFonts w:hint="eastAsia" w:ascii="宋体" w:hAnsi="宋体"/>
          <w:kern w:val="0"/>
          <w:sz w:val="24"/>
        </w:rPr>
      </w:pPr>
      <w:r>
        <w:rPr>
          <w:rFonts w:hint="eastAsia" w:ascii="宋体" w:hAnsi="宋体"/>
          <w:kern w:val="0"/>
          <w:sz w:val="24"/>
        </w:rPr>
        <w:t>3.1、投标人要求为国内独立法人资格，应具有工商管理部门颁发的有效营业执照且具有履行合同所必需的设备和专业技术能力；并符合《中华人民共和国政府采购法》第二十二条的规定；</w:t>
      </w:r>
    </w:p>
    <w:p>
      <w:pPr>
        <w:widowControl/>
        <w:spacing w:line="360" w:lineRule="auto"/>
        <w:ind w:firstLine="480" w:firstLineChars="200"/>
        <w:jc w:val="left"/>
        <w:rPr>
          <w:rFonts w:hint="eastAsia" w:ascii="宋体" w:hAnsi="宋体"/>
          <w:kern w:val="0"/>
          <w:sz w:val="24"/>
        </w:rPr>
      </w:pPr>
      <w:r>
        <w:rPr>
          <w:rFonts w:hint="eastAsia" w:ascii="宋体" w:hAnsi="宋体"/>
          <w:kern w:val="0"/>
          <w:sz w:val="24"/>
        </w:rPr>
        <w:t>3.2、纳税证明材料的时间范围：2017年1月至今（税款所属时期）任意连续3个月的税务局税收通用缴款书复印件或银行电子缴税（费）凭证或税务局出具纳税情况的相关证明；</w:t>
      </w:r>
    </w:p>
    <w:p>
      <w:pPr>
        <w:widowControl/>
        <w:spacing w:line="360" w:lineRule="auto"/>
        <w:ind w:firstLine="480" w:firstLineChars="200"/>
        <w:jc w:val="left"/>
        <w:rPr>
          <w:rFonts w:hint="eastAsia" w:ascii="宋体" w:hAnsi="宋体"/>
          <w:kern w:val="0"/>
          <w:sz w:val="24"/>
        </w:rPr>
      </w:pPr>
      <w:r>
        <w:rPr>
          <w:rFonts w:hint="eastAsia" w:ascii="宋体" w:hAnsi="宋体"/>
          <w:kern w:val="0"/>
          <w:sz w:val="24"/>
        </w:rPr>
        <w:t>3.3、缴纳社会保险证明材料的时间范围：2017年1月至今（费款所属时期）任意连续3个月的社会保险费缴款书复印件或银行电子缴税（费）凭证或社保管理部门出具的有效的缴款证明；</w:t>
      </w:r>
    </w:p>
    <w:p>
      <w:pPr>
        <w:widowControl/>
        <w:spacing w:line="360" w:lineRule="auto"/>
        <w:ind w:firstLine="480" w:firstLineChars="200"/>
        <w:jc w:val="left"/>
        <w:rPr>
          <w:rFonts w:hint="eastAsia" w:ascii="宋体" w:hAnsi="宋体"/>
          <w:kern w:val="0"/>
          <w:sz w:val="24"/>
        </w:rPr>
      </w:pPr>
      <w:r>
        <w:rPr>
          <w:rFonts w:hint="eastAsia" w:ascii="宋体" w:hAnsi="宋体"/>
          <w:kern w:val="0"/>
          <w:sz w:val="24"/>
        </w:rPr>
        <w:t>3.4、最近任意连续两年（2015年、2016年、2017年）经会计师事务所或审计机构审计的财务报表及审计报告</w:t>
      </w:r>
    </w:p>
    <w:p>
      <w:pPr>
        <w:widowControl/>
        <w:spacing w:line="360" w:lineRule="auto"/>
        <w:ind w:firstLine="480" w:firstLineChars="200"/>
        <w:jc w:val="left"/>
        <w:rPr>
          <w:rFonts w:hint="eastAsia" w:ascii="宋体" w:hAnsi="宋体" w:cs="宋体"/>
          <w:kern w:val="0"/>
          <w:sz w:val="24"/>
        </w:rPr>
      </w:pPr>
      <w:r>
        <w:rPr>
          <w:rFonts w:hint="eastAsia" w:ascii="宋体" w:hAnsi="宋体"/>
          <w:kern w:val="0"/>
          <w:sz w:val="24"/>
        </w:rPr>
        <w:t>3.5、投标人须提供</w:t>
      </w:r>
      <w:r>
        <w:rPr>
          <w:rFonts w:ascii="宋体" w:hAnsi="宋体" w:cs="宋体"/>
          <w:kern w:val="0"/>
          <w:sz w:val="24"/>
        </w:rPr>
        <w:t>参加政府采购活动前3年内在经营活动中没有重大违法记录</w:t>
      </w:r>
      <w:r>
        <w:rPr>
          <w:rFonts w:hint="eastAsia" w:ascii="宋体" w:hAnsi="宋体" w:cs="宋体"/>
          <w:kern w:val="0"/>
          <w:sz w:val="24"/>
        </w:rPr>
        <w:t>（</w:t>
      </w:r>
      <w:r>
        <w:rPr>
          <w:rFonts w:ascii="宋体" w:hAnsi="宋体" w:cs="宋体"/>
          <w:kern w:val="0"/>
          <w:sz w:val="24"/>
        </w:rPr>
        <w:t>供应商因违法经营受到刑事处罚或者责令停产停业、吊销许可证或者执照、较大数额罚款等行政处罚</w:t>
      </w:r>
      <w:r>
        <w:rPr>
          <w:rFonts w:hint="eastAsia" w:ascii="宋体" w:hAnsi="宋体" w:cs="宋体"/>
          <w:kern w:val="0"/>
          <w:sz w:val="24"/>
        </w:rPr>
        <w:t>）</w:t>
      </w:r>
      <w:r>
        <w:rPr>
          <w:rFonts w:ascii="宋体" w:hAnsi="宋体" w:cs="宋体"/>
          <w:kern w:val="0"/>
          <w:sz w:val="24"/>
        </w:rPr>
        <w:t>的书面声明</w:t>
      </w:r>
      <w:r>
        <w:rPr>
          <w:rFonts w:hint="eastAsia" w:ascii="宋体" w:hAnsi="宋体" w:cs="宋体"/>
          <w:kern w:val="0"/>
          <w:sz w:val="24"/>
        </w:rPr>
        <w:t>；</w:t>
      </w:r>
    </w:p>
    <w:p>
      <w:pPr>
        <w:widowControl/>
        <w:spacing w:line="360" w:lineRule="auto"/>
        <w:ind w:firstLine="480" w:firstLineChars="200"/>
        <w:jc w:val="left"/>
        <w:rPr>
          <w:rFonts w:hint="eastAsia" w:ascii="宋体" w:hAnsi="宋体"/>
          <w:kern w:val="0"/>
          <w:sz w:val="24"/>
        </w:rPr>
      </w:pPr>
      <w:r>
        <w:rPr>
          <w:rFonts w:hint="eastAsia" w:ascii="宋体" w:hAnsi="宋体"/>
          <w:kern w:val="0"/>
          <w:sz w:val="24"/>
        </w:rPr>
        <w:t>3.6、</w:t>
      </w:r>
      <w:r>
        <w:rPr>
          <w:rFonts w:hint="eastAsia" w:ascii="宋体" w:hAnsi="宋体" w:cs="宋体"/>
          <w:kern w:val="0"/>
          <w:sz w:val="24"/>
        </w:rPr>
        <w:t>投标人须提供检察机</w:t>
      </w:r>
      <w:r>
        <w:rPr>
          <w:rFonts w:hint="eastAsia"/>
          <w:sz w:val="24"/>
        </w:rPr>
        <w:t>关开具的参加此次政府采购活动前在有效期内“行贿犯罪档案查询”证明；</w:t>
      </w:r>
    </w:p>
    <w:p>
      <w:pPr>
        <w:widowControl/>
        <w:spacing w:line="360" w:lineRule="auto"/>
        <w:ind w:firstLine="480" w:firstLineChars="200"/>
        <w:jc w:val="left"/>
        <w:rPr>
          <w:rFonts w:hint="eastAsia" w:ascii="宋体" w:hAnsi="宋体" w:cs="宋体"/>
          <w:kern w:val="0"/>
          <w:sz w:val="24"/>
          <w:szCs w:val="21"/>
        </w:rPr>
      </w:pPr>
      <w:r>
        <w:rPr>
          <w:rFonts w:hint="eastAsia" w:ascii="宋体" w:hAnsi="宋体"/>
          <w:sz w:val="24"/>
        </w:rPr>
        <w:t>3.7、单位负责人为同一人或者存在直接控股、管理关系的不同供应商，不得同时参加本项目的竞标。</w:t>
      </w:r>
    </w:p>
    <w:p>
      <w:pPr>
        <w:widowControl/>
        <w:spacing w:line="360" w:lineRule="auto"/>
        <w:ind w:firstLine="480" w:firstLineChars="200"/>
        <w:jc w:val="left"/>
        <w:rPr>
          <w:rFonts w:hint="eastAsia" w:ascii="宋体" w:hAnsi="宋体"/>
          <w:kern w:val="0"/>
          <w:sz w:val="24"/>
          <w:szCs w:val="21"/>
        </w:rPr>
      </w:pPr>
      <w:r>
        <w:rPr>
          <w:rFonts w:hint="eastAsia" w:ascii="宋体" w:hAnsi="宋体"/>
          <w:kern w:val="0"/>
          <w:sz w:val="24"/>
          <w:szCs w:val="21"/>
        </w:rPr>
        <w:t>3.8、投标人未被列入“信用中国（</w:t>
      </w:r>
      <w:r>
        <w:rPr>
          <w:rFonts w:hint="eastAsia" w:ascii="宋体" w:hAnsi="宋体"/>
          <w:kern w:val="0"/>
          <w:sz w:val="24"/>
          <w:szCs w:val="21"/>
        </w:rPr>
        <w:fldChar w:fldCharType="begin"/>
      </w:r>
      <w:r>
        <w:rPr>
          <w:rFonts w:hint="eastAsia" w:ascii="宋体" w:hAnsi="宋体"/>
          <w:kern w:val="0"/>
          <w:sz w:val="24"/>
          <w:szCs w:val="21"/>
        </w:rPr>
        <w:instrText xml:space="preserve">INCLUDEPICTURE \d "C:\\Users\\Mrkj\\AppData\\Local\\Temp\\%W@GJ$ACOF(TYDYECOKVDYB.png" \* MERGEFORMATINET </w:instrText>
      </w:r>
      <w:r>
        <w:rPr>
          <w:rFonts w:hint="eastAsia" w:ascii="宋体" w:hAnsi="宋体"/>
          <w:kern w:val="0"/>
          <w:sz w:val="24"/>
          <w:szCs w:val="21"/>
        </w:rPr>
        <w:fldChar w:fldCharType="separate"/>
      </w:r>
      <w:r>
        <w:rPr>
          <w:rFonts w:hint="eastAsia" w:ascii="宋体" w:hAnsi="宋体"/>
          <w:kern w:val="0"/>
          <w:sz w:val="24"/>
          <w:szCs w:val="21"/>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90500" cy="142875"/>
                    </a:xfrm>
                    <a:prstGeom prst="rect">
                      <a:avLst/>
                    </a:prstGeom>
                    <a:noFill/>
                    <a:ln w="9525">
                      <a:noFill/>
                    </a:ln>
                  </pic:spPr>
                </pic:pic>
              </a:graphicData>
            </a:graphic>
          </wp:inline>
        </w:drawing>
      </w:r>
      <w:r>
        <w:rPr>
          <w:rFonts w:hint="eastAsia" w:ascii="宋体" w:hAnsi="宋体"/>
          <w:kern w:val="0"/>
          <w:sz w:val="24"/>
          <w:szCs w:val="21"/>
        </w:rPr>
        <w:fldChar w:fldCharType="end"/>
      </w:r>
      <w:r>
        <w:rPr>
          <w:rFonts w:hint="eastAsia" w:ascii="宋体" w:hAnsi="宋体"/>
          <w:kern w:val="0"/>
          <w:sz w:val="24"/>
          <w:szCs w:val="21"/>
        </w:rPr>
        <w:t>www.creditchina.gov.cn）”失信被执行人、重大税收违法案件当事人名单、政府采购严重违法失信行为记录名单，提供网站信用信息查询记录截图，查询截止时点：招标公告发布之日至投标文件递交截止时间。</w:t>
      </w:r>
    </w:p>
    <w:p>
      <w:pPr>
        <w:widowControl/>
        <w:spacing w:line="360" w:lineRule="auto"/>
        <w:ind w:firstLine="480" w:firstLineChars="200"/>
        <w:jc w:val="left"/>
        <w:rPr>
          <w:rFonts w:hint="eastAsia" w:ascii="宋体" w:hAnsi="宋体"/>
          <w:kern w:val="0"/>
          <w:sz w:val="24"/>
          <w:szCs w:val="21"/>
        </w:rPr>
      </w:pPr>
      <w:r>
        <w:rPr>
          <w:rFonts w:hint="eastAsia" w:ascii="宋体" w:hAnsi="宋体"/>
          <w:kern w:val="0"/>
          <w:sz w:val="24"/>
          <w:szCs w:val="21"/>
          <w:lang w:val="en-US" w:eastAsia="zh-CN"/>
        </w:rPr>
        <w:t>3.9、</w:t>
      </w:r>
      <w:r>
        <w:rPr>
          <w:rFonts w:hint="eastAsia" w:ascii="宋体" w:hAnsi="宋体"/>
          <w:kern w:val="0"/>
          <w:sz w:val="24"/>
          <w:szCs w:val="21"/>
        </w:rPr>
        <w:t>本次采购项目允许进口产品参加。进口产品是指通过中国海关报关验放进入中国境内且产自关境外的产品</w:t>
      </w:r>
    </w:p>
    <w:p>
      <w:pPr>
        <w:widowControl/>
        <w:spacing w:line="360" w:lineRule="auto"/>
        <w:ind w:firstLine="480" w:firstLineChars="200"/>
        <w:jc w:val="left"/>
        <w:rPr>
          <w:rFonts w:hint="eastAsia" w:ascii="宋体" w:hAnsi="宋体"/>
          <w:kern w:val="0"/>
          <w:sz w:val="24"/>
          <w:szCs w:val="21"/>
          <w:highlight w:val="none"/>
        </w:rPr>
      </w:pPr>
      <w:r>
        <w:rPr>
          <w:rFonts w:hint="eastAsia" w:ascii="宋体" w:hAnsi="宋体"/>
          <w:kern w:val="0"/>
          <w:sz w:val="24"/>
          <w:szCs w:val="21"/>
          <w:highlight w:val="none"/>
          <w:lang w:val="en-US" w:eastAsia="zh-CN"/>
        </w:rPr>
        <w:t>3.10、投标人所投主要设备为进口产品时须提供原制造商针对本项目的授权书及售后服务承诺</w:t>
      </w:r>
      <w:r>
        <w:rPr>
          <w:rFonts w:hint="eastAsia" w:ascii="宋体" w:hAnsi="宋体"/>
          <w:kern w:val="0"/>
          <w:sz w:val="24"/>
          <w:szCs w:val="21"/>
          <w:highlight w:val="none"/>
          <w:lang w:eastAsia="zh-CN"/>
        </w:rPr>
        <w:t>（原件</w:t>
      </w:r>
      <w:r>
        <w:rPr>
          <w:rFonts w:hint="eastAsia" w:ascii="宋体" w:hAnsi="宋体"/>
          <w:kern w:val="0"/>
          <w:sz w:val="24"/>
          <w:szCs w:val="21"/>
          <w:highlight w:val="none"/>
          <w:lang w:val="en-US" w:eastAsia="zh-CN"/>
        </w:rPr>
        <w:t>或复印件加盖公章</w:t>
      </w:r>
      <w:r>
        <w:rPr>
          <w:rFonts w:hint="eastAsia" w:ascii="宋体" w:hAnsi="宋体"/>
          <w:kern w:val="0"/>
          <w:sz w:val="24"/>
          <w:szCs w:val="21"/>
          <w:highlight w:val="none"/>
          <w:lang w:eastAsia="zh-CN"/>
        </w:rPr>
        <w:t>）</w:t>
      </w:r>
    </w:p>
    <w:p>
      <w:pPr>
        <w:widowControl/>
        <w:spacing w:line="360" w:lineRule="auto"/>
        <w:ind w:firstLine="480" w:firstLineChars="200"/>
        <w:jc w:val="left"/>
        <w:rPr>
          <w:rFonts w:ascii="宋体" w:hAnsi="宋体"/>
          <w:kern w:val="0"/>
          <w:sz w:val="24"/>
          <w:szCs w:val="21"/>
        </w:rPr>
      </w:pPr>
      <w:r>
        <w:rPr>
          <w:rFonts w:hint="eastAsia" w:ascii="宋体" w:hAnsi="宋体"/>
          <w:kern w:val="0"/>
          <w:sz w:val="24"/>
          <w:szCs w:val="21"/>
        </w:rPr>
        <w:t>3.</w:t>
      </w:r>
      <w:r>
        <w:rPr>
          <w:rFonts w:hint="eastAsia" w:ascii="宋体" w:hAnsi="宋体"/>
          <w:kern w:val="0"/>
          <w:sz w:val="24"/>
          <w:szCs w:val="21"/>
          <w:lang w:val="en-US" w:eastAsia="zh-CN"/>
        </w:rPr>
        <w:t>11</w:t>
      </w:r>
      <w:r>
        <w:rPr>
          <w:rFonts w:hint="eastAsia" w:ascii="宋体" w:hAnsi="宋体"/>
          <w:kern w:val="0"/>
          <w:sz w:val="24"/>
          <w:szCs w:val="21"/>
        </w:rPr>
        <w:t>、本项目不接受联合体投标。</w:t>
      </w:r>
    </w:p>
    <w:p>
      <w:pPr>
        <w:spacing w:line="420" w:lineRule="exact"/>
        <w:rPr>
          <w:rFonts w:ascii="宋体"/>
          <w:sz w:val="24"/>
        </w:rPr>
      </w:pPr>
      <w:r>
        <w:rPr>
          <w:rFonts w:hint="eastAsia" w:ascii="宋体" w:hAnsi="宋体"/>
          <w:sz w:val="24"/>
        </w:rPr>
        <w:t>4、投标人应从</w:t>
      </w:r>
      <w:r>
        <w:rPr>
          <w:rFonts w:hint="eastAsia" w:ascii="宋体" w:hAnsi="宋体"/>
          <w:bCs/>
          <w:sz w:val="24"/>
        </w:rPr>
        <w:t>昆明市日新中路润城第一大道商务办公楼五幢</w:t>
      </w:r>
      <w:r>
        <w:rPr>
          <w:rFonts w:ascii="宋体" w:hAnsi="宋体"/>
          <w:bCs/>
          <w:sz w:val="24"/>
        </w:rPr>
        <w:t>8</w:t>
      </w:r>
      <w:r>
        <w:rPr>
          <w:rFonts w:hint="eastAsia" w:ascii="宋体" w:hAnsi="宋体"/>
          <w:bCs/>
          <w:sz w:val="24"/>
        </w:rPr>
        <w:t>楼云南志达招标有限公司招标二部</w:t>
      </w:r>
      <w:r>
        <w:rPr>
          <w:rFonts w:hint="eastAsia" w:ascii="宋体" w:hAnsi="宋体"/>
          <w:sz w:val="24"/>
        </w:rPr>
        <w:t>获取招标文件和相关资料，获取时间为</w:t>
      </w:r>
      <w:r>
        <w:rPr>
          <w:rFonts w:ascii="宋体" w:hAnsi="宋体" w:cs="宋体"/>
          <w:kern w:val="0"/>
          <w:sz w:val="24"/>
        </w:rPr>
        <w:t>201</w:t>
      </w:r>
      <w:r>
        <w:rPr>
          <w:rFonts w:hint="eastAsia" w:ascii="宋体" w:hAnsi="宋体" w:cs="宋体"/>
          <w:kern w:val="0"/>
          <w:sz w:val="24"/>
        </w:rPr>
        <w:t>8年</w:t>
      </w:r>
      <w:r>
        <w:rPr>
          <w:rFonts w:hint="eastAsia" w:ascii="宋体" w:hAnsi="宋体" w:cs="宋体"/>
          <w:kern w:val="0"/>
          <w:sz w:val="24"/>
          <w:lang w:val="en-US" w:eastAsia="zh-CN"/>
        </w:rPr>
        <w:t>7</w:t>
      </w:r>
      <w:r>
        <w:rPr>
          <w:rFonts w:hint="eastAsia" w:ascii="宋体" w:hAnsi="宋体" w:cs="宋体"/>
          <w:kern w:val="0"/>
          <w:sz w:val="24"/>
        </w:rPr>
        <w:t>月</w:t>
      </w:r>
      <w:r>
        <w:rPr>
          <w:rFonts w:hint="eastAsia" w:ascii="宋体" w:hAnsi="宋体" w:cs="宋体"/>
          <w:kern w:val="0"/>
          <w:sz w:val="24"/>
          <w:lang w:val="en-US" w:eastAsia="zh-CN"/>
        </w:rPr>
        <w:t>3</w:t>
      </w:r>
      <w:r>
        <w:rPr>
          <w:rFonts w:hint="eastAsia" w:ascii="宋体" w:hAnsi="宋体" w:cs="宋体"/>
          <w:kern w:val="0"/>
          <w:sz w:val="24"/>
        </w:rPr>
        <w:t>日至</w:t>
      </w:r>
      <w:r>
        <w:rPr>
          <w:rFonts w:ascii="宋体" w:hAnsi="宋体" w:cs="宋体"/>
          <w:kern w:val="0"/>
          <w:sz w:val="24"/>
        </w:rPr>
        <w:t>201</w:t>
      </w:r>
      <w:r>
        <w:rPr>
          <w:rFonts w:hint="eastAsia" w:ascii="宋体" w:hAnsi="宋体" w:cs="宋体"/>
          <w:kern w:val="0"/>
          <w:sz w:val="24"/>
        </w:rPr>
        <w:t>8年</w:t>
      </w:r>
      <w:r>
        <w:rPr>
          <w:rFonts w:hint="eastAsia" w:ascii="宋体" w:hAnsi="宋体" w:cs="宋体"/>
          <w:kern w:val="0"/>
          <w:sz w:val="24"/>
          <w:lang w:val="en-US" w:eastAsia="zh-CN"/>
        </w:rPr>
        <w:t>7</w:t>
      </w:r>
      <w:r>
        <w:rPr>
          <w:rFonts w:hint="eastAsia" w:ascii="宋体" w:hAnsi="宋体" w:cs="宋体"/>
          <w:kern w:val="0"/>
          <w:sz w:val="24"/>
        </w:rPr>
        <w:t>月</w:t>
      </w:r>
      <w:r>
        <w:rPr>
          <w:rFonts w:hint="eastAsia" w:ascii="宋体" w:hAnsi="宋体" w:cs="宋体"/>
          <w:kern w:val="0"/>
          <w:sz w:val="24"/>
          <w:lang w:val="en-US" w:eastAsia="zh-CN"/>
        </w:rPr>
        <w:t>9</w:t>
      </w:r>
      <w:r>
        <w:rPr>
          <w:rFonts w:hint="eastAsia" w:ascii="宋体" w:hAnsi="宋体" w:cs="宋体"/>
          <w:kern w:val="0"/>
          <w:sz w:val="24"/>
        </w:rPr>
        <w:t>日</w:t>
      </w:r>
      <w:r>
        <w:rPr>
          <w:rFonts w:hint="eastAsia" w:ascii="宋体" w:hAnsi="宋体"/>
          <w:sz w:val="24"/>
        </w:rPr>
        <w:t>（法定公休日、法定节假日除外），每天</w:t>
      </w:r>
      <w:r>
        <w:rPr>
          <w:rFonts w:ascii="宋体" w:hAnsi="宋体"/>
          <w:sz w:val="24"/>
        </w:rPr>
        <w:t>9:</w:t>
      </w:r>
      <w:r>
        <w:rPr>
          <w:rFonts w:hint="eastAsia" w:ascii="宋体" w:hAnsi="宋体"/>
          <w:sz w:val="24"/>
        </w:rPr>
        <w:t>0</w:t>
      </w:r>
      <w:r>
        <w:rPr>
          <w:rFonts w:ascii="宋体" w:hAnsi="宋体"/>
          <w:sz w:val="24"/>
        </w:rPr>
        <w:t>0-1</w:t>
      </w:r>
      <w:r>
        <w:rPr>
          <w:rFonts w:hint="eastAsia" w:ascii="宋体" w:hAnsi="宋体"/>
          <w:sz w:val="24"/>
        </w:rPr>
        <w:t>2</w:t>
      </w:r>
      <w:r>
        <w:rPr>
          <w:rFonts w:ascii="宋体" w:hAnsi="宋体"/>
          <w:sz w:val="24"/>
        </w:rPr>
        <w:t>:</w:t>
      </w:r>
      <w:r>
        <w:rPr>
          <w:rFonts w:hint="eastAsia" w:ascii="宋体" w:hAnsi="宋体"/>
          <w:sz w:val="24"/>
        </w:rPr>
        <w:t>0</w:t>
      </w:r>
      <w:r>
        <w:rPr>
          <w:rFonts w:ascii="宋体" w:hAnsi="宋体"/>
          <w:sz w:val="24"/>
        </w:rPr>
        <w:t>0</w:t>
      </w:r>
      <w:r>
        <w:rPr>
          <w:rFonts w:hint="eastAsia" w:ascii="宋体" w:hAnsi="宋体"/>
          <w:sz w:val="24"/>
        </w:rPr>
        <w:t>，14</w:t>
      </w:r>
      <w:r>
        <w:rPr>
          <w:rFonts w:ascii="宋体" w:hAnsi="宋体"/>
          <w:sz w:val="24"/>
        </w:rPr>
        <w:t>:</w:t>
      </w:r>
      <w:r>
        <w:rPr>
          <w:rFonts w:hint="eastAsia" w:ascii="宋体" w:hAnsi="宋体"/>
          <w:sz w:val="24"/>
        </w:rPr>
        <w:t>0</w:t>
      </w:r>
      <w:r>
        <w:rPr>
          <w:rFonts w:ascii="宋体" w:hAnsi="宋体"/>
          <w:sz w:val="24"/>
        </w:rPr>
        <w:t>0-1</w:t>
      </w:r>
      <w:r>
        <w:rPr>
          <w:rFonts w:hint="eastAsia" w:ascii="宋体" w:hAnsi="宋体"/>
          <w:sz w:val="24"/>
        </w:rPr>
        <w:t>7</w:t>
      </w:r>
      <w:r>
        <w:rPr>
          <w:rFonts w:ascii="宋体" w:hAnsi="宋体"/>
          <w:sz w:val="24"/>
        </w:rPr>
        <w:t>:</w:t>
      </w:r>
      <w:r>
        <w:rPr>
          <w:rFonts w:hint="eastAsia" w:ascii="宋体" w:hAnsi="宋体"/>
          <w:sz w:val="24"/>
        </w:rPr>
        <w:t>0</w:t>
      </w:r>
      <w:r>
        <w:rPr>
          <w:rFonts w:ascii="宋体" w:hAnsi="宋体"/>
          <w:sz w:val="24"/>
        </w:rPr>
        <w:t>0</w:t>
      </w:r>
      <w:r>
        <w:rPr>
          <w:rFonts w:hint="eastAsia" w:ascii="宋体" w:hAnsi="宋体"/>
          <w:sz w:val="24"/>
        </w:rPr>
        <w:t>出售。招标文件售价为</w:t>
      </w:r>
      <w:r>
        <w:rPr>
          <w:rFonts w:hint="eastAsia" w:ascii="宋体" w:hAnsi="宋体"/>
          <w:sz w:val="24"/>
          <w:lang w:val="en-US" w:eastAsia="zh-CN"/>
        </w:rPr>
        <w:t>1000</w:t>
      </w:r>
      <w:r>
        <w:rPr>
          <w:rFonts w:hint="eastAsia" w:ascii="宋体" w:hAnsi="宋体"/>
          <w:sz w:val="24"/>
        </w:rPr>
        <w:t>元</w:t>
      </w:r>
      <w:r>
        <w:rPr>
          <w:rFonts w:ascii="宋体" w:hAnsi="宋体"/>
          <w:sz w:val="24"/>
        </w:rPr>
        <w:t>/</w:t>
      </w:r>
      <w:r>
        <w:rPr>
          <w:rFonts w:hint="eastAsia" w:ascii="宋体" w:hAnsi="宋体"/>
          <w:sz w:val="24"/>
          <w:lang w:val="en-US" w:eastAsia="zh-CN"/>
        </w:rPr>
        <w:t>标段</w:t>
      </w:r>
      <w:r>
        <w:rPr>
          <w:rFonts w:hint="eastAsia" w:ascii="宋体" w:hAnsi="宋体"/>
          <w:sz w:val="24"/>
        </w:rPr>
        <w:t>，标书售后不退，现场报名，不办理邮购。投标人可按本公告的联系地址，携带下列资料购买招标文件（加盖公章的一套复印件交报名处留存）：</w:t>
      </w:r>
    </w:p>
    <w:p>
      <w:pPr>
        <w:snapToGrid w:val="0"/>
        <w:spacing w:line="420" w:lineRule="exact"/>
        <w:jc w:val="left"/>
        <w:rPr>
          <w:rFonts w:ascii="宋体"/>
          <w:sz w:val="24"/>
        </w:rPr>
      </w:pPr>
      <w:r>
        <w:rPr>
          <w:rFonts w:hint="eastAsia" w:ascii="宋体" w:hAnsi="宋体"/>
          <w:sz w:val="24"/>
        </w:rPr>
        <w:t>（</w:t>
      </w:r>
      <w:r>
        <w:rPr>
          <w:rFonts w:ascii="宋体" w:hAnsi="宋体"/>
          <w:sz w:val="24"/>
        </w:rPr>
        <w:t>1</w:t>
      </w:r>
      <w:r>
        <w:rPr>
          <w:rFonts w:hint="eastAsia" w:ascii="宋体" w:hAnsi="宋体"/>
          <w:sz w:val="24"/>
        </w:rPr>
        <w:t>）营业执照副本（原件</w:t>
      </w:r>
      <w:r>
        <w:rPr>
          <w:rFonts w:hint="eastAsia" w:ascii="宋体" w:hAnsi="宋体"/>
          <w:sz w:val="24"/>
          <w:lang w:val="en-US" w:eastAsia="zh-CN"/>
        </w:rPr>
        <w:t>及</w:t>
      </w:r>
      <w:r>
        <w:rPr>
          <w:rFonts w:hint="eastAsia" w:ascii="宋体" w:hAnsi="宋体"/>
          <w:sz w:val="24"/>
        </w:rPr>
        <w:t>复印件加盖公章）（如已三证合一2、3项可略去）；</w:t>
      </w:r>
      <w:r>
        <w:rPr>
          <w:rFonts w:ascii="宋体" w:hAnsi="宋体"/>
          <w:sz w:val="24"/>
        </w:rPr>
        <w:t xml:space="preserve"> </w:t>
      </w:r>
    </w:p>
    <w:p>
      <w:pPr>
        <w:snapToGrid w:val="0"/>
        <w:spacing w:line="420" w:lineRule="exact"/>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）税务登记证（原件</w:t>
      </w:r>
      <w:r>
        <w:rPr>
          <w:rFonts w:hint="eastAsia" w:ascii="宋体" w:hAnsi="宋体"/>
          <w:sz w:val="24"/>
          <w:lang w:val="en-US" w:eastAsia="zh-CN"/>
        </w:rPr>
        <w:t>及</w:t>
      </w:r>
      <w:r>
        <w:rPr>
          <w:rFonts w:hint="eastAsia" w:ascii="宋体" w:hAnsi="宋体"/>
          <w:sz w:val="24"/>
        </w:rPr>
        <w:t>复印件加盖公章）；</w:t>
      </w:r>
    </w:p>
    <w:p>
      <w:pPr>
        <w:snapToGrid w:val="0"/>
        <w:spacing w:line="420" w:lineRule="exact"/>
        <w:jc w:val="left"/>
        <w:rPr>
          <w:rFonts w:hint="eastAsia" w:ascii="宋体" w:hAnsi="宋体"/>
          <w:sz w:val="24"/>
        </w:rPr>
      </w:pPr>
      <w:r>
        <w:rPr>
          <w:rFonts w:hint="eastAsia" w:ascii="宋体" w:hAnsi="宋体"/>
          <w:sz w:val="24"/>
        </w:rPr>
        <w:t>（</w:t>
      </w:r>
      <w:r>
        <w:rPr>
          <w:rFonts w:ascii="宋体" w:hAnsi="宋体"/>
          <w:sz w:val="24"/>
        </w:rPr>
        <w:t>3</w:t>
      </w:r>
      <w:r>
        <w:rPr>
          <w:rFonts w:hint="eastAsia" w:ascii="宋体" w:hAnsi="宋体"/>
          <w:sz w:val="24"/>
        </w:rPr>
        <w:t>）组织机构代码证书（原件</w:t>
      </w:r>
      <w:r>
        <w:rPr>
          <w:rFonts w:hint="eastAsia" w:ascii="宋体" w:hAnsi="宋体"/>
          <w:sz w:val="24"/>
          <w:lang w:val="en-US" w:eastAsia="zh-CN"/>
        </w:rPr>
        <w:t>及</w:t>
      </w:r>
      <w:r>
        <w:rPr>
          <w:rFonts w:hint="eastAsia" w:ascii="宋体" w:hAnsi="宋体"/>
          <w:sz w:val="24"/>
        </w:rPr>
        <w:t>复印件加盖公章）；</w:t>
      </w:r>
    </w:p>
    <w:p>
      <w:pPr>
        <w:snapToGrid w:val="0"/>
        <w:spacing w:line="420" w:lineRule="exact"/>
        <w:jc w:val="left"/>
        <w:rPr>
          <w:rFonts w:hint="eastAsia" w:ascii="宋体" w:hAnsi="宋体"/>
          <w:sz w:val="24"/>
        </w:rPr>
      </w:pPr>
      <w:r>
        <w:rPr>
          <w:rFonts w:hint="eastAsia" w:ascii="宋体" w:hAnsi="宋体"/>
          <w:sz w:val="24"/>
        </w:rPr>
        <w:t>（</w:t>
      </w:r>
      <w:r>
        <w:rPr>
          <w:rFonts w:ascii="宋体" w:hAnsi="宋体"/>
          <w:sz w:val="24"/>
        </w:rPr>
        <w:t>4</w:t>
      </w:r>
      <w:r>
        <w:rPr>
          <w:rFonts w:hint="eastAsia" w:ascii="宋体" w:hAnsi="宋体"/>
          <w:sz w:val="24"/>
        </w:rPr>
        <w:t>）法定代表人身份证明文件（原件）、法定代表人授权委托书（原件），法定代表人或委托代理人本人身份证（原件）。</w:t>
      </w:r>
    </w:p>
    <w:p>
      <w:pPr>
        <w:spacing w:line="360" w:lineRule="auto"/>
        <w:rPr>
          <w:rFonts w:hint="eastAsia" w:ascii="宋体" w:hAnsi="宋体"/>
          <w:spacing w:val="10"/>
          <w:sz w:val="24"/>
          <w:lang w:eastAsia="zh-CN"/>
        </w:rPr>
      </w:pPr>
      <w:r>
        <w:rPr>
          <w:rFonts w:hint="eastAsia" w:ascii="宋体" w:hAnsi="宋体"/>
          <w:spacing w:val="10"/>
          <w:sz w:val="24"/>
          <w:lang w:eastAsia="zh-CN"/>
        </w:rPr>
        <w:t>（</w:t>
      </w:r>
      <w:r>
        <w:rPr>
          <w:rFonts w:hint="eastAsia" w:ascii="宋体" w:hAnsi="宋体"/>
          <w:spacing w:val="10"/>
          <w:sz w:val="24"/>
          <w:lang w:val="en-US" w:eastAsia="zh-CN"/>
        </w:rPr>
        <w:t>5</w:t>
      </w:r>
      <w:r>
        <w:rPr>
          <w:rFonts w:hint="eastAsia" w:ascii="宋体" w:hAnsi="宋体"/>
          <w:spacing w:val="10"/>
          <w:sz w:val="24"/>
          <w:lang w:eastAsia="zh-CN"/>
        </w:rPr>
        <w:t>）投标人须提供检察机关开具的参加此次政府采购活动前在有效期内“行贿犯罪档案查询”证明（原件</w:t>
      </w:r>
      <w:r>
        <w:rPr>
          <w:rFonts w:hint="eastAsia" w:ascii="宋体" w:hAnsi="宋体"/>
          <w:spacing w:val="10"/>
          <w:sz w:val="24"/>
          <w:lang w:val="en-US" w:eastAsia="zh-CN"/>
        </w:rPr>
        <w:t>及复印件加盖公章</w:t>
      </w:r>
      <w:r>
        <w:rPr>
          <w:rFonts w:hint="eastAsia" w:ascii="宋体" w:hAnsi="宋体"/>
          <w:spacing w:val="10"/>
          <w:sz w:val="24"/>
          <w:lang w:eastAsia="zh-CN"/>
        </w:rPr>
        <w:t>）</w:t>
      </w:r>
    </w:p>
    <w:p>
      <w:pPr>
        <w:spacing w:line="360" w:lineRule="auto"/>
        <w:rPr>
          <w:rFonts w:hint="eastAsia" w:ascii="宋体" w:hAnsi="宋体"/>
          <w:color w:val="000000"/>
          <w:spacing w:val="10"/>
          <w:sz w:val="24"/>
        </w:rPr>
      </w:pPr>
      <w:r>
        <w:rPr>
          <w:rFonts w:hint="eastAsia" w:ascii="宋体" w:hAnsi="宋体"/>
          <w:spacing w:val="10"/>
          <w:sz w:val="24"/>
        </w:rPr>
        <w:t>5、开标时间：</w:t>
      </w:r>
      <w:r>
        <w:rPr>
          <w:rFonts w:hint="eastAsia" w:ascii="宋体" w:hAnsi="宋体"/>
          <w:color w:val="000000"/>
          <w:spacing w:val="10"/>
          <w:sz w:val="24"/>
        </w:rPr>
        <w:t>2018年</w:t>
      </w:r>
      <w:r>
        <w:rPr>
          <w:rFonts w:hint="eastAsia" w:ascii="宋体" w:hAnsi="宋体"/>
          <w:color w:val="000000"/>
          <w:spacing w:val="10"/>
          <w:sz w:val="24"/>
          <w:lang w:val="en-US" w:eastAsia="zh-CN"/>
        </w:rPr>
        <w:t>7</w:t>
      </w:r>
      <w:r>
        <w:rPr>
          <w:rFonts w:hint="eastAsia" w:ascii="宋体" w:hAnsi="宋体"/>
          <w:color w:val="000000"/>
          <w:spacing w:val="10"/>
          <w:sz w:val="24"/>
        </w:rPr>
        <w:t>月</w:t>
      </w:r>
      <w:r>
        <w:rPr>
          <w:rFonts w:hint="eastAsia" w:ascii="宋体" w:hAnsi="宋体"/>
          <w:color w:val="000000"/>
          <w:spacing w:val="10"/>
          <w:sz w:val="24"/>
          <w:lang w:val="en-US" w:eastAsia="zh-CN"/>
        </w:rPr>
        <w:t>24</w:t>
      </w:r>
      <w:r>
        <w:rPr>
          <w:rFonts w:hint="eastAsia" w:ascii="宋体" w:hAnsi="宋体"/>
          <w:color w:val="000000"/>
          <w:spacing w:val="10"/>
          <w:sz w:val="24"/>
        </w:rPr>
        <w:t>日上午</w:t>
      </w:r>
      <w:r>
        <w:rPr>
          <w:rFonts w:hint="eastAsia" w:ascii="宋体" w:hAnsi="宋体"/>
          <w:color w:val="000000"/>
          <w:spacing w:val="10"/>
          <w:sz w:val="24"/>
          <w:lang w:val="en-US" w:eastAsia="zh-CN"/>
        </w:rPr>
        <w:t>10</w:t>
      </w:r>
      <w:r>
        <w:rPr>
          <w:rFonts w:hint="eastAsia" w:ascii="宋体" w:hAnsi="宋体"/>
          <w:color w:val="000000"/>
          <w:spacing w:val="10"/>
          <w:sz w:val="24"/>
        </w:rPr>
        <w:t>：</w:t>
      </w:r>
      <w:r>
        <w:rPr>
          <w:rFonts w:hint="eastAsia" w:ascii="宋体" w:hAnsi="宋体"/>
          <w:color w:val="000000"/>
          <w:spacing w:val="10"/>
          <w:sz w:val="24"/>
          <w:lang w:val="en-US" w:eastAsia="zh-CN"/>
        </w:rPr>
        <w:t>0</w:t>
      </w:r>
      <w:r>
        <w:rPr>
          <w:rFonts w:hint="eastAsia" w:ascii="宋体" w:hAnsi="宋体"/>
          <w:color w:val="000000"/>
          <w:spacing w:val="10"/>
          <w:sz w:val="24"/>
        </w:rPr>
        <w:t>0（北京时间）。</w:t>
      </w:r>
    </w:p>
    <w:p>
      <w:pPr>
        <w:ind w:firstLine="520" w:firstLineChars="200"/>
        <w:rPr>
          <w:rFonts w:hint="eastAsia" w:ascii="宋体" w:hAnsi="宋体"/>
          <w:spacing w:val="10"/>
          <w:sz w:val="24"/>
        </w:rPr>
      </w:pPr>
      <w:r>
        <w:rPr>
          <w:rFonts w:hint="eastAsia" w:ascii="宋体" w:hAnsi="宋体"/>
          <w:spacing w:val="10"/>
          <w:sz w:val="24"/>
        </w:rPr>
        <w:t>开标地点：昆明市盘龙区白龙寺中国林业科学研究院资源昆虫研究所2楼B213会议室</w:t>
      </w:r>
    </w:p>
    <w:p>
      <w:pPr>
        <w:spacing w:line="360" w:lineRule="auto"/>
        <w:rPr>
          <w:rFonts w:hint="eastAsia" w:ascii="宋体" w:hAnsi="宋体" w:cs="宋体"/>
          <w:kern w:val="0"/>
          <w:sz w:val="24"/>
        </w:rPr>
      </w:pPr>
      <w:r>
        <w:rPr>
          <w:rFonts w:hint="eastAsia" w:ascii="宋体" w:hAnsi="宋体"/>
          <w:spacing w:val="10"/>
          <w:sz w:val="24"/>
        </w:rPr>
        <w:t>6、投标</w:t>
      </w:r>
      <w:r>
        <w:rPr>
          <w:rFonts w:ascii="宋体" w:hAnsi="宋体" w:cs="宋体"/>
          <w:kern w:val="0"/>
          <w:sz w:val="24"/>
        </w:rPr>
        <w:t>文件递交截止时间：</w:t>
      </w:r>
      <w:r>
        <w:rPr>
          <w:rFonts w:hint="eastAsia" w:ascii="宋体" w:hAnsi="宋体"/>
          <w:color w:val="000000"/>
          <w:spacing w:val="10"/>
          <w:sz w:val="24"/>
        </w:rPr>
        <w:t>2018年</w:t>
      </w:r>
      <w:r>
        <w:rPr>
          <w:rFonts w:hint="eastAsia" w:ascii="宋体" w:hAnsi="宋体"/>
          <w:color w:val="000000"/>
          <w:spacing w:val="10"/>
          <w:sz w:val="24"/>
          <w:lang w:val="en-US" w:eastAsia="zh-CN"/>
        </w:rPr>
        <w:t>7</w:t>
      </w:r>
      <w:r>
        <w:rPr>
          <w:rFonts w:hint="eastAsia" w:ascii="宋体" w:hAnsi="宋体"/>
          <w:color w:val="000000"/>
          <w:spacing w:val="10"/>
          <w:sz w:val="24"/>
        </w:rPr>
        <w:t>月</w:t>
      </w:r>
      <w:r>
        <w:rPr>
          <w:rFonts w:hint="eastAsia" w:ascii="宋体" w:hAnsi="宋体"/>
          <w:color w:val="000000"/>
          <w:spacing w:val="10"/>
          <w:sz w:val="24"/>
          <w:lang w:val="en-US" w:eastAsia="zh-CN"/>
        </w:rPr>
        <w:t>24</w:t>
      </w:r>
      <w:r>
        <w:rPr>
          <w:rFonts w:hint="eastAsia" w:ascii="宋体" w:hAnsi="宋体"/>
          <w:color w:val="000000"/>
          <w:spacing w:val="10"/>
          <w:sz w:val="24"/>
        </w:rPr>
        <w:t>日</w:t>
      </w:r>
      <w:r>
        <w:rPr>
          <w:rFonts w:hint="eastAsia" w:ascii="宋体" w:hAnsi="宋体"/>
          <w:color w:val="000000"/>
          <w:sz w:val="24"/>
        </w:rPr>
        <w:t>上</w:t>
      </w:r>
      <w:r>
        <w:rPr>
          <w:rFonts w:ascii="宋体" w:hAnsi="宋体"/>
          <w:color w:val="000000"/>
          <w:sz w:val="24"/>
        </w:rPr>
        <w:t>午</w:t>
      </w:r>
      <w:r>
        <w:rPr>
          <w:rFonts w:hint="eastAsia" w:ascii="宋体" w:hAnsi="宋体"/>
          <w:color w:val="000000"/>
          <w:sz w:val="24"/>
          <w:lang w:val="en-US" w:eastAsia="zh-CN"/>
        </w:rPr>
        <w:t>10</w:t>
      </w:r>
      <w:r>
        <w:rPr>
          <w:rFonts w:hint="eastAsia" w:ascii="宋体" w:hAnsi="宋体"/>
          <w:color w:val="000000"/>
          <w:sz w:val="24"/>
        </w:rPr>
        <w:t>:</w:t>
      </w:r>
      <w:r>
        <w:rPr>
          <w:rFonts w:hint="eastAsia" w:ascii="宋体" w:hAnsi="宋体"/>
          <w:color w:val="000000"/>
          <w:sz w:val="24"/>
          <w:lang w:val="en-US" w:eastAsia="zh-CN"/>
        </w:rPr>
        <w:t>0</w:t>
      </w:r>
      <w:r>
        <w:rPr>
          <w:rFonts w:hint="eastAsia" w:ascii="宋体" w:hAnsi="宋体"/>
          <w:color w:val="000000"/>
          <w:sz w:val="24"/>
        </w:rPr>
        <w:t>0</w:t>
      </w:r>
      <w:r>
        <w:rPr>
          <w:rFonts w:hint="eastAsia" w:ascii="宋体" w:hAnsi="宋体"/>
          <w:color w:val="000000"/>
          <w:spacing w:val="10"/>
          <w:sz w:val="24"/>
        </w:rPr>
        <w:t>（北京时间）。</w:t>
      </w:r>
    </w:p>
    <w:p>
      <w:pPr>
        <w:spacing w:line="360" w:lineRule="auto"/>
        <w:ind w:left="2998" w:leftChars="399" w:hanging="2160" w:hangingChars="900"/>
        <w:rPr>
          <w:rFonts w:hint="eastAsia" w:ascii="宋体" w:hAnsi="宋体"/>
          <w:sz w:val="24"/>
        </w:rPr>
      </w:pPr>
      <w:r>
        <w:rPr>
          <w:rFonts w:hint="eastAsia" w:ascii="宋体" w:hAnsi="宋体" w:cs="宋体"/>
          <w:kern w:val="0"/>
          <w:sz w:val="24"/>
        </w:rPr>
        <w:t>投标文件递交地点：昆明市盘龙区白龙寺中国林业科学研究院资源昆虫研究所2楼B213会议室</w:t>
      </w:r>
      <w:r>
        <w:rPr>
          <w:rFonts w:hint="eastAsia" w:ascii="宋体" w:hAnsi="宋体"/>
          <w:sz w:val="24"/>
        </w:rPr>
        <w:t xml:space="preserve"> </w:t>
      </w:r>
    </w:p>
    <w:p>
      <w:pPr>
        <w:spacing w:line="360" w:lineRule="auto"/>
        <w:ind w:left="3006" w:leftChars="399" w:hanging="2168" w:hangingChars="900"/>
        <w:rPr>
          <w:rFonts w:hint="eastAsia" w:ascii="宋体" w:hAnsi="宋体"/>
          <w:b/>
          <w:spacing w:val="10"/>
          <w:sz w:val="24"/>
        </w:rPr>
      </w:pPr>
      <w:r>
        <w:rPr>
          <w:rFonts w:ascii="宋体" w:hAnsi="宋体" w:cs="宋体"/>
          <w:b/>
          <w:kern w:val="0"/>
          <w:sz w:val="24"/>
        </w:rPr>
        <w:t>逾期送达的或者未送达指定地点的投标文件，采购人</w:t>
      </w:r>
      <w:r>
        <w:rPr>
          <w:rFonts w:hint="eastAsia" w:ascii="宋体" w:hAnsi="宋体" w:cs="宋体"/>
          <w:b/>
          <w:kern w:val="0"/>
          <w:sz w:val="24"/>
        </w:rPr>
        <w:t>作拒收处理</w:t>
      </w:r>
      <w:r>
        <w:rPr>
          <w:rFonts w:ascii="宋体" w:hAnsi="宋体" w:cs="宋体"/>
          <w:b/>
          <w:kern w:val="0"/>
          <w:sz w:val="24"/>
        </w:rPr>
        <w:t>。</w:t>
      </w:r>
    </w:p>
    <w:p>
      <w:pPr>
        <w:pStyle w:val="3"/>
        <w:spacing w:after="0"/>
        <w:ind w:left="218" w:hanging="130"/>
        <w:rPr>
          <w:rFonts w:hint="eastAsia"/>
          <w:color w:val="000000"/>
          <w:szCs w:val="24"/>
        </w:rPr>
      </w:pPr>
      <w:r>
        <w:rPr>
          <w:rFonts w:hint="eastAsia"/>
          <w:spacing w:val="10"/>
        </w:rPr>
        <w:t>7、</w:t>
      </w:r>
      <w:r>
        <w:rPr>
          <w:rFonts w:hint="eastAsia"/>
        </w:rPr>
        <w:t>交货期：</w:t>
      </w:r>
      <w:r>
        <w:rPr>
          <w:rFonts w:hint="eastAsia" w:cs="宋体"/>
          <w:color w:val="000000"/>
          <w:kern w:val="0"/>
        </w:rPr>
        <w:t>投标人根据自身情况，投报最短交货期</w:t>
      </w:r>
      <w:r>
        <w:rPr>
          <w:rFonts w:hint="eastAsia"/>
          <w:color w:val="000000"/>
          <w:szCs w:val="24"/>
        </w:rPr>
        <w:t>。</w:t>
      </w:r>
    </w:p>
    <w:p>
      <w:pPr>
        <w:spacing w:line="360" w:lineRule="auto"/>
        <w:rPr>
          <w:rFonts w:hint="eastAsia" w:ascii="宋体" w:hAnsi="宋体" w:cs="宋体"/>
          <w:bCs/>
          <w:color w:val="000000"/>
          <w:sz w:val="24"/>
        </w:rPr>
      </w:pPr>
      <w:r>
        <w:rPr>
          <w:rFonts w:hint="eastAsia" w:ascii="宋体" w:hAnsi="宋体"/>
          <w:spacing w:val="10"/>
          <w:sz w:val="24"/>
        </w:rPr>
        <w:t>8、</w:t>
      </w:r>
      <w:r>
        <w:rPr>
          <w:rFonts w:ascii="宋体" w:hAnsi="宋体" w:cs="宋体"/>
          <w:kern w:val="0"/>
          <w:sz w:val="24"/>
        </w:rPr>
        <w:t>交货地点：</w:t>
      </w:r>
      <w:r>
        <w:rPr>
          <w:rFonts w:hint="eastAsia" w:ascii="宋体" w:hAnsi="宋体"/>
          <w:color w:val="000000"/>
          <w:sz w:val="24"/>
        </w:rPr>
        <w:t>采购人指定地点</w:t>
      </w:r>
      <w:r>
        <w:rPr>
          <w:rFonts w:hint="eastAsia" w:ascii="宋体" w:hAnsi="宋体" w:cs="宋体"/>
          <w:bCs/>
          <w:color w:val="000000"/>
          <w:sz w:val="24"/>
        </w:rPr>
        <w:t>。</w:t>
      </w:r>
    </w:p>
    <w:p>
      <w:pPr>
        <w:spacing w:line="360" w:lineRule="auto"/>
        <w:rPr>
          <w:rFonts w:hint="eastAsia" w:ascii="宋体" w:hAnsi="宋体" w:cs="宋体"/>
          <w:bCs/>
          <w:color w:val="000000"/>
          <w:sz w:val="24"/>
        </w:rPr>
      </w:pPr>
      <w:r>
        <w:rPr>
          <w:rFonts w:hint="eastAsia" w:ascii="宋体" w:hAnsi="宋体" w:cs="宋体"/>
          <w:bCs/>
          <w:color w:val="000000"/>
          <w:sz w:val="24"/>
          <w:lang w:val="en-US" w:eastAsia="zh-CN"/>
        </w:rPr>
        <w:t>9、</w:t>
      </w:r>
      <w:r>
        <w:rPr>
          <w:rFonts w:hint="eastAsia" w:ascii="宋体" w:hAnsi="宋体" w:cs="宋体"/>
          <w:bCs/>
          <w:color w:val="000000"/>
          <w:sz w:val="24"/>
        </w:rPr>
        <w:t>质保期：整机免费保修不低于一年（招标文件</w:t>
      </w:r>
      <w:r>
        <w:rPr>
          <w:rFonts w:hint="eastAsia" w:ascii="宋体" w:hAnsi="宋体" w:cs="宋体"/>
          <w:bCs/>
          <w:color w:val="000000"/>
          <w:sz w:val="24"/>
          <w:lang w:val="en-US" w:eastAsia="zh-CN"/>
        </w:rPr>
        <w:t>附件九</w:t>
      </w:r>
      <w:r>
        <w:rPr>
          <w:rFonts w:hint="eastAsia" w:ascii="宋体" w:hAnsi="宋体" w:cs="宋体"/>
          <w:bCs/>
          <w:color w:val="000000"/>
          <w:sz w:val="24"/>
        </w:rPr>
        <w:t>技术要求中另有规定的，以技术要求为准），提供终身维护服务。</w:t>
      </w:r>
    </w:p>
    <w:p>
      <w:pPr>
        <w:pStyle w:val="3"/>
        <w:spacing w:after="0"/>
        <w:ind w:left="218" w:hanging="130"/>
        <w:rPr>
          <w:rFonts w:hint="eastAsia"/>
          <w:spacing w:val="10"/>
        </w:rPr>
      </w:pPr>
      <w:r>
        <w:rPr>
          <w:rFonts w:hint="eastAsia"/>
          <w:spacing w:val="10"/>
          <w:lang w:val="en-US" w:eastAsia="zh-CN"/>
        </w:rPr>
        <w:t>10</w:t>
      </w:r>
      <w:r>
        <w:rPr>
          <w:rFonts w:hint="eastAsia"/>
          <w:spacing w:val="10"/>
        </w:rPr>
        <w:t>、</w:t>
      </w:r>
      <w:r>
        <w:rPr>
          <w:rFonts w:hint="eastAsia"/>
          <w:color w:val="000000"/>
          <w:spacing w:val="10"/>
        </w:rPr>
        <w:t>投标人在开标前务必认真阅读本招标文件全部内容，招标文件如有变更、补充等，将以</w:t>
      </w:r>
      <w:r>
        <w:rPr>
          <w:rFonts w:hint="eastAsia"/>
          <w:color w:val="000000"/>
        </w:rPr>
        <w:t>书面形式和网上公告形式</w:t>
      </w:r>
      <w:r>
        <w:rPr>
          <w:rFonts w:hint="eastAsia"/>
          <w:b/>
          <w:color w:val="000000"/>
        </w:rPr>
        <w:t>(</w:t>
      </w:r>
      <w:r>
        <w:rPr>
          <w:rFonts w:hint="eastAsia"/>
          <w:b/>
          <w:bCs/>
          <w:color w:val="000000"/>
        </w:rPr>
        <w:t>书面形式包括传真；网上公告形式发布媒介：</w:t>
      </w:r>
      <w:r>
        <w:rPr>
          <w:rFonts w:hint="eastAsia"/>
          <w:b/>
          <w:bCs/>
          <w:color w:val="000000"/>
          <w:u w:val="single"/>
        </w:rPr>
        <w:t>中国政府采购网</w:t>
      </w:r>
      <w:r>
        <w:rPr>
          <w:rFonts w:hint="eastAsia"/>
          <w:b/>
          <w:bCs/>
          <w:color w:val="000000"/>
        </w:rPr>
        <w:t>进行发布告知</w:t>
      </w:r>
      <w:r>
        <w:rPr>
          <w:rFonts w:hint="eastAsia"/>
          <w:b/>
          <w:color w:val="000000"/>
        </w:rPr>
        <w:t>)</w:t>
      </w:r>
      <w:r>
        <w:rPr>
          <w:rFonts w:hint="eastAsia"/>
          <w:color w:val="000000"/>
          <w:spacing w:val="10"/>
        </w:rPr>
        <w:t>。请投标人经常访问公告发布媒介获取最新信息。</w:t>
      </w:r>
    </w:p>
    <w:p>
      <w:pPr>
        <w:spacing w:line="360" w:lineRule="auto"/>
        <w:rPr>
          <w:rFonts w:hint="eastAsia"/>
        </w:rPr>
      </w:pPr>
      <w:r>
        <w:rPr>
          <w:rFonts w:hint="eastAsia" w:ascii="宋体" w:hAnsi="宋体"/>
          <w:color w:val="000000"/>
          <w:spacing w:val="10"/>
          <w:sz w:val="24"/>
        </w:rPr>
        <w:t>1</w:t>
      </w:r>
      <w:r>
        <w:rPr>
          <w:rFonts w:hint="eastAsia" w:ascii="宋体" w:hAnsi="宋体"/>
          <w:color w:val="000000"/>
          <w:spacing w:val="10"/>
          <w:sz w:val="24"/>
          <w:lang w:val="en-US" w:eastAsia="zh-CN"/>
        </w:rPr>
        <w:t>1</w:t>
      </w:r>
      <w:r>
        <w:rPr>
          <w:rFonts w:hint="eastAsia" w:ascii="宋体" w:hAnsi="宋体"/>
          <w:color w:val="000000"/>
          <w:spacing w:val="10"/>
          <w:sz w:val="24"/>
        </w:rPr>
        <w:t>、公告发布媒介：</w:t>
      </w:r>
      <w:r>
        <w:rPr>
          <w:rFonts w:hint="eastAsia"/>
          <w:sz w:val="24"/>
        </w:rPr>
        <w:t>本次项目招标公告在</w:t>
      </w:r>
      <w:r>
        <w:rPr>
          <w:rFonts w:hint="eastAsia" w:ascii="宋体" w:hAnsi="宋体"/>
          <w:b/>
          <w:sz w:val="24"/>
          <w:u w:val="single"/>
        </w:rPr>
        <w:t>中国政府采购网</w:t>
      </w:r>
      <w:r>
        <w:rPr>
          <w:rFonts w:hint="eastAsia"/>
          <w:sz w:val="24"/>
        </w:rPr>
        <w:t>发布。</w:t>
      </w:r>
    </w:p>
    <w:p>
      <w:pPr>
        <w:spacing w:line="360" w:lineRule="auto"/>
        <w:ind w:firstLine="520" w:firstLineChars="200"/>
        <w:rPr>
          <w:rFonts w:hint="eastAsia" w:ascii="宋体" w:hAnsi="宋体"/>
          <w:spacing w:val="10"/>
          <w:sz w:val="24"/>
        </w:rPr>
      </w:pPr>
      <w:r>
        <w:rPr>
          <w:rFonts w:hint="eastAsia" w:ascii="宋体" w:hAnsi="宋体"/>
          <w:spacing w:val="10"/>
          <w:sz w:val="24"/>
        </w:rPr>
        <w:t>采 购 人：中国林业科学研究院资源昆虫研究所</w:t>
      </w:r>
    </w:p>
    <w:p>
      <w:pPr>
        <w:spacing w:line="360" w:lineRule="auto"/>
        <w:ind w:firstLine="520" w:firstLineChars="200"/>
        <w:rPr>
          <w:rFonts w:hint="eastAsia" w:ascii="宋体" w:hAnsi="宋体"/>
          <w:spacing w:val="10"/>
          <w:sz w:val="24"/>
          <w:lang w:val="en-US" w:eastAsia="zh-CN"/>
        </w:rPr>
      </w:pPr>
      <w:r>
        <w:rPr>
          <w:rFonts w:hint="eastAsia" w:ascii="宋体" w:hAnsi="宋体"/>
          <w:spacing w:val="10"/>
          <w:sz w:val="24"/>
          <w:lang w:val="en-US" w:eastAsia="zh-CN"/>
        </w:rPr>
        <w:t>联系电话：0871-63861488</w:t>
      </w:r>
    </w:p>
    <w:p>
      <w:pPr>
        <w:spacing w:line="360" w:lineRule="auto"/>
        <w:ind w:firstLine="520" w:firstLineChars="200"/>
        <w:rPr>
          <w:rFonts w:hint="eastAsia" w:ascii="宋体" w:hAnsi="宋体"/>
          <w:sz w:val="24"/>
        </w:rPr>
      </w:pPr>
      <w:r>
        <w:rPr>
          <w:rFonts w:hint="eastAsia" w:ascii="宋体" w:hAnsi="宋体"/>
          <w:spacing w:val="10"/>
          <w:sz w:val="24"/>
          <w:lang w:val="en-US" w:eastAsia="zh-CN"/>
        </w:rPr>
        <w:t>采购人地址：</w:t>
      </w:r>
      <w:r>
        <w:rPr>
          <w:rFonts w:hint="eastAsia" w:ascii="宋体" w:hAnsi="宋体"/>
          <w:spacing w:val="10"/>
          <w:sz w:val="24"/>
        </w:rPr>
        <w:t>昆明市盘龙区白龙寺</w:t>
      </w:r>
      <w:r>
        <w:rPr>
          <w:rFonts w:hint="eastAsia" w:ascii="宋体" w:hAnsi="宋体"/>
          <w:spacing w:val="10"/>
          <w:sz w:val="24"/>
          <w:lang w:eastAsia="zh-CN"/>
        </w:rPr>
        <w:t>（</w:t>
      </w:r>
      <w:r>
        <w:rPr>
          <w:rFonts w:hint="eastAsia" w:ascii="宋体" w:hAnsi="宋体"/>
          <w:spacing w:val="10"/>
          <w:sz w:val="24"/>
          <w:lang w:val="en-US" w:eastAsia="zh-CN"/>
        </w:rPr>
        <w:t>西南林业大学旁</w:t>
      </w:r>
      <w:r>
        <w:rPr>
          <w:rFonts w:hint="eastAsia" w:ascii="宋体" w:hAnsi="宋体"/>
          <w:spacing w:val="10"/>
          <w:sz w:val="24"/>
          <w:lang w:eastAsia="zh-CN"/>
        </w:rPr>
        <w:t>）</w:t>
      </w:r>
      <w:r>
        <w:rPr>
          <w:rFonts w:hint="eastAsia" w:ascii="宋体" w:hAnsi="宋体"/>
          <w:spacing w:val="10"/>
          <w:sz w:val="24"/>
        </w:rPr>
        <w:t xml:space="preserve">   </w:t>
      </w:r>
    </w:p>
    <w:p>
      <w:pPr>
        <w:spacing w:line="360" w:lineRule="auto"/>
        <w:ind w:firstLine="520" w:firstLineChars="200"/>
        <w:rPr>
          <w:rFonts w:hint="eastAsia" w:ascii="宋体" w:hAnsi="宋体"/>
          <w:spacing w:val="10"/>
          <w:sz w:val="24"/>
        </w:rPr>
      </w:pPr>
      <w:r>
        <w:rPr>
          <w:rFonts w:hint="eastAsia" w:ascii="宋体" w:hAnsi="宋体"/>
          <w:spacing w:val="10"/>
          <w:sz w:val="24"/>
        </w:rPr>
        <w:t>代理机构：云南志达招标有限公司</w:t>
      </w:r>
    </w:p>
    <w:p>
      <w:pPr>
        <w:spacing w:line="360" w:lineRule="auto"/>
        <w:ind w:firstLine="520" w:firstLineChars="200"/>
        <w:rPr>
          <w:rFonts w:hint="eastAsia" w:ascii="宋体" w:hAnsi="宋体"/>
          <w:spacing w:val="10"/>
          <w:sz w:val="24"/>
        </w:rPr>
      </w:pPr>
      <w:r>
        <w:rPr>
          <w:rFonts w:hint="eastAsia" w:ascii="宋体" w:hAnsi="宋体"/>
          <w:spacing w:val="10"/>
          <w:sz w:val="24"/>
        </w:rPr>
        <w:t>联 系 人：董工、谭工</w:t>
      </w:r>
    </w:p>
    <w:p>
      <w:pPr>
        <w:spacing w:line="360" w:lineRule="auto"/>
        <w:ind w:firstLine="520" w:firstLineChars="200"/>
        <w:rPr>
          <w:rFonts w:hint="eastAsia" w:ascii="宋体" w:hAnsi="宋体"/>
          <w:spacing w:val="10"/>
          <w:sz w:val="24"/>
        </w:rPr>
      </w:pPr>
      <w:r>
        <w:rPr>
          <w:rFonts w:hint="eastAsia" w:ascii="宋体" w:hAnsi="宋体"/>
          <w:spacing w:val="10"/>
          <w:sz w:val="24"/>
        </w:rPr>
        <w:t xml:space="preserve">联系电话：0871-63135986；     </w:t>
      </w:r>
    </w:p>
    <w:p>
      <w:pPr>
        <w:spacing w:line="360" w:lineRule="auto"/>
        <w:ind w:firstLine="520" w:firstLineChars="200"/>
        <w:rPr>
          <w:rFonts w:hint="eastAsia" w:ascii="宋体" w:hAnsi="宋体"/>
          <w:spacing w:val="10"/>
          <w:sz w:val="24"/>
        </w:rPr>
      </w:pPr>
      <w:r>
        <w:rPr>
          <w:rFonts w:hint="eastAsia" w:ascii="宋体" w:hAnsi="宋体"/>
          <w:spacing w:val="10"/>
          <w:sz w:val="24"/>
        </w:rPr>
        <w:t>传    真：0871-63116420；</w:t>
      </w:r>
    </w:p>
    <w:p>
      <w:pPr>
        <w:spacing w:line="360" w:lineRule="auto"/>
        <w:ind w:firstLine="520" w:firstLineChars="200"/>
        <w:rPr>
          <w:rFonts w:hint="eastAsia" w:ascii="宋体" w:hAnsi="宋体"/>
          <w:spacing w:val="10"/>
          <w:sz w:val="24"/>
        </w:rPr>
      </w:pPr>
      <w:r>
        <w:rPr>
          <w:rFonts w:hint="eastAsia" w:ascii="宋体" w:hAnsi="宋体"/>
          <w:spacing w:val="10"/>
          <w:sz w:val="24"/>
        </w:rPr>
        <w:t>地    址：昆明市西山区日新路，润城第一大道5栋8楼，业务二部。</w:t>
      </w:r>
    </w:p>
    <w:p>
      <w:pPr>
        <w:spacing w:line="360" w:lineRule="auto"/>
        <w:ind w:firstLine="520" w:firstLineChars="200"/>
        <w:rPr>
          <w:rFonts w:hint="eastAsia" w:ascii="宋体" w:hAnsi="宋体"/>
          <w:spacing w:val="10"/>
          <w:sz w:val="24"/>
        </w:rPr>
      </w:pPr>
      <w:r>
        <w:rPr>
          <w:rFonts w:hint="eastAsia" w:ascii="宋体" w:hAnsi="宋体"/>
          <w:spacing w:val="10"/>
          <w:sz w:val="24"/>
        </w:rPr>
        <w:t>邮政编码： 650011</w:t>
      </w:r>
    </w:p>
    <w:p>
      <w:pPr>
        <w:spacing w:line="360" w:lineRule="auto"/>
        <w:ind w:firstLine="520" w:firstLineChars="200"/>
        <w:rPr>
          <w:rFonts w:hint="eastAsia" w:ascii="宋体" w:hAnsi="宋体"/>
          <w:spacing w:val="10"/>
          <w:sz w:val="24"/>
        </w:rPr>
      </w:pPr>
      <w:r>
        <w:rPr>
          <w:rFonts w:hint="eastAsia" w:ascii="宋体" w:hAnsi="宋体"/>
          <w:spacing w:val="10"/>
          <w:sz w:val="24"/>
        </w:rPr>
        <w:t>开户银行：建行云南省分行营业部</w:t>
      </w:r>
    </w:p>
    <w:p>
      <w:pPr>
        <w:spacing w:line="360" w:lineRule="auto"/>
        <w:ind w:firstLine="520" w:firstLineChars="200"/>
        <w:rPr>
          <w:rFonts w:hint="eastAsia" w:ascii="宋体" w:hAnsi="宋体"/>
          <w:spacing w:val="10"/>
          <w:sz w:val="24"/>
        </w:rPr>
      </w:pPr>
      <w:r>
        <w:rPr>
          <w:rFonts w:hint="eastAsia" w:ascii="宋体" w:hAnsi="宋体"/>
          <w:spacing w:val="10"/>
          <w:sz w:val="24"/>
        </w:rPr>
        <w:t xml:space="preserve">户    名：云南志达招标有限公司  </w:t>
      </w:r>
    </w:p>
    <w:p>
      <w:pPr>
        <w:spacing w:line="360" w:lineRule="auto"/>
        <w:ind w:firstLine="390" w:firstLineChars="150"/>
        <w:rPr>
          <w:rFonts w:hint="eastAsia" w:ascii="宋体" w:hAnsi="宋体"/>
          <w:spacing w:val="10"/>
          <w:sz w:val="24"/>
        </w:rPr>
      </w:pPr>
      <w:r>
        <w:rPr>
          <w:rFonts w:hint="eastAsia" w:ascii="宋体" w:hAnsi="宋体"/>
          <w:spacing w:val="10"/>
          <w:sz w:val="24"/>
        </w:rPr>
        <w:t xml:space="preserve"> 账    号：5300 1875 0360 5100 2850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7550CE"/>
    <w:rsid w:val="047550C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qFormat/>
    <w:uiPriority w:val="0"/>
    <w:pPr>
      <w:keepNext/>
      <w:keepLines/>
      <w:spacing w:before="120" w:after="120"/>
      <w:jc w:val="center"/>
      <w:outlineLvl w:val="0"/>
    </w:pPr>
    <w:rPr>
      <w:b/>
      <w:spacing w:val="20"/>
      <w:kern w:val="44"/>
      <w:sz w:val="32"/>
      <w:szCs w:val="20"/>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index 1"/>
    <w:basedOn w:val="1"/>
    <w:next w:val="1"/>
    <w:uiPriority w:val="0"/>
    <w:pPr>
      <w:spacing w:after="120" w:line="360" w:lineRule="auto"/>
      <w:ind w:left="208" w:leftChars="42" w:hanging="120" w:hangingChars="50"/>
    </w:pPr>
    <w:rPr>
      <w:rFonts w:ascii="宋体" w:hAnsi="宋体"/>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2018-07-02T06:06:00Z</dcterms:created>
  <dc:creator>Mrkj</dc:creator>
  <cp:lastModifiedBy>Mrkj</cp:lastModifiedBy>
  <dcterms:modified xsi:type="dcterms:W3CDTF">2018-07-02T06:06:48Z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