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eastAsia="黑体"/>
          <w:sz w:val="36"/>
          <w:szCs w:val="36"/>
          <w:lang w:val="zh-CN"/>
        </w:rPr>
      </w:pPr>
      <w:bookmarkStart w:id="1" w:name="_GoBack"/>
      <w:bookmarkEnd w:id="1"/>
      <w:r>
        <w:rPr>
          <w:rFonts w:eastAsia="黑体"/>
          <w:sz w:val="36"/>
          <w:szCs w:val="36"/>
          <w:lang w:val="zh-CN"/>
        </w:rPr>
        <w:t>项目需求以及技术要求</w:t>
      </w:r>
    </w:p>
    <w:p>
      <w:pPr>
        <w:autoSpaceDE w:val="0"/>
        <w:autoSpaceDN w:val="0"/>
        <w:spacing w:line="360" w:lineRule="auto"/>
        <w:rPr>
          <w:rFonts w:cs="Times New Roman"/>
          <w:sz w:val="24"/>
          <w:szCs w:val="24"/>
          <w:lang w:val="zh-CN"/>
        </w:rPr>
      </w:pPr>
      <w:r>
        <w:rPr>
          <w:rFonts w:hint="eastAsia" w:cs="Times New Roman"/>
          <w:sz w:val="24"/>
          <w:szCs w:val="24"/>
          <w:lang w:val="zh-CN"/>
        </w:rPr>
        <w:t>1.</w:t>
      </w:r>
      <w:bookmarkStart w:id="0" w:name="_Toc524597050"/>
      <w:r>
        <w:rPr>
          <w:rFonts w:hint="eastAsia" w:cs="Times New Roman"/>
          <w:sz w:val="24"/>
          <w:szCs w:val="24"/>
          <w:lang w:val="zh-CN"/>
        </w:rPr>
        <w:t>项目说明</w:t>
      </w:r>
    </w:p>
    <w:p>
      <w:pPr>
        <w:topLinePunct/>
        <w:spacing w:line="360" w:lineRule="auto"/>
        <w:ind w:firstLine="477" w:firstLineChars="199"/>
        <w:rPr>
          <w:rFonts w:cs="Times New Roman"/>
          <w:sz w:val="24"/>
          <w:szCs w:val="24"/>
        </w:rPr>
      </w:pPr>
      <w:r>
        <w:rPr>
          <w:rFonts w:cs="Times New Roman"/>
          <w:sz w:val="24"/>
          <w:szCs w:val="24"/>
        </w:rPr>
        <w:t>1</w:t>
      </w:r>
      <w:bookmarkEnd w:id="0"/>
      <w:r>
        <w:rPr>
          <w:rFonts w:cs="Times New Roman"/>
          <w:sz w:val="24"/>
          <w:szCs w:val="24"/>
        </w:rPr>
        <w:t>.1货物必须为合格产品，质量达到国家相关标准、行业标准、地方标准或者其他标准、规范，中标人供货时应当提供有关货物的合格证明材料等。</w:t>
      </w:r>
    </w:p>
    <w:p>
      <w:pPr>
        <w:topLinePunct/>
        <w:spacing w:line="360" w:lineRule="auto"/>
        <w:ind w:firstLine="477" w:firstLineChars="199"/>
        <w:rPr>
          <w:rFonts w:cs="Times New Roman"/>
          <w:sz w:val="24"/>
          <w:szCs w:val="24"/>
        </w:rPr>
      </w:pPr>
      <w:r>
        <w:rPr>
          <w:rFonts w:cs="Times New Roman"/>
          <w:sz w:val="24"/>
          <w:szCs w:val="24"/>
        </w:rPr>
        <w:t>1.2投标人应保证货物是全新、未使用过的合格产品。并完全符合合同规定的质量、规格和性能的要求。中标人应保证所提供的货物经正确安装、正常运转和保养后，在其使用寿命期内应具有满意的性能。在货物质量保证期内卖方应对由于设计、工艺或者材料的缺陷而发生的任何不足或者故障负责。所投产品应提供详细的技术资料，应有检测报告等详细资料。</w:t>
      </w:r>
    </w:p>
    <w:p>
      <w:pPr>
        <w:topLinePunct/>
        <w:spacing w:line="360" w:lineRule="auto"/>
        <w:ind w:firstLine="477" w:firstLineChars="199"/>
        <w:rPr>
          <w:rFonts w:cs="Times New Roman"/>
          <w:sz w:val="24"/>
          <w:szCs w:val="24"/>
        </w:rPr>
      </w:pPr>
      <w:r>
        <w:rPr>
          <w:rFonts w:cs="Times New Roman"/>
          <w:sz w:val="24"/>
          <w:szCs w:val="24"/>
        </w:rPr>
        <w:t>1.3</w:t>
      </w:r>
      <w:r>
        <w:rPr>
          <w:rFonts w:hint="eastAsia" w:cs="Times New Roman"/>
          <w:sz w:val="24"/>
          <w:szCs w:val="24"/>
        </w:rPr>
        <w:t>进口产品是指通过中国海关报关验放进入中国境内且产自关境外的产品。</w:t>
      </w:r>
    </w:p>
    <w:p>
      <w:pPr>
        <w:pStyle w:val="9"/>
        <w:spacing w:after="0" w:line="360" w:lineRule="auto"/>
        <w:ind w:firstLine="240"/>
        <w:rPr>
          <w:rFonts w:hint="eastAsia" w:cs="Times New Roman"/>
          <w:sz w:val="24"/>
          <w:szCs w:val="24"/>
        </w:rPr>
      </w:pPr>
      <w:r>
        <w:rPr>
          <w:rFonts w:hint="eastAsia" w:cs="Times New Roman"/>
          <w:sz w:val="24"/>
          <w:szCs w:val="24"/>
        </w:rPr>
        <w:t>政府采购应当采购本国产品。采购人确需招标采购进口产品的，应在招投标活动开始前，按照财政部《政府采购进口产品管理办法》（财库〔</w:t>
      </w:r>
      <w:r>
        <w:rPr>
          <w:rFonts w:cs="Times New Roman"/>
          <w:sz w:val="24"/>
          <w:szCs w:val="24"/>
        </w:rPr>
        <w:t>2007〕119号）文件规定办理审核手续，通过财政部门审核后，方可招标采购进口产品，否则采购人不得招标采购进口产品，投标人不得提供直接进口或者委托进口产品（包括已进入中国境内的进口产品）。</w:t>
      </w:r>
      <w:r>
        <w:rPr>
          <w:rFonts w:hint="eastAsia" w:cs="Times New Roman"/>
          <w:sz w:val="24"/>
          <w:szCs w:val="24"/>
        </w:rPr>
        <w:t>采购人或采购代理机构在采购进口产品时不得拒绝国产相同质量产品的制造商或代理商参与投标。</w:t>
      </w:r>
    </w:p>
    <w:p>
      <w:pPr>
        <w:pStyle w:val="9"/>
        <w:spacing w:after="0" w:line="360" w:lineRule="auto"/>
        <w:ind w:firstLine="240"/>
        <w:rPr>
          <w:rFonts w:hint="default" w:eastAsia="宋体" w:cs="Times New Roman"/>
          <w:lang w:val="en-US" w:eastAsia="zh-CN"/>
        </w:rPr>
      </w:pPr>
      <w:r>
        <w:rPr>
          <w:rFonts w:hint="eastAsia" w:cs="Times New Roman"/>
          <w:sz w:val="24"/>
          <w:szCs w:val="24"/>
          <w:lang w:val="en-US" w:eastAsia="zh-CN"/>
        </w:rPr>
        <w:t>1.4为落实政府采购政策需满足的要求:</w:t>
      </w:r>
    </w:p>
    <w:tbl>
      <w:tblPr>
        <w:tblStyle w:val="7"/>
        <w:tblW w:w="95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401"/>
        <w:gridCol w:w="789"/>
        <w:gridCol w:w="83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jc w:val="center"/>
        </w:trPr>
        <w:tc>
          <w:tcPr>
            <w:tcW w:w="0" w:type="auto"/>
            <w:tcBorders>
              <w:right w:val="single" w:color="000000" w:sz="8" w:space="0"/>
            </w:tcBorders>
            <w:noWrap w:val="0"/>
            <w:vAlign w:val="top"/>
          </w:tcPr>
          <w:p>
            <w:pPr>
              <w:pStyle w:val="11"/>
              <w:spacing w:line="440" w:lineRule="atLeast"/>
              <w:ind w:left="97"/>
              <w:jc w:val="center"/>
              <w:rPr>
                <w:rFonts w:hint="eastAsia" w:ascii="宋体" w:hAnsi="宋体" w:eastAsia="宋体" w:cs="宋体"/>
                <w:sz w:val="24"/>
                <w:szCs w:val="24"/>
              </w:rPr>
            </w:pPr>
            <w:r>
              <w:rPr>
                <w:rFonts w:hint="eastAsia" w:ascii="宋体" w:hAnsi="宋体" w:eastAsia="宋体" w:cs="宋体"/>
                <w:sz w:val="24"/>
                <w:szCs w:val="24"/>
              </w:rPr>
              <w:t>序号</w:t>
            </w:r>
          </w:p>
        </w:tc>
        <w:tc>
          <w:tcPr>
            <w:tcW w:w="0" w:type="auto"/>
            <w:tcBorders>
              <w:left w:val="single" w:color="000000" w:sz="8" w:space="0"/>
            </w:tcBorders>
            <w:noWrap w:val="0"/>
            <w:vAlign w:val="top"/>
          </w:tcPr>
          <w:p>
            <w:pPr>
              <w:pStyle w:val="11"/>
              <w:spacing w:line="440" w:lineRule="atLeast"/>
              <w:ind w:left="110"/>
              <w:jc w:val="center"/>
              <w:rPr>
                <w:rFonts w:hint="eastAsia" w:ascii="宋体" w:hAnsi="宋体" w:eastAsia="宋体" w:cs="宋体"/>
                <w:sz w:val="24"/>
                <w:szCs w:val="24"/>
              </w:rPr>
            </w:pPr>
            <w:r>
              <w:rPr>
                <w:rFonts w:hint="eastAsia" w:ascii="宋体" w:hAnsi="宋体" w:eastAsia="宋体" w:cs="宋体"/>
                <w:sz w:val="24"/>
                <w:szCs w:val="24"/>
              </w:rPr>
              <w:t>内容</w:t>
            </w:r>
          </w:p>
        </w:tc>
        <w:tc>
          <w:tcPr>
            <w:tcW w:w="8395" w:type="dxa"/>
            <w:noWrap w:val="0"/>
            <w:vAlign w:val="top"/>
          </w:tcPr>
          <w:p>
            <w:pPr>
              <w:pStyle w:val="11"/>
              <w:spacing w:line="440" w:lineRule="atLeast"/>
              <w:ind w:left="111"/>
              <w:jc w:val="center"/>
              <w:rPr>
                <w:rFonts w:hint="eastAsia" w:ascii="宋体" w:hAnsi="宋体" w:eastAsia="宋体" w:cs="宋体"/>
                <w:sz w:val="24"/>
                <w:szCs w:val="24"/>
              </w:rPr>
            </w:pPr>
            <w:r>
              <w:rPr>
                <w:rFonts w:hint="eastAsia" w:ascii="宋体" w:hAnsi="宋体" w:eastAsia="宋体" w:cs="宋体"/>
                <w:sz w:val="24"/>
                <w:szCs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7" w:hRule="atLeast"/>
          <w:jc w:val="center"/>
        </w:trPr>
        <w:tc>
          <w:tcPr>
            <w:tcW w:w="0" w:type="auto"/>
            <w:tcBorders>
              <w:right w:val="single" w:color="000000" w:sz="8" w:space="0"/>
            </w:tcBorders>
            <w:noWrap w:val="0"/>
            <w:vAlign w:val="top"/>
          </w:tcPr>
          <w:p>
            <w:pPr>
              <w:pStyle w:val="11"/>
              <w:spacing w:line="440" w:lineRule="atLeast"/>
              <w:ind w:left="97"/>
              <w:jc w:val="center"/>
              <w:rPr>
                <w:rFonts w:hint="eastAsia" w:ascii="宋体" w:hAnsi="宋体" w:eastAsia="宋体" w:cs="宋体"/>
                <w:sz w:val="24"/>
                <w:szCs w:val="24"/>
              </w:rPr>
            </w:pPr>
            <w:r>
              <w:rPr>
                <w:rFonts w:hint="eastAsia" w:ascii="宋体" w:hAnsi="宋体" w:eastAsia="宋体" w:cs="宋体"/>
                <w:sz w:val="24"/>
                <w:szCs w:val="24"/>
              </w:rPr>
              <w:t>1</w:t>
            </w:r>
          </w:p>
        </w:tc>
        <w:tc>
          <w:tcPr>
            <w:tcW w:w="0" w:type="auto"/>
            <w:tcBorders>
              <w:left w:val="single" w:color="000000" w:sz="8" w:space="0"/>
            </w:tcBorders>
            <w:noWrap w:val="0"/>
            <w:vAlign w:val="top"/>
          </w:tcPr>
          <w:p>
            <w:pPr>
              <w:pStyle w:val="11"/>
              <w:spacing w:line="440" w:lineRule="atLeast"/>
              <w:ind w:left="110" w:right="6"/>
              <w:rPr>
                <w:rFonts w:hint="eastAsia" w:ascii="宋体" w:hAnsi="宋体" w:eastAsia="宋体" w:cs="宋体"/>
                <w:sz w:val="24"/>
                <w:szCs w:val="24"/>
              </w:rPr>
            </w:pPr>
            <w:r>
              <w:rPr>
                <w:rFonts w:hint="eastAsia" w:ascii="宋体" w:hAnsi="宋体" w:eastAsia="宋体" w:cs="宋体"/>
                <w:sz w:val="24"/>
                <w:szCs w:val="24"/>
              </w:rPr>
              <w:t>促进中小企业发展政策</w:t>
            </w:r>
          </w:p>
        </w:tc>
        <w:tc>
          <w:tcPr>
            <w:tcW w:w="8395" w:type="dxa"/>
            <w:noWrap w:val="0"/>
            <w:vAlign w:val="top"/>
          </w:tcPr>
          <w:p>
            <w:pPr>
              <w:pStyle w:val="11"/>
              <w:spacing w:line="440" w:lineRule="atLeast"/>
              <w:ind w:left="111" w:right="64"/>
              <w:rPr>
                <w:rFonts w:hint="eastAsia" w:ascii="宋体" w:hAnsi="宋体" w:eastAsia="宋体" w:cs="宋体"/>
                <w:sz w:val="24"/>
                <w:szCs w:val="24"/>
              </w:rPr>
            </w:pPr>
            <w:r>
              <w:rPr>
                <w:rFonts w:hint="eastAsia" w:ascii="宋体" w:hAnsi="宋体" w:eastAsia="宋体" w:cs="宋体"/>
                <w:sz w:val="24"/>
                <w:szCs w:val="24"/>
              </w:rPr>
              <w:t>根据《财政部工业和信息化部关于印发&lt;政府采购促进中小企业发展暂行办法&gt;的通知》（财库〔2011〕181 号）的规定，本项目供应商为小型或微型企业且所投产品为小型或微型企业生产的，供应商应出具磋商文件要求的《中小企业声明函》给予证明，否则评标时不予认可。供应商应对提交的中小企业声明函的真实性负责，提交的中小企业声明函不真实的，应承担相应的法律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50" w:hRule="atLeast"/>
          <w:jc w:val="center"/>
        </w:trPr>
        <w:tc>
          <w:tcPr>
            <w:tcW w:w="0" w:type="auto"/>
            <w:tcBorders>
              <w:right w:val="single" w:color="000000" w:sz="8" w:space="0"/>
            </w:tcBorders>
            <w:noWrap w:val="0"/>
            <w:vAlign w:val="center"/>
          </w:tcPr>
          <w:p>
            <w:pPr>
              <w:pStyle w:val="11"/>
              <w:spacing w:line="440" w:lineRule="atLeast"/>
              <w:ind w:left="97"/>
              <w:jc w:val="center"/>
              <w:rPr>
                <w:rFonts w:hint="eastAsia" w:ascii="宋体" w:hAnsi="宋体" w:eastAsia="宋体" w:cs="宋体"/>
                <w:sz w:val="24"/>
                <w:szCs w:val="24"/>
              </w:rPr>
            </w:pPr>
            <w:r>
              <w:rPr>
                <w:rFonts w:hint="eastAsia" w:ascii="宋体" w:hAnsi="宋体" w:eastAsia="宋体" w:cs="宋体"/>
                <w:sz w:val="24"/>
                <w:szCs w:val="24"/>
              </w:rPr>
              <w:t>2</w:t>
            </w:r>
          </w:p>
        </w:tc>
        <w:tc>
          <w:tcPr>
            <w:tcW w:w="0" w:type="auto"/>
            <w:tcBorders>
              <w:left w:val="single" w:color="000000" w:sz="8" w:space="0"/>
            </w:tcBorders>
            <w:noWrap w:val="0"/>
            <w:vAlign w:val="top"/>
          </w:tcPr>
          <w:p>
            <w:pPr>
              <w:pStyle w:val="11"/>
              <w:spacing w:line="440" w:lineRule="atLeast"/>
              <w:ind w:left="110" w:right="6"/>
              <w:rPr>
                <w:rFonts w:hint="eastAsia" w:ascii="宋体" w:hAnsi="宋体" w:eastAsia="宋体" w:cs="宋体"/>
                <w:sz w:val="24"/>
                <w:szCs w:val="24"/>
              </w:rPr>
            </w:pPr>
            <w:r>
              <w:rPr>
                <w:rFonts w:hint="eastAsia" w:ascii="宋体" w:hAnsi="宋体" w:eastAsia="宋体" w:cs="宋体"/>
                <w:sz w:val="24"/>
                <w:szCs w:val="24"/>
              </w:rPr>
              <w:t>监狱企业扶持政策</w:t>
            </w:r>
          </w:p>
        </w:tc>
        <w:tc>
          <w:tcPr>
            <w:tcW w:w="8395" w:type="dxa"/>
            <w:noWrap w:val="0"/>
            <w:vAlign w:val="top"/>
          </w:tcPr>
          <w:p>
            <w:pPr>
              <w:pStyle w:val="11"/>
              <w:spacing w:line="440" w:lineRule="atLeast"/>
              <w:ind w:left="111" w:right="62"/>
              <w:rPr>
                <w:rFonts w:hint="eastAsia" w:ascii="宋体" w:hAnsi="宋体" w:eastAsia="宋体" w:cs="宋体"/>
                <w:sz w:val="24"/>
                <w:szCs w:val="24"/>
              </w:rPr>
            </w:pPr>
            <w:r>
              <w:rPr>
                <w:rFonts w:hint="eastAsia" w:ascii="宋体" w:hAnsi="宋体" w:eastAsia="宋体" w:cs="宋体"/>
                <w:sz w:val="24"/>
                <w:szCs w:val="24"/>
              </w:rPr>
              <w:t>根据《财政部司法部关于政府采购支持监狱企业发展有关问题的通知》（财库〔2014〕68 号）的规定，本项目供应商为监狱和戒毒企业（以下简称监狱企业）的，供应商应提供由省级以上监狱管理局、戒毒管理局（含新疆生产建设兵团</w:t>
            </w:r>
            <w:r>
              <w:rPr>
                <w:rFonts w:hint="eastAsia" w:ascii="宋体" w:hAnsi="宋体" w:eastAsia="宋体" w:cs="宋体"/>
                <w:spacing w:val="-15"/>
                <w:sz w:val="24"/>
                <w:szCs w:val="24"/>
              </w:rPr>
              <w:t>）</w:t>
            </w:r>
            <w:r>
              <w:rPr>
                <w:rFonts w:hint="eastAsia" w:ascii="宋体" w:hAnsi="宋体" w:eastAsia="宋体" w:cs="宋体"/>
                <w:spacing w:val="-1"/>
                <w:sz w:val="24"/>
                <w:szCs w:val="24"/>
              </w:rPr>
              <w:t>出具的属于监狱企业的证明文件给予证明，否则评标时不予认可。</w:t>
            </w:r>
          </w:p>
          <w:p>
            <w:pPr>
              <w:pStyle w:val="11"/>
              <w:spacing w:line="440" w:lineRule="atLeast"/>
              <w:ind w:left="111"/>
              <w:jc w:val="left"/>
              <w:rPr>
                <w:rFonts w:hint="eastAsia" w:ascii="宋体" w:hAnsi="宋体" w:eastAsia="宋体" w:cs="宋体"/>
                <w:sz w:val="24"/>
                <w:szCs w:val="24"/>
              </w:rPr>
            </w:pPr>
            <w:r>
              <w:rPr>
                <w:rFonts w:hint="eastAsia" w:ascii="宋体" w:hAnsi="宋体" w:eastAsia="宋体" w:cs="宋体"/>
                <w:sz w:val="24"/>
                <w:szCs w:val="24"/>
              </w:rPr>
              <w:t>供应商应对提交的属于监狱企业的证明文件的真实性负责，提交的监狱企业的证明文件不真实的，应承担相应的法律责任。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0" w:type="auto"/>
            <w:tcBorders>
              <w:right w:val="single" w:color="000000" w:sz="8" w:space="0"/>
            </w:tcBorders>
            <w:noWrap w:val="0"/>
            <w:vAlign w:val="top"/>
          </w:tcPr>
          <w:p>
            <w:pPr>
              <w:pStyle w:val="11"/>
              <w:spacing w:line="440" w:lineRule="atLeast"/>
              <w:ind w:left="97"/>
              <w:jc w:val="center"/>
              <w:rPr>
                <w:rFonts w:hint="eastAsia" w:ascii="宋体" w:hAnsi="宋体" w:eastAsia="宋体" w:cs="宋体"/>
                <w:sz w:val="24"/>
                <w:szCs w:val="24"/>
                <w:lang w:val="en-US"/>
              </w:rPr>
            </w:pPr>
            <w:r>
              <w:rPr>
                <w:rFonts w:hint="eastAsia" w:ascii="宋体" w:hAnsi="宋体" w:eastAsia="宋体" w:cs="宋体"/>
                <w:sz w:val="24"/>
                <w:szCs w:val="24"/>
                <w:lang w:val="en-US"/>
              </w:rPr>
              <w:t>3</w:t>
            </w:r>
          </w:p>
        </w:tc>
        <w:tc>
          <w:tcPr>
            <w:tcW w:w="0" w:type="auto"/>
            <w:tcBorders>
              <w:left w:val="single" w:color="000000" w:sz="8" w:space="0"/>
            </w:tcBorders>
            <w:noWrap w:val="0"/>
            <w:vAlign w:val="top"/>
          </w:tcPr>
          <w:p>
            <w:pPr>
              <w:pStyle w:val="11"/>
              <w:spacing w:line="440" w:lineRule="atLeast"/>
              <w:ind w:left="110" w:right="6"/>
              <w:rPr>
                <w:rFonts w:hint="eastAsia" w:ascii="宋体" w:hAnsi="宋体" w:eastAsia="宋体" w:cs="宋体"/>
                <w:sz w:val="24"/>
                <w:szCs w:val="24"/>
              </w:rPr>
            </w:pPr>
            <w:r>
              <w:rPr>
                <w:rFonts w:hint="eastAsia" w:ascii="宋体" w:hAnsi="宋体" w:eastAsia="宋体" w:cs="宋体"/>
                <w:sz w:val="24"/>
                <w:szCs w:val="24"/>
              </w:rPr>
              <w:t>促进残疾人就业政策</w:t>
            </w:r>
          </w:p>
        </w:tc>
        <w:tc>
          <w:tcPr>
            <w:tcW w:w="8395" w:type="dxa"/>
            <w:noWrap w:val="0"/>
            <w:vAlign w:val="top"/>
          </w:tcPr>
          <w:p>
            <w:pPr>
              <w:pStyle w:val="11"/>
              <w:spacing w:line="440" w:lineRule="atLeast"/>
              <w:ind w:left="111" w:right="90" w:firstLine="60"/>
              <w:rPr>
                <w:rFonts w:hint="eastAsia" w:ascii="宋体" w:hAnsi="宋体" w:eastAsia="宋体" w:cs="宋体"/>
                <w:sz w:val="24"/>
                <w:szCs w:val="24"/>
              </w:rPr>
            </w:pPr>
            <w:r>
              <w:rPr>
                <w:rFonts w:hint="eastAsia" w:ascii="宋体" w:hAnsi="宋体" w:eastAsia="宋体" w:cs="宋体"/>
                <w:sz w:val="24"/>
                <w:szCs w:val="24"/>
              </w:rPr>
              <w:t>根据《财政部民政部中国残疾人联合会关于促进残疾人就业政府采购政策的通知》（财库〔2017〕141 号）的规定，符合条件的残疾人福利性单位在参加本项目政府采购活动时，供应商应出具磋商文件要求的《残疾人福利性单位声明函》，否则评标时不予认可，并对声明的真实性承担法律责任。供应商为残疾人福利性单位的，应当随中标结果同时公告其《残疾人福利性单位声明函》，接受社会监督。残疾人福利性单位属于小型、微型企业的，不重复享受政策。本磋商文件所称的残疾人福利性单位应当同时符合以下条件：</w:t>
            </w:r>
          </w:p>
          <w:p>
            <w:pPr>
              <w:numPr>
                <w:ilvl w:val="0"/>
                <w:numId w:val="1"/>
              </w:numPr>
              <w:spacing w:line="440" w:lineRule="exact"/>
              <w:rPr>
                <w:rFonts w:hint="eastAsia" w:ascii="宋体" w:hAnsi="宋体" w:eastAsia="宋体" w:cs="宋体"/>
                <w:sz w:val="24"/>
                <w:szCs w:val="24"/>
              </w:rPr>
            </w:pPr>
            <w:r>
              <w:rPr>
                <w:rFonts w:hint="eastAsia" w:ascii="宋体" w:hAnsi="宋体" w:eastAsia="宋体" w:cs="宋体"/>
                <w:sz w:val="24"/>
                <w:szCs w:val="24"/>
              </w:rPr>
              <w:t>安置的残疾人占本单位在职职工人数的比例不低于 25%（含 25%）， 并且安置的残疾人人数不少于 10 人（含 10 人）；</w:t>
            </w:r>
          </w:p>
          <w:p>
            <w:pPr>
              <w:numPr>
                <w:ilvl w:val="0"/>
                <w:numId w:val="1"/>
              </w:numPr>
              <w:spacing w:line="440" w:lineRule="exact"/>
              <w:rPr>
                <w:rFonts w:hint="eastAsia" w:ascii="宋体" w:hAnsi="宋体" w:eastAsia="宋体" w:cs="宋体"/>
                <w:sz w:val="24"/>
                <w:szCs w:val="24"/>
              </w:rPr>
            </w:pPr>
            <w:r>
              <w:rPr>
                <w:rFonts w:hint="eastAsia" w:ascii="宋体" w:hAnsi="宋体" w:eastAsia="宋体" w:cs="宋体"/>
                <w:sz w:val="24"/>
                <w:szCs w:val="24"/>
              </w:rPr>
              <w:t>依法与安置的每位残疾人签订了一年以上（含一年）的劳动合同或服务协议；</w:t>
            </w:r>
          </w:p>
          <w:p>
            <w:pPr>
              <w:numPr>
                <w:ilvl w:val="0"/>
                <w:numId w:val="1"/>
              </w:numPr>
              <w:spacing w:line="440" w:lineRule="exact"/>
              <w:rPr>
                <w:rFonts w:hint="eastAsia" w:ascii="宋体" w:hAnsi="宋体" w:eastAsia="宋体" w:cs="宋体"/>
                <w:sz w:val="24"/>
                <w:szCs w:val="24"/>
              </w:rPr>
            </w:pPr>
            <w:r>
              <w:rPr>
                <w:rFonts w:hint="eastAsia" w:ascii="宋体" w:hAnsi="宋体" w:eastAsia="宋体" w:cs="宋体"/>
                <w:sz w:val="24"/>
                <w:szCs w:val="24"/>
              </w:rPr>
              <w:t>为安置的每位残疾人按月足额缴纳了基本养老保险、基本医疗保险、失业保险、工伤保险和生育保险等社会保险费；</w:t>
            </w:r>
          </w:p>
          <w:p>
            <w:pPr>
              <w:numPr>
                <w:ilvl w:val="0"/>
                <w:numId w:val="1"/>
              </w:numPr>
              <w:spacing w:line="440" w:lineRule="exact"/>
              <w:rPr>
                <w:rFonts w:hint="eastAsia" w:ascii="宋体" w:hAnsi="宋体" w:eastAsia="宋体" w:cs="宋体"/>
                <w:sz w:val="24"/>
                <w:szCs w:val="24"/>
              </w:rPr>
            </w:pPr>
            <w:r>
              <w:rPr>
                <w:rFonts w:hint="eastAsia" w:ascii="宋体" w:hAnsi="宋体" w:eastAsia="宋体" w:cs="宋体"/>
                <w:sz w:val="24"/>
                <w:szCs w:val="24"/>
              </w:rPr>
              <w:t>通过银行等金融机构向安置的每位残疾人，按月支付了不低于单位所在区县适用的经省级人民政府批准的月最低工资标准的工资；</w:t>
            </w:r>
          </w:p>
          <w:p>
            <w:pPr>
              <w:numPr>
                <w:ilvl w:val="0"/>
                <w:numId w:val="1"/>
              </w:numPr>
              <w:spacing w:line="440" w:lineRule="exact"/>
              <w:rPr>
                <w:rFonts w:hint="eastAsia" w:ascii="宋体" w:hAnsi="宋体" w:eastAsia="宋体" w:cs="宋体"/>
                <w:sz w:val="24"/>
                <w:szCs w:val="24"/>
              </w:rPr>
            </w:pPr>
            <w:r>
              <w:rPr>
                <w:rFonts w:hint="eastAsia" w:ascii="宋体" w:hAnsi="宋体" w:eastAsia="宋体" w:cs="宋体"/>
                <w:sz w:val="24"/>
                <w:szCs w:val="24"/>
              </w:rPr>
              <w:t>提供本单位制造的货物、承担的工程或者服务（以下简称产品），或者提供其他残疾人福利性单位制造的货物（不包括使用非残疾人福利性单位注册商标的货物）。</w:t>
            </w:r>
          </w:p>
          <w:p>
            <w:pPr>
              <w:pStyle w:val="11"/>
              <w:spacing w:line="440" w:lineRule="atLeast"/>
              <w:ind w:left="111" w:right="82" w:firstLine="60"/>
              <w:jc w:val="left"/>
              <w:rPr>
                <w:rFonts w:hint="eastAsia" w:ascii="宋体" w:hAnsi="宋体" w:eastAsia="宋体" w:cs="宋体"/>
                <w:sz w:val="24"/>
                <w:szCs w:val="24"/>
              </w:rPr>
            </w:pPr>
            <w:r>
              <w:rPr>
                <w:rFonts w:hint="eastAsia" w:ascii="宋体" w:hAnsi="宋体" w:eastAsia="宋体" w:cs="宋体"/>
                <w:sz w:val="24"/>
                <w:szCs w:val="24"/>
              </w:rPr>
              <w:t xml:space="preserve">前款所称残疾人是指法定劳动年龄内，持有《中华人民共和国残疾人证》 </w:t>
            </w:r>
            <w:r>
              <w:rPr>
                <w:rFonts w:hint="eastAsia" w:ascii="宋体" w:hAnsi="宋体" w:eastAsia="宋体" w:cs="宋体"/>
                <w:spacing w:val="-5"/>
                <w:sz w:val="24"/>
                <w:szCs w:val="24"/>
              </w:rPr>
              <w:t>或者《中华人民共和国残疾军人证</w:t>
            </w:r>
            <w:r>
              <w:rPr>
                <w:rFonts w:hint="eastAsia" w:ascii="宋体" w:hAnsi="宋体" w:eastAsia="宋体" w:cs="宋体"/>
                <w:sz w:val="24"/>
                <w:szCs w:val="24"/>
              </w:rPr>
              <w:t>（1</w:t>
            </w:r>
            <w:r>
              <w:rPr>
                <w:rFonts w:hint="eastAsia" w:ascii="宋体" w:hAnsi="宋体" w:eastAsia="宋体" w:cs="宋体"/>
                <w:spacing w:val="-1"/>
                <w:sz w:val="24"/>
                <w:szCs w:val="24"/>
              </w:rPr>
              <w:t xml:space="preserve"> 至 </w:t>
            </w:r>
            <w:r>
              <w:rPr>
                <w:rFonts w:hint="eastAsia" w:ascii="宋体" w:hAnsi="宋体" w:eastAsia="宋体" w:cs="宋体"/>
                <w:sz w:val="24"/>
                <w:szCs w:val="24"/>
              </w:rPr>
              <w:t>8 级</w:t>
            </w:r>
            <w:r>
              <w:rPr>
                <w:rFonts w:hint="eastAsia" w:ascii="宋体" w:hAnsi="宋体" w:eastAsia="宋体" w:cs="宋体"/>
                <w:spacing w:val="-15"/>
                <w:sz w:val="24"/>
                <w:szCs w:val="24"/>
              </w:rPr>
              <w:t>）</w:t>
            </w:r>
            <w:r>
              <w:rPr>
                <w:rFonts w:hint="eastAsia" w:ascii="宋体" w:hAnsi="宋体" w:eastAsia="宋体" w:cs="宋体"/>
                <w:spacing w:val="-6"/>
                <w:sz w:val="24"/>
                <w:szCs w:val="24"/>
              </w:rPr>
              <w:t>》的自然人，包括具有劳动</w:t>
            </w:r>
            <w:r>
              <w:rPr>
                <w:rFonts w:hint="eastAsia" w:ascii="宋体" w:hAnsi="宋体" w:eastAsia="宋体" w:cs="宋体"/>
                <w:spacing w:val="-3"/>
                <w:sz w:val="24"/>
                <w:szCs w:val="24"/>
              </w:rPr>
              <w:t>条件和劳动意愿的精神残疾人。在职职工人数是指与残疾人福利性单位建立</w:t>
            </w:r>
            <w:r>
              <w:rPr>
                <w:rFonts w:hint="eastAsia" w:ascii="宋体" w:hAnsi="宋体" w:eastAsia="宋体" w:cs="宋体"/>
                <w:sz w:val="24"/>
                <w:szCs w:val="24"/>
              </w:rPr>
              <w:t>劳动关系并依法签订劳动合同或者服务协议的雇员人数。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jc w:val="center"/>
        </w:trPr>
        <w:tc>
          <w:tcPr>
            <w:tcW w:w="0" w:type="auto"/>
            <w:tcBorders>
              <w:right w:val="single" w:color="000000" w:sz="8" w:space="0"/>
            </w:tcBorders>
            <w:noWrap w:val="0"/>
            <w:vAlign w:val="center"/>
          </w:tcPr>
          <w:p>
            <w:pPr>
              <w:pStyle w:val="11"/>
              <w:spacing w:line="440" w:lineRule="atLeast"/>
              <w:ind w:left="97"/>
              <w:jc w:val="center"/>
              <w:rPr>
                <w:rFonts w:hint="eastAsia" w:ascii="宋体" w:hAnsi="宋体" w:eastAsia="宋体" w:cs="宋体"/>
                <w:sz w:val="24"/>
                <w:szCs w:val="24"/>
              </w:rPr>
            </w:pPr>
            <w:r>
              <w:rPr>
                <w:rFonts w:hint="eastAsia" w:ascii="宋体" w:hAnsi="宋体" w:eastAsia="宋体" w:cs="宋体"/>
                <w:sz w:val="24"/>
                <w:szCs w:val="24"/>
              </w:rPr>
              <w:t>4</w:t>
            </w:r>
          </w:p>
          <w:p>
            <w:pPr>
              <w:pStyle w:val="4"/>
              <w:spacing w:after="0" w:line="440" w:lineRule="atLeast"/>
              <w:jc w:val="center"/>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pict>
                <v:shape id="_x0000_s1026" o:spid="_x0000_s1026" o:spt="136" type="#_x0000_t136" style="position:absolute;left:0pt;margin-left:500.95pt;margin-top:86.7pt;height:18pt;width:108.35pt;mso-position-horizontal-relative:page;mso-position-vertical-relative:page;rotation:21692416f;z-index:-251658240;mso-width-relative:page;mso-height-relative:page;" fillcolor="#D2D2D2" filled="t" stroked="f" coordsize="21600,21600">
                  <v:path/>
                  <v:fill on="t" focussize="0,0"/>
                  <v:stroke on="f"/>
                  <v:imagedata o:title=""/>
                  <o:lock v:ext="edit"/>
                  <v:textpath on="t" fitshape="t" fitpath="t" trim="t" xscale="f" string="青岛西海岸新" style="font-family:&amp;quot;font-size:18pt;v-text-align:center;"/>
                </v:shape>
              </w:pict>
            </w:r>
            <w:r>
              <w:rPr>
                <w:rFonts w:hint="eastAsia" w:ascii="宋体" w:hAnsi="宋体" w:eastAsia="宋体" w:cs="宋体"/>
                <w:kern w:val="2"/>
                <w:sz w:val="24"/>
                <w:szCs w:val="24"/>
                <w:lang w:val="en-US" w:eastAsia="zh-CN"/>
              </w:rPr>
              <w:pict>
                <v:shape id="_x0000_s1027" o:spid="_x0000_s1027" o:spt="136" type="#_x0000_t136" style="position:absolute;left:0pt;margin-left:500.95pt;margin-top:230.7pt;height:18pt;width:108.35pt;mso-position-horizontal-relative:page;mso-position-vertical-relative:page;rotation:21692416f;z-index:-251657216;mso-width-relative:page;mso-height-relative:page;" fillcolor="#D2D2D2" filled="t" stroked="f" coordsize="21600,21600">
                  <v:path/>
                  <v:fill on="t" focussize="0,0"/>
                  <v:stroke on="f"/>
                  <v:imagedata o:title=""/>
                  <o:lock v:ext="edit"/>
                  <v:textpath on="t" fitshape="t" fitpath="t" trim="t" xscale="f" string="青岛西海岸新" style="font-family:&amp;quot;font-size:18pt;v-text-align:center;"/>
                </v:shape>
              </w:pict>
            </w:r>
            <w:r>
              <w:rPr>
                <w:rFonts w:hint="eastAsia" w:ascii="宋体" w:hAnsi="宋体" w:eastAsia="宋体" w:cs="宋体"/>
                <w:kern w:val="2"/>
                <w:sz w:val="24"/>
                <w:szCs w:val="24"/>
                <w:lang w:val="en-US" w:eastAsia="zh-CN"/>
              </w:rPr>
              <w:pict>
                <v:shape id="_x0000_s1028" o:spid="_x0000_s1028" o:spt="136" type="#_x0000_t136" style="position:absolute;left:0pt;margin-left:500.95pt;margin-top:806.7pt;height:18pt;width:108.35pt;mso-position-horizontal-relative:page;mso-position-vertical-relative:page;rotation:21692416f;z-index:251660288;mso-width-relative:page;mso-height-relative:page;" fillcolor="#D2D2D2" filled="t" stroked="f" coordsize="21600,21600">
                  <v:path/>
                  <v:fill on="t" focussize="0,0"/>
                  <v:stroke on="f"/>
                  <v:imagedata o:title=""/>
                  <o:lock v:ext="edit"/>
                  <v:textpath on="t" fitshape="t" fitpath="t" trim="t" xscale="f" string="青岛西海岸新" style="font-family:&amp;quot;font-size:18pt;v-text-align:center;"/>
                </v:shape>
              </w:pict>
            </w:r>
          </w:p>
        </w:tc>
        <w:tc>
          <w:tcPr>
            <w:tcW w:w="0" w:type="auto"/>
            <w:tcBorders>
              <w:left w:val="single" w:color="000000" w:sz="8" w:space="0"/>
            </w:tcBorders>
            <w:noWrap w:val="0"/>
            <w:vAlign w:val="top"/>
          </w:tcPr>
          <w:p>
            <w:pPr>
              <w:pStyle w:val="11"/>
              <w:spacing w:line="440" w:lineRule="atLeast"/>
              <w:ind w:left="110" w:right="6"/>
              <w:jc w:val="left"/>
              <w:rPr>
                <w:rFonts w:hint="eastAsia" w:ascii="宋体" w:hAnsi="宋体" w:eastAsia="宋体" w:cs="宋体"/>
                <w:sz w:val="24"/>
                <w:szCs w:val="24"/>
              </w:rPr>
            </w:pPr>
            <w:r>
              <w:rPr>
                <w:rFonts w:hint="eastAsia" w:ascii="宋体" w:hAnsi="宋体" w:eastAsia="宋体" w:cs="宋体"/>
                <w:sz w:val="24"/>
                <w:szCs w:val="24"/>
              </w:rPr>
              <w:t>节能环保</w:t>
            </w:r>
          </w:p>
        </w:tc>
        <w:tc>
          <w:tcPr>
            <w:tcW w:w="8395" w:type="dxa"/>
            <w:noWrap w:val="0"/>
            <w:vAlign w:val="top"/>
          </w:tcPr>
          <w:p>
            <w:pPr>
              <w:pStyle w:val="11"/>
              <w:numPr>
                <w:ilvl w:val="0"/>
                <w:numId w:val="2"/>
              </w:numPr>
              <w:tabs>
                <w:tab w:val="left" w:pos="639"/>
              </w:tabs>
              <w:spacing w:line="440" w:lineRule="atLeast"/>
              <w:ind w:left="111" w:right="93"/>
              <w:rPr>
                <w:rFonts w:hint="eastAsia" w:ascii="宋体" w:hAnsi="宋体" w:eastAsia="宋体" w:cs="宋体"/>
                <w:sz w:val="24"/>
                <w:szCs w:val="24"/>
              </w:rPr>
            </w:pPr>
            <w:r>
              <w:rPr>
                <w:rFonts w:hint="eastAsia" w:ascii="宋体" w:hAnsi="宋体" w:eastAsia="宋体" w:cs="宋体"/>
                <w:spacing w:val="-4"/>
                <w:sz w:val="24"/>
                <w:szCs w:val="24"/>
              </w:rPr>
              <w:t>根据《财政部发展改革委生态环境部市场监管总局关于调整优化节能产品、环境标志产品政府采购执行机制的通知》（</w:t>
            </w:r>
            <w:r>
              <w:rPr>
                <w:rFonts w:hint="eastAsia" w:ascii="宋体" w:hAnsi="宋体" w:eastAsia="宋体" w:cs="宋体"/>
                <w:spacing w:val="-5"/>
                <w:sz w:val="24"/>
                <w:szCs w:val="24"/>
              </w:rPr>
              <w:t>财库〔</w:t>
            </w:r>
            <w:r>
              <w:rPr>
                <w:rFonts w:hint="eastAsia" w:ascii="宋体" w:hAnsi="宋体" w:eastAsia="宋体" w:cs="宋体"/>
                <w:sz w:val="24"/>
                <w:szCs w:val="24"/>
              </w:rPr>
              <w:t>2019〕9 号）、《关于印发环境标志产品政府采购品目清单的通知》（</w:t>
            </w:r>
            <w:r>
              <w:rPr>
                <w:rFonts w:hint="eastAsia" w:ascii="宋体" w:hAnsi="宋体" w:eastAsia="宋体" w:cs="宋体"/>
                <w:spacing w:val="-2"/>
                <w:sz w:val="24"/>
                <w:szCs w:val="24"/>
              </w:rPr>
              <w:t>财库〔</w:t>
            </w:r>
            <w:r>
              <w:rPr>
                <w:rFonts w:hint="eastAsia" w:ascii="宋体" w:hAnsi="宋体" w:eastAsia="宋体" w:cs="宋体"/>
                <w:sz w:val="24"/>
                <w:szCs w:val="24"/>
              </w:rPr>
              <w:t>2019〕18 号） 和《关于印发节能产品政府采购品目清单的通知》（</w:t>
            </w:r>
            <w:r>
              <w:rPr>
                <w:rFonts w:hint="eastAsia" w:ascii="宋体" w:hAnsi="宋体" w:eastAsia="宋体" w:cs="宋体"/>
                <w:spacing w:val="-2"/>
                <w:sz w:val="24"/>
                <w:szCs w:val="24"/>
              </w:rPr>
              <w:t>财库〔</w:t>
            </w:r>
            <w:r>
              <w:rPr>
                <w:rFonts w:hint="eastAsia" w:ascii="宋体" w:hAnsi="宋体" w:eastAsia="宋体" w:cs="宋体"/>
                <w:sz w:val="24"/>
                <w:szCs w:val="24"/>
              </w:rPr>
              <w:t>2019〕19 号）等的相关规定，未列入财政部、国家发展改革委发布的节能产品政府采购品目清单（</w:t>
            </w:r>
            <w:r>
              <w:rPr>
                <w:rFonts w:hint="eastAsia" w:ascii="宋体" w:hAnsi="宋体" w:eastAsia="宋体" w:cs="宋体"/>
                <w:spacing w:val="2"/>
                <w:sz w:val="24"/>
                <w:szCs w:val="24"/>
              </w:rPr>
              <w:t>简称节能清单</w:t>
            </w:r>
            <w:r>
              <w:rPr>
                <w:rFonts w:hint="eastAsia" w:ascii="宋体" w:hAnsi="宋体" w:eastAsia="宋体" w:cs="宋体"/>
                <w:sz w:val="24"/>
                <w:szCs w:val="24"/>
              </w:rPr>
              <w:t>）的产品，不属于政府强制采购、优先采购的节能产品</w:t>
            </w:r>
            <w:r>
              <w:rPr>
                <w:rFonts w:hint="eastAsia" w:ascii="宋体" w:hAnsi="宋体" w:eastAsia="宋体" w:cs="宋体"/>
                <w:spacing w:val="-12"/>
                <w:sz w:val="24"/>
                <w:szCs w:val="24"/>
              </w:rPr>
              <w:t>范围；未列入财政部、生态环境部发布的环境标志产品政府采购品目清单</w:t>
            </w:r>
            <w:r>
              <w:rPr>
                <w:rFonts w:hint="eastAsia" w:ascii="宋体" w:hAnsi="宋体" w:eastAsia="宋体" w:cs="宋体"/>
                <w:sz w:val="24"/>
                <w:szCs w:val="24"/>
              </w:rPr>
              <w:t>（简称环保清单）的产品，不属于政府优先采购的环境标志产品范围。依据国家确定的认证机构出具的、处于有效期之内的节能产品、环境标志产品认证证书，对获得证书的产品实施政府优先采购或强制采购。</w:t>
            </w:r>
          </w:p>
          <w:p>
            <w:pPr>
              <w:pStyle w:val="11"/>
              <w:tabs>
                <w:tab w:val="left" w:pos="639"/>
              </w:tabs>
              <w:spacing w:line="440" w:lineRule="atLeast"/>
              <w:ind w:left="111" w:right="5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rPr>
              <w:t>2</w:t>
            </w:r>
            <w:r>
              <w:rPr>
                <w:rFonts w:hint="eastAsia" w:ascii="宋体" w:hAnsi="宋体" w:eastAsia="宋体" w:cs="宋体"/>
                <w:sz w:val="24"/>
                <w:szCs w:val="24"/>
              </w:rPr>
              <w:t>）采购范围涉及台式计算机，便携式计算机，平板式微型计算机，激光打印机，针式打印机，液晶显示器，制冷压缩机，空调机组，专用制冷、空调设备，镇流器，空调机，电热水器，普通照明用双端荧光灯，电视设备，视频设备，便器，水嘴等品目（</w:t>
            </w:r>
            <w:r>
              <w:rPr>
                <w:rFonts w:hint="eastAsia" w:ascii="宋体" w:hAnsi="宋体" w:eastAsia="宋体" w:cs="宋体"/>
                <w:spacing w:val="-1"/>
                <w:sz w:val="24"/>
                <w:szCs w:val="24"/>
              </w:rPr>
              <w:t>具体品目以财库〔</w:t>
            </w:r>
            <w:r>
              <w:rPr>
                <w:rFonts w:hint="eastAsia" w:ascii="宋体" w:hAnsi="宋体" w:eastAsia="宋体" w:cs="宋体"/>
                <w:sz w:val="24"/>
                <w:szCs w:val="24"/>
              </w:rPr>
              <w:t>2019〕19 号文标注为准）为政府强制采购节能产品的（在文件中标注“▲”提醒投标人注意，漏标或未标“▲”的，以财政部、国家发展改革委发布的节能清单为准），</w:t>
            </w:r>
            <w:r>
              <w:rPr>
                <w:rFonts w:hint="eastAsia" w:ascii="宋体" w:hAnsi="宋体" w:eastAsia="宋体" w:cs="宋体"/>
                <w:spacing w:val="3"/>
                <w:sz w:val="24"/>
                <w:szCs w:val="24"/>
              </w:rPr>
              <w:t>投标人的</w:t>
            </w:r>
            <w:r>
              <w:rPr>
                <w:rFonts w:hint="eastAsia" w:ascii="宋体" w:hAnsi="宋体" w:eastAsia="宋体" w:cs="宋体"/>
                <w:sz w:val="24"/>
                <w:szCs w:val="24"/>
              </w:rPr>
              <w:t>响应产品应当属于政府强制采购节能产品，在响应文件中提供国家确定的认证机构出具的、处于有效期之内的节能产品认证证书，否则其响应无效。属于政府强制采购节能产品范围，但在节能清单中产品的技术、服务等指标无法满足采购需求的前提下，允许供应商在节能清单之外选择产品。</w:t>
            </w:r>
          </w:p>
          <w:p>
            <w:pPr>
              <w:pStyle w:val="11"/>
              <w:spacing w:line="440" w:lineRule="atLeast"/>
              <w:ind w:left="111" w:right="76"/>
              <w:rPr>
                <w:rFonts w:hint="eastAsia" w:ascii="宋体" w:hAnsi="宋体" w:eastAsia="宋体" w:cs="宋体"/>
                <w:sz w:val="24"/>
                <w:szCs w:val="24"/>
              </w:rPr>
            </w:pPr>
            <w:r>
              <w:rPr>
                <w:rFonts w:hint="eastAsia" w:ascii="宋体" w:hAnsi="宋体" w:eastAsia="宋体" w:cs="宋体"/>
                <w:sz w:val="24"/>
                <w:szCs w:val="24"/>
              </w:rPr>
              <w:t>（3）认证机构和节能产品、环境标志产品获证产品信息可从市场监管总局组建的节能产品、环境标志产品认证结果信息发布平台或中国政府采购网</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"http://www.ccgp.gov.cn/" \h </w:instrText>
            </w:r>
            <w:r>
              <w:rPr>
                <w:rFonts w:hint="eastAsia" w:ascii="宋体" w:hAnsi="宋体" w:eastAsia="宋体" w:cs="宋体"/>
                <w:sz w:val="24"/>
                <w:szCs w:val="24"/>
              </w:rPr>
              <w:fldChar w:fldCharType="separate"/>
            </w:r>
            <w:r>
              <w:rPr>
                <w:rFonts w:hint="eastAsia" w:ascii="宋体" w:hAnsi="宋体" w:eastAsia="宋体" w:cs="宋体"/>
                <w:sz w:val="24"/>
                <w:szCs w:val="24"/>
              </w:rPr>
              <w:t>（www.ccgp.gov.cn</w:t>
            </w:r>
            <w:r>
              <w:rPr>
                <w:rFonts w:hint="eastAsia" w:ascii="宋体" w:hAnsi="宋体" w:eastAsia="宋体" w:cs="宋体"/>
                <w:sz w:val="24"/>
                <w:szCs w:val="24"/>
              </w:rPr>
              <w:fldChar w:fldCharType="end"/>
            </w:r>
            <w:r>
              <w:rPr>
                <w:rFonts w:hint="eastAsia" w:ascii="宋体" w:hAnsi="宋体" w:eastAsia="宋体" w:cs="宋体"/>
                <w:sz w:val="24"/>
                <w:szCs w:val="24"/>
              </w:rPr>
              <w:t>）建立的认证结果信息发布平台链接中查询。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8" w:hRule="atLeast"/>
          <w:jc w:val="center"/>
        </w:trPr>
        <w:tc>
          <w:tcPr>
            <w:tcW w:w="0" w:type="auto"/>
            <w:tcBorders>
              <w:right w:val="single" w:color="000000" w:sz="8" w:space="0"/>
            </w:tcBorders>
            <w:noWrap w:val="0"/>
            <w:vAlign w:val="top"/>
          </w:tcPr>
          <w:p>
            <w:pPr>
              <w:pStyle w:val="11"/>
              <w:spacing w:line="440" w:lineRule="atLeast"/>
              <w:ind w:left="97"/>
              <w:jc w:val="center"/>
              <w:rPr>
                <w:rFonts w:hint="eastAsia" w:ascii="宋体" w:hAnsi="宋体" w:eastAsia="宋体" w:cs="宋体"/>
                <w:sz w:val="24"/>
                <w:szCs w:val="24"/>
              </w:rPr>
            </w:pPr>
            <w:r>
              <w:rPr>
                <w:rFonts w:hint="eastAsia" w:ascii="宋体" w:hAnsi="宋体" w:eastAsia="宋体" w:cs="宋体"/>
                <w:sz w:val="24"/>
                <w:szCs w:val="24"/>
              </w:rPr>
              <w:t>5</w:t>
            </w:r>
          </w:p>
        </w:tc>
        <w:tc>
          <w:tcPr>
            <w:tcW w:w="0" w:type="auto"/>
            <w:tcBorders>
              <w:left w:val="single" w:color="000000" w:sz="8" w:space="0"/>
            </w:tcBorders>
            <w:noWrap w:val="0"/>
            <w:vAlign w:val="top"/>
          </w:tcPr>
          <w:p>
            <w:pPr>
              <w:pStyle w:val="11"/>
              <w:spacing w:line="440" w:lineRule="atLeast"/>
              <w:ind w:left="110" w:right="6"/>
              <w:jc w:val="left"/>
              <w:rPr>
                <w:rFonts w:hint="eastAsia" w:ascii="宋体" w:hAnsi="宋体" w:eastAsia="宋体" w:cs="宋体"/>
                <w:sz w:val="24"/>
                <w:szCs w:val="24"/>
              </w:rPr>
            </w:pPr>
            <w:r>
              <w:rPr>
                <w:rFonts w:hint="eastAsia" w:ascii="宋体" w:hAnsi="宋体" w:eastAsia="宋体" w:cs="宋体"/>
                <w:sz w:val="24"/>
                <w:szCs w:val="24"/>
              </w:rPr>
              <w:t>信息安全</w:t>
            </w:r>
          </w:p>
        </w:tc>
        <w:tc>
          <w:tcPr>
            <w:tcW w:w="8395" w:type="dxa"/>
            <w:noWrap w:val="0"/>
            <w:vAlign w:val="top"/>
          </w:tcPr>
          <w:p>
            <w:pPr>
              <w:pStyle w:val="11"/>
              <w:spacing w:line="440" w:lineRule="atLeast"/>
              <w:ind w:left="111" w:right="-15" w:firstLine="60"/>
              <w:jc w:val="left"/>
              <w:rPr>
                <w:rFonts w:hint="eastAsia" w:ascii="宋体" w:hAnsi="宋体" w:eastAsia="宋体" w:cs="宋体"/>
                <w:sz w:val="24"/>
                <w:szCs w:val="24"/>
              </w:rPr>
            </w:pPr>
            <w:r>
              <w:rPr>
                <w:rFonts w:hint="eastAsia" w:ascii="宋体" w:hAnsi="宋体" w:eastAsia="宋体" w:cs="宋体"/>
                <w:sz w:val="24"/>
                <w:szCs w:val="24"/>
              </w:rPr>
              <w:t>采购范围涉及防火墙、网络安全隔离卡与线路选择器、安全隔离与信息交换</w:t>
            </w:r>
            <w:r>
              <w:rPr>
                <w:rFonts w:hint="eastAsia" w:ascii="宋体" w:hAnsi="宋体" w:eastAsia="宋体" w:cs="宋体"/>
                <w:spacing w:val="-1"/>
                <w:sz w:val="24"/>
                <w:szCs w:val="24"/>
              </w:rPr>
              <w:t xml:space="preserve">产品、安全路由器、智能卡 </w:t>
            </w:r>
            <w:r>
              <w:rPr>
                <w:rFonts w:hint="eastAsia" w:ascii="宋体" w:hAnsi="宋体" w:eastAsia="宋体" w:cs="宋体"/>
                <w:spacing w:val="4"/>
                <w:sz w:val="24"/>
                <w:szCs w:val="24"/>
              </w:rPr>
              <w:t>COS</w:t>
            </w:r>
            <w:r>
              <w:rPr>
                <w:rFonts w:hint="eastAsia" w:ascii="宋体" w:hAnsi="宋体" w:eastAsia="宋体" w:cs="宋体"/>
                <w:sz w:val="24"/>
                <w:szCs w:val="24"/>
              </w:rPr>
              <w:t>、数据备份与恢复产品、安全操作系统、安全数据库系统、反垃圾邮件产品、入侵检测系统（IDS）、网络脆弱性扫描产</w:t>
            </w:r>
            <w:r>
              <w:rPr>
                <w:rFonts w:hint="eastAsia" w:ascii="宋体" w:hAnsi="宋体" w:eastAsia="宋体" w:cs="宋体"/>
                <w:spacing w:val="-6"/>
                <w:sz w:val="24"/>
                <w:szCs w:val="24"/>
              </w:rPr>
              <w:t xml:space="preserve">品、安全审计产品、网站恢复产品等品目为政府强制采购的信息安全产品的， </w:t>
            </w:r>
            <w:r>
              <w:rPr>
                <w:rFonts w:hint="eastAsia" w:ascii="宋体" w:hAnsi="宋体" w:eastAsia="宋体" w:cs="宋体"/>
                <w:spacing w:val="-3"/>
                <w:sz w:val="24"/>
                <w:szCs w:val="24"/>
              </w:rPr>
              <w:t>供应商的响应产品应当符合《关于信息安全产品实施政府采购的通知》</w:t>
            </w:r>
            <w:r>
              <w:rPr>
                <w:rFonts w:hint="eastAsia" w:ascii="宋体" w:hAnsi="宋体" w:eastAsia="宋体" w:cs="宋体"/>
                <w:sz w:val="24"/>
                <w:szCs w:val="24"/>
              </w:rPr>
              <w:t>（财库〔2010〕48 号）的要求，在响应文件中提供由中国信息安全认证中心按国家标准认证颁发的有效认证证书，否则其响应无效。</w:t>
            </w:r>
          </w:p>
        </w:tc>
      </w:tr>
    </w:tbl>
    <w:p>
      <w:pPr>
        <w:pStyle w:val="9"/>
        <w:ind w:firstLine="240"/>
        <w:rPr>
          <w:rFonts w:hint="eastAsia"/>
          <w:sz w:val="24"/>
          <w:szCs w:val="24"/>
          <w:lang w:val="zh-CN"/>
        </w:rPr>
      </w:pPr>
      <w:r>
        <w:rPr>
          <w:rFonts w:hint="eastAsia"/>
          <w:sz w:val="24"/>
          <w:szCs w:val="24"/>
          <w:lang w:val="zh-CN"/>
        </w:rPr>
        <w:t>2.招标产品技术规格、要求和数量</w:t>
      </w:r>
    </w:p>
    <w:tbl>
      <w:tblPr>
        <w:tblStyle w:val="7"/>
        <w:tblW w:w="97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8"/>
        <w:gridCol w:w="1250"/>
        <w:gridCol w:w="980"/>
        <w:gridCol w:w="6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838" w:type="dxa"/>
            <w:noWrap w:val="0"/>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包号</w:t>
            </w:r>
          </w:p>
        </w:tc>
        <w:tc>
          <w:tcPr>
            <w:tcW w:w="1250" w:type="dxa"/>
            <w:noWrap w:val="0"/>
            <w:vAlign w:val="center"/>
          </w:tcPr>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设备名称</w:t>
            </w:r>
          </w:p>
        </w:tc>
        <w:tc>
          <w:tcPr>
            <w:tcW w:w="980" w:type="dxa"/>
            <w:noWrap w:val="0"/>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6707" w:type="dxa"/>
            <w:noWrap w:val="0"/>
            <w:vAlign w:val="center"/>
          </w:tcPr>
          <w:p>
            <w:pPr>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技术参数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838"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250" w:type="dxa"/>
            <w:noWrap w:val="0"/>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流式细胞仪</w:t>
            </w:r>
          </w:p>
        </w:tc>
        <w:tc>
          <w:tcPr>
            <w:tcW w:w="980"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1台</w:t>
            </w:r>
          </w:p>
        </w:tc>
        <w:tc>
          <w:tcPr>
            <w:tcW w:w="6707" w:type="dxa"/>
            <w:noWrap w:val="0"/>
            <w:vAlign w:val="center"/>
          </w:tcPr>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 工作条件</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1.1 环境温度：10-35℃</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1.2 相对湿度：20-80% </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1.3 工作电压：220V-50Hz</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 技术参数</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 激光光路系统：配置488nm蓝色激光器、633nm红色激光器、405nm 紫色激光器以及用于液滴延迟监控的660nm红外激光器，共四根激光器，所用激光功率&lt;100mw。机器具有四个独立光斑（pinhole），后续可升级到六根激光器。</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2.2 检测参数：≧11色荧光和前向散射光、侧向散射光共13个检测通道</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2.3 激发光路系统：激光固定校准光路系统，开机及更换喷嘴无需调整光路，整机一体化设计，所有元件及核心部分均整合到统一密闭的空间中。</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2.4 荧光收集光路：连续反射光路设计，优先收集长波长荧光；采用光纤传递荧光信号至八角形和三角形荧光检测器单元。</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★2.5 流动检测池：采用光胶耦合物镜石英杯，液流固定于石英杯中心，采用石英杯激发检测模式。</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2.6 荧光检测灵敏度：FITC：&lt;100 MESF, PE：&lt; 30 MESF。</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2.7 最大分析速度：≧100, 000个细胞/秒。</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2.8 一体化电荷式分选系统：最大分选速度≧70, 000个细胞/秒，可进行1-4路分选和成份分选。</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2.9 液滴分析精度：≤1/8，精准定位细胞的位置。</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2.10 分选喷嘴：配备两套70μm、85um、100μm、130μm规格的分选喷嘴，用于不同大小的细胞分选。</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2.11 实时精确设定液滴延迟时间，自动确定、实时监测液滴时间延迟。</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2.12 进样温度控制系统:进样系统温度控制由软件控制范围4-40度，同时带有自动混匀功能。</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2.13 液流断点监控系统，分选全程的液流监控，自动调节，使得液流始终处在最稳定的状态</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★2.14 液流动力系统：具备完整且独立的液流车系统，配置有鞘液桶2只、废液桶1只、酒精桶2只、清洁液桶3只，鞘液桶和酒精桶为不锈钢材质，可实现高温高压灭菌。</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2.15 自动清洗：具有自动清洗功能, 包括自动清洗流动池，自动清洗进样仓，具有样本混匀功能，可以在软件上调整混匀参数。</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2.16 荧光信号补偿方式：任意荧光间补偿，既可以硬件补偿，也可以软件脱机补偿，完全实现网络补偿。</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2.17 数据输出格式：数据以标准的FCS3.0/FCS2.0格式输出，也可一键式转换为通用的pdf、excel、word、jepg等格式。</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2.18 质控系统：软件具备自动质检功能，自动设定仪器的基础条件；自动追踪仪器性能的变化，产生仪器性能质控图，帮助使用者判断仪器的工作状态</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2.19 数据处理工作站1：原装数据处理工作站一套：工作站, CPU： Intel Xeon E3-1225v2 3.2 GHz;内存：≥4 GB RAM数据存储：硬盘500GB以上; DVD或CD-ROM;▲21英寸液晶显示器、▲彩色激光打印机。</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2.20 数据处理工作站2：按用户实际需求，配置高配置工作站一套</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 配套耗材及服务</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3.1 仪器到货后7日内由供应商技术人员到现场与用户协商安装事宜，应在一月内完成相关仪器的安装、调试、试运行等工作，并开展相关实验。并配备常规通用试剂鞘液20L（具备医疗器械注册证），消毒液10L，清洗液10L；荧光微球2套。</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3.2 仪器厂家有专职的流式细胞仪维修和技术服务团队。同时在设有培训中心，为新装机客户提供两个免费培训名额，所有费用均由厂家提供，培训时间为五天，并颁发相关从业证书；</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3.3 质保：提供全面质保三年</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4 配置</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激光光路系统：配置488nm蓝色激光器、633红色激光器、405nm紫色激光器以及用于液滴延迟监控的660nm红外激光器，共四根激光器，所有激光功率小于100mw，极其具有四个独立光斑（pinhole），后续可升级到六根激光器。</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2）FACSDiva数据获取分析软件</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3）10L FACSClean清洗液</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4）10L FACSRinse清洗液</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5）20L FACSFlow鞘液</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6）CS&amp;T荧光微球3瓶</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7）分选喷嘴：70μm、85um、100μm、130μm</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8）▲彩色激光打印机</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9）数据处理工作站2套</w:t>
            </w:r>
          </w:p>
          <w:p>
            <w:pPr>
              <w:spacing w:beforeLines="0" w:afterLines="0"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10）5千瓦净化稳压电源</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11）培训：提供2-3个免费培训名额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838"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250" w:type="dxa"/>
            <w:noWrap w:val="0"/>
            <w:vAlign w:val="center"/>
          </w:tcPr>
          <w:p>
            <w:pPr>
              <w:spacing w:line="360" w:lineRule="auto"/>
              <w:jc w:val="center"/>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全自动核酸提取纯化系统</w:t>
            </w:r>
          </w:p>
        </w:tc>
        <w:tc>
          <w:tcPr>
            <w:tcW w:w="980"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1台</w:t>
            </w:r>
          </w:p>
        </w:tc>
        <w:tc>
          <w:tcPr>
            <w:tcW w:w="6707" w:type="dxa"/>
            <w:noWrap w:val="0"/>
            <w:vAlign w:val="center"/>
          </w:tcPr>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原理：内置永久磁性磁棒式全自动核酸提取纯化系统，无需离心或过滤操作，磁珠与目的样品特异结合，仪器磁棒上下运动使液体混匀，并吸取磁珠，在不同样品板/管间移动，经转移、洗脱、释放等步骤，直接提取纯化核酸等样品。仪器自动装卸磁套，由软件制定任意放置位置，无需手工操作。</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2.用于从各种材料，从各种材料，如拭子、血浆、血清、组织、痰液等多种组织中提取DNA或RNA，兼具食源性微生物富集功能</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★3.样品通量：96或24个</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★4.提取板位：可放置板位数≥8</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★5.工作体积：20-5000μl，标准磁头：50-1000μl；大体积磁头：200-5000μl</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★6.洗脱体积：50-1000μl，或更宽泛</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7.产物纯度A260/A280DNA ≥1.7-2.0，RNA ≥1.8-2.1</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8.纯化倍数：&gt;6倍</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9.磁珠回收效率&gt; 95%</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10.程序运行时间：&lt; 60min</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★11.具有温度控制功能，温控范围：室温+4℃至 +115℃，可以提前预热，保证温度控制精准度</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12.温度准确性：±1℃，至 +80℃；±2℃，至 +115℃</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13.图形化彩色控制面板，实时显示温度和实验进程信息，可独立使用，无需电脑</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14.内置程序分类管理功能，具有200个以上的程序存储空间</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★15.提供专门的磁珠纯化配套软件，可新建、保存，具有样本及耗材信息管理和追溯功能</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16.振荡模式：多种速度与时间自由组合，低/中/高等多种上下混匀速度，底部/中部/表面等多种混匀方式，磁珠预收集、干燥、暂停等多种动作设置</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17.程序管理：可新建、保存，对程序进行自由编辑</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18.通过USB接口连接电脑</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19.磁珠释放、吸附时间及模式可自由编辑</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★20.试剂开放并兼容用户自定义实验方案：兼容进口及国产磁珠试剂盒，彩页上提供至少三家及以上的试剂盒品牌供选择，同时提供三家及以上其他品牌的并注明可以在本品牌仪器使用的试剂盒说明书</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21.提供原厂技术支持和售后服务</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★22.整机原装进口，非OEM产品，具有CE认证，符合国家食品药品监督总局 (CFDA) 认证要求，并提供相关证书</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配置清单</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1.全自动核酸提取纯化系统 1台</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2.配套磁珠纯化软件 1套</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3.配套试剂和耗材 若干</w:t>
            </w:r>
          </w:p>
          <w:p>
            <w:pPr>
              <w:widowControl/>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4.配置主流</w:t>
            </w:r>
            <w:r>
              <w:rPr>
                <w:rFonts w:hint="eastAsia" w:ascii="宋体" w:hAnsi="宋体"/>
                <w:sz w:val="24"/>
                <w:szCs w:val="24"/>
              </w:rPr>
              <w:t>▲</w:t>
            </w:r>
            <w:r>
              <w:rPr>
                <w:rFonts w:hint="eastAsia" w:ascii="宋体" w:hAnsi="宋体" w:eastAsia="宋体" w:cs="宋体"/>
                <w:sz w:val="24"/>
                <w:szCs w:val="24"/>
                <w:highlight w:val="none"/>
              </w:rPr>
              <w:t>电脑1台</w:t>
            </w:r>
          </w:p>
        </w:tc>
      </w:tr>
    </w:tbl>
    <w:p>
      <w:pPr>
        <w:pStyle w:val="9"/>
        <w:keepNext w:val="0"/>
        <w:keepLines w:val="0"/>
        <w:pageBreakBefore w:val="0"/>
        <w:widowControl w:val="0"/>
        <w:kinsoku/>
        <w:wordWrap/>
        <w:overflowPunct/>
        <w:topLinePunct w:val="0"/>
        <w:autoSpaceDE/>
        <w:autoSpaceDN/>
        <w:bidi w:val="0"/>
        <w:adjustRightInd/>
        <w:snapToGrid/>
        <w:spacing w:line="360" w:lineRule="auto"/>
        <w:ind w:firstLine="240"/>
        <w:textAlignment w:val="auto"/>
        <w:rPr>
          <w:rFonts w:hint="eastAsia"/>
          <w:sz w:val="24"/>
          <w:szCs w:val="24"/>
          <w:lang w:val="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 xml:space="preserve">注：上述要求以及标注中：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 xml:space="preserve">带“★”条款为实质性条款，投标人必须按照招标文件的要求做出实质性响应。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 xml:space="preserve">带“▲”标注的产品为政府强制采购产品，政府强制采购产品是指财政部、发展改革委最新发布“节能产品政府采购清单”中的政府强制采购节能产品。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带“※”标注的产品为投标人开标时需提供的样品，中标后投标人送至采购人指定地点封存。投标人提交的样品与投标文件不一致的，由投标人承担相关法律责任。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pPr>
      <w:r>
        <w:rPr>
          <w:rFonts w:hint="eastAsia" w:ascii="宋体" w:hAnsi="宋体"/>
          <w:sz w:val="24"/>
          <w:szCs w:val="24"/>
        </w:rPr>
        <w:t>带“●”标注的产品为核心产品，系指在非单一产品采购项目中，采购人根据采购项目技术构成、产品价格比重等合理确定的产品。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sz w:val="24"/>
          <w:szCs w:val="24"/>
          <w:lang w:val="en-US" w:eastAsia="zh-CN"/>
        </w:rPr>
      </w:pPr>
      <w:r>
        <w:rPr>
          <w:rFonts w:hint="eastAsia" w:cs="Times New Roman"/>
          <w:sz w:val="24"/>
          <w:szCs w:val="24"/>
          <w:lang w:val="en-US" w:eastAsia="zh-CN"/>
        </w:rPr>
        <w:t>3</w:t>
      </w:r>
      <w:r>
        <w:rPr>
          <w:rFonts w:hint="eastAsia" w:cs="Times New Roman"/>
          <w:sz w:val="24"/>
          <w:szCs w:val="24"/>
          <w:lang w:val="zh-CN"/>
        </w:rPr>
        <w:t>.</w:t>
      </w:r>
      <w:r>
        <w:rPr>
          <w:rFonts w:hint="eastAsia" w:cs="Times New Roman"/>
          <w:sz w:val="24"/>
          <w:szCs w:val="24"/>
          <w:lang w:val="en-US" w:eastAsia="zh-CN"/>
        </w:rPr>
        <w:t>商务条件</w:t>
      </w:r>
    </w:p>
    <w:p>
      <w:pPr>
        <w:autoSpaceDE w:val="0"/>
        <w:autoSpaceDN w:val="0"/>
        <w:spacing w:line="360" w:lineRule="auto"/>
        <w:rPr>
          <w:rFonts w:cs="Times New Roman"/>
          <w:sz w:val="24"/>
          <w:szCs w:val="24"/>
          <w:lang w:val="zh-CN"/>
        </w:rPr>
      </w:pPr>
      <w:r>
        <w:rPr>
          <w:rFonts w:hint="eastAsia" w:cs="Times New Roman"/>
          <w:sz w:val="24"/>
          <w:szCs w:val="24"/>
          <w:lang w:val="en-US" w:eastAsia="zh-CN"/>
        </w:rPr>
        <w:t>3.1</w:t>
      </w:r>
      <w:r>
        <w:rPr>
          <w:rFonts w:cs="Times New Roman"/>
          <w:sz w:val="24"/>
          <w:szCs w:val="24"/>
          <w:lang w:val="zh-CN"/>
        </w:rPr>
        <w:t>交货和提供服务的时间</w:t>
      </w:r>
    </w:p>
    <w:p>
      <w:pPr>
        <w:topLinePunct/>
        <w:spacing w:line="360" w:lineRule="auto"/>
        <w:ind w:firstLine="480" w:firstLineChars="200"/>
        <w:rPr>
          <w:rFonts w:hint="eastAsia" w:cs="Times New Roman"/>
          <w:color w:val="000000"/>
          <w:sz w:val="24"/>
          <w:szCs w:val="24"/>
        </w:rPr>
      </w:pPr>
      <w:r>
        <w:rPr>
          <w:rFonts w:hint="eastAsia" w:cs="Times New Roman"/>
          <w:color w:val="000000"/>
          <w:sz w:val="24"/>
          <w:szCs w:val="24"/>
          <w:lang w:val="en-US" w:eastAsia="zh-CN"/>
        </w:rPr>
        <w:t>3</w:t>
      </w:r>
      <w:r>
        <w:rPr>
          <w:rFonts w:cs="Times New Roman"/>
          <w:color w:val="000000"/>
          <w:sz w:val="24"/>
          <w:szCs w:val="24"/>
          <w:lang w:val="zh-CN"/>
        </w:rPr>
        <w:t>.1</w:t>
      </w:r>
      <w:r>
        <w:rPr>
          <w:rFonts w:hint="eastAsia" w:cs="Times New Roman"/>
          <w:color w:val="000000"/>
          <w:sz w:val="24"/>
          <w:szCs w:val="24"/>
          <w:lang w:val="en-US" w:eastAsia="zh-CN"/>
        </w:rPr>
        <w:t>.1</w:t>
      </w:r>
      <w:r>
        <w:rPr>
          <w:rFonts w:cs="Times New Roman"/>
          <w:color w:val="000000"/>
          <w:sz w:val="24"/>
          <w:szCs w:val="24"/>
          <w:lang w:val="zh-CN"/>
        </w:rPr>
        <w:t xml:space="preserve"> 供货期限：</w:t>
      </w:r>
      <w:r>
        <w:rPr>
          <w:rFonts w:hint="eastAsia" w:cs="Times New Roman"/>
          <w:color w:val="000000"/>
          <w:sz w:val="24"/>
          <w:szCs w:val="24"/>
        </w:rPr>
        <w:t>国产设备要求乙方收到预付款后15个工作日；</w:t>
      </w:r>
    </w:p>
    <w:p>
      <w:pPr>
        <w:topLinePunct/>
        <w:spacing w:line="360" w:lineRule="auto"/>
        <w:ind w:firstLine="2160" w:firstLineChars="900"/>
        <w:rPr>
          <w:rFonts w:cs="Times New Roman"/>
          <w:color w:val="000000"/>
          <w:sz w:val="24"/>
          <w:szCs w:val="24"/>
          <w:lang w:val="zh-CN"/>
        </w:rPr>
      </w:pPr>
      <w:r>
        <w:rPr>
          <w:rFonts w:hint="eastAsia" w:cs="Times New Roman"/>
          <w:color w:val="000000"/>
          <w:sz w:val="24"/>
          <w:szCs w:val="24"/>
        </w:rPr>
        <w:t>进口设备要求乙方收到预付款后30个工作日。</w:t>
      </w:r>
    </w:p>
    <w:p>
      <w:pPr>
        <w:topLinePunct/>
        <w:spacing w:line="360" w:lineRule="auto"/>
        <w:ind w:firstLine="480" w:firstLineChars="200"/>
        <w:rPr>
          <w:rFonts w:cs="Times New Roman"/>
          <w:sz w:val="24"/>
          <w:szCs w:val="24"/>
          <w:lang w:val="zh-CN"/>
        </w:rPr>
      </w:pPr>
      <w:r>
        <w:rPr>
          <w:rFonts w:hint="eastAsia" w:cs="Times New Roman"/>
          <w:color w:val="000000"/>
          <w:sz w:val="24"/>
          <w:szCs w:val="24"/>
          <w:lang w:val="en-US" w:eastAsia="zh-CN"/>
        </w:rPr>
        <w:t>3</w:t>
      </w:r>
      <w:r>
        <w:rPr>
          <w:rFonts w:cs="Times New Roman"/>
          <w:color w:val="000000"/>
          <w:sz w:val="24"/>
          <w:szCs w:val="24"/>
          <w:lang w:val="zh-CN"/>
        </w:rPr>
        <w:t>.1</w:t>
      </w:r>
      <w:r>
        <w:rPr>
          <w:rFonts w:cs="Times New Roman"/>
          <w:sz w:val="24"/>
          <w:szCs w:val="24"/>
          <w:lang w:val="zh-CN"/>
        </w:rPr>
        <w:t>.2 质保期限：自验收合格交付使用起3年。</w:t>
      </w:r>
    </w:p>
    <w:p>
      <w:pPr>
        <w:topLinePunct/>
        <w:spacing w:line="360" w:lineRule="auto"/>
        <w:ind w:left="479" w:leftChars="228"/>
        <w:rPr>
          <w:rFonts w:cs="Times New Roman"/>
          <w:sz w:val="24"/>
          <w:szCs w:val="24"/>
        </w:rPr>
      </w:pPr>
      <w:r>
        <w:rPr>
          <w:rFonts w:hint="eastAsia" w:cs="Times New Roman"/>
          <w:color w:val="000000"/>
          <w:sz w:val="24"/>
          <w:szCs w:val="24"/>
          <w:lang w:val="en-US" w:eastAsia="zh-CN"/>
        </w:rPr>
        <w:t>3</w:t>
      </w:r>
      <w:r>
        <w:rPr>
          <w:rFonts w:cs="Times New Roman"/>
          <w:color w:val="000000"/>
          <w:sz w:val="24"/>
          <w:szCs w:val="24"/>
          <w:lang w:val="zh-CN"/>
        </w:rPr>
        <w:t>.1</w:t>
      </w:r>
      <w:r>
        <w:rPr>
          <w:rFonts w:cs="Times New Roman"/>
          <w:sz w:val="24"/>
          <w:szCs w:val="24"/>
          <w:lang w:val="zh-CN"/>
        </w:rPr>
        <w:t>.2</w:t>
      </w:r>
      <w:r>
        <w:rPr>
          <w:rFonts w:cs="Times New Roman"/>
          <w:sz w:val="24"/>
          <w:szCs w:val="24"/>
        </w:rPr>
        <w:t>.1 投标商或生产厂家到使用单位所在地安装、调试运行合格后验收；</w:t>
      </w:r>
    </w:p>
    <w:p>
      <w:pPr>
        <w:topLinePunct/>
        <w:spacing w:line="360" w:lineRule="auto"/>
        <w:ind w:firstLine="477" w:firstLineChars="199"/>
        <w:rPr>
          <w:rFonts w:cs="Times New Roman"/>
          <w:sz w:val="24"/>
          <w:szCs w:val="24"/>
        </w:rPr>
      </w:pPr>
      <w:r>
        <w:rPr>
          <w:rFonts w:hint="eastAsia" w:cs="Times New Roman"/>
          <w:color w:val="000000"/>
          <w:sz w:val="24"/>
          <w:szCs w:val="24"/>
          <w:lang w:val="en-US" w:eastAsia="zh-CN"/>
        </w:rPr>
        <w:t>3</w:t>
      </w:r>
      <w:r>
        <w:rPr>
          <w:rFonts w:cs="Times New Roman"/>
          <w:color w:val="000000"/>
          <w:sz w:val="24"/>
          <w:szCs w:val="24"/>
          <w:lang w:val="zh-CN"/>
        </w:rPr>
        <w:t>.1</w:t>
      </w:r>
      <w:r>
        <w:rPr>
          <w:rFonts w:hint="eastAsia" w:cs="Times New Roman"/>
          <w:color w:val="000000"/>
          <w:sz w:val="24"/>
          <w:szCs w:val="24"/>
          <w:lang w:val="en-US" w:eastAsia="zh-CN"/>
        </w:rPr>
        <w:t>.</w:t>
      </w:r>
      <w:r>
        <w:rPr>
          <w:rFonts w:cs="Times New Roman"/>
          <w:sz w:val="24"/>
          <w:szCs w:val="24"/>
        </w:rPr>
        <w:t>2.2 由生产厂家为用户提供现场技术培训，提供免费的仪器操作、维护、维修的国内培训，使买方人员能掌握有关系统设备的使用、维护和管理，达到能独立进行操作、日常测试维护等工作的目的；</w:t>
      </w:r>
    </w:p>
    <w:p>
      <w:pPr>
        <w:topLinePunct/>
        <w:spacing w:line="360" w:lineRule="auto"/>
        <w:ind w:firstLine="477" w:firstLineChars="199"/>
        <w:rPr>
          <w:rFonts w:cs="Times New Roman"/>
          <w:sz w:val="24"/>
          <w:szCs w:val="24"/>
        </w:rPr>
      </w:pPr>
      <w:r>
        <w:rPr>
          <w:rFonts w:hint="eastAsia" w:cs="Times New Roman"/>
          <w:color w:val="000000"/>
          <w:sz w:val="24"/>
          <w:szCs w:val="24"/>
          <w:lang w:val="en-US" w:eastAsia="zh-CN"/>
        </w:rPr>
        <w:t>3</w:t>
      </w:r>
      <w:r>
        <w:rPr>
          <w:rFonts w:cs="Times New Roman"/>
          <w:color w:val="000000"/>
          <w:sz w:val="24"/>
          <w:szCs w:val="24"/>
          <w:lang w:val="zh-CN"/>
        </w:rPr>
        <w:t>.1</w:t>
      </w:r>
      <w:r>
        <w:rPr>
          <w:rFonts w:cs="Times New Roman"/>
          <w:sz w:val="24"/>
          <w:szCs w:val="24"/>
        </w:rPr>
        <w:t>.2.3 产品质量按中华人民共和国有关质量标准实行“三包”服务，在质保期内，卖方负责为买方的设备提供免费维护、保养和免费更换损坏的和有缺陷的零部件；</w:t>
      </w:r>
    </w:p>
    <w:p>
      <w:pPr>
        <w:topLinePunct/>
        <w:spacing w:line="360" w:lineRule="auto"/>
        <w:ind w:firstLine="477" w:firstLineChars="199"/>
        <w:rPr>
          <w:rFonts w:cs="Times New Roman"/>
          <w:sz w:val="24"/>
          <w:szCs w:val="24"/>
        </w:rPr>
      </w:pPr>
      <w:r>
        <w:rPr>
          <w:rFonts w:hint="eastAsia" w:cs="Times New Roman"/>
          <w:color w:val="000000"/>
          <w:sz w:val="24"/>
          <w:szCs w:val="24"/>
          <w:lang w:val="en-US" w:eastAsia="zh-CN"/>
        </w:rPr>
        <w:t>3</w:t>
      </w:r>
      <w:r>
        <w:rPr>
          <w:rFonts w:cs="Times New Roman"/>
          <w:color w:val="000000"/>
          <w:sz w:val="24"/>
          <w:szCs w:val="24"/>
          <w:lang w:val="zh-CN"/>
        </w:rPr>
        <w:t>.1</w:t>
      </w:r>
      <w:r>
        <w:rPr>
          <w:rFonts w:cs="Times New Roman"/>
          <w:sz w:val="24"/>
          <w:szCs w:val="24"/>
        </w:rPr>
        <w:t>.2.4 生产厂家为用户提供产品终身技术服务。厂家在国内要有维修中心，要有专职的维修工程师，要有备品备件库。当设备发生任何故障或不能正常运转时，卖方需提供24小时电话咨询，如故障问题仍无法解决，卖方必须在接到买方通知后72小时内派员到现场解决问题。</w:t>
      </w:r>
    </w:p>
    <w:p>
      <w:pPr>
        <w:topLinePunct/>
        <w:spacing w:line="360" w:lineRule="auto"/>
        <w:ind w:firstLine="480" w:firstLineChars="200"/>
        <w:rPr>
          <w:rFonts w:cs="Times New Roman"/>
          <w:sz w:val="24"/>
          <w:szCs w:val="24"/>
          <w:lang w:val="zh-CN"/>
        </w:rPr>
      </w:pPr>
      <w:r>
        <w:rPr>
          <w:rFonts w:hint="eastAsia" w:cs="Times New Roman"/>
          <w:color w:val="000000"/>
          <w:sz w:val="24"/>
          <w:szCs w:val="24"/>
          <w:lang w:val="en-US" w:eastAsia="zh-CN"/>
        </w:rPr>
        <w:t>3</w:t>
      </w:r>
      <w:r>
        <w:rPr>
          <w:rFonts w:cs="Times New Roman"/>
          <w:color w:val="000000"/>
          <w:sz w:val="24"/>
          <w:szCs w:val="24"/>
          <w:lang w:val="zh-CN"/>
        </w:rPr>
        <w:t>.1</w:t>
      </w:r>
      <w:r>
        <w:rPr>
          <w:rFonts w:cs="Times New Roman"/>
          <w:sz w:val="24"/>
          <w:szCs w:val="24"/>
          <w:lang w:val="zh-CN"/>
        </w:rPr>
        <w:t>.3 货物验收</w:t>
      </w:r>
    </w:p>
    <w:p>
      <w:pPr>
        <w:topLinePunct/>
        <w:spacing w:line="360" w:lineRule="auto"/>
        <w:ind w:firstLine="480" w:firstLineChars="200"/>
        <w:rPr>
          <w:rFonts w:cs="Times New Roman"/>
          <w:sz w:val="24"/>
          <w:szCs w:val="24"/>
          <w:lang w:val="zh-CN"/>
        </w:rPr>
      </w:pPr>
      <w:r>
        <w:rPr>
          <w:rFonts w:cs="Times New Roman"/>
          <w:sz w:val="24"/>
          <w:szCs w:val="24"/>
          <w:lang w:val="zh-CN"/>
        </w:rPr>
        <w:t>招标方将按照各货物设计要求、合同内容及有关规定进行设备验收，同时可定期或不定期派人员去货物现场监督。</w:t>
      </w:r>
    </w:p>
    <w:p>
      <w:pPr>
        <w:tabs>
          <w:tab w:val="left" w:pos="764"/>
          <w:tab w:val="left" w:pos="955"/>
          <w:tab w:val="left" w:pos="1504"/>
        </w:tabs>
        <w:spacing w:line="360" w:lineRule="auto"/>
        <w:jc w:val="left"/>
        <w:rPr>
          <w:rFonts w:cs="Times New Roman"/>
          <w:sz w:val="24"/>
          <w:szCs w:val="24"/>
        </w:rPr>
      </w:pPr>
      <w:r>
        <w:rPr>
          <w:rFonts w:cs="Times New Roman"/>
          <w:sz w:val="24"/>
          <w:szCs w:val="24"/>
        </w:rPr>
        <w:t xml:space="preserve">    </w:t>
      </w:r>
      <w:r>
        <w:rPr>
          <w:rFonts w:hint="eastAsia" w:cs="Times New Roman"/>
          <w:color w:val="000000"/>
          <w:sz w:val="24"/>
          <w:szCs w:val="24"/>
          <w:lang w:val="en-US" w:eastAsia="zh-CN"/>
        </w:rPr>
        <w:t>3</w:t>
      </w:r>
      <w:r>
        <w:rPr>
          <w:rFonts w:cs="Times New Roman"/>
          <w:color w:val="000000"/>
          <w:sz w:val="24"/>
          <w:szCs w:val="24"/>
          <w:lang w:val="zh-CN"/>
        </w:rPr>
        <w:t>.1</w:t>
      </w:r>
      <w:r>
        <w:rPr>
          <w:rFonts w:cs="Times New Roman"/>
          <w:sz w:val="24"/>
          <w:szCs w:val="24"/>
          <w:lang w:val="zh-CN"/>
        </w:rPr>
        <w:t>.4</w:t>
      </w:r>
      <w:r>
        <w:rPr>
          <w:rFonts w:cs="Times New Roman"/>
          <w:sz w:val="24"/>
          <w:szCs w:val="24"/>
        </w:rPr>
        <w:t>付款方式</w:t>
      </w:r>
    </w:p>
    <w:p>
      <w:pPr>
        <w:tabs>
          <w:tab w:val="left" w:pos="764"/>
          <w:tab w:val="left" w:pos="955"/>
          <w:tab w:val="left" w:pos="1504"/>
        </w:tabs>
        <w:spacing w:line="360" w:lineRule="auto"/>
        <w:jc w:val="left"/>
        <w:rPr>
          <w:rFonts w:cs="Times New Roman"/>
          <w:color w:val="000000"/>
          <w:sz w:val="24"/>
          <w:szCs w:val="24"/>
        </w:rPr>
      </w:pPr>
      <w:r>
        <w:rPr>
          <w:rFonts w:cs="Times New Roman"/>
          <w:sz w:val="24"/>
          <w:szCs w:val="24"/>
        </w:rPr>
        <w:t xml:space="preserve">    甲方于合同签订后预付乙方合同金额</w:t>
      </w:r>
      <w:r>
        <w:rPr>
          <w:rFonts w:cs="Times New Roman"/>
          <w:color w:val="000000"/>
          <w:sz w:val="24"/>
          <w:szCs w:val="24"/>
        </w:rPr>
        <w:t>的</w:t>
      </w:r>
      <w:r>
        <w:rPr>
          <w:rFonts w:hint="eastAsia" w:cs="Times New Roman"/>
          <w:color w:val="000000"/>
          <w:sz w:val="24"/>
          <w:szCs w:val="24"/>
        </w:rPr>
        <w:t>5</w:t>
      </w:r>
      <w:r>
        <w:rPr>
          <w:rFonts w:cs="Times New Roman"/>
          <w:color w:val="000000"/>
          <w:sz w:val="24"/>
          <w:szCs w:val="24"/>
        </w:rPr>
        <w:t>0%，货到安装完成并验收合格后，乙方一次性开具全额货款额度的增值税专用发票后，甲方付至合同金额的95%，剩余5%质保金于验收合格12个月（1年）设备未出现质量问题后无息支付。</w:t>
      </w:r>
    </w:p>
    <w:p>
      <w:pPr>
        <w:topLinePunct/>
        <w:spacing w:line="360" w:lineRule="auto"/>
        <w:ind w:firstLine="482" w:firstLineChars="200"/>
        <w:rPr>
          <w:rFonts w:cs="Times New Roman"/>
          <w:b/>
          <w:sz w:val="24"/>
          <w:szCs w:val="24"/>
        </w:rPr>
      </w:pPr>
      <w:r>
        <w:rPr>
          <w:rFonts w:cs="Times New Roman"/>
          <w:b/>
          <w:sz w:val="24"/>
          <w:szCs w:val="24"/>
          <w:lang w:val="zh-CN"/>
        </w:rPr>
        <w:t>本章内容为通用要求标准，如在“项目需求以及技术要求”内有详细要求，请以“项目需求以及技术要求”内容为准。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szCs w:val="24"/>
        </w:rPr>
        <w:sectPr>
          <w:headerReference r:id="rId3" w:type="default"/>
          <w:footerReference r:id="rId4" w:type="default"/>
          <w:pgSz w:w="11906" w:h="16838"/>
          <w:pgMar w:top="1418" w:right="1418" w:bottom="1418" w:left="1418"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78899E"/>
    <w:multiLevelType w:val="singleLevel"/>
    <w:tmpl w:val="A278899E"/>
    <w:lvl w:ilvl="0" w:tentative="0">
      <w:start w:val="1"/>
      <w:numFmt w:val="decimal"/>
      <w:suff w:val="nothing"/>
      <w:lvlText w:val="（%1）"/>
      <w:lvlJc w:val="left"/>
    </w:lvl>
  </w:abstractNum>
  <w:abstractNum w:abstractNumId="1">
    <w:nsid w:val="6675F437"/>
    <w:multiLevelType w:val="singleLevel"/>
    <w:tmpl w:val="6675F437"/>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03587"/>
    <w:rsid w:val="02E03587"/>
    <w:rsid w:val="058133A2"/>
    <w:rsid w:val="20D64E06"/>
    <w:rsid w:val="2F2709A3"/>
    <w:rsid w:val="341C3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1"/>
      <w:lang w:val="en-US" w:eastAsia="zh-CN" w:bidi="ar-SA"/>
    </w:rPr>
  </w:style>
  <w:style w:type="paragraph" w:styleId="3">
    <w:name w:val="heading 1"/>
    <w:basedOn w:val="1"/>
    <w:next w:val="1"/>
    <w:qFormat/>
    <w:uiPriority w:val="0"/>
    <w:pPr>
      <w:keepNext/>
      <w:keepLines/>
      <w:spacing w:line="360" w:lineRule="auto"/>
      <w:outlineLvl w:val="0"/>
    </w:pPr>
    <w:rPr>
      <w:rFonts w:ascii="Calibri" w:hAnsi="Calibri" w:cs="Times New Roman"/>
      <w:b/>
      <w:bCs/>
      <w:kern w:val="44"/>
      <w:sz w:val="44"/>
      <w:szCs w:val="44"/>
    </w:rPr>
  </w:style>
  <w:style w:type="paragraph" w:styleId="2">
    <w:name w:val="heading 2"/>
    <w:basedOn w:val="1"/>
    <w:next w:val="1"/>
    <w:qFormat/>
    <w:uiPriority w:val="0"/>
    <w:pPr>
      <w:keepNext/>
      <w:keepLines/>
      <w:spacing w:before="260" w:after="260" w:line="413" w:lineRule="auto"/>
      <w:jc w:val="center"/>
      <w:outlineLvl w:val="1"/>
    </w:pPr>
    <w:rPr>
      <w:rFonts w:ascii="Cambria" w:hAnsi="Cambria" w:cs="Times New Roman"/>
      <w:b/>
      <w:bCs/>
      <w:kern w:val="0"/>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Body Text"/>
    <w:basedOn w:val="1"/>
    <w:qFormat/>
    <w:uiPriority w:val="99"/>
    <w:pPr>
      <w:spacing w:line="380" w:lineRule="exact"/>
    </w:pPr>
    <w:rPr>
      <w:rFonts w:ascii="Calibri" w:hAnsi="Calibri" w:cs="Times New Roman"/>
      <w:sz w:val="24"/>
      <w:szCs w:val="20"/>
    </w:rPr>
  </w:style>
  <w:style w:type="paragraph" w:styleId="5">
    <w:name w:val="footer"/>
    <w:basedOn w:val="1"/>
    <w:qFormat/>
    <w:uiPriority w:val="99"/>
    <w:pPr>
      <w:tabs>
        <w:tab w:val="center" w:pos="4153"/>
        <w:tab w:val="right" w:pos="8306"/>
      </w:tabs>
      <w:snapToGrid w:val="0"/>
      <w:jc w:val="left"/>
    </w:pPr>
    <w:rPr>
      <w:rFonts w:ascii="Calibri" w:hAnsi="Calibri" w:cs="Times New Roman"/>
      <w:kern w:val="0"/>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rFonts w:ascii="Calibri" w:hAnsi="Calibri" w:cs="Times New Roman"/>
      <w:kern w:val="0"/>
      <w:sz w:val="18"/>
      <w:szCs w:val="18"/>
    </w:rPr>
  </w:style>
  <w:style w:type="paragraph" w:customStyle="1" w:styleId="9">
    <w:name w:val="正文首行缩进 Char Char"/>
    <w:basedOn w:val="10"/>
    <w:qFormat/>
    <w:uiPriority w:val="0"/>
    <w:pPr>
      <w:ind w:firstLine="420" w:firstLineChars="100"/>
    </w:pPr>
  </w:style>
  <w:style w:type="paragraph" w:customStyle="1" w:styleId="10">
    <w:name w:val="body text"/>
    <w:basedOn w:val="1"/>
    <w:qFormat/>
    <w:uiPriority w:val="0"/>
    <w:pPr>
      <w:spacing w:after="120"/>
    </w:pPr>
  </w:style>
  <w:style w:type="paragraph" w:customStyle="1" w:styleId="11">
    <w:name w:val="Table Paragraph"/>
    <w:basedOn w:val="1"/>
    <w:qFormat/>
    <w:uiPriority w:val="1"/>
    <w:rPr>
      <w:rFonts w:ascii="宋体" w:hAnsi="宋体" w:cs="宋体"/>
      <w:szCs w:val="24"/>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2855</Words>
  <Characters>3309</Characters>
  <Lines>0</Lines>
  <Paragraphs>0</Paragraphs>
  <TotalTime>6</TotalTime>
  <ScaleCrop>false</ScaleCrop>
  <LinksUpToDate>false</LinksUpToDate>
  <CharactersWithSpaces>3377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2020-11-03T11:16:00Z</dcterms:created>
  <dc:creator>yang</dc:creator>
  <cp:lastModifiedBy>yang</cp:lastModifiedBy>
  <dcterms:modified xsi:type="dcterms:W3CDTF">2020-11-03T13:01:05Z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