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72" w:rsidRPr="00B04972" w:rsidRDefault="00B04972" w:rsidP="00B04972">
      <w:pPr>
        <w:pStyle w:val="a5"/>
        <w:ind w:firstLineChars="250" w:firstLine="602"/>
        <w:jc w:val="center"/>
        <w:rPr>
          <w:rFonts w:ascii="Times New Roman" w:hAnsi="Times New Roman" w:hint="eastAsia"/>
          <w:b/>
          <w:sz w:val="24"/>
          <w:szCs w:val="24"/>
          <w:lang w:val="zh-CN"/>
        </w:rPr>
      </w:pPr>
      <w:bookmarkStart w:id="0" w:name="_GoBack"/>
      <w:r w:rsidRPr="00B04972">
        <w:rPr>
          <w:rFonts w:ascii="Times New Roman" w:hAnsi="Times New Roman" w:hint="eastAsia"/>
          <w:b/>
          <w:sz w:val="24"/>
          <w:szCs w:val="24"/>
          <w:lang w:val="zh-CN"/>
        </w:rPr>
        <w:t>采购</w:t>
      </w:r>
      <w:r w:rsidRPr="00B04972">
        <w:rPr>
          <w:rFonts w:ascii="Times New Roman" w:hAnsi="Times New Roman"/>
          <w:b/>
          <w:sz w:val="24"/>
          <w:szCs w:val="24"/>
          <w:lang w:val="zh-CN"/>
        </w:rPr>
        <w:t>需求</w:t>
      </w:r>
    </w:p>
    <w:tbl>
      <w:tblPr>
        <w:tblW w:w="9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134"/>
        <w:gridCol w:w="663"/>
        <w:gridCol w:w="7286"/>
      </w:tblGrid>
      <w:tr w:rsidR="00B04972" w:rsidTr="007A6D09">
        <w:trPr>
          <w:trHeight w:val="459"/>
          <w:jc w:val="center"/>
        </w:trPr>
        <w:tc>
          <w:tcPr>
            <w:tcW w:w="692" w:type="dxa"/>
            <w:vAlign w:val="center"/>
          </w:tcPr>
          <w:bookmarkEnd w:id="0"/>
          <w:p w:rsidR="00B04972" w:rsidRDefault="00B04972" w:rsidP="007A6D09">
            <w:pPr>
              <w:spacing w:line="360" w:lineRule="auto"/>
              <w:jc w:val="center"/>
              <w:rPr>
                <w:rFonts w:ascii="宋体" w:hAnsi="宋体"/>
                <w:sz w:val="20"/>
                <w:szCs w:val="24"/>
              </w:rPr>
            </w:pPr>
            <w:r>
              <w:rPr>
                <w:rFonts w:ascii="宋体" w:hAnsi="宋体"/>
                <w:sz w:val="20"/>
                <w:szCs w:val="24"/>
              </w:rPr>
              <w:t>包号</w:t>
            </w:r>
          </w:p>
        </w:tc>
        <w:tc>
          <w:tcPr>
            <w:tcW w:w="1134" w:type="dxa"/>
            <w:vAlign w:val="center"/>
          </w:tcPr>
          <w:p w:rsidR="00B04972" w:rsidRDefault="00B04972" w:rsidP="007A6D09">
            <w:pPr>
              <w:spacing w:line="360" w:lineRule="auto"/>
              <w:rPr>
                <w:rFonts w:ascii="宋体" w:hAnsi="宋体"/>
                <w:sz w:val="20"/>
                <w:szCs w:val="24"/>
              </w:rPr>
            </w:pPr>
            <w:r>
              <w:rPr>
                <w:rFonts w:ascii="宋体" w:hAnsi="宋体"/>
                <w:sz w:val="20"/>
                <w:szCs w:val="24"/>
              </w:rPr>
              <w:t>设备名称</w:t>
            </w:r>
          </w:p>
        </w:tc>
        <w:tc>
          <w:tcPr>
            <w:tcW w:w="663" w:type="dxa"/>
            <w:vAlign w:val="center"/>
          </w:tcPr>
          <w:p w:rsidR="00B04972" w:rsidRDefault="00B04972" w:rsidP="007A6D09">
            <w:pPr>
              <w:spacing w:line="360" w:lineRule="auto"/>
              <w:jc w:val="center"/>
              <w:rPr>
                <w:rFonts w:ascii="宋体" w:hAnsi="宋体"/>
                <w:sz w:val="20"/>
                <w:szCs w:val="24"/>
              </w:rPr>
            </w:pPr>
            <w:r>
              <w:rPr>
                <w:rFonts w:ascii="宋体" w:hAnsi="宋体"/>
                <w:sz w:val="20"/>
                <w:szCs w:val="24"/>
              </w:rPr>
              <w:t>数量</w:t>
            </w:r>
          </w:p>
        </w:tc>
        <w:tc>
          <w:tcPr>
            <w:tcW w:w="7286" w:type="dxa"/>
            <w:vAlign w:val="center"/>
          </w:tcPr>
          <w:p w:rsidR="00B04972" w:rsidRDefault="00B04972" w:rsidP="007A6D09">
            <w:pPr>
              <w:spacing w:line="360" w:lineRule="auto"/>
              <w:jc w:val="center"/>
              <w:rPr>
                <w:rFonts w:ascii="宋体" w:hAnsi="宋体"/>
                <w:sz w:val="20"/>
                <w:szCs w:val="24"/>
              </w:rPr>
            </w:pPr>
            <w:r>
              <w:rPr>
                <w:rFonts w:ascii="宋体" w:hAnsi="宋体"/>
                <w:sz w:val="20"/>
                <w:szCs w:val="24"/>
              </w:rPr>
              <w:t>技术参数</w:t>
            </w:r>
          </w:p>
        </w:tc>
      </w:tr>
      <w:tr w:rsidR="00B04972" w:rsidTr="007A6D09">
        <w:trPr>
          <w:trHeight w:val="1691"/>
          <w:jc w:val="center"/>
        </w:trPr>
        <w:tc>
          <w:tcPr>
            <w:tcW w:w="692" w:type="dxa"/>
            <w:vAlign w:val="center"/>
          </w:tcPr>
          <w:p w:rsidR="00B04972" w:rsidRDefault="00B04972" w:rsidP="007A6D09">
            <w:pPr>
              <w:jc w:val="center"/>
              <w:rPr>
                <w:rFonts w:ascii="宋体" w:hAnsi="宋体" w:cs="Times New Roman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宋体" w:hAnsi="宋体"/>
                <w:sz w:val="18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超高分辨率激光共聚焦显微镜</w:t>
            </w:r>
          </w:p>
        </w:tc>
        <w:tc>
          <w:tcPr>
            <w:tcW w:w="663" w:type="dxa"/>
            <w:vAlign w:val="center"/>
          </w:tcPr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台</w:t>
            </w:r>
          </w:p>
        </w:tc>
        <w:tc>
          <w:tcPr>
            <w:tcW w:w="7286" w:type="dxa"/>
            <w:vAlign w:val="center"/>
          </w:tcPr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、基本要求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、该系统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XY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轴成像分辨率≤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120nm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1.2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、该系统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轴成像分辨率≤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300nm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1.3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、★图像扫描分辨率≥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8192 x 8192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像素；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1.4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、在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120nm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超高成像分辨率模式下具有大图拼接功能；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、在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120nm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超高成像分辨率模式下具有同时三色成像功能，非顺序成像；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1.6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、光谱检测范围≥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410-850nm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1.7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、通过棱镜分光、狭缝扫描实现高效率分光，无光栅分光偏振面的依赖性；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1.8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、标配分光效率更高和检测带宽更准确的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Pellin-Broca-Prism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棱镜的独立可调带宽分光装置；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1.9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、标配螺旋式扫描模式；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1.10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、显微镜对焦的要求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自动对焦功能和具有高精度无滞后的硬件调焦装置；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、激光器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、激光器数量≥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根；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、激光器功率务必满足以下要求：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2.2.1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、激光器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405nm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或相近波长，功率：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0-50mW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连续可调；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2.2.2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、激光器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488nm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或相近波长，功率：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0-20mW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连续可调；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2.2.3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、激光器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561nm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或相近波长，功率：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0-20mW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连续可调；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2.2.4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、激光器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639nm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或相近波长，功率：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0-30mW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连续可调；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、共聚焦扫描器部分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3.1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、检测器数量≥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个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3.1.1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、最高端超高灵敏度磷砷化镓混合检测器≥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个；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3.1.2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、★检测器光子探测效率（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PDE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）＞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58%@500nm;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3.1.3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、检测器具有模拟、反射光和光子计数三种检测模式；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3.1.4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、透射光检测器≥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个；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3.2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、扫描装置激光器接口：≥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个；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3.3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、★共聚焦扫描视野≥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22mm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，单次成像视野大，节省大范围拼图时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lastRenderedPageBreak/>
              <w:t>间；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3.4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、扫描变倍：能提供连续无级变倍方式扫描，变倍范围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0.75 X- 48 X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，调节步进≤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0.01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×；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3.5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、旋转扫描：具有自由旋转角度功能，调节精度≤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度，旋转扫描时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DIC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图像也随之旋转；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、光谱分离系统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4.1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、检测光谱范围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410-850nm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，后期实验会用到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720-850nm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的检测范围；；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、光谱扫描功能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5.1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、光谱分辨率：≤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5.2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、光谱扫描步进：≤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、扫描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6.1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、在所有扫描模式下，均可以进行单向和双向扫描操作；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、显微镜系统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、全电动研究型显微镜，由激光共聚焦扫描软件系统全自动控制，具备光强管理功能，物镜转换后自动调节照明亮度；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7.2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、全电动物镜转换器；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、物镜：所有物镜为共聚焦专用，且具有电动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DIC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观察方式；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7.3.1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×平场复消色差共聚焦专用物镜，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0.4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7.3.2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×平场复消色差共聚焦专用物镜，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0.75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7.3.3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×平场复消色差共聚焦专用物镜，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1.30 oil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ab/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7.3.4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×平场复消色差共聚焦专用物镜，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1.4 oil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7.4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、标配超高精度扫描载物台；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7.5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、具有串色分离功能；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7.6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10X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目镜，视场数≥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25mm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，以追求大视野；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7.7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、目镜及镜筒具有上下角度调节，以适应不同身高的实验操作者；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7.8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、带有电动透射光轴，用于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TLD Photomultiplier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实验；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7.9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、带有外置独立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XYZ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调节控制器，调节载物台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XY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方向和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轴；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7.10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、电动聚光镜，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NA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0.55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WD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28mm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，具有电动视场光阑和电动孔径光阑；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7.11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、超长寿命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LED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光源透射光光源，不能是卤素灯；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7.12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位电动荧光激发块转盘，标配≥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个滤块；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DAPI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滤块：激发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325-375nm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；阻挡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400nm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；发射：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435-485nm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FITC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滤块：激发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460-500nm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；阻挡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505nm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；发射：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512-542nm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RHOD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滤块：激发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541-551nm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；阻挡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560nm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；发射：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565-605nm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Y5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滤块：激发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590-650nm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；阻挡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660nm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；发射：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662-738nm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7.13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、外置光纤导入式长寿命金属卤化物荧光光源，寿命≥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5000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小时，与显微镜为同一品牌；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7.14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、显微镜调焦行程≥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12 mm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7.15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、标配高精度防震台；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7.16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GPU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图像处理器性能优于以下参数：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7.16.1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、处理器≥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Intel 10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核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Xeon W-2133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7.16.2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、内存≥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64GB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7.16.3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256+1 TB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固态硬盘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+6TB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硬盘；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7.16.4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9.5mm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蓝光多功能刻录机；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7.16.5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NVIDIA Quadro RTX5000 16GB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高性能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GPU (3072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核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7.16.6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38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寸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LED 4K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曲面屏显示器；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7.16.7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、主流配置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▲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激光彩色打印机一台；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7.16.8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、主流配置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▲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笔记本电脑一台；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、图像处理软件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8.1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、带聚焦地形图功能，能对焦面高低不同的样品进行多焦点自动对焦及拼图，能自定义多个不同的焦点；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8.2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具有多功能全标本导航，全标本拼图功能。能进行目标区域任何形状的拼图，节省不必需的区域成像，加快拼图速度。能指定不同目标区域使用不同的物镜进行拼图。能一次性批量化扫描多个标本多个目标区域的拼图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8.3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、具备快捷简便的成像设置导航系统，拖放式设置共聚焦成像，界面简单，一目了然，提高共聚焦的使用效率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;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8.4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、三维重构软件：具有多种三维重构渲染方式；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、服务：提供不限次免费初级、中级、高级三个层次培训；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、质保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年。</w:t>
            </w:r>
          </w:p>
        </w:tc>
      </w:tr>
      <w:tr w:rsidR="00B04972" w:rsidTr="007A6D09">
        <w:trPr>
          <w:trHeight w:val="1314"/>
          <w:jc w:val="center"/>
        </w:trPr>
        <w:tc>
          <w:tcPr>
            <w:tcW w:w="692" w:type="dxa"/>
            <w:vAlign w:val="center"/>
          </w:tcPr>
          <w:p w:rsidR="00B04972" w:rsidRDefault="00B04972" w:rsidP="007A6D09">
            <w:pPr>
              <w:rPr>
                <w:rFonts w:ascii="宋体" w:hAnsi="宋体" w:cs="Times New Roman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宋体" w:hAnsi="宋体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宋体" w:hAnsi="宋体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全封闭组织脱水机</w:t>
            </w:r>
          </w:p>
        </w:tc>
        <w:tc>
          <w:tcPr>
            <w:tcW w:w="663" w:type="dxa"/>
            <w:vAlign w:val="center"/>
          </w:tcPr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台</w:t>
            </w:r>
          </w:p>
        </w:tc>
        <w:tc>
          <w:tcPr>
            <w:tcW w:w="7286" w:type="dxa"/>
            <w:vAlign w:val="center"/>
          </w:tcPr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脱水量：≥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个组织盒；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安全的试剂管理系统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RMS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具有液面高度探测器：光学感应器；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具备磁力搅拌功能；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有自动灌注、抽空、装配试剂等。（试剂抽排非人工操作）；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参数显示：样本数量、温度、压力等等；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7.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横向流蜡，石蜡直接与处理室水平相连；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8.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真空和压力脱水：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种（真空：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-70Kpa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，压力：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+35Kpa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）；其中含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叶磁力搅拌棒脱水方式；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★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废气冷凝过滤模式（安全封闭的气雾系统）；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主动的石蜡清洗功能，软件监控；石蜡缸材质：不锈钢，温度：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-70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℃；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11.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试剂瓶数量：≥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个；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12.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试剂瓶容量：≤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3.8L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蜡缸数量：≥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个；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14.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试剂相溶性检测功能；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15.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二级安全密码保护系统；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16.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具有缺少试剂报警并停止运行功能；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17.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具有延迟功能；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18.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具有冷凝废液收集瓶；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19.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彩色触摸屏界面，中文显示。抗溶剂、防腐蚀，操作简单、易掌握；</w:t>
            </w:r>
          </w:p>
          <w:p w:rsidR="00B04972" w:rsidRDefault="00B04972" w:rsidP="007A6D09">
            <w:pPr>
              <w:topLinePunct/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★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20.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有厂家出具授权的驻青岛售后服务维修点。可实现四小时响应及到现场解决机器运行故障。</w:t>
            </w:r>
          </w:p>
        </w:tc>
      </w:tr>
    </w:tbl>
    <w:p w:rsidR="00D52B4B" w:rsidRDefault="00D52B4B"/>
    <w:sectPr w:rsidR="00D52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72" w:rsidRDefault="00B04972" w:rsidP="00B04972">
      <w:r>
        <w:separator/>
      </w:r>
    </w:p>
  </w:endnote>
  <w:endnote w:type="continuationSeparator" w:id="0">
    <w:p w:rsidR="00B04972" w:rsidRDefault="00B04972" w:rsidP="00B0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72" w:rsidRDefault="00B04972" w:rsidP="00B04972">
      <w:r>
        <w:separator/>
      </w:r>
    </w:p>
  </w:footnote>
  <w:footnote w:type="continuationSeparator" w:id="0">
    <w:p w:rsidR="00B04972" w:rsidRDefault="00B04972" w:rsidP="00B0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CF"/>
    <w:rsid w:val="003A2B55"/>
    <w:rsid w:val="007F28CD"/>
    <w:rsid w:val="00B04972"/>
    <w:rsid w:val="00D439CF"/>
    <w:rsid w:val="00D52B4B"/>
    <w:rsid w:val="00D6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8851D3-DD04-4B86-8CAC-22ADC113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72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9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972"/>
    <w:rPr>
      <w:sz w:val="18"/>
      <w:szCs w:val="18"/>
    </w:rPr>
  </w:style>
  <w:style w:type="character" w:customStyle="1" w:styleId="Char2">
    <w:name w:val="正文文本 Char2"/>
    <w:link w:val="a5"/>
    <w:uiPriority w:val="99"/>
    <w:qFormat/>
    <w:rsid w:val="00B04972"/>
    <w:rPr>
      <w:rFonts w:cs="宋体"/>
      <w:szCs w:val="21"/>
    </w:rPr>
  </w:style>
  <w:style w:type="paragraph" w:styleId="a5">
    <w:name w:val="Body Text"/>
    <w:basedOn w:val="a"/>
    <w:link w:val="Char2"/>
    <w:uiPriority w:val="99"/>
    <w:qFormat/>
    <w:rsid w:val="00B04972"/>
    <w:pPr>
      <w:spacing w:line="380" w:lineRule="exact"/>
    </w:pPr>
    <w:rPr>
      <w:rFonts w:asciiTheme="minorHAnsi" w:eastAsiaTheme="minorEastAsia" w:hAnsiTheme="minorHAnsi"/>
    </w:rPr>
  </w:style>
  <w:style w:type="character" w:customStyle="1" w:styleId="Char1">
    <w:name w:val="正文文本 Char"/>
    <w:basedOn w:val="a0"/>
    <w:uiPriority w:val="99"/>
    <w:semiHidden/>
    <w:rsid w:val="00B04972"/>
    <w:rPr>
      <w:rFonts w:ascii="Calibri" w:eastAsia="宋体" w:hAnsi="Calibri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2287</Characters>
  <Application>Microsoft Office Word</Application>
  <DocSecurity>0</DocSecurity>
  <Lines>19</Lines>
  <Paragraphs>5</Paragraphs>
  <ScaleCrop>false</ScaleCrop>
  <Company>china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2020-11-03T09:57:00Z</dcterms:created>
  <dcterms:modified xsi:type="dcterms:W3CDTF">2020-11-03T09:57:00Z</dcterms:modified>
</cp:coreProperties>
</file>